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7F3447">
        <w:rPr>
          <w:szCs w:val="24"/>
        </w:rPr>
        <w:t>6. januar 2025</w:t>
      </w:r>
    </w:p>
    <w:p w:rsidR="009260DE" w:rsidRPr="00C84483" w:rsidRDefault="009260DE" w:rsidP="009260DE">
      <w:pPr>
        <w:pStyle w:val="Titel"/>
        <w:tabs>
          <w:tab w:val="left" w:pos="8222"/>
        </w:tabs>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396C7A" w:rsidP="00396C7A">
      <w:pPr>
        <w:tabs>
          <w:tab w:val="left" w:pos="360"/>
        </w:tabs>
        <w:rPr>
          <w:b/>
          <w:sz w:val="24"/>
          <w:szCs w:val="24"/>
        </w:rPr>
      </w:pPr>
      <w:r>
        <w:rPr>
          <w:b/>
          <w:sz w:val="24"/>
          <w:szCs w:val="24"/>
        </w:rPr>
        <w:tab/>
      </w:r>
    </w:p>
    <w:p w:rsidR="009260DE" w:rsidRDefault="00C35187" w:rsidP="00C35187">
      <w:pPr>
        <w:tabs>
          <w:tab w:val="left" w:pos="490"/>
          <w:tab w:val="center" w:pos="4819"/>
        </w:tabs>
        <w:rPr>
          <w:b/>
          <w:sz w:val="24"/>
          <w:szCs w:val="24"/>
        </w:rPr>
      </w:pPr>
      <w:r>
        <w:rPr>
          <w:b/>
          <w:sz w:val="24"/>
          <w:szCs w:val="24"/>
        </w:rPr>
        <w:tab/>
      </w:r>
      <w:r>
        <w:rPr>
          <w:b/>
          <w:sz w:val="24"/>
          <w:szCs w:val="24"/>
        </w:rPr>
        <w:tab/>
      </w:r>
      <w:r w:rsidR="009260DE" w:rsidRPr="00C84483">
        <w:rPr>
          <w:b/>
          <w:sz w:val="24"/>
          <w:szCs w:val="24"/>
        </w:rPr>
        <w:t>for</w:t>
      </w:r>
    </w:p>
    <w:p w:rsidR="000B058C" w:rsidRPr="00C84483" w:rsidRDefault="000B058C" w:rsidP="009260DE">
      <w:pPr>
        <w:jc w:val="center"/>
        <w:rPr>
          <w:b/>
          <w:sz w:val="24"/>
          <w:szCs w:val="24"/>
        </w:rPr>
      </w:pPr>
    </w:p>
    <w:p w:rsidR="009260DE" w:rsidRPr="00C84483" w:rsidRDefault="00E57CDE" w:rsidP="009260DE">
      <w:pPr>
        <w:jc w:val="center"/>
        <w:rPr>
          <w:b/>
          <w:sz w:val="24"/>
          <w:szCs w:val="24"/>
        </w:rPr>
      </w:pPr>
      <w:r>
        <w:rPr>
          <w:b/>
          <w:sz w:val="24"/>
          <w:szCs w:val="24"/>
        </w:rPr>
        <w:t>Lenalidomide "Glenmark", hårde kapsler</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64526B" w:rsidP="009260DE">
      <w:pPr>
        <w:tabs>
          <w:tab w:val="left" w:pos="851"/>
        </w:tabs>
        <w:ind w:left="851"/>
        <w:rPr>
          <w:sz w:val="24"/>
          <w:szCs w:val="24"/>
        </w:rPr>
      </w:pPr>
      <w:r>
        <w:rPr>
          <w:sz w:val="24"/>
          <w:szCs w:val="24"/>
        </w:rPr>
        <w:t>32016</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64526B" w:rsidP="009260DE">
      <w:pPr>
        <w:tabs>
          <w:tab w:val="left" w:pos="851"/>
        </w:tabs>
        <w:ind w:left="851"/>
        <w:rPr>
          <w:sz w:val="24"/>
          <w:szCs w:val="24"/>
        </w:rPr>
      </w:pPr>
      <w:r>
        <w:rPr>
          <w:sz w:val="24"/>
          <w:szCs w:val="24"/>
        </w:rPr>
        <w:t>Lenalidomide "Glenmark"</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876C3D" w:rsidRPr="00B17CB8" w:rsidRDefault="00876C3D" w:rsidP="00876C3D">
      <w:pPr>
        <w:tabs>
          <w:tab w:val="left" w:pos="851"/>
        </w:tabs>
        <w:ind w:left="851"/>
        <w:rPr>
          <w:sz w:val="24"/>
          <w:szCs w:val="24"/>
          <w:u w:val="single"/>
        </w:rPr>
      </w:pPr>
      <w:r w:rsidRPr="00B17CB8">
        <w:rPr>
          <w:sz w:val="24"/>
          <w:szCs w:val="24"/>
          <w:u w:val="single"/>
        </w:rPr>
        <w:t>Lenalidomide "Glenmark" 5 mg hårde kapsler</w:t>
      </w:r>
    </w:p>
    <w:p w:rsidR="00876C3D" w:rsidRDefault="00876C3D" w:rsidP="00876C3D">
      <w:pPr>
        <w:tabs>
          <w:tab w:val="left" w:pos="851"/>
        </w:tabs>
        <w:ind w:left="851"/>
        <w:rPr>
          <w:sz w:val="24"/>
          <w:szCs w:val="24"/>
        </w:rPr>
      </w:pPr>
      <w:r>
        <w:rPr>
          <w:sz w:val="24"/>
          <w:szCs w:val="24"/>
        </w:rPr>
        <w:t>Hver kapsel indeholder 5 mg lenalidomid.</w:t>
      </w:r>
    </w:p>
    <w:p w:rsidR="00876C3D" w:rsidRPr="00B17CB8" w:rsidRDefault="00876C3D" w:rsidP="00876C3D">
      <w:pPr>
        <w:tabs>
          <w:tab w:val="left" w:pos="851"/>
        </w:tabs>
        <w:ind w:left="851"/>
        <w:rPr>
          <w:sz w:val="24"/>
          <w:szCs w:val="24"/>
          <w:u w:val="single"/>
        </w:rPr>
      </w:pPr>
      <w:r w:rsidRPr="00B17CB8">
        <w:rPr>
          <w:sz w:val="24"/>
          <w:szCs w:val="24"/>
          <w:u w:val="single"/>
        </w:rPr>
        <w:t>Hjælpestof, som behandleren skal være opmærksom på</w:t>
      </w:r>
    </w:p>
    <w:p w:rsidR="00876C3D" w:rsidRDefault="00876C3D" w:rsidP="00876C3D">
      <w:pPr>
        <w:tabs>
          <w:tab w:val="left" w:pos="851"/>
        </w:tabs>
        <w:ind w:left="851"/>
        <w:rPr>
          <w:sz w:val="24"/>
          <w:szCs w:val="24"/>
        </w:rPr>
      </w:pPr>
      <w:r>
        <w:rPr>
          <w:sz w:val="24"/>
          <w:szCs w:val="24"/>
        </w:rPr>
        <w:t>Hver kapsel indeholder 66 mg lactose.</w:t>
      </w:r>
    </w:p>
    <w:p w:rsidR="00876C3D" w:rsidRDefault="00876C3D" w:rsidP="00876C3D">
      <w:pPr>
        <w:tabs>
          <w:tab w:val="left" w:pos="851"/>
        </w:tabs>
        <w:ind w:left="851"/>
        <w:rPr>
          <w:sz w:val="24"/>
          <w:szCs w:val="24"/>
        </w:rPr>
      </w:pPr>
    </w:p>
    <w:p w:rsidR="00876C3D" w:rsidRPr="00E441F0" w:rsidRDefault="00876C3D" w:rsidP="00876C3D">
      <w:pPr>
        <w:tabs>
          <w:tab w:val="left" w:pos="851"/>
        </w:tabs>
        <w:ind w:left="851"/>
        <w:rPr>
          <w:sz w:val="24"/>
          <w:szCs w:val="24"/>
          <w:u w:val="single"/>
        </w:rPr>
      </w:pPr>
      <w:r w:rsidRPr="00E441F0">
        <w:rPr>
          <w:sz w:val="24"/>
          <w:szCs w:val="24"/>
          <w:u w:val="single"/>
        </w:rPr>
        <w:t xml:space="preserve">Lenalidomide "Glenmark" </w:t>
      </w:r>
      <w:r>
        <w:rPr>
          <w:sz w:val="24"/>
          <w:szCs w:val="24"/>
          <w:u w:val="single"/>
        </w:rPr>
        <w:t>10</w:t>
      </w:r>
      <w:r w:rsidRPr="00E441F0">
        <w:rPr>
          <w:sz w:val="24"/>
          <w:szCs w:val="24"/>
          <w:u w:val="single"/>
        </w:rPr>
        <w:t xml:space="preserve"> mg hårde kapsler</w:t>
      </w:r>
    </w:p>
    <w:p w:rsidR="00876C3D" w:rsidRDefault="00876C3D" w:rsidP="00876C3D">
      <w:pPr>
        <w:tabs>
          <w:tab w:val="left" w:pos="851"/>
        </w:tabs>
        <w:ind w:left="851"/>
        <w:rPr>
          <w:sz w:val="24"/>
          <w:szCs w:val="24"/>
        </w:rPr>
      </w:pPr>
      <w:r>
        <w:rPr>
          <w:sz w:val="24"/>
          <w:szCs w:val="24"/>
        </w:rPr>
        <w:t>Hver kapsel indeholder 10 mg lenalidomid.</w:t>
      </w:r>
    </w:p>
    <w:p w:rsidR="00876C3D" w:rsidRPr="00E441F0" w:rsidRDefault="00876C3D" w:rsidP="00876C3D">
      <w:pPr>
        <w:tabs>
          <w:tab w:val="left" w:pos="851"/>
        </w:tabs>
        <w:ind w:left="851"/>
        <w:rPr>
          <w:sz w:val="24"/>
          <w:szCs w:val="24"/>
          <w:u w:val="single"/>
        </w:rPr>
      </w:pPr>
      <w:r w:rsidRPr="00E441F0">
        <w:rPr>
          <w:sz w:val="24"/>
          <w:szCs w:val="24"/>
          <w:u w:val="single"/>
        </w:rPr>
        <w:t>Hjælpestof, som behandleren skal være opmærksom på</w:t>
      </w:r>
    </w:p>
    <w:p w:rsidR="00876C3D" w:rsidRDefault="00876C3D" w:rsidP="00876C3D">
      <w:pPr>
        <w:tabs>
          <w:tab w:val="left" w:pos="851"/>
        </w:tabs>
        <w:ind w:left="851"/>
        <w:rPr>
          <w:sz w:val="24"/>
          <w:szCs w:val="24"/>
        </w:rPr>
      </w:pPr>
      <w:r>
        <w:rPr>
          <w:sz w:val="24"/>
          <w:szCs w:val="24"/>
        </w:rPr>
        <w:t>Hver kapsel indeholder 133 mg lactose.</w:t>
      </w:r>
    </w:p>
    <w:p w:rsidR="00876C3D" w:rsidRDefault="00876C3D" w:rsidP="00876C3D">
      <w:pPr>
        <w:tabs>
          <w:tab w:val="left" w:pos="851"/>
        </w:tabs>
        <w:ind w:left="851"/>
        <w:rPr>
          <w:sz w:val="24"/>
          <w:szCs w:val="24"/>
        </w:rPr>
      </w:pPr>
    </w:p>
    <w:p w:rsidR="00876C3D" w:rsidRPr="00E441F0" w:rsidRDefault="00876C3D" w:rsidP="00876C3D">
      <w:pPr>
        <w:tabs>
          <w:tab w:val="left" w:pos="851"/>
        </w:tabs>
        <w:ind w:left="851"/>
        <w:rPr>
          <w:sz w:val="24"/>
          <w:szCs w:val="24"/>
          <w:u w:val="single"/>
        </w:rPr>
      </w:pPr>
      <w:r w:rsidRPr="00E441F0">
        <w:rPr>
          <w:sz w:val="24"/>
          <w:szCs w:val="24"/>
          <w:u w:val="single"/>
        </w:rPr>
        <w:t xml:space="preserve">Lenalidomide "Glenmark" </w:t>
      </w:r>
      <w:r>
        <w:rPr>
          <w:sz w:val="24"/>
          <w:szCs w:val="24"/>
          <w:u w:val="single"/>
        </w:rPr>
        <w:t>15</w:t>
      </w:r>
      <w:r w:rsidRPr="00E441F0">
        <w:rPr>
          <w:sz w:val="24"/>
          <w:szCs w:val="24"/>
          <w:u w:val="single"/>
        </w:rPr>
        <w:t xml:space="preserve"> mg hårde kapsler</w:t>
      </w:r>
    </w:p>
    <w:p w:rsidR="00876C3D" w:rsidRDefault="00876C3D" w:rsidP="00876C3D">
      <w:pPr>
        <w:tabs>
          <w:tab w:val="left" w:pos="851"/>
        </w:tabs>
        <w:ind w:left="851"/>
        <w:rPr>
          <w:sz w:val="24"/>
          <w:szCs w:val="24"/>
        </w:rPr>
      </w:pPr>
      <w:r>
        <w:rPr>
          <w:sz w:val="24"/>
          <w:szCs w:val="24"/>
        </w:rPr>
        <w:t>Hver kapsel indeholder 15 mg lenalidomid.</w:t>
      </w:r>
    </w:p>
    <w:p w:rsidR="00876C3D" w:rsidRPr="00E441F0" w:rsidRDefault="00876C3D" w:rsidP="00876C3D">
      <w:pPr>
        <w:tabs>
          <w:tab w:val="left" w:pos="851"/>
        </w:tabs>
        <w:ind w:left="851"/>
        <w:rPr>
          <w:sz w:val="24"/>
          <w:szCs w:val="24"/>
          <w:u w:val="single"/>
        </w:rPr>
      </w:pPr>
      <w:r w:rsidRPr="00E441F0">
        <w:rPr>
          <w:sz w:val="24"/>
          <w:szCs w:val="24"/>
          <w:u w:val="single"/>
        </w:rPr>
        <w:t>Hjælpestof, som behandleren skal være opmærksom på</w:t>
      </w:r>
    </w:p>
    <w:p w:rsidR="00876C3D" w:rsidRDefault="00876C3D" w:rsidP="00876C3D">
      <w:pPr>
        <w:tabs>
          <w:tab w:val="left" w:pos="851"/>
        </w:tabs>
        <w:ind w:left="851"/>
        <w:rPr>
          <w:sz w:val="24"/>
          <w:szCs w:val="24"/>
        </w:rPr>
      </w:pPr>
      <w:r>
        <w:rPr>
          <w:sz w:val="24"/>
          <w:szCs w:val="24"/>
        </w:rPr>
        <w:t>Hver kapsel indeholder 199 mg lactose.</w:t>
      </w:r>
    </w:p>
    <w:p w:rsidR="00876C3D" w:rsidRDefault="00876C3D" w:rsidP="00876C3D">
      <w:pPr>
        <w:tabs>
          <w:tab w:val="left" w:pos="851"/>
        </w:tabs>
        <w:ind w:left="851"/>
        <w:rPr>
          <w:sz w:val="24"/>
          <w:szCs w:val="24"/>
        </w:rPr>
      </w:pPr>
    </w:p>
    <w:p w:rsidR="00876C3D" w:rsidRPr="00E441F0" w:rsidRDefault="00876C3D" w:rsidP="00876C3D">
      <w:pPr>
        <w:tabs>
          <w:tab w:val="left" w:pos="851"/>
        </w:tabs>
        <w:ind w:left="851"/>
        <w:rPr>
          <w:sz w:val="24"/>
          <w:szCs w:val="24"/>
          <w:u w:val="single"/>
        </w:rPr>
      </w:pPr>
      <w:r w:rsidRPr="00E441F0">
        <w:rPr>
          <w:sz w:val="24"/>
          <w:szCs w:val="24"/>
          <w:u w:val="single"/>
        </w:rPr>
        <w:t xml:space="preserve">Lenalidomide "Glenmark" </w:t>
      </w:r>
      <w:r>
        <w:rPr>
          <w:sz w:val="24"/>
          <w:szCs w:val="24"/>
          <w:u w:val="single"/>
        </w:rPr>
        <w:t>25</w:t>
      </w:r>
      <w:r w:rsidRPr="00E441F0">
        <w:rPr>
          <w:sz w:val="24"/>
          <w:szCs w:val="24"/>
          <w:u w:val="single"/>
        </w:rPr>
        <w:t xml:space="preserve"> mg hårde kapsler</w:t>
      </w:r>
    </w:p>
    <w:p w:rsidR="00876C3D" w:rsidRDefault="00876C3D" w:rsidP="00876C3D">
      <w:pPr>
        <w:tabs>
          <w:tab w:val="left" w:pos="851"/>
        </w:tabs>
        <w:ind w:left="851"/>
        <w:rPr>
          <w:sz w:val="24"/>
          <w:szCs w:val="24"/>
        </w:rPr>
      </w:pPr>
      <w:r>
        <w:rPr>
          <w:sz w:val="24"/>
          <w:szCs w:val="24"/>
        </w:rPr>
        <w:t>Hver kapsel indeholder 25 mg lenalidomid.</w:t>
      </w:r>
    </w:p>
    <w:p w:rsidR="00876C3D" w:rsidRPr="00E441F0" w:rsidRDefault="00876C3D" w:rsidP="00876C3D">
      <w:pPr>
        <w:tabs>
          <w:tab w:val="left" w:pos="851"/>
        </w:tabs>
        <w:ind w:left="851"/>
        <w:rPr>
          <w:sz w:val="24"/>
          <w:szCs w:val="24"/>
          <w:u w:val="single"/>
        </w:rPr>
      </w:pPr>
      <w:r w:rsidRPr="00E441F0">
        <w:rPr>
          <w:sz w:val="24"/>
          <w:szCs w:val="24"/>
          <w:u w:val="single"/>
        </w:rPr>
        <w:t>Hjælpestof, som behandleren skal være opmærksom på</w:t>
      </w:r>
    </w:p>
    <w:p w:rsidR="00876C3D" w:rsidRDefault="00876C3D" w:rsidP="00876C3D">
      <w:pPr>
        <w:tabs>
          <w:tab w:val="left" w:pos="851"/>
        </w:tabs>
        <w:ind w:left="851"/>
        <w:rPr>
          <w:sz w:val="24"/>
          <w:szCs w:val="24"/>
        </w:rPr>
      </w:pPr>
      <w:r>
        <w:rPr>
          <w:sz w:val="24"/>
          <w:szCs w:val="24"/>
        </w:rPr>
        <w:t>Hver kapsel indeholder 332 mg lactose.</w:t>
      </w:r>
    </w:p>
    <w:p w:rsidR="00876C3D" w:rsidRDefault="00876C3D" w:rsidP="00876C3D">
      <w:pPr>
        <w:tabs>
          <w:tab w:val="left" w:pos="851"/>
        </w:tabs>
        <w:ind w:left="851"/>
        <w:rPr>
          <w:sz w:val="24"/>
          <w:szCs w:val="24"/>
        </w:rPr>
      </w:pPr>
    </w:p>
    <w:p w:rsidR="00876C3D" w:rsidRPr="001027EE" w:rsidRDefault="00876C3D" w:rsidP="00876C3D">
      <w:pPr>
        <w:tabs>
          <w:tab w:val="left" w:pos="851"/>
        </w:tabs>
        <w:ind w:left="851"/>
        <w:rPr>
          <w:sz w:val="24"/>
          <w:szCs w:val="24"/>
        </w:rPr>
      </w:pPr>
      <w:r w:rsidRPr="001027EE">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876C3D" w:rsidRPr="00D0129C" w:rsidRDefault="00876C3D" w:rsidP="00876C3D">
      <w:pPr>
        <w:tabs>
          <w:tab w:val="left" w:pos="851"/>
        </w:tabs>
        <w:ind w:left="851"/>
        <w:rPr>
          <w:sz w:val="24"/>
          <w:szCs w:val="24"/>
        </w:rPr>
      </w:pPr>
      <w:r w:rsidRPr="00D0129C">
        <w:rPr>
          <w:sz w:val="24"/>
          <w:szCs w:val="24"/>
        </w:rPr>
        <w:t>Hårde kapsler</w:t>
      </w:r>
    </w:p>
    <w:p w:rsidR="00876C3D" w:rsidRPr="00D0129C" w:rsidRDefault="00876C3D" w:rsidP="00876C3D">
      <w:pPr>
        <w:tabs>
          <w:tab w:val="left" w:pos="851"/>
        </w:tabs>
        <w:ind w:left="851"/>
        <w:rPr>
          <w:sz w:val="24"/>
          <w:szCs w:val="24"/>
        </w:rPr>
      </w:pPr>
    </w:p>
    <w:p w:rsidR="00876C3D" w:rsidRPr="00E441F0" w:rsidRDefault="00876C3D" w:rsidP="00876C3D">
      <w:pPr>
        <w:keepNext/>
        <w:tabs>
          <w:tab w:val="left" w:pos="851"/>
        </w:tabs>
        <w:ind w:left="851"/>
        <w:rPr>
          <w:sz w:val="24"/>
          <w:szCs w:val="24"/>
          <w:u w:val="single"/>
        </w:rPr>
      </w:pPr>
      <w:r w:rsidRPr="00E441F0">
        <w:rPr>
          <w:sz w:val="24"/>
          <w:szCs w:val="24"/>
          <w:u w:val="single"/>
        </w:rPr>
        <w:lastRenderedPageBreak/>
        <w:t>Lenalidomide "Glenmark" 5 mg hårde kapsler</w:t>
      </w:r>
    </w:p>
    <w:p w:rsidR="00876C3D" w:rsidRPr="00D0129C" w:rsidRDefault="00876C3D" w:rsidP="00876C3D">
      <w:pPr>
        <w:ind w:left="850"/>
        <w:rPr>
          <w:sz w:val="24"/>
          <w:szCs w:val="24"/>
        </w:rPr>
      </w:pPr>
      <w:r w:rsidRPr="00D0129C">
        <w:rPr>
          <w:sz w:val="24"/>
          <w:szCs w:val="24"/>
        </w:rPr>
        <w:t>Uigennemsigtig</w:t>
      </w:r>
      <w:r>
        <w:rPr>
          <w:sz w:val="24"/>
          <w:szCs w:val="24"/>
        </w:rPr>
        <w:t>,</w:t>
      </w:r>
      <w:r w:rsidRPr="00D0129C">
        <w:rPr>
          <w:sz w:val="24"/>
          <w:szCs w:val="24"/>
        </w:rPr>
        <w:t xml:space="preserve"> hvid krop og uigennemsigtig</w:t>
      </w:r>
      <w:r>
        <w:rPr>
          <w:sz w:val="24"/>
          <w:szCs w:val="24"/>
        </w:rPr>
        <w:t>,</w:t>
      </w:r>
      <w:r w:rsidRPr="00D0129C">
        <w:rPr>
          <w:sz w:val="24"/>
          <w:szCs w:val="24"/>
        </w:rPr>
        <w:t xml:space="preserve"> hvid hætte, med en længde på cirka</w:t>
      </w:r>
      <w:r>
        <w:rPr>
          <w:sz w:val="24"/>
          <w:szCs w:val="24"/>
        </w:rPr>
        <w:t xml:space="preserve"> </w:t>
      </w:r>
      <w:r w:rsidRPr="00D0129C">
        <w:rPr>
          <w:sz w:val="24"/>
          <w:szCs w:val="24"/>
        </w:rPr>
        <w:t xml:space="preserve">18,0 mm, mærket med </w:t>
      </w:r>
      <w:r>
        <w:rPr>
          <w:sz w:val="24"/>
          <w:szCs w:val="24"/>
        </w:rPr>
        <w:t>"</w:t>
      </w:r>
      <w:r w:rsidRPr="00D0129C">
        <w:rPr>
          <w:sz w:val="24"/>
          <w:szCs w:val="24"/>
        </w:rPr>
        <w:t>L9NL</w:t>
      </w:r>
      <w:r>
        <w:rPr>
          <w:sz w:val="24"/>
          <w:szCs w:val="24"/>
        </w:rPr>
        <w:t>"</w:t>
      </w:r>
      <w:r w:rsidRPr="00D0129C">
        <w:rPr>
          <w:sz w:val="24"/>
          <w:szCs w:val="24"/>
        </w:rPr>
        <w:t xml:space="preserve"> og </w:t>
      </w:r>
      <w:r>
        <w:rPr>
          <w:sz w:val="24"/>
          <w:szCs w:val="24"/>
        </w:rPr>
        <w:t>"</w:t>
      </w:r>
      <w:r w:rsidRPr="00D0129C">
        <w:rPr>
          <w:sz w:val="24"/>
          <w:szCs w:val="24"/>
        </w:rPr>
        <w:t>5</w:t>
      </w:r>
      <w:r>
        <w:rPr>
          <w:sz w:val="24"/>
          <w:szCs w:val="24"/>
        </w:rPr>
        <w:t>"</w:t>
      </w:r>
      <w:r w:rsidRPr="00D0129C">
        <w:rPr>
          <w:sz w:val="24"/>
          <w:szCs w:val="24"/>
        </w:rPr>
        <w:t>.</w:t>
      </w:r>
    </w:p>
    <w:p w:rsidR="00876C3D" w:rsidRDefault="00876C3D" w:rsidP="00876C3D">
      <w:pPr>
        <w:ind w:left="850"/>
        <w:rPr>
          <w:sz w:val="24"/>
          <w:szCs w:val="24"/>
        </w:rPr>
      </w:pPr>
    </w:p>
    <w:p w:rsidR="00876C3D" w:rsidRPr="00E441F0" w:rsidRDefault="00876C3D" w:rsidP="00876C3D">
      <w:pPr>
        <w:tabs>
          <w:tab w:val="left" w:pos="851"/>
        </w:tabs>
        <w:ind w:left="851"/>
        <w:rPr>
          <w:sz w:val="24"/>
          <w:szCs w:val="24"/>
          <w:u w:val="single"/>
        </w:rPr>
      </w:pPr>
      <w:r w:rsidRPr="00E441F0">
        <w:rPr>
          <w:sz w:val="24"/>
          <w:szCs w:val="24"/>
          <w:u w:val="single"/>
        </w:rPr>
        <w:t xml:space="preserve">Lenalidomide "Glenmark" </w:t>
      </w:r>
      <w:r>
        <w:rPr>
          <w:sz w:val="24"/>
          <w:szCs w:val="24"/>
          <w:u w:val="single"/>
        </w:rPr>
        <w:t>10</w:t>
      </w:r>
      <w:r w:rsidRPr="00E441F0">
        <w:rPr>
          <w:sz w:val="24"/>
          <w:szCs w:val="24"/>
          <w:u w:val="single"/>
        </w:rPr>
        <w:t xml:space="preserve"> mg hårde kapsler</w:t>
      </w:r>
    </w:p>
    <w:p w:rsidR="00876C3D" w:rsidRPr="00D0129C" w:rsidRDefault="00876C3D" w:rsidP="00876C3D">
      <w:pPr>
        <w:ind w:left="850"/>
        <w:rPr>
          <w:sz w:val="24"/>
          <w:szCs w:val="24"/>
        </w:rPr>
      </w:pPr>
      <w:r w:rsidRPr="00D0129C">
        <w:rPr>
          <w:sz w:val="24"/>
          <w:szCs w:val="24"/>
        </w:rPr>
        <w:t>Uigennemsigtig</w:t>
      </w:r>
      <w:r>
        <w:rPr>
          <w:sz w:val="24"/>
          <w:szCs w:val="24"/>
        </w:rPr>
        <w:t>,</w:t>
      </w:r>
      <w:r w:rsidRPr="00D0129C">
        <w:rPr>
          <w:sz w:val="24"/>
          <w:szCs w:val="24"/>
        </w:rPr>
        <w:t xml:space="preserve"> gul krop og uigennemsigtig</w:t>
      </w:r>
      <w:r>
        <w:rPr>
          <w:sz w:val="24"/>
          <w:szCs w:val="24"/>
        </w:rPr>
        <w:t>,</w:t>
      </w:r>
      <w:r w:rsidRPr="00D0129C">
        <w:rPr>
          <w:sz w:val="24"/>
          <w:szCs w:val="24"/>
        </w:rPr>
        <w:t xml:space="preserve"> grøn til lysegrøn hætte, med en længde på cirka 21,7 mm, mærket med </w:t>
      </w:r>
      <w:r>
        <w:rPr>
          <w:sz w:val="24"/>
          <w:szCs w:val="24"/>
        </w:rPr>
        <w:t>"</w:t>
      </w:r>
      <w:r w:rsidRPr="00D0129C">
        <w:rPr>
          <w:sz w:val="24"/>
          <w:szCs w:val="24"/>
        </w:rPr>
        <w:t>L9NL</w:t>
      </w:r>
      <w:r>
        <w:rPr>
          <w:sz w:val="24"/>
          <w:szCs w:val="24"/>
        </w:rPr>
        <w:t>"</w:t>
      </w:r>
      <w:r w:rsidRPr="00D0129C">
        <w:rPr>
          <w:sz w:val="24"/>
          <w:szCs w:val="24"/>
        </w:rPr>
        <w:t xml:space="preserve"> og </w:t>
      </w:r>
      <w:r>
        <w:rPr>
          <w:sz w:val="24"/>
          <w:szCs w:val="24"/>
        </w:rPr>
        <w:t>"</w:t>
      </w:r>
      <w:r w:rsidRPr="00D0129C">
        <w:rPr>
          <w:sz w:val="24"/>
          <w:szCs w:val="24"/>
        </w:rPr>
        <w:t>10</w:t>
      </w:r>
      <w:r>
        <w:rPr>
          <w:sz w:val="24"/>
          <w:szCs w:val="24"/>
        </w:rPr>
        <w:t>"</w:t>
      </w:r>
      <w:r w:rsidRPr="00D0129C">
        <w:rPr>
          <w:sz w:val="24"/>
          <w:szCs w:val="24"/>
        </w:rPr>
        <w:t>.</w:t>
      </w:r>
    </w:p>
    <w:p w:rsidR="00876C3D" w:rsidRDefault="00876C3D" w:rsidP="00876C3D">
      <w:pPr>
        <w:ind w:left="850"/>
        <w:rPr>
          <w:sz w:val="24"/>
          <w:szCs w:val="24"/>
        </w:rPr>
      </w:pPr>
    </w:p>
    <w:p w:rsidR="00876C3D" w:rsidRPr="00E441F0" w:rsidRDefault="00876C3D" w:rsidP="00876C3D">
      <w:pPr>
        <w:tabs>
          <w:tab w:val="left" w:pos="851"/>
        </w:tabs>
        <w:ind w:left="851"/>
        <w:rPr>
          <w:sz w:val="24"/>
          <w:szCs w:val="24"/>
          <w:u w:val="single"/>
        </w:rPr>
      </w:pPr>
      <w:r w:rsidRPr="00E441F0">
        <w:rPr>
          <w:sz w:val="24"/>
          <w:szCs w:val="24"/>
          <w:u w:val="single"/>
        </w:rPr>
        <w:t xml:space="preserve">Lenalidomide "Glenmark" </w:t>
      </w:r>
      <w:r>
        <w:rPr>
          <w:sz w:val="24"/>
          <w:szCs w:val="24"/>
          <w:u w:val="single"/>
        </w:rPr>
        <w:t>1</w:t>
      </w:r>
      <w:r w:rsidRPr="00E441F0">
        <w:rPr>
          <w:sz w:val="24"/>
          <w:szCs w:val="24"/>
          <w:u w:val="single"/>
        </w:rPr>
        <w:t>5 mg hårde kapsler</w:t>
      </w:r>
    </w:p>
    <w:p w:rsidR="00876C3D" w:rsidRPr="00D0129C" w:rsidRDefault="00876C3D" w:rsidP="00876C3D">
      <w:pPr>
        <w:ind w:left="850"/>
        <w:rPr>
          <w:sz w:val="24"/>
          <w:szCs w:val="24"/>
        </w:rPr>
      </w:pPr>
      <w:r w:rsidRPr="00D0129C">
        <w:rPr>
          <w:sz w:val="24"/>
          <w:szCs w:val="24"/>
        </w:rPr>
        <w:t>Uigennemsigtig</w:t>
      </w:r>
      <w:r>
        <w:rPr>
          <w:sz w:val="24"/>
          <w:szCs w:val="24"/>
        </w:rPr>
        <w:t>,</w:t>
      </w:r>
      <w:r w:rsidRPr="00D0129C">
        <w:rPr>
          <w:sz w:val="24"/>
          <w:szCs w:val="24"/>
        </w:rPr>
        <w:t xml:space="preserve"> hvid krop og uigennemsigtig</w:t>
      </w:r>
      <w:r>
        <w:rPr>
          <w:sz w:val="24"/>
          <w:szCs w:val="24"/>
        </w:rPr>
        <w:t>,</w:t>
      </w:r>
      <w:r w:rsidRPr="00D0129C">
        <w:rPr>
          <w:sz w:val="24"/>
          <w:szCs w:val="24"/>
        </w:rPr>
        <w:t xml:space="preserve"> blå til lyseblå hætte, med en længde på cirka 21,7 mm, mærket med </w:t>
      </w:r>
      <w:r>
        <w:rPr>
          <w:sz w:val="24"/>
          <w:szCs w:val="24"/>
        </w:rPr>
        <w:t>"</w:t>
      </w:r>
      <w:r w:rsidRPr="00D0129C">
        <w:rPr>
          <w:sz w:val="24"/>
          <w:szCs w:val="24"/>
        </w:rPr>
        <w:t>L9NL</w:t>
      </w:r>
      <w:r>
        <w:rPr>
          <w:sz w:val="24"/>
          <w:szCs w:val="24"/>
        </w:rPr>
        <w:t>"</w:t>
      </w:r>
      <w:r w:rsidRPr="00D0129C">
        <w:rPr>
          <w:sz w:val="24"/>
          <w:szCs w:val="24"/>
        </w:rPr>
        <w:t xml:space="preserve"> og </w:t>
      </w:r>
      <w:r>
        <w:rPr>
          <w:sz w:val="24"/>
          <w:szCs w:val="24"/>
        </w:rPr>
        <w:t>"</w:t>
      </w:r>
      <w:r w:rsidRPr="00D0129C">
        <w:rPr>
          <w:sz w:val="24"/>
          <w:szCs w:val="24"/>
        </w:rPr>
        <w:t>15</w:t>
      </w:r>
      <w:r>
        <w:rPr>
          <w:sz w:val="24"/>
          <w:szCs w:val="24"/>
        </w:rPr>
        <w:t>"</w:t>
      </w:r>
      <w:r w:rsidRPr="00D0129C">
        <w:rPr>
          <w:sz w:val="24"/>
          <w:szCs w:val="24"/>
        </w:rPr>
        <w:t>.</w:t>
      </w:r>
    </w:p>
    <w:p w:rsidR="00876C3D" w:rsidRDefault="00876C3D" w:rsidP="00876C3D">
      <w:pPr>
        <w:ind w:left="850"/>
        <w:rPr>
          <w:sz w:val="24"/>
          <w:szCs w:val="24"/>
        </w:rPr>
      </w:pPr>
    </w:p>
    <w:p w:rsidR="00876C3D" w:rsidRPr="00E441F0" w:rsidRDefault="00876C3D" w:rsidP="00876C3D">
      <w:pPr>
        <w:tabs>
          <w:tab w:val="left" w:pos="851"/>
        </w:tabs>
        <w:ind w:left="851"/>
        <w:rPr>
          <w:sz w:val="24"/>
          <w:szCs w:val="24"/>
          <w:u w:val="single"/>
        </w:rPr>
      </w:pPr>
      <w:r w:rsidRPr="00E441F0">
        <w:rPr>
          <w:sz w:val="24"/>
          <w:szCs w:val="24"/>
          <w:u w:val="single"/>
        </w:rPr>
        <w:t xml:space="preserve">Lenalidomide "Glenmark" </w:t>
      </w:r>
      <w:r>
        <w:rPr>
          <w:sz w:val="24"/>
          <w:szCs w:val="24"/>
          <w:u w:val="single"/>
        </w:rPr>
        <w:t>2</w:t>
      </w:r>
      <w:r w:rsidRPr="00E441F0">
        <w:rPr>
          <w:sz w:val="24"/>
          <w:szCs w:val="24"/>
          <w:u w:val="single"/>
        </w:rPr>
        <w:t>5 mg hårde kapsler</w:t>
      </w:r>
    </w:p>
    <w:p w:rsidR="00D0129C" w:rsidRPr="00D0129C" w:rsidRDefault="00876C3D" w:rsidP="00876C3D">
      <w:pPr>
        <w:tabs>
          <w:tab w:val="left" w:pos="851"/>
        </w:tabs>
        <w:ind w:left="851"/>
        <w:rPr>
          <w:sz w:val="24"/>
          <w:szCs w:val="24"/>
        </w:rPr>
      </w:pPr>
      <w:r w:rsidRPr="00D0129C">
        <w:rPr>
          <w:sz w:val="24"/>
          <w:szCs w:val="24"/>
        </w:rPr>
        <w:t>Uigennemsigtig</w:t>
      </w:r>
      <w:r>
        <w:rPr>
          <w:sz w:val="24"/>
          <w:szCs w:val="24"/>
        </w:rPr>
        <w:t>,</w:t>
      </w:r>
      <w:r w:rsidRPr="00D0129C">
        <w:rPr>
          <w:sz w:val="24"/>
          <w:szCs w:val="24"/>
        </w:rPr>
        <w:t xml:space="preserve"> hvid krop og uigennemsigtig</w:t>
      </w:r>
      <w:r>
        <w:rPr>
          <w:sz w:val="24"/>
          <w:szCs w:val="24"/>
        </w:rPr>
        <w:t>,</w:t>
      </w:r>
      <w:r w:rsidRPr="00D0129C">
        <w:rPr>
          <w:sz w:val="24"/>
          <w:szCs w:val="24"/>
        </w:rPr>
        <w:t xml:space="preserve"> hvid hætte, med en længde på cirka 21,7 mm, mærket med </w:t>
      </w:r>
      <w:r>
        <w:rPr>
          <w:sz w:val="24"/>
          <w:szCs w:val="24"/>
        </w:rPr>
        <w:t>"</w:t>
      </w:r>
      <w:r w:rsidRPr="00D0129C">
        <w:rPr>
          <w:sz w:val="24"/>
          <w:szCs w:val="24"/>
        </w:rPr>
        <w:t>L9NL</w:t>
      </w:r>
      <w:r>
        <w:rPr>
          <w:sz w:val="24"/>
          <w:szCs w:val="24"/>
        </w:rPr>
        <w:t>"</w:t>
      </w:r>
      <w:r w:rsidRPr="00D0129C">
        <w:rPr>
          <w:sz w:val="24"/>
          <w:szCs w:val="24"/>
        </w:rPr>
        <w:t xml:space="preserve"> og </w:t>
      </w:r>
      <w:r>
        <w:rPr>
          <w:sz w:val="24"/>
          <w:szCs w:val="24"/>
        </w:rPr>
        <w:t>"</w:t>
      </w:r>
      <w:r w:rsidRPr="00D0129C">
        <w:rPr>
          <w:sz w:val="24"/>
          <w:szCs w:val="24"/>
        </w:rPr>
        <w:t>25</w:t>
      </w:r>
      <w:r>
        <w:rPr>
          <w:sz w:val="24"/>
          <w:szCs w:val="24"/>
        </w:rPr>
        <w:t>"</w:t>
      </w:r>
      <w:r w:rsidRPr="00D0129C">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D93C27" w:rsidRPr="00D93C27" w:rsidRDefault="00D93C27" w:rsidP="00D93C27">
      <w:pPr>
        <w:tabs>
          <w:tab w:val="left" w:pos="851"/>
        </w:tabs>
        <w:ind w:left="851"/>
        <w:rPr>
          <w:sz w:val="24"/>
          <w:szCs w:val="24"/>
        </w:rPr>
      </w:pPr>
    </w:p>
    <w:p w:rsidR="00345490" w:rsidRPr="00D93C27" w:rsidRDefault="00345490" w:rsidP="00345490">
      <w:pPr>
        <w:tabs>
          <w:tab w:val="left" w:pos="851"/>
        </w:tabs>
        <w:ind w:left="851"/>
        <w:rPr>
          <w:sz w:val="24"/>
          <w:szCs w:val="24"/>
        </w:rPr>
      </w:pPr>
      <w:r w:rsidRPr="00D93C27">
        <w:rPr>
          <w:sz w:val="24"/>
          <w:szCs w:val="24"/>
          <w:u w:val="single"/>
        </w:rPr>
        <w:t>Myelomatose</w:t>
      </w:r>
    </w:p>
    <w:p w:rsidR="00345490" w:rsidRPr="00D93C27" w:rsidRDefault="00345490" w:rsidP="00345490">
      <w:pPr>
        <w:tabs>
          <w:tab w:val="left" w:pos="851"/>
        </w:tabs>
        <w:ind w:left="851"/>
        <w:rPr>
          <w:sz w:val="24"/>
          <w:szCs w:val="24"/>
        </w:rPr>
      </w:pPr>
      <w:r w:rsidRPr="00D93C27">
        <w:rPr>
          <w:sz w:val="24"/>
          <w:szCs w:val="24"/>
        </w:rPr>
        <w:t xml:space="preserve">Lenalidomide </w:t>
      </w:r>
      <w:r>
        <w:rPr>
          <w:sz w:val="24"/>
          <w:szCs w:val="24"/>
        </w:rPr>
        <w:t>"</w:t>
      </w:r>
      <w:r w:rsidRPr="00D93C27">
        <w:rPr>
          <w:sz w:val="24"/>
          <w:szCs w:val="24"/>
        </w:rPr>
        <w:t>Glenmark</w:t>
      </w:r>
      <w:r>
        <w:rPr>
          <w:sz w:val="24"/>
          <w:szCs w:val="24"/>
        </w:rPr>
        <w:t>"</w:t>
      </w:r>
      <w:r w:rsidRPr="00D93C27">
        <w:rPr>
          <w:sz w:val="24"/>
          <w:szCs w:val="24"/>
        </w:rPr>
        <w:t xml:space="preserve"> som monoterapi er indiceret til vedligeholdelsesbehandling af nydiagnosticeret myelomatose hos voksne patienter, der har gennemgået autolog stamcelletransplantation.</w:t>
      </w:r>
    </w:p>
    <w:p w:rsidR="00345490" w:rsidRPr="00D93C27" w:rsidRDefault="00345490" w:rsidP="00345490">
      <w:pPr>
        <w:tabs>
          <w:tab w:val="left" w:pos="851"/>
        </w:tabs>
        <w:ind w:left="851"/>
        <w:rPr>
          <w:sz w:val="24"/>
          <w:szCs w:val="24"/>
        </w:rPr>
      </w:pPr>
    </w:p>
    <w:p w:rsidR="00345490" w:rsidRPr="00922F52" w:rsidRDefault="00345490" w:rsidP="00345490">
      <w:pPr>
        <w:ind w:left="851"/>
        <w:rPr>
          <w:sz w:val="24"/>
          <w:szCs w:val="24"/>
        </w:rPr>
      </w:pPr>
      <w:r w:rsidRPr="00922F52">
        <w:rPr>
          <w:sz w:val="24"/>
          <w:szCs w:val="24"/>
        </w:rPr>
        <w:t>Lenalidomide ”Glenmark” som kombinationsbehandling med dexamethason, eller bortezomib og dexamethason eller melphalan og prednison (se pkt. 4.2) er indiceret til behandling af voksne patienter med tidligere ubehandlet myelomatose, hvis de ikke er egnede til transplantation.</w:t>
      </w:r>
    </w:p>
    <w:p w:rsidR="00345490" w:rsidRPr="00922F52" w:rsidRDefault="00345490" w:rsidP="00345490">
      <w:pPr>
        <w:ind w:left="851"/>
        <w:rPr>
          <w:sz w:val="24"/>
          <w:szCs w:val="24"/>
        </w:rPr>
      </w:pPr>
    </w:p>
    <w:p w:rsidR="00345490" w:rsidRPr="00922F52" w:rsidRDefault="00345490" w:rsidP="00345490">
      <w:pPr>
        <w:ind w:left="851"/>
        <w:rPr>
          <w:sz w:val="24"/>
          <w:szCs w:val="24"/>
        </w:rPr>
      </w:pPr>
      <w:r w:rsidRPr="00922F52">
        <w:rPr>
          <w:sz w:val="24"/>
          <w:szCs w:val="24"/>
        </w:rPr>
        <w:t>Lenalidomide ”Glenmark” i kombination med dexamethason er indiceret til behandling af voksne patienter med myelomatose, som allerede har fået mindst én behandling.</w:t>
      </w:r>
    </w:p>
    <w:p w:rsidR="00345490" w:rsidRPr="00922F52" w:rsidRDefault="00345490" w:rsidP="00345490">
      <w:pPr>
        <w:ind w:left="851"/>
        <w:rPr>
          <w:sz w:val="24"/>
          <w:szCs w:val="24"/>
        </w:rPr>
      </w:pPr>
    </w:p>
    <w:p w:rsidR="00345490" w:rsidRDefault="00345490" w:rsidP="00345490">
      <w:pPr>
        <w:tabs>
          <w:tab w:val="left" w:pos="851"/>
        </w:tabs>
        <w:ind w:left="851"/>
        <w:rPr>
          <w:sz w:val="24"/>
          <w:szCs w:val="24"/>
          <w:u w:val="single"/>
          <w:lang w:eastAsia="da-DK"/>
        </w:rPr>
      </w:pPr>
      <w:r w:rsidRPr="0059024F">
        <w:rPr>
          <w:sz w:val="24"/>
          <w:szCs w:val="24"/>
          <w:u w:val="single"/>
          <w:lang w:eastAsia="da-DK"/>
        </w:rPr>
        <w:t>Myelodysplastisk syndrom</w:t>
      </w:r>
    </w:p>
    <w:p w:rsidR="00345490" w:rsidRDefault="00345490" w:rsidP="00345490">
      <w:pPr>
        <w:tabs>
          <w:tab w:val="left" w:pos="851"/>
        </w:tabs>
        <w:ind w:left="851"/>
        <w:rPr>
          <w:sz w:val="24"/>
          <w:szCs w:val="24"/>
          <w:lang w:eastAsia="da-DK"/>
        </w:rPr>
      </w:pPr>
      <w:r w:rsidRPr="00D93C27">
        <w:rPr>
          <w:sz w:val="24"/>
          <w:szCs w:val="24"/>
        </w:rPr>
        <w:t xml:space="preserve">Lenalidomide </w:t>
      </w:r>
      <w:r>
        <w:rPr>
          <w:sz w:val="24"/>
          <w:szCs w:val="24"/>
        </w:rPr>
        <w:t>"</w:t>
      </w:r>
      <w:r w:rsidRPr="00D93C27">
        <w:rPr>
          <w:sz w:val="24"/>
          <w:szCs w:val="24"/>
        </w:rPr>
        <w:t>Glenmark</w:t>
      </w:r>
      <w:r>
        <w:rPr>
          <w:sz w:val="24"/>
          <w:szCs w:val="24"/>
        </w:rPr>
        <w:t>"</w:t>
      </w:r>
      <w:r w:rsidRPr="00D93C27">
        <w:rPr>
          <w:sz w:val="24"/>
          <w:szCs w:val="24"/>
        </w:rPr>
        <w:t xml:space="preserve"> </w:t>
      </w:r>
      <w:r w:rsidRPr="00E210EA">
        <w:rPr>
          <w:sz w:val="24"/>
          <w:szCs w:val="24"/>
          <w:lang w:eastAsia="da-DK"/>
        </w:rPr>
        <w:t>som monoterapi er indiceret til behandling af voksne patienter med transfusionsafhængig</w:t>
      </w:r>
      <w:r>
        <w:rPr>
          <w:sz w:val="24"/>
          <w:szCs w:val="24"/>
          <w:lang w:eastAsia="da-DK"/>
        </w:rPr>
        <w:t xml:space="preserve"> </w:t>
      </w:r>
      <w:r w:rsidRPr="00E210EA">
        <w:rPr>
          <w:sz w:val="24"/>
          <w:szCs w:val="24"/>
          <w:lang w:eastAsia="da-DK"/>
        </w:rPr>
        <w:t>anæmi, der skyldes lav- eller intermediær-1-risiko myelodysplastisk syndrom forbundet med en</w:t>
      </w:r>
      <w:r>
        <w:rPr>
          <w:sz w:val="24"/>
          <w:szCs w:val="24"/>
          <w:lang w:eastAsia="da-DK"/>
        </w:rPr>
        <w:t xml:space="preserve"> </w:t>
      </w:r>
      <w:r w:rsidRPr="00E210EA">
        <w:rPr>
          <w:sz w:val="24"/>
          <w:szCs w:val="24"/>
          <w:lang w:eastAsia="da-DK"/>
        </w:rPr>
        <w:t>isoleret 5q-deletion (Del (5q)) cytogenetisk anomali, når andre behandlingsmuligheder er</w:t>
      </w:r>
      <w:r>
        <w:rPr>
          <w:sz w:val="24"/>
          <w:szCs w:val="24"/>
          <w:lang w:eastAsia="da-DK"/>
        </w:rPr>
        <w:t xml:space="preserve"> </w:t>
      </w:r>
      <w:r w:rsidRPr="00E210EA">
        <w:rPr>
          <w:sz w:val="24"/>
          <w:szCs w:val="24"/>
          <w:lang w:eastAsia="da-DK"/>
        </w:rPr>
        <w:t>utilstrækkelige.</w:t>
      </w:r>
    </w:p>
    <w:p w:rsidR="00345490" w:rsidRDefault="00345490" w:rsidP="00345490">
      <w:pPr>
        <w:tabs>
          <w:tab w:val="left" w:pos="851"/>
        </w:tabs>
        <w:ind w:left="851"/>
        <w:rPr>
          <w:sz w:val="24"/>
          <w:szCs w:val="24"/>
          <w:lang w:eastAsia="da-DK"/>
        </w:rPr>
      </w:pPr>
    </w:p>
    <w:p w:rsidR="00345490" w:rsidRDefault="00345490" w:rsidP="00345490">
      <w:pPr>
        <w:tabs>
          <w:tab w:val="left" w:pos="851"/>
        </w:tabs>
        <w:ind w:left="851"/>
        <w:rPr>
          <w:sz w:val="24"/>
          <w:szCs w:val="24"/>
          <w:u w:val="single"/>
          <w:lang w:eastAsia="da-DK"/>
        </w:rPr>
      </w:pPr>
      <w:r w:rsidRPr="0059024F">
        <w:rPr>
          <w:sz w:val="24"/>
          <w:szCs w:val="24"/>
          <w:u w:val="single"/>
          <w:lang w:eastAsia="da-DK"/>
        </w:rPr>
        <w:t>Mantle celle lymfom</w:t>
      </w:r>
    </w:p>
    <w:p w:rsidR="00345490" w:rsidRPr="00E210EA" w:rsidRDefault="00345490" w:rsidP="00345490">
      <w:pPr>
        <w:tabs>
          <w:tab w:val="left" w:pos="851"/>
        </w:tabs>
        <w:ind w:left="851"/>
        <w:rPr>
          <w:sz w:val="24"/>
          <w:szCs w:val="24"/>
          <w:lang w:eastAsia="da-DK"/>
        </w:rPr>
      </w:pPr>
      <w:r w:rsidRPr="00D93C27">
        <w:rPr>
          <w:sz w:val="24"/>
          <w:szCs w:val="24"/>
        </w:rPr>
        <w:t xml:space="preserve">Lenalidomide </w:t>
      </w:r>
      <w:r>
        <w:rPr>
          <w:sz w:val="24"/>
          <w:szCs w:val="24"/>
        </w:rPr>
        <w:t>"</w:t>
      </w:r>
      <w:r w:rsidRPr="00D93C27">
        <w:rPr>
          <w:sz w:val="24"/>
          <w:szCs w:val="24"/>
        </w:rPr>
        <w:t>Glenmark</w:t>
      </w:r>
      <w:r>
        <w:rPr>
          <w:sz w:val="24"/>
          <w:szCs w:val="24"/>
        </w:rPr>
        <w:t>"</w:t>
      </w:r>
      <w:r w:rsidRPr="00D93C27">
        <w:rPr>
          <w:sz w:val="24"/>
          <w:szCs w:val="24"/>
        </w:rPr>
        <w:t xml:space="preserve"> </w:t>
      </w:r>
      <w:r w:rsidRPr="00E210EA">
        <w:rPr>
          <w:sz w:val="24"/>
          <w:szCs w:val="24"/>
          <w:lang w:eastAsia="da-DK"/>
        </w:rPr>
        <w:t>som monoterapi er indiceret til behandling af voksne patienter med recidiverende eller</w:t>
      </w:r>
      <w:r>
        <w:rPr>
          <w:sz w:val="24"/>
          <w:szCs w:val="24"/>
          <w:lang w:eastAsia="da-DK"/>
        </w:rPr>
        <w:t xml:space="preserve"> </w:t>
      </w:r>
      <w:r w:rsidRPr="00E210EA">
        <w:rPr>
          <w:sz w:val="24"/>
          <w:szCs w:val="24"/>
          <w:lang w:eastAsia="da-DK"/>
        </w:rPr>
        <w:t>refraktær mantle celle lymfom (se pkt. 4.4 og 5.1).</w:t>
      </w:r>
    </w:p>
    <w:p w:rsidR="00345490" w:rsidRDefault="00345490" w:rsidP="00345490">
      <w:pPr>
        <w:ind w:left="851"/>
        <w:rPr>
          <w:sz w:val="24"/>
          <w:szCs w:val="24"/>
          <w:u w:val="single"/>
        </w:rPr>
      </w:pPr>
    </w:p>
    <w:p w:rsidR="00345490" w:rsidRPr="00922F52" w:rsidRDefault="00345490" w:rsidP="00345490">
      <w:pPr>
        <w:ind w:left="851"/>
        <w:rPr>
          <w:sz w:val="24"/>
          <w:szCs w:val="24"/>
          <w:u w:val="single"/>
        </w:rPr>
      </w:pPr>
      <w:r w:rsidRPr="00922F52">
        <w:rPr>
          <w:sz w:val="24"/>
          <w:szCs w:val="24"/>
          <w:u w:val="single"/>
        </w:rPr>
        <w:t xml:space="preserve">Follikulært lymfom </w:t>
      </w:r>
    </w:p>
    <w:p w:rsidR="00345490" w:rsidRPr="00922F52" w:rsidRDefault="00345490" w:rsidP="00345490">
      <w:pPr>
        <w:ind w:left="851"/>
        <w:rPr>
          <w:sz w:val="24"/>
          <w:szCs w:val="24"/>
        </w:rPr>
      </w:pPr>
      <w:r w:rsidRPr="00922F52">
        <w:rPr>
          <w:sz w:val="24"/>
          <w:szCs w:val="24"/>
        </w:rPr>
        <w:t>Lenalidomide ”Glenmark” i kombination med rituximab (anti-CD20-antistof) er indiceret til behandling af voksne patienter med tidligere behandlet follikulært lymfom (grad 1 – 3a).</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876C3D">
        <w:rPr>
          <w:b/>
          <w:sz w:val="24"/>
          <w:szCs w:val="24"/>
        </w:rPr>
        <w:t>administration</w:t>
      </w:r>
    </w:p>
    <w:p w:rsidR="00D93C27" w:rsidRPr="00D93C27" w:rsidRDefault="00D93C27" w:rsidP="00D93C27">
      <w:pPr>
        <w:tabs>
          <w:tab w:val="left" w:pos="851"/>
        </w:tabs>
        <w:ind w:left="851"/>
        <w:rPr>
          <w:sz w:val="24"/>
          <w:szCs w:val="24"/>
        </w:rPr>
      </w:pPr>
      <w:r w:rsidRPr="00D93C27">
        <w:rPr>
          <w:sz w:val="24"/>
          <w:szCs w:val="24"/>
        </w:rPr>
        <w:t>Behandlingen med Lenalidomide "Glenmark" skal superviseres af en læge med erfaring i anvendelsen af behandlinger mod cancer.</w:t>
      </w:r>
    </w:p>
    <w:p w:rsidR="00D93C27" w:rsidRPr="00D93C27" w:rsidRDefault="00D93C27" w:rsidP="00D93C27">
      <w:pPr>
        <w:tabs>
          <w:tab w:val="left" w:pos="851"/>
        </w:tabs>
        <w:ind w:left="851"/>
        <w:rPr>
          <w:sz w:val="24"/>
          <w:szCs w:val="24"/>
        </w:rPr>
      </w:pPr>
    </w:p>
    <w:p w:rsidR="00D93C27" w:rsidRPr="00D93C27" w:rsidRDefault="00D93C27" w:rsidP="00D93C27">
      <w:pPr>
        <w:tabs>
          <w:tab w:val="left" w:pos="851"/>
        </w:tabs>
        <w:ind w:left="851"/>
        <w:rPr>
          <w:sz w:val="24"/>
          <w:szCs w:val="24"/>
        </w:rPr>
      </w:pPr>
      <w:r w:rsidRPr="00D93C27">
        <w:rPr>
          <w:sz w:val="24"/>
          <w:szCs w:val="24"/>
        </w:rPr>
        <w:t>For alle indikationer, der er beskrevet nedenfor, gælder, at:</w:t>
      </w:r>
    </w:p>
    <w:p w:rsidR="00D93C27" w:rsidRPr="00D93C27" w:rsidRDefault="00D93C27" w:rsidP="00FD1F8D">
      <w:pPr>
        <w:numPr>
          <w:ilvl w:val="0"/>
          <w:numId w:val="6"/>
        </w:numPr>
        <w:tabs>
          <w:tab w:val="left" w:pos="851"/>
        </w:tabs>
        <w:ind w:left="1134" w:hanging="283"/>
        <w:rPr>
          <w:sz w:val="24"/>
          <w:szCs w:val="24"/>
        </w:rPr>
      </w:pPr>
      <w:r w:rsidRPr="00D93C27">
        <w:rPr>
          <w:sz w:val="24"/>
          <w:szCs w:val="24"/>
        </w:rPr>
        <w:t>Dosis skal justeres på basis af kliniske og laboratoriemæssige parametre (se pkt. 4.4).</w:t>
      </w:r>
    </w:p>
    <w:p w:rsidR="00D93C27" w:rsidRPr="00D93C27" w:rsidRDefault="00D93C27" w:rsidP="00FD1F8D">
      <w:pPr>
        <w:numPr>
          <w:ilvl w:val="0"/>
          <w:numId w:val="6"/>
        </w:numPr>
        <w:tabs>
          <w:tab w:val="left" w:pos="851"/>
        </w:tabs>
        <w:ind w:left="1134" w:hanging="283"/>
        <w:rPr>
          <w:sz w:val="24"/>
          <w:szCs w:val="24"/>
        </w:rPr>
      </w:pPr>
      <w:r w:rsidRPr="00D93C27">
        <w:rPr>
          <w:sz w:val="24"/>
          <w:szCs w:val="24"/>
        </w:rPr>
        <w:t>Dosisjustering under behandling og ved genstart på behandling anbefales ved håndtering af grad 3 eller 4 trombocytopeni, neutropeni eller anden grad 3 eller 4 toksicitet, der vurderes som værende relateret til lenalidomid.</w:t>
      </w:r>
    </w:p>
    <w:p w:rsidR="00D93C27" w:rsidRPr="00D93C27" w:rsidRDefault="00D93C27" w:rsidP="00FD1F8D">
      <w:pPr>
        <w:numPr>
          <w:ilvl w:val="0"/>
          <w:numId w:val="6"/>
        </w:numPr>
        <w:tabs>
          <w:tab w:val="left" w:pos="851"/>
        </w:tabs>
        <w:ind w:left="1134" w:hanging="283"/>
        <w:rPr>
          <w:sz w:val="24"/>
          <w:szCs w:val="24"/>
        </w:rPr>
      </w:pPr>
      <w:r w:rsidRPr="00D93C27">
        <w:rPr>
          <w:sz w:val="24"/>
          <w:szCs w:val="24"/>
        </w:rPr>
        <w:t>I tilfælde af neutropeni bør det overvejes at anvende vækstfaktorer til at behandle patienterne.</w:t>
      </w:r>
    </w:p>
    <w:p w:rsidR="00D93C27" w:rsidRPr="00D93C27" w:rsidRDefault="00D93C27" w:rsidP="00FD1F8D">
      <w:pPr>
        <w:numPr>
          <w:ilvl w:val="0"/>
          <w:numId w:val="6"/>
        </w:numPr>
        <w:tabs>
          <w:tab w:val="left" w:pos="851"/>
        </w:tabs>
        <w:ind w:left="1134" w:hanging="283"/>
        <w:rPr>
          <w:sz w:val="24"/>
          <w:szCs w:val="24"/>
        </w:rPr>
      </w:pPr>
      <w:r w:rsidRPr="00D93C27">
        <w:rPr>
          <w:sz w:val="24"/>
          <w:szCs w:val="24"/>
        </w:rPr>
        <w:t>Patienten kan tage en glemt dosis inden for de efterfølgende 12 timer. Hvis der er gået mere end 12 timer efter en glemt dosis, må patienten ikke tage dosen, men skal tage den næste dosis på det normale tidspunkt den efterfølgende dag.</w:t>
      </w:r>
    </w:p>
    <w:p w:rsidR="00D93C27" w:rsidRPr="00D93C27" w:rsidRDefault="00D93C27" w:rsidP="00EE3AD4">
      <w:pPr>
        <w:tabs>
          <w:tab w:val="left" w:pos="851"/>
        </w:tabs>
        <w:ind w:left="851"/>
        <w:rPr>
          <w:sz w:val="24"/>
          <w:szCs w:val="24"/>
        </w:rPr>
      </w:pPr>
    </w:p>
    <w:p w:rsidR="00EE3AD4" w:rsidRPr="00EE3AD4" w:rsidRDefault="00EE3AD4" w:rsidP="00EE3AD4">
      <w:pPr>
        <w:autoSpaceDE w:val="0"/>
        <w:autoSpaceDN w:val="0"/>
        <w:adjustRightInd w:val="0"/>
        <w:ind w:left="851"/>
        <w:rPr>
          <w:sz w:val="24"/>
          <w:szCs w:val="24"/>
          <w:lang w:eastAsia="en-GB"/>
        </w:rPr>
      </w:pPr>
      <w:r w:rsidRPr="00EE3AD4">
        <w:rPr>
          <w:sz w:val="24"/>
          <w:szCs w:val="24"/>
        </w:rPr>
        <w:t xml:space="preserve">Lenalidomide ”Glenmark” </w:t>
      </w:r>
      <w:r w:rsidRPr="00EE3AD4">
        <w:rPr>
          <w:sz w:val="24"/>
          <w:szCs w:val="24"/>
          <w:lang w:eastAsia="en-GB"/>
        </w:rPr>
        <w:t>findes ikke i styrkene 2,5 mg og 7,5 mg. Disse styrker er tilgængelige på markedet for andre lignende produkter, der indeholder det samme aktive stof. Derfor, når det er hensigtsmæssigt at reducere dosis til 7,5 mg eller 2,5 mg, er det nødvendigt at skifte til et andet lenalidomidholdigt produkt.</w:t>
      </w:r>
    </w:p>
    <w:p w:rsidR="00EE3AD4" w:rsidRPr="00EE3AD4" w:rsidRDefault="00EE3AD4" w:rsidP="00EE3AD4">
      <w:pPr>
        <w:ind w:left="851"/>
        <w:rPr>
          <w:noProof/>
          <w:sz w:val="24"/>
          <w:szCs w:val="24"/>
        </w:rPr>
      </w:pPr>
    </w:p>
    <w:p w:rsidR="00EE3AD4" w:rsidRPr="00EE3AD4" w:rsidRDefault="00EE3AD4" w:rsidP="00EE3AD4">
      <w:pPr>
        <w:ind w:left="851"/>
        <w:rPr>
          <w:noProof/>
          <w:sz w:val="24"/>
          <w:szCs w:val="24"/>
          <w:u w:val="single"/>
        </w:rPr>
      </w:pPr>
      <w:r w:rsidRPr="00EE3AD4">
        <w:rPr>
          <w:noProof/>
          <w:sz w:val="24"/>
          <w:szCs w:val="24"/>
          <w:u w:val="single"/>
        </w:rPr>
        <w:t>Dosering</w:t>
      </w:r>
    </w:p>
    <w:p w:rsidR="00EE3AD4" w:rsidRPr="00EE3AD4" w:rsidRDefault="00EE3AD4" w:rsidP="00EE3AD4">
      <w:pPr>
        <w:ind w:left="851"/>
        <w:rPr>
          <w:b/>
          <w:bCs/>
          <w:iCs/>
          <w:noProof/>
          <w:sz w:val="24"/>
          <w:szCs w:val="24"/>
        </w:rPr>
      </w:pPr>
    </w:p>
    <w:p w:rsidR="00EE3AD4" w:rsidRPr="00EE3AD4" w:rsidRDefault="00EE3AD4" w:rsidP="00EE3AD4">
      <w:pPr>
        <w:ind w:left="851"/>
        <w:rPr>
          <w:b/>
          <w:bCs/>
          <w:iCs/>
          <w:noProof/>
          <w:sz w:val="24"/>
          <w:szCs w:val="24"/>
        </w:rPr>
      </w:pPr>
      <w:r w:rsidRPr="00EE3AD4">
        <w:rPr>
          <w:b/>
          <w:bCs/>
          <w:iCs/>
          <w:noProof/>
          <w:sz w:val="24"/>
          <w:szCs w:val="24"/>
        </w:rPr>
        <w:t>Nydiagnosticeret myelomatose (NDMM)</w:t>
      </w:r>
    </w:p>
    <w:p w:rsidR="00EE3AD4" w:rsidRPr="00EE3AD4" w:rsidRDefault="00EE3AD4" w:rsidP="00EE3AD4">
      <w:pPr>
        <w:ind w:left="851"/>
        <w:rPr>
          <w:i/>
          <w:iCs/>
          <w:noProof/>
          <w:sz w:val="24"/>
          <w:szCs w:val="24"/>
        </w:rPr>
      </w:pPr>
    </w:p>
    <w:p w:rsidR="00EE3AD4" w:rsidRPr="00EE3AD4" w:rsidRDefault="00EE3AD4" w:rsidP="00EE3AD4">
      <w:pPr>
        <w:ind w:left="851"/>
        <w:rPr>
          <w:i/>
          <w:iCs/>
          <w:noProof/>
          <w:sz w:val="24"/>
          <w:szCs w:val="24"/>
          <w:u w:val="single"/>
        </w:rPr>
      </w:pPr>
      <w:r w:rsidRPr="00EE3AD4">
        <w:rPr>
          <w:i/>
          <w:iCs/>
          <w:noProof/>
          <w:sz w:val="24"/>
          <w:szCs w:val="24"/>
          <w:u w:val="single"/>
        </w:rPr>
        <w:t xml:space="preserve">Lenalidomid i kombination med dexamethason indtil sygdomsprogression hos patienter, der ikke er egnede til transplantation </w:t>
      </w:r>
    </w:p>
    <w:p w:rsidR="00EE3AD4" w:rsidRPr="00EE3AD4" w:rsidRDefault="00EE3AD4" w:rsidP="00EE3AD4">
      <w:pPr>
        <w:ind w:left="851"/>
        <w:rPr>
          <w:iCs/>
          <w:noProof/>
          <w:sz w:val="24"/>
          <w:szCs w:val="24"/>
        </w:rPr>
      </w:pPr>
    </w:p>
    <w:p w:rsidR="00EE3AD4" w:rsidRPr="00EE3AD4" w:rsidRDefault="00EE3AD4" w:rsidP="00EE3AD4">
      <w:pPr>
        <w:ind w:left="851"/>
        <w:rPr>
          <w:iCs/>
          <w:noProof/>
          <w:sz w:val="24"/>
          <w:szCs w:val="24"/>
        </w:rPr>
      </w:pPr>
      <w:r w:rsidRPr="00EE3AD4">
        <w:rPr>
          <w:iCs/>
          <w:noProof/>
          <w:sz w:val="24"/>
          <w:szCs w:val="24"/>
        </w:rPr>
        <w:t>Lenalidomid-behandlingen må ikke startes, hvis det absolutte neutrofiltal (absolute neutrophil counts, ANC) er &lt; 1,0 x 10</w:t>
      </w:r>
      <w:r w:rsidRPr="00EE3AD4">
        <w:rPr>
          <w:iCs/>
          <w:noProof/>
          <w:sz w:val="24"/>
          <w:szCs w:val="24"/>
          <w:vertAlign w:val="superscript"/>
        </w:rPr>
        <w:t>9</w:t>
      </w:r>
      <w:r w:rsidRPr="00EE3AD4">
        <w:rPr>
          <w:iCs/>
          <w:noProof/>
          <w:sz w:val="24"/>
          <w:szCs w:val="24"/>
        </w:rPr>
        <w:t>/l, og/eller trombocyttallet er &lt; 50 x 10</w:t>
      </w:r>
      <w:r w:rsidRPr="00EE3AD4">
        <w:rPr>
          <w:iCs/>
          <w:noProof/>
          <w:sz w:val="24"/>
          <w:szCs w:val="24"/>
          <w:vertAlign w:val="superscript"/>
        </w:rPr>
        <w:t>9</w:t>
      </w:r>
      <w:r w:rsidRPr="00EE3AD4">
        <w:rPr>
          <w:iCs/>
          <w:noProof/>
          <w:sz w:val="24"/>
          <w:szCs w:val="24"/>
        </w:rPr>
        <w:t xml:space="preserve">/l. </w:t>
      </w:r>
    </w:p>
    <w:p w:rsidR="00EE3AD4" w:rsidRPr="00EE3AD4" w:rsidRDefault="00EE3AD4" w:rsidP="00EE3AD4">
      <w:pPr>
        <w:ind w:left="851"/>
        <w:rPr>
          <w:iCs/>
          <w:noProof/>
          <w:sz w:val="24"/>
          <w:szCs w:val="24"/>
        </w:rPr>
      </w:pPr>
    </w:p>
    <w:p w:rsidR="00EE3AD4" w:rsidRPr="00EE3AD4" w:rsidRDefault="00EE3AD4" w:rsidP="00EE3AD4">
      <w:pPr>
        <w:ind w:left="851"/>
        <w:rPr>
          <w:i/>
          <w:iCs/>
          <w:noProof/>
          <w:sz w:val="24"/>
          <w:szCs w:val="24"/>
        </w:rPr>
      </w:pPr>
      <w:r w:rsidRPr="00EE3AD4">
        <w:rPr>
          <w:iCs/>
          <w:noProof/>
          <w:sz w:val="24"/>
          <w:szCs w:val="24"/>
          <w:u w:val="single"/>
        </w:rPr>
        <w:t>Anbefalet dosis</w:t>
      </w:r>
      <w:r w:rsidRPr="00EE3AD4">
        <w:rPr>
          <w:i/>
          <w:iCs/>
          <w:noProof/>
          <w:sz w:val="24"/>
          <w:szCs w:val="24"/>
        </w:rPr>
        <w:t xml:space="preserve"> </w:t>
      </w:r>
    </w:p>
    <w:p w:rsidR="00EE3AD4" w:rsidRPr="00EE3AD4" w:rsidRDefault="00EE3AD4" w:rsidP="00EE3AD4">
      <w:pPr>
        <w:ind w:left="851"/>
        <w:rPr>
          <w:iCs/>
          <w:noProof/>
          <w:sz w:val="24"/>
          <w:szCs w:val="24"/>
        </w:rPr>
      </w:pPr>
      <w:r w:rsidRPr="00EE3AD4">
        <w:rPr>
          <w:iCs/>
          <w:noProof/>
          <w:sz w:val="24"/>
          <w:szCs w:val="24"/>
        </w:rPr>
        <w:t xml:space="preserve">Den anbefalede startdosis af lenalidomid er 25 mg oralt én gang dagligt på dag 1 til 21 i gentagne cyklusser af 28-dages varighed. </w:t>
      </w:r>
    </w:p>
    <w:p w:rsidR="00EE3AD4" w:rsidRPr="00EE3AD4" w:rsidRDefault="00EE3AD4" w:rsidP="00EE3AD4">
      <w:pPr>
        <w:ind w:left="851"/>
        <w:rPr>
          <w:iCs/>
          <w:noProof/>
          <w:sz w:val="24"/>
          <w:szCs w:val="24"/>
        </w:rPr>
      </w:pPr>
    </w:p>
    <w:p w:rsidR="00EE3AD4" w:rsidRPr="00EE3AD4" w:rsidRDefault="00EE3AD4" w:rsidP="00EE3AD4">
      <w:pPr>
        <w:ind w:left="851"/>
        <w:rPr>
          <w:iCs/>
          <w:noProof/>
          <w:sz w:val="24"/>
          <w:szCs w:val="24"/>
        </w:rPr>
      </w:pPr>
      <w:r w:rsidRPr="00EE3AD4">
        <w:rPr>
          <w:iCs/>
          <w:noProof/>
          <w:sz w:val="24"/>
          <w:szCs w:val="24"/>
        </w:rPr>
        <w:t xml:space="preserve">Den anbefalede dosis af dexamethason er 40 mg oralt én gang dagligt på dag 1, 8, 15 og 22 i gentagne cyklusser af 28-dages varighed. Patienterne kan fortsætte behandlingen med lenalidomid og dexamethason indtil sygdomsprogression eller intolerans.  </w:t>
      </w:r>
    </w:p>
    <w:p w:rsidR="00EE3AD4" w:rsidRPr="00EE3AD4" w:rsidRDefault="00EE3AD4" w:rsidP="00EE3AD4">
      <w:pPr>
        <w:ind w:left="851"/>
        <w:rPr>
          <w:iCs/>
          <w:noProof/>
          <w:sz w:val="24"/>
          <w:szCs w:val="24"/>
        </w:rPr>
      </w:pPr>
      <w:r w:rsidRPr="00EE3AD4">
        <w:rPr>
          <w:iCs/>
          <w:noProof/>
          <w:sz w:val="24"/>
          <w:szCs w:val="24"/>
        </w:rPr>
        <w:t xml:space="preserve"> </w:t>
      </w:r>
    </w:p>
    <w:p w:rsidR="00EE3AD4" w:rsidRPr="00EE3AD4" w:rsidRDefault="00EE3AD4" w:rsidP="00EE3AD4">
      <w:pPr>
        <w:ind w:left="851"/>
        <w:rPr>
          <w:i/>
          <w:iCs/>
          <w:noProof/>
          <w:sz w:val="24"/>
          <w:szCs w:val="24"/>
        </w:rPr>
      </w:pPr>
      <w:r w:rsidRPr="00EE3AD4">
        <w:rPr>
          <w:i/>
          <w:iCs/>
          <w:noProof/>
          <w:sz w:val="24"/>
          <w:szCs w:val="24"/>
        </w:rPr>
        <w:t xml:space="preserve">• Dosisreduktionstrin </w:t>
      </w:r>
    </w:p>
    <w:tbl>
      <w:tblPr>
        <w:tblStyle w:val="Tabel-Gitter"/>
        <w:tblW w:w="9055" w:type="dxa"/>
        <w:tblInd w:w="846" w:type="dxa"/>
        <w:tblLook w:val="04A0" w:firstRow="1" w:lastRow="0" w:firstColumn="1" w:lastColumn="0" w:noHBand="0" w:noVBand="1"/>
      </w:tblPr>
      <w:tblGrid>
        <w:gridCol w:w="3018"/>
        <w:gridCol w:w="3018"/>
        <w:gridCol w:w="3019"/>
      </w:tblGrid>
      <w:tr w:rsidR="00EE3AD4" w:rsidRPr="00EE3AD4" w:rsidTr="00EE3AD4">
        <w:tc>
          <w:tcPr>
            <w:tcW w:w="3018" w:type="dxa"/>
            <w:tcBorders>
              <w:top w:val="single" w:sz="4" w:space="0" w:color="auto"/>
              <w:left w:val="single" w:sz="4" w:space="0" w:color="auto"/>
              <w:bottom w:val="single" w:sz="4" w:space="0" w:color="auto"/>
              <w:right w:val="single" w:sz="4" w:space="0" w:color="auto"/>
            </w:tcBorders>
          </w:tcPr>
          <w:p w:rsidR="00EE3AD4" w:rsidRPr="00EE3AD4" w:rsidRDefault="00EE3AD4">
            <w:pPr>
              <w:rPr>
                <w:iCs/>
                <w:noProof/>
                <w:sz w:val="24"/>
                <w:szCs w:val="24"/>
              </w:rPr>
            </w:pPr>
          </w:p>
        </w:tc>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Lenalidomid</w:t>
            </w:r>
            <w:r w:rsidRPr="00EE3AD4">
              <w:rPr>
                <w:iCs/>
                <w:noProof/>
                <w:sz w:val="24"/>
                <w:szCs w:val="24"/>
                <w:vertAlign w:val="superscript"/>
              </w:rPr>
              <w:t>a</w:t>
            </w:r>
          </w:p>
        </w:tc>
        <w:tc>
          <w:tcPr>
            <w:tcW w:w="3019"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Dexamethason</w:t>
            </w:r>
            <w:r w:rsidRPr="00EE3AD4">
              <w:rPr>
                <w:iCs/>
                <w:noProof/>
                <w:sz w:val="24"/>
                <w:szCs w:val="24"/>
                <w:vertAlign w:val="superscript"/>
              </w:rPr>
              <w:t>a</w:t>
            </w:r>
          </w:p>
        </w:tc>
      </w:tr>
      <w:tr w:rsidR="00EE3AD4" w:rsidRPr="00EE3AD4" w:rsidTr="00EE3AD4">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Startdosis</w:t>
            </w:r>
          </w:p>
        </w:tc>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25 mg</w:t>
            </w:r>
          </w:p>
        </w:tc>
        <w:tc>
          <w:tcPr>
            <w:tcW w:w="3019"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40 mg</w:t>
            </w:r>
          </w:p>
        </w:tc>
      </w:tr>
      <w:tr w:rsidR="00EE3AD4" w:rsidRPr="00EE3AD4" w:rsidTr="00EE3AD4">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-1</w:t>
            </w:r>
          </w:p>
        </w:tc>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20 mg</w:t>
            </w:r>
          </w:p>
        </w:tc>
        <w:tc>
          <w:tcPr>
            <w:tcW w:w="3019"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20 mg</w:t>
            </w:r>
          </w:p>
        </w:tc>
      </w:tr>
      <w:tr w:rsidR="00EE3AD4" w:rsidRPr="00EE3AD4" w:rsidTr="00EE3AD4">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-2</w:t>
            </w:r>
          </w:p>
        </w:tc>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15 mg</w:t>
            </w:r>
          </w:p>
        </w:tc>
        <w:tc>
          <w:tcPr>
            <w:tcW w:w="3019"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12 mg</w:t>
            </w:r>
          </w:p>
        </w:tc>
      </w:tr>
      <w:tr w:rsidR="00EE3AD4" w:rsidRPr="00EE3AD4" w:rsidTr="00EE3AD4">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-3</w:t>
            </w:r>
          </w:p>
        </w:tc>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10 mg</w:t>
            </w:r>
          </w:p>
        </w:tc>
        <w:tc>
          <w:tcPr>
            <w:tcW w:w="3019"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8 mg</w:t>
            </w:r>
          </w:p>
        </w:tc>
      </w:tr>
      <w:tr w:rsidR="00EE3AD4" w:rsidRPr="00EE3AD4" w:rsidTr="00EE3AD4">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-4</w:t>
            </w:r>
          </w:p>
        </w:tc>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5 mg</w:t>
            </w:r>
          </w:p>
        </w:tc>
        <w:tc>
          <w:tcPr>
            <w:tcW w:w="3019"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4 mg</w:t>
            </w:r>
          </w:p>
        </w:tc>
      </w:tr>
      <w:tr w:rsidR="00EE3AD4" w:rsidRPr="00EE3AD4" w:rsidTr="00EE3AD4">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-5</w:t>
            </w:r>
          </w:p>
        </w:tc>
        <w:tc>
          <w:tcPr>
            <w:tcW w:w="301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2,5 mg</w:t>
            </w:r>
          </w:p>
        </w:tc>
        <w:tc>
          <w:tcPr>
            <w:tcW w:w="3019"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Ikke relevant</w:t>
            </w:r>
          </w:p>
        </w:tc>
      </w:tr>
    </w:tbl>
    <w:p w:rsidR="00EE3AD4" w:rsidRPr="00EE3AD4" w:rsidRDefault="00EE3AD4" w:rsidP="00EE3AD4">
      <w:pPr>
        <w:ind w:left="851"/>
        <w:rPr>
          <w:iCs/>
          <w:noProof/>
          <w:sz w:val="24"/>
          <w:szCs w:val="24"/>
        </w:rPr>
      </w:pPr>
      <w:r w:rsidRPr="00EE3AD4">
        <w:rPr>
          <w:iCs/>
          <w:noProof/>
          <w:sz w:val="24"/>
          <w:szCs w:val="24"/>
        </w:rPr>
        <w:t xml:space="preserve">ª Dosereduktion for de to produkter kan håndteres uafhængigt </w:t>
      </w:r>
    </w:p>
    <w:p w:rsidR="00EE3AD4" w:rsidRPr="00EE3AD4" w:rsidRDefault="00EE3AD4" w:rsidP="00EE3AD4">
      <w:pPr>
        <w:rPr>
          <w:iCs/>
          <w:noProof/>
          <w:sz w:val="24"/>
          <w:szCs w:val="24"/>
        </w:rPr>
      </w:pPr>
      <w:r w:rsidRPr="00EE3AD4">
        <w:rPr>
          <w:i/>
          <w:iCs/>
          <w:noProof/>
          <w:sz w:val="24"/>
          <w:szCs w:val="24"/>
        </w:rPr>
        <w:t xml:space="preserve"> </w:t>
      </w:r>
    </w:p>
    <w:p w:rsidR="00EE3AD4" w:rsidRPr="00EE3AD4" w:rsidRDefault="00EE3AD4" w:rsidP="00EE3AD4">
      <w:pPr>
        <w:ind w:left="851"/>
        <w:rPr>
          <w:i/>
          <w:iCs/>
          <w:noProof/>
          <w:sz w:val="24"/>
          <w:szCs w:val="24"/>
        </w:rPr>
      </w:pPr>
      <w:r w:rsidRPr="00EE3AD4">
        <w:rPr>
          <w:i/>
          <w:iCs/>
          <w:noProof/>
          <w:sz w:val="24"/>
          <w:szCs w:val="24"/>
        </w:rPr>
        <w:t xml:space="preserve">• Trombocytopeni </w:t>
      </w:r>
    </w:p>
    <w:tbl>
      <w:tblPr>
        <w:tblStyle w:val="Tabel-Gitter"/>
        <w:tblW w:w="9055" w:type="dxa"/>
        <w:tblInd w:w="846" w:type="dxa"/>
        <w:tblLook w:val="04A0" w:firstRow="1" w:lastRow="0" w:firstColumn="1" w:lastColumn="0" w:noHBand="0" w:noVBand="1"/>
      </w:tblPr>
      <w:tblGrid>
        <w:gridCol w:w="4527"/>
        <w:gridCol w:w="4528"/>
      </w:tblGrid>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Når trombocytter</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Anbefalet forløb</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Falder til &lt; 25 x 10</w:t>
            </w:r>
            <w:r w:rsidRPr="00EE3AD4">
              <w:rPr>
                <w:iCs/>
                <w:noProof/>
                <w:sz w:val="24"/>
                <w:szCs w:val="24"/>
                <w:vertAlign w:val="superscript"/>
              </w:rPr>
              <w:t>9</w:t>
            </w:r>
            <w:r w:rsidRPr="00EE3AD4">
              <w:rPr>
                <w:iCs/>
                <w:noProof/>
                <w:sz w:val="24"/>
                <w:szCs w:val="24"/>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Stop lenalidomiddosis i resten af cyklussenª</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50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Nedsæt med et dosisniveau, når doseringen genoptages i den næste cyklus</w:t>
            </w:r>
          </w:p>
        </w:tc>
      </w:tr>
    </w:tbl>
    <w:p w:rsidR="00EE3AD4" w:rsidRPr="00EE3AD4" w:rsidRDefault="00EE3AD4" w:rsidP="00EE3AD4">
      <w:pPr>
        <w:ind w:left="851"/>
        <w:rPr>
          <w:iCs/>
          <w:noProof/>
          <w:sz w:val="24"/>
          <w:szCs w:val="24"/>
        </w:rPr>
      </w:pPr>
      <w:r w:rsidRPr="00EE3AD4">
        <w:rPr>
          <w:iCs/>
          <w:noProof/>
          <w:sz w:val="24"/>
          <w:szCs w:val="24"/>
        </w:rPr>
        <w:lastRenderedPageBreak/>
        <w:t xml:space="preserve">ª Hvis der opstår dosisbegrænsende toksictet (dose limiting toksicitet, DLT) på &gt; dag 15 af en cyklus, vil lenalidomid-dosering blive afbrudt i mindst resten af den aktuelle 28-dages cyklus. </w:t>
      </w:r>
    </w:p>
    <w:p w:rsidR="00EE3AD4" w:rsidRPr="00EE3AD4" w:rsidRDefault="00EE3AD4" w:rsidP="00EE3AD4">
      <w:pPr>
        <w:rPr>
          <w:iCs/>
          <w:noProof/>
          <w:sz w:val="24"/>
          <w:szCs w:val="24"/>
        </w:rPr>
      </w:pPr>
      <w:r w:rsidRPr="00EE3AD4">
        <w:rPr>
          <w:iCs/>
          <w:noProof/>
          <w:sz w:val="24"/>
          <w:szCs w:val="24"/>
        </w:rPr>
        <w:t xml:space="preserve"> </w:t>
      </w:r>
    </w:p>
    <w:p w:rsidR="00EE3AD4" w:rsidRPr="00EE3AD4" w:rsidRDefault="00EE3AD4" w:rsidP="00EE3AD4">
      <w:pPr>
        <w:ind w:left="851"/>
        <w:rPr>
          <w:i/>
          <w:iCs/>
          <w:noProof/>
          <w:sz w:val="24"/>
          <w:szCs w:val="24"/>
        </w:rPr>
      </w:pPr>
      <w:r w:rsidRPr="00EE3AD4">
        <w:rPr>
          <w:i/>
          <w:iCs/>
          <w:noProof/>
          <w:sz w:val="24"/>
          <w:szCs w:val="24"/>
        </w:rPr>
        <w:t xml:space="preserve">• Absolutte neutrofiltal (ANC) - neutropeniª </w:t>
      </w:r>
    </w:p>
    <w:tbl>
      <w:tblPr>
        <w:tblStyle w:val="Tabel-Gitter"/>
        <w:tblW w:w="9055" w:type="dxa"/>
        <w:tblInd w:w="846" w:type="dxa"/>
        <w:tblLook w:val="04A0" w:firstRow="1" w:lastRow="0" w:firstColumn="1" w:lastColumn="0" w:noHBand="0" w:noVBand="1"/>
      </w:tblPr>
      <w:tblGrid>
        <w:gridCol w:w="4527"/>
        <w:gridCol w:w="4528"/>
      </w:tblGrid>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Når ANC</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Anbefalet forløb</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Først falder til &lt; 0,5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Afbryd behandlingen med lenalidomid</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1 x 10</w:t>
            </w:r>
            <w:r w:rsidRPr="00EE3AD4">
              <w:rPr>
                <w:iCs/>
                <w:noProof/>
                <w:sz w:val="24"/>
                <w:szCs w:val="24"/>
                <w:vertAlign w:val="superscript"/>
                <w:lang w:val="da-DK"/>
              </w:rPr>
              <w:t>9</w:t>
            </w:r>
            <w:r w:rsidRPr="00EE3AD4">
              <w:rPr>
                <w:iCs/>
                <w:noProof/>
                <w:sz w:val="24"/>
                <w:szCs w:val="24"/>
                <w:lang w:val="da-DK"/>
              </w:rPr>
              <w:t>/l, når neutropeni er den eneste observerede toksicitet</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Genoptag lenalidomid ved startdosis én gang dagligt</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0,5 x 10</w:t>
            </w:r>
            <w:r w:rsidRPr="00EE3AD4">
              <w:rPr>
                <w:iCs/>
                <w:noProof/>
                <w:sz w:val="24"/>
                <w:szCs w:val="24"/>
                <w:vertAlign w:val="superscript"/>
                <w:lang w:val="da-DK"/>
              </w:rPr>
              <w:t>9</w:t>
            </w:r>
            <w:r w:rsidRPr="00EE3AD4">
              <w:rPr>
                <w:iCs/>
                <w:noProof/>
                <w:sz w:val="24"/>
                <w:szCs w:val="24"/>
                <w:lang w:val="da-DK"/>
              </w:rPr>
              <w:t>/l, når andre dosisafhængige hæmatologiske toksiciteter end neutropeni observeres</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Genoptag lenalidomid ved dosisniveau -1 én gang dagligt</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For hvert efterfølgende fald til &lt; 0,5 x 109/l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Afbryd behandlingen med lenalidomid</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0,5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Genoptag lenalidomid ved det næste lavere dosisniveau én gang dagligt</w:t>
            </w:r>
          </w:p>
        </w:tc>
      </w:tr>
    </w:tbl>
    <w:p w:rsidR="00EE3AD4" w:rsidRPr="00EE3AD4" w:rsidRDefault="00EE3AD4" w:rsidP="00EE3AD4">
      <w:pPr>
        <w:ind w:left="851"/>
        <w:rPr>
          <w:iCs/>
          <w:noProof/>
          <w:sz w:val="24"/>
          <w:szCs w:val="24"/>
        </w:rPr>
      </w:pPr>
      <w:r w:rsidRPr="00EE3AD4">
        <w:rPr>
          <w:iCs/>
          <w:noProof/>
          <w:sz w:val="24"/>
          <w:szCs w:val="24"/>
          <w:vertAlign w:val="superscript"/>
        </w:rPr>
        <w:t>a</w:t>
      </w:r>
      <w:r w:rsidRPr="00EE3AD4">
        <w:rPr>
          <w:iCs/>
          <w:noProof/>
          <w:sz w:val="24"/>
          <w:szCs w:val="24"/>
        </w:rPr>
        <w:t xml:space="preserve"> Hvis neutropeni efter lægens skøn er den eneste toksicitet på et dosisniveau, tilføjes granulocyt-kolonistimulerende faktor (G-CSF), og dosisniveauet for lenalidomid opretholdes. </w:t>
      </w:r>
    </w:p>
    <w:p w:rsidR="00EE3AD4" w:rsidRPr="00EE3AD4" w:rsidRDefault="00EE3AD4" w:rsidP="00EE3AD4">
      <w:pPr>
        <w:rPr>
          <w:iCs/>
          <w:noProof/>
          <w:sz w:val="24"/>
          <w:szCs w:val="24"/>
        </w:rPr>
      </w:pPr>
      <w:r w:rsidRPr="00EE3AD4">
        <w:rPr>
          <w:iCs/>
          <w:noProof/>
          <w:sz w:val="24"/>
          <w:szCs w:val="24"/>
        </w:rPr>
        <w:t xml:space="preserve"> </w:t>
      </w:r>
    </w:p>
    <w:p w:rsidR="00EE3AD4" w:rsidRPr="00EE3AD4" w:rsidRDefault="00EE3AD4" w:rsidP="00EE3AD4">
      <w:pPr>
        <w:ind w:left="851"/>
        <w:rPr>
          <w:iCs/>
          <w:noProof/>
          <w:sz w:val="24"/>
          <w:szCs w:val="24"/>
        </w:rPr>
      </w:pPr>
      <w:r w:rsidRPr="00EE3AD4">
        <w:rPr>
          <w:iCs/>
          <w:noProof/>
          <w:sz w:val="24"/>
          <w:szCs w:val="24"/>
        </w:rPr>
        <w:t>Ved hæmatologisk toksicitet kan dosis af lenalidomid igen introduceres til det næste, højere dosisniveau (op til startdosis) ved forbedret knoglemarvsfunktion (ingen hæmatologisk toksicitet i mindst 2 på hinanden følgende cyklusser: ANC ≥ 1,5 x 10</w:t>
      </w:r>
      <w:r w:rsidRPr="00EE3AD4">
        <w:rPr>
          <w:iCs/>
          <w:noProof/>
          <w:sz w:val="24"/>
          <w:szCs w:val="24"/>
          <w:vertAlign w:val="superscript"/>
        </w:rPr>
        <w:t>9</w:t>
      </w:r>
      <w:r w:rsidRPr="00EE3AD4">
        <w:rPr>
          <w:iCs/>
          <w:noProof/>
          <w:sz w:val="24"/>
          <w:szCs w:val="24"/>
        </w:rPr>
        <w:t>/l med et trombocyttal på ≥ 100 x 10</w:t>
      </w:r>
      <w:r w:rsidRPr="00EE3AD4">
        <w:rPr>
          <w:iCs/>
          <w:noProof/>
          <w:sz w:val="24"/>
          <w:szCs w:val="24"/>
          <w:vertAlign w:val="superscript"/>
        </w:rPr>
        <w:t>9</w:t>
      </w:r>
      <w:r w:rsidRPr="00EE3AD4">
        <w:rPr>
          <w:iCs/>
          <w:noProof/>
          <w:sz w:val="24"/>
          <w:szCs w:val="24"/>
        </w:rPr>
        <w:t xml:space="preserve">/l ved begyndelsen af en ny cyklus). </w:t>
      </w:r>
    </w:p>
    <w:p w:rsidR="00EE3AD4" w:rsidRPr="00EE3AD4" w:rsidRDefault="00EE3AD4" w:rsidP="00EE3AD4">
      <w:pPr>
        <w:ind w:left="851"/>
        <w:rPr>
          <w:iCs/>
          <w:noProof/>
          <w:sz w:val="24"/>
          <w:szCs w:val="24"/>
        </w:rPr>
      </w:pPr>
      <w:r w:rsidRPr="00EE3AD4">
        <w:rPr>
          <w:iCs/>
          <w:noProof/>
          <w:sz w:val="24"/>
          <w:szCs w:val="24"/>
        </w:rPr>
        <w:t xml:space="preserve"> </w:t>
      </w:r>
    </w:p>
    <w:p w:rsidR="00EE3AD4" w:rsidRPr="00876C3D" w:rsidRDefault="00EE3AD4" w:rsidP="00EE3AD4">
      <w:pPr>
        <w:ind w:left="851"/>
        <w:rPr>
          <w:b/>
          <w:i/>
          <w:iCs/>
          <w:noProof/>
          <w:sz w:val="24"/>
          <w:szCs w:val="24"/>
        </w:rPr>
      </w:pPr>
      <w:r w:rsidRPr="00876C3D">
        <w:rPr>
          <w:b/>
          <w:i/>
          <w:iCs/>
          <w:noProof/>
          <w:sz w:val="24"/>
          <w:szCs w:val="24"/>
        </w:rPr>
        <w:t xml:space="preserve">Lenalidomid i kombination med bortezomib og dexamethason, efterfulgt af lenalidomid og dexamethason indtil sygdomsprogression hos patienter, der ikke er egnede til transplantation </w:t>
      </w:r>
    </w:p>
    <w:p w:rsidR="00EE3AD4" w:rsidRPr="00EE3AD4" w:rsidRDefault="00EE3AD4" w:rsidP="00EE3AD4">
      <w:pPr>
        <w:ind w:left="851"/>
        <w:rPr>
          <w:iCs/>
          <w:noProof/>
          <w:sz w:val="24"/>
          <w:szCs w:val="24"/>
        </w:rPr>
      </w:pPr>
    </w:p>
    <w:p w:rsidR="00EE3AD4" w:rsidRPr="00EE3AD4" w:rsidRDefault="00EE3AD4" w:rsidP="00EE3AD4">
      <w:pPr>
        <w:ind w:left="851"/>
        <w:rPr>
          <w:i/>
          <w:iCs/>
          <w:noProof/>
          <w:sz w:val="24"/>
          <w:szCs w:val="24"/>
        </w:rPr>
      </w:pPr>
      <w:r w:rsidRPr="00EE3AD4">
        <w:rPr>
          <w:i/>
          <w:iCs/>
          <w:noProof/>
          <w:sz w:val="24"/>
          <w:szCs w:val="24"/>
        </w:rPr>
        <w:t xml:space="preserve">Indledende behandling: Lenalidomid i kombination med bortezomib og dexamethason </w:t>
      </w:r>
    </w:p>
    <w:p w:rsidR="00EE3AD4" w:rsidRPr="00EE3AD4" w:rsidRDefault="00EE3AD4" w:rsidP="00EE3AD4">
      <w:pPr>
        <w:ind w:left="851"/>
        <w:rPr>
          <w:iCs/>
          <w:noProof/>
          <w:sz w:val="24"/>
          <w:szCs w:val="24"/>
        </w:rPr>
      </w:pPr>
      <w:r w:rsidRPr="00EE3AD4">
        <w:rPr>
          <w:iCs/>
          <w:noProof/>
          <w:sz w:val="24"/>
          <w:szCs w:val="24"/>
        </w:rPr>
        <w:t>Lenalidomid i kombination med bortezomib og dexamethason må ikke startes, hvis ANC er &lt; 1,0 x 10</w:t>
      </w:r>
      <w:r w:rsidRPr="00EE3AD4">
        <w:rPr>
          <w:iCs/>
          <w:noProof/>
          <w:sz w:val="24"/>
          <w:szCs w:val="24"/>
          <w:vertAlign w:val="superscript"/>
        </w:rPr>
        <w:t>9</w:t>
      </w:r>
      <w:r w:rsidRPr="00EE3AD4">
        <w:rPr>
          <w:iCs/>
          <w:noProof/>
          <w:sz w:val="24"/>
          <w:szCs w:val="24"/>
        </w:rPr>
        <w:t>/l, og/eller trombocyttallet er &lt; 50 x 10</w:t>
      </w:r>
      <w:r w:rsidRPr="00EE3AD4">
        <w:rPr>
          <w:iCs/>
          <w:noProof/>
          <w:sz w:val="24"/>
          <w:szCs w:val="24"/>
          <w:vertAlign w:val="superscript"/>
        </w:rPr>
        <w:t>9</w:t>
      </w:r>
      <w:r w:rsidRPr="00EE3AD4">
        <w:rPr>
          <w:iCs/>
          <w:noProof/>
          <w:sz w:val="24"/>
          <w:szCs w:val="24"/>
        </w:rPr>
        <w:t xml:space="preserve">/l. </w:t>
      </w:r>
    </w:p>
    <w:p w:rsidR="00EE3AD4" w:rsidRPr="00EE3AD4" w:rsidRDefault="00EE3AD4" w:rsidP="00EE3AD4">
      <w:pPr>
        <w:ind w:left="851"/>
        <w:rPr>
          <w:iCs/>
          <w:noProof/>
          <w:sz w:val="24"/>
          <w:szCs w:val="24"/>
        </w:rPr>
      </w:pPr>
      <w:r w:rsidRPr="00EE3AD4">
        <w:rPr>
          <w:iCs/>
          <w:noProof/>
          <w:sz w:val="24"/>
          <w:szCs w:val="24"/>
        </w:rPr>
        <w:t xml:space="preserve"> </w:t>
      </w:r>
    </w:p>
    <w:p w:rsidR="00EE3AD4" w:rsidRPr="00EE3AD4" w:rsidRDefault="00EE3AD4" w:rsidP="00EE3AD4">
      <w:pPr>
        <w:ind w:left="851"/>
        <w:rPr>
          <w:iCs/>
          <w:noProof/>
          <w:sz w:val="24"/>
          <w:szCs w:val="24"/>
        </w:rPr>
      </w:pPr>
      <w:r w:rsidRPr="00EE3AD4">
        <w:rPr>
          <w:iCs/>
          <w:noProof/>
          <w:sz w:val="24"/>
          <w:szCs w:val="24"/>
        </w:rPr>
        <w:t>Den anbefalede startdosis er lenalidomid 25 mg oralt én gang dagligt på dag 1-14 af hver 21-dages cyklus i kombination med bortezomib og dexamethason. Bortezomib skal administreres via subkutan injektion (1,3 mg/m</w:t>
      </w:r>
      <w:r w:rsidRPr="00EE3AD4">
        <w:rPr>
          <w:iCs/>
          <w:noProof/>
          <w:sz w:val="24"/>
          <w:szCs w:val="24"/>
          <w:vertAlign w:val="superscript"/>
        </w:rPr>
        <w:t>2</w:t>
      </w:r>
      <w:r w:rsidRPr="00EE3AD4">
        <w:rPr>
          <w:iCs/>
          <w:noProof/>
          <w:sz w:val="24"/>
          <w:szCs w:val="24"/>
        </w:rPr>
        <w:t xml:space="preserve"> legemsoverfladeareal) to gange ugentligt på dag 1, 4, 8 og 11 af hver 21-dages cyklus. For yderligere oplysninger om dosis, tidsplan og dosisjusteringer af lægemidler administreret sammen med lenalidomid, se pkt. 5.1 og det relevante produktresumé. </w:t>
      </w:r>
    </w:p>
    <w:p w:rsidR="00EE3AD4" w:rsidRPr="00EE3AD4" w:rsidRDefault="00EE3AD4" w:rsidP="00EE3AD4">
      <w:pPr>
        <w:ind w:left="851"/>
        <w:rPr>
          <w:iCs/>
          <w:noProof/>
          <w:sz w:val="24"/>
          <w:szCs w:val="24"/>
        </w:rPr>
      </w:pPr>
      <w:r w:rsidRPr="00EE3AD4">
        <w:rPr>
          <w:iCs/>
          <w:noProof/>
          <w:sz w:val="24"/>
          <w:szCs w:val="24"/>
        </w:rPr>
        <w:t xml:space="preserve"> </w:t>
      </w:r>
    </w:p>
    <w:p w:rsidR="00EE3AD4" w:rsidRPr="00EE3AD4" w:rsidRDefault="00EE3AD4" w:rsidP="00EE3AD4">
      <w:pPr>
        <w:ind w:left="851"/>
        <w:rPr>
          <w:iCs/>
          <w:noProof/>
          <w:sz w:val="24"/>
          <w:szCs w:val="24"/>
        </w:rPr>
      </w:pPr>
      <w:r w:rsidRPr="00EE3AD4">
        <w:rPr>
          <w:iCs/>
          <w:noProof/>
          <w:sz w:val="24"/>
          <w:szCs w:val="24"/>
        </w:rPr>
        <w:t xml:space="preserve">Op til otte 21-dages behandlingscyklusser (24 uger med indledende behandling) anbefales. </w:t>
      </w:r>
    </w:p>
    <w:p w:rsidR="00EE3AD4" w:rsidRPr="00EE3AD4" w:rsidRDefault="00EE3AD4" w:rsidP="00EE3AD4">
      <w:pPr>
        <w:ind w:left="851"/>
        <w:rPr>
          <w:iCs/>
          <w:noProof/>
          <w:sz w:val="24"/>
          <w:szCs w:val="24"/>
        </w:rPr>
      </w:pPr>
      <w:r w:rsidRPr="00EE3AD4">
        <w:rPr>
          <w:iCs/>
          <w:noProof/>
          <w:sz w:val="24"/>
          <w:szCs w:val="24"/>
        </w:rPr>
        <w:t xml:space="preserve"> </w:t>
      </w:r>
    </w:p>
    <w:p w:rsidR="00EE3AD4" w:rsidRPr="00EE3AD4" w:rsidRDefault="00EE3AD4" w:rsidP="00EE3AD4">
      <w:pPr>
        <w:ind w:left="851"/>
        <w:rPr>
          <w:i/>
          <w:iCs/>
          <w:noProof/>
          <w:sz w:val="24"/>
          <w:szCs w:val="24"/>
        </w:rPr>
      </w:pPr>
      <w:r w:rsidRPr="00EE3AD4">
        <w:rPr>
          <w:i/>
          <w:iCs/>
          <w:noProof/>
          <w:sz w:val="24"/>
          <w:szCs w:val="24"/>
        </w:rPr>
        <w:t xml:space="preserve">Fortsat behandling: Lenalidomid i kombination med dexamethason indtil progression </w:t>
      </w:r>
    </w:p>
    <w:p w:rsidR="00EE3AD4" w:rsidRPr="00EE3AD4" w:rsidRDefault="00EE3AD4" w:rsidP="00EE3AD4">
      <w:pPr>
        <w:ind w:left="851"/>
        <w:rPr>
          <w:iCs/>
          <w:noProof/>
          <w:sz w:val="24"/>
          <w:szCs w:val="24"/>
        </w:rPr>
      </w:pPr>
    </w:p>
    <w:p w:rsidR="00EE3AD4" w:rsidRPr="00EE3AD4" w:rsidRDefault="00EE3AD4" w:rsidP="00EE3AD4">
      <w:pPr>
        <w:ind w:left="851"/>
        <w:rPr>
          <w:iCs/>
          <w:noProof/>
          <w:sz w:val="24"/>
          <w:szCs w:val="24"/>
        </w:rPr>
      </w:pPr>
      <w:r w:rsidRPr="00EE3AD4">
        <w:rPr>
          <w:iCs/>
          <w:noProof/>
          <w:sz w:val="24"/>
          <w:szCs w:val="24"/>
        </w:rPr>
        <w:t xml:space="preserve">Lenalidomid 25 mg oralt én gang dagligt skal fortsættes på dag 1-21 af gentagne 28-dages cyklusser i kombination med dexamethason. Behandlingen skal fortsætte indtil sygdomsprogression eller uacceptabel toksicitet. </w:t>
      </w:r>
    </w:p>
    <w:p w:rsidR="00EE3AD4" w:rsidRPr="00EE3AD4" w:rsidRDefault="00EE3AD4" w:rsidP="00EE3AD4">
      <w:pPr>
        <w:ind w:left="851"/>
        <w:rPr>
          <w:iCs/>
          <w:noProof/>
          <w:sz w:val="24"/>
          <w:szCs w:val="24"/>
        </w:rPr>
      </w:pPr>
      <w:r w:rsidRPr="00EE3AD4">
        <w:rPr>
          <w:iCs/>
          <w:noProof/>
          <w:sz w:val="24"/>
          <w:szCs w:val="24"/>
        </w:rPr>
        <w:t xml:space="preserve"> </w:t>
      </w:r>
    </w:p>
    <w:p w:rsidR="00EE3AD4" w:rsidRPr="00EE3AD4" w:rsidRDefault="00EE3AD4" w:rsidP="00EE3AD4">
      <w:pPr>
        <w:ind w:left="851"/>
        <w:rPr>
          <w:i/>
          <w:iCs/>
          <w:noProof/>
          <w:sz w:val="24"/>
          <w:szCs w:val="24"/>
        </w:rPr>
      </w:pPr>
      <w:r w:rsidRPr="00EE3AD4">
        <w:rPr>
          <w:i/>
          <w:iCs/>
          <w:noProof/>
          <w:sz w:val="24"/>
          <w:szCs w:val="24"/>
        </w:rPr>
        <w:t xml:space="preserve">• Dosisreduktionstrin  </w:t>
      </w:r>
    </w:p>
    <w:tbl>
      <w:tblPr>
        <w:tblStyle w:val="Tabel-Gitter"/>
        <w:tblW w:w="9055" w:type="dxa"/>
        <w:tblInd w:w="846" w:type="dxa"/>
        <w:tblLook w:val="04A0" w:firstRow="1" w:lastRow="0" w:firstColumn="1" w:lastColumn="0" w:noHBand="0" w:noVBand="1"/>
      </w:tblPr>
      <w:tblGrid>
        <w:gridCol w:w="4527"/>
        <w:gridCol w:w="4528"/>
      </w:tblGrid>
      <w:tr w:rsidR="00EE3AD4" w:rsidRPr="00EE3AD4" w:rsidTr="00EE3AD4">
        <w:tc>
          <w:tcPr>
            <w:tcW w:w="4527" w:type="dxa"/>
            <w:tcBorders>
              <w:top w:val="single" w:sz="4" w:space="0" w:color="auto"/>
              <w:left w:val="single" w:sz="4" w:space="0" w:color="auto"/>
              <w:bottom w:val="single" w:sz="4" w:space="0" w:color="auto"/>
              <w:right w:val="single" w:sz="4" w:space="0" w:color="auto"/>
            </w:tcBorders>
          </w:tcPr>
          <w:p w:rsidR="00EE3AD4" w:rsidRPr="00EE3AD4" w:rsidRDefault="00EE3AD4">
            <w:pPr>
              <w:rPr>
                <w:iCs/>
                <w:noProof/>
                <w:sz w:val="24"/>
                <w:szCs w:val="24"/>
              </w:rPr>
            </w:pP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Lenalidomid</w:t>
            </w:r>
            <w:r w:rsidRPr="00EE3AD4">
              <w:rPr>
                <w:iCs/>
                <w:noProof/>
                <w:sz w:val="24"/>
                <w:szCs w:val="24"/>
                <w:vertAlign w:val="superscript"/>
              </w:rPr>
              <w:t>a</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Startdosis</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25 mg</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-1</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20 mg</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lastRenderedPageBreak/>
              <w:t>Dosisniveau -2</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15 mg</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-3</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10 mg</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-4</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5 mg</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-5</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2,5 mg</w:t>
            </w:r>
          </w:p>
        </w:tc>
      </w:tr>
    </w:tbl>
    <w:p w:rsidR="00EE3AD4" w:rsidRPr="00EE3AD4" w:rsidRDefault="00EE3AD4" w:rsidP="00EE3AD4">
      <w:pPr>
        <w:ind w:left="851"/>
        <w:rPr>
          <w:iCs/>
          <w:noProof/>
          <w:sz w:val="24"/>
          <w:szCs w:val="24"/>
        </w:rPr>
      </w:pPr>
      <w:r w:rsidRPr="00EE3AD4">
        <w:rPr>
          <w:iCs/>
          <w:noProof/>
          <w:sz w:val="24"/>
          <w:szCs w:val="24"/>
        </w:rPr>
        <w:t xml:space="preserve">ª Dosisreduktion for alle produkterne kan udføres uafhængigt </w:t>
      </w:r>
    </w:p>
    <w:p w:rsidR="00EE3AD4" w:rsidRPr="00EE3AD4" w:rsidRDefault="00EE3AD4" w:rsidP="00EE3AD4">
      <w:pPr>
        <w:rPr>
          <w:iCs/>
          <w:noProof/>
          <w:sz w:val="24"/>
          <w:szCs w:val="24"/>
        </w:rPr>
      </w:pPr>
      <w:r w:rsidRPr="00EE3AD4">
        <w:rPr>
          <w:iCs/>
          <w:noProof/>
          <w:sz w:val="24"/>
          <w:szCs w:val="24"/>
        </w:rPr>
        <w:t xml:space="preserve"> </w:t>
      </w:r>
    </w:p>
    <w:p w:rsidR="00EE3AD4" w:rsidRPr="00EE3AD4" w:rsidRDefault="00EE3AD4" w:rsidP="00EE3AD4">
      <w:pPr>
        <w:ind w:left="851"/>
        <w:rPr>
          <w:i/>
          <w:iCs/>
          <w:noProof/>
          <w:sz w:val="24"/>
          <w:szCs w:val="24"/>
        </w:rPr>
      </w:pPr>
      <w:r w:rsidRPr="00EE3AD4">
        <w:rPr>
          <w:i/>
          <w:iCs/>
          <w:noProof/>
          <w:sz w:val="24"/>
          <w:szCs w:val="24"/>
        </w:rPr>
        <w:t xml:space="preserve">• Trombocytopeni </w:t>
      </w:r>
    </w:p>
    <w:tbl>
      <w:tblPr>
        <w:tblStyle w:val="Tabel-Gitter"/>
        <w:tblW w:w="9055" w:type="dxa"/>
        <w:tblInd w:w="846" w:type="dxa"/>
        <w:tblLook w:val="04A0" w:firstRow="1" w:lastRow="0" w:firstColumn="1" w:lastColumn="0" w:noHBand="0" w:noVBand="1"/>
      </w:tblPr>
      <w:tblGrid>
        <w:gridCol w:w="4527"/>
        <w:gridCol w:w="4528"/>
      </w:tblGrid>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Når trombocyttallet</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Anbefalet forløb</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Falder til &lt; 30 x 10</w:t>
            </w:r>
            <w:r w:rsidRPr="00EE3AD4">
              <w:rPr>
                <w:iCs/>
                <w:noProof/>
                <w:sz w:val="24"/>
                <w:szCs w:val="24"/>
                <w:vertAlign w:val="superscript"/>
              </w:rPr>
              <w:t>9</w:t>
            </w:r>
            <w:r w:rsidRPr="00EE3AD4">
              <w:rPr>
                <w:iCs/>
                <w:noProof/>
                <w:sz w:val="24"/>
                <w:szCs w:val="24"/>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Afbryd behandlingen med lenalidomid</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50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Genoptag lenalidomid ved dosisniveau -1 én gang dagligt</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For hvert efterfølgende fald til under &lt; 30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Afbryd behandlingen med lenalidomid</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50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Genoptag lenalidomid på det næste lavere dosisniveau én gang dagligt</w:t>
            </w:r>
          </w:p>
        </w:tc>
      </w:tr>
    </w:tbl>
    <w:p w:rsidR="00EE3AD4" w:rsidRPr="00EE3AD4" w:rsidRDefault="00345490" w:rsidP="00876C3D">
      <w:pPr>
        <w:ind w:left="851"/>
        <w:rPr>
          <w:i/>
          <w:iCs/>
          <w:noProof/>
          <w:sz w:val="24"/>
          <w:szCs w:val="24"/>
        </w:rPr>
      </w:pPr>
      <w:r>
        <w:rPr>
          <w:i/>
          <w:iCs/>
          <w:noProof/>
          <w:sz w:val="24"/>
          <w:szCs w:val="24"/>
        </w:rPr>
        <w:br/>
      </w:r>
      <w:r w:rsidR="00EE3AD4" w:rsidRPr="00EE3AD4">
        <w:rPr>
          <w:i/>
          <w:iCs/>
          <w:noProof/>
          <w:sz w:val="24"/>
          <w:szCs w:val="24"/>
        </w:rPr>
        <w:t xml:space="preserve">• Absolutte neutrofiltal (ANC) - neutropeni </w:t>
      </w:r>
    </w:p>
    <w:tbl>
      <w:tblPr>
        <w:tblStyle w:val="Tabel-Gitter"/>
        <w:tblW w:w="9055" w:type="dxa"/>
        <w:tblInd w:w="846" w:type="dxa"/>
        <w:tblLook w:val="04A0" w:firstRow="1" w:lastRow="0" w:firstColumn="1" w:lastColumn="0" w:noHBand="0" w:noVBand="1"/>
      </w:tblPr>
      <w:tblGrid>
        <w:gridCol w:w="4527"/>
        <w:gridCol w:w="4528"/>
      </w:tblGrid>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Når ANC</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Anbefalet forløba</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Først falder til &lt; 0,5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Afbryd behandlingen med lenalidomid</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1 x 10</w:t>
            </w:r>
            <w:r w:rsidRPr="00EE3AD4">
              <w:rPr>
                <w:iCs/>
                <w:noProof/>
                <w:sz w:val="24"/>
                <w:szCs w:val="24"/>
                <w:vertAlign w:val="superscript"/>
                <w:lang w:val="da-DK"/>
              </w:rPr>
              <w:t>9</w:t>
            </w:r>
            <w:r w:rsidRPr="00EE3AD4">
              <w:rPr>
                <w:iCs/>
                <w:noProof/>
                <w:sz w:val="24"/>
                <w:szCs w:val="24"/>
                <w:lang w:val="da-DK"/>
              </w:rPr>
              <w:t>/l, når neutropeni er den eneste observerede toksicitet</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 xml:space="preserve">Genoptag lenalidomid med startdosis én gang dagligt </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0,5 x 10</w:t>
            </w:r>
            <w:r w:rsidRPr="00EE3AD4">
              <w:rPr>
                <w:iCs/>
                <w:noProof/>
                <w:sz w:val="24"/>
                <w:szCs w:val="24"/>
                <w:vertAlign w:val="superscript"/>
                <w:lang w:val="da-DK"/>
              </w:rPr>
              <w:t>9</w:t>
            </w:r>
            <w:r w:rsidRPr="00EE3AD4">
              <w:rPr>
                <w:iCs/>
                <w:noProof/>
                <w:sz w:val="24"/>
                <w:szCs w:val="24"/>
                <w:lang w:val="da-DK"/>
              </w:rPr>
              <w:t>/l, når andre dosisafhængige hæmatologiske toksiciteter end neutropeni observeres</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Genoptag lenalidomid ved dosisniveau -1 én gang dagligt</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For hvert efterfølgende fald til under &lt; 0,5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Afbryd behandlingen med lenalidomid</w:t>
            </w:r>
          </w:p>
        </w:tc>
      </w:tr>
      <w:tr w:rsidR="00EE3AD4" w:rsidRPr="00EE3AD4" w:rsidTr="00EE3AD4">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0,5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Genoptag lenalidomid på det næste lavere dosisniveau én gang dagligt.</w:t>
            </w:r>
          </w:p>
        </w:tc>
      </w:tr>
    </w:tbl>
    <w:p w:rsidR="00EE3AD4" w:rsidRPr="00EE3AD4" w:rsidRDefault="00EE3AD4" w:rsidP="00EE3AD4">
      <w:pPr>
        <w:ind w:left="851"/>
        <w:rPr>
          <w:iCs/>
          <w:noProof/>
          <w:sz w:val="24"/>
          <w:szCs w:val="24"/>
        </w:rPr>
      </w:pPr>
      <w:r w:rsidRPr="00EE3AD4">
        <w:rPr>
          <w:iCs/>
          <w:noProof/>
          <w:sz w:val="24"/>
          <w:szCs w:val="24"/>
          <w:vertAlign w:val="superscript"/>
        </w:rPr>
        <w:t xml:space="preserve">a </w:t>
      </w:r>
      <w:r w:rsidRPr="00EE3AD4">
        <w:rPr>
          <w:iCs/>
          <w:noProof/>
          <w:sz w:val="24"/>
          <w:szCs w:val="24"/>
        </w:rPr>
        <w:t xml:space="preserve">Hvis neutropeni efter lægens skøn er den eneste toksicitet på et dosisniveau, tilføjes granulocyt-kolonistimulerende faktor (G-CSF), og dosisniveauet for lenalidomid opretholdes. </w:t>
      </w:r>
    </w:p>
    <w:p w:rsidR="00EE3AD4" w:rsidRPr="00EE3AD4" w:rsidRDefault="00EE3AD4" w:rsidP="00EE3AD4">
      <w:pPr>
        <w:ind w:left="851"/>
        <w:rPr>
          <w:iCs/>
          <w:noProof/>
          <w:sz w:val="24"/>
          <w:szCs w:val="24"/>
        </w:rPr>
      </w:pPr>
      <w:r w:rsidRPr="00EE3AD4">
        <w:rPr>
          <w:iCs/>
          <w:noProof/>
          <w:sz w:val="24"/>
          <w:szCs w:val="24"/>
        </w:rPr>
        <w:t xml:space="preserve"> </w:t>
      </w:r>
    </w:p>
    <w:p w:rsidR="00EE3AD4" w:rsidRPr="00876C3D" w:rsidRDefault="00EE3AD4" w:rsidP="00EE3AD4">
      <w:pPr>
        <w:ind w:left="851"/>
        <w:rPr>
          <w:b/>
          <w:i/>
          <w:iCs/>
          <w:noProof/>
          <w:sz w:val="24"/>
          <w:szCs w:val="24"/>
        </w:rPr>
      </w:pPr>
      <w:r w:rsidRPr="00876C3D">
        <w:rPr>
          <w:b/>
          <w:i/>
          <w:iCs/>
          <w:noProof/>
          <w:sz w:val="24"/>
          <w:szCs w:val="24"/>
        </w:rPr>
        <w:t xml:space="preserve">Lenalidomid i kombination med melphalan og prednison, efterfulgt af lenalidomidvedligeholdelsesbehandling hos patienter, der ikke er egnede til transplantation </w:t>
      </w:r>
    </w:p>
    <w:p w:rsidR="00EE3AD4" w:rsidRPr="00EE3AD4" w:rsidRDefault="00EE3AD4" w:rsidP="00EE3AD4">
      <w:pPr>
        <w:ind w:left="851"/>
        <w:rPr>
          <w:i/>
          <w:iCs/>
          <w:noProof/>
          <w:sz w:val="24"/>
          <w:szCs w:val="24"/>
        </w:rPr>
      </w:pPr>
    </w:p>
    <w:p w:rsidR="00EE3AD4" w:rsidRPr="00EE3AD4" w:rsidRDefault="00EE3AD4" w:rsidP="00EE3AD4">
      <w:pPr>
        <w:ind w:left="851"/>
        <w:rPr>
          <w:iCs/>
          <w:noProof/>
          <w:sz w:val="24"/>
          <w:szCs w:val="24"/>
        </w:rPr>
      </w:pPr>
      <w:r w:rsidRPr="00EE3AD4">
        <w:rPr>
          <w:iCs/>
          <w:noProof/>
          <w:sz w:val="24"/>
          <w:szCs w:val="24"/>
        </w:rPr>
        <w:t>Lenalidomid-behandlingen må ikke startes, hvis ANC er &lt; 1,5 x 10</w:t>
      </w:r>
      <w:r w:rsidRPr="00EE3AD4">
        <w:rPr>
          <w:iCs/>
          <w:noProof/>
          <w:sz w:val="24"/>
          <w:szCs w:val="24"/>
          <w:vertAlign w:val="superscript"/>
        </w:rPr>
        <w:t>9</w:t>
      </w:r>
      <w:r w:rsidRPr="00EE3AD4">
        <w:rPr>
          <w:iCs/>
          <w:noProof/>
          <w:sz w:val="24"/>
          <w:szCs w:val="24"/>
        </w:rPr>
        <w:t>/l, og/eller trombocyttallet er &lt; 75 x 10</w:t>
      </w:r>
      <w:r w:rsidRPr="00EE3AD4">
        <w:rPr>
          <w:iCs/>
          <w:noProof/>
          <w:sz w:val="24"/>
          <w:szCs w:val="24"/>
          <w:vertAlign w:val="superscript"/>
        </w:rPr>
        <w:t>9</w:t>
      </w:r>
      <w:r w:rsidRPr="00EE3AD4">
        <w:rPr>
          <w:iCs/>
          <w:noProof/>
          <w:sz w:val="24"/>
          <w:szCs w:val="24"/>
        </w:rPr>
        <w:t xml:space="preserve">/l. </w:t>
      </w:r>
    </w:p>
    <w:p w:rsidR="00EE3AD4" w:rsidRPr="00EE3AD4" w:rsidRDefault="00EE3AD4" w:rsidP="00EE3AD4">
      <w:pPr>
        <w:ind w:left="851"/>
        <w:rPr>
          <w:iCs/>
          <w:noProof/>
          <w:sz w:val="24"/>
          <w:szCs w:val="24"/>
        </w:rPr>
      </w:pPr>
      <w:r w:rsidRPr="00EE3AD4">
        <w:rPr>
          <w:iCs/>
          <w:noProof/>
          <w:sz w:val="24"/>
          <w:szCs w:val="24"/>
        </w:rPr>
        <w:t xml:space="preserve"> </w:t>
      </w:r>
    </w:p>
    <w:p w:rsidR="00EE3AD4" w:rsidRPr="00EE3AD4" w:rsidRDefault="00EE3AD4" w:rsidP="00EE3AD4">
      <w:pPr>
        <w:ind w:left="851"/>
        <w:rPr>
          <w:i/>
          <w:iCs/>
          <w:noProof/>
          <w:sz w:val="24"/>
          <w:szCs w:val="24"/>
        </w:rPr>
      </w:pPr>
      <w:r w:rsidRPr="00EE3AD4">
        <w:rPr>
          <w:i/>
          <w:iCs/>
          <w:noProof/>
          <w:sz w:val="24"/>
          <w:szCs w:val="24"/>
        </w:rPr>
        <w:t xml:space="preserve">Anbefalet dosis </w:t>
      </w:r>
    </w:p>
    <w:p w:rsidR="00EE3AD4" w:rsidRPr="00EE3AD4" w:rsidRDefault="00EE3AD4" w:rsidP="00EE3AD4">
      <w:pPr>
        <w:ind w:left="851"/>
        <w:rPr>
          <w:iCs/>
          <w:noProof/>
          <w:sz w:val="24"/>
          <w:szCs w:val="24"/>
        </w:rPr>
      </w:pPr>
      <w:r w:rsidRPr="00EE3AD4">
        <w:rPr>
          <w:iCs/>
          <w:noProof/>
          <w:sz w:val="24"/>
          <w:szCs w:val="24"/>
        </w:rPr>
        <w:t xml:space="preserve">Den anbefalede startdosis er lenalidomid 10 mg oralt én gang dagligt på dag 1-21 af gentagne 28-dages cyklusser i op til 9 cyklusser, melphalan 0,18 mg/kg oralt på dag 1 til 4 af gentagne 28-dages cyklusser, prednison 2 mg/kg oralt på dag 1 til 4 af gentagne 28-dages cyklusser. Patienter, der gennemfører 9 cyklusser, eller som ikke er i stand til at gennemføre kombinationsbehandlingen på grund af intolerans, bliver behandlet med lenalidomid-monoterapi som følger: 10 mg oralt én gang dagligt på dag 1 til 21 af gentagne 28-dages cyklusser, der gives indtil sygdomsprogression.  </w:t>
      </w:r>
    </w:p>
    <w:p w:rsidR="00EE3AD4" w:rsidRPr="00EE3AD4" w:rsidRDefault="00EE3AD4" w:rsidP="00EE3AD4">
      <w:pPr>
        <w:ind w:left="851"/>
        <w:rPr>
          <w:iCs/>
          <w:noProof/>
          <w:sz w:val="24"/>
          <w:szCs w:val="24"/>
        </w:rPr>
      </w:pPr>
      <w:r w:rsidRPr="00EE3AD4">
        <w:rPr>
          <w:iCs/>
          <w:noProof/>
          <w:sz w:val="24"/>
          <w:szCs w:val="24"/>
        </w:rPr>
        <w:t xml:space="preserve"> </w:t>
      </w:r>
    </w:p>
    <w:p w:rsidR="00EE3AD4" w:rsidRPr="00EE3AD4" w:rsidRDefault="00EE3AD4" w:rsidP="00EE3AD4">
      <w:pPr>
        <w:ind w:left="851"/>
        <w:rPr>
          <w:i/>
          <w:iCs/>
          <w:noProof/>
          <w:sz w:val="24"/>
          <w:szCs w:val="24"/>
        </w:rPr>
      </w:pPr>
      <w:r w:rsidRPr="00EE3AD4">
        <w:rPr>
          <w:i/>
          <w:iCs/>
          <w:noProof/>
          <w:sz w:val="24"/>
          <w:szCs w:val="24"/>
        </w:rPr>
        <w:t xml:space="preserve">• Dosisreduktionstrin  </w:t>
      </w:r>
    </w:p>
    <w:tbl>
      <w:tblPr>
        <w:tblStyle w:val="Tabel-Gitter"/>
        <w:tblW w:w="9055" w:type="dxa"/>
        <w:tblInd w:w="846" w:type="dxa"/>
        <w:tblLook w:val="04A0" w:firstRow="1" w:lastRow="0" w:firstColumn="1" w:lastColumn="0" w:noHBand="0" w:noVBand="1"/>
      </w:tblPr>
      <w:tblGrid>
        <w:gridCol w:w="2263"/>
        <w:gridCol w:w="2264"/>
        <w:gridCol w:w="2264"/>
        <w:gridCol w:w="2264"/>
      </w:tblGrid>
      <w:tr w:rsidR="00EE3AD4" w:rsidRPr="00EE3AD4" w:rsidTr="00EE3AD4">
        <w:tc>
          <w:tcPr>
            <w:tcW w:w="2263" w:type="dxa"/>
            <w:tcBorders>
              <w:top w:val="single" w:sz="4" w:space="0" w:color="auto"/>
              <w:left w:val="single" w:sz="4" w:space="0" w:color="auto"/>
              <w:bottom w:val="single" w:sz="4" w:space="0" w:color="auto"/>
              <w:right w:val="single" w:sz="4" w:space="0" w:color="auto"/>
            </w:tcBorders>
          </w:tcPr>
          <w:p w:rsidR="00EE3AD4" w:rsidRPr="00EE3AD4" w:rsidRDefault="00EE3AD4">
            <w:pPr>
              <w:rPr>
                <w:iCs/>
                <w:noProof/>
                <w:sz w:val="24"/>
                <w:szCs w:val="24"/>
              </w:rPr>
            </w:pP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Lenalidomid</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Melphalan</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Prednison</w:t>
            </w:r>
          </w:p>
        </w:tc>
      </w:tr>
      <w:tr w:rsidR="00EE3AD4" w:rsidRPr="00EE3AD4" w:rsidTr="00EE3AD4">
        <w:tc>
          <w:tcPr>
            <w:tcW w:w="2263"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Startdosis</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10 mgª</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0,18 mg/kg</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2 mg/kg</w:t>
            </w:r>
          </w:p>
        </w:tc>
      </w:tr>
      <w:tr w:rsidR="00EE3AD4" w:rsidRPr="00EE3AD4" w:rsidTr="00EE3AD4">
        <w:tc>
          <w:tcPr>
            <w:tcW w:w="2263"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lastRenderedPageBreak/>
              <w:t>Dosisniveau -1</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7,5 mg</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0,14 mg/kg</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1 mg/kg</w:t>
            </w:r>
          </w:p>
        </w:tc>
      </w:tr>
      <w:tr w:rsidR="00EE3AD4" w:rsidRPr="00EE3AD4" w:rsidTr="00EE3AD4">
        <w:tc>
          <w:tcPr>
            <w:tcW w:w="2263"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-2</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5 mg</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0,10 mg/kg</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0,5 mg/kg</w:t>
            </w:r>
          </w:p>
        </w:tc>
      </w:tr>
      <w:tr w:rsidR="00EE3AD4" w:rsidRPr="00EE3AD4" w:rsidTr="00EE3AD4">
        <w:tc>
          <w:tcPr>
            <w:tcW w:w="2263"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Dosisniveau -3</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2,5 mg</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Ikke relevant</w:t>
            </w:r>
          </w:p>
        </w:tc>
        <w:tc>
          <w:tcPr>
            <w:tcW w:w="226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0,25 mg/kg</w:t>
            </w:r>
          </w:p>
        </w:tc>
      </w:tr>
    </w:tbl>
    <w:p w:rsidR="00EE3AD4" w:rsidRPr="00EE3AD4" w:rsidRDefault="00EE3AD4" w:rsidP="00EE3AD4">
      <w:pPr>
        <w:ind w:left="851"/>
        <w:rPr>
          <w:iCs/>
          <w:noProof/>
          <w:sz w:val="24"/>
          <w:szCs w:val="24"/>
        </w:rPr>
      </w:pPr>
      <w:r w:rsidRPr="00EE3AD4">
        <w:rPr>
          <w:iCs/>
          <w:noProof/>
          <w:sz w:val="24"/>
          <w:szCs w:val="24"/>
        </w:rPr>
        <w:t xml:space="preserve">ª Hvis neutropeni er den eneste toksicitet for et af dosisniveauerne, tilføjes granulocyt-kolonistimulerende faktor (G-CSF), og dosisniveauet for lenalidomid opretholdes </w:t>
      </w:r>
    </w:p>
    <w:p w:rsidR="00EE3AD4" w:rsidRPr="00EE3AD4" w:rsidRDefault="00EE3AD4" w:rsidP="00EE3AD4">
      <w:pPr>
        <w:ind w:left="851"/>
        <w:rPr>
          <w:iCs/>
          <w:noProof/>
          <w:sz w:val="24"/>
          <w:szCs w:val="24"/>
        </w:rPr>
      </w:pPr>
      <w:r w:rsidRPr="00EE3AD4">
        <w:rPr>
          <w:iCs/>
          <w:noProof/>
          <w:sz w:val="24"/>
          <w:szCs w:val="24"/>
        </w:rPr>
        <w:t xml:space="preserve"> </w:t>
      </w:r>
    </w:p>
    <w:p w:rsidR="00EE3AD4" w:rsidRPr="00EE3AD4" w:rsidRDefault="00EE3AD4" w:rsidP="00EE3AD4">
      <w:pPr>
        <w:ind w:left="851"/>
        <w:rPr>
          <w:i/>
          <w:iCs/>
          <w:noProof/>
          <w:sz w:val="24"/>
          <w:szCs w:val="24"/>
        </w:rPr>
      </w:pPr>
      <w:r w:rsidRPr="00EE3AD4">
        <w:rPr>
          <w:i/>
          <w:iCs/>
          <w:noProof/>
          <w:sz w:val="24"/>
          <w:szCs w:val="24"/>
        </w:rPr>
        <w:t xml:space="preserve">• Trombocytopeni </w:t>
      </w:r>
    </w:p>
    <w:tbl>
      <w:tblPr>
        <w:tblStyle w:val="Tabel-Gitter"/>
        <w:tblW w:w="9055" w:type="dxa"/>
        <w:tblInd w:w="846" w:type="dxa"/>
        <w:tblLook w:val="04A0" w:firstRow="1" w:lastRow="0" w:firstColumn="1" w:lastColumn="0" w:noHBand="0" w:noVBand="1"/>
      </w:tblPr>
      <w:tblGrid>
        <w:gridCol w:w="4675"/>
        <w:gridCol w:w="4380"/>
      </w:tblGrid>
      <w:tr w:rsidR="00EE3AD4" w:rsidRPr="00EE3AD4" w:rsidTr="00704AE1">
        <w:tc>
          <w:tcPr>
            <w:tcW w:w="4675"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Når trombocytter</w:t>
            </w:r>
          </w:p>
        </w:tc>
        <w:tc>
          <w:tcPr>
            <w:tcW w:w="4380"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Anbefalet forløb</w:t>
            </w:r>
          </w:p>
        </w:tc>
      </w:tr>
      <w:tr w:rsidR="00EE3AD4" w:rsidRPr="00EE3AD4" w:rsidTr="00704AE1">
        <w:tc>
          <w:tcPr>
            <w:tcW w:w="4675"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Først falder til &lt; 25 x 10</w:t>
            </w:r>
            <w:r w:rsidRPr="00EE3AD4">
              <w:rPr>
                <w:iCs/>
                <w:noProof/>
                <w:sz w:val="24"/>
                <w:szCs w:val="24"/>
                <w:vertAlign w:val="superscript"/>
                <w:lang w:val="da-DK"/>
              </w:rPr>
              <w:t>9</w:t>
            </w:r>
            <w:r w:rsidRPr="00EE3AD4">
              <w:rPr>
                <w:iCs/>
                <w:noProof/>
                <w:sz w:val="24"/>
                <w:szCs w:val="24"/>
                <w:lang w:val="da-DK"/>
              </w:rPr>
              <w:t>/l</w:t>
            </w:r>
          </w:p>
          <w:p w:rsidR="00EE3AD4" w:rsidRPr="00EE3AD4" w:rsidRDefault="00EE3AD4">
            <w:pPr>
              <w:rPr>
                <w:iCs/>
                <w:noProof/>
                <w:sz w:val="24"/>
                <w:szCs w:val="24"/>
                <w:lang w:val="da-DK"/>
              </w:rPr>
            </w:pPr>
            <w:r w:rsidRPr="00EE3AD4">
              <w:rPr>
                <w:iCs/>
                <w:noProof/>
                <w:sz w:val="24"/>
                <w:szCs w:val="24"/>
                <w:lang w:val="da-DK"/>
              </w:rPr>
              <w:t>Vender tilbage til ≥ 25 x 10</w:t>
            </w:r>
            <w:r w:rsidRPr="00EE3AD4">
              <w:rPr>
                <w:iCs/>
                <w:noProof/>
                <w:sz w:val="24"/>
                <w:szCs w:val="24"/>
                <w:vertAlign w:val="superscript"/>
                <w:lang w:val="da-DK"/>
              </w:rPr>
              <w:t>9</w:t>
            </w:r>
            <w:r w:rsidRPr="00EE3AD4">
              <w:rPr>
                <w:iCs/>
                <w:noProof/>
                <w:sz w:val="24"/>
                <w:szCs w:val="24"/>
                <w:lang w:val="da-DK"/>
              </w:rPr>
              <w:t>/l</w:t>
            </w:r>
          </w:p>
        </w:tc>
        <w:tc>
          <w:tcPr>
            <w:tcW w:w="4380"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Afbryd behandlingen med lenalidomid</w:t>
            </w:r>
          </w:p>
          <w:p w:rsidR="00EE3AD4" w:rsidRPr="00EE3AD4" w:rsidRDefault="00EE3AD4">
            <w:pPr>
              <w:rPr>
                <w:iCs/>
                <w:noProof/>
                <w:sz w:val="24"/>
                <w:szCs w:val="24"/>
                <w:lang w:val="da-DK"/>
              </w:rPr>
            </w:pPr>
            <w:r w:rsidRPr="00EE3AD4">
              <w:rPr>
                <w:iCs/>
                <w:noProof/>
                <w:sz w:val="24"/>
                <w:szCs w:val="24"/>
                <w:lang w:val="da-DK"/>
              </w:rPr>
              <w:t>Genoptag lenalidomid og melphalan ved dosisniveau -1</w:t>
            </w:r>
          </w:p>
        </w:tc>
      </w:tr>
      <w:tr w:rsidR="00EE3AD4" w:rsidRPr="00EE3AD4" w:rsidTr="00704AE1">
        <w:tc>
          <w:tcPr>
            <w:tcW w:w="4675"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For hvert efterfølgende fald til under &lt; 30 x 10</w:t>
            </w:r>
            <w:r w:rsidRPr="00EE3AD4">
              <w:rPr>
                <w:iCs/>
                <w:noProof/>
                <w:sz w:val="24"/>
                <w:szCs w:val="24"/>
                <w:vertAlign w:val="superscript"/>
                <w:lang w:val="da-DK"/>
              </w:rPr>
              <w:t>9</w:t>
            </w:r>
            <w:r w:rsidRPr="00EE3AD4">
              <w:rPr>
                <w:iCs/>
                <w:noProof/>
                <w:sz w:val="24"/>
                <w:szCs w:val="24"/>
                <w:lang w:val="da-DK"/>
              </w:rPr>
              <w:t>/l</w:t>
            </w:r>
          </w:p>
          <w:p w:rsidR="00EE3AD4" w:rsidRPr="00EE3AD4" w:rsidRDefault="00EE3AD4">
            <w:pPr>
              <w:rPr>
                <w:iCs/>
                <w:noProof/>
                <w:sz w:val="24"/>
                <w:szCs w:val="24"/>
                <w:lang w:val="da-DK"/>
              </w:rPr>
            </w:pPr>
            <w:r w:rsidRPr="00EE3AD4">
              <w:rPr>
                <w:iCs/>
                <w:noProof/>
                <w:sz w:val="24"/>
                <w:szCs w:val="24"/>
                <w:lang w:val="da-DK"/>
              </w:rPr>
              <w:t>Vender tilbage til ≥ 30 x 10</w:t>
            </w:r>
            <w:r w:rsidRPr="00EE3AD4">
              <w:rPr>
                <w:iCs/>
                <w:noProof/>
                <w:sz w:val="24"/>
                <w:szCs w:val="24"/>
                <w:vertAlign w:val="superscript"/>
                <w:lang w:val="da-DK"/>
              </w:rPr>
              <w:t>9</w:t>
            </w:r>
            <w:r w:rsidRPr="00EE3AD4">
              <w:rPr>
                <w:iCs/>
                <w:noProof/>
                <w:sz w:val="24"/>
                <w:szCs w:val="24"/>
                <w:lang w:val="da-DK"/>
              </w:rPr>
              <w:t>/l</w:t>
            </w:r>
          </w:p>
        </w:tc>
        <w:tc>
          <w:tcPr>
            <w:tcW w:w="4380"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Afbryd behandlingen med lenalidomid</w:t>
            </w:r>
          </w:p>
          <w:p w:rsidR="00EE3AD4" w:rsidRPr="00EE3AD4" w:rsidRDefault="00EE3AD4">
            <w:pPr>
              <w:rPr>
                <w:iCs/>
                <w:noProof/>
                <w:sz w:val="24"/>
                <w:szCs w:val="24"/>
                <w:lang w:val="da-DK"/>
              </w:rPr>
            </w:pPr>
            <w:r w:rsidRPr="00EE3AD4">
              <w:rPr>
                <w:iCs/>
                <w:noProof/>
                <w:sz w:val="24"/>
                <w:szCs w:val="24"/>
                <w:lang w:val="da-DK"/>
              </w:rPr>
              <w:t>Genoptag lenalidomid ved det næste lavere dosisniveau (dosisniveau -2 eller 3) én gang dagligt.</w:t>
            </w:r>
          </w:p>
        </w:tc>
      </w:tr>
    </w:tbl>
    <w:p w:rsidR="00EE3AD4" w:rsidRPr="00EE3AD4" w:rsidRDefault="00EE3AD4" w:rsidP="00EE3AD4">
      <w:pPr>
        <w:rPr>
          <w:i/>
          <w:iCs/>
          <w:noProof/>
          <w:sz w:val="24"/>
          <w:szCs w:val="24"/>
        </w:rPr>
      </w:pPr>
      <w:r w:rsidRPr="00EE3AD4">
        <w:rPr>
          <w:i/>
          <w:iCs/>
          <w:noProof/>
          <w:sz w:val="24"/>
          <w:szCs w:val="24"/>
        </w:rPr>
        <w:t xml:space="preserve"> </w:t>
      </w:r>
    </w:p>
    <w:p w:rsidR="00EE3AD4" w:rsidRPr="00EE3AD4" w:rsidRDefault="00EE3AD4" w:rsidP="00704AE1">
      <w:pPr>
        <w:ind w:left="851"/>
        <w:rPr>
          <w:i/>
          <w:iCs/>
          <w:noProof/>
          <w:sz w:val="24"/>
          <w:szCs w:val="24"/>
        </w:rPr>
      </w:pPr>
      <w:r w:rsidRPr="00EE3AD4">
        <w:rPr>
          <w:i/>
          <w:iCs/>
          <w:noProof/>
          <w:sz w:val="24"/>
          <w:szCs w:val="24"/>
        </w:rPr>
        <w:t xml:space="preserve">• Absolutte neutrofiltal (ANC) - neutropeni </w:t>
      </w:r>
    </w:p>
    <w:tbl>
      <w:tblPr>
        <w:tblStyle w:val="Tabel-Gitter"/>
        <w:tblW w:w="9055" w:type="dxa"/>
        <w:tblInd w:w="846" w:type="dxa"/>
        <w:tblLook w:val="04A0" w:firstRow="1" w:lastRow="0" w:firstColumn="1" w:lastColumn="0" w:noHBand="0" w:noVBand="1"/>
      </w:tblPr>
      <w:tblGrid>
        <w:gridCol w:w="4527"/>
        <w:gridCol w:w="4528"/>
      </w:tblGrid>
      <w:tr w:rsidR="00EE3AD4" w:rsidRPr="00EE3AD4" w:rsidTr="00085B4B">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Når ANC</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Anbefalet forløbª</w:t>
            </w:r>
          </w:p>
        </w:tc>
      </w:tr>
      <w:tr w:rsidR="00EE3AD4" w:rsidRPr="00EE3AD4" w:rsidTr="00085B4B">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Først falder til &lt; 0,5 x 10</w:t>
            </w:r>
            <w:r w:rsidRPr="00EE3AD4">
              <w:rPr>
                <w:iCs/>
                <w:noProof/>
                <w:sz w:val="24"/>
                <w:szCs w:val="24"/>
                <w:vertAlign w:val="superscript"/>
                <w:lang w:val="da-DK"/>
              </w:rPr>
              <w:t>9</w:t>
            </w:r>
            <w:r w:rsidRPr="00EE3AD4">
              <w:rPr>
                <w:iCs/>
                <w:noProof/>
                <w:sz w:val="24"/>
                <w:szCs w:val="24"/>
                <w:lang w:val="da-DK"/>
              </w:rPr>
              <w:t>/lª</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Afbryd behandlingen med lenalidomid</w:t>
            </w:r>
          </w:p>
        </w:tc>
      </w:tr>
      <w:tr w:rsidR="00EE3AD4" w:rsidRPr="00EE3AD4" w:rsidTr="00085B4B">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0,5 x 10</w:t>
            </w:r>
            <w:r w:rsidRPr="00EE3AD4">
              <w:rPr>
                <w:iCs/>
                <w:noProof/>
                <w:sz w:val="24"/>
                <w:szCs w:val="24"/>
                <w:vertAlign w:val="superscript"/>
                <w:lang w:val="da-DK"/>
              </w:rPr>
              <w:t>9</w:t>
            </w:r>
            <w:r w:rsidRPr="00EE3AD4">
              <w:rPr>
                <w:iCs/>
                <w:noProof/>
                <w:sz w:val="24"/>
                <w:szCs w:val="24"/>
                <w:lang w:val="da-DK"/>
              </w:rPr>
              <w:t>/l, når neutropeni er den eneste observerede toksicitet</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Genoptag lenalidomid ved startdosis på gang dagligt</w:t>
            </w:r>
          </w:p>
        </w:tc>
      </w:tr>
      <w:tr w:rsidR="00EE3AD4" w:rsidRPr="00EE3AD4" w:rsidTr="00085B4B">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Vender tilbage til ≥ 0,5 x 10</w:t>
            </w:r>
            <w:r w:rsidRPr="00EE3AD4">
              <w:rPr>
                <w:iCs/>
                <w:noProof/>
                <w:sz w:val="24"/>
                <w:szCs w:val="24"/>
                <w:vertAlign w:val="superscript"/>
                <w:lang w:val="da-DK"/>
              </w:rPr>
              <w:t>9</w:t>
            </w:r>
            <w:r w:rsidRPr="00EE3AD4">
              <w:rPr>
                <w:iCs/>
                <w:noProof/>
                <w:sz w:val="24"/>
                <w:szCs w:val="24"/>
                <w:lang w:val="da-DK"/>
              </w:rPr>
              <w:t>/l, når andre dosisafhængige hæmatologiske toksiciteter end neutropeni observeres</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Genoptag lenalidomid ved dosisniveau -1 én gang dagligt</w:t>
            </w:r>
          </w:p>
        </w:tc>
      </w:tr>
      <w:tr w:rsidR="00EE3AD4" w:rsidRPr="00EE3AD4" w:rsidTr="00085B4B">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lang w:val="da-DK"/>
              </w:rPr>
            </w:pPr>
            <w:r w:rsidRPr="00EE3AD4">
              <w:rPr>
                <w:iCs/>
                <w:noProof/>
                <w:sz w:val="24"/>
                <w:szCs w:val="24"/>
                <w:lang w:val="da-DK"/>
              </w:rPr>
              <w:t>For hvert efterfølgende fald til under &lt; 0,5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iCs/>
                <w:noProof/>
                <w:sz w:val="24"/>
                <w:szCs w:val="24"/>
              </w:rPr>
            </w:pPr>
            <w:r w:rsidRPr="00EE3AD4">
              <w:rPr>
                <w:iCs/>
                <w:noProof/>
                <w:sz w:val="24"/>
                <w:szCs w:val="24"/>
              </w:rPr>
              <w:t>Afbryd behandlingen med lenalidomid</w:t>
            </w:r>
          </w:p>
        </w:tc>
      </w:tr>
      <w:tr w:rsidR="00EE3AD4" w:rsidRPr="00EE3AD4" w:rsidTr="00085B4B">
        <w:tc>
          <w:tcPr>
            <w:tcW w:w="4527" w:type="dxa"/>
            <w:tcBorders>
              <w:top w:val="single" w:sz="4" w:space="0" w:color="auto"/>
              <w:left w:val="single" w:sz="4" w:space="0" w:color="auto"/>
              <w:bottom w:val="single" w:sz="4" w:space="0" w:color="auto"/>
              <w:right w:val="single" w:sz="4" w:space="0" w:color="auto"/>
            </w:tcBorders>
            <w:hideMark/>
          </w:tcPr>
          <w:p w:rsidR="00EE3AD4" w:rsidRPr="00EE3AD4" w:rsidRDefault="00EE3AD4" w:rsidP="00CC3E4D">
            <w:pPr>
              <w:rPr>
                <w:iCs/>
                <w:noProof/>
                <w:sz w:val="24"/>
                <w:szCs w:val="24"/>
                <w:lang w:val="da-DK"/>
              </w:rPr>
            </w:pPr>
            <w:r w:rsidRPr="00EE3AD4">
              <w:rPr>
                <w:iCs/>
                <w:noProof/>
                <w:sz w:val="24"/>
                <w:szCs w:val="24"/>
                <w:lang w:val="da-DK"/>
              </w:rPr>
              <w:t>Vender tilbage til ≥ 0,5 x 10</w:t>
            </w:r>
            <w:r w:rsidRPr="00EE3AD4">
              <w:rPr>
                <w:iCs/>
                <w:noProof/>
                <w:sz w:val="24"/>
                <w:szCs w:val="24"/>
                <w:vertAlign w:val="superscript"/>
                <w:lang w:val="da-DK"/>
              </w:rPr>
              <w:t>9</w:t>
            </w:r>
            <w:r w:rsidRPr="00EE3AD4">
              <w:rPr>
                <w:iCs/>
                <w:noProof/>
                <w:sz w:val="24"/>
                <w:szCs w:val="24"/>
                <w:lang w:val="da-DK"/>
              </w:rPr>
              <w:t>/l</w:t>
            </w:r>
          </w:p>
        </w:tc>
        <w:tc>
          <w:tcPr>
            <w:tcW w:w="4528" w:type="dxa"/>
            <w:tcBorders>
              <w:top w:val="single" w:sz="4" w:space="0" w:color="auto"/>
              <w:left w:val="single" w:sz="4" w:space="0" w:color="auto"/>
              <w:bottom w:val="single" w:sz="4" w:space="0" w:color="auto"/>
              <w:right w:val="single" w:sz="4" w:space="0" w:color="auto"/>
            </w:tcBorders>
            <w:hideMark/>
          </w:tcPr>
          <w:p w:rsidR="00EE3AD4" w:rsidRPr="00EE3AD4" w:rsidRDefault="00EE3AD4" w:rsidP="00CC3E4D">
            <w:pPr>
              <w:rPr>
                <w:iCs/>
                <w:noProof/>
                <w:sz w:val="24"/>
                <w:szCs w:val="24"/>
                <w:lang w:val="da-DK"/>
              </w:rPr>
            </w:pPr>
            <w:r w:rsidRPr="00EE3AD4">
              <w:rPr>
                <w:iCs/>
                <w:noProof/>
                <w:sz w:val="24"/>
                <w:szCs w:val="24"/>
                <w:lang w:val="da-DK"/>
              </w:rPr>
              <w:t xml:space="preserve">Genoptag lenalidomid ved det næste lavere dosisniveau én gang dagligt.  </w:t>
            </w:r>
          </w:p>
        </w:tc>
      </w:tr>
    </w:tbl>
    <w:p w:rsidR="00EE3AD4" w:rsidRPr="00EE3AD4" w:rsidRDefault="00EE3AD4" w:rsidP="00704AE1">
      <w:pPr>
        <w:ind w:left="851"/>
        <w:rPr>
          <w:iCs/>
          <w:noProof/>
          <w:sz w:val="24"/>
          <w:szCs w:val="24"/>
        </w:rPr>
      </w:pPr>
      <w:r w:rsidRPr="00EE3AD4">
        <w:rPr>
          <w:iCs/>
          <w:noProof/>
          <w:sz w:val="24"/>
          <w:szCs w:val="24"/>
          <w:vertAlign w:val="superscript"/>
        </w:rPr>
        <w:t>a</w:t>
      </w:r>
      <w:r w:rsidRPr="00EE3AD4">
        <w:rPr>
          <w:iCs/>
          <w:noProof/>
          <w:sz w:val="24"/>
          <w:szCs w:val="24"/>
        </w:rPr>
        <w:t xml:space="preserve"> Hvis neutropeni efter lægens skøn er den eneste toksicitet på et dosisniveau, tilføjes granulocyt-kolonistimulerende faktor (G-CSF), og dosisniveauet for lenalidomid opretholdes.</w:t>
      </w:r>
    </w:p>
    <w:p w:rsidR="00EE3AD4" w:rsidRPr="00EE3AD4" w:rsidRDefault="00EE3AD4" w:rsidP="00704AE1">
      <w:pPr>
        <w:ind w:left="851"/>
        <w:rPr>
          <w:iCs/>
          <w:noProof/>
          <w:sz w:val="24"/>
          <w:szCs w:val="24"/>
        </w:rPr>
      </w:pPr>
    </w:p>
    <w:p w:rsidR="00EE3AD4" w:rsidRPr="00876C3D" w:rsidRDefault="00EE3AD4" w:rsidP="00704AE1">
      <w:pPr>
        <w:ind w:left="851"/>
        <w:rPr>
          <w:b/>
          <w:i/>
          <w:iCs/>
          <w:noProof/>
          <w:sz w:val="24"/>
          <w:szCs w:val="24"/>
        </w:rPr>
      </w:pPr>
      <w:r w:rsidRPr="00876C3D">
        <w:rPr>
          <w:b/>
          <w:i/>
          <w:iCs/>
          <w:noProof/>
          <w:sz w:val="24"/>
          <w:szCs w:val="24"/>
        </w:rPr>
        <w:t>Vedligeholdelsesbehandling med lenalidomid hos patienter, der har gennemgået autolog stamcelletransplantation (ASCT)</w:t>
      </w:r>
    </w:p>
    <w:p w:rsidR="00EE3AD4" w:rsidRPr="00EE3AD4" w:rsidRDefault="00EE3AD4" w:rsidP="00704AE1">
      <w:pPr>
        <w:ind w:left="851"/>
        <w:rPr>
          <w:i/>
          <w:iCs/>
          <w:noProof/>
          <w:sz w:val="24"/>
          <w:szCs w:val="24"/>
        </w:rPr>
      </w:pPr>
    </w:p>
    <w:p w:rsidR="00EE3AD4" w:rsidRPr="00EE3AD4" w:rsidRDefault="00EE3AD4" w:rsidP="00704AE1">
      <w:pPr>
        <w:ind w:left="851"/>
        <w:rPr>
          <w:noProof/>
          <w:sz w:val="24"/>
          <w:szCs w:val="24"/>
        </w:rPr>
      </w:pPr>
      <w:r w:rsidRPr="00EE3AD4">
        <w:rPr>
          <w:noProof/>
          <w:sz w:val="24"/>
          <w:szCs w:val="24"/>
        </w:rPr>
        <w:t>Vedligeholdelsesbehandling med lenalidomid bør initieres efter tilstrækkelig hæmatologisk restitution efter ASCT hos patienter uden tegn på progression. Lenalidomid-behandlingen må ikke initieres, hvis det absolutte neutrofiltal (ANC) er &lt; 1,0 x 10</w:t>
      </w:r>
      <w:r w:rsidRPr="00EE3AD4">
        <w:rPr>
          <w:noProof/>
          <w:sz w:val="24"/>
          <w:szCs w:val="24"/>
          <w:vertAlign w:val="superscript"/>
        </w:rPr>
        <w:t>9</w:t>
      </w:r>
      <w:r w:rsidRPr="00EE3AD4">
        <w:rPr>
          <w:noProof/>
          <w:sz w:val="24"/>
          <w:szCs w:val="24"/>
        </w:rPr>
        <w:t>/l og/eller trombocyttallet er &lt; 75 x 10</w:t>
      </w:r>
      <w:r w:rsidRPr="00EE3AD4">
        <w:rPr>
          <w:noProof/>
          <w:sz w:val="24"/>
          <w:szCs w:val="24"/>
          <w:vertAlign w:val="superscript"/>
        </w:rPr>
        <w:t>9</w:t>
      </w:r>
      <w:r w:rsidRPr="00EE3AD4">
        <w:rPr>
          <w:noProof/>
          <w:sz w:val="24"/>
          <w:szCs w:val="24"/>
        </w:rPr>
        <w:t>/l.</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u w:val="single"/>
        </w:rPr>
      </w:pPr>
      <w:r w:rsidRPr="00EE3AD4">
        <w:rPr>
          <w:noProof/>
          <w:sz w:val="24"/>
          <w:szCs w:val="24"/>
          <w:u w:val="single"/>
        </w:rPr>
        <w:t>Anbefalet dosis</w:t>
      </w:r>
    </w:p>
    <w:p w:rsidR="00EE3AD4" w:rsidRPr="00EE3AD4" w:rsidRDefault="00EE3AD4" w:rsidP="00704AE1">
      <w:pPr>
        <w:ind w:left="851"/>
        <w:rPr>
          <w:noProof/>
          <w:sz w:val="24"/>
          <w:szCs w:val="24"/>
        </w:rPr>
      </w:pPr>
      <w:r w:rsidRPr="00EE3AD4">
        <w:rPr>
          <w:noProof/>
          <w:sz w:val="24"/>
          <w:szCs w:val="24"/>
        </w:rPr>
        <w:t>Den anbefalede startdosis af lenalidomid er 10 mg oralt én gang dagligt kontinuerligt (på dag 1 til 28 i gentagne cyklusser af 28</w:t>
      </w:r>
      <w:r w:rsidRPr="00EE3AD4">
        <w:rPr>
          <w:noProof/>
          <w:sz w:val="24"/>
          <w:szCs w:val="24"/>
        </w:rPr>
        <w:noBreakHyphen/>
        <w:t>dages varighed), der gives indtil sygdomsprogression eller intolerans. Efter 3 cyklusser med lenalidomid-vedligeholdelsesbehandling kan dosis øges til 15 mg oralt én gang dagligt, hvis dette tolereres.</w:t>
      </w:r>
    </w:p>
    <w:p w:rsidR="00EE3AD4" w:rsidRPr="00EE3AD4" w:rsidRDefault="00EE3AD4" w:rsidP="00704AE1">
      <w:pPr>
        <w:ind w:left="851"/>
        <w:rPr>
          <w:noProof/>
          <w:sz w:val="24"/>
          <w:szCs w:val="24"/>
        </w:rPr>
      </w:pPr>
    </w:p>
    <w:p w:rsidR="00EE3AD4" w:rsidRPr="00EE3AD4" w:rsidRDefault="00EE3AD4" w:rsidP="00704AE1">
      <w:pPr>
        <w:pStyle w:val="Listeafsnit"/>
        <w:numPr>
          <w:ilvl w:val="0"/>
          <w:numId w:val="12"/>
        </w:numPr>
        <w:ind w:left="851" w:firstLine="0"/>
        <w:rPr>
          <w:noProof/>
          <w:sz w:val="24"/>
          <w:szCs w:val="24"/>
        </w:rPr>
      </w:pPr>
      <w:r w:rsidRPr="00EE3AD4">
        <w:rPr>
          <w:i/>
          <w:iCs/>
          <w:noProof/>
          <w:sz w:val="24"/>
          <w:szCs w:val="24"/>
        </w:rPr>
        <w:t>Dosisreduktionstrin</w:t>
      </w:r>
    </w:p>
    <w:tbl>
      <w:tblPr>
        <w:tblW w:w="9075" w:type="dxa"/>
        <w:tblInd w:w="8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982"/>
        <w:gridCol w:w="3407"/>
        <w:gridCol w:w="3686"/>
      </w:tblGrid>
      <w:tr w:rsidR="00EE3AD4" w:rsidRPr="00EE3AD4" w:rsidTr="00704AE1">
        <w:trPr>
          <w:trHeight w:val="248"/>
        </w:trPr>
        <w:tc>
          <w:tcPr>
            <w:tcW w:w="1982" w:type="dxa"/>
            <w:tcBorders>
              <w:top w:val="single" w:sz="6" w:space="0" w:color="000000"/>
              <w:left w:val="single" w:sz="6" w:space="0" w:color="000000"/>
              <w:bottom w:val="single" w:sz="6" w:space="0" w:color="000000"/>
              <w:right w:val="single" w:sz="6" w:space="0" w:color="000000"/>
            </w:tcBorders>
          </w:tcPr>
          <w:p w:rsidR="00EE3AD4" w:rsidRPr="00EE3AD4" w:rsidRDefault="00EE3AD4">
            <w:pPr>
              <w:rPr>
                <w:noProof/>
                <w:sz w:val="24"/>
                <w:szCs w:val="24"/>
                <w:lang w:bidi="en-US"/>
              </w:rPr>
            </w:pPr>
          </w:p>
        </w:tc>
        <w:tc>
          <w:tcPr>
            <w:tcW w:w="3407"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jc w:val="center"/>
              <w:rPr>
                <w:noProof/>
                <w:sz w:val="24"/>
                <w:szCs w:val="24"/>
                <w:lang w:bidi="en-US"/>
              </w:rPr>
            </w:pPr>
            <w:r w:rsidRPr="00EE3AD4">
              <w:rPr>
                <w:noProof/>
                <w:sz w:val="24"/>
                <w:szCs w:val="24"/>
                <w:lang w:bidi="en-US"/>
              </w:rPr>
              <w:t>Startdosis (10 mg)</w:t>
            </w:r>
          </w:p>
        </w:tc>
        <w:tc>
          <w:tcPr>
            <w:tcW w:w="3686"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jc w:val="center"/>
              <w:rPr>
                <w:noProof/>
                <w:sz w:val="24"/>
                <w:szCs w:val="24"/>
                <w:lang w:bidi="en-US"/>
              </w:rPr>
            </w:pPr>
            <w:r w:rsidRPr="00EE3AD4">
              <w:rPr>
                <w:noProof/>
                <w:sz w:val="24"/>
                <w:szCs w:val="24"/>
                <w:lang w:bidi="en-US"/>
              </w:rPr>
              <w:t xml:space="preserve">Hvis dosis er øget (15 mg) </w:t>
            </w:r>
            <w:r w:rsidRPr="00EE3AD4">
              <w:rPr>
                <w:noProof/>
                <w:sz w:val="24"/>
                <w:szCs w:val="24"/>
                <w:vertAlign w:val="superscript"/>
                <w:lang w:bidi="en-US"/>
              </w:rPr>
              <w:t>a</w:t>
            </w:r>
          </w:p>
        </w:tc>
      </w:tr>
      <w:tr w:rsidR="00EE3AD4" w:rsidRPr="00EE3AD4" w:rsidTr="00704AE1">
        <w:trPr>
          <w:trHeight w:val="246"/>
        </w:trPr>
        <w:tc>
          <w:tcPr>
            <w:tcW w:w="1982"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rPr>
                <w:noProof/>
                <w:sz w:val="24"/>
                <w:szCs w:val="24"/>
                <w:lang w:bidi="en-US"/>
              </w:rPr>
            </w:pPr>
            <w:r w:rsidRPr="00EE3AD4">
              <w:rPr>
                <w:noProof/>
                <w:sz w:val="24"/>
                <w:szCs w:val="24"/>
                <w:lang w:bidi="en-US"/>
              </w:rPr>
              <w:t>Dosisniveau -1</w:t>
            </w:r>
          </w:p>
        </w:tc>
        <w:tc>
          <w:tcPr>
            <w:tcW w:w="3407"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jc w:val="center"/>
              <w:rPr>
                <w:noProof/>
                <w:sz w:val="24"/>
                <w:szCs w:val="24"/>
                <w:lang w:bidi="en-US"/>
              </w:rPr>
            </w:pPr>
            <w:r w:rsidRPr="00EE3AD4">
              <w:rPr>
                <w:noProof/>
                <w:sz w:val="24"/>
                <w:szCs w:val="24"/>
                <w:lang w:bidi="en-US"/>
              </w:rPr>
              <w:t>5 mg</w:t>
            </w:r>
          </w:p>
        </w:tc>
        <w:tc>
          <w:tcPr>
            <w:tcW w:w="3686"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jc w:val="center"/>
              <w:rPr>
                <w:noProof/>
                <w:sz w:val="24"/>
                <w:szCs w:val="24"/>
                <w:lang w:bidi="en-US"/>
              </w:rPr>
            </w:pPr>
            <w:r w:rsidRPr="00EE3AD4">
              <w:rPr>
                <w:noProof/>
                <w:sz w:val="24"/>
                <w:szCs w:val="24"/>
                <w:lang w:bidi="en-US"/>
              </w:rPr>
              <w:t>10 mg</w:t>
            </w:r>
          </w:p>
        </w:tc>
      </w:tr>
      <w:tr w:rsidR="00EE3AD4" w:rsidRPr="00EE3AD4" w:rsidTr="00704AE1">
        <w:trPr>
          <w:trHeight w:val="249"/>
        </w:trPr>
        <w:tc>
          <w:tcPr>
            <w:tcW w:w="1982"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rPr>
                <w:noProof/>
                <w:sz w:val="24"/>
                <w:szCs w:val="24"/>
                <w:lang w:bidi="en-US"/>
              </w:rPr>
            </w:pPr>
            <w:r w:rsidRPr="00EE3AD4">
              <w:rPr>
                <w:noProof/>
                <w:sz w:val="24"/>
                <w:szCs w:val="24"/>
                <w:lang w:bidi="en-US"/>
              </w:rPr>
              <w:lastRenderedPageBreak/>
              <w:t>Dosisniveau -2</w:t>
            </w:r>
          </w:p>
        </w:tc>
        <w:tc>
          <w:tcPr>
            <w:tcW w:w="3407"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jc w:val="center"/>
              <w:rPr>
                <w:noProof/>
                <w:sz w:val="24"/>
                <w:szCs w:val="24"/>
                <w:lang w:bidi="en-US"/>
              </w:rPr>
            </w:pPr>
            <w:r w:rsidRPr="00EE3AD4">
              <w:rPr>
                <w:noProof/>
                <w:sz w:val="24"/>
                <w:szCs w:val="24"/>
                <w:lang w:bidi="en-US"/>
              </w:rPr>
              <w:t>5 mg (dag 1-21 i 28</w:t>
            </w:r>
            <w:r w:rsidRPr="00EE3AD4">
              <w:rPr>
                <w:noProof/>
                <w:sz w:val="24"/>
                <w:szCs w:val="24"/>
                <w:lang w:bidi="en-US"/>
              </w:rPr>
              <w:noBreakHyphen/>
              <w:t>dages cyklus)</w:t>
            </w:r>
          </w:p>
        </w:tc>
        <w:tc>
          <w:tcPr>
            <w:tcW w:w="3686"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jc w:val="center"/>
              <w:rPr>
                <w:noProof/>
                <w:sz w:val="24"/>
                <w:szCs w:val="24"/>
                <w:lang w:bidi="en-US"/>
              </w:rPr>
            </w:pPr>
            <w:r w:rsidRPr="00EE3AD4">
              <w:rPr>
                <w:noProof/>
                <w:sz w:val="24"/>
                <w:szCs w:val="24"/>
                <w:lang w:bidi="en-US"/>
              </w:rPr>
              <w:t>5 mg</w:t>
            </w:r>
          </w:p>
        </w:tc>
      </w:tr>
      <w:tr w:rsidR="00EE3AD4" w:rsidRPr="00EE3AD4" w:rsidTr="00704AE1">
        <w:trPr>
          <w:trHeight w:val="246"/>
        </w:trPr>
        <w:tc>
          <w:tcPr>
            <w:tcW w:w="1982"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rPr>
                <w:noProof/>
                <w:sz w:val="24"/>
                <w:szCs w:val="24"/>
                <w:lang w:bidi="en-US"/>
              </w:rPr>
            </w:pPr>
            <w:r w:rsidRPr="00EE3AD4">
              <w:rPr>
                <w:noProof/>
                <w:sz w:val="24"/>
                <w:szCs w:val="24"/>
                <w:lang w:bidi="en-US"/>
              </w:rPr>
              <w:t>Dosisniveau -3</w:t>
            </w:r>
          </w:p>
        </w:tc>
        <w:tc>
          <w:tcPr>
            <w:tcW w:w="3407"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jc w:val="center"/>
              <w:rPr>
                <w:noProof/>
                <w:sz w:val="24"/>
                <w:szCs w:val="24"/>
                <w:lang w:bidi="en-US"/>
              </w:rPr>
            </w:pPr>
            <w:r w:rsidRPr="00EE3AD4">
              <w:rPr>
                <w:noProof/>
                <w:sz w:val="24"/>
                <w:szCs w:val="24"/>
                <w:lang w:bidi="en-US"/>
              </w:rPr>
              <w:t>Ikke relevant</w:t>
            </w:r>
          </w:p>
        </w:tc>
        <w:tc>
          <w:tcPr>
            <w:tcW w:w="3686" w:type="dxa"/>
            <w:tcBorders>
              <w:top w:val="single" w:sz="6" w:space="0" w:color="000000"/>
              <w:left w:val="single" w:sz="6" w:space="0" w:color="000000"/>
              <w:bottom w:val="single" w:sz="6" w:space="0" w:color="000000"/>
              <w:right w:val="single" w:sz="6" w:space="0" w:color="000000"/>
            </w:tcBorders>
            <w:hideMark/>
          </w:tcPr>
          <w:p w:rsidR="00EE3AD4" w:rsidRPr="00EE3AD4" w:rsidRDefault="00EE3AD4">
            <w:pPr>
              <w:jc w:val="center"/>
              <w:rPr>
                <w:noProof/>
                <w:sz w:val="24"/>
                <w:szCs w:val="24"/>
                <w:lang w:bidi="en-US"/>
              </w:rPr>
            </w:pPr>
            <w:r w:rsidRPr="00EE3AD4">
              <w:rPr>
                <w:noProof/>
                <w:sz w:val="24"/>
                <w:szCs w:val="24"/>
                <w:lang w:bidi="en-US"/>
              </w:rPr>
              <w:t>5 mg (dag 1-21 i 28</w:t>
            </w:r>
            <w:r w:rsidRPr="00EE3AD4">
              <w:rPr>
                <w:noProof/>
                <w:sz w:val="24"/>
                <w:szCs w:val="24"/>
                <w:lang w:bidi="en-US"/>
              </w:rPr>
              <w:noBreakHyphen/>
              <w:t>dages cyklus)</w:t>
            </w:r>
          </w:p>
        </w:tc>
      </w:tr>
      <w:tr w:rsidR="00EE3AD4" w:rsidRPr="00EE3AD4" w:rsidTr="00704AE1">
        <w:trPr>
          <w:trHeight w:val="248"/>
        </w:trPr>
        <w:tc>
          <w:tcPr>
            <w:tcW w:w="1982" w:type="dxa"/>
            <w:tcBorders>
              <w:top w:val="single" w:sz="6" w:space="0" w:color="000000"/>
              <w:left w:val="single" w:sz="6" w:space="0" w:color="000000"/>
              <w:bottom w:val="single" w:sz="6" w:space="0" w:color="000000"/>
              <w:right w:val="single" w:sz="6" w:space="0" w:color="000000"/>
            </w:tcBorders>
          </w:tcPr>
          <w:p w:rsidR="00EE3AD4" w:rsidRPr="00EE3AD4" w:rsidRDefault="00EE3AD4">
            <w:pPr>
              <w:rPr>
                <w:noProof/>
                <w:sz w:val="24"/>
                <w:szCs w:val="24"/>
                <w:lang w:bidi="en-US"/>
              </w:rPr>
            </w:pPr>
          </w:p>
        </w:tc>
        <w:tc>
          <w:tcPr>
            <w:tcW w:w="7093" w:type="dxa"/>
            <w:gridSpan w:val="2"/>
            <w:tcBorders>
              <w:top w:val="single" w:sz="6" w:space="0" w:color="000000"/>
              <w:left w:val="single" w:sz="6" w:space="0" w:color="000000"/>
              <w:bottom w:val="single" w:sz="6" w:space="0" w:color="000000"/>
              <w:right w:val="single" w:sz="6" w:space="0" w:color="000000"/>
            </w:tcBorders>
            <w:hideMark/>
          </w:tcPr>
          <w:p w:rsidR="00EE3AD4" w:rsidRPr="00EE3AD4" w:rsidRDefault="00EE3AD4">
            <w:pPr>
              <w:jc w:val="center"/>
              <w:rPr>
                <w:noProof/>
                <w:sz w:val="24"/>
                <w:szCs w:val="24"/>
                <w:lang w:bidi="en-US"/>
              </w:rPr>
            </w:pPr>
            <w:r w:rsidRPr="00EE3AD4">
              <w:rPr>
                <w:noProof/>
                <w:sz w:val="24"/>
                <w:szCs w:val="24"/>
                <w:lang w:bidi="en-US"/>
              </w:rPr>
              <w:t>Anvend ikke doser under 5 mg (dag 1-21 i 28</w:t>
            </w:r>
            <w:r w:rsidRPr="00EE3AD4">
              <w:rPr>
                <w:noProof/>
                <w:sz w:val="24"/>
                <w:szCs w:val="24"/>
                <w:lang w:bidi="en-US"/>
              </w:rPr>
              <w:noBreakHyphen/>
              <w:t>dages cyklus)</w:t>
            </w:r>
          </w:p>
        </w:tc>
      </w:tr>
    </w:tbl>
    <w:p w:rsidR="00EE3AD4" w:rsidRPr="00EE3AD4" w:rsidRDefault="00EE3AD4" w:rsidP="00704AE1">
      <w:pPr>
        <w:ind w:left="851"/>
        <w:rPr>
          <w:noProof/>
          <w:sz w:val="24"/>
          <w:szCs w:val="24"/>
        </w:rPr>
      </w:pPr>
      <w:r w:rsidRPr="00EE3AD4">
        <w:rPr>
          <w:noProof/>
          <w:sz w:val="24"/>
          <w:szCs w:val="24"/>
          <w:vertAlign w:val="superscript"/>
        </w:rPr>
        <w:t>a</w:t>
      </w:r>
      <w:r w:rsidRPr="00EE3AD4">
        <w:rPr>
          <w:noProof/>
          <w:sz w:val="24"/>
          <w:szCs w:val="24"/>
        </w:rPr>
        <w:t xml:space="preserve"> Efter 3 cyklusser af lenalidomid-vedligeholdelsesbehandling kan dosis øges til 15 mg oralt en gang dagligt, hvis det tolereres.</w:t>
      </w:r>
    </w:p>
    <w:p w:rsidR="00DF19D5" w:rsidRPr="00EE3AD4" w:rsidRDefault="00DF19D5" w:rsidP="00EE3AD4">
      <w:pPr>
        <w:rPr>
          <w:noProof/>
          <w:sz w:val="24"/>
          <w:szCs w:val="24"/>
        </w:rPr>
      </w:pPr>
    </w:p>
    <w:p w:rsidR="00EE3AD4" w:rsidRPr="00EE3AD4" w:rsidRDefault="00EE3AD4" w:rsidP="00704AE1">
      <w:pPr>
        <w:pStyle w:val="Listeafsnit"/>
        <w:numPr>
          <w:ilvl w:val="0"/>
          <w:numId w:val="12"/>
        </w:numPr>
        <w:ind w:left="851" w:firstLine="0"/>
        <w:rPr>
          <w:noProof/>
          <w:sz w:val="24"/>
          <w:szCs w:val="24"/>
        </w:rPr>
      </w:pPr>
      <w:r w:rsidRPr="00EE3AD4">
        <w:rPr>
          <w:i/>
          <w:iCs/>
          <w:noProof/>
          <w:sz w:val="24"/>
          <w:szCs w:val="24"/>
        </w:rPr>
        <w:t>Trombocytopeni</w:t>
      </w:r>
    </w:p>
    <w:tbl>
      <w:tblPr>
        <w:tblW w:w="5000"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0"/>
        <w:gridCol w:w="4698"/>
      </w:tblGrid>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i/>
                <w:iCs/>
                <w:noProof/>
                <w:sz w:val="24"/>
                <w:szCs w:val="24"/>
              </w:rPr>
            </w:pPr>
            <w:bookmarkStart w:id="0" w:name="_Hlk48730079"/>
            <w:r w:rsidRPr="00EE3AD4">
              <w:rPr>
                <w:noProof/>
                <w:sz w:val="24"/>
                <w:szCs w:val="24"/>
              </w:rPr>
              <w:t>Når trombocyttallet</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Anbefalet forløb</w:t>
            </w:r>
          </w:p>
        </w:tc>
      </w:tr>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Falder til &lt; 30 x 10</w:t>
            </w:r>
            <w:r w:rsidRPr="00EE3AD4">
              <w:rPr>
                <w:noProof/>
                <w:sz w:val="24"/>
                <w:szCs w:val="24"/>
                <w:vertAlign w:val="superscript"/>
              </w:rPr>
              <w:t>9</w:t>
            </w:r>
            <w:r w:rsidRPr="00EE3AD4">
              <w:rPr>
                <w:noProof/>
                <w:sz w:val="24"/>
                <w:szCs w:val="24"/>
              </w:rPr>
              <w:t>/l</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Afbryd behandlingen med lenalidomid</w:t>
            </w:r>
          </w:p>
        </w:tc>
      </w:tr>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Vender tilbage til ≥ 30 x 10</w:t>
            </w:r>
            <w:r w:rsidRPr="00EE3AD4">
              <w:rPr>
                <w:noProof/>
                <w:sz w:val="24"/>
                <w:szCs w:val="24"/>
                <w:vertAlign w:val="superscript"/>
              </w:rPr>
              <w:t>9</w:t>
            </w:r>
            <w:r w:rsidRPr="00EE3AD4">
              <w:rPr>
                <w:noProof/>
                <w:sz w:val="24"/>
                <w:szCs w:val="24"/>
              </w:rPr>
              <w:t>/l</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Genoptag lenalidomid ved dosisniveau -1 én gang dagligt</w:t>
            </w:r>
          </w:p>
        </w:tc>
      </w:tr>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i/>
                <w:iCs/>
                <w:noProof/>
                <w:sz w:val="24"/>
                <w:szCs w:val="24"/>
              </w:rPr>
            </w:pPr>
            <w:r w:rsidRPr="00EE3AD4">
              <w:rPr>
                <w:noProof/>
                <w:sz w:val="24"/>
                <w:szCs w:val="24"/>
              </w:rPr>
              <w:t>For hvert efterfølgende fald til under 30 x 10</w:t>
            </w:r>
            <w:r w:rsidRPr="00EE3AD4">
              <w:rPr>
                <w:noProof/>
                <w:sz w:val="24"/>
                <w:szCs w:val="24"/>
                <w:vertAlign w:val="superscript"/>
              </w:rPr>
              <w:t>9</w:t>
            </w:r>
            <w:r w:rsidRPr="00EE3AD4">
              <w:rPr>
                <w:noProof/>
                <w:sz w:val="24"/>
                <w:szCs w:val="24"/>
              </w:rPr>
              <w:t>/l</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Afbryd behandlingen med lenalidomid</w:t>
            </w:r>
          </w:p>
        </w:tc>
      </w:tr>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Vender tilbage til ≥ 30 x 10</w:t>
            </w:r>
            <w:r w:rsidRPr="00EE3AD4">
              <w:rPr>
                <w:noProof/>
                <w:sz w:val="24"/>
                <w:szCs w:val="24"/>
                <w:vertAlign w:val="superscript"/>
              </w:rPr>
              <w:t>9</w:t>
            </w:r>
            <w:r w:rsidRPr="00EE3AD4">
              <w:rPr>
                <w:noProof/>
                <w:sz w:val="24"/>
                <w:szCs w:val="24"/>
              </w:rPr>
              <w:t>/l</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Genoptag lenalidomid ved det næste lavere dosisniveau én gang dagligt</w:t>
            </w:r>
          </w:p>
        </w:tc>
      </w:tr>
      <w:bookmarkEnd w:id="0"/>
    </w:tbl>
    <w:p w:rsidR="00EE3AD4" w:rsidRPr="00EE3AD4" w:rsidRDefault="00EE3AD4" w:rsidP="00704AE1">
      <w:pPr>
        <w:ind w:left="851"/>
        <w:rPr>
          <w:noProof/>
          <w:sz w:val="24"/>
          <w:szCs w:val="24"/>
        </w:rPr>
      </w:pPr>
    </w:p>
    <w:p w:rsidR="00EE3AD4" w:rsidRPr="00EE3AD4" w:rsidRDefault="00EE3AD4" w:rsidP="00704AE1">
      <w:pPr>
        <w:numPr>
          <w:ilvl w:val="0"/>
          <w:numId w:val="12"/>
        </w:numPr>
        <w:ind w:left="851" w:firstLine="0"/>
        <w:rPr>
          <w:noProof/>
          <w:sz w:val="24"/>
          <w:szCs w:val="24"/>
        </w:rPr>
      </w:pPr>
      <w:r w:rsidRPr="00EE3AD4">
        <w:rPr>
          <w:i/>
          <w:iCs/>
          <w:noProof/>
          <w:sz w:val="24"/>
          <w:szCs w:val="24"/>
        </w:rPr>
        <w:t xml:space="preserve">Absolutte neutrofiltal (ANC) - neutropeni </w:t>
      </w:r>
    </w:p>
    <w:tbl>
      <w:tblPr>
        <w:tblW w:w="5000"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0"/>
        <w:gridCol w:w="4698"/>
      </w:tblGrid>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i/>
                <w:iCs/>
                <w:noProof/>
                <w:sz w:val="24"/>
                <w:szCs w:val="24"/>
              </w:rPr>
            </w:pPr>
            <w:r w:rsidRPr="00EE3AD4">
              <w:rPr>
                <w:noProof/>
                <w:sz w:val="24"/>
                <w:szCs w:val="24"/>
              </w:rPr>
              <w:t>Når ANC</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Anbefalet forløb</w:t>
            </w:r>
            <w:r w:rsidRPr="00EE3AD4">
              <w:rPr>
                <w:noProof/>
                <w:sz w:val="24"/>
                <w:szCs w:val="24"/>
                <w:vertAlign w:val="superscript"/>
              </w:rPr>
              <w:t>a</w:t>
            </w:r>
          </w:p>
        </w:tc>
      </w:tr>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i/>
                <w:iCs/>
                <w:noProof/>
                <w:sz w:val="24"/>
                <w:szCs w:val="24"/>
              </w:rPr>
            </w:pPr>
            <w:r w:rsidRPr="00EE3AD4">
              <w:rPr>
                <w:noProof/>
                <w:sz w:val="24"/>
                <w:szCs w:val="24"/>
              </w:rPr>
              <w:t>Først falder til &lt;0,5 x 10</w:t>
            </w:r>
            <w:r w:rsidRPr="00EE3AD4">
              <w:rPr>
                <w:noProof/>
                <w:sz w:val="24"/>
                <w:szCs w:val="24"/>
                <w:vertAlign w:val="superscript"/>
              </w:rPr>
              <w:t>9</w:t>
            </w:r>
            <w:r w:rsidRPr="00EE3AD4">
              <w:rPr>
                <w:noProof/>
                <w:sz w:val="24"/>
                <w:szCs w:val="24"/>
              </w:rPr>
              <w:t>/l</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i/>
                <w:iCs/>
                <w:noProof/>
                <w:sz w:val="24"/>
                <w:szCs w:val="24"/>
              </w:rPr>
            </w:pPr>
            <w:r w:rsidRPr="00EE3AD4">
              <w:rPr>
                <w:noProof/>
                <w:sz w:val="24"/>
                <w:szCs w:val="24"/>
              </w:rPr>
              <w:t>Afbryd behandlingen med lenalidomid</w:t>
            </w:r>
          </w:p>
        </w:tc>
      </w:tr>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Vender tilbage til ≥ 0,5 x 10</w:t>
            </w:r>
            <w:r w:rsidRPr="00EE3AD4">
              <w:rPr>
                <w:noProof/>
                <w:sz w:val="24"/>
                <w:szCs w:val="24"/>
                <w:vertAlign w:val="superscript"/>
              </w:rPr>
              <w:t>9</w:t>
            </w:r>
            <w:r w:rsidRPr="00EE3AD4">
              <w:rPr>
                <w:noProof/>
                <w:sz w:val="24"/>
                <w:szCs w:val="24"/>
              </w:rPr>
              <w:t>/l</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Genoptag lenalidomid ved dosisniveau -1 én gang dagligt</w:t>
            </w:r>
          </w:p>
        </w:tc>
      </w:tr>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i/>
                <w:iCs/>
                <w:noProof/>
                <w:sz w:val="24"/>
                <w:szCs w:val="24"/>
              </w:rPr>
            </w:pPr>
            <w:r w:rsidRPr="00EE3AD4">
              <w:rPr>
                <w:noProof/>
                <w:sz w:val="24"/>
                <w:szCs w:val="24"/>
              </w:rPr>
              <w:t>For hvert efterfølgende fald til &lt; 0,5 x 10</w:t>
            </w:r>
            <w:r w:rsidRPr="00EE3AD4">
              <w:rPr>
                <w:noProof/>
                <w:sz w:val="24"/>
                <w:szCs w:val="24"/>
                <w:vertAlign w:val="superscript"/>
              </w:rPr>
              <w:t>9</w:t>
            </w:r>
            <w:r w:rsidRPr="00EE3AD4">
              <w:rPr>
                <w:noProof/>
                <w:sz w:val="24"/>
                <w:szCs w:val="24"/>
              </w:rPr>
              <w:t>/l</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Afbryd behandlingen med lenalidomid</w:t>
            </w:r>
          </w:p>
        </w:tc>
      </w:tr>
      <w:tr w:rsidR="00EE3AD4" w:rsidRPr="00EE3AD4" w:rsidTr="00704AE1">
        <w:tc>
          <w:tcPr>
            <w:tcW w:w="256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Vender tilbage til ≥ 0,5 x 10</w:t>
            </w:r>
            <w:r w:rsidRPr="00EE3AD4">
              <w:rPr>
                <w:noProof/>
                <w:sz w:val="24"/>
                <w:szCs w:val="24"/>
                <w:vertAlign w:val="superscript"/>
              </w:rPr>
              <w:t>9</w:t>
            </w:r>
            <w:r w:rsidRPr="00EE3AD4">
              <w:rPr>
                <w:noProof/>
                <w:sz w:val="24"/>
                <w:szCs w:val="24"/>
              </w:rPr>
              <w:t>/l</w:t>
            </w:r>
          </w:p>
        </w:tc>
        <w:tc>
          <w:tcPr>
            <w:tcW w:w="244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Genoptag lenalidomid ved det næste lavere dosisniveau én gang dagligt</w:t>
            </w:r>
          </w:p>
        </w:tc>
      </w:tr>
    </w:tbl>
    <w:p w:rsidR="00EE3AD4" w:rsidRPr="00EE3AD4" w:rsidRDefault="00EE3AD4" w:rsidP="00704AE1">
      <w:pPr>
        <w:ind w:left="851"/>
        <w:rPr>
          <w:noProof/>
          <w:sz w:val="24"/>
          <w:szCs w:val="24"/>
        </w:rPr>
      </w:pPr>
      <w:r w:rsidRPr="00EE3AD4">
        <w:rPr>
          <w:noProof/>
          <w:sz w:val="24"/>
          <w:szCs w:val="24"/>
        </w:rPr>
        <w:t>ª Hvis neutropeni efter lægens vurdering er den eneste toksicitet på et dosisniveau, tilføjes granulocyt-kolonistimulerende faktor (G-CSF), og dosisniveauet af lenalidomid opretholdes.</w:t>
      </w:r>
    </w:p>
    <w:p w:rsidR="00EE3AD4" w:rsidRPr="00EE3AD4" w:rsidRDefault="00EE3AD4" w:rsidP="00704AE1">
      <w:pPr>
        <w:ind w:left="851"/>
        <w:rPr>
          <w:noProof/>
          <w:sz w:val="24"/>
          <w:szCs w:val="24"/>
        </w:rPr>
      </w:pPr>
    </w:p>
    <w:p w:rsidR="00EE3AD4" w:rsidRPr="00EE3AD4" w:rsidRDefault="00EE3AD4" w:rsidP="00704AE1">
      <w:pPr>
        <w:ind w:left="851"/>
        <w:rPr>
          <w:b/>
          <w:bCs/>
          <w:noProof/>
          <w:sz w:val="24"/>
          <w:szCs w:val="24"/>
        </w:rPr>
      </w:pPr>
      <w:r w:rsidRPr="00EE3AD4">
        <w:rPr>
          <w:b/>
          <w:bCs/>
          <w:noProof/>
          <w:sz w:val="24"/>
          <w:szCs w:val="24"/>
        </w:rPr>
        <w:t>Myelomatose hos patienter, der har fået mindst én tidligere behandling</w:t>
      </w:r>
    </w:p>
    <w:p w:rsidR="00EE3AD4" w:rsidRPr="00EE3AD4" w:rsidRDefault="00EE3AD4" w:rsidP="00704AE1">
      <w:pPr>
        <w:ind w:left="851"/>
        <w:rPr>
          <w:noProof/>
          <w:sz w:val="24"/>
          <w:szCs w:val="24"/>
        </w:rPr>
      </w:pPr>
      <w:r w:rsidRPr="00EE3AD4">
        <w:rPr>
          <w:noProof/>
          <w:sz w:val="24"/>
          <w:szCs w:val="24"/>
        </w:rPr>
        <w:t>Behandling med lenalidomid må ikke startes ved ANC &lt; 1,0 x 10</w:t>
      </w:r>
      <w:r w:rsidRPr="00EE3AD4">
        <w:rPr>
          <w:noProof/>
          <w:sz w:val="24"/>
          <w:szCs w:val="24"/>
          <w:vertAlign w:val="superscript"/>
        </w:rPr>
        <w:t>9</w:t>
      </w:r>
      <w:r w:rsidRPr="00EE3AD4">
        <w:rPr>
          <w:noProof/>
          <w:sz w:val="24"/>
          <w:szCs w:val="24"/>
        </w:rPr>
        <w:t>/l og/eller trombocyttal &lt; 75 x 10</w:t>
      </w:r>
      <w:r w:rsidRPr="00EE3AD4">
        <w:rPr>
          <w:noProof/>
          <w:sz w:val="24"/>
          <w:szCs w:val="24"/>
          <w:vertAlign w:val="superscript"/>
        </w:rPr>
        <w:t>9</w:t>
      </w:r>
      <w:r w:rsidRPr="00EE3AD4">
        <w:rPr>
          <w:noProof/>
          <w:sz w:val="24"/>
          <w:szCs w:val="24"/>
        </w:rPr>
        <w:t>/l eller, afhængigt af infiltrationen af plasmaceller i knoglemarven, trombocyttal &lt; 30 x 10</w:t>
      </w:r>
      <w:r w:rsidRPr="00EE3AD4">
        <w:rPr>
          <w:noProof/>
          <w:sz w:val="24"/>
          <w:szCs w:val="24"/>
          <w:vertAlign w:val="superscript"/>
        </w:rPr>
        <w:t>9</w:t>
      </w:r>
      <w:r w:rsidRPr="00EE3AD4">
        <w:rPr>
          <w:noProof/>
          <w:sz w:val="24"/>
          <w:szCs w:val="24"/>
        </w:rPr>
        <w:t>/l.</w:t>
      </w:r>
    </w:p>
    <w:p w:rsidR="00EE3AD4" w:rsidRPr="00EE3AD4" w:rsidRDefault="00EE3AD4" w:rsidP="00704AE1">
      <w:pPr>
        <w:ind w:left="851"/>
        <w:rPr>
          <w:noProof/>
          <w:sz w:val="24"/>
          <w:szCs w:val="24"/>
        </w:rPr>
      </w:pPr>
    </w:p>
    <w:p w:rsidR="00EE3AD4" w:rsidRPr="00EE3AD4" w:rsidRDefault="00EE3AD4" w:rsidP="00704AE1">
      <w:pPr>
        <w:ind w:left="851"/>
        <w:rPr>
          <w:i/>
          <w:iCs/>
          <w:noProof/>
          <w:sz w:val="24"/>
          <w:szCs w:val="24"/>
        </w:rPr>
      </w:pPr>
      <w:r w:rsidRPr="00EE3AD4">
        <w:rPr>
          <w:i/>
          <w:iCs/>
          <w:noProof/>
          <w:sz w:val="24"/>
          <w:szCs w:val="24"/>
        </w:rPr>
        <w:t>Anbefalet dosis</w:t>
      </w:r>
    </w:p>
    <w:p w:rsidR="00EE3AD4" w:rsidRPr="00EE3AD4" w:rsidRDefault="00EE3AD4" w:rsidP="00704AE1">
      <w:pPr>
        <w:ind w:left="851"/>
        <w:rPr>
          <w:noProof/>
          <w:sz w:val="24"/>
          <w:szCs w:val="24"/>
        </w:rPr>
      </w:pPr>
      <w:r w:rsidRPr="00EE3AD4">
        <w:rPr>
          <w:noProof/>
          <w:sz w:val="24"/>
          <w:szCs w:val="24"/>
        </w:rPr>
        <w:t>Den anbefalede startdosis er 25 mg lenalidomid oralt én gang dagligt på dag 1 til 21 i gentagne cyklusser af 28-dages varighed. Den anbefalede dosis dexamethason er 40 mg oralt én gang dagligt på dag 1 til 4, 9 til 12 og 17 til 20 af hver 28-dages cyklus i de første 4 cyklusser af behandlingen og derefter 40 mg én gang dagligt på dag 1 til 4 i hver cyklus på 28 dage.</w:t>
      </w:r>
    </w:p>
    <w:p w:rsidR="00EE3AD4" w:rsidRPr="00EE3AD4" w:rsidRDefault="00EE3AD4" w:rsidP="00704AE1">
      <w:pPr>
        <w:ind w:left="851"/>
        <w:rPr>
          <w:noProof/>
          <w:sz w:val="24"/>
          <w:szCs w:val="24"/>
        </w:rPr>
      </w:pPr>
      <w:r w:rsidRPr="00EE3AD4">
        <w:rPr>
          <w:noProof/>
          <w:sz w:val="24"/>
          <w:szCs w:val="24"/>
        </w:rPr>
        <w:t>Ved ordination bør lægen nøje evaluere, hvilken dosis dexamethason der skal anvendes, under hensyntagen til patientens tilstand og sygdom.</w:t>
      </w:r>
    </w:p>
    <w:p w:rsidR="00EE3AD4" w:rsidRPr="00EE3AD4" w:rsidRDefault="00EE3AD4" w:rsidP="00704AE1">
      <w:pPr>
        <w:ind w:left="851"/>
        <w:rPr>
          <w:noProof/>
          <w:sz w:val="24"/>
          <w:szCs w:val="24"/>
        </w:rPr>
      </w:pPr>
    </w:p>
    <w:p w:rsidR="00EE3AD4" w:rsidRPr="00EE3AD4" w:rsidRDefault="00EE3AD4" w:rsidP="00704AE1">
      <w:pPr>
        <w:numPr>
          <w:ilvl w:val="0"/>
          <w:numId w:val="12"/>
        </w:numPr>
        <w:ind w:left="851" w:firstLine="0"/>
        <w:rPr>
          <w:i/>
          <w:iCs/>
          <w:noProof/>
          <w:sz w:val="24"/>
          <w:szCs w:val="24"/>
        </w:rPr>
      </w:pPr>
      <w:r w:rsidRPr="00EE3AD4">
        <w:rPr>
          <w:i/>
          <w:iCs/>
          <w:noProof/>
          <w:sz w:val="24"/>
          <w:szCs w:val="24"/>
        </w:rPr>
        <w:t>Dosisreduktionstrin</w:t>
      </w:r>
    </w:p>
    <w:tbl>
      <w:tblPr>
        <w:tblW w:w="5000" w:type="pct"/>
        <w:tblInd w:w="846" w:type="dxa"/>
        <w:tblCellMar>
          <w:left w:w="0" w:type="dxa"/>
          <w:right w:w="0" w:type="dxa"/>
        </w:tblCellMar>
        <w:tblLook w:val="04A0" w:firstRow="1" w:lastRow="0" w:firstColumn="1" w:lastColumn="0" w:noHBand="0" w:noVBand="1"/>
      </w:tblPr>
      <w:tblGrid>
        <w:gridCol w:w="3316"/>
        <w:gridCol w:w="6312"/>
      </w:tblGrid>
      <w:tr w:rsidR="00EE3AD4" w:rsidRPr="00EE3AD4" w:rsidTr="00704AE1">
        <w:trPr>
          <w:trHeight w:val="20"/>
        </w:trPr>
        <w:tc>
          <w:tcPr>
            <w:tcW w:w="1722" w:type="pct"/>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rPr>
            </w:pPr>
            <w:r w:rsidRPr="00EE3AD4">
              <w:rPr>
                <w:noProof/>
                <w:sz w:val="24"/>
                <w:szCs w:val="24"/>
              </w:rPr>
              <w:t>Startdosis</w:t>
            </w:r>
          </w:p>
        </w:tc>
        <w:tc>
          <w:tcPr>
            <w:tcW w:w="3278" w:type="pct"/>
            <w:tcBorders>
              <w:top w:val="single" w:sz="4" w:space="0" w:color="000000"/>
              <w:left w:val="single" w:sz="4" w:space="0" w:color="000000"/>
              <w:bottom w:val="single" w:sz="4" w:space="0" w:color="000000"/>
              <w:right w:val="single" w:sz="4" w:space="0" w:color="000000"/>
            </w:tcBorders>
            <w:hideMark/>
          </w:tcPr>
          <w:p w:rsidR="00EE3AD4" w:rsidRPr="00EE3AD4" w:rsidRDefault="00EE3AD4">
            <w:pPr>
              <w:jc w:val="center"/>
              <w:rPr>
                <w:noProof/>
                <w:sz w:val="24"/>
                <w:szCs w:val="24"/>
              </w:rPr>
            </w:pPr>
            <w:r w:rsidRPr="00EE3AD4">
              <w:rPr>
                <w:noProof/>
                <w:sz w:val="24"/>
                <w:szCs w:val="24"/>
              </w:rPr>
              <w:t>25 mg</w:t>
            </w:r>
          </w:p>
        </w:tc>
      </w:tr>
      <w:tr w:rsidR="00EE3AD4" w:rsidRPr="00EE3AD4" w:rsidTr="00704AE1">
        <w:trPr>
          <w:trHeight w:val="20"/>
        </w:trPr>
        <w:tc>
          <w:tcPr>
            <w:tcW w:w="1722" w:type="pct"/>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rPr>
            </w:pPr>
            <w:r w:rsidRPr="00EE3AD4">
              <w:rPr>
                <w:noProof/>
                <w:sz w:val="24"/>
                <w:szCs w:val="24"/>
              </w:rPr>
              <w:t>Dosisniveau -1</w:t>
            </w:r>
          </w:p>
        </w:tc>
        <w:tc>
          <w:tcPr>
            <w:tcW w:w="3278" w:type="pct"/>
            <w:tcBorders>
              <w:top w:val="single" w:sz="4" w:space="0" w:color="000000"/>
              <w:left w:val="single" w:sz="4" w:space="0" w:color="000000"/>
              <w:bottom w:val="single" w:sz="4" w:space="0" w:color="000000"/>
              <w:right w:val="single" w:sz="4" w:space="0" w:color="000000"/>
            </w:tcBorders>
            <w:hideMark/>
          </w:tcPr>
          <w:p w:rsidR="00EE3AD4" w:rsidRPr="00EE3AD4" w:rsidRDefault="00EE3AD4">
            <w:pPr>
              <w:jc w:val="center"/>
              <w:rPr>
                <w:noProof/>
                <w:sz w:val="24"/>
                <w:szCs w:val="24"/>
              </w:rPr>
            </w:pPr>
            <w:r w:rsidRPr="00EE3AD4">
              <w:rPr>
                <w:noProof/>
                <w:sz w:val="24"/>
                <w:szCs w:val="24"/>
              </w:rPr>
              <w:t>15 mg</w:t>
            </w:r>
          </w:p>
        </w:tc>
      </w:tr>
      <w:tr w:rsidR="00EE3AD4" w:rsidRPr="00EE3AD4" w:rsidTr="00704AE1">
        <w:trPr>
          <w:trHeight w:val="20"/>
        </w:trPr>
        <w:tc>
          <w:tcPr>
            <w:tcW w:w="1722" w:type="pct"/>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rPr>
            </w:pPr>
            <w:r w:rsidRPr="00EE3AD4">
              <w:rPr>
                <w:noProof/>
                <w:sz w:val="24"/>
                <w:szCs w:val="24"/>
              </w:rPr>
              <w:t>Dosisniveau -2</w:t>
            </w:r>
          </w:p>
        </w:tc>
        <w:tc>
          <w:tcPr>
            <w:tcW w:w="3278" w:type="pct"/>
            <w:tcBorders>
              <w:top w:val="single" w:sz="4" w:space="0" w:color="000000"/>
              <w:left w:val="single" w:sz="4" w:space="0" w:color="000000"/>
              <w:bottom w:val="single" w:sz="4" w:space="0" w:color="000000"/>
              <w:right w:val="single" w:sz="4" w:space="0" w:color="000000"/>
            </w:tcBorders>
            <w:hideMark/>
          </w:tcPr>
          <w:p w:rsidR="00EE3AD4" w:rsidRPr="00EE3AD4" w:rsidRDefault="00EE3AD4">
            <w:pPr>
              <w:jc w:val="center"/>
              <w:rPr>
                <w:noProof/>
                <w:sz w:val="24"/>
                <w:szCs w:val="24"/>
              </w:rPr>
            </w:pPr>
            <w:r w:rsidRPr="00EE3AD4">
              <w:rPr>
                <w:noProof/>
                <w:sz w:val="24"/>
                <w:szCs w:val="24"/>
              </w:rPr>
              <w:t>10 mg</w:t>
            </w:r>
          </w:p>
        </w:tc>
      </w:tr>
      <w:tr w:rsidR="00EE3AD4" w:rsidRPr="00EE3AD4" w:rsidTr="00704AE1">
        <w:trPr>
          <w:trHeight w:val="20"/>
        </w:trPr>
        <w:tc>
          <w:tcPr>
            <w:tcW w:w="1722" w:type="pct"/>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rPr>
            </w:pPr>
            <w:r w:rsidRPr="00EE3AD4">
              <w:rPr>
                <w:noProof/>
                <w:sz w:val="24"/>
                <w:szCs w:val="24"/>
              </w:rPr>
              <w:t>Dosisniveau -3</w:t>
            </w:r>
          </w:p>
        </w:tc>
        <w:tc>
          <w:tcPr>
            <w:tcW w:w="3278" w:type="pct"/>
            <w:tcBorders>
              <w:top w:val="single" w:sz="4" w:space="0" w:color="000000"/>
              <w:left w:val="single" w:sz="4" w:space="0" w:color="000000"/>
              <w:bottom w:val="single" w:sz="4" w:space="0" w:color="000000"/>
              <w:right w:val="single" w:sz="4" w:space="0" w:color="000000"/>
            </w:tcBorders>
            <w:hideMark/>
          </w:tcPr>
          <w:p w:rsidR="00EE3AD4" w:rsidRPr="00EE3AD4" w:rsidRDefault="00EE3AD4">
            <w:pPr>
              <w:jc w:val="center"/>
              <w:rPr>
                <w:noProof/>
                <w:sz w:val="24"/>
                <w:szCs w:val="24"/>
              </w:rPr>
            </w:pPr>
            <w:r w:rsidRPr="00EE3AD4">
              <w:rPr>
                <w:noProof/>
                <w:sz w:val="24"/>
                <w:szCs w:val="24"/>
              </w:rPr>
              <w:t>5 mg</w:t>
            </w:r>
          </w:p>
        </w:tc>
      </w:tr>
    </w:tbl>
    <w:p w:rsidR="00EE3AD4" w:rsidRPr="00EE3AD4" w:rsidRDefault="00EE3AD4" w:rsidP="00704AE1">
      <w:pPr>
        <w:ind w:left="851"/>
        <w:rPr>
          <w:i/>
          <w:iCs/>
          <w:noProof/>
          <w:sz w:val="24"/>
          <w:szCs w:val="24"/>
        </w:rPr>
      </w:pPr>
    </w:p>
    <w:p w:rsidR="00EE3AD4" w:rsidRPr="00EE3AD4" w:rsidRDefault="00EE3AD4" w:rsidP="00704AE1">
      <w:pPr>
        <w:numPr>
          <w:ilvl w:val="0"/>
          <w:numId w:val="12"/>
        </w:numPr>
        <w:ind w:left="851" w:firstLine="0"/>
        <w:rPr>
          <w:i/>
          <w:iCs/>
          <w:noProof/>
          <w:sz w:val="24"/>
          <w:szCs w:val="24"/>
        </w:rPr>
      </w:pPr>
      <w:r w:rsidRPr="00EE3AD4">
        <w:rPr>
          <w:i/>
          <w:iCs/>
          <w:noProof/>
          <w:sz w:val="24"/>
          <w:szCs w:val="24"/>
        </w:rPr>
        <w:t>Trombocytopeni</w:t>
      </w:r>
    </w:p>
    <w:tbl>
      <w:tblPr>
        <w:tblW w:w="5000"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26"/>
        <w:gridCol w:w="4602"/>
      </w:tblGrid>
      <w:tr w:rsidR="00EE3AD4" w:rsidRPr="00EE3AD4" w:rsidTr="00704AE1">
        <w:tc>
          <w:tcPr>
            <w:tcW w:w="261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Når trombocyttallet</w:t>
            </w:r>
          </w:p>
        </w:tc>
        <w:tc>
          <w:tcPr>
            <w:tcW w:w="239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Anbefalet forløb</w:t>
            </w:r>
          </w:p>
        </w:tc>
      </w:tr>
      <w:tr w:rsidR="00EE3AD4" w:rsidRPr="00EE3AD4" w:rsidTr="00704AE1">
        <w:tc>
          <w:tcPr>
            <w:tcW w:w="261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lastRenderedPageBreak/>
              <w:t>Først falder til &lt; 30 x 10</w:t>
            </w:r>
            <w:r w:rsidRPr="00EE3AD4">
              <w:rPr>
                <w:noProof/>
                <w:sz w:val="24"/>
                <w:szCs w:val="24"/>
                <w:vertAlign w:val="superscript"/>
              </w:rPr>
              <w:t>9</w:t>
            </w:r>
            <w:r w:rsidRPr="00EE3AD4">
              <w:rPr>
                <w:noProof/>
                <w:sz w:val="24"/>
                <w:szCs w:val="24"/>
              </w:rPr>
              <w:t>/l</w:t>
            </w:r>
          </w:p>
        </w:tc>
        <w:tc>
          <w:tcPr>
            <w:tcW w:w="239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Afbryd behandlingen med lenalidomid</w:t>
            </w:r>
          </w:p>
        </w:tc>
      </w:tr>
      <w:tr w:rsidR="00EE3AD4" w:rsidRPr="00EE3AD4" w:rsidTr="00704AE1">
        <w:tc>
          <w:tcPr>
            <w:tcW w:w="261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Vender tilbage til ≥ 30 x 10</w:t>
            </w:r>
            <w:r w:rsidRPr="00EE3AD4">
              <w:rPr>
                <w:noProof/>
                <w:sz w:val="24"/>
                <w:szCs w:val="24"/>
                <w:vertAlign w:val="superscript"/>
              </w:rPr>
              <w:t>9</w:t>
            </w:r>
            <w:r w:rsidRPr="00EE3AD4">
              <w:rPr>
                <w:noProof/>
                <w:sz w:val="24"/>
                <w:szCs w:val="24"/>
              </w:rPr>
              <w:t>/l</w:t>
            </w:r>
          </w:p>
        </w:tc>
        <w:tc>
          <w:tcPr>
            <w:tcW w:w="239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Genoptag lenalidomid ved dosisniveau -1</w:t>
            </w:r>
          </w:p>
        </w:tc>
      </w:tr>
      <w:tr w:rsidR="00EE3AD4" w:rsidRPr="00EE3AD4" w:rsidTr="00704AE1">
        <w:tc>
          <w:tcPr>
            <w:tcW w:w="261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For hvert efterfølgende fald til under 30 x 10</w:t>
            </w:r>
            <w:r w:rsidRPr="00EE3AD4">
              <w:rPr>
                <w:noProof/>
                <w:sz w:val="24"/>
                <w:szCs w:val="24"/>
                <w:vertAlign w:val="superscript"/>
              </w:rPr>
              <w:t>9</w:t>
            </w:r>
            <w:r w:rsidRPr="00EE3AD4">
              <w:rPr>
                <w:noProof/>
                <w:sz w:val="24"/>
                <w:szCs w:val="24"/>
              </w:rPr>
              <w:t>/l</w:t>
            </w:r>
          </w:p>
        </w:tc>
        <w:tc>
          <w:tcPr>
            <w:tcW w:w="239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Afbryd behandlingen med lenalidomid</w:t>
            </w:r>
          </w:p>
        </w:tc>
      </w:tr>
      <w:tr w:rsidR="00EE3AD4" w:rsidRPr="00EE3AD4" w:rsidTr="00704AE1">
        <w:tc>
          <w:tcPr>
            <w:tcW w:w="261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Vender tilbage til ≥ 30 x 10</w:t>
            </w:r>
            <w:r w:rsidRPr="00EE3AD4">
              <w:rPr>
                <w:noProof/>
                <w:sz w:val="24"/>
                <w:szCs w:val="24"/>
                <w:vertAlign w:val="superscript"/>
              </w:rPr>
              <w:t>9</w:t>
            </w:r>
            <w:r w:rsidRPr="00EE3AD4">
              <w:rPr>
                <w:noProof/>
                <w:sz w:val="24"/>
                <w:szCs w:val="24"/>
              </w:rPr>
              <w:t>/l</w:t>
            </w:r>
          </w:p>
        </w:tc>
        <w:tc>
          <w:tcPr>
            <w:tcW w:w="2390"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Genoptag lenalidomid ved det næste lavere dosisniveau (dosisniveau -2 eller -3) én gang dagligt. Dosér ikke under 5 mg/dag</w:t>
            </w:r>
          </w:p>
        </w:tc>
      </w:tr>
    </w:tbl>
    <w:p w:rsidR="00EE3AD4" w:rsidRPr="00EE3AD4" w:rsidRDefault="00EE3AD4" w:rsidP="00704AE1">
      <w:pPr>
        <w:ind w:left="851"/>
        <w:rPr>
          <w:noProof/>
          <w:sz w:val="24"/>
          <w:szCs w:val="24"/>
        </w:rPr>
      </w:pPr>
    </w:p>
    <w:p w:rsidR="00EE3AD4" w:rsidRPr="00EE3AD4" w:rsidRDefault="00EE3AD4" w:rsidP="00704AE1">
      <w:pPr>
        <w:numPr>
          <w:ilvl w:val="0"/>
          <w:numId w:val="12"/>
        </w:numPr>
        <w:ind w:left="851" w:firstLine="0"/>
        <w:rPr>
          <w:i/>
          <w:iCs/>
          <w:noProof/>
          <w:sz w:val="24"/>
          <w:szCs w:val="24"/>
        </w:rPr>
      </w:pPr>
      <w:r w:rsidRPr="00EE3AD4">
        <w:rPr>
          <w:i/>
          <w:iCs/>
          <w:noProof/>
          <w:sz w:val="24"/>
          <w:szCs w:val="24"/>
        </w:rPr>
        <w:t>Absolutte neutrofiltal (ANC) - Neutropeni</w:t>
      </w:r>
    </w:p>
    <w:tbl>
      <w:tblPr>
        <w:tblW w:w="5000"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28"/>
        <w:gridCol w:w="4600"/>
      </w:tblGrid>
      <w:tr w:rsidR="00EE3AD4" w:rsidRPr="00EE3AD4" w:rsidTr="00704AE1">
        <w:tc>
          <w:tcPr>
            <w:tcW w:w="2611"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i/>
                <w:iCs/>
                <w:noProof/>
                <w:sz w:val="24"/>
                <w:szCs w:val="24"/>
              </w:rPr>
            </w:pPr>
            <w:r w:rsidRPr="00EE3AD4">
              <w:rPr>
                <w:noProof/>
                <w:sz w:val="24"/>
                <w:szCs w:val="24"/>
              </w:rPr>
              <w:t>Når ANC</w:t>
            </w:r>
          </w:p>
        </w:tc>
        <w:tc>
          <w:tcPr>
            <w:tcW w:w="2389"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i/>
                <w:iCs/>
                <w:noProof/>
                <w:sz w:val="24"/>
                <w:szCs w:val="24"/>
              </w:rPr>
            </w:pPr>
            <w:r w:rsidRPr="00EE3AD4">
              <w:rPr>
                <w:noProof/>
                <w:sz w:val="24"/>
                <w:szCs w:val="24"/>
              </w:rPr>
              <w:t>Anbefalet forløb</w:t>
            </w:r>
            <w:r w:rsidRPr="00EE3AD4">
              <w:rPr>
                <w:noProof/>
                <w:sz w:val="24"/>
                <w:szCs w:val="24"/>
                <w:vertAlign w:val="superscript"/>
              </w:rPr>
              <w:t>a</w:t>
            </w:r>
          </w:p>
        </w:tc>
      </w:tr>
      <w:tr w:rsidR="00EE3AD4" w:rsidRPr="00EE3AD4" w:rsidTr="00704AE1">
        <w:tc>
          <w:tcPr>
            <w:tcW w:w="2611"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Først falder til &lt; 0,5 x 10</w:t>
            </w:r>
            <w:r w:rsidRPr="00EE3AD4">
              <w:rPr>
                <w:noProof/>
                <w:sz w:val="24"/>
                <w:szCs w:val="24"/>
                <w:vertAlign w:val="superscript"/>
              </w:rPr>
              <w:t>9</w:t>
            </w:r>
            <w:r w:rsidRPr="00EE3AD4">
              <w:rPr>
                <w:noProof/>
                <w:sz w:val="24"/>
                <w:szCs w:val="24"/>
              </w:rPr>
              <w:t>/l</w:t>
            </w:r>
          </w:p>
          <w:p w:rsidR="00EE3AD4" w:rsidRPr="00EE3AD4" w:rsidRDefault="00EE3AD4">
            <w:pPr>
              <w:rPr>
                <w:i/>
                <w:iCs/>
                <w:noProof/>
                <w:sz w:val="24"/>
                <w:szCs w:val="24"/>
              </w:rPr>
            </w:pPr>
            <w:r w:rsidRPr="00EE3AD4">
              <w:rPr>
                <w:noProof/>
                <w:sz w:val="24"/>
                <w:szCs w:val="24"/>
              </w:rPr>
              <w:t>Vender tilbage til ≥ 0,5 x 10</w:t>
            </w:r>
            <w:r w:rsidRPr="00EE3AD4">
              <w:rPr>
                <w:noProof/>
                <w:sz w:val="24"/>
                <w:szCs w:val="24"/>
                <w:vertAlign w:val="superscript"/>
              </w:rPr>
              <w:t>9</w:t>
            </w:r>
            <w:r w:rsidRPr="00EE3AD4">
              <w:rPr>
                <w:noProof/>
                <w:sz w:val="24"/>
                <w:szCs w:val="24"/>
              </w:rPr>
              <w:t>/l, når neutropeni er den eneste observerede toksicitet</w:t>
            </w:r>
          </w:p>
        </w:tc>
        <w:tc>
          <w:tcPr>
            <w:tcW w:w="2389"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Afbryd behandlingen med lenalidomid</w:t>
            </w:r>
          </w:p>
          <w:p w:rsidR="00EE3AD4" w:rsidRPr="00EE3AD4" w:rsidRDefault="00EE3AD4">
            <w:pPr>
              <w:rPr>
                <w:noProof/>
                <w:sz w:val="24"/>
                <w:szCs w:val="24"/>
              </w:rPr>
            </w:pPr>
            <w:r w:rsidRPr="00EE3AD4">
              <w:rPr>
                <w:noProof/>
                <w:sz w:val="24"/>
                <w:szCs w:val="24"/>
              </w:rPr>
              <w:t>Genoptag lenalidomid ved startdosis én gang dagligt</w:t>
            </w:r>
          </w:p>
        </w:tc>
      </w:tr>
      <w:tr w:rsidR="00EE3AD4" w:rsidRPr="00EE3AD4" w:rsidTr="00704AE1">
        <w:tc>
          <w:tcPr>
            <w:tcW w:w="2611"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i/>
                <w:iCs/>
                <w:noProof/>
                <w:sz w:val="24"/>
                <w:szCs w:val="24"/>
              </w:rPr>
            </w:pPr>
            <w:r w:rsidRPr="00EE3AD4">
              <w:rPr>
                <w:noProof/>
                <w:sz w:val="24"/>
                <w:szCs w:val="24"/>
              </w:rPr>
              <w:t>Vender tilbage til ≥ 0,5 x 10</w:t>
            </w:r>
            <w:r w:rsidRPr="00EE3AD4">
              <w:rPr>
                <w:noProof/>
                <w:sz w:val="24"/>
                <w:szCs w:val="24"/>
                <w:vertAlign w:val="superscript"/>
              </w:rPr>
              <w:t>9</w:t>
            </w:r>
            <w:r w:rsidRPr="00EE3AD4">
              <w:rPr>
                <w:noProof/>
                <w:sz w:val="24"/>
                <w:szCs w:val="24"/>
              </w:rPr>
              <w:t>/l, når andre dosisafhængige hæmatologiske toksiciteter end neutropeni observeres</w:t>
            </w:r>
          </w:p>
        </w:tc>
        <w:tc>
          <w:tcPr>
            <w:tcW w:w="2389"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Genoptag lenalidomid ved dosisniveau -1 én gang dagligt</w:t>
            </w:r>
          </w:p>
        </w:tc>
      </w:tr>
      <w:tr w:rsidR="00EE3AD4" w:rsidRPr="00EE3AD4" w:rsidTr="00704AE1">
        <w:tc>
          <w:tcPr>
            <w:tcW w:w="2611"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For hvert efterfølgende fald til under &lt; 0,5 x 10</w:t>
            </w:r>
            <w:r w:rsidRPr="00EE3AD4">
              <w:rPr>
                <w:noProof/>
                <w:sz w:val="24"/>
                <w:szCs w:val="24"/>
                <w:vertAlign w:val="superscript"/>
              </w:rPr>
              <w:t>9</w:t>
            </w:r>
            <w:r w:rsidRPr="00EE3AD4">
              <w:rPr>
                <w:noProof/>
                <w:sz w:val="24"/>
                <w:szCs w:val="24"/>
              </w:rPr>
              <w:t>/l</w:t>
            </w:r>
          </w:p>
          <w:p w:rsidR="00EE3AD4" w:rsidRPr="00EE3AD4" w:rsidRDefault="00EE3AD4">
            <w:pPr>
              <w:rPr>
                <w:i/>
                <w:iCs/>
                <w:noProof/>
                <w:sz w:val="24"/>
                <w:szCs w:val="24"/>
              </w:rPr>
            </w:pPr>
            <w:r w:rsidRPr="00EE3AD4">
              <w:rPr>
                <w:noProof/>
                <w:sz w:val="24"/>
                <w:szCs w:val="24"/>
              </w:rPr>
              <w:t>Vender tilbage til ≥ 0,5 x 10</w:t>
            </w:r>
            <w:r w:rsidRPr="00EE3AD4">
              <w:rPr>
                <w:noProof/>
                <w:sz w:val="24"/>
                <w:szCs w:val="24"/>
                <w:vertAlign w:val="superscript"/>
              </w:rPr>
              <w:t>9</w:t>
            </w:r>
            <w:r w:rsidRPr="00EE3AD4">
              <w:rPr>
                <w:noProof/>
                <w:sz w:val="24"/>
                <w:szCs w:val="24"/>
              </w:rPr>
              <w:t>/l</w:t>
            </w:r>
          </w:p>
        </w:tc>
        <w:tc>
          <w:tcPr>
            <w:tcW w:w="2389" w:type="pct"/>
            <w:tcBorders>
              <w:top w:val="single" w:sz="4" w:space="0" w:color="auto"/>
              <w:left w:val="single" w:sz="4" w:space="0" w:color="auto"/>
              <w:bottom w:val="single" w:sz="4" w:space="0" w:color="auto"/>
              <w:right w:val="single" w:sz="4" w:space="0" w:color="auto"/>
            </w:tcBorders>
            <w:hideMark/>
          </w:tcPr>
          <w:p w:rsidR="00EE3AD4" w:rsidRPr="00EE3AD4" w:rsidRDefault="00EE3AD4">
            <w:pPr>
              <w:rPr>
                <w:noProof/>
                <w:sz w:val="24"/>
                <w:szCs w:val="24"/>
              </w:rPr>
            </w:pPr>
            <w:r w:rsidRPr="00EE3AD4">
              <w:rPr>
                <w:noProof/>
                <w:sz w:val="24"/>
                <w:szCs w:val="24"/>
              </w:rPr>
              <w:t>Afbryd behandlingen med lenalidomid</w:t>
            </w:r>
          </w:p>
          <w:p w:rsidR="00EE3AD4" w:rsidRPr="00EE3AD4" w:rsidRDefault="00EE3AD4">
            <w:pPr>
              <w:rPr>
                <w:i/>
                <w:iCs/>
                <w:noProof/>
                <w:sz w:val="24"/>
                <w:szCs w:val="24"/>
              </w:rPr>
            </w:pPr>
            <w:r w:rsidRPr="00EE3AD4">
              <w:rPr>
                <w:noProof/>
                <w:sz w:val="24"/>
                <w:szCs w:val="24"/>
              </w:rPr>
              <w:t>Genoptag lenalidomid ved det næste lavere dosisniveau (dosisniveau -1, -2 eller -3) én gang dagligt. Dosér ikke under 5 mg/dag</w:t>
            </w:r>
          </w:p>
        </w:tc>
      </w:tr>
    </w:tbl>
    <w:p w:rsidR="00EE3AD4" w:rsidRPr="00EE3AD4" w:rsidRDefault="00EE3AD4" w:rsidP="00704AE1">
      <w:pPr>
        <w:ind w:left="851"/>
        <w:rPr>
          <w:noProof/>
          <w:sz w:val="24"/>
          <w:szCs w:val="24"/>
        </w:rPr>
      </w:pPr>
      <w:r w:rsidRPr="00EE3AD4">
        <w:rPr>
          <w:noProof/>
          <w:sz w:val="24"/>
          <w:szCs w:val="24"/>
          <w:vertAlign w:val="superscript"/>
        </w:rPr>
        <w:t>a</w:t>
      </w:r>
      <w:r w:rsidRPr="00EE3AD4">
        <w:rPr>
          <w:noProof/>
          <w:sz w:val="24"/>
          <w:szCs w:val="24"/>
        </w:rPr>
        <w:t xml:space="preserve"> Hvis neutropeni efter lægens skøn er den eneste toksicitet på et dosisniveau, tilføjes granulocyt-kolonistimulerende faktor (G-CSF), og dosisniveauet for lenalidomid opretholdes.</w:t>
      </w:r>
    </w:p>
    <w:p w:rsidR="00EE3AD4" w:rsidRPr="00EE3AD4" w:rsidRDefault="00EE3AD4" w:rsidP="00704AE1">
      <w:pPr>
        <w:ind w:left="851"/>
        <w:rPr>
          <w:noProof/>
          <w:sz w:val="24"/>
          <w:szCs w:val="24"/>
        </w:rPr>
      </w:pPr>
    </w:p>
    <w:p w:rsidR="00345490" w:rsidRPr="00876C3D" w:rsidRDefault="00345490" w:rsidP="00345490">
      <w:pPr>
        <w:tabs>
          <w:tab w:val="left" w:pos="720"/>
        </w:tabs>
        <w:autoSpaceDE w:val="0"/>
        <w:autoSpaceDN w:val="0"/>
        <w:adjustRightInd w:val="0"/>
        <w:ind w:left="893" w:hanging="43"/>
        <w:rPr>
          <w:i/>
          <w:iCs/>
          <w:sz w:val="24"/>
          <w:szCs w:val="24"/>
          <w:u w:val="single"/>
          <w:lang w:eastAsia="da-DK"/>
        </w:rPr>
      </w:pPr>
      <w:r w:rsidRPr="00876C3D">
        <w:rPr>
          <w:i/>
          <w:iCs/>
          <w:sz w:val="24"/>
          <w:szCs w:val="24"/>
          <w:u w:val="single"/>
          <w:lang w:eastAsia="da-DK"/>
        </w:rPr>
        <w:t>Myelodysplastisk syndrom (MDS)</w:t>
      </w:r>
    </w:p>
    <w:p w:rsidR="00345490" w:rsidRDefault="00345490" w:rsidP="00345490">
      <w:pPr>
        <w:tabs>
          <w:tab w:val="left" w:pos="720"/>
        </w:tabs>
        <w:autoSpaceDE w:val="0"/>
        <w:autoSpaceDN w:val="0"/>
        <w:adjustRightInd w:val="0"/>
        <w:ind w:left="850" w:firstLine="43"/>
        <w:rPr>
          <w:sz w:val="24"/>
          <w:szCs w:val="24"/>
          <w:lang w:eastAsia="da-DK"/>
        </w:rPr>
      </w:pPr>
      <w:r w:rsidRPr="000B7CDE">
        <w:rPr>
          <w:sz w:val="24"/>
          <w:szCs w:val="24"/>
          <w:lang w:eastAsia="da-DK"/>
        </w:rPr>
        <w:t>Behandling med lenalidomid må ikke startes ved ANC &lt; 0,5 x 10</w:t>
      </w:r>
      <w:r w:rsidRPr="00E210EA">
        <w:rPr>
          <w:sz w:val="24"/>
          <w:szCs w:val="24"/>
          <w:vertAlign w:val="superscript"/>
          <w:lang w:eastAsia="da-DK"/>
        </w:rPr>
        <w:t>9</w:t>
      </w:r>
      <w:r w:rsidRPr="000B7CDE">
        <w:rPr>
          <w:sz w:val="24"/>
          <w:szCs w:val="24"/>
          <w:lang w:eastAsia="da-DK"/>
        </w:rPr>
        <w:t>/l og/eller trombocyttal &lt; 25 x 10</w:t>
      </w:r>
      <w:r w:rsidRPr="00E210EA">
        <w:rPr>
          <w:sz w:val="24"/>
          <w:szCs w:val="24"/>
          <w:vertAlign w:val="superscript"/>
          <w:lang w:eastAsia="da-DK"/>
        </w:rPr>
        <w:t>9</w:t>
      </w:r>
      <w:r w:rsidRPr="000B7CDE">
        <w:rPr>
          <w:sz w:val="24"/>
          <w:szCs w:val="24"/>
          <w:lang w:eastAsia="da-DK"/>
        </w:rPr>
        <w:t>/l.</w:t>
      </w:r>
      <w:r>
        <w:rPr>
          <w:sz w:val="24"/>
          <w:szCs w:val="24"/>
          <w:lang w:eastAsia="da-DK"/>
        </w:rPr>
        <w:t xml:space="preserve"> </w:t>
      </w:r>
    </w:p>
    <w:p w:rsidR="00345490" w:rsidRDefault="00345490" w:rsidP="00345490">
      <w:pPr>
        <w:tabs>
          <w:tab w:val="left" w:pos="720"/>
        </w:tabs>
        <w:autoSpaceDE w:val="0"/>
        <w:autoSpaceDN w:val="0"/>
        <w:adjustRightInd w:val="0"/>
        <w:ind w:left="850" w:firstLine="43"/>
        <w:rPr>
          <w:sz w:val="24"/>
          <w:szCs w:val="24"/>
          <w:lang w:eastAsia="da-DK"/>
        </w:rPr>
      </w:pPr>
    </w:p>
    <w:p w:rsidR="00345490" w:rsidRPr="000B7CDE" w:rsidRDefault="00345490" w:rsidP="00345490">
      <w:pPr>
        <w:tabs>
          <w:tab w:val="left" w:pos="720"/>
        </w:tabs>
        <w:autoSpaceDE w:val="0"/>
        <w:autoSpaceDN w:val="0"/>
        <w:adjustRightInd w:val="0"/>
        <w:ind w:left="850" w:firstLine="43"/>
        <w:rPr>
          <w:i/>
          <w:iCs/>
          <w:sz w:val="24"/>
          <w:szCs w:val="24"/>
          <w:lang w:eastAsia="da-DK"/>
        </w:rPr>
      </w:pPr>
      <w:r w:rsidRPr="000B7CDE">
        <w:rPr>
          <w:i/>
          <w:iCs/>
          <w:sz w:val="24"/>
          <w:szCs w:val="24"/>
          <w:lang w:eastAsia="da-DK"/>
        </w:rPr>
        <w:t>Anbefalet dosis</w:t>
      </w:r>
    </w:p>
    <w:p w:rsidR="00345490" w:rsidRDefault="00345490" w:rsidP="00345490">
      <w:pPr>
        <w:tabs>
          <w:tab w:val="left" w:pos="720"/>
        </w:tabs>
        <w:autoSpaceDE w:val="0"/>
        <w:autoSpaceDN w:val="0"/>
        <w:adjustRightInd w:val="0"/>
        <w:ind w:left="850" w:firstLine="43"/>
        <w:rPr>
          <w:sz w:val="24"/>
          <w:szCs w:val="24"/>
          <w:lang w:eastAsia="da-DK"/>
        </w:rPr>
      </w:pPr>
      <w:r w:rsidRPr="000B7CDE">
        <w:rPr>
          <w:sz w:val="24"/>
          <w:szCs w:val="24"/>
          <w:lang w:eastAsia="da-DK"/>
        </w:rPr>
        <w:t>Den anbefalede startdosis af lenalidomid er 10 mg oralt én gang dagligt på dag 1 til 21 i gentagne</w:t>
      </w:r>
      <w:r>
        <w:rPr>
          <w:sz w:val="24"/>
          <w:szCs w:val="24"/>
          <w:lang w:eastAsia="da-DK"/>
        </w:rPr>
        <w:t xml:space="preserve"> </w:t>
      </w:r>
      <w:r w:rsidRPr="000B7CDE">
        <w:rPr>
          <w:sz w:val="24"/>
          <w:szCs w:val="24"/>
          <w:lang w:eastAsia="da-DK"/>
        </w:rPr>
        <w:t>cyklusser af 28-dages varighed.</w:t>
      </w:r>
    </w:p>
    <w:p w:rsidR="00345490" w:rsidRDefault="00345490" w:rsidP="00345490">
      <w:pPr>
        <w:rPr>
          <w:i/>
          <w:iCs/>
          <w:sz w:val="24"/>
          <w:szCs w:val="24"/>
        </w:rPr>
      </w:pPr>
    </w:p>
    <w:p w:rsidR="00345490" w:rsidRPr="00D93C27" w:rsidRDefault="00345490" w:rsidP="00345490">
      <w:pPr>
        <w:numPr>
          <w:ilvl w:val="0"/>
          <w:numId w:val="6"/>
        </w:numPr>
        <w:tabs>
          <w:tab w:val="left" w:pos="851"/>
        </w:tabs>
        <w:ind w:left="1134" w:hanging="283"/>
        <w:rPr>
          <w:i/>
          <w:iCs/>
          <w:sz w:val="24"/>
          <w:szCs w:val="24"/>
        </w:rPr>
      </w:pPr>
      <w:r w:rsidRPr="00D93C27">
        <w:rPr>
          <w:i/>
          <w:iCs/>
          <w:sz w:val="24"/>
          <w:szCs w:val="24"/>
        </w:rPr>
        <w:t>Dosisreduktionstrin</w:t>
      </w:r>
    </w:p>
    <w:tbl>
      <w:tblPr>
        <w:tblW w:w="5000" w:type="pct"/>
        <w:tblInd w:w="846" w:type="dxa"/>
        <w:tblCellMar>
          <w:left w:w="0" w:type="dxa"/>
          <w:right w:w="0" w:type="dxa"/>
        </w:tblCellMar>
        <w:tblLook w:val="04A0" w:firstRow="1" w:lastRow="0" w:firstColumn="1" w:lastColumn="0" w:noHBand="0" w:noVBand="1"/>
      </w:tblPr>
      <w:tblGrid>
        <w:gridCol w:w="2915"/>
        <w:gridCol w:w="6713"/>
      </w:tblGrid>
      <w:tr w:rsidR="00345490" w:rsidRPr="00D93C27" w:rsidTr="00345490">
        <w:trPr>
          <w:trHeight w:val="20"/>
        </w:trPr>
        <w:tc>
          <w:tcPr>
            <w:tcW w:w="1514" w:type="pct"/>
            <w:tcBorders>
              <w:top w:val="single" w:sz="4" w:space="0" w:color="000000"/>
              <w:left w:val="single" w:sz="4" w:space="0" w:color="000000"/>
              <w:bottom w:val="single" w:sz="4" w:space="0" w:color="000000"/>
              <w:right w:val="single" w:sz="4" w:space="0" w:color="000000"/>
            </w:tcBorders>
            <w:hideMark/>
          </w:tcPr>
          <w:p w:rsidR="00345490" w:rsidRPr="000F2B51" w:rsidRDefault="00345490" w:rsidP="00345490">
            <w:pPr>
              <w:ind w:left="143"/>
              <w:rPr>
                <w:sz w:val="24"/>
                <w:szCs w:val="24"/>
              </w:rPr>
            </w:pPr>
            <w:r w:rsidRPr="000F2B51">
              <w:rPr>
                <w:sz w:val="24"/>
                <w:szCs w:val="24"/>
              </w:rPr>
              <w:t>Startdosis</w:t>
            </w:r>
          </w:p>
        </w:tc>
        <w:tc>
          <w:tcPr>
            <w:tcW w:w="3486" w:type="pct"/>
            <w:tcBorders>
              <w:top w:val="single" w:sz="4" w:space="0" w:color="000000"/>
              <w:left w:val="single" w:sz="4" w:space="0" w:color="000000"/>
              <w:bottom w:val="single" w:sz="4" w:space="0" w:color="000000"/>
              <w:right w:val="single" w:sz="4" w:space="0" w:color="000000"/>
            </w:tcBorders>
            <w:hideMark/>
          </w:tcPr>
          <w:p w:rsidR="00345490" w:rsidRPr="00E210EA" w:rsidRDefault="00345490" w:rsidP="00345490">
            <w:pPr>
              <w:autoSpaceDE w:val="0"/>
              <w:autoSpaceDN w:val="0"/>
              <w:adjustRightInd w:val="0"/>
              <w:ind w:left="174"/>
              <w:rPr>
                <w:sz w:val="24"/>
                <w:szCs w:val="24"/>
              </w:rPr>
            </w:pPr>
            <w:r w:rsidRPr="00E210EA">
              <w:rPr>
                <w:sz w:val="24"/>
                <w:szCs w:val="24"/>
                <w:lang w:eastAsia="da-DK"/>
              </w:rPr>
              <w:t>10 mg én gang dagligt på dag 1 til 21 i hver cyklus på 28 dage</w:t>
            </w:r>
          </w:p>
        </w:tc>
      </w:tr>
      <w:tr w:rsidR="00345490" w:rsidRPr="00D93C27" w:rsidTr="00345490">
        <w:trPr>
          <w:trHeight w:val="20"/>
        </w:trPr>
        <w:tc>
          <w:tcPr>
            <w:tcW w:w="1514" w:type="pct"/>
            <w:tcBorders>
              <w:top w:val="single" w:sz="4" w:space="0" w:color="000000"/>
              <w:left w:val="single" w:sz="4" w:space="0" w:color="000000"/>
              <w:bottom w:val="single" w:sz="4" w:space="0" w:color="000000"/>
              <w:right w:val="single" w:sz="4" w:space="0" w:color="000000"/>
            </w:tcBorders>
            <w:hideMark/>
          </w:tcPr>
          <w:p w:rsidR="00345490" w:rsidRPr="000F2B51" w:rsidRDefault="00345490" w:rsidP="00345490">
            <w:pPr>
              <w:ind w:left="143"/>
              <w:rPr>
                <w:sz w:val="24"/>
                <w:szCs w:val="24"/>
              </w:rPr>
            </w:pPr>
            <w:r w:rsidRPr="000F2B51">
              <w:rPr>
                <w:sz w:val="24"/>
                <w:szCs w:val="24"/>
              </w:rPr>
              <w:t>Dosisniveau -1</w:t>
            </w:r>
          </w:p>
        </w:tc>
        <w:tc>
          <w:tcPr>
            <w:tcW w:w="3486" w:type="pct"/>
            <w:tcBorders>
              <w:top w:val="single" w:sz="4" w:space="0" w:color="000000"/>
              <w:left w:val="single" w:sz="4" w:space="0" w:color="000000"/>
              <w:bottom w:val="single" w:sz="4" w:space="0" w:color="000000"/>
              <w:right w:val="single" w:sz="4" w:space="0" w:color="000000"/>
            </w:tcBorders>
            <w:hideMark/>
          </w:tcPr>
          <w:p w:rsidR="00345490" w:rsidRPr="00E210EA" w:rsidRDefault="00345490" w:rsidP="00345490">
            <w:pPr>
              <w:autoSpaceDE w:val="0"/>
              <w:autoSpaceDN w:val="0"/>
              <w:adjustRightInd w:val="0"/>
              <w:ind w:left="174"/>
              <w:rPr>
                <w:sz w:val="24"/>
                <w:szCs w:val="24"/>
              </w:rPr>
            </w:pPr>
            <w:r w:rsidRPr="00E210EA">
              <w:rPr>
                <w:sz w:val="24"/>
                <w:szCs w:val="24"/>
                <w:lang w:eastAsia="da-DK"/>
              </w:rPr>
              <w:t>5,0 mg én gang dagligt på dag 1 til 28 i hver cyklus på 28 dage</w:t>
            </w:r>
          </w:p>
        </w:tc>
      </w:tr>
      <w:tr w:rsidR="00345490" w:rsidRPr="00D93C27" w:rsidTr="00345490">
        <w:trPr>
          <w:trHeight w:val="20"/>
        </w:trPr>
        <w:tc>
          <w:tcPr>
            <w:tcW w:w="1514" w:type="pct"/>
            <w:tcBorders>
              <w:top w:val="single" w:sz="4" w:space="0" w:color="000000"/>
              <w:left w:val="single" w:sz="4" w:space="0" w:color="000000"/>
              <w:bottom w:val="single" w:sz="4" w:space="0" w:color="000000"/>
              <w:right w:val="single" w:sz="4" w:space="0" w:color="000000"/>
            </w:tcBorders>
            <w:hideMark/>
          </w:tcPr>
          <w:p w:rsidR="00345490" w:rsidRPr="000F2B51" w:rsidRDefault="00345490" w:rsidP="00345490">
            <w:pPr>
              <w:ind w:left="143"/>
              <w:rPr>
                <w:sz w:val="24"/>
                <w:szCs w:val="24"/>
              </w:rPr>
            </w:pPr>
            <w:r w:rsidRPr="000F2B51">
              <w:rPr>
                <w:sz w:val="24"/>
                <w:szCs w:val="24"/>
              </w:rPr>
              <w:t>Dosisniveau -2</w:t>
            </w:r>
          </w:p>
        </w:tc>
        <w:tc>
          <w:tcPr>
            <w:tcW w:w="3486" w:type="pct"/>
            <w:tcBorders>
              <w:top w:val="single" w:sz="4" w:space="0" w:color="000000"/>
              <w:left w:val="single" w:sz="4" w:space="0" w:color="000000"/>
              <w:bottom w:val="single" w:sz="4" w:space="0" w:color="000000"/>
              <w:right w:val="single" w:sz="4" w:space="0" w:color="000000"/>
            </w:tcBorders>
            <w:hideMark/>
          </w:tcPr>
          <w:p w:rsidR="00345490" w:rsidRPr="00E210EA" w:rsidRDefault="00345490" w:rsidP="00345490">
            <w:pPr>
              <w:autoSpaceDE w:val="0"/>
              <w:autoSpaceDN w:val="0"/>
              <w:adjustRightInd w:val="0"/>
              <w:ind w:left="264"/>
              <w:rPr>
                <w:sz w:val="24"/>
                <w:szCs w:val="24"/>
              </w:rPr>
            </w:pPr>
            <w:r w:rsidRPr="00E210EA">
              <w:rPr>
                <w:sz w:val="24"/>
                <w:szCs w:val="24"/>
                <w:lang w:eastAsia="da-DK"/>
              </w:rPr>
              <w:t>2,5 mg én gang dagligt på dag 1 til 28 i hver cyklus på 28 dage</w:t>
            </w:r>
          </w:p>
        </w:tc>
      </w:tr>
      <w:tr w:rsidR="00345490" w:rsidRPr="00D93C27" w:rsidTr="00345490">
        <w:trPr>
          <w:trHeight w:val="20"/>
        </w:trPr>
        <w:tc>
          <w:tcPr>
            <w:tcW w:w="1514" w:type="pct"/>
            <w:tcBorders>
              <w:top w:val="single" w:sz="4" w:space="0" w:color="000000"/>
              <w:left w:val="single" w:sz="4" w:space="0" w:color="000000"/>
              <w:bottom w:val="single" w:sz="4" w:space="0" w:color="000000"/>
              <w:right w:val="single" w:sz="4" w:space="0" w:color="000000"/>
            </w:tcBorders>
            <w:hideMark/>
          </w:tcPr>
          <w:p w:rsidR="00345490" w:rsidRPr="000F2B51" w:rsidRDefault="00345490" w:rsidP="00345490">
            <w:pPr>
              <w:ind w:left="143"/>
              <w:rPr>
                <w:sz w:val="24"/>
                <w:szCs w:val="24"/>
              </w:rPr>
            </w:pPr>
            <w:r w:rsidRPr="000F2B51">
              <w:rPr>
                <w:sz w:val="24"/>
                <w:szCs w:val="24"/>
              </w:rPr>
              <w:t>Dosisniveau -3</w:t>
            </w:r>
          </w:p>
        </w:tc>
        <w:tc>
          <w:tcPr>
            <w:tcW w:w="3486" w:type="pct"/>
            <w:tcBorders>
              <w:top w:val="single" w:sz="4" w:space="0" w:color="000000"/>
              <w:left w:val="single" w:sz="4" w:space="0" w:color="000000"/>
              <w:bottom w:val="single" w:sz="4" w:space="0" w:color="000000"/>
              <w:right w:val="single" w:sz="4" w:space="0" w:color="000000"/>
            </w:tcBorders>
            <w:hideMark/>
          </w:tcPr>
          <w:p w:rsidR="00345490" w:rsidRPr="00E210EA" w:rsidRDefault="00345490" w:rsidP="00345490">
            <w:pPr>
              <w:ind w:left="264"/>
              <w:rPr>
                <w:sz w:val="24"/>
                <w:szCs w:val="24"/>
              </w:rPr>
            </w:pPr>
            <w:r w:rsidRPr="00E210EA">
              <w:rPr>
                <w:sz w:val="24"/>
                <w:szCs w:val="24"/>
                <w:lang w:eastAsia="da-DK"/>
              </w:rPr>
              <w:t>2,5 mg hver 2. dag 1-28 i hver cyklus på 28 dag</w:t>
            </w:r>
          </w:p>
        </w:tc>
      </w:tr>
    </w:tbl>
    <w:p w:rsidR="00345490" w:rsidRPr="00D93C27" w:rsidRDefault="00345490" w:rsidP="00345490">
      <w:pPr>
        <w:rPr>
          <w:i/>
          <w:iCs/>
          <w:sz w:val="24"/>
          <w:szCs w:val="24"/>
        </w:rPr>
      </w:pPr>
    </w:p>
    <w:p w:rsidR="00345490" w:rsidRPr="00D93C27" w:rsidRDefault="00345490" w:rsidP="00345490">
      <w:pPr>
        <w:numPr>
          <w:ilvl w:val="0"/>
          <w:numId w:val="6"/>
        </w:numPr>
        <w:tabs>
          <w:tab w:val="left" w:pos="851"/>
        </w:tabs>
        <w:ind w:left="1134" w:hanging="283"/>
        <w:rPr>
          <w:i/>
          <w:iCs/>
          <w:sz w:val="24"/>
          <w:szCs w:val="24"/>
        </w:rPr>
      </w:pPr>
      <w:r w:rsidRPr="00D93C27">
        <w:rPr>
          <w:i/>
          <w:iCs/>
          <w:sz w:val="24"/>
          <w:szCs w:val="24"/>
        </w:rPr>
        <w:t>Trombocytopeni</w:t>
      </w:r>
    </w:p>
    <w:tbl>
      <w:tblPr>
        <w:tblW w:w="5000" w:type="pct"/>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1"/>
        <w:gridCol w:w="4837"/>
      </w:tblGrid>
      <w:tr w:rsidR="00345490" w:rsidRPr="008A6EE6" w:rsidTr="00345490">
        <w:tc>
          <w:tcPr>
            <w:tcW w:w="2488" w:type="pct"/>
            <w:hideMark/>
          </w:tcPr>
          <w:p w:rsidR="00345490" w:rsidRPr="000F2B51" w:rsidRDefault="00345490" w:rsidP="00345490">
            <w:pPr>
              <w:ind w:left="33"/>
              <w:rPr>
                <w:sz w:val="24"/>
                <w:szCs w:val="24"/>
              </w:rPr>
            </w:pPr>
            <w:r w:rsidRPr="000F2B51">
              <w:rPr>
                <w:sz w:val="24"/>
                <w:szCs w:val="24"/>
              </w:rPr>
              <w:t>Når trombocyttallet</w:t>
            </w:r>
          </w:p>
        </w:tc>
        <w:tc>
          <w:tcPr>
            <w:tcW w:w="2512" w:type="pct"/>
            <w:hideMark/>
          </w:tcPr>
          <w:p w:rsidR="00345490" w:rsidRPr="000F2B51" w:rsidRDefault="00345490" w:rsidP="00345490">
            <w:pPr>
              <w:rPr>
                <w:sz w:val="24"/>
                <w:szCs w:val="24"/>
              </w:rPr>
            </w:pPr>
            <w:r w:rsidRPr="000F2B51">
              <w:rPr>
                <w:sz w:val="24"/>
                <w:szCs w:val="24"/>
              </w:rPr>
              <w:t>Anbefalet forløb</w:t>
            </w:r>
          </w:p>
        </w:tc>
      </w:tr>
      <w:tr w:rsidR="00345490" w:rsidRPr="008A6EE6" w:rsidTr="00345490">
        <w:tc>
          <w:tcPr>
            <w:tcW w:w="2488" w:type="pct"/>
            <w:hideMark/>
          </w:tcPr>
          <w:p w:rsidR="00345490" w:rsidRPr="000F2B51" w:rsidRDefault="00345490" w:rsidP="00345490">
            <w:pPr>
              <w:ind w:left="33"/>
              <w:rPr>
                <w:sz w:val="24"/>
                <w:szCs w:val="24"/>
              </w:rPr>
            </w:pPr>
            <w:r w:rsidRPr="000F2B51">
              <w:rPr>
                <w:sz w:val="24"/>
                <w:szCs w:val="24"/>
              </w:rPr>
              <w:t>Falder til &lt; 25 x 10</w:t>
            </w:r>
            <w:r w:rsidRPr="000F2B51">
              <w:rPr>
                <w:sz w:val="24"/>
                <w:szCs w:val="24"/>
                <w:vertAlign w:val="superscript"/>
              </w:rPr>
              <w:t>9</w:t>
            </w:r>
            <w:r w:rsidRPr="000F2B51">
              <w:rPr>
                <w:sz w:val="24"/>
                <w:szCs w:val="24"/>
              </w:rPr>
              <w:t>/l</w:t>
            </w:r>
          </w:p>
          <w:p w:rsidR="00345490" w:rsidRPr="008A6EE6" w:rsidRDefault="00345490" w:rsidP="00345490">
            <w:pPr>
              <w:ind w:left="33"/>
              <w:rPr>
                <w:sz w:val="24"/>
                <w:szCs w:val="24"/>
              </w:rPr>
            </w:pPr>
            <w:r w:rsidRPr="00CF3A32">
              <w:rPr>
                <w:sz w:val="24"/>
                <w:szCs w:val="24"/>
              </w:rPr>
              <w:t xml:space="preserve">Igen er </w:t>
            </w:r>
            <w:r w:rsidRPr="008A6EE6">
              <w:rPr>
                <w:sz w:val="24"/>
                <w:szCs w:val="24"/>
              </w:rPr>
              <w:t>≥ 25 x 10</w:t>
            </w:r>
            <w:r w:rsidRPr="008A6EE6">
              <w:rPr>
                <w:sz w:val="24"/>
                <w:szCs w:val="24"/>
                <w:vertAlign w:val="superscript"/>
              </w:rPr>
              <w:t>9</w:t>
            </w:r>
            <w:r w:rsidRPr="008A6EE6">
              <w:rPr>
                <w:sz w:val="24"/>
                <w:szCs w:val="24"/>
              </w:rPr>
              <w:t>/l - &lt; 50 x 10</w:t>
            </w:r>
            <w:r w:rsidRPr="008A6EE6">
              <w:rPr>
                <w:sz w:val="24"/>
                <w:szCs w:val="24"/>
                <w:vertAlign w:val="superscript"/>
              </w:rPr>
              <w:t>9</w:t>
            </w:r>
            <w:r w:rsidRPr="008A6EE6">
              <w:rPr>
                <w:sz w:val="24"/>
                <w:szCs w:val="24"/>
              </w:rPr>
              <w:t>/l på mindst 2 tidspunkter i ≥ 7 dage, eller når trombocyttallet forbedres til ≥ 50 x 10</w:t>
            </w:r>
            <w:r w:rsidRPr="008A6EE6">
              <w:rPr>
                <w:sz w:val="24"/>
                <w:szCs w:val="24"/>
                <w:vertAlign w:val="superscript"/>
              </w:rPr>
              <w:t>9</w:t>
            </w:r>
            <w:r w:rsidRPr="008A6EE6">
              <w:rPr>
                <w:sz w:val="24"/>
                <w:szCs w:val="24"/>
              </w:rPr>
              <w:t xml:space="preserve">/l på et vilkårligt tidspunkt </w:t>
            </w:r>
          </w:p>
        </w:tc>
        <w:tc>
          <w:tcPr>
            <w:tcW w:w="2512" w:type="pct"/>
            <w:hideMark/>
          </w:tcPr>
          <w:p w:rsidR="00345490" w:rsidRPr="008A6EE6" w:rsidRDefault="00345490" w:rsidP="00345490">
            <w:pPr>
              <w:rPr>
                <w:sz w:val="24"/>
                <w:szCs w:val="24"/>
              </w:rPr>
            </w:pPr>
            <w:r w:rsidRPr="008A6EE6">
              <w:rPr>
                <w:sz w:val="24"/>
                <w:szCs w:val="24"/>
              </w:rPr>
              <w:t>Afbryd behandlingen med lenalidomid</w:t>
            </w:r>
          </w:p>
          <w:p w:rsidR="00345490" w:rsidRPr="008A6EE6" w:rsidRDefault="00345490" w:rsidP="00345490">
            <w:pPr>
              <w:rPr>
                <w:sz w:val="24"/>
                <w:szCs w:val="24"/>
              </w:rPr>
            </w:pPr>
            <w:r w:rsidRPr="008A6EE6">
              <w:rPr>
                <w:sz w:val="24"/>
                <w:szCs w:val="24"/>
              </w:rPr>
              <w:t>Genoptag lenalidomid ved det næste lavere dosisniveau (dosisniveau -1, -2 eller -3)</w:t>
            </w:r>
          </w:p>
        </w:tc>
      </w:tr>
    </w:tbl>
    <w:p w:rsidR="00345490" w:rsidRPr="008A6EE6" w:rsidRDefault="00345490" w:rsidP="00345490">
      <w:pPr>
        <w:tabs>
          <w:tab w:val="left" w:pos="851"/>
        </w:tabs>
        <w:ind w:left="851"/>
        <w:rPr>
          <w:sz w:val="24"/>
          <w:szCs w:val="24"/>
        </w:rPr>
      </w:pPr>
    </w:p>
    <w:p w:rsidR="00345490" w:rsidRPr="00CF3A32" w:rsidRDefault="00345490" w:rsidP="00345490">
      <w:pPr>
        <w:numPr>
          <w:ilvl w:val="0"/>
          <w:numId w:val="6"/>
        </w:numPr>
        <w:tabs>
          <w:tab w:val="left" w:pos="851"/>
        </w:tabs>
        <w:ind w:left="1134" w:hanging="283"/>
        <w:rPr>
          <w:i/>
          <w:iCs/>
          <w:sz w:val="24"/>
          <w:szCs w:val="24"/>
        </w:rPr>
      </w:pPr>
      <w:r w:rsidRPr="000F2B51">
        <w:rPr>
          <w:i/>
          <w:iCs/>
          <w:sz w:val="24"/>
          <w:szCs w:val="24"/>
          <w:lang w:eastAsia="da-DK"/>
        </w:rPr>
        <w:t>Absolutte neutrofiltal (ANC) -</w:t>
      </w:r>
      <w:r w:rsidRPr="000F2B51">
        <w:rPr>
          <w:i/>
          <w:iCs/>
          <w:sz w:val="22"/>
          <w:szCs w:val="22"/>
          <w:lang w:eastAsia="da-DK"/>
        </w:rPr>
        <w:t xml:space="preserve"> </w:t>
      </w:r>
      <w:r w:rsidRPr="00CF3A32">
        <w:rPr>
          <w:i/>
          <w:iCs/>
          <w:sz w:val="24"/>
          <w:szCs w:val="24"/>
        </w:rPr>
        <w:t>Neutropeni</w:t>
      </w:r>
    </w:p>
    <w:tbl>
      <w:tblPr>
        <w:tblW w:w="4977" w:type="pct"/>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4769"/>
      </w:tblGrid>
      <w:tr w:rsidR="00345490" w:rsidRPr="008A6EE6" w:rsidTr="00345490">
        <w:tc>
          <w:tcPr>
            <w:tcW w:w="2512" w:type="pct"/>
            <w:hideMark/>
          </w:tcPr>
          <w:p w:rsidR="00345490" w:rsidRPr="000F2B51" w:rsidRDefault="00345490" w:rsidP="00345490">
            <w:pPr>
              <w:ind w:left="31"/>
              <w:rPr>
                <w:i/>
                <w:iCs/>
                <w:sz w:val="24"/>
                <w:szCs w:val="24"/>
              </w:rPr>
            </w:pPr>
            <w:proofErr w:type="gramStart"/>
            <w:r w:rsidRPr="000F2B51">
              <w:rPr>
                <w:sz w:val="24"/>
                <w:szCs w:val="24"/>
              </w:rPr>
              <w:t xml:space="preserve">Når </w:t>
            </w:r>
            <w:r>
              <w:rPr>
                <w:sz w:val="24"/>
                <w:szCs w:val="24"/>
              </w:rPr>
              <w:t xml:space="preserve"> ANC</w:t>
            </w:r>
            <w:proofErr w:type="gramEnd"/>
          </w:p>
        </w:tc>
        <w:tc>
          <w:tcPr>
            <w:tcW w:w="2488" w:type="pct"/>
            <w:hideMark/>
          </w:tcPr>
          <w:p w:rsidR="00345490" w:rsidRPr="000F2B51" w:rsidRDefault="00345490" w:rsidP="00345490">
            <w:pPr>
              <w:ind w:left="106"/>
              <w:rPr>
                <w:i/>
                <w:iCs/>
                <w:sz w:val="24"/>
                <w:szCs w:val="24"/>
              </w:rPr>
            </w:pPr>
            <w:r w:rsidRPr="000F2B51">
              <w:rPr>
                <w:sz w:val="24"/>
                <w:szCs w:val="24"/>
              </w:rPr>
              <w:t>Anbefalet forløb</w:t>
            </w:r>
          </w:p>
        </w:tc>
      </w:tr>
      <w:tr w:rsidR="00345490" w:rsidRPr="008A6EE6" w:rsidTr="00345490">
        <w:tc>
          <w:tcPr>
            <w:tcW w:w="2512" w:type="pct"/>
            <w:hideMark/>
          </w:tcPr>
          <w:p w:rsidR="00345490" w:rsidRPr="000F2B51" w:rsidRDefault="00345490" w:rsidP="00345490">
            <w:pPr>
              <w:ind w:left="31"/>
              <w:rPr>
                <w:sz w:val="24"/>
                <w:szCs w:val="24"/>
              </w:rPr>
            </w:pPr>
            <w:r w:rsidRPr="000F2B51">
              <w:rPr>
                <w:sz w:val="24"/>
                <w:szCs w:val="24"/>
              </w:rPr>
              <w:t>Falder til &lt; 0,5 x 10</w:t>
            </w:r>
            <w:r w:rsidRPr="000F2B51">
              <w:rPr>
                <w:sz w:val="24"/>
                <w:szCs w:val="24"/>
                <w:vertAlign w:val="superscript"/>
              </w:rPr>
              <w:t>9</w:t>
            </w:r>
            <w:r w:rsidRPr="000F2B51">
              <w:rPr>
                <w:sz w:val="24"/>
                <w:szCs w:val="24"/>
              </w:rPr>
              <w:t>/l</w:t>
            </w:r>
          </w:p>
          <w:p w:rsidR="00345490" w:rsidRPr="008A6EE6" w:rsidRDefault="00345490" w:rsidP="00345490">
            <w:pPr>
              <w:ind w:left="31"/>
              <w:rPr>
                <w:sz w:val="24"/>
                <w:szCs w:val="24"/>
              </w:rPr>
            </w:pPr>
            <w:r w:rsidRPr="000F2B51">
              <w:rPr>
                <w:sz w:val="24"/>
                <w:szCs w:val="24"/>
              </w:rPr>
              <w:t xml:space="preserve">Igen er </w:t>
            </w:r>
            <w:r w:rsidRPr="00CF3A32">
              <w:rPr>
                <w:sz w:val="24"/>
                <w:szCs w:val="24"/>
              </w:rPr>
              <w:t>≥ 0,5 x 10</w:t>
            </w:r>
            <w:r w:rsidRPr="008A6EE6">
              <w:rPr>
                <w:sz w:val="24"/>
                <w:szCs w:val="24"/>
                <w:vertAlign w:val="superscript"/>
              </w:rPr>
              <w:t>9</w:t>
            </w:r>
            <w:r w:rsidRPr="008A6EE6">
              <w:rPr>
                <w:sz w:val="24"/>
                <w:szCs w:val="24"/>
              </w:rPr>
              <w:t>/l</w:t>
            </w:r>
          </w:p>
          <w:p w:rsidR="00345490" w:rsidRPr="008A6EE6" w:rsidRDefault="00345490" w:rsidP="00345490">
            <w:pPr>
              <w:ind w:left="31"/>
              <w:rPr>
                <w:i/>
                <w:iCs/>
                <w:sz w:val="24"/>
                <w:szCs w:val="24"/>
              </w:rPr>
            </w:pPr>
          </w:p>
        </w:tc>
        <w:tc>
          <w:tcPr>
            <w:tcW w:w="2488" w:type="pct"/>
            <w:hideMark/>
          </w:tcPr>
          <w:p w:rsidR="00345490" w:rsidRPr="008A6EE6" w:rsidRDefault="00345490" w:rsidP="00345490">
            <w:pPr>
              <w:ind w:left="106"/>
              <w:rPr>
                <w:sz w:val="24"/>
                <w:szCs w:val="24"/>
              </w:rPr>
            </w:pPr>
            <w:r w:rsidRPr="008A6EE6">
              <w:rPr>
                <w:sz w:val="24"/>
                <w:szCs w:val="24"/>
              </w:rPr>
              <w:t>Afbryd behandlingen med lenalidomid</w:t>
            </w:r>
          </w:p>
          <w:p w:rsidR="00345490" w:rsidRPr="008A6EE6" w:rsidRDefault="00345490" w:rsidP="00345490">
            <w:pPr>
              <w:ind w:left="106"/>
              <w:rPr>
                <w:sz w:val="24"/>
                <w:szCs w:val="24"/>
              </w:rPr>
            </w:pPr>
            <w:r w:rsidRPr="008A6EE6">
              <w:rPr>
                <w:sz w:val="24"/>
                <w:szCs w:val="24"/>
              </w:rPr>
              <w:t>Genoptag behandlingen med lenalidomid ved det næste lavere dosisniveau (dosisniveau -1, -2 eller -3)</w:t>
            </w:r>
          </w:p>
        </w:tc>
      </w:tr>
    </w:tbl>
    <w:p w:rsidR="00345490" w:rsidRPr="000B7CDE" w:rsidRDefault="00345490" w:rsidP="00345490">
      <w:pPr>
        <w:tabs>
          <w:tab w:val="left" w:pos="720"/>
        </w:tabs>
        <w:ind w:left="850" w:firstLine="43"/>
        <w:rPr>
          <w:sz w:val="24"/>
          <w:szCs w:val="24"/>
          <w:lang w:eastAsia="da-DK"/>
        </w:rPr>
      </w:pPr>
    </w:p>
    <w:p w:rsidR="00345490" w:rsidRPr="00E210EA" w:rsidRDefault="00345490" w:rsidP="00345490">
      <w:pPr>
        <w:autoSpaceDE w:val="0"/>
        <w:autoSpaceDN w:val="0"/>
        <w:adjustRightInd w:val="0"/>
        <w:ind w:left="850" w:firstLine="43"/>
        <w:rPr>
          <w:i/>
          <w:iCs/>
          <w:sz w:val="24"/>
          <w:szCs w:val="24"/>
          <w:lang w:eastAsia="da-DK"/>
        </w:rPr>
      </w:pPr>
      <w:r w:rsidRPr="00E210EA">
        <w:rPr>
          <w:i/>
          <w:iCs/>
          <w:sz w:val="24"/>
          <w:szCs w:val="24"/>
          <w:lang w:eastAsia="da-DK"/>
        </w:rPr>
        <w:t>Seponering af lenalidomid</w:t>
      </w:r>
    </w:p>
    <w:p w:rsidR="00345490" w:rsidRDefault="00345490" w:rsidP="00876C3D">
      <w:pPr>
        <w:autoSpaceDE w:val="0"/>
        <w:autoSpaceDN w:val="0"/>
        <w:adjustRightInd w:val="0"/>
        <w:ind w:left="850" w:firstLine="43"/>
        <w:rPr>
          <w:sz w:val="24"/>
          <w:szCs w:val="24"/>
          <w:lang w:eastAsia="da-DK"/>
        </w:rPr>
      </w:pPr>
      <w:r w:rsidRPr="00E210EA">
        <w:rPr>
          <w:sz w:val="24"/>
          <w:szCs w:val="24"/>
          <w:lang w:eastAsia="da-DK"/>
        </w:rPr>
        <w:t>Opnår patienten ikke som minimum et mindre erytroidt respons i løbet af 4 måneder efter</w:t>
      </w:r>
      <w:r>
        <w:rPr>
          <w:sz w:val="24"/>
          <w:szCs w:val="24"/>
          <w:lang w:eastAsia="da-DK"/>
        </w:rPr>
        <w:t xml:space="preserve"> </w:t>
      </w:r>
      <w:r w:rsidRPr="00E210EA">
        <w:rPr>
          <w:sz w:val="24"/>
          <w:szCs w:val="24"/>
          <w:lang w:eastAsia="da-DK"/>
        </w:rPr>
        <w:t>behandlingsstart, vist ved mindst 50 % reduktion af transfusionsbehovet eller, hvis der ikke er</w:t>
      </w:r>
      <w:r>
        <w:rPr>
          <w:sz w:val="24"/>
          <w:szCs w:val="24"/>
          <w:lang w:eastAsia="da-DK"/>
        </w:rPr>
        <w:t xml:space="preserve"> </w:t>
      </w:r>
      <w:r w:rsidRPr="00E210EA">
        <w:rPr>
          <w:sz w:val="24"/>
          <w:szCs w:val="24"/>
          <w:lang w:eastAsia="da-DK"/>
        </w:rPr>
        <w:t>transfusionsbehov, en stigning i hæmoglobin på 1 g/dl (0,62 mmol/l), bør lenalidomid seponeres.</w:t>
      </w:r>
    </w:p>
    <w:p w:rsidR="00876C3D" w:rsidRDefault="00876C3D" w:rsidP="00876C3D">
      <w:pPr>
        <w:autoSpaceDE w:val="0"/>
        <w:autoSpaceDN w:val="0"/>
        <w:adjustRightInd w:val="0"/>
        <w:ind w:left="850" w:firstLine="43"/>
        <w:rPr>
          <w:sz w:val="24"/>
          <w:szCs w:val="24"/>
          <w:lang w:eastAsia="da-DK"/>
        </w:rPr>
      </w:pPr>
    </w:p>
    <w:p w:rsidR="00345490" w:rsidRPr="000F2B51" w:rsidRDefault="00345490" w:rsidP="00345490">
      <w:pPr>
        <w:autoSpaceDE w:val="0"/>
        <w:autoSpaceDN w:val="0"/>
        <w:adjustRightInd w:val="0"/>
        <w:ind w:left="850" w:firstLine="43"/>
        <w:rPr>
          <w:b/>
          <w:iCs/>
          <w:sz w:val="24"/>
          <w:szCs w:val="24"/>
          <w:lang w:eastAsia="da-DK"/>
        </w:rPr>
      </w:pPr>
      <w:r w:rsidRPr="000F2B51">
        <w:rPr>
          <w:b/>
          <w:iCs/>
          <w:sz w:val="24"/>
          <w:szCs w:val="24"/>
          <w:lang w:eastAsia="da-DK"/>
        </w:rPr>
        <w:t>Mantle celle lymfom</w:t>
      </w:r>
    </w:p>
    <w:p w:rsidR="00345490" w:rsidRDefault="00345490" w:rsidP="00345490">
      <w:pPr>
        <w:autoSpaceDE w:val="0"/>
        <w:autoSpaceDN w:val="0"/>
        <w:adjustRightInd w:val="0"/>
        <w:ind w:left="850" w:firstLine="43"/>
        <w:rPr>
          <w:i/>
          <w:iCs/>
          <w:sz w:val="24"/>
          <w:szCs w:val="24"/>
          <w:lang w:eastAsia="da-DK"/>
        </w:rPr>
      </w:pPr>
    </w:p>
    <w:p w:rsidR="00345490" w:rsidRPr="00E210EA" w:rsidRDefault="00345490" w:rsidP="00345490">
      <w:pPr>
        <w:autoSpaceDE w:val="0"/>
        <w:autoSpaceDN w:val="0"/>
        <w:adjustRightInd w:val="0"/>
        <w:ind w:left="850" w:firstLine="43"/>
        <w:rPr>
          <w:i/>
          <w:iCs/>
          <w:sz w:val="24"/>
          <w:szCs w:val="24"/>
          <w:lang w:eastAsia="da-DK"/>
        </w:rPr>
      </w:pPr>
      <w:r w:rsidRPr="00E210EA">
        <w:rPr>
          <w:i/>
          <w:iCs/>
          <w:sz w:val="24"/>
          <w:szCs w:val="24"/>
          <w:lang w:eastAsia="da-DK"/>
        </w:rPr>
        <w:t>Anbefalet dosis</w:t>
      </w:r>
    </w:p>
    <w:p w:rsidR="00345490" w:rsidRPr="00E210EA" w:rsidRDefault="00345490" w:rsidP="00345490">
      <w:pPr>
        <w:autoSpaceDE w:val="0"/>
        <w:autoSpaceDN w:val="0"/>
        <w:adjustRightInd w:val="0"/>
        <w:ind w:left="850" w:firstLine="43"/>
        <w:rPr>
          <w:sz w:val="24"/>
          <w:szCs w:val="24"/>
          <w:lang w:eastAsia="da-DK"/>
        </w:rPr>
      </w:pPr>
      <w:r w:rsidRPr="00E210EA">
        <w:rPr>
          <w:sz w:val="24"/>
          <w:szCs w:val="24"/>
          <w:lang w:eastAsia="da-DK"/>
        </w:rPr>
        <w:t>Den anbefalede startdosis af lenalidomid er 25 mg oralt én gang dagligt på dag 1 til 21 i gentagne</w:t>
      </w:r>
      <w:r>
        <w:rPr>
          <w:sz w:val="24"/>
          <w:szCs w:val="24"/>
          <w:lang w:eastAsia="da-DK"/>
        </w:rPr>
        <w:t xml:space="preserve"> </w:t>
      </w:r>
      <w:r w:rsidRPr="00E210EA">
        <w:rPr>
          <w:sz w:val="24"/>
          <w:szCs w:val="24"/>
          <w:lang w:eastAsia="da-DK"/>
        </w:rPr>
        <w:t>cyklusser af 28 dages varighed.</w:t>
      </w:r>
    </w:p>
    <w:p w:rsidR="00345490" w:rsidRDefault="00345490" w:rsidP="00345490">
      <w:pPr>
        <w:rPr>
          <w:i/>
          <w:iCs/>
          <w:sz w:val="24"/>
          <w:szCs w:val="24"/>
        </w:rPr>
      </w:pPr>
    </w:p>
    <w:p w:rsidR="00345490" w:rsidRPr="00D93C27" w:rsidRDefault="00345490" w:rsidP="00345490">
      <w:pPr>
        <w:numPr>
          <w:ilvl w:val="0"/>
          <w:numId w:val="6"/>
        </w:numPr>
        <w:tabs>
          <w:tab w:val="left" w:pos="851"/>
        </w:tabs>
        <w:ind w:left="1134" w:hanging="283"/>
        <w:rPr>
          <w:i/>
          <w:iCs/>
          <w:sz w:val="24"/>
          <w:szCs w:val="24"/>
        </w:rPr>
      </w:pPr>
      <w:r w:rsidRPr="00D93C27">
        <w:rPr>
          <w:i/>
          <w:iCs/>
          <w:sz w:val="24"/>
          <w:szCs w:val="24"/>
        </w:rPr>
        <w:t>Dosisreduktionstrin</w:t>
      </w:r>
    </w:p>
    <w:tbl>
      <w:tblPr>
        <w:tblW w:w="4980" w:type="pct"/>
        <w:tblInd w:w="846" w:type="dxa"/>
        <w:tblCellMar>
          <w:left w:w="0" w:type="dxa"/>
          <w:right w:w="0" w:type="dxa"/>
        </w:tblCellMar>
        <w:tblLook w:val="04A0" w:firstRow="1" w:lastRow="0" w:firstColumn="1" w:lastColumn="0" w:noHBand="0" w:noVBand="1"/>
      </w:tblPr>
      <w:tblGrid>
        <w:gridCol w:w="2928"/>
        <w:gridCol w:w="6661"/>
      </w:tblGrid>
      <w:tr w:rsidR="00345490" w:rsidRPr="008A6EE6" w:rsidTr="00345490">
        <w:trPr>
          <w:trHeight w:val="20"/>
        </w:trPr>
        <w:tc>
          <w:tcPr>
            <w:tcW w:w="1527" w:type="pct"/>
            <w:tcBorders>
              <w:top w:val="single" w:sz="4" w:space="0" w:color="000000"/>
              <w:left w:val="single" w:sz="4" w:space="0" w:color="000000"/>
              <w:bottom w:val="single" w:sz="4" w:space="0" w:color="000000"/>
              <w:right w:val="single" w:sz="4" w:space="0" w:color="000000"/>
            </w:tcBorders>
            <w:hideMark/>
          </w:tcPr>
          <w:p w:rsidR="00345490" w:rsidRPr="000F2B51" w:rsidRDefault="00345490" w:rsidP="00345490">
            <w:pPr>
              <w:ind w:left="143"/>
              <w:rPr>
                <w:sz w:val="24"/>
                <w:szCs w:val="24"/>
              </w:rPr>
            </w:pPr>
            <w:r w:rsidRPr="000F2B51">
              <w:rPr>
                <w:sz w:val="24"/>
                <w:szCs w:val="24"/>
              </w:rPr>
              <w:t>Startdosis</w:t>
            </w:r>
          </w:p>
        </w:tc>
        <w:tc>
          <w:tcPr>
            <w:tcW w:w="3473" w:type="pct"/>
            <w:tcBorders>
              <w:top w:val="single" w:sz="4" w:space="0" w:color="000000"/>
              <w:left w:val="single" w:sz="4" w:space="0" w:color="000000"/>
              <w:bottom w:val="single" w:sz="4" w:space="0" w:color="000000"/>
              <w:right w:val="single" w:sz="4" w:space="0" w:color="000000"/>
            </w:tcBorders>
            <w:hideMark/>
          </w:tcPr>
          <w:p w:rsidR="00345490" w:rsidRPr="008A6EE6" w:rsidRDefault="00345490" w:rsidP="00345490">
            <w:pPr>
              <w:autoSpaceDE w:val="0"/>
              <w:autoSpaceDN w:val="0"/>
              <w:adjustRightInd w:val="0"/>
              <w:ind w:left="174"/>
              <w:rPr>
                <w:sz w:val="24"/>
                <w:szCs w:val="24"/>
              </w:rPr>
            </w:pPr>
            <w:r w:rsidRPr="00CF3A32">
              <w:rPr>
                <w:sz w:val="24"/>
                <w:szCs w:val="24"/>
                <w:lang w:eastAsia="da-DK"/>
              </w:rPr>
              <w:t>25 mg én gang dagligt på dag 1 til 21, cyklus på 28 dage</w:t>
            </w:r>
          </w:p>
        </w:tc>
      </w:tr>
      <w:tr w:rsidR="00345490" w:rsidRPr="008A6EE6" w:rsidTr="00345490">
        <w:trPr>
          <w:trHeight w:val="20"/>
        </w:trPr>
        <w:tc>
          <w:tcPr>
            <w:tcW w:w="1527" w:type="pct"/>
            <w:tcBorders>
              <w:top w:val="single" w:sz="4" w:space="0" w:color="000000"/>
              <w:left w:val="single" w:sz="4" w:space="0" w:color="000000"/>
              <w:bottom w:val="single" w:sz="4" w:space="0" w:color="000000"/>
              <w:right w:val="single" w:sz="4" w:space="0" w:color="000000"/>
            </w:tcBorders>
            <w:hideMark/>
          </w:tcPr>
          <w:p w:rsidR="00345490" w:rsidRPr="000F2B51" w:rsidRDefault="00345490" w:rsidP="00345490">
            <w:pPr>
              <w:ind w:left="143"/>
              <w:rPr>
                <w:sz w:val="24"/>
                <w:szCs w:val="24"/>
              </w:rPr>
            </w:pPr>
            <w:r w:rsidRPr="000F2B51">
              <w:rPr>
                <w:sz w:val="24"/>
                <w:szCs w:val="24"/>
              </w:rPr>
              <w:t>Dosisniveau -1</w:t>
            </w:r>
          </w:p>
        </w:tc>
        <w:tc>
          <w:tcPr>
            <w:tcW w:w="3473" w:type="pct"/>
            <w:tcBorders>
              <w:top w:val="single" w:sz="4" w:space="0" w:color="000000"/>
              <w:left w:val="single" w:sz="4" w:space="0" w:color="000000"/>
              <w:bottom w:val="single" w:sz="4" w:space="0" w:color="000000"/>
              <w:right w:val="single" w:sz="4" w:space="0" w:color="000000"/>
            </w:tcBorders>
            <w:hideMark/>
          </w:tcPr>
          <w:p w:rsidR="00345490" w:rsidRPr="008A6EE6" w:rsidRDefault="00345490" w:rsidP="00345490">
            <w:pPr>
              <w:autoSpaceDE w:val="0"/>
              <w:autoSpaceDN w:val="0"/>
              <w:adjustRightInd w:val="0"/>
              <w:ind w:left="174"/>
              <w:rPr>
                <w:sz w:val="24"/>
                <w:szCs w:val="24"/>
              </w:rPr>
            </w:pPr>
            <w:r w:rsidRPr="00CF3A32">
              <w:rPr>
                <w:sz w:val="24"/>
                <w:szCs w:val="24"/>
                <w:lang w:eastAsia="da-DK"/>
              </w:rPr>
              <w:t>20 mg én gang dagligt på dag 1 til 21, cyklus på 28 dage</w:t>
            </w:r>
          </w:p>
        </w:tc>
      </w:tr>
      <w:tr w:rsidR="00345490" w:rsidRPr="008A6EE6" w:rsidTr="00345490">
        <w:trPr>
          <w:trHeight w:val="20"/>
        </w:trPr>
        <w:tc>
          <w:tcPr>
            <w:tcW w:w="1527" w:type="pct"/>
            <w:tcBorders>
              <w:top w:val="single" w:sz="4" w:space="0" w:color="000000"/>
              <w:left w:val="single" w:sz="4" w:space="0" w:color="000000"/>
              <w:bottom w:val="single" w:sz="4" w:space="0" w:color="000000"/>
              <w:right w:val="single" w:sz="4" w:space="0" w:color="000000"/>
            </w:tcBorders>
            <w:hideMark/>
          </w:tcPr>
          <w:p w:rsidR="00345490" w:rsidRPr="000F2B51" w:rsidRDefault="00345490" w:rsidP="00345490">
            <w:pPr>
              <w:ind w:left="143"/>
              <w:rPr>
                <w:sz w:val="24"/>
                <w:szCs w:val="24"/>
              </w:rPr>
            </w:pPr>
            <w:r w:rsidRPr="000F2B51">
              <w:rPr>
                <w:sz w:val="24"/>
                <w:szCs w:val="24"/>
              </w:rPr>
              <w:t>Dosisniveau -2</w:t>
            </w:r>
          </w:p>
        </w:tc>
        <w:tc>
          <w:tcPr>
            <w:tcW w:w="3473" w:type="pct"/>
            <w:tcBorders>
              <w:top w:val="single" w:sz="4" w:space="0" w:color="000000"/>
              <w:left w:val="single" w:sz="4" w:space="0" w:color="000000"/>
              <w:bottom w:val="single" w:sz="4" w:space="0" w:color="000000"/>
              <w:right w:val="single" w:sz="4" w:space="0" w:color="000000"/>
            </w:tcBorders>
            <w:hideMark/>
          </w:tcPr>
          <w:p w:rsidR="00345490" w:rsidRPr="008A6EE6" w:rsidRDefault="00345490" w:rsidP="00345490">
            <w:pPr>
              <w:autoSpaceDE w:val="0"/>
              <w:autoSpaceDN w:val="0"/>
              <w:adjustRightInd w:val="0"/>
              <w:ind w:left="174"/>
              <w:rPr>
                <w:sz w:val="24"/>
                <w:szCs w:val="24"/>
              </w:rPr>
            </w:pPr>
            <w:r w:rsidRPr="00CF3A32">
              <w:rPr>
                <w:sz w:val="24"/>
                <w:szCs w:val="24"/>
                <w:lang w:eastAsia="da-DK"/>
              </w:rPr>
              <w:t>15 mg én gang dagligt på dag 1 til 21, cyklus på 28 dage</w:t>
            </w:r>
          </w:p>
        </w:tc>
      </w:tr>
      <w:tr w:rsidR="00345490" w:rsidRPr="008A6EE6" w:rsidTr="00345490">
        <w:trPr>
          <w:trHeight w:val="20"/>
        </w:trPr>
        <w:tc>
          <w:tcPr>
            <w:tcW w:w="1527" w:type="pct"/>
            <w:tcBorders>
              <w:top w:val="single" w:sz="4" w:space="0" w:color="000000"/>
              <w:left w:val="single" w:sz="4" w:space="0" w:color="000000"/>
              <w:bottom w:val="single" w:sz="4" w:space="0" w:color="000000"/>
              <w:right w:val="single" w:sz="4" w:space="0" w:color="000000"/>
            </w:tcBorders>
            <w:hideMark/>
          </w:tcPr>
          <w:p w:rsidR="00345490" w:rsidRPr="000F2B51" w:rsidRDefault="00345490" w:rsidP="00345490">
            <w:pPr>
              <w:ind w:left="143"/>
              <w:rPr>
                <w:sz w:val="24"/>
                <w:szCs w:val="24"/>
              </w:rPr>
            </w:pPr>
            <w:r w:rsidRPr="000F2B51">
              <w:rPr>
                <w:sz w:val="24"/>
                <w:szCs w:val="24"/>
              </w:rPr>
              <w:t>Dosisniveau -3</w:t>
            </w:r>
          </w:p>
        </w:tc>
        <w:tc>
          <w:tcPr>
            <w:tcW w:w="3473" w:type="pct"/>
            <w:tcBorders>
              <w:top w:val="single" w:sz="4" w:space="0" w:color="000000"/>
              <w:left w:val="single" w:sz="4" w:space="0" w:color="000000"/>
              <w:bottom w:val="single" w:sz="4" w:space="0" w:color="000000"/>
              <w:right w:val="single" w:sz="4" w:space="0" w:color="000000"/>
            </w:tcBorders>
            <w:hideMark/>
          </w:tcPr>
          <w:p w:rsidR="00345490" w:rsidRPr="008A6EE6" w:rsidRDefault="00345490" w:rsidP="00345490">
            <w:pPr>
              <w:ind w:left="174"/>
              <w:rPr>
                <w:sz w:val="24"/>
                <w:szCs w:val="24"/>
              </w:rPr>
            </w:pPr>
            <w:r w:rsidRPr="00CF3A32">
              <w:rPr>
                <w:sz w:val="24"/>
                <w:szCs w:val="24"/>
                <w:lang w:eastAsia="da-DK"/>
              </w:rPr>
              <w:t>10 mg én gang dagl</w:t>
            </w:r>
            <w:r w:rsidRPr="008A6EE6">
              <w:rPr>
                <w:sz w:val="24"/>
                <w:szCs w:val="24"/>
                <w:lang w:eastAsia="da-DK"/>
              </w:rPr>
              <w:t>igt på dag 1 til 21, cyklus på 28 dage</w:t>
            </w:r>
          </w:p>
        </w:tc>
      </w:tr>
      <w:tr w:rsidR="00345490" w:rsidRPr="008A6EE6" w:rsidTr="00345490">
        <w:trPr>
          <w:trHeight w:val="20"/>
        </w:trPr>
        <w:tc>
          <w:tcPr>
            <w:tcW w:w="1527" w:type="pct"/>
            <w:tcBorders>
              <w:top w:val="single" w:sz="4" w:space="0" w:color="000000"/>
              <w:left w:val="single" w:sz="4" w:space="0" w:color="000000"/>
              <w:bottom w:val="single" w:sz="4" w:space="0" w:color="000000"/>
              <w:right w:val="single" w:sz="4" w:space="0" w:color="000000"/>
            </w:tcBorders>
          </w:tcPr>
          <w:p w:rsidR="00345490" w:rsidRPr="000F2B51" w:rsidRDefault="00345490" w:rsidP="00345490">
            <w:pPr>
              <w:ind w:left="143"/>
              <w:rPr>
                <w:sz w:val="24"/>
                <w:szCs w:val="24"/>
              </w:rPr>
            </w:pPr>
            <w:r w:rsidRPr="000F2B51">
              <w:rPr>
                <w:sz w:val="24"/>
                <w:szCs w:val="24"/>
              </w:rPr>
              <w:t>Dosisniveau -4</w:t>
            </w:r>
          </w:p>
        </w:tc>
        <w:tc>
          <w:tcPr>
            <w:tcW w:w="3473" w:type="pct"/>
            <w:tcBorders>
              <w:top w:val="single" w:sz="4" w:space="0" w:color="000000"/>
              <w:left w:val="single" w:sz="4" w:space="0" w:color="000000"/>
              <w:bottom w:val="single" w:sz="4" w:space="0" w:color="000000"/>
              <w:right w:val="single" w:sz="4" w:space="0" w:color="000000"/>
            </w:tcBorders>
          </w:tcPr>
          <w:p w:rsidR="00345490" w:rsidRPr="00CF3A32" w:rsidRDefault="00345490" w:rsidP="00345490">
            <w:pPr>
              <w:ind w:left="174"/>
              <w:rPr>
                <w:sz w:val="24"/>
                <w:szCs w:val="24"/>
                <w:lang w:eastAsia="da-DK"/>
              </w:rPr>
            </w:pPr>
            <w:r w:rsidRPr="00CF3A32">
              <w:rPr>
                <w:sz w:val="24"/>
                <w:szCs w:val="24"/>
                <w:lang w:eastAsia="da-DK"/>
              </w:rPr>
              <w:t>5 mg én gang dagligt på dag 1 til 21, cyklus på 28 dage</w:t>
            </w:r>
          </w:p>
        </w:tc>
      </w:tr>
      <w:tr w:rsidR="00345490" w:rsidRPr="008A6EE6" w:rsidTr="00345490">
        <w:trPr>
          <w:trHeight w:val="20"/>
        </w:trPr>
        <w:tc>
          <w:tcPr>
            <w:tcW w:w="1527" w:type="pct"/>
            <w:tcBorders>
              <w:top w:val="single" w:sz="4" w:space="0" w:color="000000"/>
              <w:left w:val="single" w:sz="4" w:space="0" w:color="000000"/>
              <w:bottom w:val="single" w:sz="4" w:space="0" w:color="000000"/>
              <w:right w:val="single" w:sz="4" w:space="0" w:color="000000"/>
            </w:tcBorders>
          </w:tcPr>
          <w:p w:rsidR="00345490" w:rsidRPr="000F2B51" w:rsidRDefault="00345490" w:rsidP="00345490">
            <w:pPr>
              <w:ind w:left="143"/>
              <w:rPr>
                <w:sz w:val="24"/>
                <w:szCs w:val="24"/>
              </w:rPr>
            </w:pPr>
            <w:r w:rsidRPr="000F2B51">
              <w:rPr>
                <w:sz w:val="24"/>
                <w:szCs w:val="24"/>
              </w:rPr>
              <w:t>Dosisniveau -5</w:t>
            </w:r>
          </w:p>
        </w:tc>
        <w:tc>
          <w:tcPr>
            <w:tcW w:w="3473" w:type="pct"/>
            <w:tcBorders>
              <w:top w:val="single" w:sz="4" w:space="0" w:color="000000"/>
              <w:left w:val="single" w:sz="4" w:space="0" w:color="000000"/>
              <w:bottom w:val="single" w:sz="4" w:space="0" w:color="000000"/>
              <w:right w:val="single" w:sz="4" w:space="0" w:color="000000"/>
            </w:tcBorders>
          </w:tcPr>
          <w:p w:rsidR="00345490" w:rsidRPr="008A6EE6" w:rsidRDefault="00345490" w:rsidP="00345490">
            <w:pPr>
              <w:autoSpaceDE w:val="0"/>
              <w:autoSpaceDN w:val="0"/>
              <w:adjustRightInd w:val="0"/>
              <w:ind w:left="174"/>
              <w:rPr>
                <w:sz w:val="24"/>
                <w:szCs w:val="24"/>
                <w:lang w:eastAsia="da-DK"/>
              </w:rPr>
            </w:pPr>
            <w:r w:rsidRPr="00CF3A32">
              <w:rPr>
                <w:sz w:val="24"/>
                <w:szCs w:val="24"/>
                <w:lang w:eastAsia="da-DK"/>
              </w:rPr>
              <w:t>2,5 mg én gang dagligt på dag 1 til 21, cyklus på 28 dag</w:t>
            </w:r>
            <w:r w:rsidRPr="008A6EE6">
              <w:rPr>
                <w:sz w:val="24"/>
                <w:szCs w:val="24"/>
                <w:vertAlign w:val="superscript"/>
                <w:lang w:eastAsia="da-DK"/>
              </w:rPr>
              <w:t>1</w:t>
            </w:r>
          </w:p>
          <w:p w:rsidR="00345490" w:rsidRPr="008A6EE6" w:rsidRDefault="00345490" w:rsidP="00345490">
            <w:pPr>
              <w:ind w:left="174"/>
              <w:rPr>
                <w:sz w:val="24"/>
                <w:szCs w:val="24"/>
                <w:lang w:eastAsia="da-DK"/>
              </w:rPr>
            </w:pPr>
            <w:r w:rsidRPr="008A6EE6">
              <w:rPr>
                <w:sz w:val="24"/>
                <w:szCs w:val="24"/>
                <w:lang w:eastAsia="da-DK"/>
              </w:rPr>
              <w:t>5 mg hver anden dag på dag 1 til 21, cyklus på 28 dage</w:t>
            </w:r>
          </w:p>
        </w:tc>
      </w:tr>
    </w:tbl>
    <w:p w:rsidR="00345490" w:rsidRPr="000F2B51" w:rsidRDefault="00345490" w:rsidP="00345490">
      <w:pPr>
        <w:tabs>
          <w:tab w:val="left" w:pos="851"/>
        </w:tabs>
        <w:ind w:left="851"/>
        <w:rPr>
          <w:i/>
          <w:iCs/>
          <w:sz w:val="24"/>
          <w:szCs w:val="24"/>
        </w:rPr>
      </w:pPr>
      <w:r w:rsidRPr="000F2B51">
        <w:rPr>
          <w:sz w:val="24"/>
          <w:szCs w:val="24"/>
          <w:vertAlign w:val="superscript"/>
          <w:lang w:eastAsia="da-DK"/>
        </w:rPr>
        <w:t>1</w:t>
      </w:r>
      <w:r w:rsidRPr="000F2B51">
        <w:rPr>
          <w:sz w:val="24"/>
          <w:szCs w:val="24"/>
          <w:lang w:eastAsia="da-DK"/>
        </w:rPr>
        <w:t xml:space="preserve"> - I lande, hvor en 2,5 mg kapsel er tilgængelig.</w:t>
      </w:r>
    </w:p>
    <w:p w:rsidR="00345490" w:rsidRPr="00CF3A32" w:rsidRDefault="00345490" w:rsidP="00345490">
      <w:pPr>
        <w:rPr>
          <w:i/>
          <w:iCs/>
          <w:sz w:val="24"/>
          <w:szCs w:val="24"/>
        </w:rPr>
      </w:pPr>
    </w:p>
    <w:p w:rsidR="00345490" w:rsidRPr="008A6EE6" w:rsidRDefault="00345490" w:rsidP="00345490">
      <w:pPr>
        <w:numPr>
          <w:ilvl w:val="0"/>
          <w:numId w:val="6"/>
        </w:numPr>
        <w:tabs>
          <w:tab w:val="left" w:pos="851"/>
        </w:tabs>
        <w:ind w:left="1134" w:hanging="283"/>
        <w:rPr>
          <w:i/>
          <w:iCs/>
          <w:sz w:val="24"/>
          <w:szCs w:val="24"/>
        </w:rPr>
      </w:pPr>
      <w:r w:rsidRPr="008A6EE6">
        <w:rPr>
          <w:i/>
          <w:iCs/>
          <w:sz w:val="24"/>
          <w:szCs w:val="24"/>
        </w:rPr>
        <w:t>Trombocytopeni</w:t>
      </w:r>
    </w:p>
    <w:tbl>
      <w:tblPr>
        <w:tblW w:w="4977" w:type="pct"/>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3"/>
        <w:gridCol w:w="4771"/>
      </w:tblGrid>
      <w:tr w:rsidR="00345490" w:rsidRPr="008A6EE6" w:rsidTr="00345490">
        <w:tc>
          <w:tcPr>
            <w:tcW w:w="2511" w:type="pct"/>
            <w:hideMark/>
          </w:tcPr>
          <w:p w:rsidR="00345490" w:rsidRPr="000F2B51" w:rsidRDefault="00345490" w:rsidP="00345490">
            <w:pPr>
              <w:ind w:left="33"/>
              <w:rPr>
                <w:sz w:val="24"/>
                <w:szCs w:val="24"/>
              </w:rPr>
            </w:pPr>
            <w:r w:rsidRPr="000F2B51">
              <w:rPr>
                <w:sz w:val="24"/>
                <w:szCs w:val="24"/>
              </w:rPr>
              <w:t>Når trombocyttallet</w:t>
            </w:r>
          </w:p>
        </w:tc>
        <w:tc>
          <w:tcPr>
            <w:tcW w:w="2489" w:type="pct"/>
            <w:hideMark/>
          </w:tcPr>
          <w:p w:rsidR="00345490" w:rsidRPr="000F2B51" w:rsidRDefault="00345490" w:rsidP="00345490">
            <w:pPr>
              <w:rPr>
                <w:sz w:val="24"/>
                <w:szCs w:val="24"/>
              </w:rPr>
            </w:pPr>
            <w:r w:rsidRPr="000F2B51">
              <w:rPr>
                <w:sz w:val="24"/>
                <w:szCs w:val="24"/>
              </w:rPr>
              <w:t>Anbefalet forløb</w:t>
            </w:r>
          </w:p>
        </w:tc>
      </w:tr>
      <w:tr w:rsidR="00345490" w:rsidRPr="008A6EE6" w:rsidTr="00345490">
        <w:tc>
          <w:tcPr>
            <w:tcW w:w="2511" w:type="pct"/>
            <w:hideMark/>
          </w:tcPr>
          <w:p w:rsidR="00345490" w:rsidRPr="000F2B51" w:rsidRDefault="00345490" w:rsidP="00345490">
            <w:pPr>
              <w:ind w:left="33"/>
              <w:rPr>
                <w:sz w:val="24"/>
                <w:szCs w:val="24"/>
              </w:rPr>
            </w:pPr>
            <w:r w:rsidRPr="000F2B51">
              <w:rPr>
                <w:sz w:val="24"/>
                <w:szCs w:val="24"/>
              </w:rPr>
              <w:t>Falder til &lt; 50 x 10</w:t>
            </w:r>
            <w:r w:rsidRPr="000F2B51">
              <w:rPr>
                <w:sz w:val="24"/>
                <w:szCs w:val="24"/>
                <w:vertAlign w:val="superscript"/>
              </w:rPr>
              <w:t>9</w:t>
            </w:r>
            <w:r w:rsidRPr="000F2B51">
              <w:rPr>
                <w:sz w:val="24"/>
                <w:szCs w:val="24"/>
              </w:rPr>
              <w:t>/l</w:t>
            </w:r>
          </w:p>
          <w:p w:rsidR="00345490" w:rsidRPr="00CF3A32" w:rsidRDefault="00345490" w:rsidP="00345490">
            <w:pPr>
              <w:ind w:left="33"/>
              <w:rPr>
                <w:sz w:val="24"/>
                <w:szCs w:val="24"/>
              </w:rPr>
            </w:pPr>
          </w:p>
          <w:p w:rsidR="00345490" w:rsidRPr="008A6EE6" w:rsidRDefault="00345490" w:rsidP="00345490">
            <w:pPr>
              <w:ind w:left="33"/>
              <w:rPr>
                <w:sz w:val="24"/>
                <w:szCs w:val="24"/>
              </w:rPr>
            </w:pPr>
          </w:p>
          <w:p w:rsidR="00345490" w:rsidRPr="008A6EE6" w:rsidRDefault="00345490" w:rsidP="00345490">
            <w:pPr>
              <w:ind w:left="33"/>
              <w:rPr>
                <w:sz w:val="24"/>
                <w:szCs w:val="24"/>
              </w:rPr>
            </w:pPr>
            <w:r w:rsidRPr="008A6EE6">
              <w:rPr>
                <w:sz w:val="24"/>
                <w:szCs w:val="24"/>
              </w:rPr>
              <w:t xml:space="preserve">Vender tilbage til </w:t>
            </w:r>
            <w:r w:rsidRPr="008A6EE6">
              <w:rPr>
                <w:rFonts w:eastAsia="TimesNewRomanPSMT"/>
                <w:sz w:val="24"/>
                <w:szCs w:val="24"/>
                <w:lang w:eastAsia="da-DK"/>
              </w:rPr>
              <w:t>≥ 60 x 10</w:t>
            </w:r>
            <w:r w:rsidRPr="008A6EE6">
              <w:rPr>
                <w:rFonts w:eastAsia="TimesNewRomanPSMT"/>
                <w:sz w:val="24"/>
                <w:szCs w:val="24"/>
                <w:vertAlign w:val="superscript"/>
                <w:lang w:eastAsia="da-DK"/>
              </w:rPr>
              <w:t>9</w:t>
            </w:r>
            <w:r w:rsidRPr="008A6EE6">
              <w:rPr>
                <w:rFonts w:eastAsia="TimesNewRomanPSMT"/>
                <w:sz w:val="24"/>
                <w:szCs w:val="24"/>
                <w:lang w:eastAsia="da-DK"/>
              </w:rPr>
              <w:t>/l</w:t>
            </w:r>
          </w:p>
        </w:tc>
        <w:tc>
          <w:tcPr>
            <w:tcW w:w="2489" w:type="pct"/>
            <w:hideMark/>
          </w:tcPr>
          <w:p w:rsidR="00345490" w:rsidRPr="008A6EE6" w:rsidRDefault="00345490" w:rsidP="00345490">
            <w:pPr>
              <w:autoSpaceDE w:val="0"/>
              <w:autoSpaceDN w:val="0"/>
              <w:adjustRightInd w:val="0"/>
              <w:rPr>
                <w:sz w:val="24"/>
                <w:szCs w:val="24"/>
                <w:lang w:eastAsia="da-DK"/>
              </w:rPr>
            </w:pPr>
            <w:r w:rsidRPr="008A6EE6">
              <w:rPr>
                <w:sz w:val="24"/>
                <w:szCs w:val="24"/>
              </w:rPr>
              <w:t>Afbryd behandlingen med lenalidomid</w:t>
            </w:r>
            <w:r w:rsidRPr="008A6EE6">
              <w:rPr>
                <w:sz w:val="24"/>
                <w:szCs w:val="24"/>
                <w:lang w:eastAsia="da-DK"/>
              </w:rPr>
              <w:t xml:space="preserve"> og</w:t>
            </w:r>
          </w:p>
          <w:p w:rsidR="00345490" w:rsidRPr="008A6EE6" w:rsidRDefault="00345490" w:rsidP="00345490">
            <w:pPr>
              <w:autoSpaceDE w:val="0"/>
              <w:autoSpaceDN w:val="0"/>
              <w:adjustRightInd w:val="0"/>
              <w:rPr>
                <w:sz w:val="24"/>
                <w:szCs w:val="24"/>
                <w:lang w:eastAsia="da-DK"/>
              </w:rPr>
            </w:pPr>
            <w:r w:rsidRPr="008A6EE6">
              <w:rPr>
                <w:sz w:val="24"/>
                <w:szCs w:val="24"/>
                <w:lang w:eastAsia="da-DK"/>
              </w:rPr>
              <w:t>udfør komplet blodtælling (CBC) mindst</w:t>
            </w:r>
          </w:p>
          <w:p w:rsidR="00345490" w:rsidRPr="008A6EE6" w:rsidRDefault="00345490" w:rsidP="00345490">
            <w:pPr>
              <w:rPr>
                <w:sz w:val="24"/>
                <w:szCs w:val="24"/>
              </w:rPr>
            </w:pPr>
            <w:r w:rsidRPr="008A6EE6">
              <w:rPr>
                <w:sz w:val="24"/>
                <w:szCs w:val="24"/>
                <w:lang w:eastAsia="da-DK"/>
              </w:rPr>
              <w:t>hver 7. dag</w:t>
            </w:r>
          </w:p>
          <w:p w:rsidR="00345490" w:rsidRPr="008A6EE6" w:rsidRDefault="00345490" w:rsidP="00345490">
            <w:pPr>
              <w:rPr>
                <w:sz w:val="24"/>
                <w:szCs w:val="24"/>
              </w:rPr>
            </w:pPr>
            <w:r w:rsidRPr="008A6EE6">
              <w:rPr>
                <w:sz w:val="24"/>
                <w:szCs w:val="24"/>
              </w:rPr>
              <w:t>Genoptag lenalidomid ved det næste lavere dosisniveau (dosisniveau -1)</w:t>
            </w:r>
          </w:p>
        </w:tc>
      </w:tr>
      <w:tr w:rsidR="00345490" w:rsidRPr="008A6EE6" w:rsidTr="00345490">
        <w:tc>
          <w:tcPr>
            <w:tcW w:w="2511" w:type="pct"/>
          </w:tcPr>
          <w:p w:rsidR="00345490" w:rsidRPr="008A6EE6" w:rsidRDefault="00345490" w:rsidP="00345490">
            <w:pPr>
              <w:autoSpaceDE w:val="0"/>
              <w:autoSpaceDN w:val="0"/>
              <w:adjustRightInd w:val="0"/>
              <w:rPr>
                <w:sz w:val="24"/>
                <w:szCs w:val="24"/>
                <w:lang w:eastAsia="da-DK"/>
              </w:rPr>
            </w:pPr>
            <w:r w:rsidRPr="008A6EE6">
              <w:rPr>
                <w:sz w:val="24"/>
                <w:szCs w:val="24"/>
                <w:lang w:eastAsia="da-DK"/>
              </w:rPr>
              <w:t>For hvert efterfølgende fald til under 50 x 10</w:t>
            </w:r>
            <w:r w:rsidRPr="008A6EE6">
              <w:rPr>
                <w:sz w:val="24"/>
                <w:szCs w:val="24"/>
                <w:vertAlign w:val="superscript"/>
                <w:lang w:eastAsia="da-DK"/>
              </w:rPr>
              <w:t>9</w:t>
            </w:r>
            <w:r w:rsidRPr="008A6EE6">
              <w:rPr>
                <w:sz w:val="24"/>
                <w:szCs w:val="24"/>
                <w:lang w:eastAsia="da-DK"/>
              </w:rPr>
              <w:t>/l</w:t>
            </w:r>
          </w:p>
          <w:p w:rsidR="00345490" w:rsidRPr="008A6EE6" w:rsidRDefault="00345490" w:rsidP="00345490">
            <w:pPr>
              <w:ind w:left="33"/>
              <w:rPr>
                <w:rFonts w:eastAsia="TimesNewRomanPSMT"/>
                <w:sz w:val="24"/>
                <w:szCs w:val="24"/>
                <w:lang w:eastAsia="da-DK"/>
              </w:rPr>
            </w:pPr>
          </w:p>
          <w:p w:rsidR="00345490" w:rsidRPr="008A6EE6" w:rsidRDefault="00345490" w:rsidP="00345490">
            <w:pPr>
              <w:ind w:left="33"/>
              <w:rPr>
                <w:rFonts w:eastAsia="TimesNewRomanPSMT"/>
                <w:sz w:val="24"/>
                <w:szCs w:val="24"/>
                <w:lang w:eastAsia="da-DK"/>
              </w:rPr>
            </w:pPr>
          </w:p>
          <w:p w:rsidR="00345490" w:rsidRPr="008A6EE6" w:rsidRDefault="00345490" w:rsidP="00345490">
            <w:pPr>
              <w:ind w:left="33"/>
              <w:rPr>
                <w:sz w:val="24"/>
                <w:szCs w:val="24"/>
              </w:rPr>
            </w:pPr>
            <w:r w:rsidRPr="008A6EE6">
              <w:rPr>
                <w:rFonts w:eastAsia="TimesNewRomanPSMT"/>
                <w:sz w:val="24"/>
                <w:szCs w:val="24"/>
                <w:lang w:eastAsia="da-DK"/>
              </w:rPr>
              <w:t>Vender tilbage til ≥ 60 x 10</w:t>
            </w:r>
            <w:r w:rsidRPr="008A6EE6">
              <w:rPr>
                <w:sz w:val="24"/>
                <w:szCs w:val="24"/>
                <w:vertAlign w:val="superscript"/>
                <w:lang w:eastAsia="da-DK"/>
              </w:rPr>
              <w:t>9</w:t>
            </w:r>
            <w:r w:rsidRPr="008A6EE6">
              <w:rPr>
                <w:sz w:val="24"/>
                <w:szCs w:val="24"/>
                <w:lang w:eastAsia="da-DK"/>
              </w:rPr>
              <w:t>/l</w:t>
            </w:r>
          </w:p>
        </w:tc>
        <w:tc>
          <w:tcPr>
            <w:tcW w:w="2489" w:type="pct"/>
          </w:tcPr>
          <w:p w:rsidR="00345490" w:rsidRPr="008A6EE6" w:rsidRDefault="00345490" w:rsidP="00345490">
            <w:pPr>
              <w:autoSpaceDE w:val="0"/>
              <w:autoSpaceDN w:val="0"/>
              <w:adjustRightInd w:val="0"/>
              <w:rPr>
                <w:sz w:val="24"/>
                <w:szCs w:val="24"/>
                <w:lang w:eastAsia="da-DK"/>
              </w:rPr>
            </w:pPr>
            <w:r w:rsidRPr="008A6EE6">
              <w:rPr>
                <w:sz w:val="24"/>
                <w:szCs w:val="24"/>
                <w:lang w:eastAsia="da-DK"/>
              </w:rPr>
              <w:t>Afbryd behandlingen med lenalidomid og</w:t>
            </w:r>
          </w:p>
          <w:p w:rsidR="00345490" w:rsidRPr="008A6EE6" w:rsidRDefault="00345490" w:rsidP="00345490">
            <w:pPr>
              <w:autoSpaceDE w:val="0"/>
              <w:autoSpaceDN w:val="0"/>
              <w:adjustRightInd w:val="0"/>
              <w:rPr>
                <w:sz w:val="24"/>
                <w:szCs w:val="24"/>
                <w:lang w:eastAsia="da-DK"/>
              </w:rPr>
            </w:pPr>
            <w:r w:rsidRPr="008A6EE6">
              <w:rPr>
                <w:sz w:val="24"/>
                <w:szCs w:val="24"/>
                <w:lang w:eastAsia="da-DK"/>
              </w:rPr>
              <w:t>udfør komplet blodtælling (CBC) mindst</w:t>
            </w:r>
          </w:p>
          <w:p w:rsidR="00345490" w:rsidRPr="008A6EE6" w:rsidRDefault="00345490" w:rsidP="00345490">
            <w:pPr>
              <w:autoSpaceDE w:val="0"/>
              <w:autoSpaceDN w:val="0"/>
              <w:adjustRightInd w:val="0"/>
              <w:rPr>
                <w:sz w:val="24"/>
                <w:szCs w:val="24"/>
                <w:lang w:eastAsia="da-DK"/>
              </w:rPr>
            </w:pPr>
            <w:r w:rsidRPr="008A6EE6">
              <w:rPr>
                <w:sz w:val="24"/>
                <w:szCs w:val="24"/>
                <w:lang w:eastAsia="da-DK"/>
              </w:rPr>
              <w:t>hver 7. dag</w:t>
            </w:r>
          </w:p>
          <w:p w:rsidR="00345490" w:rsidRPr="008A6EE6" w:rsidRDefault="00345490" w:rsidP="00345490">
            <w:pPr>
              <w:autoSpaceDE w:val="0"/>
              <w:autoSpaceDN w:val="0"/>
              <w:adjustRightInd w:val="0"/>
              <w:rPr>
                <w:sz w:val="24"/>
                <w:szCs w:val="24"/>
                <w:lang w:eastAsia="da-DK"/>
              </w:rPr>
            </w:pPr>
            <w:r w:rsidRPr="008A6EE6">
              <w:rPr>
                <w:sz w:val="24"/>
                <w:szCs w:val="24"/>
                <w:lang w:eastAsia="da-DK"/>
              </w:rPr>
              <w:t>Genoptag lenalidomid ved det næste lavere</w:t>
            </w:r>
          </w:p>
          <w:p w:rsidR="00345490" w:rsidRPr="008A6EE6" w:rsidRDefault="00345490" w:rsidP="00345490">
            <w:pPr>
              <w:autoSpaceDE w:val="0"/>
              <w:autoSpaceDN w:val="0"/>
              <w:adjustRightInd w:val="0"/>
              <w:rPr>
                <w:sz w:val="24"/>
                <w:szCs w:val="24"/>
                <w:lang w:eastAsia="da-DK"/>
              </w:rPr>
            </w:pPr>
            <w:r w:rsidRPr="008A6EE6">
              <w:rPr>
                <w:sz w:val="24"/>
                <w:szCs w:val="24"/>
                <w:lang w:eastAsia="da-DK"/>
              </w:rPr>
              <w:t>dosisniveau (dosisniveau -2, -3, -4 eller -5).</w:t>
            </w:r>
          </w:p>
          <w:p w:rsidR="00345490" w:rsidRPr="008A6EE6" w:rsidRDefault="00345490" w:rsidP="00345490">
            <w:pPr>
              <w:autoSpaceDE w:val="0"/>
              <w:autoSpaceDN w:val="0"/>
              <w:adjustRightInd w:val="0"/>
              <w:rPr>
                <w:sz w:val="24"/>
                <w:szCs w:val="24"/>
              </w:rPr>
            </w:pPr>
            <w:r w:rsidRPr="008A6EE6">
              <w:rPr>
                <w:sz w:val="24"/>
                <w:szCs w:val="24"/>
                <w:lang w:eastAsia="da-DK"/>
              </w:rPr>
              <w:t>Dosér ikke under dosisniveau -5</w:t>
            </w:r>
          </w:p>
        </w:tc>
      </w:tr>
    </w:tbl>
    <w:p w:rsidR="00345490" w:rsidRPr="008A6EE6" w:rsidRDefault="00345490" w:rsidP="00345490">
      <w:pPr>
        <w:tabs>
          <w:tab w:val="left" w:pos="851"/>
        </w:tabs>
        <w:ind w:left="851"/>
        <w:rPr>
          <w:sz w:val="24"/>
          <w:szCs w:val="24"/>
        </w:rPr>
      </w:pPr>
    </w:p>
    <w:p w:rsidR="00345490" w:rsidRPr="00CF3A32" w:rsidRDefault="00345490" w:rsidP="00345490">
      <w:pPr>
        <w:numPr>
          <w:ilvl w:val="0"/>
          <w:numId w:val="6"/>
        </w:numPr>
        <w:tabs>
          <w:tab w:val="left" w:pos="851"/>
        </w:tabs>
        <w:ind w:left="1134" w:hanging="283"/>
        <w:rPr>
          <w:i/>
          <w:iCs/>
          <w:sz w:val="24"/>
          <w:szCs w:val="24"/>
        </w:rPr>
      </w:pPr>
      <w:r w:rsidRPr="000F2B51">
        <w:rPr>
          <w:i/>
          <w:iCs/>
          <w:sz w:val="24"/>
          <w:szCs w:val="24"/>
          <w:lang w:eastAsia="da-DK"/>
        </w:rPr>
        <w:t>Absolutte neutrofiltal (ANC) -</w:t>
      </w:r>
      <w:r w:rsidRPr="000F2B51">
        <w:rPr>
          <w:i/>
          <w:iCs/>
          <w:sz w:val="22"/>
          <w:szCs w:val="22"/>
          <w:lang w:eastAsia="da-DK"/>
        </w:rPr>
        <w:t xml:space="preserve"> </w:t>
      </w:r>
      <w:r w:rsidRPr="00CF3A32">
        <w:rPr>
          <w:i/>
          <w:iCs/>
          <w:sz w:val="24"/>
          <w:szCs w:val="24"/>
        </w:rPr>
        <w:t>Neutropeni</w:t>
      </w:r>
    </w:p>
    <w:tbl>
      <w:tblPr>
        <w:tblW w:w="4977" w:type="pct"/>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28"/>
        <w:gridCol w:w="4556"/>
      </w:tblGrid>
      <w:tr w:rsidR="00345490" w:rsidRPr="008A6EE6" w:rsidTr="00345490">
        <w:tc>
          <w:tcPr>
            <w:tcW w:w="2623" w:type="pct"/>
            <w:hideMark/>
          </w:tcPr>
          <w:p w:rsidR="00345490" w:rsidRPr="000F2B51" w:rsidRDefault="00345490" w:rsidP="00345490">
            <w:pPr>
              <w:ind w:left="31"/>
              <w:rPr>
                <w:i/>
                <w:iCs/>
                <w:sz w:val="24"/>
                <w:szCs w:val="24"/>
              </w:rPr>
            </w:pPr>
            <w:proofErr w:type="gramStart"/>
            <w:r w:rsidRPr="000F2B51">
              <w:rPr>
                <w:sz w:val="24"/>
                <w:szCs w:val="24"/>
              </w:rPr>
              <w:t xml:space="preserve">Når </w:t>
            </w:r>
            <w:r>
              <w:rPr>
                <w:sz w:val="24"/>
                <w:szCs w:val="24"/>
              </w:rPr>
              <w:t xml:space="preserve"> ANC</w:t>
            </w:r>
            <w:proofErr w:type="gramEnd"/>
          </w:p>
        </w:tc>
        <w:tc>
          <w:tcPr>
            <w:tcW w:w="2377" w:type="pct"/>
            <w:hideMark/>
          </w:tcPr>
          <w:p w:rsidR="00345490" w:rsidRPr="000F2B51" w:rsidRDefault="00345490" w:rsidP="00345490">
            <w:pPr>
              <w:ind w:left="106"/>
              <w:rPr>
                <w:i/>
                <w:iCs/>
                <w:sz w:val="24"/>
                <w:szCs w:val="24"/>
              </w:rPr>
            </w:pPr>
            <w:r w:rsidRPr="000F2B51">
              <w:rPr>
                <w:sz w:val="24"/>
                <w:szCs w:val="24"/>
              </w:rPr>
              <w:t>Anbefalet forløb</w:t>
            </w:r>
          </w:p>
        </w:tc>
      </w:tr>
      <w:tr w:rsidR="00345490" w:rsidRPr="008A6EE6" w:rsidTr="00345490">
        <w:tc>
          <w:tcPr>
            <w:tcW w:w="2623" w:type="pct"/>
            <w:hideMark/>
          </w:tcPr>
          <w:p w:rsidR="00345490" w:rsidRPr="008A6EE6" w:rsidRDefault="00345490" w:rsidP="00345490">
            <w:pPr>
              <w:autoSpaceDE w:val="0"/>
              <w:autoSpaceDN w:val="0"/>
              <w:adjustRightInd w:val="0"/>
              <w:rPr>
                <w:sz w:val="24"/>
                <w:szCs w:val="24"/>
                <w:lang w:eastAsia="da-DK"/>
              </w:rPr>
            </w:pPr>
            <w:r w:rsidRPr="008A6EE6">
              <w:rPr>
                <w:sz w:val="24"/>
                <w:szCs w:val="24"/>
                <w:lang w:eastAsia="da-DK"/>
              </w:rPr>
              <w:t xml:space="preserve">Falder til </w:t>
            </w:r>
            <w:proofErr w:type="gramStart"/>
            <w:r w:rsidRPr="008A6EE6">
              <w:rPr>
                <w:sz w:val="24"/>
                <w:szCs w:val="24"/>
              </w:rPr>
              <w:t>&lt;  1</w:t>
            </w:r>
            <w:proofErr w:type="gramEnd"/>
            <w:r w:rsidRPr="008A6EE6">
              <w:rPr>
                <w:sz w:val="24"/>
                <w:szCs w:val="24"/>
                <w:lang w:eastAsia="da-DK"/>
              </w:rPr>
              <w:t xml:space="preserve"> x 10</w:t>
            </w:r>
            <w:r w:rsidRPr="008A6EE6">
              <w:rPr>
                <w:sz w:val="24"/>
                <w:szCs w:val="24"/>
                <w:vertAlign w:val="superscript"/>
                <w:lang w:eastAsia="da-DK"/>
              </w:rPr>
              <w:t>9</w:t>
            </w:r>
            <w:r w:rsidRPr="008A6EE6">
              <w:rPr>
                <w:sz w:val="24"/>
                <w:szCs w:val="24"/>
                <w:lang w:eastAsia="da-DK"/>
              </w:rPr>
              <w:t>/l i mindst 7 dage eller</w:t>
            </w:r>
          </w:p>
          <w:p w:rsidR="00345490" w:rsidRPr="008A6EE6" w:rsidRDefault="00345490" w:rsidP="00345490">
            <w:pPr>
              <w:autoSpaceDE w:val="0"/>
              <w:autoSpaceDN w:val="0"/>
              <w:adjustRightInd w:val="0"/>
              <w:rPr>
                <w:sz w:val="24"/>
                <w:szCs w:val="24"/>
                <w:lang w:eastAsia="da-DK"/>
              </w:rPr>
            </w:pPr>
            <w:r w:rsidRPr="008A6EE6">
              <w:rPr>
                <w:sz w:val="24"/>
                <w:szCs w:val="24"/>
                <w:lang w:eastAsia="da-DK"/>
              </w:rPr>
              <w:t>Falder til &lt; 1 x 10</w:t>
            </w:r>
            <w:r w:rsidRPr="008A6EE6">
              <w:rPr>
                <w:sz w:val="24"/>
                <w:szCs w:val="24"/>
                <w:vertAlign w:val="superscript"/>
                <w:lang w:eastAsia="da-DK"/>
              </w:rPr>
              <w:t>9</w:t>
            </w:r>
            <w:r w:rsidRPr="008A6EE6">
              <w:rPr>
                <w:sz w:val="24"/>
                <w:szCs w:val="24"/>
                <w:lang w:eastAsia="da-DK"/>
              </w:rPr>
              <w:t>/l med associeret feber</w:t>
            </w:r>
          </w:p>
          <w:p w:rsidR="00345490" w:rsidRPr="008A6EE6" w:rsidRDefault="00345490" w:rsidP="00345490">
            <w:pPr>
              <w:ind w:left="31"/>
              <w:rPr>
                <w:rFonts w:eastAsia="TimesNewRomanPSMT"/>
                <w:sz w:val="24"/>
                <w:szCs w:val="24"/>
                <w:lang w:eastAsia="da-DK"/>
              </w:rPr>
            </w:pPr>
            <w:r w:rsidRPr="008A6EE6">
              <w:rPr>
                <w:rFonts w:eastAsia="TimesNewRomanPSMT"/>
                <w:sz w:val="24"/>
                <w:szCs w:val="24"/>
                <w:lang w:eastAsia="da-DK"/>
              </w:rPr>
              <w:t>(legemstemperatur ≥ 38,5 °C) eller</w:t>
            </w:r>
          </w:p>
          <w:p w:rsidR="00345490" w:rsidRPr="008A6EE6" w:rsidRDefault="00345490" w:rsidP="00345490">
            <w:pPr>
              <w:ind w:left="31"/>
              <w:rPr>
                <w:i/>
                <w:iCs/>
                <w:sz w:val="24"/>
                <w:szCs w:val="24"/>
              </w:rPr>
            </w:pPr>
            <w:r w:rsidRPr="008A6EE6">
              <w:rPr>
                <w:rFonts w:eastAsia="TimesNewRomanPSMT"/>
                <w:sz w:val="24"/>
                <w:szCs w:val="24"/>
                <w:lang w:eastAsia="da-DK"/>
              </w:rPr>
              <w:t xml:space="preserve">Falder til </w:t>
            </w:r>
            <w:r w:rsidRPr="008A6EE6">
              <w:rPr>
                <w:sz w:val="24"/>
                <w:szCs w:val="24"/>
              </w:rPr>
              <w:t xml:space="preserve">&lt; 0,5 x </w:t>
            </w:r>
            <w:r w:rsidRPr="008A6EE6">
              <w:rPr>
                <w:sz w:val="24"/>
                <w:szCs w:val="24"/>
                <w:lang w:eastAsia="da-DK"/>
              </w:rPr>
              <w:t>10</w:t>
            </w:r>
            <w:r w:rsidRPr="008A6EE6">
              <w:rPr>
                <w:sz w:val="24"/>
                <w:szCs w:val="24"/>
                <w:vertAlign w:val="superscript"/>
                <w:lang w:eastAsia="da-DK"/>
              </w:rPr>
              <w:t>9</w:t>
            </w:r>
            <w:r w:rsidRPr="008A6EE6">
              <w:rPr>
                <w:sz w:val="24"/>
                <w:szCs w:val="24"/>
                <w:lang w:eastAsia="da-DK"/>
              </w:rPr>
              <w:t>/l</w:t>
            </w:r>
          </w:p>
        </w:tc>
        <w:tc>
          <w:tcPr>
            <w:tcW w:w="2377" w:type="pct"/>
            <w:hideMark/>
          </w:tcPr>
          <w:p w:rsidR="00345490" w:rsidRPr="008A6EE6" w:rsidRDefault="00345490" w:rsidP="00345490">
            <w:pPr>
              <w:ind w:left="106"/>
              <w:rPr>
                <w:sz w:val="24"/>
                <w:szCs w:val="24"/>
              </w:rPr>
            </w:pPr>
            <w:r w:rsidRPr="008A6EE6">
              <w:rPr>
                <w:sz w:val="24"/>
                <w:szCs w:val="24"/>
              </w:rPr>
              <w:t>Afbryd behandlingen med lenalidomid og udfør CBC mindst hver 7. dag</w:t>
            </w:r>
          </w:p>
          <w:p w:rsidR="00345490" w:rsidRPr="008A6EE6" w:rsidRDefault="00345490" w:rsidP="00345490">
            <w:pPr>
              <w:ind w:left="106"/>
              <w:rPr>
                <w:sz w:val="24"/>
                <w:szCs w:val="24"/>
              </w:rPr>
            </w:pPr>
          </w:p>
        </w:tc>
      </w:tr>
      <w:tr w:rsidR="00345490" w:rsidRPr="008A6EE6" w:rsidTr="00345490">
        <w:tc>
          <w:tcPr>
            <w:tcW w:w="2623" w:type="pct"/>
          </w:tcPr>
          <w:p w:rsidR="00345490" w:rsidRPr="008A6EE6" w:rsidRDefault="00345490" w:rsidP="00345490">
            <w:pPr>
              <w:autoSpaceDE w:val="0"/>
              <w:autoSpaceDN w:val="0"/>
              <w:adjustRightInd w:val="0"/>
              <w:rPr>
                <w:sz w:val="24"/>
                <w:szCs w:val="24"/>
                <w:lang w:eastAsia="da-DK"/>
              </w:rPr>
            </w:pPr>
            <w:r w:rsidRPr="008A6EE6">
              <w:rPr>
                <w:sz w:val="24"/>
                <w:szCs w:val="24"/>
                <w:lang w:eastAsia="da-DK"/>
              </w:rPr>
              <w:t xml:space="preserve">Vender tilbage til </w:t>
            </w:r>
            <w:r w:rsidRPr="008A6EE6">
              <w:rPr>
                <w:rFonts w:eastAsia="TimesNewRomanPSMT"/>
                <w:sz w:val="24"/>
                <w:szCs w:val="24"/>
                <w:lang w:eastAsia="da-DK"/>
              </w:rPr>
              <w:t>≥</w:t>
            </w:r>
            <w:r>
              <w:rPr>
                <w:rFonts w:eastAsia="TimesNewRomanPSMT"/>
                <w:sz w:val="24"/>
                <w:szCs w:val="24"/>
                <w:lang w:eastAsia="da-DK"/>
              </w:rPr>
              <w:t xml:space="preserve">1 x </w:t>
            </w:r>
            <w:r w:rsidRPr="008A6EE6">
              <w:rPr>
                <w:sz w:val="24"/>
                <w:szCs w:val="24"/>
                <w:lang w:eastAsia="da-DK"/>
              </w:rPr>
              <w:t>10</w:t>
            </w:r>
            <w:r w:rsidRPr="008A6EE6">
              <w:rPr>
                <w:sz w:val="24"/>
                <w:szCs w:val="24"/>
                <w:vertAlign w:val="superscript"/>
                <w:lang w:eastAsia="da-DK"/>
              </w:rPr>
              <w:t>9</w:t>
            </w:r>
            <w:r w:rsidRPr="008A6EE6">
              <w:rPr>
                <w:sz w:val="24"/>
                <w:szCs w:val="24"/>
                <w:lang w:eastAsia="da-DK"/>
              </w:rPr>
              <w:t>/l</w:t>
            </w:r>
          </w:p>
        </w:tc>
        <w:tc>
          <w:tcPr>
            <w:tcW w:w="2377" w:type="pct"/>
          </w:tcPr>
          <w:p w:rsidR="00345490" w:rsidRPr="008A6EE6" w:rsidRDefault="00345490" w:rsidP="00345490">
            <w:pPr>
              <w:autoSpaceDE w:val="0"/>
              <w:autoSpaceDN w:val="0"/>
              <w:adjustRightInd w:val="0"/>
              <w:rPr>
                <w:sz w:val="24"/>
                <w:szCs w:val="24"/>
              </w:rPr>
            </w:pPr>
            <w:r w:rsidRPr="008A6EE6">
              <w:rPr>
                <w:sz w:val="24"/>
                <w:szCs w:val="24"/>
                <w:lang w:eastAsia="da-DK"/>
              </w:rPr>
              <w:t>Genoptag lenalidomid ved det næste lavere dosisniveau (dosisniveau -1)</w:t>
            </w:r>
          </w:p>
        </w:tc>
      </w:tr>
      <w:tr w:rsidR="00345490" w:rsidRPr="008A6EE6" w:rsidTr="00345490">
        <w:tc>
          <w:tcPr>
            <w:tcW w:w="2623" w:type="pct"/>
          </w:tcPr>
          <w:p w:rsidR="00345490" w:rsidRPr="008A6EE6" w:rsidRDefault="00345490" w:rsidP="00345490">
            <w:pPr>
              <w:autoSpaceDE w:val="0"/>
              <w:autoSpaceDN w:val="0"/>
              <w:adjustRightInd w:val="0"/>
              <w:rPr>
                <w:sz w:val="24"/>
                <w:szCs w:val="24"/>
                <w:lang w:eastAsia="da-DK"/>
              </w:rPr>
            </w:pPr>
            <w:r w:rsidRPr="008A6EE6">
              <w:rPr>
                <w:sz w:val="24"/>
                <w:szCs w:val="24"/>
                <w:lang w:eastAsia="da-DK"/>
              </w:rPr>
              <w:t>For hvert efterfølgende fald til under 1 x 10</w:t>
            </w:r>
            <w:r w:rsidRPr="008A6EE6">
              <w:rPr>
                <w:sz w:val="24"/>
                <w:szCs w:val="24"/>
                <w:vertAlign w:val="superscript"/>
                <w:lang w:eastAsia="da-DK"/>
              </w:rPr>
              <w:t>9</w:t>
            </w:r>
            <w:r w:rsidRPr="008A6EE6">
              <w:rPr>
                <w:sz w:val="24"/>
                <w:szCs w:val="24"/>
                <w:lang w:eastAsia="da-DK"/>
              </w:rPr>
              <w:t>/l i mindst 7 dage eller et fald til &lt; 1 x 10</w:t>
            </w:r>
            <w:r w:rsidRPr="008A6EE6">
              <w:rPr>
                <w:sz w:val="24"/>
                <w:szCs w:val="24"/>
                <w:vertAlign w:val="superscript"/>
                <w:lang w:eastAsia="da-DK"/>
              </w:rPr>
              <w:t>9</w:t>
            </w:r>
            <w:r w:rsidRPr="008A6EE6">
              <w:rPr>
                <w:sz w:val="24"/>
                <w:szCs w:val="24"/>
                <w:lang w:eastAsia="da-DK"/>
              </w:rPr>
              <w:t xml:space="preserve">/l med associeret feber </w:t>
            </w:r>
            <w:r w:rsidRPr="008A6EE6">
              <w:rPr>
                <w:rFonts w:eastAsia="TimesNewRomanPSMT"/>
                <w:sz w:val="24"/>
                <w:szCs w:val="24"/>
                <w:lang w:eastAsia="da-DK"/>
              </w:rPr>
              <w:t xml:space="preserve">(legemstemperatur ≥ 38,5 °C) eller et fald til </w:t>
            </w:r>
            <w:r w:rsidRPr="008A6EE6">
              <w:rPr>
                <w:sz w:val="24"/>
                <w:szCs w:val="24"/>
                <w:lang w:eastAsia="da-DK"/>
              </w:rPr>
              <w:t>&lt; 0,5 x 10</w:t>
            </w:r>
            <w:r w:rsidRPr="008A6EE6">
              <w:rPr>
                <w:sz w:val="24"/>
                <w:szCs w:val="24"/>
                <w:vertAlign w:val="superscript"/>
                <w:lang w:eastAsia="da-DK"/>
              </w:rPr>
              <w:t>9</w:t>
            </w:r>
            <w:r w:rsidRPr="008A6EE6">
              <w:rPr>
                <w:sz w:val="24"/>
                <w:szCs w:val="24"/>
                <w:lang w:eastAsia="da-DK"/>
              </w:rPr>
              <w:t xml:space="preserve">/l </w:t>
            </w:r>
          </w:p>
          <w:p w:rsidR="00345490" w:rsidRPr="008A6EE6" w:rsidRDefault="00345490" w:rsidP="00345490">
            <w:pPr>
              <w:autoSpaceDE w:val="0"/>
              <w:autoSpaceDN w:val="0"/>
              <w:adjustRightInd w:val="0"/>
              <w:rPr>
                <w:sz w:val="24"/>
                <w:szCs w:val="24"/>
                <w:lang w:eastAsia="da-DK"/>
              </w:rPr>
            </w:pPr>
            <w:r w:rsidRPr="008A6EE6">
              <w:rPr>
                <w:rFonts w:eastAsia="TimesNewRomanPSMT"/>
                <w:sz w:val="24"/>
                <w:szCs w:val="24"/>
                <w:lang w:eastAsia="da-DK"/>
              </w:rPr>
              <w:t>Vender tilbage til ≥ 1 x 10</w:t>
            </w:r>
            <w:r w:rsidRPr="008A6EE6">
              <w:rPr>
                <w:sz w:val="24"/>
                <w:szCs w:val="24"/>
                <w:vertAlign w:val="superscript"/>
                <w:lang w:eastAsia="da-DK"/>
              </w:rPr>
              <w:t>9</w:t>
            </w:r>
            <w:r w:rsidRPr="008A6EE6">
              <w:rPr>
                <w:sz w:val="24"/>
                <w:szCs w:val="24"/>
                <w:lang w:eastAsia="da-DK"/>
              </w:rPr>
              <w:t>/l</w:t>
            </w:r>
          </w:p>
        </w:tc>
        <w:tc>
          <w:tcPr>
            <w:tcW w:w="2377" w:type="pct"/>
          </w:tcPr>
          <w:p w:rsidR="00345490" w:rsidRPr="008A6EE6" w:rsidRDefault="00345490" w:rsidP="00345490">
            <w:pPr>
              <w:autoSpaceDE w:val="0"/>
              <w:autoSpaceDN w:val="0"/>
              <w:adjustRightInd w:val="0"/>
              <w:rPr>
                <w:sz w:val="24"/>
                <w:szCs w:val="24"/>
                <w:lang w:eastAsia="da-DK"/>
              </w:rPr>
            </w:pPr>
            <w:r w:rsidRPr="008A6EE6">
              <w:rPr>
                <w:sz w:val="24"/>
                <w:szCs w:val="24"/>
                <w:lang w:eastAsia="da-DK"/>
              </w:rPr>
              <w:t>Afbryd behandlingen med lenalidomid</w:t>
            </w:r>
          </w:p>
          <w:p w:rsidR="00345490" w:rsidRPr="008A6EE6" w:rsidRDefault="00345490" w:rsidP="00345490">
            <w:pPr>
              <w:autoSpaceDE w:val="0"/>
              <w:autoSpaceDN w:val="0"/>
              <w:adjustRightInd w:val="0"/>
              <w:rPr>
                <w:sz w:val="24"/>
                <w:szCs w:val="24"/>
                <w:lang w:eastAsia="da-DK"/>
              </w:rPr>
            </w:pPr>
          </w:p>
          <w:p w:rsidR="00345490" w:rsidRPr="008A6EE6" w:rsidRDefault="00345490" w:rsidP="00345490">
            <w:pPr>
              <w:autoSpaceDE w:val="0"/>
              <w:autoSpaceDN w:val="0"/>
              <w:adjustRightInd w:val="0"/>
              <w:rPr>
                <w:sz w:val="24"/>
                <w:szCs w:val="24"/>
                <w:lang w:eastAsia="da-DK"/>
              </w:rPr>
            </w:pPr>
          </w:p>
          <w:p w:rsidR="00345490" w:rsidRPr="008A6EE6" w:rsidRDefault="00345490" w:rsidP="00345490">
            <w:pPr>
              <w:autoSpaceDE w:val="0"/>
              <w:autoSpaceDN w:val="0"/>
              <w:adjustRightInd w:val="0"/>
              <w:rPr>
                <w:sz w:val="24"/>
                <w:szCs w:val="24"/>
                <w:lang w:eastAsia="da-DK"/>
              </w:rPr>
            </w:pPr>
          </w:p>
          <w:p w:rsidR="00345490" w:rsidRPr="008A6EE6" w:rsidRDefault="00345490" w:rsidP="00345490">
            <w:pPr>
              <w:autoSpaceDE w:val="0"/>
              <w:autoSpaceDN w:val="0"/>
              <w:adjustRightInd w:val="0"/>
              <w:rPr>
                <w:sz w:val="24"/>
                <w:szCs w:val="24"/>
                <w:lang w:eastAsia="da-DK"/>
              </w:rPr>
            </w:pPr>
            <w:r w:rsidRPr="008A6EE6">
              <w:rPr>
                <w:sz w:val="24"/>
                <w:szCs w:val="24"/>
                <w:lang w:eastAsia="da-DK"/>
              </w:rPr>
              <w:t>Genoptag lenalidomid ved det næste lavere dosisniveau (dosisniveau -2, -3, -4, -5).</w:t>
            </w:r>
          </w:p>
          <w:p w:rsidR="00345490" w:rsidRPr="008A6EE6" w:rsidRDefault="00345490" w:rsidP="00345490">
            <w:pPr>
              <w:autoSpaceDE w:val="0"/>
              <w:autoSpaceDN w:val="0"/>
              <w:adjustRightInd w:val="0"/>
              <w:rPr>
                <w:sz w:val="24"/>
                <w:szCs w:val="24"/>
                <w:lang w:eastAsia="da-DK"/>
              </w:rPr>
            </w:pPr>
            <w:r w:rsidRPr="008A6EE6">
              <w:rPr>
                <w:sz w:val="24"/>
                <w:szCs w:val="24"/>
                <w:lang w:eastAsia="da-DK"/>
              </w:rPr>
              <w:lastRenderedPageBreak/>
              <w:t>Dosér ikke under dosisniveau -5</w:t>
            </w:r>
          </w:p>
        </w:tc>
      </w:tr>
    </w:tbl>
    <w:p w:rsidR="00345490" w:rsidRDefault="00345490" w:rsidP="00CC3E4D">
      <w:pPr>
        <w:keepNext/>
        <w:ind w:left="851"/>
        <w:rPr>
          <w:b/>
          <w:noProof/>
          <w:sz w:val="24"/>
          <w:szCs w:val="24"/>
        </w:rPr>
      </w:pPr>
    </w:p>
    <w:p w:rsidR="00EE3AD4" w:rsidRPr="00876C3D" w:rsidRDefault="00EE3AD4" w:rsidP="00CC3E4D">
      <w:pPr>
        <w:keepNext/>
        <w:ind w:left="851"/>
        <w:rPr>
          <w:i/>
          <w:noProof/>
          <w:sz w:val="24"/>
          <w:szCs w:val="24"/>
          <w:u w:val="single"/>
        </w:rPr>
      </w:pPr>
      <w:r w:rsidRPr="00876C3D">
        <w:rPr>
          <w:i/>
          <w:noProof/>
          <w:sz w:val="24"/>
          <w:szCs w:val="24"/>
          <w:u w:val="single"/>
        </w:rPr>
        <w:t xml:space="preserve">Follikulært lymfom (FL) </w:t>
      </w:r>
    </w:p>
    <w:p w:rsidR="00EE3AD4" w:rsidRPr="00EE3AD4" w:rsidRDefault="00EE3AD4" w:rsidP="00704AE1">
      <w:pPr>
        <w:ind w:left="851"/>
        <w:rPr>
          <w:noProof/>
          <w:sz w:val="24"/>
          <w:szCs w:val="24"/>
        </w:rPr>
      </w:pPr>
      <w:r w:rsidRPr="00EE3AD4">
        <w:rPr>
          <w:noProof/>
          <w:sz w:val="24"/>
          <w:szCs w:val="24"/>
        </w:rPr>
        <w:t>Lenalidomidbehandlingen må ikke startes, hvis ANC er &lt; 1 x 10</w:t>
      </w:r>
      <w:r w:rsidRPr="00EE3AD4">
        <w:rPr>
          <w:noProof/>
          <w:sz w:val="24"/>
          <w:szCs w:val="24"/>
          <w:vertAlign w:val="superscript"/>
        </w:rPr>
        <w:t>9</w:t>
      </w:r>
      <w:r w:rsidRPr="00EE3AD4">
        <w:rPr>
          <w:noProof/>
          <w:sz w:val="24"/>
          <w:szCs w:val="24"/>
        </w:rPr>
        <w:t>/l og/eller trombocyttallet er &lt; 50 x 10</w:t>
      </w:r>
      <w:r w:rsidRPr="00EE3AD4">
        <w:rPr>
          <w:noProof/>
          <w:sz w:val="24"/>
          <w:szCs w:val="24"/>
          <w:vertAlign w:val="superscript"/>
        </w:rPr>
        <w:t>9</w:t>
      </w:r>
      <w:r w:rsidRPr="00EE3AD4">
        <w:rPr>
          <w:noProof/>
          <w:sz w:val="24"/>
          <w:szCs w:val="24"/>
        </w:rPr>
        <w:t xml:space="preserve">/l, medmindre det er sekundært til lymfominfiltration af knoglemarven.  </w:t>
      </w:r>
    </w:p>
    <w:p w:rsidR="00EE3AD4" w:rsidRPr="00876C3D" w:rsidRDefault="00EE3AD4" w:rsidP="00876C3D">
      <w:pPr>
        <w:ind w:left="851"/>
        <w:rPr>
          <w:noProof/>
          <w:sz w:val="24"/>
          <w:szCs w:val="24"/>
        </w:rPr>
      </w:pPr>
      <w:r w:rsidRPr="00EE3AD4">
        <w:rPr>
          <w:noProof/>
          <w:sz w:val="24"/>
          <w:szCs w:val="24"/>
        </w:rPr>
        <w:t xml:space="preserve"> </w:t>
      </w:r>
      <w:r w:rsidR="00345490">
        <w:rPr>
          <w:i/>
          <w:noProof/>
          <w:sz w:val="24"/>
          <w:szCs w:val="24"/>
        </w:rPr>
        <w:br/>
      </w:r>
      <w:r w:rsidRPr="00EE3AD4">
        <w:rPr>
          <w:i/>
          <w:noProof/>
          <w:sz w:val="24"/>
          <w:szCs w:val="24"/>
        </w:rPr>
        <w:t xml:space="preserve">Anbefalet dosis </w:t>
      </w:r>
    </w:p>
    <w:p w:rsidR="00EE3AD4" w:rsidRPr="00EE3AD4" w:rsidRDefault="00EE3AD4" w:rsidP="00704AE1">
      <w:pPr>
        <w:ind w:left="851"/>
        <w:rPr>
          <w:noProof/>
          <w:sz w:val="24"/>
          <w:szCs w:val="24"/>
        </w:rPr>
      </w:pPr>
      <w:r w:rsidRPr="00EE3AD4">
        <w:rPr>
          <w:noProof/>
          <w:sz w:val="24"/>
          <w:szCs w:val="24"/>
        </w:rPr>
        <w:t>Den anbefalede startdosis af lenalidomid er 20 mg oralt én gang dagligt på dag 1 til 21 af gentagne 28-dages cyklusser i op til 12 behandlingscyklusser. Den anbefalede startdosis af rituximab er 375 mg/m</w:t>
      </w:r>
      <w:r w:rsidRPr="00EE3AD4">
        <w:rPr>
          <w:noProof/>
          <w:sz w:val="24"/>
          <w:szCs w:val="24"/>
          <w:vertAlign w:val="superscript"/>
        </w:rPr>
        <w:t>2</w:t>
      </w:r>
      <w:r w:rsidRPr="00EE3AD4">
        <w:rPr>
          <w:noProof/>
          <w:sz w:val="24"/>
          <w:szCs w:val="24"/>
        </w:rPr>
        <w:t xml:space="preserve"> intravenøst (i.v.) hver uge i cyklus 1 (dag 1, 8, 15 og 22) og på dag 1 af hver 28-dages cyklus i cyklus 2 til og med 5. </w:t>
      </w:r>
    </w:p>
    <w:p w:rsidR="00EE3AD4" w:rsidRPr="00EE3AD4" w:rsidRDefault="00EE3AD4" w:rsidP="00704AE1">
      <w:pPr>
        <w:ind w:left="851"/>
        <w:rPr>
          <w:noProof/>
          <w:sz w:val="24"/>
          <w:szCs w:val="24"/>
        </w:rPr>
      </w:pPr>
      <w:r w:rsidRPr="00EE3AD4">
        <w:rPr>
          <w:noProof/>
          <w:sz w:val="24"/>
          <w:szCs w:val="24"/>
        </w:rPr>
        <w:t xml:space="preserve"> </w:t>
      </w:r>
    </w:p>
    <w:p w:rsidR="00EE3AD4" w:rsidRPr="00EE3AD4" w:rsidRDefault="00EE3AD4" w:rsidP="00704AE1">
      <w:pPr>
        <w:ind w:left="851"/>
        <w:rPr>
          <w:i/>
          <w:noProof/>
          <w:sz w:val="24"/>
          <w:szCs w:val="24"/>
        </w:rPr>
      </w:pPr>
      <w:r w:rsidRPr="00EE3AD4">
        <w:rPr>
          <w:i/>
          <w:noProof/>
          <w:sz w:val="24"/>
          <w:szCs w:val="24"/>
        </w:rPr>
        <w:t xml:space="preserve">• Dosisreduktionstrin </w:t>
      </w:r>
    </w:p>
    <w:tbl>
      <w:tblPr>
        <w:tblStyle w:val="Tabel-Gitter"/>
        <w:tblW w:w="9628" w:type="dxa"/>
        <w:tblInd w:w="846" w:type="dxa"/>
        <w:tblLook w:val="04A0" w:firstRow="1" w:lastRow="0" w:firstColumn="1" w:lastColumn="0" w:noHBand="0" w:noVBand="1"/>
      </w:tblPr>
      <w:tblGrid>
        <w:gridCol w:w="4824"/>
        <w:gridCol w:w="4804"/>
      </w:tblGrid>
      <w:tr w:rsidR="00EE3AD4" w:rsidRPr="00EE3AD4" w:rsidTr="00704AE1">
        <w:trPr>
          <w:trHeight w:val="413"/>
        </w:trPr>
        <w:tc>
          <w:tcPr>
            <w:tcW w:w="482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sz w:val="24"/>
                <w:szCs w:val="24"/>
              </w:rPr>
            </w:pPr>
            <w:r w:rsidRPr="00EE3AD4">
              <w:rPr>
                <w:noProof/>
                <w:sz w:val="24"/>
                <w:szCs w:val="24"/>
              </w:rPr>
              <w:t>Startdosis</w:t>
            </w:r>
          </w:p>
        </w:tc>
        <w:tc>
          <w:tcPr>
            <w:tcW w:w="480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sz w:val="24"/>
                <w:szCs w:val="24"/>
                <w:lang w:val="da-DK"/>
              </w:rPr>
            </w:pPr>
            <w:r w:rsidRPr="00EE3AD4">
              <w:rPr>
                <w:noProof/>
                <w:sz w:val="24"/>
                <w:szCs w:val="24"/>
                <w:lang w:val="da-DK"/>
              </w:rPr>
              <w:t>20 mg én gang dagligt på dag 1-21 i hver cyklus på 28 dage</w:t>
            </w:r>
          </w:p>
        </w:tc>
      </w:tr>
      <w:tr w:rsidR="00EE3AD4" w:rsidRPr="00EE3AD4" w:rsidTr="00704AE1">
        <w:trPr>
          <w:trHeight w:val="420"/>
        </w:trPr>
        <w:tc>
          <w:tcPr>
            <w:tcW w:w="482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sz w:val="24"/>
                <w:szCs w:val="24"/>
              </w:rPr>
            </w:pPr>
            <w:r w:rsidRPr="00EE3AD4">
              <w:rPr>
                <w:noProof/>
                <w:sz w:val="24"/>
                <w:szCs w:val="24"/>
              </w:rPr>
              <w:t>Dosisniveau -1</w:t>
            </w:r>
          </w:p>
        </w:tc>
        <w:tc>
          <w:tcPr>
            <w:tcW w:w="480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sz w:val="24"/>
                <w:szCs w:val="24"/>
                <w:lang w:val="da-DK"/>
              </w:rPr>
            </w:pPr>
            <w:r w:rsidRPr="00EE3AD4">
              <w:rPr>
                <w:noProof/>
                <w:sz w:val="24"/>
                <w:szCs w:val="24"/>
                <w:lang w:val="da-DK"/>
              </w:rPr>
              <w:t>15 mg én gang dagligt på dag 1-21 i hver cyklus på 28 dage</w:t>
            </w:r>
          </w:p>
        </w:tc>
      </w:tr>
      <w:tr w:rsidR="00EE3AD4" w:rsidRPr="00EE3AD4" w:rsidTr="00704AE1">
        <w:trPr>
          <w:trHeight w:val="412"/>
        </w:trPr>
        <w:tc>
          <w:tcPr>
            <w:tcW w:w="482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sz w:val="24"/>
                <w:szCs w:val="24"/>
              </w:rPr>
            </w:pPr>
            <w:r w:rsidRPr="00EE3AD4">
              <w:rPr>
                <w:noProof/>
                <w:sz w:val="24"/>
                <w:szCs w:val="24"/>
              </w:rPr>
              <w:t xml:space="preserve">Dosisniveau -2  </w:t>
            </w:r>
          </w:p>
        </w:tc>
        <w:tc>
          <w:tcPr>
            <w:tcW w:w="480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sz w:val="24"/>
                <w:szCs w:val="24"/>
                <w:lang w:val="da-DK"/>
              </w:rPr>
            </w:pPr>
            <w:r w:rsidRPr="00EE3AD4">
              <w:rPr>
                <w:noProof/>
                <w:sz w:val="24"/>
                <w:szCs w:val="24"/>
                <w:lang w:val="da-DK"/>
              </w:rPr>
              <w:t>10 mg én gang dagligt på dag 1-21 i hver cyklus på 28 dage</w:t>
            </w:r>
          </w:p>
        </w:tc>
      </w:tr>
      <w:tr w:rsidR="00EE3AD4" w:rsidRPr="00EE3AD4" w:rsidTr="00704AE1">
        <w:tc>
          <w:tcPr>
            <w:tcW w:w="482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sz w:val="24"/>
                <w:szCs w:val="24"/>
              </w:rPr>
            </w:pPr>
            <w:r w:rsidRPr="00EE3AD4">
              <w:rPr>
                <w:noProof/>
                <w:sz w:val="24"/>
                <w:szCs w:val="24"/>
              </w:rPr>
              <w:t>Dosisniveau -3</w:t>
            </w:r>
          </w:p>
        </w:tc>
        <w:tc>
          <w:tcPr>
            <w:tcW w:w="4804" w:type="dxa"/>
            <w:tcBorders>
              <w:top w:val="single" w:sz="4" w:space="0" w:color="auto"/>
              <w:left w:val="single" w:sz="4" w:space="0" w:color="auto"/>
              <w:bottom w:val="single" w:sz="4" w:space="0" w:color="auto"/>
              <w:right w:val="single" w:sz="4" w:space="0" w:color="auto"/>
            </w:tcBorders>
            <w:hideMark/>
          </w:tcPr>
          <w:p w:rsidR="00EE3AD4" w:rsidRPr="00EE3AD4" w:rsidRDefault="00EE3AD4">
            <w:pPr>
              <w:rPr>
                <w:sz w:val="24"/>
                <w:szCs w:val="24"/>
                <w:lang w:val="da-DK"/>
              </w:rPr>
            </w:pPr>
            <w:r w:rsidRPr="00EE3AD4">
              <w:rPr>
                <w:noProof/>
                <w:sz w:val="24"/>
                <w:szCs w:val="24"/>
                <w:lang w:val="da-DK"/>
              </w:rPr>
              <w:t>5 mg én gang dagligt på dag 1-21 i hver cyklus på 28 dage</w:t>
            </w:r>
          </w:p>
        </w:tc>
      </w:tr>
    </w:tbl>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 xml:space="preserve">For dosisjusteringer som følge af toksicitet med rituximab henvises der til det relevante produktresumé. </w:t>
      </w:r>
    </w:p>
    <w:p w:rsidR="00EE3AD4" w:rsidRPr="00EE3AD4" w:rsidRDefault="00EE3AD4" w:rsidP="00704AE1">
      <w:pPr>
        <w:ind w:left="851"/>
        <w:rPr>
          <w:noProof/>
          <w:sz w:val="24"/>
          <w:szCs w:val="24"/>
        </w:rPr>
      </w:pPr>
      <w:r w:rsidRPr="00EE3AD4">
        <w:rPr>
          <w:noProof/>
          <w:sz w:val="24"/>
          <w:szCs w:val="24"/>
        </w:rPr>
        <w:t xml:space="preserve"> </w:t>
      </w:r>
    </w:p>
    <w:p w:rsidR="00EE3AD4" w:rsidRPr="00EE3AD4" w:rsidRDefault="00EE3AD4" w:rsidP="00704AE1">
      <w:pPr>
        <w:ind w:left="851"/>
        <w:rPr>
          <w:i/>
          <w:noProof/>
          <w:sz w:val="24"/>
          <w:szCs w:val="24"/>
        </w:rPr>
      </w:pPr>
      <w:r w:rsidRPr="00EE3AD4">
        <w:rPr>
          <w:i/>
          <w:noProof/>
          <w:sz w:val="24"/>
          <w:szCs w:val="24"/>
        </w:rPr>
        <w:t xml:space="preserve">• Trombocytopeni </w:t>
      </w:r>
    </w:p>
    <w:tbl>
      <w:tblPr>
        <w:tblStyle w:val="Tabel-Gitter"/>
        <w:tblW w:w="9628" w:type="dxa"/>
        <w:tblInd w:w="846" w:type="dxa"/>
        <w:tblLook w:val="04A0" w:firstRow="1" w:lastRow="0" w:firstColumn="1" w:lastColumn="0" w:noHBand="0" w:noVBand="1"/>
      </w:tblPr>
      <w:tblGrid>
        <w:gridCol w:w="4814"/>
        <w:gridCol w:w="4814"/>
      </w:tblGrid>
      <w:tr w:rsidR="00345490" w:rsidRPr="00EE3AD4" w:rsidTr="00345490">
        <w:tc>
          <w:tcPr>
            <w:tcW w:w="4814"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rPr>
            </w:pPr>
            <w:r w:rsidRPr="00EE3AD4">
              <w:rPr>
                <w:noProof/>
                <w:sz w:val="24"/>
                <w:szCs w:val="24"/>
              </w:rPr>
              <w:t>Når trombocytter</w:t>
            </w:r>
          </w:p>
        </w:tc>
        <w:tc>
          <w:tcPr>
            <w:tcW w:w="4814"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rPr>
            </w:pPr>
            <w:r w:rsidRPr="00EE3AD4">
              <w:rPr>
                <w:noProof/>
                <w:sz w:val="24"/>
                <w:szCs w:val="24"/>
              </w:rPr>
              <w:t>Anbefalet forløb</w:t>
            </w:r>
          </w:p>
        </w:tc>
      </w:tr>
      <w:tr w:rsidR="00345490" w:rsidRPr="00EE3AD4" w:rsidTr="00345490">
        <w:tc>
          <w:tcPr>
            <w:tcW w:w="4814"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rPr>
            </w:pPr>
            <w:r w:rsidRPr="00EE3AD4">
              <w:rPr>
                <w:noProof/>
                <w:sz w:val="24"/>
                <w:szCs w:val="24"/>
              </w:rPr>
              <w:t>Falder til &lt; 50 x 10</w:t>
            </w:r>
            <w:r w:rsidRPr="00EE3AD4">
              <w:rPr>
                <w:noProof/>
                <w:sz w:val="24"/>
                <w:szCs w:val="24"/>
                <w:vertAlign w:val="superscript"/>
              </w:rPr>
              <w:t>9</w:t>
            </w:r>
            <w:r w:rsidRPr="00EE3AD4">
              <w:rPr>
                <w:noProof/>
                <w:sz w:val="24"/>
                <w:szCs w:val="24"/>
              </w:rPr>
              <w:t>/l</w:t>
            </w:r>
          </w:p>
        </w:tc>
        <w:tc>
          <w:tcPr>
            <w:tcW w:w="4814"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lang w:val="da-DK"/>
              </w:rPr>
            </w:pPr>
            <w:r w:rsidRPr="00EE3AD4">
              <w:rPr>
                <w:noProof/>
                <w:sz w:val="24"/>
                <w:szCs w:val="24"/>
                <w:lang w:val="da-DK"/>
              </w:rPr>
              <w:t>Afbryd behandlingen med lenalidomid og udfør komplet blodtælling (CBC) mindst hver 7. dag</w:t>
            </w:r>
          </w:p>
        </w:tc>
      </w:tr>
      <w:tr w:rsidR="00345490" w:rsidRPr="00EE3AD4" w:rsidTr="00345490">
        <w:tc>
          <w:tcPr>
            <w:tcW w:w="4814"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lang w:val="da-DK"/>
              </w:rPr>
            </w:pPr>
            <w:r w:rsidRPr="00EE3AD4">
              <w:rPr>
                <w:noProof/>
                <w:sz w:val="24"/>
                <w:szCs w:val="24"/>
                <w:lang w:val="da-DK"/>
              </w:rPr>
              <w:t>Vender tilbage til ≥ 50 x 10</w:t>
            </w:r>
            <w:r w:rsidRPr="00EE3AD4">
              <w:rPr>
                <w:noProof/>
                <w:sz w:val="24"/>
                <w:szCs w:val="24"/>
                <w:vertAlign w:val="superscript"/>
                <w:lang w:val="da-DK"/>
              </w:rPr>
              <w:t>9</w:t>
            </w:r>
            <w:r w:rsidRPr="00EE3AD4">
              <w:rPr>
                <w:noProof/>
                <w:sz w:val="24"/>
                <w:szCs w:val="24"/>
                <w:lang w:val="da-DK"/>
              </w:rPr>
              <w:t>/l</w:t>
            </w:r>
          </w:p>
        </w:tc>
        <w:tc>
          <w:tcPr>
            <w:tcW w:w="4814"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lang w:val="da-DK"/>
              </w:rPr>
            </w:pPr>
            <w:r w:rsidRPr="00EE3AD4">
              <w:rPr>
                <w:noProof/>
                <w:sz w:val="24"/>
                <w:szCs w:val="24"/>
                <w:lang w:val="da-DK"/>
              </w:rPr>
              <w:t>Genoptag ved det næste lavere dosisniveau (dosisniveau -1)</w:t>
            </w:r>
          </w:p>
        </w:tc>
      </w:tr>
      <w:tr w:rsidR="00345490" w:rsidRPr="00EE3AD4" w:rsidTr="00345490">
        <w:tc>
          <w:tcPr>
            <w:tcW w:w="4814" w:type="dxa"/>
            <w:tcBorders>
              <w:top w:val="single" w:sz="4" w:space="0" w:color="auto"/>
              <w:left w:val="single" w:sz="4" w:space="0" w:color="auto"/>
              <w:bottom w:val="single" w:sz="4" w:space="0" w:color="auto"/>
              <w:right w:val="single" w:sz="4" w:space="0" w:color="auto"/>
            </w:tcBorders>
          </w:tcPr>
          <w:p w:rsidR="00345490" w:rsidRPr="00EE3AD4" w:rsidRDefault="00345490" w:rsidP="00345490">
            <w:pPr>
              <w:rPr>
                <w:sz w:val="24"/>
                <w:szCs w:val="24"/>
                <w:lang w:val="da-DK"/>
              </w:rPr>
            </w:pPr>
            <w:r w:rsidRPr="00EE3AD4">
              <w:rPr>
                <w:noProof/>
                <w:sz w:val="24"/>
                <w:szCs w:val="24"/>
                <w:lang w:val="da-DK"/>
              </w:rPr>
              <w:t>For hvert efterfølgende fald til under 50 x 10</w:t>
            </w:r>
            <w:r w:rsidRPr="00EE3AD4">
              <w:rPr>
                <w:noProof/>
                <w:sz w:val="24"/>
                <w:szCs w:val="24"/>
                <w:vertAlign w:val="superscript"/>
                <w:lang w:val="da-DK"/>
              </w:rPr>
              <w:t>9</w:t>
            </w:r>
            <w:r w:rsidRPr="00EE3AD4">
              <w:rPr>
                <w:noProof/>
                <w:sz w:val="24"/>
                <w:szCs w:val="24"/>
                <w:lang w:val="da-DK"/>
              </w:rPr>
              <w:t xml:space="preserve">/l </w:t>
            </w:r>
            <w:r w:rsidRPr="00EE3AD4">
              <w:rPr>
                <w:sz w:val="24"/>
                <w:szCs w:val="24"/>
                <w:lang w:val="da-DK"/>
              </w:rPr>
              <w:br/>
              <w:t> </w:t>
            </w:r>
          </w:p>
          <w:p w:rsidR="00345490" w:rsidRPr="000F2B51" w:rsidRDefault="00345490" w:rsidP="00345490">
            <w:pPr>
              <w:rPr>
                <w:noProof/>
                <w:sz w:val="24"/>
                <w:szCs w:val="24"/>
                <w:lang w:val="da-DK"/>
              </w:rPr>
            </w:pPr>
          </w:p>
          <w:p w:rsidR="00345490" w:rsidRPr="000F2B51" w:rsidRDefault="00345490" w:rsidP="00345490">
            <w:pPr>
              <w:rPr>
                <w:noProof/>
                <w:sz w:val="24"/>
                <w:szCs w:val="24"/>
                <w:lang w:val="da-DK"/>
              </w:rPr>
            </w:pPr>
          </w:p>
          <w:p w:rsidR="00345490" w:rsidRPr="00EE3AD4" w:rsidRDefault="00345490" w:rsidP="00345490">
            <w:pPr>
              <w:rPr>
                <w:noProof/>
                <w:sz w:val="24"/>
                <w:szCs w:val="24"/>
              </w:rPr>
            </w:pPr>
            <w:r w:rsidRPr="00EE3AD4">
              <w:rPr>
                <w:noProof/>
                <w:sz w:val="24"/>
                <w:szCs w:val="24"/>
              </w:rPr>
              <w:t>Vender tilbage til ≥ 50 x 10</w:t>
            </w:r>
            <w:r w:rsidRPr="00EE3AD4">
              <w:rPr>
                <w:noProof/>
                <w:sz w:val="24"/>
                <w:szCs w:val="24"/>
                <w:vertAlign w:val="superscript"/>
              </w:rPr>
              <w:t>9</w:t>
            </w:r>
            <w:r w:rsidRPr="00EE3AD4">
              <w:rPr>
                <w:noProof/>
                <w:sz w:val="24"/>
                <w:szCs w:val="24"/>
              </w:rPr>
              <w:t xml:space="preserve">/l </w:t>
            </w:r>
          </w:p>
          <w:p w:rsidR="00345490" w:rsidRPr="00EE3AD4" w:rsidRDefault="00345490" w:rsidP="00345490">
            <w:pPr>
              <w:rPr>
                <w:sz w:val="24"/>
                <w:szCs w:val="24"/>
              </w:rPr>
            </w:pPr>
          </w:p>
        </w:tc>
        <w:tc>
          <w:tcPr>
            <w:tcW w:w="4814" w:type="dxa"/>
            <w:tcBorders>
              <w:top w:val="single" w:sz="4" w:space="0" w:color="auto"/>
              <w:left w:val="single" w:sz="4" w:space="0" w:color="auto"/>
              <w:bottom w:val="single" w:sz="4" w:space="0" w:color="auto"/>
              <w:right w:val="single" w:sz="4" w:space="0" w:color="auto"/>
            </w:tcBorders>
            <w:hideMark/>
          </w:tcPr>
          <w:p w:rsidR="00345490" w:rsidRDefault="00345490" w:rsidP="00345490">
            <w:pPr>
              <w:rPr>
                <w:noProof/>
                <w:sz w:val="24"/>
                <w:szCs w:val="24"/>
                <w:lang w:val="da-DK"/>
              </w:rPr>
            </w:pPr>
            <w:r w:rsidRPr="00EE3AD4">
              <w:rPr>
                <w:noProof/>
                <w:sz w:val="24"/>
                <w:szCs w:val="24"/>
                <w:lang w:val="da-DK"/>
              </w:rPr>
              <w:t xml:space="preserve">Afbryd behandlingen med lenalidomid og udfør komplet blodtælling (CBC) mindst hver 7. dag </w:t>
            </w:r>
          </w:p>
          <w:p w:rsidR="00345490" w:rsidRDefault="00345490" w:rsidP="00345490">
            <w:pPr>
              <w:rPr>
                <w:noProof/>
                <w:sz w:val="24"/>
                <w:szCs w:val="24"/>
                <w:lang w:val="da-DK"/>
              </w:rPr>
            </w:pPr>
          </w:p>
          <w:p w:rsidR="00345490" w:rsidRPr="00EE3AD4" w:rsidRDefault="00345490" w:rsidP="00345490">
            <w:pPr>
              <w:rPr>
                <w:sz w:val="24"/>
                <w:szCs w:val="24"/>
              </w:rPr>
            </w:pPr>
            <w:r w:rsidRPr="00EE3AD4">
              <w:rPr>
                <w:noProof/>
                <w:sz w:val="24"/>
                <w:szCs w:val="24"/>
                <w:lang w:val="da-DK"/>
              </w:rPr>
              <w:t xml:space="preserve">Genoptag lenalidomid ved det næste lavere dosisniveau (dosisniveau -2, -3). </w:t>
            </w:r>
            <w:r w:rsidRPr="00EE3AD4">
              <w:rPr>
                <w:noProof/>
                <w:sz w:val="24"/>
                <w:szCs w:val="24"/>
              </w:rPr>
              <w:t>Dosér ikke under dosisniveau -3.</w:t>
            </w:r>
          </w:p>
        </w:tc>
      </w:tr>
    </w:tbl>
    <w:p w:rsidR="00EE3AD4" w:rsidRPr="00EE3AD4" w:rsidRDefault="00EE3AD4" w:rsidP="00704AE1">
      <w:pPr>
        <w:ind w:left="851"/>
        <w:rPr>
          <w:sz w:val="24"/>
          <w:szCs w:val="24"/>
        </w:rPr>
      </w:pPr>
    </w:p>
    <w:p w:rsidR="00EE3AD4" w:rsidRPr="00EE3AD4" w:rsidRDefault="00EE3AD4" w:rsidP="00704AE1">
      <w:pPr>
        <w:ind w:left="851"/>
        <w:rPr>
          <w:i/>
          <w:noProof/>
          <w:sz w:val="24"/>
          <w:szCs w:val="24"/>
        </w:rPr>
      </w:pPr>
      <w:r w:rsidRPr="00EE3AD4">
        <w:rPr>
          <w:i/>
          <w:noProof/>
          <w:sz w:val="24"/>
          <w:szCs w:val="24"/>
        </w:rPr>
        <w:t xml:space="preserve">• Absolutte neutrofiltal (ANC) - neutropeni </w:t>
      </w:r>
    </w:p>
    <w:tbl>
      <w:tblPr>
        <w:tblStyle w:val="Tabel-Gitter"/>
        <w:tblW w:w="9679" w:type="dxa"/>
        <w:tblInd w:w="846" w:type="dxa"/>
        <w:tblLook w:val="04A0" w:firstRow="1" w:lastRow="0" w:firstColumn="1" w:lastColumn="0" w:noHBand="0" w:noVBand="1"/>
      </w:tblPr>
      <w:tblGrid>
        <w:gridCol w:w="4557"/>
        <w:gridCol w:w="5122"/>
      </w:tblGrid>
      <w:tr w:rsidR="00345490" w:rsidRPr="00EE3AD4" w:rsidTr="00345490">
        <w:tc>
          <w:tcPr>
            <w:tcW w:w="4557"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rPr>
            </w:pPr>
            <w:r w:rsidRPr="00EE3AD4">
              <w:rPr>
                <w:noProof/>
                <w:sz w:val="24"/>
                <w:szCs w:val="24"/>
              </w:rPr>
              <w:t xml:space="preserve">Når ANC  </w:t>
            </w:r>
          </w:p>
        </w:tc>
        <w:tc>
          <w:tcPr>
            <w:tcW w:w="5122"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rPr>
            </w:pPr>
            <w:r w:rsidRPr="00EE3AD4">
              <w:rPr>
                <w:noProof/>
                <w:sz w:val="24"/>
                <w:szCs w:val="24"/>
              </w:rPr>
              <w:t>Anbefalet forløbª</w:t>
            </w:r>
          </w:p>
        </w:tc>
      </w:tr>
      <w:tr w:rsidR="00345490" w:rsidRPr="00EE3AD4" w:rsidTr="00345490">
        <w:tc>
          <w:tcPr>
            <w:tcW w:w="4557"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lang w:val="da-DK"/>
              </w:rPr>
            </w:pPr>
            <w:r w:rsidRPr="00EE3AD4">
              <w:rPr>
                <w:noProof/>
                <w:sz w:val="24"/>
                <w:szCs w:val="24"/>
                <w:lang w:val="da-DK"/>
              </w:rPr>
              <w:t>Falder til &lt; 1,0 x 10</w:t>
            </w:r>
            <w:r w:rsidRPr="00EE3AD4">
              <w:rPr>
                <w:noProof/>
                <w:sz w:val="24"/>
                <w:szCs w:val="24"/>
                <w:vertAlign w:val="superscript"/>
                <w:lang w:val="da-DK"/>
              </w:rPr>
              <w:t>9</w:t>
            </w:r>
            <w:r w:rsidRPr="00EE3AD4">
              <w:rPr>
                <w:noProof/>
                <w:sz w:val="24"/>
                <w:szCs w:val="24"/>
                <w:lang w:val="da-DK"/>
              </w:rPr>
              <w:t>/l i mindst 7 dage eller falder til &lt; 1,0 x 10</w:t>
            </w:r>
            <w:r w:rsidRPr="00EE3AD4">
              <w:rPr>
                <w:noProof/>
                <w:sz w:val="24"/>
                <w:szCs w:val="24"/>
                <w:vertAlign w:val="superscript"/>
                <w:lang w:val="da-DK"/>
              </w:rPr>
              <w:t>9</w:t>
            </w:r>
            <w:r w:rsidRPr="00EE3AD4">
              <w:rPr>
                <w:noProof/>
                <w:sz w:val="24"/>
                <w:szCs w:val="24"/>
                <w:lang w:val="da-DK"/>
              </w:rPr>
              <w:t>/l med associeret feber (legemstemperatur ≥ 38,5°C) eller  falder til &lt; 0,5 x 10</w:t>
            </w:r>
            <w:r w:rsidRPr="00EE3AD4">
              <w:rPr>
                <w:noProof/>
                <w:sz w:val="24"/>
                <w:szCs w:val="24"/>
                <w:vertAlign w:val="superscript"/>
                <w:lang w:val="da-DK"/>
              </w:rPr>
              <w:t>9</w:t>
            </w:r>
            <w:r w:rsidRPr="00EE3AD4">
              <w:rPr>
                <w:noProof/>
                <w:sz w:val="24"/>
                <w:szCs w:val="24"/>
                <w:lang w:val="da-DK"/>
              </w:rPr>
              <w:t>/l</w:t>
            </w:r>
          </w:p>
        </w:tc>
        <w:tc>
          <w:tcPr>
            <w:tcW w:w="5122"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lang w:val="da-DK"/>
              </w:rPr>
            </w:pPr>
            <w:r w:rsidRPr="00EE3AD4">
              <w:rPr>
                <w:noProof/>
                <w:sz w:val="24"/>
                <w:szCs w:val="24"/>
                <w:lang w:val="da-DK"/>
              </w:rPr>
              <w:t>Afbryd behandlingen med lenalidomid og udfør komplet blodtælling (CBC) mindst hver 7. dag</w:t>
            </w:r>
          </w:p>
        </w:tc>
      </w:tr>
      <w:tr w:rsidR="00345490" w:rsidRPr="00EE3AD4" w:rsidTr="00345490">
        <w:tc>
          <w:tcPr>
            <w:tcW w:w="4557"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lang w:val="da-DK"/>
              </w:rPr>
            </w:pPr>
            <w:r w:rsidRPr="00EE3AD4">
              <w:rPr>
                <w:noProof/>
                <w:sz w:val="24"/>
                <w:szCs w:val="24"/>
                <w:lang w:val="da-DK"/>
              </w:rPr>
              <w:t>Vender tilbage til ≥ 1,0 x 10</w:t>
            </w:r>
            <w:r w:rsidRPr="00EE3AD4">
              <w:rPr>
                <w:noProof/>
                <w:sz w:val="24"/>
                <w:szCs w:val="24"/>
                <w:vertAlign w:val="superscript"/>
                <w:lang w:val="da-DK"/>
              </w:rPr>
              <w:t>9</w:t>
            </w:r>
            <w:r w:rsidRPr="00EE3AD4">
              <w:rPr>
                <w:noProof/>
                <w:sz w:val="24"/>
                <w:szCs w:val="24"/>
                <w:lang w:val="da-DK"/>
              </w:rPr>
              <w:t>/l</w:t>
            </w:r>
          </w:p>
        </w:tc>
        <w:tc>
          <w:tcPr>
            <w:tcW w:w="5122" w:type="dxa"/>
            <w:tcBorders>
              <w:top w:val="single" w:sz="4" w:space="0" w:color="auto"/>
              <w:left w:val="single" w:sz="4" w:space="0" w:color="auto"/>
              <w:bottom w:val="single" w:sz="4" w:space="0" w:color="auto"/>
              <w:right w:val="single" w:sz="4" w:space="0" w:color="auto"/>
            </w:tcBorders>
            <w:hideMark/>
          </w:tcPr>
          <w:p w:rsidR="00345490" w:rsidRPr="00EE3AD4" w:rsidRDefault="00345490" w:rsidP="00345490">
            <w:pPr>
              <w:rPr>
                <w:sz w:val="24"/>
                <w:szCs w:val="24"/>
                <w:lang w:val="da-DK"/>
              </w:rPr>
            </w:pPr>
            <w:r w:rsidRPr="00EE3AD4">
              <w:rPr>
                <w:noProof/>
                <w:sz w:val="24"/>
                <w:szCs w:val="24"/>
                <w:lang w:val="da-DK"/>
              </w:rPr>
              <w:t>Genoptag lenalidomid ved det næste lavere dosisniveau (dosisniveau -1)</w:t>
            </w:r>
          </w:p>
        </w:tc>
      </w:tr>
      <w:tr w:rsidR="00345490" w:rsidRPr="00EE3AD4" w:rsidTr="00345490">
        <w:tc>
          <w:tcPr>
            <w:tcW w:w="4557" w:type="dxa"/>
            <w:tcBorders>
              <w:top w:val="single" w:sz="4" w:space="0" w:color="auto"/>
              <w:left w:val="single" w:sz="4" w:space="0" w:color="auto"/>
              <w:bottom w:val="single" w:sz="4" w:space="0" w:color="auto"/>
              <w:right w:val="single" w:sz="4" w:space="0" w:color="auto"/>
            </w:tcBorders>
          </w:tcPr>
          <w:p w:rsidR="00345490" w:rsidRPr="00027B19" w:rsidRDefault="00345490" w:rsidP="00345490">
            <w:pPr>
              <w:rPr>
                <w:sz w:val="24"/>
                <w:szCs w:val="24"/>
                <w:lang w:val="da-DK"/>
              </w:rPr>
            </w:pPr>
            <w:r w:rsidRPr="00EE3AD4">
              <w:rPr>
                <w:noProof/>
                <w:sz w:val="24"/>
                <w:szCs w:val="24"/>
                <w:lang w:val="da-DK"/>
              </w:rPr>
              <w:t>For hvert efterfølgende fald til under 1,0 x 10</w:t>
            </w:r>
            <w:r w:rsidRPr="00EE3AD4">
              <w:rPr>
                <w:noProof/>
                <w:sz w:val="24"/>
                <w:szCs w:val="24"/>
                <w:vertAlign w:val="superscript"/>
                <w:lang w:val="da-DK"/>
              </w:rPr>
              <w:t>9</w:t>
            </w:r>
            <w:r w:rsidRPr="00EE3AD4">
              <w:rPr>
                <w:noProof/>
                <w:sz w:val="24"/>
                <w:szCs w:val="24"/>
                <w:lang w:val="da-DK"/>
              </w:rPr>
              <w:t>/l i mindst 7 dage eller et fald til &lt; 1,0 x 10</w:t>
            </w:r>
            <w:r w:rsidRPr="00EE3AD4">
              <w:rPr>
                <w:noProof/>
                <w:sz w:val="24"/>
                <w:szCs w:val="24"/>
                <w:vertAlign w:val="superscript"/>
                <w:lang w:val="da-DK"/>
              </w:rPr>
              <w:t>9</w:t>
            </w:r>
            <w:r w:rsidRPr="00EE3AD4">
              <w:rPr>
                <w:noProof/>
                <w:sz w:val="24"/>
                <w:szCs w:val="24"/>
                <w:lang w:val="da-DK"/>
              </w:rPr>
              <w:t xml:space="preserve">/l med associeret feber </w:t>
            </w:r>
            <w:r w:rsidRPr="00EE3AD4">
              <w:rPr>
                <w:noProof/>
                <w:sz w:val="24"/>
                <w:szCs w:val="24"/>
                <w:lang w:val="da-DK"/>
              </w:rPr>
              <w:lastRenderedPageBreak/>
              <w:t>(legemstemperatur ≥ 38,5 °C) eller et fald til &lt; 0,5 x 10</w:t>
            </w:r>
            <w:r w:rsidRPr="00EE3AD4">
              <w:rPr>
                <w:noProof/>
                <w:sz w:val="24"/>
                <w:szCs w:val="24"/>
                <w:vertAlign w:val="superscript"/>
                <w:lang w:val="da-DK"/>
              </w:rPr>
              <w:t>9</w:t>
            </w:r>
            <w:r w:rsidRPr="00EE3AD4">
              <w:rPr>
                <w:noProof/>
                <w:sz w:val="24"/>
                <w:szCs w:val="24"/>
                <w:lang w:val="da-DK"/>
              </w:rPr>
              <w:t xml:space="preserve">/l </w:t>
            </w:r>
          </w:p>
        </w:tc>
        <w:tc>
          <w:tcPr>
            <w:tcW w:w="5122" w:type="dxa"/>
            <w:tcBorders>
              <w:top w:val="single" w:sz="4" w:space="0" w:color="auto"/>
              <w:left w:val="single" w:sz="4" w:space="0" w:color="auto"/>
              <w:bottom w:val="single" w:sz="4" w:space="0" w:color="auto"/>
              <w:right w:val="single" w:sz="4" w:space="0" w:color="auto"/>
            </w:tcBorders>
          </w:tcPr>
          <w:p w:rsidR="00345490" w:rsidRPr="00EE3AD4" w:rsidRDefault="00345490" w:rsidP="00345490">
            <w:pPr>
              <w:pStyle w:val="NormalWeb"/>
              <w:spacing w:after="0"/>
              <w:rPr>
                <w:sz w:val="24"/>
                <w:szCs w:val="24"/>
                <w:lang w:val="da-DK"/>
              </w:rPr>
            </w:pPr>
            <w:r w:rsidRPr="00EE3AD4">
              <w:rPr>
                <w:noProof/>
                <w:sz w:val="24"/>
                <w:szCs w:val="24"/>
                <w:lang w:val="da-DK"/>
              </w:rPr>
              <w:lastRenderedPageBreak/>
              <w:t>Afbryd behandlingen med lenalidomid og udfør komplet blodtælling (CBC) mindst hver 7. dag</w:t>
            </w:r>
          </w:p>
          <w:p w:rsidR="00345490" w:rsidRPr="00EE3AD4" w:rsidRDefault="00345490" w:rsidP="00345490">
            <w:pPr>
              <w:rPr>
                <w:color w:val="000000"/>
                <w:sz w:val="24"/>
                <w:szCs w:val="24"/>
                <w:lang w:val="da-DK"/>
              </w:rPr>
            </w:pPr>
          </w:p>
          <w:p w:rsidR="00345490" w:rsidRPr="00027B19" w:rsidRDefault="00345490" w:rsidP="00345490">
            <w:pPr>
              <w:widowControl w:val="0"/>
              <w:rPr>
                <w:sz w:val="24"/>
                <w:szCs w:val="24"/>
                <w:lang w:val="da-DK"/>
              </w:rPr>
            </w:pPr>
          </w:p>
        </w:tc>
      </w:tr>
      <w:tr w:rsidR="00345490" w:rsidRPr="00EE3AD4" w:rsidTr="00345490">
        <w:tc>
          <w:tcPr>
            <w:tcW w:w="4557" w:type="dxa"/>
            <w:tcBorders>
              <w:top w:val="single" w:sz="4" w:space="0" w:color="auto"/>
              <w:left w:val="single" w:sz="4" w:space="0" w:color="auto"/>
              <w:bottom w:val="single" w:sz="4" w:space="0" w:color="auto"/>
              <w:right w:val="single" w:sz="4" w:space="0" w:color="auto"/>
            </w:tcBorders>
          </w:tcPr>
          <w:p w:rsidR="00345490" w:rsidRPr="00027B19" w:rsidRDefault="00345490" w:rsidP="00345490">
            <w:pPr>
              <w:rPr>
                <w:noProof/>
                <w:sz w:val="24"/>
                <w:szCs w:val="24"/>
                <w:lang w:val="da-DK"/>
              </w:rPr>
            </w:pPr>
            <w:r w:rsidRPr="00027B19">
              <w:rPr>
                <w:noProof/>
                <w:sz w:val="24"/>
                <w:szCs w:val="24"/>
                <w:lang w:val="da-DK"/>
              </w:rPr>
              <w:lastRenderedPageBreak/>
              <w:t>Vender tilbage til ≥ 1,0 x 10</w:t>
            </w:r>
            <w:r w:rsidRPr="00027B19">
              <w:rPr>
                <w:noProof/>
                <w:sz w:val="24"/>
                <w:szCs w:val="24"/>
                <w:vertAlign w:val="superscript"/>
                <w:lang w:val="da-DK"/>
              </w:rPr>
              <w:t>9</w:t>
            </w:r>
            <w:r w:rsidRPr="00027B19">
              <w:rPr>
                <w:noProof/>
                <w:sz w:val="24"/>
                <w:szCs w:val="24"/>
                <w:lang w:val="da-DK"/>
              </w:rPr>
              <w:t xml:space="preserve">/l </w:t>
            </w:r>
          </w:p>
          <w:p w:rsidR="00345490" w:rsidRPr="00EE3AD4" w:rsidRDefault="00345490" w:rsidP="00345490">
            <w:pPr>
              <w:rPr>
                <w:noProof/>
                <w:sz w:val="24"/>
                <w:szCs w:val="24"/>
              </w:rPr>
            </w:pPr>
          </w:p>
        </w:tc>
        <w:tc>
          <w:tcPr>
            <w:tcW w:w="5122" w:type="dxa"/>
            <w:tcBorders>
              <w:top w:val="single" w:sz="4" w:space="0" w:color="auto"/>
              <w:left w:val="single" w:sz="4" w:space="0" w:color="auto"/>
              <w:bottom w:val="single" w:sz="4" w:space="0" w:color="auto"/>
              <w:right w:val="single" w:sz="4" w:space="0" w:color="auto"/>
            </w:tcBorders>
          </w:tcPr>
          <w:p w:rsidR="00345490" w:rsidRPr="00EE3AD4" w:rsidRDefault="00345490" w:rsidP="00345490">
            <w:pPr>
              <w:pStyle w:val="NormalWeb"/>
              <w:spacing w:after="0"/>
              <w:rPr>
                <w:noProof/>
                <w:sz w:val="24"/>
                <w:szCs w:val="24"/>
                <w:lang w:val="da-DK"/>
              </w:rPr>
            </w:pPr>
            <w:r w:rsidRPr="00EE3AD4">
              <w:rPr>
                <w:noProof/>
                <w:sz w:val="24"/>
                <w:szCs w:val="24"/>
                <w:lang w:val="da-DK"/>
              </w:rPr>
              <w:t xml:space="preserve">Genoptag lenalidomid ved det næste lavere dosisniveau (dosisniveau -2, -3). </w:t>
            </w:r>
            <w:r w:rsidRPr="00027B19">
              <w:rPr>
                <w:noProof/>
                <w:sz w:val="24"/>
                <w:szCs w:val="24"/>
                <w:lang w:val="da-DK"/>
              </w:rPr>
              <w:t>Dosér ikke under dosisniveau -3</w:t>
            </w:r>
          </w:p>
        </w:tc>
      </w:tr>
    </w:tbl>
    <w:p w:rsidR="00EE3AD4" w:rsidRPr="00EE3AD4" w:rsidRDefault="00EE3AD4" w:rsidP="00704AE1">
      <w:pPr>
        <w:ind w:left="851"/>
        <w:rPr>
          <w:noProof/>
          <w:sz w:val="24"/>
          <w:szCs w:val="24"/>
        </w:rPr>
      </w:pPr>
      <w:r w:rsidRPr="00EE3AD4">
        <w:rPr>
          <w:noProof/>
          <w:sz w:val="24"/>
          <w:szCs w:val="24"/>
        </w:rPr>
        <w:t xml:space="preserve">ªHvis neutropeni efter lægens skøn er den eneste toksicitet på et dosisniveau, tilføjes G-CSF </w:t>
      </w:r>
    </w:p>
    <w:p w:rsidR="00EE3AD4" w:rsidRPr="00EE3AD4" w:rsidRDefault="00EE3AD4" w:rsidP="00704AE1">
      <w:pPr>
        <w:ind w:left="851"/>
        <w:rPr>
          <w:noProof/>
          <w:sz w:val="24"/>
          <w:szCs w:val="24"/>
        </w:rPr>
      </w:pPr>
      <w:r w:rsidRPr="00EE3AD4">
        <w:rPr>
          <w:noProof/>
          <w:sz w:val="24"/>
          <w:szCs w:val="24"/>
        </w:rPr>
        <w:t xml:space="preserve"> </w:t>
      </w:r>
    </w:p>
    <w:p w:rsidR="00345490" w:rsidRPr="00876C3D" w:rsidRDefault="00345490" w:rsidP="00345490">
      <w:pPr>
        <w:ind w:left="851"/>
        <w:rPr>
          <w:i/>
          <w:noProof/>
          <w:sz w:val="24"/>
          <w:szCs w:val="24"/>
          <w:u w:val="single"/>
        </w:rPr>
      </w:pPr>
      <w:r w:rsidRPr="00876C3D">
        <w:rPr>
          <w:i/>
          <w:noProof/>
          <w:sz w:val="24"/>
          <w:szCs w:val="24"/>
          <w:u w:val="single"/>
        </w:rPr>
        <w:t xml:space="preserve">Mantle celle lymfom (MCL) eller follikulært lymfom (FL) </w:t>
      </w:r>
    </w:p>
    <w:p w:rsidR="00EE3AD4" w:rsidRPr="00EE3AD4" w:rsidRDefault="00EE3AD4" w:rsidP="00704AE1">
      <w:pPr>
        <w:ind w:left="851"/>
        <w:rPr>
          <w:noProof/>
          <w:sz w:val="24"/>
          <w:szCs w:val="24"/>
        </w:rPr>
      </w:pPr>
    </w:p>
    <w:p w:rsidR="00EE3AD4" w:rsidRPr="00345490" w:rsidRDefault="00EE3AD4" w:rsidP="00704AE1">
      <w:pPr>
        <w:ind w:left="851"/>
        <w:rPr>
          <w:i/>
          <w:noProof/>
          <w:sz w:val="24"/>
          <w:szCs w:val="24"/>
        </w:rPr>
      </w:pPr>
      <w:r w:rsidRPr="00345490">
        <w:rPr>
          <w:i/>
          <w:noProof/>
          <w:sz w:val="24"/>
          <w:szCs w:val="24"/>
        </w:rPr>
        <w:t xml:space="preserve">Tumorlysesyndrom (TLS)  </w:t>
      </w:r>
    </w:p>
    <w:p w:rsidR="00EE3AD4" w:rsidRPr="00EE3AD4" w:rsidRDefault="00EE3AD4" w:rsidP="00704AE1">
      <w:pPr>
        <w:ind w:left="851"/>
        <w:rPr>
          <w:noProof/>
          <w:sz w:val="24"/>
          <w:szCs w:val="24"/>
        </w:rPr>
      </w:pPr>
      <w:r w:rsidRPr="00EE3AD4">
        <w:rPr>
          <w:noProof/>
          <w:sz w:val="24"/>
          <w:szCs w:val="24"/>
        </w:rPr>
        <w:t xml:space="preserve">Alle patienter bør få profylakse mod TLS (allopurinol, rasburicase eller tilsvarende i henhold til retningslinjerne på institutionen), og de skal være velhydrerede (oralt) i løbet af den første uge af den første cyklus, eller i en længere periode, efter klinisk indikation. Der skal tages kemiske laboratorieprøver ugentligt i løbet af den første cyklus, og derefter i henhold til klinisk indikation for at kontrollere for TLS hos patienterne. </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 xml:space="preserve">Lenalidomid kan fortsættes (oprethold dosis) hos patienter med positive laboratorieprøver for TLS eller grad 1 klinisk TLS, eller lægen kan beslutte at nedsætte dosis med et dosisniveau og fortsætte med lenalidomid. Der skal iværksættes potent intravenøs hydrering og passende medicinsk behandling i henhold til lokal standardbehandling, indtil elektrolytforstyrrelserne er blevet korrigeret. Det kan være nødvendigt at behandle med rasburicase for at nedsætte hyperurikæmi. Det er lægens beslutning, om patienten skal indlægges. </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 xml:space="preserve">Hos patienter med grad 2 til 4 klinisk TLS skal lenalidomid afbrydes, og der skal tages kemiske laboratorieprøver ugentligt eller efter klinisk indikation. Der skal iværksættes potent intravenøs hydrering og passende medicinsk behandling i henhold til lokal standardbehandling, indtil elektrolytforstyrrelserne er blevet korrigeret. Det er lægens beslutning, om der skal behandles med rasburicase, eller om patienten skal indlægges. Når TLS forbedres til grad 0, skal lenalidomid genstartes ved det næste lavere dosisniveau i henhold til lægens skøn (se pkt. 4.4). </w:t>
      </w:r>
    </w:p>
    <w:p w:rsidR="00EE3AD4" w:rsidRPr="00EE3AD4" w:rsidRDefault="00EE3AD4" w:rsidP="00704AE1">
      <w:pPr>
        <w:ind w:left="851"/>
        <w:rPr>
          <w:noProof/>
          <w:sz w:val="24"/>
          <w:szCs w:val="24"/>
        </w:rPr>
      </w:pPr>
      <w:r w:rsidRPr="00EE3AD4">
        <w:rPr>
          <w:noProof/>
          <w:sz w:val="24"/>
          <w:szCs w:val="24"/>
        </w:rPr>
        <w:t xml:space="preserve"> </w:t>
      </w:r>
    </w:p>
    <w:p w:rsidR="00EE3AD4" w:rsidRPr="00345490" w:rsidRDefault="00EE3AD4" w:rsidP="00704AE1">
      <w:pPr>
        <w:ind w:left="851"/>
        <w:rPr>
          <w:i/>
          <w:noProof/>
          <w:sz w:val="24"/>
          <w:szCs w:val="24"/>
        </w:rPr>
      </w:pPr>
      <w:r w:rsidRPr="00345490">
        <w:rPr>
          <w:i/>
          <w:noProof/>
          <w:sz w:val="24"/>
          <w:szCs w:val="24"/>
        </w:rPr>
        <w:t xml:space="preserve">Tumor-flare-reaktion </w:t>
      </w:r>
    </w:p>
    <w:p w:rsidR="00EE3AD4" w:rsidRPr="00EE3AD4" w:rsidRDefault="00EE3AD4" w:rsidP="00704AE1">
      <w:pPr>
        <w:ind w:left="851"/>
        <w:rPr>
          <w:noProof/>
          <w:sz w:val="24"/>
          <w:szCs w:val="24"/>
        </w:rPr>
      </w:pPr>
      <w:r w:rsidRPr="00EE3AD4">
        <w:rPr>
          <w:noProof/>
          <w:sz w:val="24"/>
          <w:szCs w:val="24"/>
        </w:rPr>
        <w:t xml:space="preserve">I henhold til lægens skøn kan lenalidomid fortsættes hos patienter med grad 1 eller 2 tumor-flarereaktion (TFR) uden behandlingsafbrydelse eller dosisjustering. I henhold til lægens skøn kan der administreres behandling med nonsteroide antiinflammatoriske lægemidler (NSAID’er), kortikosteroider i en begrænset periode og/eller narkotiske analgetika. Hos patienter med grad 3 eller 4 TFR afbrydes lenalidomidbehandlingen, og der påbegyndes behandling med NSAID’er, kortikosteroider og/eller narkotiske analgetika. Når TFR er bedret til ≤ grad 1, genstartes behandlingen med lenalidomid ved det samme dosisniveau i resten af cyklussen. Patienterne kan behandles for symptomer i henhold til retningslinjerne for behandling af grad 1 og 2 TFR (se pkt. 4.4).  </w:t>
      </w:r>
    </w:p>
    <w:p w:rsidR="00EE3AD4" w:rsidRPr="00EE3AD4" w:rsidRDefault="00EE3AD4" w:rsidP="00704AE1">
      <w:pPr>
        <w:ind w:left="851"/>
        <w:rPr>
          <w:noProof/>
          <w:sz w:val="24"/>
          <w:szCs w:val="24"/>
        </w:rPr>
      </w:pPr>
    </w:p>
    <w:p w:rsidR="00EE3AD4" w:rsidRPr="00EE3AD4" w:rsidRDefault="00EE3AD4" w:rsidP="00704AE1">
      <w:pPr>
        <w:ind w:left="851"/>
        <w:rPr>
          <w:i/>
          <w:noProof/>
          <w:sz w:val="24"/>
          <w:szCs w:val="24"/>
        </w:rPr>
      </w:pPr>
      <w:r w:rsidRPr="00EE3AD4">
        <w:rPr>
          <w:i/>
          <w:noProof/>
          <w:sz w:val="24"/>
          <w:szCs w:val="24"/>
        </w:rPr>
        <w:t>Alle indikationer</w:t>
      </w:r>
    </w:p>
    <w:p w:rsidR="00345490" w:rsidRPr="00EE3AD4" w:rsidRDefault="00345490" w:rsidP="00345490">
      <w:pPr>
        <w:ind w:left="851"/>
        <w:rPr>
          <w:noProof/>
          <w:sz w:val="24"/>
          <w:szCs w:val="24"/>
        </w:rPr>
      </w:pPr>
      <w:r w:rsidRPr="00EE3AD4">
        <w:rPr>
          <w:noProof/>
          <w:sz w:val="24"/>
          <w:szCs w:val="24"/>
        </w:rPr>
        <w:t>For andre grad 3 eller 4 toksiciteter, der bedømmes til at være relateret til lenalidomid, bør behandlingen stoppes og kun genstartes ved det næste lavere dosisniveau, når toksiciteten er vendt tilbage til ≤ grad 2, afhængig af lægens skøn.</w:t>
      </w:r>
    </w:p>
    <w:p w:rsidR="00345490" w:rsidRPr="00EE3AD4" w:rsidRDefault="00345490" w:rsidP="00345490">
      <w:pPr>
        <w:ind w:left="851"/>
        <w:rPr>
          <w:noProof/>
          <w:sz w:val="24"/>
          <w:szCs w:val="24"/>
        </w:rPr>
      </w:pPr>
    </w:p>
    <w:p w:rsidR="00345490" w:rsidRPr="00EE3AD4" w:rsidRDefault="00345490" w:rsidP="00345490">
      <w:pPr>
        <w:ind w:left="851"/>
        <w:rPr>
          <w:noProof/>
          <w:sz w:val="24"/>
          <w:szCs w:val="24"/>
        </w:rPr>
      </w:pPr>
      <w:r w:rsidRPr="00EE3AD4">
        <w:rPr>
          <w:noProof/>
          <w:sz w:val="24"/>
          <w:szCs w:val="24"/>
        </w:rPr>
        <w:t>Afbrydelse eller seponering af lenalidomid bør overvejes ved hududslæt af grad 2 eller 3. Lenalidomid skal seponeres ved angioødem</w:t>
      </w:r>
      <w:r w:rsidRPr="00E3300F">
        <w:rPr>
          <w:noProof/>
          <w:sz w:val="24"/>
          <w:szCs w:val="24"/>
        </w:rPr>
        <w:t xml:space="preserve">, </w:t>
      </w:r>
      <w:r w:rsidRPr="000F2B51">
        <w:rPr>
          <w:sz w:val="24"/>
          <w:szCs w:val="24"/>
        </w:rPr>
        <w:t>anafylaktisk reaktion,</w:t>
      </w:r>
      <w:r w:rsidRPr="00EE3AD4">
        <w:rPr>
          <w:noProof/>
          <w:sz w:val="24"/>
          <w:szCs w:val="24"/>
        </w:rPr>
        <w:t xml:space="preserve"> grad 4 udslæt, </w:t>
      </w:r>
      <w:r w:rsidRPr="00EE3AD4">
        <w:rPr>
          <w:noProof/>
          <w:sz w:val="24"/>
          <w:szCs w:val="24"/>
        </w:rPr>
        <w:lastRenderedPageBreak/>
        <w:t>eksfoliativt eller udslæt med blæredannelser, eller hvis der er mistanke om Stevens-Johnson syndrom (SJS), toksisk epidermal nekrolyse (TEN) eller lægemiddelfremkaldt reaktion med eosinofili og systemiske symptomer (DRESS). Behandlingen må ikke genoptages, hvis den er blevet seponeret på grund af disse reaktioner.</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u w:val="single"/>
        </w:rPr>
        <w:t>Specielle populationer</w:t>
      </w:r>
    </w:p>
    <w:p w:rsidR="00EE3AD4" w:rsidRPr="00EE3AD4" w:rsidRDefault="00EE3AD4" w:rsidP="00704AE1">
      <w:pPr>
        <w:ind w:left="851"/>
        <w:rPr>
          <w:i/>
          <w:noProof/>
          <w:sz w:val="24"/>
          <w:szCs w:val="24"/>
          <w:u w:val="single"/>
        </w:rPr>
      </w:pPr>
    </w:p>
    <w:p w:rsidR="00EE3AD4" w:rsidRPr="00EE3AD4" w:rsidRDefault="00EE3AD4" w:rsidP="00704AE1">
      <w:pPr>
        <w:ind w:left="851"/>
        <w:rPr>
          <w:i/>
          <w:noProof/>
          <w:sz w:val="24"/>
          <w:szCs w:val="24"/>
        </w:rPr>
      </w:pPr>
      <w:r w:rsidRPr="00EE3AD4">
        <w:rPr>
          <w:i/>
          <w:noProof/>
          <w:sz w:val="24"/>
          <w:szCs w:val="24"/>
        </w:rPr>
        <w:t>Pædiatrisk population</w:t>
      </w:r>
    </w:p>
    <w:p w:rsidR="00EE3AD4" w:rsidRPr="00EE3AD4" w:rsidRDefault="00EE3AD4" w:rsidP="00704AE1">
      <w:pPr>
        <w:ind w:left="851"/>
        <w:rPr>
          <w:noProof/>
          <w:sz w:val="24"/>
          <w:szCs w:val="24"/>
        </w:rPr>
      </w:pPr>
      <w:r w:rsidRPr="00EE3AD4">
        <w:rPr>
          <w:noProof/>
          <w:sz w:val="24"/>
          <w:szCs w:val="24"/>
        </w:rPr>
        <w:t>Lenalidomide “Glenmark” bør ikke anvendes til børn og unge fra fødslen til under 18 år på grund af problemstillinger vedrørende sikkerhed (se pkt. 5.1).</w:t>
      </w:r>
    </w:p>
    <w:p w:rsidR="00EE3AD4" w:rsidRPr="00EE3AD4" w:rsidRDefault="00EE3AD4" w:rsidP="00704AE1">
      <w:pPr>
        <w:ind w:left="851"/>
        <w:rPr>
          <w:iCs/>
          <w:noProof/>
          <w:sz w:val="24"/>
          <w:szCs w:val="24"/>
        </w:rPr>
      </w:pPr>
    </w:p>
    <w:p w:rsidR="00EE3AD4" w:rsidRPr="00EE3AD4" w:rsidRDefault="00EE3AD4" w:rsidP="00704AE1">
      <w:pPr>
        <w:ind w:left="851"/>
        <w:rPr>
          <w:i/>
          <w:noProof/>
          <w:sz w:val="24"/>
          <w:szCs w:val="24"/>
        </w:rPr>
      </w:pPr>
      <w:r w:rsidRPr="00EE3AD4">
        <w:rPr>
          <w:i/>
          <w:noProof/>
          <w:sz w:val="24"/>
          <w:szCs w:val="24"/>
        </w:rPr>
        <w:t>Ældre</w:t>
      </w:r>
    </w:p>
    <w:p w:rsidR="00345490" w:rsidRPr="00EE3AD4" w:rsidRDefault="00345490" w:rsidP="00345490">
      <w:pPr>
        <w:ind w:left="851"/>
        <w:rPr>
          <w:noProof/>
          <w:sz w:val="24"/>
          <w:szCs w:val="24"/>
        </w:rPr>
      </w:pPr>
      <w:r w:rsidRPr="00EE3AD4">
        <w:rPr>
          <w:noProof/>
          <w:sz w:val="24"/>
          <w:szCs w:val="24"/>
        </w:rPr>
        <w:t>De aktuelt tilgængelige farmakokinetiske data er beskrevet i pkt. 5.2. Lenalidomid er blevet undersøgt i kliniske studier hos patienter på op til 91 år med myelomatose</w:t>
      </w:r>
      <w:r>
        <w:rPr>
          <w:noProof/>
          <w:sz w:val="24"/>
          <w:szCs w:val="24"/>
        </w:rPr>
        <w:t xml:space="preserve">, </w:t>
      </w:r>
      <w:r w:rsidRPr="005524AB">
        <w:rPr>
          <w:sz w:val="24"/>
          <w:szCs w:val="24"/>
          <w:lang w:eastAsia="da-DK"/>
        </w:rPr>
        <w:t>hos patienter på op til 95 år med myelodysplastisk syndrom og hos patienter på op til 88 år med mantle celle lymfom</w:t>
      </w:r>
      <w:r w:rsidRPr="00EE3AD4">
        <w:rPr>
          <w:noProof/>
          <w:sz w:val="24"/>
          <w:szCs w:val="24"/>
        </w:rPr>
        <w:t xml:space="preserve"> (se pkt. 5.1).</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Da ældre patienter hyppigere har nedsat nyrefunktion, skal dosis vælges med omhu, og det tilrådes at monitorere nyrefunktionen.</w:t>
      </w:r>
    </w:p>
    <w:p w:rsidR="00EE3AD4" w:rsidRPr="00EE3AD4" w:rsidRDefault="00EE3AD4" w:rsidP="00704AE1">
      <w:pPr>
        <w:ind w:left="851"/>
        <w:rPr>
          <w:noProof/>
          <w:sz w:val="24"/>
          <w:szCs w:val="24"/>
        </w:rPr>
      </w:pPr>
    </w:p>
    <w:p w:rsidR="00EE3AD4" w:rsidRPr="00EE3AD4" w:rsidRDefault="00EE3AD4" w:rsidP="00704AE1">
      <w:pPr>
        <w:numPr>
          <w:ilvl w:val="0"/>
          <w:numId w:val="12"/>
        </w:numPr>
        <w:ind w:left="851" w:firstLine="0"/>
        <w:rPr>
          <w:i/>
          <w:iCs/>
          <w:noProof/>
          <w:sz w:val="24"/>
          <w:szCs w:val="24"/>
        </w:rPr>
      </w:pPr>
      <w:r w:rsidRPr="00EE3AD4">
        <w:rPr>
          <w:i/>
          <w:iCs/>
          <w:noProof/>
          <w:sz w:val="24"/>
          <w:szCs w:val="24"/>
        </w:rPr>
        <w:t>Nydiagnosticeret myelomatose: patienter, der ikke er egnede til transplantation</w:t>
      </w:r>
    </w:p>
    <w:p w:rsidR="00EE3AD4" w:rsidRPr="00EE3AD4" w:rsidRDefault="00EE3AD4" w:rsidP="00704AE1">
      <w:pPr>
        <w:ind w:left="851"/>
        <w:rPr>
          <w:noProof/>
          <w:sz w:val="24"/>
          <w:szCs w:val="24"/>
        </w:rPr>
      </w:pPr>
      <w:r w:rsidRPr="00EE3AD4">
        <w:rPr>
          <w:noProof/>
          <w:sz w:val="24"/>
          <w:szCs w:val="24"/>
        </w:rPr>
        <w:t>Patienter med nydiagnosticeret myelomatose i alderen 75 år og derover bør vurderes nøje, før behandling overvejes (se pkt. 4.4).</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For patienter over 75 år i behandling med lenalidomid i kombination med dexamethason er startdosis for dexamethason 20 mg/dag på dag 1, 8, 15 og 22 i hver 28</w:t>
      </w:r>
      <w:r w:rsidRPr="00EE3AD4">
        <w:rPr>
          <w:noProof/>
          <w:sz w:val="24"/>
          <w:szCs w:val="24"/>
        </w:rPr>
        <w:noBreakHyphen/>
        <w:t>dages behandlingscyklus.</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Ingen dosisjustering foreslås for patienter over 75 år, som behandles med lenalidomid i kombination med melphalan og prednison.</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Hos patienter med nydiagnosticeret myelomatose i alderen 75 år eller derover, som fik lenalidomid, var der en større forekomst af alvorlige bivirkninger og bivirkninger, der førte til seponering af behandlingen.</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Kombinationsbehandling med lenalidomid var mindre tolereret hos patienter med nydiagnosticeret myelomatose, der var over 75 år, sammenlignet med den yngre population. Disse patienter seponerede behandlingen med en større hyppighed på grund af intolerans (grad 3 eller 4 bivirkninger og alvorlige bivirkninger), sammenlignet med patienter &lt; 75 år.</w:t>
      </w:r>
    </w:p>
    <w:p w:rsidR="00EE3AD4" w:rsidRPr="00EE3AD4" w:rsidRDefault="00EE3AD4" w:rsidP="00704AE1">
      <w:pPr>
        <w:ind w:left="851"/>
        <w:rPr>
          <w:noProof/>
          <w:sz w:val="24"/>
          <w:szCs w:val="24"/>
        </w:rPr>
      </w:pPr>
    </w:p>
    <w:p w:rsidR="00B85B64" w:rsidRPr="00EE3AD4" w:rsidRDefault="00B85B64" w:rsidP="00B85B64">
      <w:pPr>
        <w:numPr>
          <w:ilvl w:val="0"/>
          <w:numId w:val="6"/>
        </w:numPr>
        <w:ind w:left="851" w:firstLine="0"/>
        <w:rPr>
          <w:i/>
          <w:iCs/>
          <w:noProof/>
          <w:sz w:val="24"/>
          <w:szCs w:val="24"/>
        </w:rPr>
      </w:pPr>
      <w:r w:rsidRPr="00EE3AD4">
        <w:rPr>
          <w:i/>
          <w:iCs/>
          <w:noProof/>
          <w:sz w:val="24"/>
          <w:szCs w:val="24"/>
        </w:rPr>
        <w:t>Myelomatose: patienter, der har fået mindst én tidligere behandling</w:t>
      </w:r>
    </w:p>
    <w:p w:rsidR="00B85B64" w:rsidRPr="00EE3AD4" w:rsidRDefault="00B85B64" w:rsidP="00B85B64">
      <w:pPr>
        <w:ind w:left="851"/>
        <w:rPr>
          <w:noProof/>
          <w:sz w:val="24"/>
          <w:szCs w:val="24"/>
        </w:rPr>
      </w:pPr>
      <w:r w:rsidRPr="00EE3AD4">
        <w:rPr>
          <w:noProof/>
          <w:sz w:val="24"/>
          <w:szCs w:val="24"/>
        </w:rPr>
        <w:t>Der var ingen væsentlig forskel i procentdelen af patienter med myelomatose i alderen 65 år eller derover i lenalidomid/dexamethason- og placebo/dexamethason-grupperne. Der blev ikke observeret nogen generel forskel i sikkerhed og virkning imellem disse patienter og yngre patienter, men en større prædisposition hos ældre personer kan ikke udelukkes.</w:t>
      </w:r>
    </w:p>
    <w:p w:rsidR="00B85B64" w:rsidRDefault="00B85B64" w:rsidP="00B85B64">
      <w:pPr>
        <w:ind w:left="851"/>
        <w:rPr>
          <w:noProof/>
          <w:sz w:val="24"/>
          <w:szCs w:val="24"/>
        </w:rPr>
      </w:pPr>
    </w:p>
    <w:p w:rsidR="00B85B64" w:rsidRPr="001446D4" w:rsidRDefault="00B85B64" w:rsidP="00B85B64">
      <w:pPr>
        <w:numPr>
          <w:ilvl w:val="0"/>
          <w:numId w:val="6"/>
        </w:numPr>
        <w:tabs>
          <w:tab w:val="left" w:pos="851"/>
        </w:tabs>
        <w:ind w:left="1134" w:hanging="283"/>
        <w:rPr>
          <w:i/>
          <w:iCs/>
          <w:sz w:val="24"/>
          <w:szCs w:val="24"/>
        </w:rPr>
      </w:pPr>
      <w:r w:rsidRPr="001446D4">
        <w:rPr>
          <w:i/>
          <w:iCs/>
          <w:sz w:val="24"/>
          <w:szCs w:val="24"/>
        </w:rPr>
        <w:t>Myelodysplastisk syndrom</w:t>
      </w:r>
    </w:p>
    <w:p w:rsidR="00B85B64" w:rsidRPr="005524AB" w:rsidRDefault="00B85B64" w:rsidP="00B85B64">
      <w:pPr>
        <w:tabs>
          <w:tab w:val="left" w:pos="851"/>
        </w:tabs>
        <w:ind w:left="851"/>
        <w:rPr>
          <w:sz w:val="24"/>
          <w:szCs w:val="24"/>
          <w:lang w:eastAsia="da-DK"/>
        </w:rPr>
      </w:pPr>
      <w:r w:rsidRPr="005524AB">
        <w:rPr>
          <w:sz w:val="24"/>
          <w:szCs w:val="24"/>
          <w:lang w:eastAsia="da-DK"/>
        </w:rPr>
        <w:t>For patienter med myelodysplastisk syndrom, der behandles med lenalidomid, blev der ikke observeret nogen overordnet forskel i sikkerhed og virkning for patienter over 65 år sammenlignet med yngre patienter.</w:t>
      </w:r>
    </w:p>
    <w:p w:rsidR="00B85B64" w:rsidRPr="005524AB" w:rsidRDefault="00B85B64" w:rsidP="00B85B64">
      <w:pPr>
        <w:tabs>
          <w:tab w:val="left" w:pos="851"/>
        </w:tabs>
        <w:ind w:left="851"/>
        <w:rPr>
          <w:sz w:val="24"/>
          <w:szCs w:val="24"/>
          <w:lang w:eastAsia="da-DK"/>
        </w:rPr>
      </w:pPr>
    </w:p>
    <w:p w:rsidR="00B85B64" w:rsidRPr="001446D4" w:rsidRDefault="00B85B64" w:rsidP="00B85B64">
      <w:pPr>
        <w:numPr>
          <w:ilvl w:val="0"/>
          <w:numId w:val="6"/>
        </w:numPr>
        <w:tabs>
          <w:tab w:val="left" w:pos="851"/>
        </w:tabs>
        <w:ind w:left="1134" w:hanging="283"/>
        <w:rPr>
          <w:i/>
          <w:iCs/>
          <w:sz w:val="24"/>
          <w:szCs w:val="24"/>
        </w:rPr>
      </w:pPr>
      <w:r w:rsidRPr="001446D4">
        <w:rPr>
          <w:i/>
          <w:iCs/>
          <w:sz w:val="24"/>
          <w:szCs w:val="24"/>
        </w:rPr>
        <w:t>Mantle celle lymfom</w:t>
      </w:r>
    </w:p>
    <w:p w:rsidR="00B85B64" w:rsidRPr="005524AB" w:rsidRDefault="00B85B64" w:rsidP="00B85B64">
      <w:pPr>
        <w:autoSpaceDE w:val="0"/>
        <w:autoSpaceDN w:val="0"/>
        <w:adjustRightInd w:val="0"/>
        <w:ind w:left="851"/>
        <w:rPr>
          <w:sz w:val="24"/>
          <w:szCs w:val="24"/>
          <w:lang w:eastAsia="da-DK"/>
        </w:rPr>
      </w:pPr>
      <w:r w:rsidRPr="005524AB">
        <w:rPr>
          <w:sz w:val="24"/>
          <w:szCs w:val="24"/>
          <w:lang w:eastAsia="da-DK"/>
        </w:rPr>
        <w:t>Der blev ikke observeret nogen overordnet forskel i lenalidomids sikkerhed og virkning ved behandling af mantle celle lymfom hos patienter i alderen 65 år eller derover sammenlignet med</w:t>
      </w:r>
      <w:r>
        <w:rPr>
          <w:sz w:val="24"/>
          <w:szCs w:val="24"/>
          <w:lang w:eastAsia="da-DK"/>
        </w:rPr>
        <w:t xml:space="preserve"> </w:t>
      </w:r>
      <w:r w:rsidRPr="005524AB">
        <w:rPr>
          <w:sz w:val="24"/>
          <w:szCs w:val="24"/>
          <w:lang w:eastAsia="da-DK"/>
        </w:rPr>
        <w:t>patienter under 65 år.</w:t>
      </w:r>
    </w:p>
    <w:p w:rsidR="00B85B64" w:rsidRPr="00EE3AD4" w:rsidRDefault="00B85B64" w:rsidP="00B85B64">
      <w:pPr>
        <w:ind w:left="851"/>
        <w:rPr>
          <w:noProof/>
          <w:sz w:val="24"/>
          <w:szCs w:val="24"/>
        </w:rPr>
      </w:pPr>
    </w:p>
    <w:p w:rsidR="00B85B64" w:rsidRPr="00EE3AD4" w:rsidRDefault="00B85B64" w:rsidP="00B85B64">
      <w:pPr>
        <w:numPr>
          <w:ilvl w:val="0"/>
          <w:numId w:val="6"/>
        </w:numPr>
        <w:ind w:left="851" w:firstLine="0"/>
        <w:rPr>
          <w:i/>
          <w:noProof/>
          <w:sz w:val="24"/>
          <w:szCs w:val="24"/>
        </w:rPr>
      </w:pPr>
      <w:r w:rsidRPr="00EE3AD4">
        <w:rPr>
          <w:i/>
          <w:noProof/>
          <w:sz w:val="24"/>
          <w:szCs w:val="24"/>
        </w:rPr>
        <w:t>Follikulært lymfom</w:t>
      </w:r>
    </w:p>
    <w:p w:rsidR="00B85B64" w:rsidRPr="00EE3AD4" w:rsidRDefault="00B85B64" w:rsidP="00B85B64">
      <w:pPr>
        <w:ind w:left="851"/>
        <w:rPr>
          <w:noProof/>
          <w:sz w:val="24"/>
          <w:szCs w:val="24"/>
        </w:rPr>
      </w:pPr>
      <w:r w:rsidRPr="00EE3AD4">
        <w:rPr>
          <w:noProof/>
          <w:sz w:val="24"/>
          <w:szCs w:val="24"/>
        </w:rPr>
        <w:t>For patienter med follikulært lymfom behandlet med lenalidomid i kombination med rituximab svarer den samlede hyppighed af uønskede hændelser for patienter i alderen 65 år eller derover til hyppigheden for patienter under 65 år. Der blev ikke observeret nogen overordnet forskel i virkning mellem de 2 aldersgrupper.</w:t>
      </w:r>
    </w:p>
    <w:p w:rsidR="00B85B64" w:rsidRPr="00EE3AD4" w:rsidRDefault="00B85B64" w:rsidP="00B85B64">
      <w:pPr>
        <w:ind w:left="851"/>
        <w:rPr>
          <w:noProof/>
          <w:sz w:val="24"/>
          <w:szCs w:val="24"/>
        </w:rPr>
      </w:pPr>
    </w:p>
    <w:p w:rsidR="00B85B64" w:rsidRPr="00EE3AD4" w:rsidRDefault="00B85B64" w:rsidP="00B85B64">
      <w:pPr>
        <w:keepNext/>
        <w:ind w:left="851"/>
        <w:rPr>
          <w:i/>
          <w:iCs/>
          <w:noProof/>
          <w:sz w:val="24"/>
          <w:szCs w:val="24"/>
        </w:rPr>
      </w:pPr>
      <w:bookmarkStart w:id="1" w:name="_Hlk48745802"/>
      <w:r w:rsidRPr="00EE3AD4">
        <w:rPr>
          <w:i/>
          <w:iCs/>
          <w:noProof/>
          <w:sz w:val="24"/>
          <w:szCs w:val="24"/>
        </w:rPr>
        <w:t>Patienter med nedsat nyrefunktion</w:t>
      </w:r>
    </w:p>
    <w:bookmarkEnd w:id="1"/>
    <w:p w:rsidR="00B85B64" w:rsidRPr="00EE3AD4" w:rsidRDefault="00B85B64" w:rsidP="00B85B64">
      <w:pPr>
        <w:ind w:left="851"/>
        <w:rPr>
          <w:noProof/>
          <w:sz w:val="24"/>
          <w:szCs w:val="24"/>
        </w:rPr>
      </w:pPr>
      <w:r w:rsidRPr="00EE3AD4">
        <w:rPr>
          <w:noProof/>
          <w:sz w:val="24"/>
          <w:szCs w:val="24"/>
        </w:rPr>
        <w:t>Lenalidomid udskilles primært igennem nyrerne. Patienter med sværere grader af nedsat nyrefunktion kan i højere grad have en reduceret tolerance over for behandlingen (se pkt. 4.4). Dosis bør vælges med omhu, og det tilrådes at monitorere nyrefunktionen.</w:t>
      </w:r>
    </w:p>
    <w:p w:rsidR="00B85B64" w:rsidRPr="00EE3AD4" w:rsidRDefault="00B85B64" w:rsidP="00B85B64">
      <w:pPr>
        <w:ind w:left="851"/>
        <w:rPr>
          <w:noProof/>
          <w:sz w:val="24"/>
          <w:szCs w:val="24"/>
        </w:rPr>
      </w:pPr>
    </w:p>
    <w:p w:rsidR="00B85B64" w:rsidRPr="00EE3AD4" w:rsidRDefault="00B85B64" w:rsidP="00B85B64">
      <w:pPr>
        <w:ind w:left="851"/>
        <w:rPr>
          <w:noProof/>
          <w:sz w:val="24"/>
          <w:szCs w:val="24"/>
        </w:rPr>
      </w:pPr>
      <w:r w:rsidRPr="00EE3AD4">
        <w:rPr>
          <w:noProof/>
          <w:sz w:val="24"/>
          <w:szCs w:val="24"/>
        </w:rPr>
        <w:t>Der kræves ingen dosisjusteringer for patienter med let nedsat nyrefunktion og myelomatose</w:t>
      </w:r>
      <w:r>
        <w:rPr>
          <w:noProof/>
          <w:sz w:val="24"/>
          <w:szCs w:val="24"/>
        </w:rPr>
        <w:t>,</w:t>
      </w:r>
      <w:r w:rsidRPr="001446D4">
        <w:rPr>
          <w:sz w:val="24"/>
          <w:szCs w:val="24"/>
        </w:rPr>
        <w:t xml:space="preserve"> </w:t>
      </w:r>
      <w:r w:rsidRPr="005524AB">
        <w:rPr>
          <w:sz w:val="24"/>
          <w:szCs w:val="24"/>
          <w:lang w:eastAsia="da-DK"/>
        </w:rPr>
        <w:t>myelodysplastisk syndrom, mantle celle lymfom</w:t>
      </w:r>
      <w:r>
        <w:rPr>
          <w:rStyle w:val="Kommentarhenvisning"/>
          <w:lang w:eastAsia="da-DK"/>
        </w:rPr>
        <w:t xml:space="preserve"> </w:t>
      </w:r>
      <w:r w:rsidRPr="00EE3AD4">
        <w:rPr>
          <w:noProof/>
          <w:sz w:val="24"/>
          <w:szCs w:val="24"/>
        </w:rPr>
        <w:t>eller follikulært lymfom.</w:t>
      </w:r>
    </w:p>
    <w:p w:rsidR="00B85B64" w:rsidRPr="00EE3AD4" w:rsidRDefault="00B85B64" w:rsidP="00B85B64">
      <w:pPr>
        <w:ind w:left="851"/>
        <w:rPr>
          <w:noProof/>
          <w:sz w:val="24"/>
          <w:szCs w:val="24"/>
        </w:rPr>
      </w:pPr>
    </w:p>
    <w:p w:rsidR="00B85B64" w:rsidRPr="00EE3AD4" w:rsidRDefault="00B85B64" w:rsidP="00B85B64">
      <w:pPr>
        <w:ind w:left="851"/>
        <w:rPr>
          <w:noProof/>
          <w:sz w:val="24"/>
          <w:szCs w:val="24"/>
        </w:rPr>
      </w:pPr>
      <w:r w:rsidRPr="00EE3AD4">
        <w:rPr>
          <w:noProof/>
          <w:sz w:val="24"/>
          <w:szCs w:val="24"/>
        </w:rPr>
        <w:t>Følgende dosisjusteringer anbefales ved behandlingsstart og i løbet af behandlingen hos patienter med moderat til svært nedsat nyrefunktion eller nyresygdom i sidste stadium.</w:t>
      </w:r>
    </w:p>
    <w:p w:rsidR="00B85B64" w:rsidRPr="00EE3AD4" w:rsidRDefault="00B85B64" w:rsidP="00B85B64">
      <w:pPr>
        <w:ind w:left="851"/>
        <w:rPr>
          <w:noProof/>
          <w:sz w:val="24"/>
          <w:szCs w:val="24"/>
        </w:rPr>
      </w:pPr>
      <w:r w:rsidRPr="00EE3AD4">
        <w:rPr>
          <w:noProof/>
          <w:sz w:val="24"/>
          <w:szCs w:val="24"/>
        </w:rPr>
        <w:t>Der foreligger ingen fase III</w:t>
      </w:r>
      <w:r w:rsidRPr="00EE3AD4">
        <w:rPr>
          <w:noProof/>
          <w:sz w:val="24"/>
          <w:szCs w:val="24"/>
        </w:rPr>
        <w:noBreakHyphen/>
        <w:t>studieerfaring med nyresygdom i slutstadie (</w:t>
      </w:r>
      <w:r w:rsidRPr="00EE3AD4">
        <w:rPr>
          <w:i/>
          <w:iCs/>
          <w:noProof/>
          <w:sz w:val="24"/>
          <w:szCs w:val="24"/>
        </w:rPr>
        <w:t>End Stage Renal Disease</w:t>
      </w:r>
      <w:r w:rsidRPr="00EE3AD4">
        <w:rPr>
          <w:noProof/>
          <w:sz w:val="24"/>
          <w:szCs w:val="24"/>
        </w:rPr>
        <w:t>, ESRD) (kreatininclearance &lt; 30 ml/min, der kræver dialyse).</w:t>
      </w:r>
    </w:p>
    <w:p w:rsidR="00EE3AD4" w:rsidRPr="00EE3AD4" w:rsidRDefault="00EE3AD4" w:rsidP="00704AE1">
      <w:pPr>
        <w:ind w:left="851"/>
        <w:rPr>
          <w:noProof/>
          <w:sz w:val="24"/>
          <w:szCs w:val="24"/>
        </w:rPr>
      </w:pPr>
    </w:p>
    <w:p w:rsidR="00EE3AD4" w:rsidRPr="00EE3AD4" w:rsidRDefault="00EE3AD4" w:rsidP="00704AE1">
      <w:pPr>
        <w:numPr>
          <w:ilvl w:val="0"/>
          <w:numId w:val="12"/>
        </w:numPr>
        <w:ind w:left="851" w:firstLine="0"/>
        <w:rPr>
          <w:i/>
          <w:iCs/>
          <w:noProof/>
          <w:sz w:val="24"/>
          <w:szCs w:val="24"/>
        </w:rPr>
      </w:pPr>
      <w:r w:rsidRPr="00EE3AD4">
        <w:rPr>
          <w:i/>
          <w:iCs/>
          <w:noProof/>
          <w:sz w:val="24"/>
          <w:szCs w:val="24"/>
        </w:rPr>
        <w:t>Myelomatose</w:t>
      </w:r>
    </w:p>
    <w:tbl>
      <w:tblPr>
        <w:tblW w:w="9210"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101"/>
        <w:gridCol w:w="4109"/>
      </w:tblGrid>
      <w:tr w:rsidR="00EE3AD4" w:rsidRPr="00EE3AD4" w:rsidTr="00704AE1">
        <w:trPr>
          <w:trHeight w:val="506"/>
        </w:trPr>
        <w:tc>
          <w:tcPr>
            <w:tcW w:w="5101" w:type="dxa"/>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b/>
                <w:noProof/>
                <w:sz w:val="24"/>
                <w:szCs w:val="24"/>
                <w:lang w:bidi="en-US"/>
              </w:rPr>
            </w:pPr>
            <w:r w:rsidRPr="00EE3AD4">
              <w:rPr>
                <w:b/>
                <w:bCs/>
                <w:noProof/>
                <w:sz w:val="24"/>
                <w:szCs w:val="24"/>
                <w:lang w:bidi="en-US"/>
              </w:rPr>
              <w:t>Nyrefunktion (kreatininclearance)</w:t>
            </w:r>
          </w:p>
        </w:tc>
        <w:tc>
          <w:tcPr>
            <w:tcW w:w="4109" w:type="dxa"/>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b/>
                <w:noProof/>
                <w:sz w:val="24"/>
                <w:szCs w:val="24"/>
                <w:lang w:bidi="en-US"/>
              </w:rPr>
            </w:pPr>
            <w:r w:rsidRPr="00EE3AD4">
              <w:rPr>
                <w:b/>
                <w:noProof/>
                <w:sz w:val="24"/>
                <w:szCs w:val="24"/>
                <w:lang w:bidi="en-US"/>
              </w:rPr>
              <w:t>Dosisjustering</w:t>
            </w:r>
          </w:p>
          <w:p w:rsidR="00EE3AD4" w:rsidRPr="00EE3AD4" w:rsidRDefault="00EE3AD4">
            <w:pPr>
              <w:rPr>
                <w:noProof/>
                <w:sz w:val="24"/>
                <w:szCs w:val="24"/>
                <w:lang w:bidi="en-US"/>
              </w:rPr>
            </w:pPr>
          </w:p>
        </w:tc>
      </w:tr>
      <w:tr w:rsidR="00EE3AD4" w:rsidRPr="00EE3AD4" w:rsidTr="00704AE1">
        <w:trPr>
          <w:trHeight w:val="505"/>
        </w:trPr>
        <w:tc>
          <w:tcPr>
            <w:tcW w:w="5101" w:type="dxa"/>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lang w:bidi="en-US"/>
              </w:rPr>
            </w:pPr>
            <w:r w:rsidRPr="00EE3AD4">
              <w:rPr>
                <w:noProof/>
                <w:sz w:val="24"/>
                <w:szCs w:val="24"/>
                <w:lang w:bidi="en-US"/>
              </w:rPr>
              <w:t>Moderat nedsat nyrefunktion</w:t>
            </w:r>
          </w:p>
          <w:p w:rsidR="00EE3AD4" w:rsidRPr="00EE3AD4" w:rsidRDefault="00EE3AD4">
            <w:pPr>
              <w:rPr>
                <w:noProof/>
                <w:sz w:val="24"/>
                <w:szCs w:val="24"/>
                <w:lang w:bidi="en-US"/>
              </w:rPr>
            </w:pPr>
            <w:r w:rsidRPr="00EE3AD4">
              <w:rPr>
                <w:noProof/>
                <w:sz w:val="24"/>
                <w:szCs w:val="24"/>
                <w:lang w:bidi="en-US"/>
              </w:rPr>
              <w:t>(30 ml/min ≤ kreatininclearance &lt; 50 ml/min)</w:t>
            </w:r>
          </w:p>
        </w:tc>
        <w:tc>
          <w:tcPr>
            <w:tcW w:w="4109" w:type="dxa"/>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lang w:bidi="en-US"/>
              </w:rPr>
            </w:pPr>
            <w:r w:rsidRPr="00EE3AD4">
              <w:rPr>
                <w:noProof/>
                <w:sz w:val="24"/>
                <w:szCs w:val="24"/>
                <w:lang w:bidi="en-US"/>
              </w:rPr>
              <w:t>10 mg én gang dagligt</w:t>
            </w:r>
            <w:r w:rsidRPr="00EE3AD4">
              <w:rPr>
                <w:noProof/>
                <w:sz w:val="24"/>
                <w:szCs w:val="24"/>
                <w:vertAlign w:val="superscript"/>
                <w:lang w:bidi="en-US"/>
              </w:rPr>
              <w:t>1</w:t>
            </w:r>
          </w:p>
        </w:tc>
      </w:tr>
      <w:tr w:rsidR="00EE3AD4" w:rsidRPr="00EE3AD4" w:rsidTr="00704AE1">
        <w:trPr>
          <w:trHeight w:val="506"/>
        </w:trPr>
        <w:tc>
          <w:tcPr>
            <w:tcW w:w="5101" w:type="dxa"/>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lang w:bidi="en-US"/>
              </w:rPr>
            </w:pPr>
            <w:r w:rsidRPr="00EE3AD4">
              <w:rPr>
                <w:noProof/>
                <w:sz w:val="24"/>
                <w:szCs w:val="24"/>
                <w:lang w:bidi="en-US"/>
              </w:rPr>
              <w:t>Svært nedsat nyrefunktion</w:t>
            </w:r>
          </w:p>
          <w:p w:rsidR="00EE3AD4" w:rsidRPr="00EE3AD4" w:rsidRDefault="00EE3AD4">
            <w:pPr>
              <w:rPr>
                <w:noProof/>
                <w:sz w:val="24"/>
                <w:szCs w:val="24"/>
                <w:lang w:bidi="en-US"/>
              </w:rPr>
            </w:pPr>
            <w:r w:rsidRPr="00EE3AD4">
              <w:rPr>
                <w:noProof/>
                <w:sz w:val="24"/>
                <w:szCs w:val="24"/>
                <w:lang w:bidi="en-US"/>
              </w:rPr>
              <w:t>(kreatininclearance &lt; 30 ml/min, ikke dialysekrævende)</w:t>
            </w:r>
          </w:p>
        </w:tc>
        <w:tc>
          <w:tcPr>
            <w:tcW w:w="4109" w:type="dxa"/>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lang w:bidi="en-US"/>
              </w:rPr>
            </w:pPr>
            <w:r w:rsidRPr="00EE3AD4">
              <w:rPr>
                <w:noProof/>
                <w:sz w:val="24"/>
                <w:szCs w:val="24"/>
                <w:lang w:bidi="en-US"/>
              </w:rPr>
              <w:t>7,5 mg én gang dagligt</w:t>
            </w:r>
            <w:r w:rsidRPr="00EE3AD4">
              <w:rPr>
                <w:noProof/>
                <w:sz w:val="24"/>
                <w:szCs w:val="24"/>
                <w:vertAlign w:val="superscript"/>
                <w:lang w:bidi="en-US"/>
              </w:rPr>
              <w:t>2</w:t>
            </w:r>
          </w:p>
          <w:p w:rsidR="00EE3AD4" w:rsidRPr="00EE3AD4" w:rsidRDefault="00EE3AD4">
            <w:pPr>
              <w:rPr>
                <w:noProof/>
                <w:sz w:val="24"/>
                <w:szCs w:val="24"/>
                <w:lang w:bidi="en-US"/>
              </w:rPr>
            </w:pPr>
            <w:r w:rsidRPr="00EE3AD4">
              <w:rPr>
                <w:noProof/>
                <w:sz w:val="24"/>
                <w:szCs w:val="24"/>
                <w:lang w:bidi="en-US"/>
              </w:rPr>
              <w:t>15 mg hver anden dag</w:t>
            </w:r>
          </w:p>
        </w:tc>
      </w:tr>
      <w:tr w:rsidR="00EE3AD4" w:rsidRPr="00EE3AD4" w:rsidTr="00704AE1">
        <w:trPr>
          <w:trHeight w:val="506"/>
        </w:trPr>
        <w:tc>
          <w:tcPr>
            <w:tcW w:w="5101" w:type="dxa"/>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lang w:bidi="en-US"/>
              </w:rPr>
            </w:pPr>
            <w:r w:rsidRPr="00EE3AD4">
              <w:rPr>
                <w:noProof/>
                <w:sz w:val="24"/>
                <w:szCs w:val="24"/>
                <w:lang w:bidi="en-US"/>
              </w:rPr>
              <w:t>Nyresygdom i slutstadie (</w:t>
            </w:r>
            <w:r w:rsidRPr="00EE3AD4">
              <w:rPr>
                <w:i/>
                <w:noProof/>
                <w:sz w:val="24"/>
                <w:szCs w:val="24"/>
                <w:lang w:bidi="en-US"/>
              </w:rPr>
              <w:t>End Stage Renal Disease,</w:t>
            </w:r>
            <w:r w:rsidRPr="00EE3AD4">
              <w:rPr>
                <w:noProof/>
                <w:sz w:val="24"/>
                <w:szCs w:val="24"/>
                <w:lang w:bidi="en-US"/>
              </w:rPr>
              <w:t xml:space="preserve"> ESRD) (kreatininclearance &lt; 30 ml/min, dialysekrævende)</w:t>
            </w:r>
          </w:p>
        </w:tc>
        <w:tc>
          <w:tcPr>
            <w:tcW w:w="4109" w:type="dxa"/>
            <w:tcBorders>
              <w:top w:val="single" w:sz="4" w:space="0" w:color="000000"/>
              <w:left w:val="single" w:sz="4" w:space="0" w:color="000000"/>
              <w:bottom w:val="single" w:sz="4" w:space="0" w:color="000000"/>
              <w:right w:val="single" w:sz="4" w:space="0" w:color="000000"/>
            </w:tcBorders>
            <w:hideMark/>
          </w:tcPr>
          <w:p w:rsidR="00EE3AD4" w:rsidRPr="00EE3AD4" w:rsidRDefault="00EE3AD4">
            <w:pPr>
              <w:rPr>
                <w:noProof/>
                <w:sz w:val="24"/>
                <w:szCs w:val="24"/>
                <w:lang w:bidi="en-US"/>
              </w:rPr>
            </w:pPr>
            <w:r w:rsidRPr="00EE3AD4">
              <w:rPr>
                <w:noProof/>
                <w:sz w:val="24"/>
                <w:szCs w:val="24"/>
                <w:lang w:bidi="en-US"/>
              </w:rPr>
              <w:t>5 mg én gang dagligt. På dialysedage skal dosis administreres efter dialysen.</w:t>
            </w:r>
          </w:p>
        </w:tc>
      </w:tr>
    </w:tbl>
    <w:p w:rsidR="00EE3AD4" w:rsidRPr="00EE3AD4" w:rsidRDefault="00EE3AD4" w:rsidP="00704AE1">
      <w:pPr>
        <w:ind w:left="851"/>
        <w:rPr>
          <w:noProof/>
          <w:sz w:val="24"/>
          <w:szCs w:val="24"/>
        </w:rPr>
      </w:pPr>
      <w:r w:rsidRPr="00EE3AD4">
        <w:rPr>
          <w:noProof/>
          <w:sz w:val="24"/>
          <w:szCs w:val="24"/>
          <w:vertAlign w:val="superscript"/>
        </w:rPr>
        <w:t>1</w:t>
      </w:r>
      <w:r w:rsidRPr="00EE3AD4">
        <w:rPr>
          <w:noProof/>
          <w:sz w:val="24"/>
          <w:szCs w:val="24"/>
        </w:rPr>
        <w:t>Dosis kan øges til 15 mg/dag efter 2 cyklusser, hvis patienten ikke reagerer på behandlingen, og behandlingen tåles.</w:t>
      </w:r>
    </w:p>
    <w:p w:rsidR="00EE3AD4" w:rsidRDefault="00EE3AD4" w:rsidP="00704AE1">
      <w:pPr>
        <w:ind w:left="851"/>
        <w:rPr>
          <w:noProof/>
          <w:sz w:val="24"/>
          <w:szCs w:val="24"/>
        </w:rPr>
      </w:pPr>
      <w:r w:rsidRPr="00EE3AD4">
        <w:rPr>
          <w:noProof/>
          <w:sz w:val="24"/>
          <w:szCs w:val="24"/>
          <w:vertAlign w:val="superscript"/>
        </w:rPr>
        <w:t>2</w:t>
      </w:r>
      <w:r w:rsidRPr="00EE3AD4">
        <w:rPr>
          <w:noProof/>
          <w:sz w:val="24"/>
          <w:szCs w:val="24"/>
        </w:rPr>
        <w:t>I lande, hvor kapslen på 7,5 mg er tilgængelig.</w:t>
      </w:r>
    </w:p>
    <w:p w:rsidR="00B85B64" w:rsidRDefault="00B85B64" w:rsidP="00B85B64">
      <w:pPr>
        <w:ind w:left="851"/>
        <w:rPr>
          <w:noProof/>
          <w:sz w:val="24"/>
          <w:szCs w:val="24"/>
        </w:rPr>
      </w:pPr>
    </w:p>
    <w:p w:rsidR="00B85B64" w:rsidRPr="00D93C27" w:rsidRDefault="00B85B64" w:rsidP="00B85B64">
      <w:pPr>
        <w:numPr>
          <w:ilvl w:val="0"/>
          <w:numId w:val="6"/>
        </w:numPr>
        <w:tabs>
          <w:tab w:val="left" w:pos="851"/>
        </w:tabs>
        <w:ind w:left="1134" w:hanging="283"/>
        <w:rPr>
          <w:i/>
          <w:iCs/>
          <w:sz w:val="24"/>
          <w:szCs w:val="24"/>
        </w:rPr>
      </w:pPr>
      <w:r w:rsidRPr="00D93C27">
        <w:rPr>
          <w:i/>
          <w:iCs/>
          <w:sz w:val="24"/>
          <w:szCs w:val="24"/>
        </w:rPr>
        <w:t>Myelo</w:t>
      </w:r>
      <w:r>
        <w:rPr>
          <w:i/>
          <w:iCs/>
          <w:sz w:val="24"/>
          <w:szCs w:val="24"/>
        </w:rPr>
        <w:t>dysplastisk syndrom</w:t>
      </w:r>
      <w:r w:rsidRPr="00D93C27">
        <w:rPr>
          <w:i/>
          <w:iCs/>
          <w:sz w:val="24"/>
          <w:szCs w:val="24"/>
        </w:rPr>
        <w:t>e</w:t>
      </w:r>
    </w:p>
    <w:tbl>
      <w:tblPr>
        <w:tblW w:w="9229"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59"/>
        <w:gridCol w:w="1890"/>
        <w:gridCol w:w="3780"/>
      </w:tblGrid>
      <w:tr w:rsidR="00B85B64" w:rsidRPr="00D93C27" w:rsidTr="00F33C81">
        <w:trPr>
          <w:trHeight w:val="506"/>
        </w:trPr>
        <w:tc>
          <w:tcPr>
            <w:tcW w:w="3559" w:type="dxa"/>
            <w:tcBorders>
              <w:top w:val="single" w:sz="4" w:space="0" w:color="000000"/>
              <w:left w:val="single" w:sz="4" w:space="0" w:color="000000"/>
              <w:bottom w:val="single" w:sz="4" w:space="0" w:color="000000"/>
              <w:right w:val="single" w:sz="4" w:space="0" w:color="000000"/>
            </w:tcBorders>
            <w:hideMark/>
          </w:tcPr>
          <w:p w:rsidR="00B85B64" w:rsidRPr="000F2B51" w:rsidRDefault="00B85B64" w:rsidP="00F33C81">
            <w:pPr>
              <w:ind w:left="33"/>
              <w:rPr>
                <w:b/>
                <w:sz w:val="24"/>
                <w:szCs w:val="24"/>
              </w:rPr>
            </w:pPr>
            <w:r w:rsidRPr="000F2B51">
              <w:rPr>
                <w:b/>
                <w:bCs/>
                <w:sz w:val="24"/>
                <w:szCs w:val="24"/>
              </w:rPr>
              <w:t>Nyrefunktion (kreatininclearance)</w:t>
            </w:r>
          </w:p>
        </w:tc>
        <w:tc>
          <w:tcPr>
            <w:tcW w:w="1890" w:type="dxa"/>
            <w:tcBorders>
              <w:top w:val="single" w:sz="4" w:space="0" w:color="000000"/>
              <w:left w:val="single" w:sz="4" w:space="0" w:color="000000"/>
              <w:bottom w:val="single" w:sz="4" w:space="0" w:color="000000"/>
              <w:right w:val="single" w:sz="4" w:space="0" w:color="000000"/>
            </w:tcBorders>
          </w:tcPr>
          <w:p w:rsidR="00B85B64" w:rsidRPr="000F2B51" w:rsidRDefault="00B85B64" w:rsidP="00F33C81">
            <w:pPr>
              <w:ind w:left="36"/>
              <w:rPr>
                <w:b/>
                <w:sz w:val="24"/>
                <w:szCs w:val="24"/>
              </w:rPr>
            </w:pPr>
          </w:p>
        </w:tc>
        <w:tc>
          <w:tcPr>
            <w:tcW w:w="3780" w:type="dxa"/>
            <w:tcBorders>
              <w:top w:val="single" w:sz="4" w:space="0" w:color="000000"/>
              <w:left w:val="single" w:sz="4" w:space="0" w:color="000000"/>
              <w:bottom w:val="single" w:sz="4" w:space="0" w:color="000000"/>
              <w:right w:val="single" w:sz="4" w:space="0" w:color="000000"/>
            </w:tcBorders>
            <w:hideMark/>
          </w:tcPr>
          <w:p w:rsidR="00B85B64" w:rsidRPr="000F2B51" w:rsidRDefault="00B85B64" w:rsidP="00F33C81">
            <w:pPr>
              <w:ind w:left="36"/>
              <w:rPr>
                <w:b/>
                <w:sz w:val="24"/>
                <w:szCs w:val="24"/>
              </w:rPr>
            </w:pPr>
            <w:r w:rsidRPr="000F2B51">
              <w:rPr>
                <w:b/>
                <w:sz w:val="24"/>
                <w:szCs w:val="24"/>
              </w:rPr>
              <w:t>Dosisjustering</w:t>
            </w:r>
          </w:p>
          <w:p w:rsidR="00B85B64" w:rsidRPr="00CF3A32" w:rsidRDefault="00B85B64" w:rsidP="00F33C81">
            <w:pPr>
              <w:ind w:left="36"/>
              <w:rPr>
                <w:sz w:val="24"/>
                <w:szCs w:val="24"/>
              </w:rPr>
            </w:pPr>
          </w:p>
        </w:tc>
      </w:tr>
      <w:tr w:rsidR="00B85B64" w:rsidRPr="00D93C27" w:rsidTr="00F33C81">
        <w:trPr>
          <w:trHeight w:val="505"/>
        </w:trPr>
        <w:tc>
          <w:tcPr>
            <w:tcW w:w="3559" w:type="dxa"/>
            <w:vMerge w:val="restart"/>
            <w:tcBorders>
              <w:top w:val="single" w:sz="4" w:space="0" w:color="000000"/>
              <w:left w:val="single" w:sz="4" w:space="0" w:color="000000"/>
              <w:right w:val="single" w:sz="4" w:space="0" w:color="000000"/>
            </w:tcBorders>
            <w:hideMark/>
          </w:tcPr>
          <w:p w:rsidR="00B85B64" w:rsidRPr="00CF3A32" w:rsidRDefault="00B85B64" w:rsidP="00F33C81">
            <w:pPr>
              <w:ind w:left="33"/>
              <w:rPr>
                <w:sz w:val="24"/>
                <w:szCs w:val="24"/>
              </w:rPr>
            </w:pPr>
            <w:r w:rsidRPr="00CF3A32">
              <w:rPr>
                <w:sz w:val="24"/>
                <w:szCs w:val="24"/>
              </w:rPr>
              <w:t>Moderat nedsat nyrefunktion</w:t>
            </w:r>
          </w:p>
          <w:p w:rsidR="00B85B64" w:rsidRPr="008A6EE6" w:rsidRDefault="00B85B64" w:rsidP="00F33C81">
            <w:pPr>
              <w:ind w:left="33"/>
              <w:rPr>
                <w:sz w:val="24"/>
                <w:szCs w:val="24"/>
              </w:rPr>
            </w:pPr>
            <w:r w:rsidRPr="008A6EE6">
              <w:rPr>
                <w:sz w:val="24"/>
                <w:szCs w:val="24"/>
              </w:rPr>
              <w:t>(30 ml/min ≤ kreatininclearance &lt; 50 ml/min)</w:t>
            </w:r>
          </w:p>
        </w:tc>
        <w:tc>
          <w:tcPr>
            <w:tcW w:w="1890" w:type="dxa"/>
            <w:tcBorders>
              <w:top w:val="single" w:sz="4" w:space="0" w:color="000000"/>
              <w:left w:val="single" w:sz="4" w:space="0" w:color="000000"/>
              <w:bottom w:val="single" w:sz="4" w:space="0" w:color="000000"/>
              <w:right w:val="single" w:sz="4" w:space="0" w:color="000000"/>
            </w:tcBorders>
          </w:tcPr>
          <w:p w:rsidR="00B85B64" w:rsidRPr="000F2B51" w:rsidRDefault="00B85B64" w:rsidP="00F33C81">
            <w:pPr>
              <w:ind w:left="36"/>
              <w:rPr>
                <w:sz w:val="24"/>
                <w:szCs w:val="24"/>
              </w:rPr>
            </w:pPr>
            <w:r w:rsidRPr="000F2B51">
              <w:rPr>
                <w:sz w:val="24"/>
                <w:szCs w:val="24"/>
                <w:lang w:eastAsia="da-DK"/>
              </w:rPr>
              <w:t>Startdosis</w:t>
            </w:r>
          </w:p>
        </w:tc>
        <w:tc>
          <w:tcPr>
            <w:tcW w:w="3780" w:type="dxa"/>
            <w:tcBorders>
              <w:top w:val="single" w:sz="4" w:space="0" w:color="000000"/>
              <w:left w:val="single" w:sz="4" w:space="0" w:color="000000"/>
              <w:bottom w:val="single" w:sz="4" w:space="0" w:color="000000"/>
              <w:right w:val="single" w:sz="4" w:space="0" w:color="000000"/>
            </w:tcBorders>
            <w:hideMark/>
          </w:tcPr>
          <w:p w:rsidR="00B85B64" w:rsidRPr="000F2B51" w:rsidRDefault="00B85B64" w:rsidP="00F33C81">
            <w:pPr>
              <w:autoSpaceDE w:val="0"/>
              <w:autoSpaceDN w:val="0"/>
              <w:adjustRightInd w:val="0"/>
              <w:rPr>
                <w:sz w:val="24"/>
                <w:szCs w:val="24"/>
                <w:lang w:eastAsia="da-DK"/>
              </w:rPr>
            </w:pPr>
            <w:r w:rsidRPr="000F2B51">
              <w:rPr>
                <w:sz w:val="24"/>
                <w:szCs w:val="24"/>
                <w:lang w:eastAsia="da-DK"/>
              </w:rPr>
              <w:t>5 mg én gang dagligt</w:t>
            </w:r>
          </w:p>
          <w:p w:rsidR="00B85B64" w:rsidRPr="008A6EE6" w:rsidRDefault="00B85B64" w:rsidP="00F33C81">
            <w:pPr>
              <w:autoSpaceDE w:val="0"/>
              <w:autoSpaceDN w:val="0"/>
              <w:adjustRightInd w:val="0"/>
              <w:rPr>
                <w:sz w:val="24"/>
                <w:szCs w:val="24"/>
              </w:rPr>
            </w:pPr>
            <w:r w:rsidRPr="00CF3A32">
              <w:rPr>
                <w:sz w:val="24"/>
                <w:szCs w:val="24"/>
                <w:lang w:eastAsia="da-DK"/>
              </w:rPr>
              <w:t>(dag 1 til 21 af gentagne 28-dages cyklusser)</w:t>
            </w:r>
          </w:p>
        </w:tc>
      </w:tr>
      <w:tr w:rsidR="00B85B64" w:rsidRPr="00D93C27" w:rsidTr="00F33C81">
        <w:trPr>
          <w:trHeight w:val="506"/>
        </w:trPr>
        <w:tc>
          <w:tcPr>
            <w:tcW w:w="3559" w:type="dxa"/>
            <w:vMerge/>
            <w:tcBorders>
              <w:left w:val="single" w:sz="4" w:space="0" w:color="000000"/>
              <w:right w:val="single" w:sz="4" w:space="0" w:color="000000"/>
            </w:tcBorders>
          </w:tcPr>
          <w:p w:rsidR="00B85B64" w:rsidRPr="008A6EE6" w:rsidRDefault="00B85B64" w:rsidP="00F33C81">
            <w:pPr>
              <w:ind w:left="33"/>
              <w:rPr>
                <w:sz w:val="24"/>
                <w:szCs w:val="24"/>
              </w:rPr>
            </w:pPr>
          </w:p>
        </w:tc>
        <w:tc>
          <w:tcPr>
            <w:tcW w:w="1890" w:type="dxa"/>
            <w:tcBorders>
              <w:top w:val="single" w:sz="4" w:space="0" w:color="000000"/>
              <w:left w:val="single" w:sz="4" w:space="0" w:color="000000"/>
              <w:bottom w:val="single" w:sz="4" w:space="0" w:color="000000"/>
              <w:right w:val="single" w:sz="4" w:space="0" w:color="000000"/>
            </w:tcBorders>
          </w:tcPr>
          <w:p w:rsidR="00B85B64" w:rsidRPr="00CF3A32" w:rsidRDefault="00B85B64" w:rsidP="00F33C81">
            <w:pPr>
              <w:ind w:left="36"/>
              <w:rPr>
                <w:sz w:val="24"/>
                <w:szCs w:val="24"/>
              </w:rPr>
            </w:pPr>
            <w:r w:rsidRPr="000F2B51">
              <w:rPr>
                <w:sz w:val="24"/>
                <w:szCs w:val="24"/>
                <w:lang w:eastAsia="da-DK"/>
              </w:rPr>
              <w:t>Dosisniveau -1*</w:t>
            </w:r>
          </w:p>
        </w:tc>
        <w:tc>
          <w:tcPr>
            <w:tcW w:w="3780" w:type="dxa"/>
            <w:tcBorders>
              <w:top w:val="single" w:sz="4" w:space="0" w:color="000000"/>
              <w:left w:val="single" w:sz="4" w:space="0" w:color="000000"/>
              <w:bottom w:val="single" w:sz="4" w:space="0" w:color="000000"/>
              <w:right w:val="single" w:sz="4" w:space="0" w:color="000000"/>
            </w:tcBorders>
            <w:hideMark/>
          </w:tcPr>
          <w:p w:rsidR="00B85B64" w:rsidRPr="008A6EE6" w:rsidRDefault="00B85B64" w:rsidP="00F33C81">
            <w:pPr>
              <w:autoSpaceDE w:val="0"/>
              <w:autoSpaceDN w:val="0"/>
              <w:adjustRightInd w:val="0"/>
              <w:rPr>
                <w:sz w:val="24"/>
                <w:szCs w:val="24"/>
                <w:lang w:eastAsia="da-DK"/>
              </w:rPr>
            </w:pPr>
            <w:r w:rsidRPr="008A6EE6">
              <w:rPr>
                <w:sz w:val="24"/>
                <w:szCs w:val="24"/>
                <w:lang w:eastAsia="da-DK"/>
              </w:rPr>
              <w:t>2,5 mg én gang dagligt</w:t>
            </w:r>
          </w:p>
          <w:p w:rsidR="00B85B64" w:rsidRPr="008A6EE6" w:rsidRDefault="00B85B64" w:rsidP="00F33C81">
            <w:pPr>
              <w:autoSpaceDE w:val="0"/>
              <w:autoSpaceDN w:val="0"/>
              <w:adjustRightInd w:val="0"/>
              <w:rPr>
                <w:sz w:val="24"/>
                <w:szCs w:val="24"/>
              </w:rPr>
            </w:pPr>
            <w:r w:rsidRPr="008A6EE6">
              <w:rPr>
                <w:sz w:val="24"/>
                <w:szCs w:val="24"/>
                <w:lang w:eastAsia="da-DK"/>
              </w:rPr>
              <w:t>(dag 1 til 28 af gentagne 28-dages cyklusser)</w:t>
            </w:r>
          </w:p>
        </w:tc>
      </w:tr>
      <w:tr w:rsidR="00B85B64" w:rsidRPr="00D93C27" w:rsidTr="00F33C81">
        <w:trPr>
          <w:trHeight w:val="506"/>
        </w:trPr>
        <w:tc>
          <w:tcPr>
            <w:tcW w:w="3559" w:type="dxa"/>
            <w:vMerge/>
            <w:tcBorders>
              <w:left w:val="single" w:sz="4" w:space="0" w:color="000000"/>
              <w:bottom w:val="single" w:sz="4" w:space="0" w:color="000000"/>
              <w:right w:val="single" w:sz="4" w:space="0" w:color="000000"/>
            </w:tcBorders>
          </w:tcPr>
          <w:p w:rsidR="00B85B64" w:rsidRPr="008A6EE6" w:rsidRDefault="00B85B64" w:rsidP="00F33C81">
            <w:pPr>
              <w:ind w:left="33"/>
              <w:rPr>
                <w:sz w:val="24"/>
                <w:szCs w:val="24"/>
              </w:rPr>
            </w:pPr>
          </w:p>
        </w:tc>
        <w:tc>
          <w:tcPr>
            <w:tcW w:w="1890" w:type="dxa"/>
            <w:tcBorders>
              <w:top w:val="single" w:sz="4" w:space="0" w:color="000000"/>
              <w:left w:val="single" w:sz="4" w:space="0" w:color="000000"/>
              <w:bottom w:val="single" w:sz="4" w:space="0" w:color="000000"/>
              <w:right w:val="single" w:sz="4" w:space="0" w:color="000000"/>
            </w:tcBorders>
          </w:tcPr>
          <w:p w:rsidR="00B85B64" w:rsidRPr="00CF3A32" w:rsidRDefault="00B85B64" w:rsidP="00F33C81">
            <w:pPr>
              <w:autoSpaceDE w:val="0"/>
              <w:autoSpaceDN w:val="0"/>
              <w:adjustRightInd w:val="0"/>
              <w:rPr>
                <w:sz w:val="24"/>
                <w:szCs w:val="24"/>
              </w:rPr>
            </w:pPr>
            <w:r w:rsidRPr="000F2B51">
              <w:rPr>
                <w:sz w:val="24"/>
                <w:szCs w:val="24"/>
                <w:lang w:eastAsia="da-DK"/>
              </w:rPr>
              <w:t>Dosisniveau -2*</w:t>
            </w:r>
          </w:p>
        </w:tc>
        <w:tc>
          <w:tcPr>
            <w:tcW w:w="3780" w:type="dxa"/>
            <w:tcBorders>
              <w:top w:val="single" w:sz="4" w:space="0" w:color="000000"/>
              <w:left w:val="single" w:sz="4" w:space="0" w:color="000000"/>
              <w:bottom w:val="single" w:sz="4" w:space="0" w:color="000000"/>
              <w:right w:val="single" w:sz="4" w:space="0" w:color="000000"/>
            </w:tcBorders>
            <w:hideMark/>
          </w:tcPr>
          <w:p w:rsidR="00B85B64" w:rsidRPr="008A6EE6" w:rsidRDefault="00B85B64" w:rsidP="00F33C81">
            <w:pPr>
              <w:autoSpaceDE w:val="0"/>
              <w:autoSpaceDN w:val="0"/>
              <w:adjustRightInd w:val="0"/>
              <w:rPr>
                <w:sz w:val="24"/>
                <w:szCs w:val="24"/>
                <w:lang w:eastAsia="da-DK"/>
              </w:rPr>
            </w:pPr>
            <w:r w:rsidRPr="008A6EE6">
              <w:rPr>
                <w:sz w:val="24"/>
                <w:szCs w:val="24"/>
                <w:lang w:eastAsia="da-DK"/>
              </w:rPr>
              <w:t>2,5 mg hver anden dag</w:t>
            </w:r>
          </w:p>
          <w:p w:rsidR="00B85B64" w:rsidRPr="008A6EE6" w:rsidRDefault="00B85B64" w:rsidP="00F33C81">
            <w:pPr>
              <w:autoSpaceDE w:val="0"/>
              <w:autoSpaceDN w:val="0"/>
              <w:adjustRightInd w:val="0"/>
              <w:rPr>
                <w:sz w:val="24"/>
                <w:szCs w:val="24"/>
              </w:rPr>
            </w:pPr>
            <w:r w:rsidRPr="008A6EE6">
              <w:rPr>
                <w:sz w:val="24"/>
                <w:szCs w:val="24"/>
                <w:lang w:eastAsia="da-DK"/>
              </w:rPr>
              <w:lastRenderedPageBreak/>
              <w:t>(dag 1 til 28 af gentagne 28-dages cyklusser)</w:t>
            </w:r>
          </w:p>
        </w:tc>
      </w:tr>
      <w:tr w:rsidR="00B85B64" w:rsidRPr="00D93C27" w:rsidTr="00F33C81">
        <w:trPr>
          <w:trHeight w:val="506"/>
        </w:trPr>
        <w:tc>
          <w:tcPr>
            <w:tcW w:w="3559" w:type="dxa"/>
            <w:vMerge w:val="restart"/>
            <w:tcBorders>
              <w:top w:val="single" w:sz="4" w:space="0" w:color="000000"/>
              <w:left w:val="single" w:sz="4" w:space="0" w:color="000000"/>
              <w:right w:val="single" w:sz="4" w:space="0" w:color="000000"/>
            </w:tcBorders>
          </w:tcPr>
          <w:p w:rsidR="00B85B64" w:rsidRPr="00CF3A32" w:rsidRDefault="00B85B64" w:rsidP="00F33C81">
            <w:pPr>
              <w:ind w:left="33"/>
              <w:rPr>
                <w:sz w:val="24"/>
                <w:szCs w:val="24"/>
              </w:rPr>
            </w:pPr>
            <w:r w:rsidRPr="00CF3A32">
              <w:rPr>
                <w:sz w:val="24"/>
                <w:szCs w:val="24"/>
              </w:rPr>
              <w:lastRenderedPageBreak/>
              <w:t>Svært nedsat nyrefunktion</w:t>
            </w:r>
          </w:p>
          <w:p w:rsidR="00B85B64" w:rsidRPr="008A6EE6" w:rsidRDefault="00B85B64" w:rsidP="00F33C81">
            <w:pPr>
              <w:ind w:left="33"/>
              <w:rPr>
                <w:sz w:val="24"/>
                <w:szCs w:val="24"/>
              </w:rPr>
            </w:pPr>
            <w:r w:rsidRPr="008A6EE6">
              <w:rPr>
                <w:sz w:val="24"/>
                <w:szCs w:val="24"/>
              </w:rPr>
              <w:t>(kreatininclearance &lt; 30 ml/min, ikke dialysekrævende)</w:t>
            </w:r>
          </w:p>
        </w:tc>
        <w:tc>
          <w:tcPr>
            <w:tcW w:w="1890" w:type="dxa"/>
            <w:tcBorders>
              <w:top w:val="single" w:sz="4" w:space="0" w:color="000000"/>
              <w:left w:val="single" w:sz="4" w:space="0" w:color="000000"/>
              <w:bottom w:val="single" w:sz="4" w:space="0" w:color="000000"/>
              <w:right w:val="single" w:sz="4" w:space="0" w:color="000000"/>
            </w:tcBorders>
          </w:tcPr>
          <w:p w:rsidR="00B85B64" w:rsidRPr="00CF3A32" w:rsidRDefault="00B85B64" w:rsidP="00F33C81">
            <w:pPr>
              <w:autoSpaceDE w:val="0"/>
              <w:autoSpaceDN w:val="0"/>
              <w:adjustRightInd w:val="0"/>
              <w:rPr>
                <w:sz w:val="24"/>
                <w:szCs w:val="24"/>
                <w:lang w:eastAsia="da-DK"/>
              </w:rPr>
            </w:pPr>
            <w:r w:rsidRPr="000F2B51">
              <w:rPr>
                <w:sz w:val="24"/>
                <w:szCs w:val="24"/>
                <w:lang w:eastAsia="da-DK"/>
              </w:rPr>
              <w:t>Startdosis</w:t>
            </w:r>
          </w:p>
        </w:tc>
        <w:tc>
          <w:tcPr>
            <w:tcW w:w="3780" w:type="dxa"/>
            <w:tcBorders>
              <w:top w:val="single" w:sz="4" w:space="0" w:color="000000"/>
              <w:left w:val="single" w:sz="4" w:space="0" w:color="000000"/>
              <w:bottom w:val="single" w:sz="4" w:space="0" w:color="000000"/>
              <w:right w:val="single" w:sz="4" w:space="0" w:color="000000"/>
            </w:tcBorders>
          </w:tcPr>
          <w:p w:rsidR="00B85B64" w:rsidRPr="008A6EE6" w:rsidRDefault="00B85B64" w:rsidP="00F33C81">
            <w:pPr>
              <w:autoSpaceDE w:val="0"/>
              <w:autoSpaceDN w:val="0"/>
              <w:adjustRightInd w:val="0"/>
              <w:rPr>
                <w:sz w:val="24"/>
                <w:szCs w:val="24"/>
                <w:lang w:eastAsia="da-DK"/>
              </w:rPr>
            </w:pPr>
            <w:r w:rsidRPr="008A6EE6">
              <w:rPr>
                <w:sz w:val="24"/>
                <w:szCs w:val="24"/>
                <w:lang w:eastAsia="da-DK"/>
              </w:rPr>
              <w:t>2,5 mg én gang dagligt</w:t>
            </w:r>
          </w:p>
          <w:p w:rsidR="00B85B64" w:rsidRPr="008A6EE6" w:rsidRDefault="00B85B64" w:rsidP="00F33C81">
            <w:pPr>
              <w:autoSpaceDE w:val="0"/>
              <w:autoSpaceDN w:val="0"/>
              <w:adjustRightInd w:val="0"/>
              <w:rPr>
                <w:sz w:val="24"/>
                <w:szCs w:val="24"/>
                <w:lang w:eastAsia="da-DK"/>
              </w:rPr>
            </w:pPr>
            <w:r w:rsidRPr="008A6EE6">
              <w:rPr>
                <w:sz w:val="24"/>
                <w:szCs w:val="24"/>
                <w:lang w:eastAsia="da-DK"/>
              </w:rPr>
              <w:t>(dag 1 til 21 af gentagne 28-dages cyklusser)</w:t>
            </w:r>
          </w:p>
        </w:tc>
      </w:tr>
      <w:tr w:rsidR="00B85B64" w:rsidRPr="00D93C27" w:rsidTr="00F33C81">
        <w:trPr>
          <w:trHeight w:val="506"/>
        </w:trPr>
        <w:tc>
          <w:tcPr>
            <w:tcW w:w="3559" w:type="dxa"/>
            <w:vMerge/>
            <w:tcBorders>
              <w:left w:val="single" w:sz="4" w:space="0" w:color="000000"/>
              <w:right w:val="single" w:sz="4" w:space="0" w:color="000000"/>
            </w:tcBorders>
          </w:tcPr>
          <w:p w:rsidR="00B85B64" w:rsidRPr="008A6EE6" w:rsidRDefault="00B85B64" w:rsidP="00F33C81">
            <w:pPr>
              <w:ind w:left="33"/>
              <w:rPr>
                <w:sz w:val="24"/>
                <w:szCs w:val="24"/>
              </w:rPr>
            </w:pPr>
          </w:p>
        </w:tc>
        <w:tc>
          <w:tcPr>
            <w:tcW w:w="1890" w:type="dxa"/>
            <w:tcBorders>
              <w:top w:val="single" w:sz="4" w:space="0" w:color="000000"/>
              <w:left w:val="single" w:sz="4" w:space="0" w:color="000000"/>
              <w:bottom w:val="single" w:sz="4" w:space="0" w:color="000000"/>
              <w:right w:val="single" w:sz="4" w:space="0" w:color="000000"/>
            </w:tcBorders>
          </w:tcPr>
          <w:p w:rsidR="00B85B64" w:rsidRPr="00CF3A32" w:rsidRDefault="00B85B64" w:rsidP="00F33C81">
            <w:pPr>
              <w:autoSpaceDE w:val="0"/>
              <w:autoSpaceDN w:val="0"/>
              <w:adjustRightInd w:val="0"/>
              <w:rPr>
                <w:sz w:val="24"/>
                <w:szCs w:val="24"/>
                <w:lang w:eastAsia="da-DK"/>
              </w:rPr>
            </w:pPr>
            <w:r w:rsidRPr="000F2B51">
              <w:rPr>
                <w:sz w:val="24"/>
                <w:szCs w:val="24"/>
                <w:lang w:eastAsia="da-DK"/>
              </w:rPr>
              <w:t>Dosisniveau -1*</w:t>
            </w:r>
          </w:p>
        </w:tc>
        <w:tc>
          <w:tcPr>
            <w:tcW w:w="3780" w:type="dxa"/>
            <w:tcBorders>
              <w:top w:val="single" w:sz="4" w:space="0" w:color="000000"/>
              <w:left w:val="single" w:sz="4" w:space="0" w:color="000000"/>
              <w:bottom w:val="single" w:sz="4" w:space="0" w:color="000000"/>
              <w:right w:val="single" w:sz="4" w:space="0" w:color="000000"/>
            </w:tcBorders>
          </w:tcPr>
          <w:p w:rsidR="00B85B64" w:rsidRPr="008A6EE6" w:rsidRDefault="00B85B64" w:rsidP="00F33C81">
            <w:pPr>
              <w:autoSpaceDE w:val="0"/>
              <w:autoSpaceDN w:val="0"/>
              <w:adjustRightInd w:val="0"/>
              <w:rPr>
                <w:sz w:val="24"/>
                <w:szCs w:val="24"/>
                <w:lang w:eastAsia="da-DK"/>
              </w:rPr>
            </w:pPr>
            <w:r w:rsidRPr="008A6EE6">
              <w:rPr>
                <w:sz w:val="24"/>
                <w:szCs w:val="24"/>
                <w:lang w:eastAsia="da-DK"/>
              </w:rPr>
              <w:t>2,5 mg hver anden dag</w:t>
            </w:r>
          </w:p>
          <w:p w:rsidR="00B85B64" w:rsidRPr="008A6EE6" w:rsidRDefault="00B85B64" w:rsidP="00F33C81">
            <w:pPr>
              <w:autoSpaceDE w:val="0"/>
              <w:autoSpaceDN w:val="0"/>
              <w:adjustRightInd w:val="0"/>
              <w:rPr>
                <w:sz w:val="24"/>
                <w:szCs w:val="24"/>
                <w:lang w:eastAsia="da-DK"/>
              </w:rPr>
            </w:pPr>
            <w:r w:rsidRPr="008A6EE6">
              <w:rPr>
                <w:sz w:val="24"/>
                <w:szCs w:val="24"/>
                <w:lang w:eastAsia="da-DK"/>
              </w:rPr>
              <w:t>(dag 1 til 28 af gentagne 28-dages cyklusser)</w:t>
            </w:r>
          </w:p>
        </w:tc>
      </w:tr>
      <w:tr w:rsidR="00B85B64" w:rsidRPr="00D93C27" w:rsidTr="00F33C81">
        <w:trPr>
          <w:trHeight w:val="506"/>
        </w:trPr>
        <w:tc>
          <w:tcPr>
            <w:tcW w:w="3559" w:type="dxa"/>
            <w:vMerge/>
            <w:tcBorders>
              <w:left w:val="single" w:sz="4" w:space="0" w:color="000000"/>
              <w:bottom w:val="single" w:sz="4" w:space="0" w:color="000000"/>
              <w:right w:val="single" w:sz="4" w:space="0" w:color="000000"/>
            </w:tcBorders>
          </w:tcPr>
          <w:p w:rsidR="00B85B64" w:rsidRPr="008A6EE6" w:rsidRDefault="00B85B64" w:rsidP="00F33C81">
            <w:pPr>
              <w:ind w:left="33"/>
              <w:rPr>
                <w:sz w:val="24"/>
                <w:szCs w:val="24"/>
              </w:rPr>
            </w:pPr>
          </w:p>
        </w:tc>
        <w:tc>
          <w:tcPr>
            <w:tcW w:w="1890" w:type="dxa"/>
            <w:tcBorders>
              <w:top w:val="single" w:sz="4" w:space="0" w:color="000000"/>
              <w:left w:val="single" w:sz="4" w:space="0" w:color="000000"/>
              <w:bottom w:val="single" w:sz="4" w:space="0" w:color="000000"/>
              <w:right w:val="single" w:sz="4" w:space="0" w:color="000000"/>
            </w:tcBorders>
          </w:tcPr>
          <w:p w:rsidR="00B85B64" w:rsidRPr="000F2B51" w:rsidRDefault="00B85B64" w:rsidP="00F33C81">
            <w:pPr>
              <w:autoSpaceDE w:val="0"/>
              <w:autoSpaceDN w:val="0"/>
              <w:adjustRightInd w:val="0"/>
              <w:rPr>
                <w:sz w:val="24"/>
                <w:szCs w:val="24"/>
                <w:lang w:eastAsia="da-DK"/>
              </w:rPr>
            </w:pPr>
            <w:r w:rsidRPr="000F2B51">
              <w:rPr>
                <w:sz w:val="24"/>
                <w:szCs w:val="24"/>
                <w:lang w:eastAsia="da-DK"/>
              </w:rPr>
              <w:t>Dosisniveau -2*</w:t>
            </w:r>
          </w:p>
        </w:tc>
        <w:tc>
          <w:tcPr>
            <w:tcW w:w="3780" w:type="dxa"/>
            <w:tcBorders>
              <w:top w:val="single" w:sz="4" w:space="0" w:color="000000"/>
              <w:left w:val="single" w:sz="4" w:space="0" w:color="000000"/>
              <w:bottom w:val="single" w:sz="4" w:space="0" w:color="000000"/>
              <w:right w:val="single" w:sz="4" w:space="0" w:color="000000"/>
            </w:tcBorders>
          </w:tcPr>
          <w:p w:rsidR="00B85B64" w:rsidRPr="00CF3A32" w:rsidRDefault="00B85B64" w:rsidP="00F33C81">
            <w:pPr>
              <w:autoSpaceDE w:val="0"/>
              <w:autoSpaceDN w:val="0"/>
              <w:adjustRightInd w:val="0"/>
              <w:rPr>
                <w:sz w:val="24"/>
                <w:szCs w:val="24"/>
                <w:lang w:eastAsia="da-DK"/>
              </w:rPr>
            </w:pPr>
            <w:r w:rsidRPr="00CF3A32">
              <w:rPr>
                <w:sz w:val="24"/>
                <w:szCs w:val="24"/>
                <w:lang w:eastAsia="da-DK"/>
              </w:rPr>
              <w:t>2,5 mg to gange ugentligt</w:t>
            </w:r>
          </w:p>
          <w:p w:rsidR="00B85B64" w:rsidRPr="00BB4A59" w:rsidRDefault="00B85B64" w:rsidP="00F33C81">
            <w:pPr>
              <w:autoSpaceDE w:val="0"/>
              <w:autoSpaceDN w:val="0"/>
              <w:adjustRightInd w:val="0"/>
              <w:rPr>
                <w:sz w:val="24"/>
                <w:szCs w:val="24"/>
                <w:lang w:eastAsia="da-DK"/>
              </w:rPr>
            </w:pPr>
            <w:r w:rsidRPr="00BB4A59">
              <w:rPr>
                <w:sz w:val="24"/>
                <w:szCs w:val="24"/>
                <w:lang w:eastAsia="da-DK"/>
              </w:rPr>
              <w:t>(dag 1 til 28 af gentagne 28-dages cyklusser)</w:t>
            </w:r>
          </w:p>
        </w:tc>
      </w:tr>
      <w:tr w:rsidR="00B85B64" w:rsidRPr="00D93C27" w:rsidTr="00F33C81">
        <w:trPr>
          <w:trHeight w:val="506"/>
        </w:trPr>
        <w:tc>
          <w:tcPr>
            <w:tcW w:w="3559" w:type="dxa"/>
            <w:vMerge w:val="restart"/>
            <w:tcBorders>
              <w:top w:val="single" w:sz="4" w:space="0" w:color="000000"/>
              <w:left w:val="single" w:sz="4" w:space="0" w:color="000000"/>
              <w:right w:val="single" w:sz="4" w:space="0" w:color="000000"/>
            </w:tcBorders>
          </w:tcPr>
          <w:p w:rsidR="00B85B64" w:rsidRPr="008A6EE6" w:rsidRDefault="00B85B64" w:rsidP="00F33C81">
            <w:pPr>
              <w:ind w:left="33"/>
              <w:rPr>
                <w:sz w:val="24"/>
                <w:szCs w:val="24"/>
              </w:rPr>
            </w:pPr>
            <w:r w:rsidRPr="00CF3A32">
              <w:rPr>
                <w:sz w:val="24"/>
                <w:szCs w:val="24"/>
              </w:rPr>
              <w:t>Nyresygdom i slutstadie (</w:t>
            </w:r>
            <w:r w:rsidRPr="00CF3A32">
              <w:rPr>
                <w:i/>
                <w:sz w:val="24"/>
                <w:szCs w:val="24"/>
              </w:rPr>
              <w:t>End Stage Renal Disease,</w:t>
            </w:r>
            <w:r w:rsidRPr="008A6EE6">
              <w:rPr>
                <w:sz w:val="24"/>
                <w:szCs w:val="24"/>
              </w:rPr>
              <w:t xml:space="preserve"> ESRD) (kreatininclearance &lt; 30 ml/min, dialysekrævende)</w:t>
            </w:r>
          </w:p>
        </w:tc>
        <w:tc>
          <w:tcPr>
            <w:tcW w:w="1890" w:type="dxa"/>
            <w:tcBorders>
              <w:top w:val="single" w:sz="4" w:space="0" w:color="000000"/>
              <w:left w:val="single" w:sz="4" w:space="0" w:color="000000"/>
              <w:bottom w:val="single" w:sz="4" w:space="0" w:color="000000"/>
              <w:right w:val="single" w:sz="4" w:space="0" w:color="000000"/>
            </w:tcBorders>
          </w:tcPr>
          <w:p w:rsidR="00B85B64" w:rsidRPr="00CF3A32" w:rsidRDefault="00B85B64" w:rsidP="00F33C81">
            <w:pPr>
              <w:autoSpaceDE w:val="0"/>
              <w:autoSpaceDN w:val="0"/>
              <w:adjustRightInd w:val="0"/>
              <w:rPr>
                <w:sz w:val="24"/>
                <w:szCs w:val="24"/>
                <w:lang w:eastAsia="da-DK"/>
              </w:rPr>
            </w:pPr>
            <w:r w:rsidRPr="000F2B51">
              <w:rPr>
                <w:sz w:val="24"/>
                <w:szCs w:val="24"/>
                <w:lang w:eastAsia="da-DK"/>
              </w:rPr>
              <w:t>Startdosis</w:t>
            </w:r>
          </w:p>
        </w:tc>
        <w:tc>
          <w:tcPr>
            <w:tcW w:w="3780" w:type="dxa"/>
            <w:tcBorders>
              <w:top w:val="single" w:sz="4" w:space="0" w:color="000000"/>
              <w:left w:val="single" w:sz="4" w:space="0" w:color="000000"/>
              <w:bottom w:val="single" w:sz="4" w:space="0" w:color="000000"/>
              <w:right w:val="single" w:sz="4" w:space="0" w:color="000000"/>
            </w:tcBorders>
          </w:tcPr>
          <w:p w:rsidR="00B85B64" w:rsidRPr="008A6EE6" w:rsidRDefault="00B85B64" w:rsidP="00F33C81">
            <w:pPr>
              <w:autoSpaceDE w:val="0"/>
              <w:autoSpaceDN w:val="0"/>
              <w:adjustRightInd w:val="0"/>
              <w:rPr>
                <w:sz w:val="24"/>
                <w:szCs w:val="24"/>
                <w:lang w:eastAsia="da-DK"/>
              </w:rPr>
            </w:pPr>
            <w:r w:rsidRPr="008A6EE6">
              <w:rPr>
                <w:sz w:val="24"/>
                <w:szCs w:val="24"/>
                <w:lang w:eastAsia="da-DK"/>
              </w:rPr>
              <w:t>2,5 mg én gang dagligt</w:t>
            </w:r>
          </w:p>
          <w:p w:rsidR="00B85B64" w:rsidRPr="008A6EE6" w:rsidRDefault="00B85B64" w:rsidP="00F33C81">
            <w:pPr>
              <w:autoSpaceDE w:val="0"/>
              <w:autoSpaceDN w:val="0"/>
              <w:adjustRightInd w:val="0"/>
              <w:rPr>
                <w:sz w:val="24"/>
                <w:szCs w:val="24"/>
                <w:lang w:eastAsia="da-DK"/>
              </w:rPr>
            </w:pPr>
            <w:r w:rsidRPr="008A6EE6">
              <w:rPr>
                <w:sz w:val="24"/>
                <w:szCs w:val="24"/>
                <w:lang w:eastAsia="da-DK"/>
              </w:rPr>
              <w:t>(dag 1 til 21 af gentagne 28-dages cyklusser)</w:t>
            </w:r>
          </w:p>
        </w:tc>
      </w:tr>
      <w:tr w:rsidR="00B85B64" w:rsidRPr="008A6EE6" w:rsidTr="00F33C81">
        <w:trPr>
          <w:trHeight w:val="506"/>
        </w:trPr>
        <w:tc>
          <w:tcPr>
            <w:tcW w:w="3559" w:type="dxa"/>
            <w:vMerge/>
            <w:tcBorders>
              <w:left w:val="single" w:sz="4" w:space="0" w:color="000000"/>
              <w:right w:val="single" w:sz="4" w:space="0" w:color="000000"/>
            </w:tcBorders>
          </w:tcPr>
          <w:p w:rsidR="00B85B64" w:rsidRPr="008A6EE6" w:rsidRDefault="00B85B64" w:rsidP="00F33C81">
            <w:pPr>
              <w:ind w:left="33"/>
              <w:rPr>
                <w:sz w:val="24"/>
                <w:szCs w:val="24"/>
              </w:rPr>
            </w:pPr>
          </w:p>
        </w:tc>
        <w:tc>
          <w:tcPr>
            <w:tcW w:w="1890" w:type="dxa"/>
            <w:tcBorders>
              <w:top w:val="single" w:sz="4" w:space="0" w:color="000000"/>
              <w:left w:val="single" w:sz="4" w:space="0" w:color="000000"/>
              <w:bottom w:val="single" w:sz="4" w:space="0" w:color="000000"/>
              <w:right w:val="single" w:sz="4" w:space="0" w:color="000000"/>
            </w:tcBorders>
          </w:tcPr>
          <w:p w:rsidR="00B85B64" w:rsidRPr="00CF3A32" w:rsidRDefault="00B85B64" w:rsidP="00F33C81">
            <w:pPr>
              <w:autoSpaceDE w:val="0"/>
              <w:autoSpaceDN w:val="0"/>
              <w:adjustRightInd w:val="0"/>
              <w:rPr>
                <w:sz w:val="24"/>
                <w:szCs w:val="24"/>
                <w:lang w:eastAsia="da-DK"/>
              </w:rPr>
            </w:pPr>
            <w:r w:rsidRPr="000F2B51">
              <w:rPr>
                <w:sz w:val="24"/>
                <w:szCs w:val="24"/>
                <w:lang w:eastAsia="da-DK"/>
              </w:rPr>
              <w:t>Dosisniveau -1*</w:t>
            </w:r>
          </w:p>
        </w:tc>
        <w:tc>
          <w:tcPr>
            <w:tcW w:w="3780" w:type="dxa"/>
            <w:tcBorders>
              <w:top w:val="single" w:sz="4" w:space="0" w:color="000000"/>
              <w:left w:val="single" w:sz="4" w:space="0" w:color="000000"/>
              <w:bottom w:val="single" w:sz="4" w:space="0" w:color="000000"/>
              <w:right w:val="single" w:sz="4" w:space="0" w:color="000000"/>
            </w:tcBorders>
          </w:tcPr>
          <w:p w:rsidR="00B85B64" w:rsidRPr="008A6EE6" w:rsidRDefault="00B85B64" w:rsidP="00F33C81">
            <w:pPr>
              <w:autoSpaceDE w:val="0"/>
              <w:autoSpaceDN w:val="0"/>
              <w:adjustRightInd w:val="0"/>
              <w:rPr>
                <w:sz w:val="24"/>
                <w:szCs w:val="24"/>
                <w:lang w:eastAsia="da-DK"/>
              </w:rPr>
            </w:pPr>
            <w:r w:rsidRPr="008A6EE6">
              <w:rPr>
                <w:sz w:val="24"/>
                <w:szCs w:val="24"/>
                <w:lang w:eastAsia="da-DK"/>
              </w:rPr>
              <w:t>2,5 mg hver anden dag</w:t>
            </w:r>
          </w:p>
          <w:p w:rsidR="00B85B64" w:rsidRPr="008A6EE6" w:rsidRDefault="00B85B64" w:rsidP="00F33C81">
            <w:pPr>
              <w:autoSpaceDE w:val="0"/>
              <w:autoSpaceDN w:val="0"/>
              <w:adjustRightInd w:val="0"/>
              <w:rPr>
                <w:sz w:val="24"/>
                <w:szCs w:val="24"/>
                <w:lang w:eastAsia="da-DK"/>
              </w:rPr>
            </w:pPr>
            <w:r w:rsidRPr="008A6EE6">
              <w:rPr>
                <w:sz w:val="24"/>
                <w:szCs w:val="24"/>
                <w:lang w:eastAsia="da-DK"/>
              </w:rPr>
              <w:t>(dag 1 til 28 af gentagne 28-dages cyklusser)</w:t>
            </w:r>
          </w:p>
        </w:tc>
      </w:tr>
      <w:tr w:rsidR="00B85B64" w:rsidRPr="008A6EE6" w:rsidTr="00F33C81">
        <w:trPr>
          <w:trHeight w:val="506"/>
        </w:trPr>
        <w:tc>
          <w:tcPr>
            <w:tcW w:w="3559" w:type="dxa"/>
            <w:vMerge/>
            <w:tcBorders>
              <w:left w:val="single" w:sz="4" w:space="0" w:color="000000"/>
              <w:bottom w:val="single" w:sz="4" w:space="0" w:color="000000"/>
              <w:right w:val="single" w:sz="4" w:space="0" w:color="000000"/>
            </w:tcBorders>
          </w:tcPr>
          <w:p w:rsidR="00B85B64" w:rsidRPr="008A6EE6" w:rsidRDefault="00B85B64" w:rsidP="00F33C81">
            <w:pPr>
              <w:ind w:left="33"/>
              <w:rPr>
                <w:sz w:val="24"/>
                <w:szCs w:val="24"/>
              </w:rPr>
            </w:pPr>
          </w:p>
        </w:tc>
        <w:tc>
          <w:tcPr>
            <w:tcW w:w="1890" w:type="dxa"/>
            <w:tcBorders>
              <w:top w:val="single" w:sz="4" w:space="0" w:color="000000"/>
              <w:left w:val="single" w:sz="4" w:space="0" w:color="000000"/>
              <w:bottom w:val="single" w:sz="4" w:space="0" w:color="000000"/>
              <w:right w:val="single" w:sz="4" w:space="0" w:color="000000"/>
            </w:tcBorders>
          </w:tcPr>
          <w:p w:rsidR="00B85B64" w:rsidRPr="00CF3A32" w:rsidRDefault="00B85B64" w:rsidP="00F33C81">
            <w:pPr>
              <w:autoSpaceDE w:val="0"/>
              <w:autoSpaceDN w:val="0"/>
              <w:adjustRightInd w:val="0"/>
              <w:rPr>
                <w:sz w:val="24"/>
                <w:szCs w:val="24"/>
                <w:lang w:eastAsia="da-DK"/>
              </w:rPr>
            </w:pPr>
            <w:r w:rsidRPr="000F2B51">
              <w:rPr>
                <w:sz w:val="24"/>
                <w:szCs w:val="24"/>
                <w:lang w:eastAsia="da-DK"/>
              </w:rPr>
              <w:t>Dosisniveau -2*</w:t>
            </w:r>
          </w:p>
        </w:tc>
        <w:tc>
          <w:tcPr>
            <w:tcW w:w="3780" w:type="dxa"/>
            <w:tcBorders>
              <w:top w:val="single" w:sz="4" w:space="0" w:color="000000"/>
              <w:left w:val="single" w:sz="4" w:space="0" w:color="000000"/>
              <w:bottom w:val="single" w:sz="4" w:space="0" w:color="000000"/>
              <w:right w:val="single" w:sz="4" w:space="0" w:color="000000"/>
            </w:tcBorders>
          </w:tcPr>
          <w:p w:rsidR="00B85B64" w:rsidRPr="008A6EE6" w:rsidRDefault="00B85B64" w:rsidP="00F33C81">
            <w:pPr>
              <w:autoSpaceDE w:val="0"/>
              <w:autoSpaceDN w:val="0"/>
              <w:adjustRightInd w:val="0"/>
              <w:rPr>
                <w:sz w:val="24"/>
                <w:szCs w:val="24"/>
                <w:lang w:eastAsia="da-DK"/>
              </w:rPr>
            </w:pPr>
            <w:r w:rsidRPr="008A6EE6">
              <w:rPr>
                <w:sz w:val="24"/>
                <w:szCs w:val="24"/>
                <w:lang w:eastAsia="da-DK"/>
              </w:rPr>
              <w:t>2,5 mg to gange ugentligt</w:t>
            </w:r>
          </w:p>
          <w:p w:rsidR="00B85B64" w:rsidRPr="008A6EE6" w:rsidRDefault="00B85B64" w:rsidP="00F33C81">
            <w:pPr>
              <w:autoSpaceDE w:val="0"/>
              <w:autoSpaceDN w:val="0"/>
              <w:adjustRightInd w:val="0"/>
              <w:rPr>
                <w:sz w:val="24"/>
                <w:szCs w:val="24"/>
                <w:lang w:eastAsia="da-DK"/>
              </w:rPr>
            </w:pPr>
            <w:r w:rsidRPr="008A6EE6">
              <w:rPr>
                <w:sz w:val="24"/>
                <w:szCs w:val="24"/>
                <w:lang w:eastAsia="da-DK"/>
              </w:rPr>
              <w:t>(dag 1 til 28 af gentagne 28-dages cyklusser)</w:t>
            </w:r>
          </w:p>
        </w:tc>
      </w:tr>
    </w:tbl>
    <w:p w:rsidR="00B85B64" w:rsidRPr="000F2B51" w:rsidRDefault="00B85B64" w:rsidP="00B85B64">
      <w:pPr>
        <w:autoSpaceDE w:val="0"/>
        <w:autoSpaceDN w:val="0"/>
        <w:adjustRightInd w:val="0"/>
        <w:ind w:left="851"/>
        <w:rPr>
          <w:sz w:val="24"/>
          <w:szCs w:val="24"/>
        </w:rPr>
      </w:pPr>
      <w:r w:rsidRPr="000F2B51">
        <w:rPr>
          <w:sz w:val="24"/>
          <w:szCs w:val="24"/>
          <w:lang w:eastAsia="da-DK"/>
        </w:rPr>
        <w:t>* Anbefalede trin til dosisjustering under behandlingen og genoptagelse af behandlingen til håndtering af grad 3 eller 4 neutropeni eller trombocytopeni eller anden grad 3 eller 4 toksicitet, der vurderes som værende relateret til lenalidomid, som beskrevet ovenfor.</w:t>
      </w:r>
    </w:p>
    <w:p w:rsidR="00B85B64" w:rsidRPr="000F2B51" w:rsidRDefault="00B85B64" w:rsidP="00B85B64">
      <w:pPr>
        <w:ind w:left="850"/>
        <w:rPr>
          <w:noProof/>
          <w:sz w:val="24"/>
          <w:szCs w:val="24"/>
        </w:rPr>
      </w:pPr>
    </w:p>
    <w:p w:rsidR="00B85B64" w:rsidRPr="00CF3A32" w:rsidRDefault="00B85B64" w:rsidP="00B85B64">
      <w:pPr>
        <w:numPr>
          <w:ilvl w:val="0"/>
          <w:numId w:val="6"/>
        </w:numPr>
        <w:tabs>
          <w:tab w:val="left" w:pos="851"/>
        </w:tabs>
        <w:ind w:left="1134" w:hanging="283"/>
        <w:rPr>
          <w:i/>
          <w:iCs/>
          <w:sz w:val="24"/>
          <w:szCs w:val="24"/>
        </w:rPr>
      </w:pPr>
      <w:r w:rsidRPr="00CF3A32">
        <w:rPr>
          <w:i/>
          <w:iCs/>
          <w:sz w:val="24"/>
          <w:szCs w:val="24"/>
        </w:rPr>
        <w:t>Mantle celle lymfom</w:t>
      </w:r>
    </w:p>
    <w:tbl>
      <w:tblPr>
        <w:tblW w:w="9229"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78"/>
        <w:gridCol w:w="4551"/>
      </w:tblGrid>
      <w:tr w:rsidR="00B85B64" w:rsidRPr="008A6EE6" w:rsidTr="00F33C81">
        <w:trPr>
          <w:trHeight w:val="506"/>
        </w:trPr>
        <w:tc>
          <w:tcPr>
            <w:tcW w:w="4678" w:type="dxa"/>
            <w:tcBorders>
              <w:top w:val="single" w:sz="4" w:space="0" w:color="000000"/>
              <w:left w:val="single" w:sz="4" w:space="0" w:color="000000"/>
              <w:bottom w:val="single" w:sz="4" w:space="0" w:color="000000"/>
              <w:right w:val="single" w:sz="4" w:space="0" w:color="000000"/>
            </w:tcBorders>
            <w:hideMark/>
          </w:tcPr>
          <w:p w:rsidR="00B85B64" w:rsidRPr="000F2B51" w:rsidRDefault="00B85B64" w:rsidP="00F33C81">
            <w:pPr>
              <w:ind w:left="33"/>
              <w:rPr>
                <w:b/>
                <w:sz w:val="24"/>
                <w:szCs w:val="24"/>
              </w:rPr>
            </w:pPr>
            <w:r w:rsidRPr="000F2B51">
              <w:rPr>
                <w:b/>
                <w:bCs/>
                <w:sz w:val="24"/>
                <w:szCs w:val="24"/>
              </w:rPr>
              <w:t>Nyrefunktion (kreatininclearance)</w:t>
            </w:r>
          </w:p>
        </w:tc>
        <w:tc>
          <w:tcPr>
            <w:tcW w:w="4551" w:type="dxa"/>
            <w:tcBorders>
              <w:top w:val="single" w:sz="4" w:space="0" w:color="000000"/>
              <w:left w:val="single" w:sz="4" w:space="0" w:color="000000"/>
              <w:bottom w:val="single" w:sz="4" w:space="0" w:color="000000"/>
              <w:right w:val="single" w:sz="4" w:space="0" w:color="000000"/>
            </w:tcBorders>
            <w:hideMark/>
          </w:tcPr>
          <w:p w:rsidR="00B85B64" w:rsidRPr="000F2B51" w:rsidRDefault="00B85B64" w:rsidP="00F33C81">
            <w:pPr>
              <w:ind w:left="36"/>
              <w:rPr>
                <w:b/>
                <w:sz w:val="24"/>
                <w:szCs w:val="24"/>
              </w:rPr>
            </w:pPr>
            <w:r w:rsidRPr="000F2B51">
              <w:rPr>
                <w:b/>
                <w:sz w:val="24"/>
                <w:szCs w:val="24"/>
              </w:rPr>
              <w:t>Dosisjustering</w:t>
            </w:r>
          </w:p>
          <w:p w:rsidR="00B85B64" w:rsidRPr="008A6EE6" w:rsidRDefault="00B85B64" w:rsidP="00F33C81">
            <w:pPr>
              <w:autoSpaceDE w:val="0"/>
              <w:autoSpaceDN w:val="0"/>
              <w:adjustRightInd w:val="0"/>
              <w:rPr>
                <w:sz w:val="24"/>
                <w:szCs w:val="24"/>
              </w:rPr>
            </w:pPr>
            <w:r w:rsidRPr="00CF3A32">
              <w:rPr>
                <w:sz w:val="24"/>
                <w:szCs w:val="24"/>
                <w:lang w:eastAsia="da-DK"/>
              </w:rPr>
              <w:t>(dag 1 til 21 i gentagne cyklusser på 28 dage)</w:t>
            </w:r>
          </w:p>
        </w:tc>
      </w:tr>
      <w:tr w:rsidR="00B85B64" w:rsidRPr="00D93C27" w:rsidTr="00F33C81">
        <w:trPr>
          <w:trHeight w:val="505"/>
        </w:trPr>
        <w:tc>
          <w:tcPr>
            <w:tcW w:w="4678" w:type="dxa"/>
            <w:tcBorders>
              <w:top w:val="single" w:sz="4" w:space="0" w:color="000000"/>
              <w:left w:val="single" w:sz="4" w:space="0" w:color="000000"/>
              <w:bottom w:val="single" w:sz="4" w:space="0" w:color="000000"/>
              <w:right w:val="single" w:sz="4" w:space="0" w:color="000000"/>
            </w:tcBorders>
            <w:hideMark/>
          </w:tcPr>
          <w:p w:rsidR="00B85B64" w:rsidRPr="00665FF5" w:rsidRDefault="00B85B64" w:rsidP="00F33C81">
            <w:pPr>
              <w:ind w:left="33"/>
              <w:rPr>
                <w:sz w:val="24"/>
                <w:szCs w:val="24"/>
              </w:rPr>
            </w:pPr>
            <w:r w:rsidRPr="00665FF5">
              <w:rPr>
                <w:sz w:val="24"/>
                <w:szCs w:val="24"/>
              </w:rPr>
              <w:t>Moderat nedsat nyrefunktion</w:t>
            </w:r>
          </w:p>
          <w:p w:rsidR="00B85B64" w:rsidRPr="00665FF5" w:rsidRDefault="00B85B64" w:rsidP="00F33C81">
            <w:pPr>
              <w:ind w:left="33"/>
              <w:rPr>
                <w:sz w:val="24"/>
                <w:szCs w:val="24"/>
              </w:rPr>
            </w:pPr>
            <w:r w:rsidRPr="00665FF5">
              <w:rPr>
                <w:sz w:val="24"/>
                <w:szCs w:val="24"/>
              </w:rPr>
              <w:t>(30 ml/min ≤ kreatininclearance &lt; 50 ml/min)</w:t>
            </w:r>
          </w:p>
        </w:tc>
        <w:tc>
          <w:tcPr>
            <w:tcW w:w="4551" w:type="dxa"/>
            <w:tcBorders>
              <w:top w:val="single" w:sz="4" w:space="0" w:color="000000"/>
              <w:left w:val="single" w:sz="4" w:space="0" w:color="000000"/>
              <w:bottom w:val="single" w:sz="4" w:space="0" w:color="000000"/>
              <w:right w:val="single" w:sz="4" w:space="0" w:color="000000"/>
            </w:tcBorders>
            <w:hideMark/>
          </w:tcPr>
          <w:p w:rsidR="00B85B64" w:rsidRPr="00665FF5" w:rsidRDefault="00B85B64" w:rsidP="00F33C81">
            <w:pPr>
              <w:ind w:left="36"/>
              <w:rPr>
                <w:sz w:val="24"/>
                <w:szCs w:val="24"/>
                <w:lang w:val="en-GB"/>
              </w:rPr>
            </w:pPr>
            <w:r w:rsidRPr="005524AB">
              <w:rPr>
                <w:sz w:val="24"/>
                <w:szCs w:val="24"/>
                <w:lang w:val="en-US" w:eastAsia="da-DK"/>
              </w:rPr>
              <w:t>10 mg/dag</w:t>
            </w:r>
            <w:r w:rsidRPr="005524AB">
              <w:rPr>
                <w:sz w:val="24"/>
                <w:szCs w:val="24"/>
                <w:vertAlign w:val="superscript"/>
                <w:lang w:val="en-US" w:eastAsia="da-DK"/>
              </w:rPr>
              <w:t>1</w:t>
            </w:r>
          </w:p>
        </w:tc>
      </w:tr>
      <w:tr w:rsidR="00B85B64" w:rsidRPr="00D93C27" w:rsidTr="00F33C81">
        <w:trPr>
          <w:trHeight w:val="506"/>
        </w:trPr>
        <w:tc>
          <w:tcPr>
            <w:tcW w:w="4678" w:type="dxa"/>
            <w:tcBorders>
              <w:top w:val="single" w:sz="4" w:space="0" w:color="000000"/>
              <w:left w:val="single" w:sz="4" w:space="0" w:color="000000"/>
              <w:bottom w:val="single" w:sz="4" w:space="0" w:color="000000"/>
              <w:right w:val="single" w:sz="4" w:space="0" w:color="000000"/>
            </w:tcBorders>
            <w:hideMark/>
          </w:tcPr>
          <w:p w:rsidR="00B85B64" w:rsidRPr="00665FF5" w:rsidRDefault="00B85B64" w:rsidP="00F33C81">
            <w:pPr>
              <w:ind w:left="33"/>
              <w:rPr>
                <w:sz w:val="24"/>
                <w:szCs w:val="24"/>
              </w:rPr>
            </w:pPr>
            <w:r w:rsidRPr="00665FF5">
              <w:rPr>
                <w:sz w:val="24"/>
                <w:szCs w:val="24"/>
              </w:rPr>
              <w:t>Svært nedsat nyrefunktion</w:t>
            </w:r>
          </w:p>
          <w:p w:rsidR="00B85B64" w:rsidRPr="00665FF5" w:rsidRDefault="00B85B64" w:rsidP="00F33C81">
            <w:pPr>
              <w:ind w:left="33"/>
              <w:rPr>
                <w:sz w:val="24"/>
                <w:szCs w:val="24"/>
              </w:rPr>
            </w:pPr>
            <w:r w:rsidRPr="00665FF5">
              <w:rPr>
                <w:sz w:val="24"/>
                <w:szCs w:val="24"/>
              </w:rPr>
              <w:t>(kreatininclearance &lt; 30 ml/min, ikke dialysekrævende)</w:t>
            </w:r>
          </w:p>
        </w:tc>
        <w:tc>
          <w:tcPr>
            <w:tcW w:w="4551" w:type="dxa"/>
            <w:tcBorders>
              <w:top w:val="single" w:sz="4" w:space="0" w:color="000000"/>
              <w:left w:val="single" w:sz="4" w:space="0" w:color="000000"/>
              <w:bottom w:val="single" w:sz="4" w:space="0" w:color="000000"/>
              <w:right w:val="single" w:sz="4" w:space="0" w:color="000000"/>
            </w:tcBorders>
            <w:hideMark/>
          </w:tcPr>
          <w:p w:rsidR="00B85B64" w:rsidRPr="005524AB" w:rsidRDefault="00B85B64" w:rsidP="00F33C81">
            <w:pPr>
              <w:autoSpaceDE w:val="0"/>
              <w:autoSpaceDN w:val="0"/>
              <w:adjustRightInd w:val="0"/>
              <w:rPr>
                <w:sz w:val="24"/>
                <w:szCs w:val="24"/>
                <w:lang w:eastAsia="da-DK"/>
              </w:rPr>
            </w:pPr>
            <w:r w:rsidRPr="005524AB">
              <w:rPr>
                <w:sz w:val="24"/>
                <w:szCs w:val="24"/>
                <w:lang w:eastAsia="da-DK"/>
              </w:rPr>
              <w:t>7,5 mg/dag</w:t>
            </w:r>
            <w:r w:rsidRPr="005524AB">
              <w:rPr>
                <w:sz w:val="24"/>
                <w:szCs w:val="24"/>
                <w:vertAlign w:val="superscript"/>
                <w:lang w:eastAsia="da-DK"/>
              </w:rPr>
              <w:t>2</w:t>
            </w:r>
          </w:p>
          <w:p w:rsidR="00B85B64" w:rsidRPr="00665FF5" w:rsidRDefault="00B85B64" w:rsidP="00F33C81">
            <w:pPr>
              <w:ind w:left="36"/>
              <w:rPr>
                <w:sz w:val="24"/>
                <w:szCs w:val="24"/>
              </w:rPr>
            </w:pPr>
            <w:r w:rsidRPr="005524AB">
              <w:rPr>
                <w:sz w:val="24"/>
                <w:szCs w:val="24"/>
                <w:lang w:eastAsia="da-DK"/>
              </w:rPr>
              <w:t>15 mg hver anden dag</w:t>
            </w:r>
          </w:p>
        </w:tc>
      </w:tr>
      <w:tr w:rsidR="00B85B64" w:rsidRPr="00D93C27" w:rsidTr="00F33C81">
        <w:trPr>
          <w:trHeight w:val="506"/>
        </w:trPr>
        <w:tc>
          <w:tcPr>
            <w:tcW w:w="4678" w:type="dxa"/>
            <w:tcBorders>
              <w:top w:val="single" w:sz="4" w:space="0" w:color="000000"/>
              <w:left w:val="single" w:sz="4" w:space="0" w:color="000000"/>
              <w:bottom w:val="single" w:sz="4" w:space="0" w:color="000000"/>
              <w:right w:val="single" w:sz="4" w:space="0" w:color="000000"/>
            </w:tcBorders>
            <w:hideMark/>
          </w:tcPr>
          <w:p w:rsidR="00B85B64" w:rsidRPr="00EB47D3" w:rsidRDefault="00B85B64" w:rsidP="00F33C81">
            <w:pPr>
              <w:ind w:left="33"/>
              <w:rPr>
                <w:sz w:val="24"/>
                <w:szCs w:val="24"/>
              </w:rPr>
            </w:pPr>
            <w:r w:rsidRPr="00665FF5">
              <w:rPr>
                <w:sz w:val="24"/>
                <w:szCs w:val="24"/>
              </w:rPr>
              <w:t>Nyresygdom i slutstadie (</w:t>
            </w:r>
            <w:r w:rsidRPr="00665FF5">
              <w:rPr>
                <w:i/>
                <w:sz w:val="24"/>
                <w:szCs w:val="24"/>
              </w:rPr>
              <w:t>End Stage Renal Disease,</w:t>
            </w:r>
            <w:r w:rsidRPr="00EB47D3">
              <w:rPr>
                <w:sz w:val="24"/>
                <w:szCs w:val="24"/>
              </w:rPr>
              <w:t xml:space="preserve"> ESRD) (kreatininclearance &lt; 30 ml/min, dialysekrævende)</w:t>
            </w:r>
          </w:p>
        </w:tc>
        <w:tc>
          <w:tcPr>
            <w:tcW w:w="4551" w:type="dxa"/>
            <w:tcBorders>
              <w:top w:val="single" w:sz="4" w:space="0" w:color="000000"/>
              <w:left w:val="single" w:sz="4" w:space="0" w:color="000000"/>
              <w:bottom w:val="single" w:sz="4" w:space="0" w:color="000000"/>
              <w:right w:val="single" w:sz="4" w:space="0" w:color="000000"/>
            </w:tcBorders>
            <w:hideMark/>
          </w:tcPr>
          <w:p w:rsidR="00B85B64" w:rsidRPr="00665FF5" w:rsidRDefault="00B85B64" w:rsidP="00F33C81">
            <w:pPr>
              <w:autoSpaceDE w:val="0"/>
              <w:autoSpaceDN w:val="0"/>
              <w:adjustRightInd w:val="0"/>
              <w:rPr>
                <w:sz w:val="24"/>
                <w:szCs w:val="24"/>
              </w:rPr>
            </w:pPr>
            <w:r w:rsidRPr="005524AB">
              <w:rPr>
                <w:sz w:val="24"/>
                <w:szCs w:val="24"/>
                <w:lang w:eastAsia="da-DK"/>
              </w:rPr>
              <w:t>5 mg/dag. På dialysedage skal</w:t>
            </w:r>
            <w:r>
              <w:rPr>
                <w:sz w:val="24"/>
                <w:szCs w:val="24"/>
                <w:lang w:eastAsia="da-DK"/>
              </w:rPr>
              <w:t xml:space="preserve"> </w:t>
            </w:r>
            <w:r w:rsidRPr="005524AB">
              <w:rPr>
                <w:sz w:val="24"/>
                <w:szCs w:val="24"/>
                <w:lang w:eastAsia="da-DK"/>
              </w:rPr>
              <w:t>dosis administreres efter</w:t>
            </w:r>
            <w:r>
              <w:rPr>
                <w:sz w:val="24"/>
                <w:szCs w:val="24"/>
                <w:lang w:eastAsia="da-DK"/>
              </w:rPr>
              <w:t xml:space="preserve"> </w:t>
            </w:r>
            <w:r w:rsidRPr="005524AB">
              <w:rPr>
                <w:sz w:val="24"/>
                <w:szCs w:val="24"/>
                <w:lang w:eastAsia="da-DK"/>
              </w:rPr>
              <w:t>dialysen.</w:t>
            </w:r>
          </w:p>
        </w:tc>
      </w:tr>
    </w:tbl>
    <w:p w:rsidR="00B85B64" w:rsidRPr="005524AB" w:rsidRDefault="00B85B64" w:rsidP="00B85B64">
      <w:pPr>
        <w:autoSpaceDE w:val="0"/>
        <w:autoSpaceDN w:val="0"/>
        <w:adjustRightInd w:val="0"/>
        <w:ind w:left="850"/>
        <w:rPr>
          <w:sz w:val="20"/>
          <w:lang w:eastAsia="da-DK"/>
        </w:rPr>
      </w:pPr>
      <w:r w:rsidRPr="005524AB">
        <w:rPr>
          <w:sz w:val="20"/>
          <w:vertAlign w:val="superscript"/>
          <w:lang w:eastAsia="da-DK"/>
        </w:rPr>
        <w:t xml:space="preserve">1 </w:t>
      </w:r>
      <w:r w:rsidRPr="005524AB">
        <w:rPr>
          <w:sz w:val="20"/>
          <w:lang w:eastAsia="da-DK"/>
        </w:rPr>
        <w:t>Dosis kan øges til 15 mg/dag efter 2 cyklusser, hvis patienten ikke reagerer på behandlingen, og behandlingen tåles.</w:t>
      </w:r>
    </w:p>
    <w:p w:rsidR="00B85B64" w:rsidRPr="005524AB" w:rsidRDefault="00B85B64" w:rsidP="00B85B64">
      <w:pPr>
        <w:ind w:left="850"/>
        <w:rPr>
          <w:noProof/>
          <w:sz w:val="20"/>
        </w:rPr>
      </w:pPr>
      <w:r w:rsidRPr="005524AB">
        <w:rPr>
          <w:sz w:val="20"/>
          <w:vertAlign w:val="superscript"/>
          <w:lang w:eastAsia="da-DK"/>
        </w:rPr>
        <w:t xml:space="preserve">2 </w:t>
      </w:r>
      <w:r w:rsidRPr="005524AB">
        <w:rPr>
          <w:sz w:val="20"/>
          <w:lang w:eastAsia="da-DK"/>
        </w:rPr>
        <w:t>I lande, hvor kapslen på 7,5 mg er tilgængelig.</w:t>
      </w:r>
    </w:p>
    <w:p w:rsidR="00B85B64" w:rsidRPr="00EE3AD4" w:rsidRDefault="00B85B64" w:rsidP="00704AE1">
      <w:pPr>
        <w:ind w:left="851"/>
        <w:rPr>
          <w:noProof/>
          <w:sz w:val="24"/>
          <w:szCs w:val="24"/>
        </w:rPr>
      </w:pPr>
    </w:p>
    <w:p w:rsidR="00EE3AD4" w:rsidRPr="00EE3AD4" w:rsidRDefault="00EE3AD4" w:rsidP="00704AE1">
      <w:pPr>
        <w:numPr>
          <w:ilvl w:val="0"/>
          <w:numId w:val="12"/>
        </w:numPr>
        <w:ind w:left="851" w:firstLine="0"/>
        <w:rPr>
          <w:noProof/>
          <w:sz w:val="24"/>
          <w:szCs w:val="24"/>
        </w:rPr>
      </w:pPr>
      <w:r w:rsidRPr="00EE3AD4">
        <w:rPr>
          <w:i/>
          <w:iCs/>
          <w:noProof/>
          <w:sz w:val="24"/>
          <w:szCs w:val="24"/>
        </w:rPr>
        <w:t>Follikulært lymfom</w:t>
      </w:r>
    </w:p>
    <w:tbl>
      <w:tblPr>
        <w:tblStyle w:val="Tabel-Gitter"/>
        <w:tblW w:w="9628" w:type="dxa"/>
        <w:tblInd w:w="846" w:type="dxa"/>
        <w:tblLook w:val="04A0" w:firstRow="1" w:lastRow="0" w:firstColumn="1" w:lastColumn="0" w:noHBand="0" w:noVBand="1"/>
      </w:tblPr>
      <w:tblGrid>
        <w:gridCol w:w="4831"/>
        <w:gridCol w:w="4797"/>
      </w:tblGrid>
      <w:tr w:rsidR="00B85B64" w:rsidRPr="00EE3AD4" w:rsidTr="00F33C81">
        <w:trPr>
          <w:trHeight w:val="697"/>
        </w:trPr>
        <w:tc>
          <w:tcPr>
            <w:tcW w:w="4831" w:type="dxa"/>
            <w:tcBorders>
              <w:top w:val="single" w:sz="4" w:space="0" w:color="auto"/>
              <w:left w:val="single" w:sz="4" w:space="0" w:color="auto"/>
              <w:bottom w:val="single" w:sz="4" w:space="0" w:color="auto"/>
              <w:right w:val="single" w:sz="4" w:space="0" w:color="auto"/>
            </w:tcBorders>
            <w:hideMark/>
          </w:tcPr>
          <w:p w:rsidR="00B85B64" w:rsidRPr="00EE3AD4" w:rsidRDefault="00B85B64" w:rsidP="00F33C81">
            <w:pPr>
              <w:ind w:right="640"/>
              <w:rPr>
                <w:b/>
                <w:sz w:val="24"/>
                <w:szCs w:val="24"/>
              </w:rPr>
            </w:pPr>
            <w:r w:rsidRPr="00EE3AD4">
              <w:rPr>
                <w:b/>
                <w:noProof/>
                <w:sz w:val="24"/>
                <w:szCs w:val="24"/>
              </w:rPr>
              <w:t>Nyrefunktion (kreatinclearance)</w:t>
            </w:r>
          </w:p>
        </w:tc>
        <w:tc>
          <w:tcPr>
            <w:tcW w:w="4797" w:type="dxa"/>
            <w:tcBorders>
              <w:top w:val="single" w:sz="4" w:space="0" w:color="auto"/>
              <w:left w:val="single" w:sz="4" w:space="0" w:color="auto"/>
              <w:bottom w:val="single" w:sz="4" w:space="0" w:color="auto"/>
              <w:right w:val="single" w:sz="4" w:space="0" w:color="auto"/>
            </w:tcBorders>
            <w:hideMark/>
          </w:tcPr>
          <w:p w:rsidR="00B85B64" w:rsidRPr="00EE3AD4" w:rsidRDefault="00B85B64" w:rsidP="00F33C81">
            <w:pPr>
              <w:pStyle w:val="NormalWeb"/>
              <w:spacing w:after="0"/>
              <w:rPr>
                <w:b/>
                <w:sz w:val="24"/>
                <w:szCs w:val="24"/>
                <w:lang w:val="da-DK"/>
              </w:rPr>
            </w:pPr>
            <w:r w:rsidRPr="00EE3AD4">
              <w:rPr>
                <w:b/>
                <w:noProof/>
                <w:sz w:val="24"/>
                <w:szCs w:val="24"/>
                <w:lang w:val="da-DK"/>
              </w:rPr>
              <w:t>Dosisjustering</w:t>
            </w:r>
          </w:p>
          <w:p w:rsidR="00B85B64" w:rsidRPr="00EE3AD4" w:rsidRDefault="00B85B64" w:rsidP="00F33C81">
            <w:pPr>
              <w:ind w:right="640"/>
              <w:rPr>
                <w:sz w:val="24"/>
                <w:szCs w:val="24"/>
                <w:lang w:val="da-DK"/>
              </w:rPr>
            </w:pPr>
            <w:r w:rsidRPr="00EE3AD4">
              <w:rPr>
                <w:noProof/>
                <w:sz w:val="24"/>
                <w:szCs w:val="24"/>
                <w:lang w:val="da-DK"/>
              </w:rPr>
              <w:t>(dag 1 til 21 af gentagne 28-dages cyklusser)</w:t>
            </w:r>
          </w:p>
        </w:tc>
      </w:tr>
      <w:tr w:rsidR="00B85B64" w:rsidRPr="00EE3AD4" w:rsidTr="00F33C81">
        <w:trPr>
          <w:trHeight w:val="707"/>
        </w:trPr>
        <w:tc>
          <w:tcPr>
            <w:tcW w:w="4831" w:type="dxa"/>
            <w:tcBorders>
              <w:top w:val="single" w:sz="4" w:space="0" w:color="auto"/>
              <w:left w:val="single" w:sz="4" w:space="0" w:color="auto"/>
              <w:bottom w:val="single" w:sz="4" w:space="0" w:color="auto"/>
              <w:right w:val="single" w:sz="4" w:space="0" w:color="auto"/>
            </w:tcBorders>
            <w:hideMark/>
          </w:tcPr>
          <w:p w:rsidR="00B85B64" w:rsidRPr="000F2B51" w:rsidRDefault="00B85B64" w:rsidP="00F33C81">
            <w:pPr>
              <w:ind w:right="640"/>
              <w:rPr>
                <w:noProof/>
                <w:sz w:val="24"/>
                <w:szCs w:val="24"/>
                <w:lang w:val="da-DK"/>
              </w:rPr>
            </w:pPr>
            <w:r w:rsidRPr="00B85B64">
              <w:rPr>
                <w:noProof/>
                <w:sz w:val="24"/>
                <w:szCs w:val="24"/>
                <w:lang w:val="da-DK"/>
              </w:rPr>
              <w:t xml:space="preserve">Moderat nedsat nyrefunktion </w:t>
            </w:r>
          </w:p>
          <w:p w:rsidR="00B85B64" w:rsidRPr="000F2B51" w:rsidRDefault="00B85B64" w:rsidP="00F33C81">
            <w:pPr>
              <w:ind w:right="640"/>
              <w:rPr>
                <w:sz w:val="24"/>
                <w:szCs w:val="24"/>
                <w:lang w:val="da-DK"/>
              </w:rPr>
            </w:pPr>
            <w:r w:rsidRPr="00B85B64">
              <w:rPr>
                <w:noProof/>
                <w:sz w:val="24"/>
                <w:szCs w:val="24"/>
                <w:lang w:val="da-DK"/>
              </w:rPr>
              <w:t xml:space="preserve">(30 </w:t>
            </w:r>
            <w:r w:rsidRPr="00B85B64">
              <w:rPr>
                <w:noProof/>
                <w:sz w:val="24"/>
                <w:szCs w:val="24"/>
                <w:lang w:val="da-DK" w:bidi="en-US"/>
              </w:rPr>
              <w:t>≤</w:t>
            </w:r>
            <w:r w:rsidRPr="00B85B64">
              <w:rPr>
                <w:noProof/>
                <w:sz w:val="24"/>
                <w:szCs w:val="24"/>
                <w:lang w:val="da-DK"/>
              </w:rPr>
              <w:t xml:space="preserve"> kreatininclearance &lt; 60 ml/min)</w:t>
            </w:r>
          </w:p>
        </w:tc>
        <w:tc>
          <w:tcPr>
            <w:tcW w:w="4797" w:type="dxa"/>
            <w:tcBorders>
              <w:top w:val="single" w:sz="4" w:space="0" w:color="auto"/>
              <w:left w:val="single" w:sz="4" w:space="0" w:color="auto"/>
              <w:bottom w:val="single" w:sz="4" w:space="0" w:color="auto"/>
              <w:right w:val="single" w:sz="4" w:space="0" w:color="auto"/>
            </w:tcBorders>
            <w:hideMark/>
          </w:tcPr>
          <w:p w:rsidR="00B85B64" w:rsidRPr="00EE3AD4" w:rsidRDefault="00B85B64" w:rsidP="00F33C81">
            <w:pPr>
              <w:ind w:right="640"/>
              <w:rPr>
                <w:sz w:val="24"/>
                <w:szCs w:val="24"/>
              </w:rPr>
            </w:pPr>
            <w:r w:rsidRPr="00EE3AD4">
              <w:rPr>
                <w:noProof/>
                <w:sz w:val="24"/>
                <w:szCs w:val="24"/>
              </w:rPr>
              <w:t>10 mg én gang dagligt</w:t>
            </w:r>
            <w:r w:rsidRPr="00EE3AD4">
              <w:rPr>
                <w:noProof/>
                <w:sz w:val="24"/>
                <w:szCs w:val="24"/>
                <w:vertAlign w:val="superscript"/>
              </w:rPr>
              <w:t>1,2</w:t>
            </w:r>
          </w:p>
        </w:tc>
      </w:tr>
      <w:tr w:rsidR="00B85B64" w:rsidRPr="00EE3AD4" w:rsidTr="00F33C81">
        <w:tc>
          <w:tcPr>
            <w:tcW w:w="4831" w:type="dxa"/>
            <w:tcBorders>
              <w:top w:val="single" w:sz="4" w:space="0" w:color="auto"/>
              <w:left w:val="single" w:sz="4" w:space="0" w:color="auto"/>
              <w:bottom w:val="single" w:sz="4" w:space="0" w:color="auto"/>
              <w:right w:val="single" w:sz="4" w:space="0" w:color="auto"/>
            </w:tcBorders>
            <w:hideMark/>
          </w:tcPr>
          <w:p w:rsidR="00B85B64" w:rsidRPr="00EE3AD4" w:rsidRDefault="00B85B64" w:rsidP="00F33C81">
            <w:pPr>
              <w:ind w:right="640"/>
              <w:rPr>
                <w:sz w:val="24"/>
                <w:szCs w:val="24"/>
                <w:lang w:val="da-DK"/>
              </w:rPr>
            </w:pPr>
            <w:r w:rsidRPr="00EE3AD4">
              <w:rPr>
                <w:noProof/>
                <w:sz w:val="24"/>
                <w:szCs w:val="24"/>
                <w:lang w:val="da-DK"/>
              </w:rPr>
              <w:t>Svært nedsat nyrefunktion (kreatininclearance &lt; 30 ml/min, ikke dialysekrævende)</w:t>
            </w:r>
          </w:p>
        </w:tc>
        <w:tc>
          <w:tcPr>
            <w:tcW w:w="4797" w:type="dxa"/>
            <w:tcBorders>
              <w:top w:val="single" w:sz="4" w:space="0" w:color="auto"/>
              <w:left w:val="single" w:sz="4" w:space="0" w:color="auto"/>
              <w:bottom w:val="single" w:sz="4" w:space="0" w:color="auto"/>
              <w:right w:val="single" w:sz="4" w:space="0" w:color="auto"/>
            </w:tcBorders>
          </w:tcPr>
          <w:p w:rsidR="00B85B64" w:rsidRPr="00EE3AD4" w:rsidRDefault="00876C3D" w:rsidP="00F33C81">
            <w:pPr>
              <w:ind w:right="640"/>
              <w:rPr>
                <w:sz w:val="24"/>
                <w:szCs w:val="24"/>
              </w:rPr>
            </w:pPr>
            <w:r>
              <w:rPr>
                <w:sz w:val="24"/>
                <w:szCs w:val="24"/>
              </w:rPr>
              <w:t>5 mg én gang dagligt.</w:t>
            </w:r>
          </w:p>
        </w:tc>
      </w:tr>
      <w:tr w:rsidR="00B85B64" w:rsidRPr="00EE3AD4" w:rsidTr="00F33C81">
        <w:trPr>
          <w:trHeight w:val="690"/>
        </w:trPr>
        <w:tc>
          <w:tcPr>
            <w:tcW w:w="4831" w:type="dxa"/>
            <w:tcBorders>
              <w:top w:val="single" w:sz="4" w:space="0" w:color="auto"/>
              <w:left w:val="single" w:sz="4" w:space="0" w:color="auto"/>
              <w:bottom w:val="single" w:sz="4" w:space="0" w:color="auto"/>
              <w:right w:val="single" w:sz="4" w:space="0" w:color="auto"/>
            </w:tcBorders>
            <w:hideMark/>
          </w:tcPr>
          <w:p w:rsidR="00B85B64" w:rsidRPr="000F2B51" w:rsidRDefault="00B85B64" w:rsidP="00F33C81">
            <w:pPr>
              <w:ind w:right="640"/>
              <w:rPr>
                <w:sz w:val="24"/>
                <w:szCs w:val="24"/>
                <w:lang w:val="da-DK"/>
              </w:rPr>
            </w:pPr>
            <w:r w:rsidRPr="00B85B64">
              <w:rPr>
                <w:noProof/>
                <w:sz w:val="24"/>
                <w:szCs w:val="24"/>
                <w:lang w:val="da-DK"/>
              </w:rPr>
              <w:lastRenderedPageBreak/>
              <w:t>Nyresygdom i slutstadie (ESRD) (kreatininclearance &lt; 30 ml/min, dialysekrævende)</w:t>
            </w:r>
          </w:p>
        </w:tc>
        <w:tc>
          <w:tcPr>
            <w:tcW w:w="4797" w:type="dxa"/>
            <w:tcBorders>
              <w:top w:val="single" w:sz="4" w:space="0" w:color="auto"/>
              <w:left w:val="single" w:sz="4" w:space="0" w:color="auto"/>
              <w:bottom w:val="single" w:sz="4" w:space="0" w:color="auto"/>
              <w:right w:val="single" w:sz="4" w:space="0" w:color="auto"/>
            </w:tcBorders>
            <w:hideMark/>
          </w:tcPr>
          <w:p w:rsidR="00B85B64" w:rsidRPr="00876C3D" w:rsidRDefault="00876C3D" w:rsidP="00F33C81">
            <w:pPr>
              <w:ind w:right="640"/>
              <w:rPr>
                <w:sz w:val="24"/>
                <w:szCs w:val="24"/>
                <w:lang w:val="da-DK"/>
              </w:rPr>
            </w:pPr>
            <w:r w:rsidRPr="00876C3D">
              <w:rPr>
                <w:noProof/>
                <w:sz w:val="24"/>
                <w:szCs w:val="24"/>
                <w:lang w:val="da-DK"/>
              </w:rPr>
              <w:t>5 mg én gang dagligt. På dialysedage skal dosis administreres efter dialysen.</w:t>
            </w:r>
          </w:p>
        </w:tc>
      </w:tr>
    </w:tbl>
    <w:p w:rsidR="00EE3AD4" w:rsidRPr="00EE3AD4" w:rsidRDefault="00EE3AD4" w:rsidP="00876C3D">
      <w:pPr>
        <w:ind w:left="851"/>
        <w:rPr>
          <w:noProof/>
          <w:sz w:val="24"/>
          <w:szCs w:val="24"/>
        </w:rPr>
      </w:pPr>
      <w:r w:rsidRPr="00EE3AD4">
        <w:rPr>
          <w:noProof/>
          <w:sz w:val="24"/>
          <w:szCs w:val="24"/>
        </w:rPr>
        <w:t xml:space="preserve">¹ Dosis kan øges til 15 mg én gang dagligt efter 2 cyklusser, hvis patienten har tolereret behandlingen. </w:t>
      </w:r>
      <w:r w:rsidRPr="00EE3AD4">
        <w:rPr>
          <w:noProof/>
          <w:sz w:val="24"/>
          <w:szCs w:val="24"/>
          <w:vertAlign w:val="superscript"/>
        </w:rPr>
        <w:t xml:space="preserve">2 </w:t>
      </w:r>
      <w:r w:rsidRPr="00EE3AD4">
        <w:rPr>
          <w:noProof/>
          <w:sz w:val="24"/>
          <w:szCs w:val="24"/>
        </w:rPr>
        <w:t xml:space="preserve">For patienter, der får en startdosis på 10 mg, i tilfælde af dosisreduktion til behandling af en grad 3 eller 4 neutropeni eller trombocytopeni eller en anden grad 3 eller 4 toksicitet, som bedømmes til at være relateret til lenalidomid, må der ikke doseres under 5 mg hver anden dag eller 2,5 mg én gang dagligt. </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Efter påbegyndelse af lenalidomid-behandling hos patienter med nedsat nyrefunktion bør efterfølgende justeringer af lenalidomiddosis baseres på den enkelte patients tolerance over for behandingen som beskrevet ovenfor.</w:t>
      </w:r>
    </w:p>
    <w:p w:rsidR="00EE3AD4" w:rsidRPr="00EE3AD4" w:rsidRDefault="00EE3AD4" w:rsidP="00704AE1">
      <w:pPr>
        <w:ind w:left="851"/>
        <w:rPr>
          <w:noProof/>
          <w:sz w:val="24"/>
          <w:szCs w:val="24"/>
        </w:rPr>
      </w:pPr>
    </w:p>
    <w:p w:rsidR="00EE3AD4" w:rsidRPr="00EE3AD4" w:rsidRDefault="00EE3AD4" w:rsidP="00704AE1">
      <w:pPr>
        <w:ind w:left="851"/>
        <w:rPr>
          <w:i/>
          <w:iCs/>
          <w:noProof/>
          <w:sz w:val="24"/>
          <w:szCs w:val="24"/>
        </w:rPr>
      </w:pPr>
      <w:r w:rsidRPr="00EE3AD4">
        <w:rPr>
          <w:i/>
          <w:iCs/>
          <w:noProof/>
          <w:sz w:val="24"/>
          <w:szCs w:val="24"/>
        </w:rPr>
        <w:t>Patienter med nedsat leverfunktion</w:t>
      </w:r>
    </w:p>
    <w:p w:rsidR="00EE3AD4" w:rsidRPr="00EE3AD4" w:rsidRDefault="00EE3AD4" w:rsidP="00704AE1">
      <w:pPr>
        <w:ind w:left="851"/>
        <w:rPr>
          <w:noProof/>
          <w:sz w:val="24"/>
          <w:szCs w:val="24"/>
        </w:rPr>
      </w:pPr>
      <w:r w:rsidRPr="00EE3AD4">
        <w:rPr>
          <w:noProof/>
          <w:sz w:val="24"/>
          <w:szCs w:val="24"/>
        </w:rPr>
        <w:t>Lenalidomid er ikke formelt undersøgt hos patienter med nedsat leverfunktion, og der er ingen specifikke dosisanbefalinger.</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u w:val="single"/>
        </w:rPr>
        <w:t>Administration</w:t>
      </w:r>
    </w:p>
    <w:p w:rsidR="00EE3AD4" w:rsidRPr="00EE3AD4" w:rsidRDefault="00EE3AD4" w:rsidP="00704AE1">
      <w:pPr>
        <w:ind w:left="851"/>
        <w:rPr>
          <w:noProof/>
          <w:sz w:val="24"/>
          <w:szCs w:val="24"/>
        </w:rPr>
      </w:pPr>
      <w:r w:rsidRPr="00EE3AD4">
        <w:rPr>
          <w:noProof/>
          <w:sz w:val="24"/>
          <w:szCs w:val="24"/>
        </w:rPr>
        <w:t>Oral anvendelse.</w:t>
      </w:r>
    </w:p>
    <w:p w:rsidR="00EE3AD4" w:rsidRPr="00EE3AD4" w:rsidRDefault="00EE3AD4" w:rsidP="00704AE1">
      <w:pPr>
        <w:ind w:left="851"/>
        <w:rPr>
          <w:noProof/>
          <w:sz w:val="24"/>
          <w:szCs w:val="24"/>
        </w:rPr>
      </w:pPr>
      <w:r w:rsidRPr="00EE3AD4">
        <w:rPr>
          <w:noProof/>
          <w:sz w:val="24"/>
          <w:szCs w:val="24"/>
        </w:rPr>
        <w:t>Lenalidomide “Glenmark” bør indtages oralt på cirka samme tidspunkt på de planlagte dage. Kapslerne må ikke åbnes, knuses eller tygges. Kapslerne sluges hele, helst med vand, enten med eller uden mad.</w:t>
      </w:r>
      <w:r w:rsidR="00085B4B">
        <w:rPr>
          <w:noProof/>
          <w:sz w:val="24"/>
          <w:szCs w:val="24"/>
        </w:rPr>
        <w:t>s</w:t>
      </w:r>
    </w:p>
    <w:p w:rsidR="00EE3AD4" w:rsidRPr="00EE3AD4" w:rsidRDefault="00EE3AD4" w:rsidP="00704AE1">
      <w:pPr>
        <w:ind w:left="851"/>
        <w:rPr>
          <w:noProof/>
          <w:sz w:val="24"/>
          <w:szCs w:val="24"/>
        </w:rPr>
      </w:pPr>
    </w:p>
    <w:p w:rsidR="00EE3AD4" w:rsidRPr="00EE3AD4" w:rsidRDefault="00EE3AD4" w:rsidP="00704AE1">
      <w:pPr>
        <w:ind w:left="851"/>
        <w:rPr>
          <w:noProof/>
          <w:sz w:val="24"/>
          <w:szCs w:val="24"/>
        </w:rPr>
      </w:pPr>
      <w:r w:rsidRPr="00EE3AD4">
        <w:rPr>
          <w:noProof/>
          <w:sz w:val="24"/>
          <w:szCs w:val="24"/>
        </w:rPr>
        <w:t>Det anbefales kun at trykke på den ene ende af kapslen for at få den ud af blisterpakningen. Derved nedsættes risikoen for at deformere eller knække kapslen.</w:t>
      </w:r>
    </w:p>
    <w:p w:rsidR="009260DE" w:rsidRPr="00EE3AD4" w:rsidRDefault="009260DE" w:rsidP="00704AE1">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C405D2" w:rsidRPr="00C405D2" w:rsidRDefault="00C405D2" w:rsidP="00C405D2">
      <w:pPr>
        <w:numPr>
          <w:ilvl w:val="0"/>
          <w:numId w:val="7"/>
        </w:numPr>
        <w:tabs>
          <w:tab w:val="left" w:pos="851"/>
        </w:tabs>
        <w:ind w:left="1134" w:hanging="283"/>
        <w:rPr>
          <w:sz w:val="24"/>
          <w:szCs w:val="24"/>
        </w:rPr>
      </w:pPr>
      <w:r w:rsidRPr="00C405D2">
        <w:rPr>
          <w:sz w:val="24"/>
          <w:szCs w:val="24"/>
        </w:rPr>
        <w:t>Overfølsomhed over for det aktive stof eller over for et eller flere af hjælpestofferne anført i pkt. 6.1.</w:t>
      </w:r>
    </w:p>
    <w:p w:rsidR="00C405D2" w:rsidRPr="00C405D2" w:rsidRDefault="00C405D2" w:rsidP="00C405D2">
      <w:pPr>
        <w:numPr>
          <w:ilvl w:val="0"/>
          <w:numId w:val="7"/>
        </w:numPr>
        <w:tabs>
          <w:tab w:val="left" w:pos="851"/>
        </w:tabs>
        <w:ind w:left="1134" w:hanging="283"/>
        <w:rPr>
          <w:sz w:val="24"/>
          <w:szCs w:val="24"/>
        </w:rPr>
      </w:pPr>
      <w:r w:rsidRPr="00C405D2">
        <w:rPr>
          <w:sz w:val="24"/>
          <w:szCs w:val="24"/>
        </w:rPr>
        <w:t>Gravide kvinder.</w:t>
      </w:r>
    </w:p>
    <w:p w:rsidR="00C405D2" w:rsidRPr="00C405D2" w:rsidRDefault="00C405D2" w:rsidP="00C405D2">
      <w:pPr>
        <w:numPr>
          <w:ilvl w:val="0"/>
          <w:numId w:val="7"/>
        </w:numPr>
        <w:tabs>
          <w:tab w:val="left" w:pos="851"/>
        </w:tabs>
        <w:ind w:left="1134" w:hanging="283"/>
        <w:rPr>
          <w:sz w:val="24"/>
          <w:szCs w:val="24"/>
        </w:rPr>
      </w:pPr>
      <w:r w:rsidRPr="00C405D2">
        <w:rPr>
          <w:sz w:val="24"/>
          <w:szCs w:val="24"/>
        </w:rPr>
        <w:t>Kvinder i den fertile alder, medmindre alle betingelserne i “Programmet til svangerskabsforebyggelse" er overholdt (se pkt. 4.4 og 4.6).</w:t>
      </w:r>
    </w:p>
    <w:p w:rsidR="009260DE" w:rsidRPr="00C84483" w:rsidRDefault="009260DE" w:rsidP="00C405D2">
      <w:pPr>
        <w:tabs>
          <w:tab w:val="left" w:pos="851"/>
        </w:tabs>
        <w:ind w:left="1134" w:hanging="283"/>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562E7E" w:rsidRPr="00562E7E" w:rsidRDefault="00562E7E" w:rsidP="00013419">
      <w:pPr>
        <w:suppressAutoHyphens/>
        <w:ind w:left="851"/>
        <w:rPr>
          <w:sz w:val="24"/>
          <w:szCs w:val="24"/>
        </w:rPr>
      </w:pPr>
    </w:p>
    <w:p w:rsidR="00013419" w:rsidRPr="00013419" w:rsidRDefault="00013419" w:rsidP="00013419">
      <w:pPr>
        <w:suppressAutoHyphens/>
        <w:ind w:left="851"/>
        <w:rPr>
          <w:sz w:val="24"/>
          <w:szCs w:val="24"/>
          <w:u w:val="single"/>
        </w:rPr>
      </w:pPr>
      <w:r w:rsidRPr="00013419">
        <w:rPr>
          <w:sz w:val="24"/>
          <w:szCs w:val="24"/>
          <w:u w:val="single"/>
        </w:rPr>
        <w:t>Når lenalidomid gives i kombination med andre lægemidler, henvises der til de relevante produktresuméer, før behandlingen påbegyndes.</w:t>
      </w:r>
    </w:p>
    <w:p w:rsidR="00013419" w:rsidRPr="00013419" w:rsidRDefault="00013419" w:rsidP="00013419">
      <w:pPr>
        <w:suppressAutoHyphens/>
        <w:ind w:left="851"/>
        <w:rPr>
          <w:sz w:val="24"/>
          <w:szCs w:val="24"/>
          <w:u w:val="single"/>
        </w:rPr>
      </w:pPr>
    </w:p>
    <w:p w:rsidR="00C405D2" w:rsidRPr="00C405D2" w:rsidRDefault="00C405D2" w:rsidP="00C405D2">
      <w:pPr>
        <w:tabs>
          <w:tab w:val="left" w:pos="851"/>
        </w:tabs>
        <w:ind w:left="851"/>
        <w:rPr>
          <w:sz w:val="24"/>
          <w:szCs w:val="24"/>
        </w:rPr>
      </w:pPr>
      <w:r w:rsidRPr="00C405D2">
        <w:rPr>
          <w:sz w:val="24"/>
          <w:szCs w:val="24"/>
          <w:u w:val="single"/>
        </w:rPr>
        <w:t>Advarsel mht. graviditet</w:t>
      </w:r>
    </w:p>
    <w:p w:rsidR="00C405D2" w:rsidRPr="00C405D2" w:rsidRDefault="00C405D2" w:rsidP="00C405D2">
      <w:pPr>
        <w:tabs>
          <w:tab w:val="left" w:pos="851"/>
        </w:tabs>
        <w:ind w:left="851"/>
        <w:rPr>
          <w:sz w:val="24"/>
          <w:szCs w:val="24"/>
        </w:rPr>
      </w:pPr>
      <w:r w:rsidRPr="00C405D2">
        <w:rPr>
          <w:sz w:val="24"/>
          <w:szCs w:val="24"/>
        </w:rPr>
        <w:t>Lenalidomid er strukturelt i familie med thalidomid. Thalidomid er et kendt humanteratogent aktivt stof, som forårsager svære livstruende fødselsdefekter. Hos aber medførte lenalidomid misdannelser, som ligner dem, der er beskrevet i forbindelse med thalidomid (se pkt. 4.6 og 5.3). Hvis lenalidomid indtages under graviditet, forventes det, at lenalidomid har en teratogen virkning hos mennesker.</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Betingelserne i “Programmet til svangerskabsforebyggelse" skal overholdes af alle patienter, medmindre der er pålidelige beviser for, at patienten ikke er fertil.</w:t>
      </w:r>
    </w:p>
    <w:p w:rsidR="00DF19D5" w:rsidRDefault="00DF19D5" w:rsidP="00876C3D">
      <w:pPr>
        <w:tabs>
          <w:tab w:val="left" w:pos="851"/>
        </w:tabs>
        <w:rPr>
          <w:sz w:val="24"/>
          <w:szCs w:val="24"/>
          <w:u w:val="single"/>
        </w:rPr>
      </w:pPr>
    </w:p>
    <w:p w:rsidR="00C405D2" w:rsidRPr="00C405D2" w:rsidRDefault="00C405D2" w:rsidP="00C405D2">
      <w:pPr>
        <w:tabs>
          <w:tab w:val="left" w:pos="851"/>
        </w:tabs>
        <w:ind w:left="851"/>
        <w:rPr>
          <w:sz w:val="24"/>
          <w:szCs w:val="24"/>
        </w:rPr>
      </w:pPr>
      <w:r w:rsidRPr="00C405D2">
        <w:rPr>
          <w:sz w:val="24"/>
          <w:szCs w:val="24"/>
          <w:u w:val="single"/>
        </w:rPr>
        <w:t>Kriterier for, at kvinder ikke er fertile</w:t>
      </w:r>
    </w:p>
    <w:p w:rsidR="00C405D2" w:rsidRPr="00C405D2" w:rsidRDefault="00C405D2" w:rsidP="00C405D2">
      <w:pPr>
        <w:tabs>
          <w:tab w:val="left" w:pos="851"/>
        </w:tabs>
        <w:ind w:left="851"/>
        <w:rPr>
          <w:sz w:val="24"/>
          <w:szCs w:val="24"/>
        </w:rPr>
      </w:pPr>
      <w:r w:rsidRPr="00C405D2">
        <w:rPr>
          <w:sz w:val="24"/>
          <w:szCs w:val="24"/>
        </w:rPr>
        <w:t>En kvindelig patient eller en kvindelig partner til en mandlig patient betragtes som værende fertil, medmindre hun opfylder mindst et af følgende kriterier:</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lastRenderedPageBreak/>
        <w:t>Alder ≥ 50 år med naturlig amenoré i ≥ 1 år (*Amenoré som følge af cancerbehandling eller under amning udelukker ikke fertilitet)</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Tidlig menopause bekræftet af en speciallæge i gynækologi</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Tidligere bilateral salpingo-ooforektomi eller hysterektomi</w:t>
      </w:r>
    </w:p>
    <w:p w:rsidR="00C405D2" w:rsidRPr="00384BAE" w:rsidRDefault="00C405D2" w:rsidP="00427DAE">
      <w:pPr>
        <w:numPr>
          <w:ilvl w:val="0"/>
          <w:numId w:val="7"/>
        </w:numPr>
        <w:tabs>
          <w:tab w:val="left" w:pos="851"/>
        </w:tabs>
        <w:ind w:left="1134" w:hanging="283"/>
        <w:rPr>
          <w:sz w:val="24"/>
          <w:szCs w:val="24"/>
          <w:lang w:val="sv-SE"/>
        </w:rPr>
      </w:pPr>
      <w:r w:rsidRPr="00384BAE">
        <w:rPr>
          <w:sz w:val="24"/>
          <w:szCs w:val="24"/>
          <w:lang w:val="sv-SE"/>
        </w:rPr>
        <w:t>XY-genotype, Turner-syndrom, uterus-agenesi.</w:t>
      </w:r>
    </w:p>
    <w:p w:rsidR="00C405D2" w:rsidRPr="00384BAE" w:rsidRDefault="00C405D2" w:rsidP="00C405D2">
      <w:pPr>
        <w:tabs>
          <w:tab w:val="left" w:pos="851"/>
        </w:tabs>
        <w:ind w:left="851"/>
        <w:rPr>
          <w:sz w:val="24"/>
          <w:szCs w:val="24"/>
          <w:lang w:val="sv-SE"/>
        </w:rPr>
      </w:pPr>
    </w:p>
    <w:p w:rsidR="00C405D2" w:rsidRPr="00C405D2" w:rsidRDefault="00C405D2" w:rsidP="00C405D2">
      <w:pPr>
        <w:tabs>
          <w:tab w:val="left" w:pos="851"/>
        </w:tabs>
        <w:ind w:left="851"/>
        <w:rPr>
          <w:sz w:val="24"/>
          <w:szCs w:val="24"/>
        </w:rPr>
      </w:pPr>
      <w:r w:rsidRPr="00C405D2">
        <w:rPr>
          <w:sz w:val="24"/>
          <w:szCs w:val="24"/>
          <w:u w:val="single"/>
        </w:rPr>
        <w:t>Rådgivning</w:t>
      </w:r>
    </w:p>
    <w:p w:rsidR="00C405D2" w:rsidRPr="00C405D2" w:rsidRDefault="00C405D2" w:rsidP="00C405D2">
      <w:pPr>
        <w:tabs>
          <w:tab w:val="left" w:pos="851"/>
        </w:tabs>
        <w:ind w:left="851"/>
        <w:rPr>
          <w:sz w:val="24"/>
          <w:szCs w:val="24"/>
        </w:rPr>
      </w:pPr>
      <w:r w:rsidRPr="00C405D2">
        <w:rPr>
          <w:sz w:val="24"/>
          <w:szCs w:val="24"/>
        </w:rPr>
        <w:t>Lenalidomid er kontraindiceret til kvinder i den fertile alder, medmindre alle følgende kriterier opfyldes:</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Kvinden er oplyst om og har indsigt i den forventede teratogene risiko for det ufødte barn</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 xml:space="preserve">Kvinden forstår nødvendigheden af en effektiv, uafbrudt prævention, </w:t>
      </w:r>
      <w:r w:rsidR="00562E7E">
        <w:rPr>
          <w:sz w:val="24"/>
          <w:szCs w:val="24"/>
        </w:rPr>
        <w:t xml:space="preserve">mindst </w:t>
      </w:r>
      <w:r w:rsidRPr="00C405D2">
        <w:rPr>
          <w:sz w:val="24"/>
          <w:szCs w:val="24"/>
        </w:rPr>
        <w:t xml:space="preserve">4 uger før behandlingen indledes, under hele behandlingsforløbet og </w:t>
      </w:r>
      <w:r w:rsidR="00562E7E">
        <w:rPr>
          <w:sz w:val="24"/>
          <w:szCs w:val="24"/>
        </w:rPr>
        <w:t xml:space="preserve">mindst </w:t>
      </w:r>
      <w:r w:rsidRPr="00C405D2">
        <w:rPr>
          <w:sz w:val="24"/>
          <w:szCs w:val="24"/>
        </w:rPr>
        <w:t>4 uger efter behandlingens afslutning</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Selv hvis en kvinde i den fertile alder har amenoré, skal hun følge alle rådene om effektiv prævention</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Kvinden skal være i stand til at overholde effektive præventionsmetoder</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Kvinden har fået information om og forstår de potentielle følger af graviditet og nødvendigheden af omgående at søge læge, hvis der er risiko for graviditet</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Kvinden forstår nødvendigheden af at påbegynde behandlingen, så snart lenalidomid er blevet ordineret efter en negativ graviditetstest</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Kvinden forstår nødvendigheden af og accepterer at få foretaget graviditetstest</w:t>
      </w:r>
      <w:r w:rsidR="00562E7E">
        <w:rPr>
          <w:sz w:val="24"/>
          <w:szCs w:val="24"/>
        </w:rPr>
        <w:t xml:space="preserve"> mindst</w:t>
      </w:r>
      <w:r w:rsidRPr="00C405D2">
        <w:rPr>
          <w:sz w:val="24"/>
          <w:szCs w:val="24"/>
        </w:rPr>
        <w:t xml:space="preserve"> hver 4. uge, undtagen ved bekræftet æggeleder-sterilisation</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Kvinden bekræfter, at hun forstår risikoen og de nødvendige sikkerhedsforanstaltninger, som er forbundet med brugen af lenalidomid.</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For mandlige patienter, som tager lenalidomid, har farmakokinetiske data vist, at lenalidomid er til stede i human sæd i ekstremt små mængder under behandlingen, og at stoffet ikke kan påvises i human sæd 3 dage efter seponering hos raske forsøgspersoner (se pkt. 5.2). Som forholdsregel og under hensyntagen til særlige patientpopulationer med forlænget eliminationstid, såsom ved nedsat nyrefunktion, skal alle mandlige patienter, som tager lenalidomid, opfylde følgende betingelser:</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Forstå den forventede teratogene risiko ved seksuelt samvær med en gravid kvinde eller en kvinde i den fertile alder</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Forstå nødvendigheden af at bruge kondom ved seksuelt samvær med en gravid kvinde eller en kvinde i den fertile alder, der ikke anvender sikker kontraception (selv hvis manden er vasektomeret), under behandlingen og i mindst</w:t>
      </w:r>
      <w:r w:rsidRPr="00562E7E">
        <w:rPr>
          <w:sz w:val="24"/>
          <w:szCs w:val="24"/>
        </w:rPr>
        <w:t xml:space="preserve"> </w:t>
      </w:r>
      <w:r w:rsidR="00562E7E" w:rsidRPr="00562E7E">
        <w:rPr>
          <w:sz w:val="24"/>
          <w:szCs w:val="24"/>
        </w:rPr>
        <w:t xml:space="preserve">7 dage </w:t>
      </w:r>
      <w:r w:rsidRPr="00C405D2">
        <w:rPr>
          <w:sz w:val="24"/>
          <w:szCs w:val="24"/>
        </w:rPr>
        <w:t>efter dosisafbrydelser og/eller efter behandlingsophør</w:t>
      </w:r>
    </w:p>
    <w:p w:rsidR="00C405D2" w:rsidRPr="00C405D2" w:rsidRDefault="00C405D2" w:rsidP="00427DAE">
      <w:pPr>
        <w:numPr>
          <w:ilvl w:val="0"/>
          <w:numId w:val="7"/>
        </w:numPr>
        <w:tabs>
          <w:tab w:val="left" w:pos="851"/>
        </w:tabs>
        <w:ind w:left="1134" w:hanging="283"/>
        <w:rPr>
          <w:sz w:val="24"/>
          <w:szCs w:val="24"/>
        </w:rPr>
      </w:pPr>
      <w:r w:rsidRPr="00C405D2">
        <w:rPr>
          <w:sz w:val="24"/>
          <w:szCs w:val="24"/>
        </w:rPr>
        <w:t>Forstå, at hvis hans kvindelige partner bliver gravid, mens han tager Lenalidomide "Glenmark" eller kort efter, han er holdt op med at tage Lenalidomide "Glenmark", skal han straks informere sin behandlende læge, og at det anbefales at henvise den kvindelige partner til en læge med speciale eller erfaring i teratologi for evaluering og rådgivning.</w:t>
      </w:r>
    </w:p>
    <w:p w:rsidR="00C405D2" w:rsidRPr="00C405D2" w:rsidRDefault="00C405D2" w:rsidP="00427DAE">
      <w:pPr>
        <w:tabs>
          <w:tab w:val="left" w:pos="851"/>
        </w:tabs>
        <w:ind w:left="1134" w:hanging="283"/>
        <w:rPr>
          <w:sz w:val="24"/>
          <w:szCs w:val="24"/>
        </w:rPr>
      </w:pPr>
    </w:p>
    <w:p w:rsidR="00C405D2" w:rsidRPr="00C405D2" w:rsidRDefault="00C405D2" w:rsidP="00C405D2">
      <w:pPr>
        <w:tabs>
          <w:tab w:val="left" w:pos="851"/>
        </w:tabs>
        <w:ind w:left="851"/>
        <w:rPr>
          <w:sz w:val="24"/>
          <w:szCs w:val="24"/>
        </w:rPr>
      </w:pPr>
      <w:r w:rsidRPr="00C405D2">
        <w:rPr>
          <w:sz w:val="24"/>
          <w:szCs w:val="24"/>
        </w:rPr>
        <w:t>Den ordinerende læge skal for kvinder i den fertile alder sikre, at:</w:t>
      </w:r>
    </w:p>
    <w:p w:rsidR="00C405D2" w:rsidRPr="00C405D2" w:rsidRDefault="00C405D2" w:rsidP="00BA6903">
      <w:pPr>
        <w:numPr>
          <w:ilvl w:val="0"/>
          <w:numId w:val="7"/>
        </w:numPr>
        <w:tabs>
          <w:tab w:val="left" w:pos="851"/>
        </w:tabs>
        <w:ind w:left="1134" w:hanging="283"/>
        <w:rPr>
          <w:sz w:val="24"/>
          <w:szCs w:val="24"/>
        </w:rPr>
      </w:pPr>
      <w:r w:rsidRPr="00C405D2">
        <w:rPr>
          <w:sz w:val="24"/>
          <w:szCs w:val="24"/>
        </w:rPr>
        <w:t>Patienten overholder betingelserne i “Programmet til svangerskabsforebyggelse", herunder bekræftelse af, at patienten har et passende forståelsesniveau</w:t>
      </w:r>
    </w:p>
    <w:p w:rsidR="00C405D2" w:rsidRPr="00C405D2" w:rsidRDefault="00C405D2" w:rsidP="00BA6903">
      <w:pPr>
        <w:numPr>
          <w:ilvl w:val="0"/>
          <w:numId w:val="7"/>
        </w:numPr>
        <w:tabs>
          <w:tab w:val="left" w:pos="851"/>
        </w:tabs>
        <w:ind w:left="1134" w:hanging="283"/>
        <w:rPr>
          <w:sz w:val="24"/>
          <w:szCs w:val="24"/>
        </w:rPr>
      </w:pPr>
      <w:r w:rsidRPr="00C405D2">
        <w:rPr>
          <w:sz w:val="24"/>
          <w:szCs w:val="24"/>
        </w:rPr>
        <w:t>Patienten har anerkendt ovennævnte betingelser.</w:t>
      </w:r>
    </w:p>
    <w:p w:rsidR="00C405D2" w:rsidRPr="00C405D2" w:rsidRDefault="00C405D2" w:rsidP="00C405D2">
      <w:pPr>
        <w:tabs>
          <w:tab w:val="left" w:pos="851"/>
        </w:tabs>
        <w:ind w:left="851"/>
        <w:rPr>
          <w:sz w:val="24"/>
          <w:szCs w:val="24"/>
        </w:rPr>
      </w:pPr>
    </w:p>
    <w:p w:rsidR="00C405D2" w:rsidRPr="00C405D2" w:rsidRDefault="00C405D2" w:rsidP="00876C3D">
      <w:pPr>
        <w:keepNext/>
        <w:tabs>
          <w:tab w:val="left" w:pos="851"/>
        </w:tabs>
        <w:ind w:left="851"/>
        <w:rPr>
          <w:sz w:val="24"/>
          <w:szCs w:val="24"/>
        </w:rPr>
      </w:pPr>
      <w:r w:rsidRPr="00C405D2">
        <w:rPr>
          <w:sz w:val="24"/>
          <w:szCs w:val="24"/>
          <w:u w:val="single"/>
        </w:rPr>
        <w:lastRenderedPageBreak/>
        <w:t>Prævention</w:t>
      </w:r>
    </w:p>
    <w:p w:rsidR="00C405D2" w:rsidRPr="00C405D2" w:rsidRDefault="00C405D2" w:rsidP="00C405D2">
      <w:pPr>
        <w:tabs>
          <w:tab w:val="left" w:pos="851"/>
        </w:tabs>
        <w:ind w:left="851"/>
        <w:rPr>
          <w:sz w:val="24"/>
          <w:szCs w:val="24"/>
        </w:rPr>
      </w:pPr>
      <w:r w:rsidRPr="00C405D2">
        <w:rPr>
          <w:sz w:val="24"/>
          <w:szCs w:val="24"/>
        </w:rPr>
        <w:t>Kvinder i den fertile alder skal benytte</w:t>
      </w:r>
      <w:r w:rsidR="00562E7E">
        <w:rPr>
          <w:sz w:val="24"/>
          <w:szCs w:val="24"/>
        </w:rPr>
        <w:t xml:space="preserve"> mindst</w:t>
      </w:r>
      <w:r w:rsidRPr="00C405D2">
        <w:rPr>
          <w:sz w:val="24"/>
          <w:szCs w:val="24"/>
        </w:rPr>
        <w:t xml:space="preserve"> en effektiv præventionsmetode i </w:t>
      </w:r>
      <w:r w:rsidR="00562E7E">
        <w:rPr>
          <w:sz w:val="24"/>
          <w:szCs w:val="24"/>
        </w:rPr>
        <w:t>mindst</w:t>
      </w:r>
      <w:r w:rsidR="00562E7E" w:rsidRPr="00C405D2">
        <w:rPr>
          <w:sz w:val="24"/>
          <w:szCs w:val="24"/>
        </w:rPr>
        <w:t xml:space="preserve"> </w:t>
      </w:r>
      <w:r w:rsidRPr="00C405D2">
        <w:rPr>
          <w:sz w:val="24"/>
          <w:szCs w:val="24"/>
        </w:rPr>
        <w:t xml:space="preserve">4 uger før behandlingen, under behandlingen, og indtil </w:t>
      </w:r>
      <w:r w:rsidR="00562E7E">
        <w:rPr>
          <w:sz w:val="24"/>
          <w:szCs w:val="24"/>
        </w:rPr>
        <w:t>mindst</w:t>
      </w:r>
      <w:r w:rsidR="00562E7E" w:rsidRPr="00C405D2">
        <w:rPr>
          <w:sz w:val="24"/>
          <w:szCs w:val="24"/>
        </w:rPr>
        <w:t xml:space="preserve"> </w:t>
      </w:r>
      <w:r w:rsidRPr="00C405D2">
        <w:rPr>
          <w:sz w:val="24"/>
          <w:szCs w:val="24"/>
        </w:rPr>
        <w:t>4 uger efter lenalidomid-behandlingen. Dette gælder selv i tilfælde af dosisafbrydelse, medmindre patienten forpligter sig til absolut og vedvarende seksuel afholdenhed, som bekræftes hver måned. Hvis patienten ikke benytter effektiv prævention, skal han/hun henvises til relevant uddannet sundhedspersonale for at få rådgivning om prævention, således at præventionen kan påbegyndes.</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Følgende kan betragtes som eksempler på velegnede præventionsmetoder:</w:t>
      </w:r>
    </w:p>
    <w:p w:rsidR="00C405D2" w:rsidRPr="00C405D2" w:rsidRDefault="00C405D2" w:rsidP="00BA6903">
      <w:pPr>
        <w:numPr>
          <w:ilvl w:val="0"/>
          <w:numId w:val="7"/>
        </w:numPr>
        <w:tabs>
          <w:tab w:val="left" w:pos="851"/>
        </w:tabs>
        <w:ind w:left="1134" w:hanging="283"/>
        <w:rPr>
          <w:sz w:val="24"/>
          <w:szCs w:val="24"/>
        </w:rPr>
      </w:pPr>
      <w:r w:rsidRPr="00C405D2">
        <w:rPr>
          <w:sz w:val="24"/>
          <w:szCs w:val="24"/>
        </w:rPr>
        <w:t>Implantat</w:t>
      </w:r>
    </w:p>
    <w:p w:rsidR="00C405D2" w:rsidRPr="00C405D2" w:rsidRDefault="00C405D2" w:rsidP="00BA6903">
      <w:pPr>
        <w:numPr>
          <w:ilvl w:val="0"/>
          <w:numId w:val="7"/>
        </w:numPr>
        <w:tabs>
          <w:tab w:val="left" w:pos="851"/>
        </w:tabs>
        <w:ind w:left="1134" w:hanging="283"/>
        <w:rPr>
          <w:sz w:val="24"/>
          <w:szCs w:val="24"/>
        </w:rPr>
      </w:pPr>
      <w:r w:rsidRPr="00C405D2">
        <w:rPr>
          <w:sz w:val="24"/>
          <w:szCs w:val="24"/>
        </w:rPr>
        <w:t>Spiral, som frigiver levonorgestrel</w:t>
      </w:r>
    </w:p>
    <w:p w:rsidR="00C405D2" w:rsidRPr="00C405D2" w:rsidRDefault="00C405D2" w:rsidP="00BA6903">
      <w:pPr>
        <w:numPr>
          <w:ilvl w:val="0"/>
          <w:numId w:val="7"/>
        </w:numPr>
        <w:tabs>
          <w:tab w:val="left" w:pos="851"/>
        </w:tabs>
        <w:ind w:left="1134" w:hanging="283"/>
        <w:rPr>
          <w:sz w:val="24"/>
          <w:szCs w:val="24"/>
        </w:rPr>
      </w:pPr>
      <w:r w:rsidRPr="00C405D2">
        <w:rPr>
          <w:sz w:val="24"/>
          <w:szCs w:val="24"/>
        </w:rPr>
        <w:t>Medroxyprogesteronacetat-depot</w:t>
      </w:r>
    </w:p>
    <w:p w:rsidR="00C405D2" w:rsidRPr="00C405D2" w:rsidRDefault="00C405D2" w:rsidP="00BA6903">
      <w:pPr>
        <w:numPr>
          <w:ilvl w:val="0"/>
          <w:numId w:val="7"/>
        </w:numPr>
        <w:tabs>
          <w:tab w:val="left" w:pos="851"/>
        </w:tabs>
        <w:ind w:left="1134" w:hanging="283"/>
        <w:rPr>
          <w:sz w:val="24"/>
          <w:szCs w:val="24"/>
        </w:rPr>
      </w:pPr>
      <w:r w:rsidRPr="00C405D2">
        <w:rPr>
          <w:sz w:val="24"/>
          <w:szCs w:val="24"/>
        </w:rPr>
        <w:t>Sterilisation af æggeleder</w:t>
      </w:r>
    </w:p>
    <w:p w:rsidR="00C405D2" w:rsidRPr="00C405D2" w:rsidRDefault="00C405D2" w:rsidP="00BA6903">
      <w:pPr>
        <w:numPr>
          <w:ilvl w:val="0"/>
          <w:numId w:val="7"/>
        </w:numPr>
        <w:tabs>
          <w:tab w:val="left" w:pos="851"/>
        </w:tabs>
        <w:ind w:left="1134" w:hanging="283"/>
        <w:rPr>
          <w:sz w:val="24"/>
          <w:szCs w:val="24"/>
        </w:rPr>
      </w:pPr>
      <w:r w:rsidRPr="00C405D2">
        <w:rPr>
          <w:sz w:val="24"/>
          <w:szCs w:val="24"/>
        </w:rPr>
        <w:t>Seksuelt samleje kun med en vasektomeret mandlig partner. Vasektomien skal bekræftes af to negative sædanalyser</w:t>
      </w:r>
    </w:p>
    <w:p w:rsidR="00C405D2" w:rsidRPr="00C405D2" w:rsidRDefault="00C405D2" w:rsidP="00BA6903">
      <w:pPr>
        <w:numPr>
          <w:ilvl w:val="0"/>
          <w:numId w:val="7"/>
        </w:numPr>
        <w:tabs>
          <w:tab w:val="left" w:pos="851"/>
        </w:tabs>
        <w:ind w:left="1134" w:hanging="283"/>
        <w:rPr>
          <w:sz w:val="24"/>
          <w:szCs w:val="24"/>
        </w:rPr>
      </w:pPr>
      <w:r w:rsidRPr="00C405D2">
        <w:rPr>
          <w:sz w:val="24"/>
          <w:szCs w:val="24"/>
        </w:rPr>
        <w:t>P-piller kun med ægløsningshæmmende progestogen (dvs. desogestrel).</w:t>
      </w:r>
    </w:p>
    <w:p w:rsidR="00C405D2" w:rsidRPr="00C405D2" w:rsidRDefault="00C405D2" w:rsidP="00C405D2">
      <w:pPr>
        <w:tabs>
          <w:tab w:val="left" w:pos="851"/>
        </w:tabs>
        <w:ind w:left="851"/>
        <w:rPr>
          <w:sz w:val="24"/>
          <w:szCs w:val="24"/>
        </w:rPr>
      </w:pPr>
    </w:p>
    <w:p w:rsidR="00B85B64" w:rsidRPr="00C405D2" w:rsidRDefault="00B85B64" w:rsidP="00B85B64">
      <w:pPr>
        <w:tabs>
          <w:tab w:val="left" w:pos="851"/>
        </w:tabs>
        <w:ind w:left="851"/>
        <w:rPr>
          <w:sz w:val="24"/>
          <w:szCs w:val="24"/>
        </w:rPr>
      </w:pPr>
      <w:r w:rsidRPr="00C405D2">
        <w:rPr>
          <w:sz w:val="24"/>
          <w:szCs w:val="24"/>
        </w:rPr>
        <w:t xml:space="preserve">På grund af den øgede risiko for venøs tromboemboli hos patienter med myelomatose, som tager lenalidomid i kombinationsbehandling, og i mindre grad hos patienter med myelomatose, </w:t>
      </w:r>
      <w:r>
        <w:rPr>
          <w:sz w:val="24"/>
          <w:szCs w:val="24"/>
        </w:rPr>
        <w:t xml:space="preserve">myelodysplastisk syndrom og mantle celle lymfom </w:t>
      </w:r>
      <w:r w:rsidRPr="00C405D2">
        <w:rPr>
          <w:sz w:val="24"/>
          <w:szCs w:val="24"/>
        </w:rPr>
        <w:t>der tager lenalidomid som monoterapi, bør patienten ikke bruge p-piller af kombinationstypen (se også pkt. 4.5). Hvis en patient aktuelt anvender p-piller af kombinationstypen, skal patienten skifte til en af de ovenstående effektive metoder. Risikoen for venøs tromboemboli vedvarer i 4−6 uger efter ophør med p-piller af kombinationstypen. Præventionssteroiders virkning kan muligvis være nedsat ved samtidig behandling med dexamethason (se pkt. 4.5).</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Implantater og spiraler, der afgiver levonorgestrel forbindes med en øget infektionsrisiko på opsætningstidspunktet og uregelmæssig vaginal blødning. Det bør overvejes at give antibiotika profylaktisk især til patienter med neutropeni.</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Spiraler, som afgiver kobber, bør som hovedregel ikke bruges på grund af den potentielle risiko for infektion på opsætningstidspunktet og blodtab ved menstruation, hvilket kan indebære risiko for patienter med neutropeni eller trombocytopeni.</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u w:val="single"/>
        </w:rPr>
        <w:t>Graviditetstest</w:t>
      </w:r>
    </w:p>
    <w:p w:rsidR="00C405D2" w:rsidRPr="00C405D2" w:rsidRDefault="00C405D2" w:rsidP="00C405D2">
      <w:pPr>
        <w:tabs>
          <w:tab w:val="left" w:pos="851"/>
        </w:tabs>
        <w:ind w:left="851"/>
        <w:rPr>
          <w:sz w:val="24"/>
          <w:szCs w:val="24"/>
        </w:rPr>
      </w:pPr>
      <w:r w:rsidRPr="00C405D2">
        <w:rPr>
          <w:sz w:val="24"/>
          <w:szCs w:val="24"/>
        </w:rPr>
        <w:t>I overensstemmelse med lokal praksis skal der foretages lægeligt monitorerede graviditetstests på kvinder i den fertile alder. Testene skal have en minimumfølsomhed på 25 mIE/ml og foretages som beskrevet nedenfor. Dette krav omfatter kvinder i den fertile alder, som praktiserer absolut og vedvarende seksuel afholdenhed. Ideelt bør graviditetstest, ordination og udlevering foregå samme dag. Udlevering af lenalidomid til kvinder i den fertile alder bør ske inden 7 dage efter ordination.</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i/>
          <w:sz w:val="24"/>
          <w:szCs w:val="24"/>
        </w:rPr>
      </w:pPr>
      <w:r w:rsidRPr="00C405D2">
        <w:rPr>
          <w:i/>
          <w:sz w:val="24"/>
          <w:szCs w:val="24"/>
        </w:rPr>
        <w:t>Før behandling indledes</w:t>
      </w:r>
    </w:p>
    <w:p w:rsidR="00C405D2" w:rsidRPr="00C405D2" w:rsidRDefault="00C405D2" w:rsidP="00C405D2">
      <w:pPr>
        <w:tabs>
          <w:tab w:val="left" w:pos="851"/>
        </w:tabs>
        <w:ind w:left="851"/>
        <w:rPr>
          <w:sz w:val="24"/>
          <w:szCs w:val="24"/>
        </w:rPr>
      </w:pPr>
      <w:r w:rsidRPr="00C405D2">
        <w:rPr>
          <w:sz w:val="24"/>
          <w:szCs w:val="24"/>
        </w:rPr>
        <w:t>En lægeligt monitoreret graviditetstest skal udføres enten under selve den konsultation, hvor patienten får ordineret lenalidomid, eller i løbet af de sidste 3 dage inden konsultationen hos den ordinerende læge. I begge tilfælde skal patienten have benyttet effektiv prævention i mindst 4 uger. Testen skal sikre, at patienten ikke er gravid, når hun indleder behandlingen med lenalidomid.</w:t>
      </w:r>
    </w:p>
    <w:p w:rsidR="00C405D2" w:rsidRPr="00C405D2" w:rsidRDefault="00C405D2" w:rsidP="00C405D2">
      <w:pPr>
        <w:tabs>
          <w:tab w:val="left" w:pos="851"/>
        </w:tabs>
        <w:ind w:left="851"/>
        <w:rPr>
          <w:sz w:val="24"/>
          <w:szCs w:val="24"/>
        </w:rPr>
      </w:pPr>
    </w:p>
    <w:p w:rsidR="00C405D2" w:rsidRPr="00C405D2" w:rsidRDefault="00C405D2" w:rsidP="00876C3D">
      <w:pPr>
        <w:keepNext/>
        <w:tabs>
          <w:tab w:val="left" w:pos="851"/>
        </w:tabs>
        <w:ind w:left="851"/>
        <w:rPr>
          <w:i/>
          <w:sz w:val="24"/>
          <w:szCs w:val="24"/>
        </w:rPr>
      </w:pPr>
      <w:r w:rsidRPr="00C405D2">
        <w:rPr>
          <w:i/>
          <w:sz w:val="24"/>
          <w:szCs w:val="24"/>
        </w:rPr>
        <w:lastRenderedPageBreak/>
        <w:t>Opfølgning og afslutning af behandling</w:t>
      </w:r>
    </w:p>
    <w:p w:rsidR="00C405D2" w:rsidRPr="00C405D2" w:rsidRDefault="00C405D2" w:rsidP="00C405D2">
      <w:pPr>
        <w:tabs>
          <w:tab w:val="left" w:pos="851"/>
        </w:tabs>
        <w:ind w:left="851"/>
        <w:rPr>
          <w:sz w:val="24"/>
          <w:szCs w:val="24"/>
        </w:rPr>
      </w:pPr>
      <w:r w:rsidRPr="00C405D2">
        <w:rPr>
          <w:sz w:val="24"/>
          <w:szCs w:val="24"/>
        </w:rPr>
        <w:t xml:space="preserve">En lægeligt monitoreret graviditetstest skal gentages </w:t>
      </w:r>
      <w:r w:rsidR="00562E7E">
        <w:rPr>
          <w:sz w:val="24"/>
          <w:szCs w:val="24"/>
        </w:rPr>
        <w:t xml:space="preserve">mindst </w:t>
      </w:r>
      <w:r w:rsidRPr="00C405D2">
        <w:rPr>
          <w:sz w:val="24"/>
          <w:szCs w:val="24"/>
        </w:rPr>
        <w:t xml:space="preserve">hver 4. uge, inklusive </w:t>
      </w:r>
      <w:r w:rsidR="00562E7E">
        <w:rPr>
          <w:sz w:val="24"/>
          <w:szCs w:val="24"/>
        </w:rPr>
        <w:t xml:space="preserve">mindst </w:t>
      </w:r>
      <w:r w:rsidRPr="00C405D2">
        <w:rPr>
          <w:sz w:val="24"/>
          <w:szCs w:val="24"/>
        </w:rPr>
        <w:t>4 uger efter afslutning af behandlingen undtagen ved bekræftet æggeleder-sterilisation. Disse graviditetstests skal udføres enten under selve den konsultation, hvor patienten får ordineret lenalidomid eller i løbet af de sidste 3 dage inden konsultationen hos den ordinerende læge.</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u w:val="single"/>
        </w:rPr>
        <w:t>Yderligere sikkerhedsforanstaltninger</w:t>
      </w:r>
    </w:p>
    <w:p w:rsidR="00C405D2" w:rsidRPr="00C405D2" w:rsidRDefault="00C405D2" w:rsidP="00C405D2">
      <w:pPr>
        <w:tabs>
          <w:tab w:val="left" w:pos="851"/>
        </w:tabs>
        <w:ind w:left="851"/>
        <w:rPr>
          <w:sz w:val="24"/>
          <w:szCs w:val="24"/>
        </w:rPr>
      </w:pPr>
      <w:r w:rsidRPr="00C405D2">
        <w:rPr>
          <w:sz w:val="24"/>
          <w:szCs w:val="24"/>
        </w:rPr>
        <w:t>Patienten skal instrueres i aldrig at overdrage dette lægemiddel til andre og i at aflevere eventuelt ikke anvendte kapsler til apoteket, når behandlingen er afsluttet, til sikker bortskaffelse.</w:t>
      </w:r>
    </w:p>
    <w:p w:rsidR="00C405D2" w:rsidRPr="00C405D2" w:rsidRDefault="00C405D2" w:rsidP="00C405D2">
      <w:pPr>
        <w:tabs>
          <w:tab w:val="left" w:pos="851"/>
        </w:tabs>
        <w:ind w:left="851"/>
        <w:rPr>
          <w:sz w:val="24"/>
          <w:szCs w:val="24"/>
        </w:rPr>
      </w:pPr>
    </w:p>
    <w:p w:rsidR="00876C3D" w:rsidRPr="00562E7E" w:rsidRDefault="00876C3D" w:rsidP="00876C3D">
      <w:pPr>
        <w:suppressAutoHyphens/>
        <w:ind w:left="851"/>
        <w:rPr>
          <w:sz w:val="24"/>
          <w:szCs w:val="24"/>
        </w:rPr>
      </w:pPr>
      <w:r w:rsidRPr="00562E7E">
        <w:rPr>
          <w:sz w:val="24"/>
          <w:szCs w:val="24"/>
        </w:rPr>
        <w:t>Patienten må ikke donere blod</w:t>
      </w:r>
      <w:r>
        <w:rPr>
          <w:sz w:val="24"/>
          <w:szCs w:val="24"/>
        </w:rPr>
        <w:t>, sæd eller sperm</w:t>
      </w:r>
      <w:r w:rsidRPr="00562E7E">
        <w:rPr>
          <w:sz w:val="24"/>
          <w:szCs w:val="24"/>
        </w:rPr>
        <w:t xml:space="preserve"> under behandlingen </w:t>
      </w:r>
      <w:r>
        <w:rPr>
          <w:sz w:val="24"/>
          <w:szCs w:val="24"/>
        </w:rPr>
        <w:t xml:space="preserve">(herunder dosisafbrydelser) </w:t>
      </w:r>
      <w:r w:rsidRPr="00562E7E">
        <w:rPr>
          <w:sz w:val="24"/>
          <w:szCs w:val="24"/>
        </w:rPr>
        <w:t>og i mindst 7 dage efter ophør med behandling med lenalidomid.</w:t>
      </w:r>
    </w:p>
    <w:p w:rsidR="00562E7E" w:rsidRPr="00562E7E" w:rsidRDefault="00562E7E" w:rsidP="00562E7E">
      <w:pPr>
        <w:suppressAutoHyphens/>
        <w:ind w:left="851"/>
        <w:rPr>
          <w:sz w:val="24"/>
          <w:szCs w:val="24"/>
        </w:rPr>
      </w:pPr>
    </w:p>
    <w:p w:rsidR="00562E7E" w:rsidRPr="00562E7E" w:rsidRDefault="00562E7E" w:rsidP="00562E7E">
      <w:pPr>
        <w:suppressAutoHyphens/>
        <w:ind w:left="851"/>
        <w:rPr>
          <w:sz w:val="24"/>
          <w:szCs w:val="24"/>
        </w:rPr>
      </w:pPr>
      <w:r w:rsidRPr="00562E7E">
        <w:rPr>
          <w:sz w:val="24"/>
          <w:szCs w:val="24"/>
        </w:rPr>
        <w:t xml:space="preserve">Sundhedspersoner og omsorgspersoner skal bære engangshandsker, når de håndterer blisteren eller kapslen. </w:t>
      </w:r>
    </w:p>
    <w:p w:rsidR="00562E7E" w:rsidRPr="00562E7E" w:rsidRDefault="00562E7E" w:rsidP="00562E7E">
      <w:pPr>
        <w:suppressAutoHyphens/>
        <w:ind w:left="851"/>
        <w:rPr>
          <w:sz w:val="24"/>
          <w:szCs w:val="24"/>
        </w:rPr>
      </w:pPr>
    </w:p>
    <w:p w:rsidR="00562E7E" w:rsidRPr="00562E7E" w:rsidRDefault="00562E7E" w:rsidP="00562E7E">
      <w:pPr>
        <w:suppressAutoHyphens/>
        <w:ind w:left="851"/>
        <w:rPr>
          <w:sz w:val="24"/>
          <w:szCs w:val="24"/>
        </w:rPr>
      </w:pPr>
      <w:r w:rsidRPr="00562E7E">
        <w:rPr>
          <w:sz w:val="24"/>
          <w:szCs w:val="24"/>
        </w:rPr>
        <w:t xml:space="preserve">Kvinder, der er gravide eller tror, de kan være gravide, må ikke håndtere blisteren eller kapslen (se pkt. 6.6). </w:t>
      </w:r>
    </w:p>
    <w:p w:rsidR="00C405D2" w:rsidRPr="00C405D2" w:rsidRDefault="00C405D2" w:rsidP="00C405D2">
      <w:pPr>
        <w:tabs>
          <w:tab w:val="left" w:pos="851"/>
        </w:tabs>
        <w:ind w:left="851"/>
        <w:rPr>
          <w:sz w:val="24"/>
          <w:szCs w:val="24"/>
        </w:rPr>
      </w:pPr>
    </w:p>
    <w:p w:rsidR="00F15870" w:rsidRPr="00C405D2" w:rsidRDefault="00F15870" w:rsidP="00F15870">
      <w:pPr>
        <w:tabs>
          <w:tab w:val="left" w:pos="851"/>
        </w:tabs>
        <w:ind w:left="851"/>
        <w:rPr>
          <w:sz w:val="24"/>
          <w:szCs w:val="24"/>
        </w:rPr>
      </w:pPr>
      <w:r w:rsidRPr="00C405D2">
        <w:rPr>
          <w:sz w:val="24"/>
          <w:szCs w:val="24"/>
          <w:u w:val="single"/>
        </w:rPr>
        <w:t>Undervisningsmaterialer, begrænsninger for ordination og udlevering</w:t>
      </w:r>
    </w:p>
    <w:p w:rsidR="00F15870" w:rsidRPr="00C405D2" w:rsidRDefault="00F15870" w:rsidP="00F15870">
      <w:pPr>
        <w:tabs>
          <w:tab w:val="left" w:pos="851"/>
        </w:tabs>
        <w:ind w:left="851"/>
        <w:rPr>
          <w:sz w:val="24"/>
          <w:szCs w:val="24"/>
        </w:rPr>
      </w:pPr>
      <w:r w:rsidRPr="00C405D2">
        <w:rPr>
          <w:sz w:val="24"/>
          <w:szCs w:val="24"/>
        </w:rPr>
        <w:t>Indehaveren af markedsføringstilladelsen har til hensigt at støtte patienterne, så det undgås, at fostre udsættes for lenalidomid. Derfor vil indehaveren af markedsføringstilladelsen udlevere undervisningsmateriale til sundhedspersonale for at skærpe opmærksomheden på advarslerne vedrørende lenalidomids forventede teratogenicitet, for at rådgive om prævention inden behandlingen indledes, og for at rådgive om behovet for graviditetstest. Den ordinerende læge skal informere patiente</w:t>
      </w:r>
      <w:r>
        <w:rPr>
          <w:sz w:val="24"/>
          <w:szCs w:val="24"/>
        </w:rPr>
        <w:t>n</w:t>
      </w:r>
      <w:r w:rsidRPr="00C405D2">
        <w:rPr>
          <w:sz w:val="24"/>
          <w:szCs w:val="24"/>
        </w:rPr>
        <w:t xml:space="preserve"> om den forventede teratogene risiko og de strenge krav til at forebygge graviditet, som specificeret i "Programmet til svangerskabsforebyggelse", og give patienterne hensigtsmæssigt informationsmateriale, patientkort og/eller tilsvarende redskaber </w:t>
      </w:r>
      <w:r w:rsidRPr="00BB4800">
        <w:rPr>
          <w:sz w:val="24"/>
          <w:szCs w:val="24"/>
        </w:rPr>
        <w:t xml:space="preserve">af </w:t>
      </w:r>
      <w:r w:rsidRPr="00FB409F">
        <w:rPr>
          <w:sz w:val="24"/>
          <w:szCs w:val="24"/>
        </w:rPr>
        <w:t>relevans til patienten efter aftale med den nationale kompetente myndighed</w:t>
      </w:r>
      <w:r w:rsidRPr="00755824">
        <w:rPr>
          <w:sz w:val="24"/>
          <w:szCs w:val="24"/>
        </w:rPr>
        <w:t xml:space="preserve">. </w:t>
      </w:r>
      <w:r w:rsidRPr="00FB409F">
        <w:rPr>
          <w:sz w:val="24"/>
          <w:szCs w:val="24"/>
        </w:rPr>
        <w:t>Der er blevet implementeret et kontrolleret adgangsprogram i samarbejde med hver nationale kompetente myndighed, som</w:t>
      </w:r>
      <w:r w:rsidRPr="00755824">
        <w:rPr>
          <w:sz w:val="24"/>
          <w:szCs w:val="24"/>
        </w:rPr>
        <w:t xml:space="preserve"> omfatter anvendelse</w:t>
      </w:r>
      <w:r w:rsidRPr="00C405D2">
        <w:rPr>
          <w:sz w:val="24"/>
          <w:szCs w:val="24"/>
        </w:rPr>
        <w:t xml:space="preserve"> af et patientkort og/eller tilsvarende redskab for kontrol af ordination og udlevering samt indsamling af </w:t>
      </w:r>
      <w:r>
        <w:rPr>
          <w:sz w:val="24"/>
          <w:szCs w:val="24"/>
        </w:rPr>
        <w:t>information</w:t>
      </w:r>
      <w:r w:rsidRPr="00C405D2">
        <w:rPr>
          <w:sz w:val="24"/>
          <w:szCs w:val="24"/>
        </w:rPr>
        <w:t xml:space="preserve"> i relation til indikationen for at monitorere </w:t>
      </w:r>
      <w:r w:rsidRPr="00C405D2">
        <w:rPr>
          <w:i/>
          <w:sz w:val="24"/>
          <w:szCs w:val="24"/>
        </w:rPr>
        <w:t>off label</w:t>
      </w:r>
      <w:r w:rsidRPr="00C405D2">
        <w:rPr>
          <w:sz w:val="24"/>
          <w:szCs w:val="24"/>
        </w:rPr>
        <w:t>-anvendelse i det pågældende land. Ideelt bør graviditetstest, ordination og udlevering foregå samme dag. Udlevering af lenalidomid til kvinder i den fertile alder bør finde sted inden for 7 dage efter ordinationen, og efter en sundhedsperson har konstateret en negativ graviditetstest.</w:t>
      </w:r>
      <w:r w:rsidRPr="00562E7E">
        <w:rPr>
          <w:sz w:val="24"/>
          <w:szCs w:val="24"/>
        </w:rPr>
        <w:t xml:space="preserve"> Ordinationer til kvinder i den fertile alder kan kun være af en maksimal behandlingsvarighed på 4 uger i henhold til dosisregimerne for de godkendte indikationer (se pkt. 4.2), og ordinationer til alle andre patienter kan være af en maksimal behandlingsvarighed på 12 uger.</w:t>
      </w:r>
      <w:r>
        <w:rPr>
          <w:sz w:val="24"/>
          <w:szCs w:val="24"/>
        </w:rPr>
        <w:t xml:space="preserve"> </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u w:val="single"/>
        </w:rPr>
      </w:pPr>
      <w:r w:rsidRPr="00C405D2">
        <w:rPr>
          <w:sz w:val="24"/>
          <w:szCs w:val="24"/>
          <w:u w:val="single"/>
        </w:rPr>
        <w:t>Andre særlige advarsler og forsigtighedsregler vedrørende brugen</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i/>
          <w:sz w:val="24"/>
          <w:szCs w:val="24"/>
        </w:rPr>
      </w:pPr>
      <w:r w:rsidRPr="00C405D2">
        <w:rPr>
          <w:i/>
          <w:sz w:val="24"/>
          <w:szCs w:val="24"/>
        </w:rPr>
        <w:t>Myokardieinfarkt</w:t>
      </w:r>
    </w:p>
    <w:p w:rsidR="00C405D2" w:rsidRPr="00C405D2" w:rsidRDefault="00C405D2" w:rsidP="00C405D2">
      <w:pPr>
        <w:tabs>
          <w:tab w:val="left" w:pos="851"/>
        </w:tabs>
        <w:ind w:left="851"/>
        <w:rPr>
          <w:sz w:val="24"/>
          <w:szCs w:val="24"/>
        </w:rPr>
      </w:pPr>
      <w:r w:rsidRPr="00C405D2">
        <w:rPr>
          <w:sz w:val="24"/>
          <w:szCs w:val="24"/>
        </w:rPr>
        <w:t xml:space="preserve">Der er rapporteret om myokardieinfarkt hos patienter, der får lenalidomid, især hos patienter med kendte risikofaktorer, og i løbet af de første 12 måneder, når det bruges i kombination med dexamethason. Patienter med kendte risikofaktorer, herunder tidligere trombose, bør monitoreres nøje, og der bør træffes foranstaltninger til at forsøge at </w:t>
      </w:r>
      <w:r w:rsidRPr="00C405D2">
        <w:rPr>
          <w:sz w:val="24"/>
          <w:szCs w:val="24"/>
        </w:rPr>
        <w:lastRenderedPageBreak/>
        <w:t>minimere alle de risikofaktorer, som kan ændres (f.eks. rygning, hypertension og hyperlipidæmi).</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i/>
          <w:sz w:val="24"/>
          <w:szCs w:val="24"/>
        </w:rPr>
      </w:pPr>
      <w:r w:rsidRPr="00C405D2">
        <w:rPr>
          <w:i/>
          <w:sz w:val="24"/>
          <w:szCs w:val="24"/>
        </w:rPr>
        <w:t>Venøse og arterielle tromboemboliske hændelser</w:t>
      </w:r>
    </w:p>
    <w:p w:rsidR="00C405D2" w:rsidRPr="00C405D2" w:rsidRDefault="00C405D2" w:rsidP="00C405D2">
      <w:pPr>
        <w:tabs>
          <w:tab w:val="left" w:pos="851"/>
        </w:tabs>
        <w:ind w:left="851"/>
        <w:rPr>
          <w:sz w:val="24"/>
          <w:szCs w:val="24"/>
        </w:rPr>
      </w:pPr>
      <w:r w:rsidRPr="00C405D2">
        <w:rPr>
          <w:sz w:val="24"/>
          <w:szCs w:val="24"/>
        </w:rPr>
        <w:t>Kombinationen af lenalidomid og dexamethason er forbundet med en øget risiko for venøs tromboemboli (hovedsageligt dyb venetrombose og lungeemboli). Risikoen for venøs tromboemboli blev observeret i mindre grad med lenalidomid i kombination med melphalan og prednison.</w:t>
      </w:r>
    </w:p>
    <w:p w:rsidR="00C405D2" w:rsidRPr="00C405D2" w:rsidRDefault="00C405D2" w:rsidP="00C405D2">
      <w:pPr>
        <w:tabs>
          <w:tab w:val="left" w:pos="851"/>
        </w:tabs>
        <w:ind w:left="851"/>
        <w:rPr>
          <w:sz w:val="24"/>
          <w:szCs w:val="24"/>
        </w:rPr>
      </w:pPr>
    </w:p>
    <w:p w:rsidR="00B85B64" w:rsidRPr="00C405D2" w:rsidRDefault="00B85B64" w:rsidP="00B85B64">
      <w:pPr>
        <w:tabs>
          <w:tab w:val="left" w:pos="851"/>
        </w:tabs>
        <w:ind w:left="851"/>
        <w:rPr>
          <w:sz w:val="24"/>
          <w:szCs w:val="24"/>
        </w:rPr>
      </w:pPr>
      <w:r w:rsidRPr="00C405D2">
        <w:rPr>
          <w:sz w:val="24"/>
          <w:szCs w:val="24"/>
        </w:rPr>
        <w:t>Hos patienter med myelomatose</w:t>
      </w:r>
      <w:r>
        <w:rPr>
          <w:sz w:val="24"/>
          <w:szCs w:val="24"/>
        </w:rPr>
        <w:t xml:space="preserve">, myelodysplastisk syndrom eller mantle celle lymfom </w:t>
      </w:r>
      <w:r w:rsidRPr="00C405D2">
        <w:rPr>
          <w:sz w:val="24"/>
          <w:szCs w:val="24"/>
        </w:rPr>
        <w:t>var behandling med lenalidomid-monoterapi forbundet med en lavere risiko for venøs tromboemboli (hovedsageligt dyb venetrombose og lungeemboli) end hos patienter med myelomatose, som blev behandlet med lenalidomid i kombinationsbehandling (se pkt. 4.5 og 4.8).</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Hos patienter med myelomatose er kombination af lenalidomid og dexamethason forbundet med en øget risiko for arteriel tromboemboli (hovedsageligt myokardieinfarkt og cerebrovaskulær hændelse). Dette blev observeret i mindre grad ved lenalidomid-behandling i kombination med melphalan og prednison. Risikoen for arteriel tromboemboli er mindre hos patienter med myelomatose, der behandles med lenalidomid-monoterapi, end hos patienter med myelomatose, der behandles med lenalidomid i kombinationsbehandling.</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Som følge deraf bør patienter med kendte risikofaktorer, herunder tidligere trombose, monitoreres nøje. Der bør træffes foranstaltninger til at forsøge at minimere alle de risikofaktorer, som kan ændres (f.eks. rygning, hypertension og hyperlipidæmi). Samtidig administration af erytropoietiner eller tromboemboliske hændelser i anamnesen kan også øge risikoen for trombose hos disse patienter. Derfor bør erytropoietiner eller andre stoffer, som kan øge risikoen for trombose, som f.eks. hormonsubstitutionsbehandling, anvendes med forsigtighed hos patienter med myelomatose, som får lenalidomid sammen med dexamethason. Hvis hæmoglobinkoncentrationen stiger til over 12 g/dl (7,4 mmol/l), bør behandlingen med erytropoietiner seponeres.</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Patienter og læger rådes til at holde øje med tegn og symptomer på tromboemboli. Patienterne bør instrueres i at søge læge, hvis de udvikler symptomer som åndenød, brystsmerter eller hævede arme eller ben. Profylaktiske antitrombotiske lægemidler bør anbefales, især til patienter med yderligere trombotiske risikofaktorer. Beslutningen om antitrombotiske, profylaktiske forholdsregler bør træffes efter omhyggelig vurdering af den individuelle patients underliggende risikofaktorer.</w:t>
      </w:r>
    </w:p>
    <w:p w:rsidR="00C405D2" w:rsidRPr="00C405D2" w:rsidRDefault="00C405D2" w:rsidP="00C405D2">
      <w:pPr>
        <w:tabs>
          <w:tab w:val="left" w:pos="851"/>
        </w:tabs>
        <w:ind w:left="851"/>
        <w:rPr>
          <w:sz w:val="24"/>
          <w:szCs w:val="24"/>
        </w:rPr>
      </w:pPr>
    </w:p>
    <w:p w:rsidR="00C405D2" w:rsidRDefault="00C405D2" w:rsidP="00C405D2">
      <w:pPr>
        <w:tabs>
          <w:tab w:val="left" w:pos="851"/>
        </w:tabs>
        <w:ind w:left="851"/>
        <w:rPr>
          <w:sz w:val="24"/>
          <w:szCs w:val="24"/>
        </w:rPr>
      </w:pPr>
      <w:r w:rsidRPr="00C405D2">
        <w:rPr>
          <w:sz w:val="24"/>
          <w:szCs w:val="24"/>
        </w:rPr>
        <w:t>Hvis patienten får en tromboembolisk hændelse, skal behandlingen seponeres, og standard antikoagulationsbehandling iværksættes. Når patienten er blevet stabiliseret på antikoagulationsbehandlingen, og alle komplikationer til den tromboemboliske hændelse er blevet behandlet, kan lenalidomid-behandlingen genoptages med den oprindelige dosis baseret på en vurdering af risici i forhold til fordele. Patienten bør fortsætte med antikoagulationsbehandlingen under lenalidomid-behandlingen.</w:t>
      </w:r>
    </w:p>
    <w:p w:rsidR="00562E7E" w:rsidRDefault="00562E7E" w:rsidP="00C405D2">
      <w:pPr>
        <w:tabs>
          <w:tab w:val="left" w:pos="851"/>
        </w:tabs>
        <w:ind w:left="851"/>
        <w:rPr>
          <w:sz w:val="24"/>
          <w:szCs w:val="24"/>
        </w:rPr>
      </w:pPr>
    </w:p>
    <w:p w:rsidR="00562E7E" w:rsidRPr="00562E7E" w:rsidRDefault="00562E7E" w:rsidP="00562E7E">
      <w:pPr>
        <w:suppressAutoHyphens/>
        <w:ind w:left="851"/>
        <w:rPr>
          <w:i/>
          <w:sz w:val="24"/>
          <w:szCs w:val="24"/>
        </w:rPr>
      </w:pPr>
      <w:r w:rsidRPr="00562E7E">
        <w:rPr>
          <w:i/>
          <w:sz w:val="24"/>
          <w:szCs w:val="24"/>
        </w:rPr>
        <w:t xml:space="preserve">Pulmonal hypertension </w:t>
      </w:r>
    </w:p>
    <w:p w:rsidR="00562E7E" w:rsidRPr="00562E7E" w:rsidRDefault="00562E7E" w:rsidP="00562E7E">
      <w:pPr>
        <w:suppressAutoHyphens/>
        <w:ind w:left="851"/>
        <w:rPr>
          <w:sz w:val="24"/>
          <w:szCs w:val="24"/>
        </w:rPr>
      </w:pPr>
      <w:r w:rsidRPr="00562E7E">
        <w:rPr>
          <w:sz w:val="24"/>
          <w:szCs w:val="24"/>
        </w:rPr>
        <w:t xml:space="preserve">Der er rapporteret tilfælde af pulmonal hypertension, nogle dødelige, hos patienter behandlet med lenalidomid. Patienterne bør evalueres for tegn og symptomer på </w:t>
      </w:r>
      <w:r w:rsidRPr="00562E7E">
        <w:rPr>
          <w:sz w:val="24"/>
          <w:szCs w:val="24"/>
        </w:rPr>
        <w:lastRenderedPageBreak/>
        <w:t xml:space="preserve">underliggende kardiopulmonal sygdom før påbegyndelse af og under behandling med lenalidomid. </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i/>
          <w:sz w:val="24"/>
          <w:szCs w:val="24"/>
        </w:rPr>
      </w:pPr>
      <w:r w:rsidRPr="00C405D2">
        <w:rPr>
          <w:i/>
          <w:sz w:val="24"/>
          <w:szCs w:val="24"/>
        </w:rPr>
        <w:t>Neutropeni og trombocytopeni</w:t>
      </w:r>
    </w:p>
    <w:p w:rsidR="00B85B64" w:rsidRPr="00562E7E" w:rsidRDefault="00B85B64" w:rsidP="00B85B64">
      <w:pPr>
        <w:suppressAutoHyphens/>
        <w:ind w:left="851"/>
        <w:rPr>
          <w:sz w:val="24"/>
          <w:szCs w:val="24"/>
        </w:rPr>
      </w:pPr>
      <w:r w:rsidRPr="00562E7E">
        <w:rPr>
          <w:sz w:val="24"/>
          <w:szCs w:val="24"/>
        </w:rPr>
        <w:t xml:space="preserve">Lenalidomids primære, dosisbegrænsende toksiciteter er neutropeni og trombocytopeni. Der skal foretages komplet blodtælling, herunder tælling af hvide blodlegemer med differentialtælling, trombocyttal, hæmoglobin og hæmatokrit ved </w:t>
      </w:r>
      <w:r w:rsidRPr="00562E7E">
        <w:rPr>
          <w:i/>
          <w:sz w:val="24"/>
          <w:szCs w:val="24"/>
        </w:rPr>
        <w:t>baseline</w:t>
      </w:r>
      <w:r w:rsidRPr="00562E7E">
        <w:rPr>
          <w:sz w:val="24"/>
          <w:szCs w:val="24"/>
        </w:rPr>
        <w:t xml:space="preserve">, hver uge i de første 8 uger af lenalidomid-behandlingen og derefter månedligt for at kontrollere for cytopeni. </w:t>
      </w:r>
      <w:r w:rsidRPr="005524AB">
        <w:rPr>
          <w:sz w:val="24"/>
          <w:szCs w:val="24"/>
          <w:lang w:eastAsia="da-DK"/>
        </w:rPr>
        <w:t>Hos patienter med mantle celle lymfom skal monitoreringsfrekvensen være hver 2. uge i cyklus 3 og 4 og derefter ved start af hver cyklus.</w:t>
      </w:r>
      <w:r>
        <w:rPr>
          <w:sz w:val="24"/>
          <w:szCs w:val="24"/>
          <w:lang w:eastAsia="da-DK"/>
        </w:rPr>
        <w:t xml:space="preserve"> </w:t>
      </w:r>
      <w:r w:rsidRPr="00562E7E">
        <w:rPr>
          <w:sz w:val="24"/>
          <w:szCs w:val="24"/>
        </w:rPr>
        <w:t>Hos patienter med follikulært lymfom skal overvågningsplanen være ugentligt de første 3 uger af cyklus 1 (28 dage), hver 2. uge i løbet af cyklus 2 til og med cyklus 4 og derefter ved starten af hver cyklus. Det kan være nødvendigt med en dosisafbrydelse og/eller dosisreduktion (se pkt. 4.2).</w:t>
      </w:r>
    </w:p>
    <w:p w:rsidR="00B85B64" w:rsidRPr="00562E7E" w:rsidRDefault="00B85B64" w:rsidP="00562E7E">
      <w:pPr>
        <w:suppressAutoHyphens/>
        <w:ind w:left="851"/>
        <w:rPr>
          <w:sz w:val="24"/>
          <w:szCs w:val="24"/>
        </w:rPr>
      </w:pPr>
    </w:p>
    <w:p w:rsidR="00562E7E" w:rsidRPr="00562E7E" w:rsidRDefault="00562E7E" w:rsidP="00562E7E">
      <w:pPr>
        <w:suppressAutoHyphens/>
        <w:ind w:left="851"/>
        <w:rPr>
          <w:sz w:val="24"/>
          <w:szCs w:val="24"/>
        </w:rPr>
      </w:pPr>
      <w:r w:rsidRPr="00562E7E">
        <w:rPr>
          <w:sz w:val="24"/>
          <w:szCs w:val="24"/>
        </w:rPr>
        <w:t>I tilfælde af neutropeni bør lægen overveje at anvende vækstfaktorer i behandlingen af patienten. Patienterne bør rådes til straks at rapportere febrile episoder.</w:t>
      </w:r>
    </w:p>
    <w:p w:rsidR="00C405D2" w:rsidRPr="00C405D2" w:rsidRDefault="00C405D2" w:rsidP="00562E7E">
      <w:pPr>
        <w:tabs>
          <w:tab w:val="left" w:pos="851"/>
        </w:tabs>
        <w:ind w:left="851"/>
        <w:rPr>
          <w:sz w:val="24"/>
          <w:szCs w:val="24"/>
        </w:rPr>
      </w:pPr>
      <w:r w:rsidRPr="00C405D2">
        <w:rPr>
          <w:sz w:val="24"/>
          <w:szCs w:val="24"/>
        </w:rPr>
        <w:t>Patienter og læger rådes til at være opmærksomme på tegn og symptomer på blødning, herunder petecchier og næseblod, især hos patienter, der samtidig får medicin med tendens til at inducere blødning (se pkt. 4.8 Blødningsforstyrrelser).</w:t>
      </w:r>
    </w:p>
    <w:p w:rsidR="00C405D2" w:rsidRPr="00C405D2" w:rsidRDefault="00C405D2" w:rsidP="00C405D2">
      <w:pPr>
        <w:tabs>
          <w:tab w:val="left" w:pos="851"/>
        </w:tabs>
        <w:ind w:left="851"/>
        <w:rPr>
          <w:sz w:val="24"/>
          <w:szCs w:val="24"/>
        </w:rPr>
      </w:pPr>
      <w:r w:rsidRPr="00C405D2">
        <w:rPr>
          <w:sz w:val="24"/>
          <w:szCs w:val="24"/>
        </w:rPr>
        <w:t>Samtidig administration af lenalidomid og andre myelosuppressive stoffer bør ske med forsigtighed.</w:t>
      </w:r>
    </w:p>
    <w:p w:rsidR="00C405D2" w:rsidRPr="00C405D2" w:rsidRDefault="00C405D2" w:rsidP="00C405D2">
      <w:pPr>
        <w:tabs>
          <w:tab w:val="left" w:pos="851"/>
        </w:tabs>
        <w:ind w:left="851"/>
        <w:rPr>
          <w:sz w:val="24"/>
          <w:szCs w:val="24"/>
        </w:rPr>
      </w:pPr>
    </w:p>
    <w:p w:rsidR="00C405D2" w:rsidRPr="00C405D2" w:rsidRDefault="00C405D2" w:rsidP="00F13007">
      <w:pPr>
        <w:numPr>
          <w:ilvl w:val="0"/>
          <w:numId w:val="6"/>
        </w:numPr>
        <w:tabs>
          <w:tab w:val="left" w:pos="851"/>
        </w:tabs>
        <w:ind w:left="1418" w:hanging="284"/>
        <w:rPr>
          <w:i/>
          <w:iCs/>
          <w:sz w:val="24"/>
          <w:szCs w:val="24"/>
        </w:rPr>
      </w:pPr>
      <w:r w:rsidRPr="00C405D2">
        <w:rPr>
          <w:i/>
          <w:iCs/>
          <w:sz w:val="24"/>
          <w:szCs w:val="24"/>
        </w:rPr>
        <w:t>Nydiagnosticeret myelomatose hos patienter, der har gennemgået ASCT og er i vedligeholdelsesbehandling med lenalidomid</w:t>
      </w:r>
    </w:p>
    <w:p w:rsidR="00C405D2" w:rsidRPr="00C405D2" w:rsidRDefault="00C405D2" w:rsidP="00C405D2">
      <w:pPr>
        <w:tabs>
          <w:tab w:val="left" w:pos="851"/>
        </w:tabs>
        <w:ind w:left="851"/>
        <w:rPr>
          <w:sz w:val="24"/>
          <w:szCs w:val="24"/>
        </w:rPr>
      </w:pPr>
      <w:r w:rsidRPr="00C405D2">
        <w:rPr>
          <w:sz w:val="24"/>
          <w:szCs w:val="24"/>
        </w:rPr>
        <w:t>Bivirkningerne fra CALGB 100104 omfattede bivirkninger, der blev rapporteret efter højdosis melphalan og ASCT (HDM/ASCT), samt bivirkninger fra perioden med vedligeholdelsesbehandling. En anden analyse identificerede bivirkninger, der forekom efter påbegyndelse af vedligeholdelsesbehandling. I IFM 2005-02 stammede bivirkningerne kun fra perioden med vedligeholdelsesbehandling.</w:t>
      </w:r>
    </w:p>
    <w:p w:rsidR="00C405D2" w:rsidRPr="00C405D2" w:rsidRDefault="00C405D2" w:rsidP="00C405D2">
      <w:pPr>
        <w:tabs>
          <w:tab w:val="left" w:pos="851"/>
        </w:tabs>
        <w:ind w:left="851"/>
        <w:rPr>
          <w:sz w:val="24"/>
          <w:szCs w:val="24"/>
        </w:rPr>
      </w:pPr>
    </w:p>
    <w:p w:rsidR="00C405D2" w:rsidRDefault="00C405D2" w:rsidP="00C405D2">
      <w:pPr>
        <w:tabs>
          <w:tab w:val="left" w:pos="851"/>
        </w:tabs>
        <w:ind w:left="851"/>
        <w:rPr>
          <w:sz w:val="24"/>
          <w:szCs w:val="24"/>
        </w:rPr>
      </w:pPr>
      <w:r w:rsidRPr="00C405D2">
        <w:rPr>
          <w:sz w:val="24"/>
          <w:szCs w:val="24"/>
        </w:rPr>
        <w:t xml:space="preserve">Samlet set blev grad 4 neutropeni observeret med en højere frekvens i armene med lenalidomid-vedligeholdelsesbehandling sammenlignet med armene med placebo-vedligeholdelsesbehandling i de 2 studier, der evaluerede lenalidomid-vedligeholdelsesbehandling hos NDMM-patienter, der har gennemgået ASCT (32,1 % </w:t>
      </w:r>
      <w:r w:rsidRPr="00C405D2">
        <w:rPr>
          <w:i/>
          <w:sz w:val="24"/>
          <w:szCs w:val="24"/>
        </w:rPr>
        <w:t xml:space="preserve">vs. </w:t>
      </w:r>
      <w:r w:rsidRPr="00C405D2">
        <w:rPr>
          <w:sz w:val="24"/>
          <w:szCs w:val="24"/>
        </w:rPr>
        <w:t xml:space="preserve">26,7 % [16,1 % </w:t>
      </w:r>
      <w:r w:rsidRPr="00C405D2">
        <w:rPr>
          <w:i/>
          <w:sz w:val="24"/>
          <w:szCs w:val="24"/>
        </w:rPr>
        <w:t xml:space="preserve">vs. </w:t>
      </w:r>
      <w:r w:rsidRPr="00C405D2">
        <w:rPr>
          <w:sz w:val="24"/>
          <w:szCs w:val="24"/>
        </w:rPr>
        <w:t xml:space="preserve">1,8 % efter påbegyndelse af vedligeholdelsesbehandling] i CALGB 100104 og 16,4 % </w:t>
      </w:r>
      <w:r w:rsidRPr="00C405D2">
        <w:rPr>
          <w:i/>
          <w:sz w:val="24"/>
          <w:szCs w:val="24"/>
        </w:rPr>
        <w:t xml:space="preserve">vs. </w:t>
      </w:r>
      <w:r w:rsidRPr="00C405D2">
        <w:rPr>
          <w:sz w:val="24"/>
          <w:szCs w:val="24"/>
        </w:rPr>
        <w:t xml:space="preserve">0,7 % i IFM 2005-02]. Bivirkninger på grund af behandlingsrelateret neutropeni medførte seponering af lenalidomid hos 2,2 % af patienterne i CALGB 100104 og hos 2,4 % af patienterne i IFM 2005-02. Grad 4 febril neutropeni blev rapporteret med sammenlignelige hyppigheder i armene med lenalidomid-vedligeholdelsesbehandling og placebo-vedligeholdelsesbehandling i de to studier (0,4 % </w:t>
      </w:r>
      <w:r w:rsidRPr="00C405D2">
        <w:rPr>
          <w:i/>
          <w:sz w:val="24"/>
          <w:szCs w:val="24"/>
        </w:rPr>
        <w:t xml:space="preserve">vs. </w:t>
      </w:r>
      <w:r w:rsidRPr="00C405D2">
        <w:rPr>
          <w:sz w:val="24"/>
          <w:szCs w:val="24"/>
        </w:rPr>
        <w:t xml:space="preserve">0,5 % [0,4 % </w:t>
      </w:r>
      <w:r w:rsidRPr="00C405D2">
        <w:rPr>
          <w:i/>
          <w:sz w:val="24"/>
          <w:szCs w:val="24"/>
        </w:rPr>
        <w:t xml:space="preserve">vs. </w:t>
      </w:r>
      <w:r w:rsidRPr="00C405D2">
        <w:rPr>
          <w:sz w:val="24"/>
          <w:szCs w:val="24"/>
        </w:rPr>
        <w:t xml:space="preserve">0,5 % efter påbegyndelse af vedligeholdelsesbehandling] i CALGB 100104 og 0,3 % </w:t>
      </w:r>
      <w:r w:rsidRPr="00C405D2">
        <w:rPr>
          <w:i/>
          <w:sz w:val="24"/>
          <w:szCs w:val="24"/>
        </w:rPr>
        <w:t xml:space="preserve">vs. </w:t>
      </w:r>
      <w:r w:rsidRPr="00C405D2">
        <w:rPr>
          <w:sz w:val="24"/>
          <w:szCs w:val="24"/>
        </w:rPr>
        <w:t>0 % i IFM 2005-02).</w:t>
      </w:r>
    </w:p>
    <w:p w:rsidR="00B85B64" w:rsidRPr="00C405D2" w:rsidRDefault="00B85B64"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Patienterne skal informeres om straks at rapportere febrile episoder, og behandlingsafbrydelse og/eller dosisreduktion kan være nødvendig (se pkt. 4.2).</w:t>
      </w:r>
    </w:p>
    <w:p w:rsidR="00C405D2" w:rsidRPr="00C405D2" w:rsidRDefault="00C405D2" w:rsidP="00C405D2">
      <w:pPr>
        <w:tabs>
          <w:tab w:val="left" w:pos="851"/>
        </w:tabs>
        <w:ind w:left="851"/>
        <w:rPr>
          <w:sz w:val="24"/>
          <w:szCs w:val="24"/>
        </w:rPr>
      </w:pPr>
    </w:p>
    <w:p w:rsidR="00C405D2" w:rsidRDefault="00C405D2" w:rsidP="00C405D2">
      <w:pPr>
        <w:tabs>
          <w:tab w:val="left" w:pos="851"/>
        </w:tabs>
        <w:ind w:left="851"/>
        <w:rPr>
          <w:sz w:val="24"/>
          <w:szCs w:val="24"/>
        </w:rPr>
      </w:pPr>
      <w:r w:rsidRPr="00C405D2">
        <w:rPr>
          <w:sz w:val="24"/>
          <w:szCs w:val="24"/>
        </w:rPr>
        <w:t xml:space="preserve">Grad 3 og 4 trombocytopeni blev observeret med en højere forekomst i armene med lenalidomid- vedligeholdelsesbehandling sammenlignet med armene med placebo-vedligeholdelsesbehandling i studier, der evaluerede lenalidomid-vedligeholdelsesbehandling hos NDMM-patienter, der havde gennemgået ASCT (37,5 % </w:t>
      </w:r>
      <w:r w:rsidRPr="00C405D2">
        <w:rPr>
          <w:i/>
          <w:sz w:val="24"/>
          <w:szCs w:val="24"/>
        </w:rPr>
        <w:t xml:space="preserve">vs. </w:t>
      </w:r>
      <w:r w:rsidRPr="00C405D2">
        <w:rPr>
          <w:sz w:val="24"/>
          <w:szCs w:val="24"/>
        </w:rPr>
        <w:t xml:space="preserve">30,3 % [17,9 % </w:t>
      </w:r>
      <w:r w:rsidRPr="00C405D2">
        <w:rPr>
          <w:i/>
          <w:iCs/>
          <w:sz w:val="24"/>
          <w:szCs w:val="24"/>
        </w:rPr>
        <w:t>vs.</w:t>
      </w:r>
      <w:r w:rsidRPr="00C405D2">
        <w:rPr>
          <w:sz w:val="24"/>
          <w:szCs w:val="24"/>
        </w:rPr>
        <w:t xml:space="preserve"> 4,1 % efter påbegyndelse af vedligeholdelsesbehandling] i CALGB </w:t>
      </w:r>
      <w:r w:rsidRPr="00C405D2">
        <w:rPr>
          <w:sz w:val="24"/>
          <w:szCs w:val="24"/>
        </w:rPr>
        <w:lastRenderedPageBreak/>
        <w:t xml:space="preserve">100104 og 13,0 % </w:t>
      </w:r>
      <w:r w:rsidRPr="00C405D2">
        <w:rPr>
          <w:i/>
          <w:sz w:val="24"/>
          <w:szCs w:val="24"/>
        </w:rPr>
        <w:t xml:space="preserve">vs. </w:t>
      </w:r>
      <w:r w:rsidRPr="00C405D2">
        <w:rPr>
          <w:sz w:val="24"/>
          <w:szCs w:val="24"/>
        </w:rPr>
        <w:t>2,9 % i IFM 2005-02). Patienter og læger opfordres til at være opmærksomme på tegn og symptomer på blødning, herunder petekkier og næseblod, især hos patienter, der samtidig får medicin, der øger blødningstendensen (se pkt. 4.8 "Blødningsforstyrrelser").</w:t>
      </w:r>
    </w:p>
    <w:p w:rsidR="00562E7E" w:rsidRPr="00562E7E" w:rsidRDefault="00562E7E" w:rsidP="00562E7E">
      <w:pPr>
        <w:ind w:left="851"/>
        <w:rPr>
          <w:noProof/>
          <w:sz w:val="24"/>
          <w:szCs w:val="24"/>
        </w:rPr>
      </w:pPr>
    </w:p>
    <w:p w:rsidR="00562E7E" w:rsidRPr="00562E7E" w:rsidRDefault="00562E7E" w:rsidP="00562E7E">
      <w:pPr>
        <w:numPr>
          <w:ilvl w:val="0"/>
          <w:numId w:val="12"/>
        </w:numPr>
        <w:ind w:left="1418" w:hanging="284"/>
        <w:rPr>
          <w:i/>
          <w:iCs/>
          <w:noProof/>
          <w:sz w:val="24"/>
          <w:szCs w:val="24"/>
        </w:rPr>
      </w:pPr>
      <w:r w:rsidRPr="00562E7E">
        <w:rPr>
          <w:i/>
          <w:iCs/>
          <w:noProof/>
          <w:sz w:val="24"/>
          <w:szCs w:val="24"/>
        </w:rPr>
        <w:t>Nydiagnosticeret myelomatose hos patienter, der ikke er egnede til transplantation i behandling med lenalidomid i kombination med bortezomid og dexamethason</w:t>
      </w:r>
    </w:p>
    <w:p w:rsidR="00562E7E" w:rsidRPr="00562E7E" w:rsidRDefault="00562E7E" w:rsidP="00562E7E">
      <w:pPr>
        <w:ind w:left="851"/>
        <w:rPr>
          <w:noProof/>
          <w:sz w:val="24"/>
          <w:szCs w:val="24"/>
        </w:rPr>
      </w:pPr>
      <w:r w:rsidRPr="00562E7E">
        <w:rPr>
          <w:noProof/>
          <w:sz w:val="24"/>
          <w:szCs w:val="24"/>
        </w:rPr>
        <w:t xml:space="preserve">Grad 4 neutropeni blev observeret med en lavere hyppighed i armen med lenalidomid i kombination med bortezomib og dexamethason (RVd), sammenlignet med Rd-komparatorarmen (2,7 % vs. 5,9 %) i SWOG S0777-studiet. Grad 4 febril neutropeni blev rapporteret med tilsvarende hyppigheder i RVdarmen og Rd-armen (0,0 % vs. 0,4 %). Patienterne skal informeres om straks at rapportere febrile episoder. Afbrydelse af behandlingen og/eller dosisreduktion kan være nødvendig (se pkt. 4.2). </w:t>
      </w:r>
    </w:p>
    <w:p w:rsidR="00562E7E" w:rsidRPr="00562E7E" w:rsidRDefault="00562E7E" w:rsidP="00562E7E">
      <w:pPr>
        <w:ind w:left="851"/>
        <w:rPr>
          <w:noProof/>
          <w:sz w:val="24"/>
          <w:szCs w:val="24"/>
        </w:rPr>
      </w:pPr>
      <w:r w:rsidRPr="00562E7E">
        <w:rPr>
          <w:noProof/>
          <w:sz w:val="24"/>
          <w:szCs w:val="24"/>
        </w:rPr>
        <w:t xml:space="preserve"> </w:t>
      </w:r>
    </w:p>
    <w:p w:rsidR="00562E7E" w:rsidRPr="00562E7E" w:rsidRDefault="00562E7E" w:rsidP="00562E7E">
      <w:pPr>
        <w:ind w:left="851"/>
        <w:rPr>
          <w:noProof/>
          <w:sz w:val="24"/>
          <w:szCs w:val="24"/>
        </w:rPr>
      </w:pPr>
      <w:r w:rsidRPr="00562E7E">
        <w:rPr>
          <w:noProof/>
          <w:sz w:val="24"/>
          <w:szCs w:val="24"/>
        </w:rPr>
        <w:t xml:space="preserve">Grad 3 eller 4 trombocytopeni blev observeret med en højere hyppighed i RVd-armen, i forhold til Rdkomparatorarmen (17,2 % vs. 9,4 %). </w:t>
      </w:r>
    </w:p>
    <w:p w:rsidR="00C405D2" w:rsidRPr="00C405D2" w:rsidRDefault="00C405D2" w:rsidP="00C405D2">
      <w:pPr>
        <w:tabs>
          <w:tab w:val="left" w:pos="851"/>
        </w:tabs>
        <w:ind w:left="851"/>
        <w:rPr>
          <w:sz w:val="24"/>
          <w:szCs w:val="24"/>
        </w:rPr>
      </w:pPr>
    </w:p>
    <w:p w:rsidR="00C405D2" w:rsidRPr="00C405D2" w:rsidRDefault="00C405D2" w:rsidP="00F13007">
      <w:pPr>
        <w:numPr>
          <w:ilvl w:val="0"/>
          <w:numId w:val="6"/>
        </w:numPr>
        <w:tabs>
          <w:tab w:val="left" w:pos="851"/>
        </w:tabs>
        <w:ind w:left="1418" w:hanging="284"/>
        <w:rPr>
          <w:i/>
          <w:iCs/>
          <w:sz w:val="24"/>
          <w:szCs w:val="24"/>
        </w:rPr>
      </w:pPr>
      <w:r w:rsidRPr="00C405D2">
        <w:rPr>
          <w:i/>
          <w:iCs/>
          <w:sz w:val="24"/>
          <w:szCs w:val="24"/>
        </w:rPr>
        <w:t>Nydiagnosticeret myelomatose hos patienter, der ikke er egnede til transplantation, og som er i behandling med lenalidomid i kombination med lavdosis dexamethason</w:t>
      </w:r>
    </w:p>
    <w:p w:rsidR="00C405D2" w:rsidRPr="00C405D2" w:rsidRDefault="00C405D2" w:rsidP="00C405D2">
      <w:pPr>
        <w:tabs>
          <w:tab w:val="left" w:pos="851"/>
        </w:tabs>
        <w:ind w:left="851"/>
        <w:rPr>
          <w:sz w:val="24"/>
          <w:szCs w:val="24"/>
        </w:rPr>
      </w:pPr>
      <w:r w:rsidRPr="00C405D2">
        <w:rPr>
          <w:sz w:val="24"/>
          <w:szCs w:val="24"/>
        </w:rPr>
        <w:t>Grad 4 neutropeni blev observeret i lenalidomid-armene i kombination med dexamethason i mindre grad end i den sammenlignende arm (8,5 % i Rd [kontinuerlig behandling] og Rd18 [behandling i 18 4</w:t>
      </w:r>
      <w:r w:rsidRPr="00C405D2">
        <w:rPr>
          <w:sz w:val="24"/>
          <w:szCs w:val="24"/>
        </w:rPr>
        <w:noBreakHyphen/>
        <w:t>ugers cyklusser], sammenlignet med 15 % i armen med melphalan/prednison/thalidomid, se pkt. 4.8). Episoder med grad 4 febril neutropeni var i overensstemmelse med den sammenlignende arm (0,6 % hos Rd- og Rd18</w:t>
      </w:r>
      <w:r w:rsidRPr="00C405D2">
        <w:rPr>
          <w:sz w:val="24"/>
          <w:szCs w:val="24"/>
        </w:rPr>
        <w:noBreakHyphen/>
        <w:t>patienter i behandling med lenalidomid/dexamethason, sammenlignet med 0,7 % i armen med melphalan/prednison/thalidomid, se pkt. 4.8).</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Grad 3 eller 4 trombocytopeni blev observeret i mindre grad i Rd- og Rd18</w:t>
      </w:r>
      <w:r w:rsidRPr="00C405D2">
        <w:rPr>
          <w:sz w:val="24"/>
          <w:szCs w:val="24"/>
        </w:rPr>
        <w:noBreakHyphen/>
        <w:t xml:space="preserve">armene, i forhold til den sammenlignende arm (hhv. 8,1 % </w:t>
      </w:r>
      <w:r w:rsidRPr="00C405D2">
        <w:rPr>
          <w:i/>
          <w:sz w:val="24"/>
          <w:szCs w:val="24"/>
        </w:rPr>
        <w:t xml:space="preserve">vs. </w:t>
      </w:r>
      <w:r w:rsidRPr="00C405D2">
        <w:rPr>
          <w:sz w:val="24"/>
          <w:szCs w:val="24"/>
        </w:rPr>
        <w:t>11,1 %).</w:t>
      </w:r>
    </w:p>
    <w:p w:rsidR="00C405D2" w:rsidRPr="00C405D2" w:rsidRDefault="00C405D2" w:rsidP="00C405D2">
      <w:pPr>
        <w:tabs>
          <w:tab w:val="left" w:pos="851"/>
        </w:tabs>
        <w:ind w:left="851"/>
        <w:rPr>
          <w:sz w:val="24"/>
          <w:szCs w:val="24"/>
        </w:rPr>
      </w:pPr>
    </w:p>
    <w:p w:rsidR="00C405D2" w:rsidRPr="00C405D2" w:rsidRDefault="00C405D2" w:rsidP="00F13007">
      <w:pPr>
        <w:numPr>
          <w:ilvl w:val="0"/>
          <w:numId w:val="6"/>
        </w:numPr>
        <w:tabs>
          <w:tab w:val="left" w:pos="851"/>
        </w:tabs>
        <w:ind w:left="1418" w:hanging="284"/>
        <w:rPr>
          <w:i/>
          <w:iCs/>
          <w:sz w:val="24"/>
          <w:szCs w:val="24"/>
        </w:rPr>
      </w:pPr>
      <w:r w:rsidRPr="00C405D2">
        <w:rPr>
          <w:i/>
          <w:iCs/>
          <w:sz w:val="24"/>
          <w:szCs w:val="24"/>
        </w:rPr>
        <w:t>Nydiagnosticeret myelomatose hos patienter, der ikke er egnede til transplantation, og som er i behandling med lenalidomid i kombination med melphalan og prednison</w:t>
      </w:r>
    </w:p>
    <w:p w:rsidR="00C405D2" w:rsidRPr="00C405D2" w:rsidRDefault="00C405D2" w:rsidP="00C405D2">
      <w:pPr>
        <w:tabs>
          <w:tab w:val="left" w:pos="851"/>
        </w:tabs>
        <w:ind w:left="851"/>
        <w:rPr>
          <w:sz w:val="24"/>
          <w:szCs w:val="24"/>
        </w:rPr>
      </w:pPr>
      <w:r w:rsidRPr="00C405D2">
        <w:rPr>
          <w:sz w:val="24"/>
          <w:szCs w:val="24"/>
        </w:rPr>
        <w:t>Kombinationen af lenalidomid sammen med melphalan og prednison i kliniske studier hos patienter med nydiagnosticeret myelomatose er forbundet med en større forekomst af grad 4 neutropeni (34,1 % i armen med melphalan, prednison og lenalidomid, efterfulgt af lenalidomid [MPR+R] og melphalan, prednison og lenalidomid, efterfulgt af patienter i behandling med placebo [MPR+p], sammenlignet med 7,8 % hos patienter i behandling med MPp+p. Se pkt. 4.8). Episoder med grad 4 febril neutropeni blev ikke observeret hyppigt (1,7 % hos patienter i behandling med MPR+R/MPR+p, sammenlignet med 0,0 % hos patienter i behandling med MPp+p, se pkt. 4.8).</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Kombinationen af lenalidomid sammen med melphalan og prednison hos patienter med myelomatose er forbundet med en større forekomst af grad 3 og grad 4 trombocytopeni (40,4 % hos patienter i behandling med MPR+R/MPR+p, sammenlignet med 13,7 % hos patienter i behandling med MPp+p-. Se pkt. 4.8).</w:t>
      </w:r>
    </w:p>
    <w:p w:rsidR="00C405D2" w:rsidRPr="00C405D2" w:rsidRDefault="00C405D2" w:rsidP="00C405D2">
      <w:pPr>
        <w:tabs>
          <w:tab w:val="left" w:pos="851"/>
        </w:tabs>
        <w:ind w:left="851"/>
        <w:rPr>
          <w:sz w:val="24"/>
          <w:szCs w:val="24"/>
        </w:rPr>
      </w:pPr>
    </w:p>
    <w:p w:rsidR="00C405D2" w:rsidRPr="00C405D2" w:rsidRDefault="00C405D2" w:rsidP="00F13007">
      <w:pPr>
        <w:numPr>
          <w:ilvl w:val="0"/>
          <w:numId w:val="6"/>
        </w:numPr>
        <w:tabs>
          <w:tab w:val="left" w:pos="851"/>
        </w:tabs>
        <w:ind w:left="1418" w:hanging="425"/>
        <w:rPr>
          <w:i/>
          <w:iCs/>
          <w:sz w:val="24"/>
          <w:szCs w:val="24"/>
        </w:rPr>
      </w:pPr>
      <w:r w:rsidRPr="00C405D2">
        <w:rPr>
          <w:i/>
          <w:iCs/>
          <w:sz w:val="24"/>
          <w:szCs w:val="24"/>
        </w:rPr>
        <w:t>Myelomatose hos patienter, der har fået mindst en tidligere behandling</w:t>
      </w:r>
    </w:p>
    <w:p w:rsidR="00C405D2" w:rsidRPr="00C405D2" w:rsidRDefault="00C405D2" w:rsidP="00C405D2">
      <w:pPr>
        <w:tabs>
          <w:tab w:val="left" w:pos="851"/>
        </w:tabs>
        <w:ind w:left="851"/>
        <w:rPr>
          <w:sz w:val="24"/>
          <w:szCs w:val="24"/>
        </w:rPr>
      </w:pPr>
      <w:r w:rsidRPr="00C405D2">
        <w:rPr>
          <w:sz w:val="24"/>
          <w:szCs w:val="24"/>
        </w:rPr>
        <w:t xml:space="preserve">Kombination af lenalidomid sammen med dexamethason hos patienter med myelomatose med mindst en tidligere behandling er forbundet med en højere forekomst af grad 4 neutropeni (5,1 % hos patienter, som blev behandlet med lenalidomid/dexamethason, sammenlignet med 0,6 % hos patienter, som blev behandlet med placebo/dexamethason. </w:t>
      </w:r>
      <w:r w:rsidRPr="00C405D2">
        <w:rPr>
          <w:sz w:val="24"/>
          <w:szCs w:val="24"/>
        </w:rPr>
        <w:lastRenderedPageBreak/>
        <w:t>Se pkt. 4.8). Episoder af grad 4 febril neutropeni blev observeret mindre hyppigt (0,6 % hos patienter, som blev behandlet med lenalidomid/dexamethason, sammenlignet med 0,0 % hos patienter, som blev behandlet med placebo/dexamethason. Se pkt. 4.8).</w:t>
      </w:r>
    </w:p>
    <w:p w:rsidR="00C405D2" w:rsidRPr="00C405D2" w:rsidRDefault="00C405D2" w:rsidP="00C405D2">
      <w:pPr>
        <w:tabs>
          <w:tab w:val="left" w:pos="851"/>
        </w:tabs>
        <w:ind w:left="851"/>
        <w:rPr>
          <w:sz w:val="24"/>
          <w:szCs w:val="24"/>
        </w:rPr>
      </w:pPr>
    </w:p>
    <w:p w:rsidR="00C405D2" w:rsidRDefault="00C405D2" w:rsidP="00C405D2">
      <w:pPr>
        <w:tabs>
          <w:tab w:val="left" w:pos="851"/>
        </w:tabs>
        <w:ind w:left="851"/>
        <w:rPr>
          <w:sz w:val="24"/>
          <w:szCs w:val="24"/>
        </w:rPr>
      </w:pPr>
      <w:r w:rsidRPr="00C405D2">
        <w:rPr>
          <w:sz w:val="24"/>
          <w:szCs w:val="24"/>
        </w:rPr>
        <w:t>Hos patienter med myelomatose er kombination af lenalidomid sammen med dexamethason forbundet med en højere forekomst af grad 3 og grad 4 trombocytopeni (henholdsvis 9,9 % og 1,4 % hos patienter, som blev behandlet med lenalidomid/dexamethason, sammenlignet med 2,3 % og 0,0 % hos patienter, som blev behandlet med placebo/dexamethason, se pkt. 4.8).</w:t>
      </w:r>
    </w:p>
    <w:p w:rsidR="00B85B64" w:rsidRPr="00A1658B" w:rsidRDefault="00B85B64" w:rsidP="00B85B64">
      <w:pPr>
        <w:pStyle w:val="Listeafsnit"/>
        <w:numPr>
          <w:ilvl w:val="0"/>
          <w:numId w:val="15"/>
        </w:numPr>
        <w:tabs>
          <w:tab w:val="left" w:pos="720"/>
        </w:tabs>
        <w:suppressAutoHyphens/>
        <w:ind w:left="1350" w:hanging="270"/>
        <w:rPr>
          <w:i/>
          <w:iCs/>
          <w:sz w:val="24"/>
          <w:szCs w:val="24"/>
        </w:rPr>
      </w:pPr>
      <w:r w:rsidRPr="00A1658B">
        <w:rPr>
          <w:i/>
          <w:iCs/>
          <w:sz w:val="24"/>
          <w:szCs w:val="24"/>
        </w:rPr>
        <w:t xml:space="preserve">Myelodyslplastisk syndrom </w:t>
      </w:r>
    </w:p>
    <w:p w:rsidR="00B85B64" w:rsidRDefault="00B85B64" w:rsidP="00B85B64">
      <w:pPr>
        <w:autoSpaceDE w:val="0"/>
        <w:autoSpaceDN w:val="0"/>
        <w:adjustRightInd w:val="0"/>
        <w:ind w:left="850"/>
        <w:rPr>
          <w:i/>
          <w:iCs/>
          <w:sz w:val="24"/>
          <w:szCs w:val="24"/>
        </w:rPr>
      </w:pPr>
      <w:r w:rsidRPr="005524AB">
        <w:rPr>
          <w:sz w:val="24"/>
          <w:szCs w:val="24"/>
          <w:lang w:eastAsia="da-DK"/>
        </w:rPr>
        <w:t>Hos patienter med myelodysplastisk syndrom er lenalidomidbehandling forbundet med en højere</w:t>
      </w:r>
      <w:r>
        <w:rPr>
          <w:sz w:val="24"/>
          <w:szCs w:val="24"/>
          <w:lang w:eastAsia="da-DK"/>
        </w:rPr>
        <w:t xml:space="preserve"> </w:t>
      </w:r>
      <w:r w:rsidRPr="005524AB">
        <w:rPr>
          <w:sz w:val="24"/>
          <w:szCs w:val="24"/>
          <w:lang w:eastAsia="da-DK"/>
        </w:rPr>
        <w:t>forekomst af grad 3 og 4 neutropeni og trombocytopeni sammenlignet med patienter, der får placebo</w:t>
      </w:r>
      <w:r>
        <w:rPr>
          <w:sz w:val="24"/>
          <w:szCs w:val="24"/>
          <w:lang w:eastAsia="da-DK"/>
        </w:rPr>
        <w:t xml:space="preserve"> </w:t>
      </w:r>
      <w:r w:rsidRPr="005524AB">
        <w:rPr>
          <w:sz w:val="24"/>
          <w:szCs w:val="24"/>
          <w:lang w:eastAsia="da-DK"/>
        </w:rPr>
        <w:t>(se pkt. 4.8).</w:t>
      </w:r>
      <w:r>
        <w:rPr>
          <w:sz w:val="24"/>
          <w:szCs w:val="24"/>
          <w:lang w:eastAsia="da-DK"/>
        </w:rPr>
        <w:br/>
      </w:r>
    </w:p>
    <w:p w:rsidR="00B85B64" w:rsidRPr="005524AB" w:rsidRDefault="00B85B64" w:rsidP="00B85B64">
      <w:pPr>
        <w:pStyle w:val="Listeafsnit"/>
        <w:numPr>
          <w:ilvl w:val="0"/>
          <w:numId w:val="15"/>
        </w:numPr>
        <w:tabs>
          <w:tab w:val="left" w:pos="720"/>
        </w:tabs>
        <w:suppressAutoHyphens/>
        <w:autoSpaceDE w:val="0"/>
        <w:autoSpaceDN w:val="0"/>
        <w:adjustRightInd w:val="0"/>
        <w:ind w:left="1350" w:hanging="270"/>
        <w:rPr>
          <w:sz w:val="24"/>
          <w:szCs w:val="24"/>
          <w:lang w:eastAsia="da-DK"/>
        </w:rPr>
      </w:pPr>
      <w:r w:rsidRPr="00A1658B">
        <w:rPr>
          <w:i/>
          <w:iCs/>
          <w:sz w:val="24"/>
          <w:szCs w:val="24"/>
        </w:rPr>
        <w:t>Mantle celle lymfom</w:t>
      </w:r>
    </w:p>
    <w:p w:rsidR="00B85B64" w:rsidRPr="005524AB" w:rsidRDefault="00B85B64" w:rsidP="00B85B64">
      <w:pPr>
        <w:autoSpaceDE w:val="0"/>
        <w:autoSpaceDN w:val="0"/>
        <w:adjustRightInd w:val="0"/>
        <w:ind w:left="850"/>
        <w:rPr>
          <w:sz w:val="24"/>
          <w:szCs w:val="24"/>
          <w:lang w:eastAsia="da-DK"/>
        </w:rPr>
      </w:pPr>
      <w:r w:rsidRPr="005524AB">
        <w:rPr>
          <w:sz w:val="24"/>
          <w:szCs w:val="24"/>
          <w:lang w:eastAsia="da-DK"/>
        </w:rPr>
        <w:t>Hos patienter med mantle celle lymfom er lenalidomidbehandling forbundet med en højere forekomst</w:t>
      </w:r>
      <w:r>
        <w:rPr>
          <w:sz w:val="24"/>
          <w:szCs w:val="24"/>
          <w:lang w:eastAsia="da-DK"/>
        </w:rPr>
        <w:t xml:space="preserve"> </w:t>
      </w:r>
      <w:r w:rsidRPr="005524AB">
        <w:rPr>
          <w:sz w:val="24"/>
          <w:szCs w:val="24"/>
          <w:lang w:eastAsia="da-DK"/>
        </w:rPr>
        <w:t>af grad 3 og 4 neutropeni sammenlignet med patienter i kontrolarmen (se pkt. 4.8).</w:t>
      </w:r>
    </w:p>
    <w:p w:rsidR="00C405D2" w:rsidRDefault="00C405D2" w:rsidP="00C405D2">
      <w:pPr>
        <w:tabs>
          <w:tab w:val="left" w:pos="851"/>
        </w:tabs>
        <w:ind w:left="851"/>
        <w:rPr>
          <w:sz w:val="24"/>
          <w:szCs w:val="24"/>
        </w:rPr>
      </w:pPr>
    </w:p>
    <w:p w:rsidR="00B85B64" w:rsidRPr="00B85B64" w:rsidRDefault="00B85B64" w:rsidP="00B85B64">
      <w:pPr>
        <w:pStyle w:val="Listeafsnit"/>
        <w:numPr>
          <w:ilvl w:val="0"/>
          <w:numId w:val="15"/>
        </w:numPr>
        <w:suppressAutoHyphens/>
        <w:rPr>
          <w:i/>
          <w:iCs/>
          <w:sz w:val="24"/>
          <w:szCs w:val="24"/>
        </w:rPr>
      </w:pPr>
      <w:r w:rsidRPr="00B85B64">
        <w:rPr>
          <w:i/>
          <w:iCs/>
          <w:sz w:val="24"/>
          <w:szCs w:val="24"/>
        </w:rPr>
        <w:t xml:space="preserve">Follikulært lymfom </w:t>
      </w:r>
    </w:p>
    <w:p w:rsidR="00562E7E" w:rsidRPr="00562E7E" w:rsidRDefault="00562E7E" w:rsidP="00562E7E">
      <w:pPr>
        <w:suppressAutoHyphens/>
        <w:ind w:left="851"/>
        <w:rPr>
          <w:iCs/>
          <w:sz w:val="24"/>
          <w:szCs w:val="24"/>
        </w:rPr>
      </w:pPr>
      <w:r w:rsidRPr="00562E7E">
        <w:rPr>
          <w:iCs/>
          <w:sz w:val="24"/>
          <w:szCs w:val="24"/>
        </w:rPr>
        <w:t xml:space="preserve">Kombinationen af lenalidomid og rituximab hos patienter med follikulært lymfom er forbundet med en højere forekomst af grad 3 eller 4 neutropeni sammenlignet med patienter i armen med placebo/rituximab. Febril neutropeni og grad 3 eller 4 trombocytopeni var en mere almindelig observation i armen med lenalidomid/rituximab (se pkt. 4.8). </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i/>
          <w:iCs/>
          <w:sz w:val="24"/>
          <w:szCs w:val="24"/>
        </w:rPr>
      </w:pPr>
      <w:r w:rsidRPr="00C405D2">
        <w:rPr>
          <w:i/>
          <w:iCs/>
          <w:sz w:val="24"/>
          <w:szCs w:val="24"/>
        </w:rPr>
        <w:t>Thyroideasygdomme</w:t>
      </w:r>
    </w:p>
    <w:p w:rsidR="00C405D2" w:rsidRPr="00C405D2" w:rsidRDefault="00C405D2" w:rsidP="00C405D2">
      <w:pPr>
        <w:tabs>
          <w:tab w:val="left" w:pos="851"/>
        </w:tabs>
        <w:ind w:left="851"/>
        <w:rPr>
          <w:sz w:val="24"/>
          <w:szCs w:val="24"/>
        </w:rPr>
      </w:pPr>
      <w:r w:rsidRPr="00C405D2">
        <w:rPr>
          <w:sz w:val="24"/>
          <w:szCs w:val="24"/>
        </w:rPr>
        <w:t>Der er rapporteret tilfælde af hypo- og hypertyroidisme. Optimal kontrol af komorbide tilstande, der påvirker thyreoideafunktionen, anbefales før behandlingen påbegyndes. Overvågning af thyreoideafunktionen anbefales ved behandlingsstart og fortløbende.</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i/>
          <w:iCs/>
          <w:sz w:val="24"/>
          <w:szCs w:val="24"/>
        </w:rPr>
      </w:pPr>
      <w:r w:rsidRPr="00C405D2">
        <w:rPr>
          <w:i/>
          <w:iCs/>
          <w:sz w:val="24"/>
          <w:szCs w:val="24"/>
        </w:rPr>
        <w:t>Perifer neuropati</w:t>
      </w:r>
    </w:p>
    <w:p w:rsidR="00B85B64" w:rsidRPr="00562E7E" w:rsidRDefault="00B85B64" w:rsidP="00B85B64">
      <w:pPr>
        <w:suppressAutoHyphens/>
        <w:ind w:left="851"/>
        <w:rPr>
          <w:sz w:val="24"/>
          <w:szCs w:val="24"/>
        </w:rPr>
      </w:pPr>
      <w:r w:rsidRPr="00562E7E">
        <w:rPr>
          <w:sz w:val="24"/>
          <w:szCs w:val="24"/>
        </w:rPr>
        <w:t xml:space="preserve">Lenalidomid er strukturelt i familie med thalidomid, som er kendt for at forårsage svær perifer neuropati. Der er ikke observeret nogen stigning i perifer neuropati med lenalidomid i kombination med dexamethason eller melphalan og prednison eller lenalidomid monoterapi, eller ved langvarig brug af lenalidomid til behandling af nydiagnosticeret myelomatose. </w:t>
      </w:r>
    </w:p>
    <w:p w:rsidR="00B85B64" w:rsidRPr="00562E7E" w:rsidRDefault="00B85B64" w:rsidP="00B85B64">
      <w:pPr>
        <w:suppressAutoHyphens/>
        <w:ind w:left="851"/>
        <w:rPr>
          <w:sz w:val="24"/>
          <w:szCs w:val="24"/>
        </w:rPr>
      </w:pPr>
    </w:p>
    <w:p w:rsidR="00B85B64" w:rsidRPr="00562E7E" w:rsidRDefault="00B85B64" w:rsidP="00B85B64">
      <w:pPr>
        <w:suppressAutoHyphens/>
        <w:ind w:left="851"/>
        <w:rPr>
          <w:sz w:val="24"/>
          <w:szCs w:val="24"/>
        </w:rPr>
      </w:pPr>
      <w:r w:rsidRPr="00562E7E">
        <w:rPr>
          <w:sz w:val="24"/>
          <w:szCs w:val="24"/>
        </w:rPr>
        <w:t>Kombinationen af lenalidomid og intravenøs bortezomib og dexamethason hos patienter med myelomatose er forbundet med en større hyppighed af perifer neuropati. Hyppigheden var lavere, når bortezomib blev administreret subkutant. For yderligere oplysninger henvises til pkt. 4.8 og produktresuméet for bortezomib.</w:t>
      </w:r>
    </w:p>
    <w:p w:rsidR="00B85B64" w:rsidRPr="00C405D2" w:rsidRDefault="00B85B64" w:rsidP="00B85B64">
      <w:pPr>
        <w:tabs>
          <w:tab w:val="left" w:pos="851"/>
        </w:tabs>
        <w:ind w:left="851"/>
        <w:rPr>
          <w:sz w:val="24"/>
          <w:szCs w:val="24"/>
        </w:rPr>
      </w:pPr>
    </w:p>
    <w:p w:rsidR="00C405D2" w:rsidRPr="00C405D2" w:rsidRDefault="00C405D2" w:rsidP="00C405D2">
      <w:pPr>
        <w:tabs>
          <w:tab w:val="left" w:pos="851"/>
        </w:tabs>
        <w:ind w:left="851"/>
        <w:rPr>
          <w:i/>
          <w:iCs/>
          <w:sz w:val="24"/>
          <w:szCs w:val="24"/>
        </w:rPr>
      </w:pPr>
      <w:r w:rsidRPr="00C405D2">
        <w:rPr>
          <w:i/>
          <w:iCs/>
          <w:sz w:val="24"/>
          <w:szCs w:val="24"/>
        </w:rPr>
        <w:t>Tumor-flare-reaktion og tumorlysesyndrom</w:t>
      </w:r>
    </w:p>
    <w:p w:rsidR="00B85B64" w:rsidRDefault="00B85B64" w:rsidP="00B85B64">
      <w:pPr>
        <w:tabs>
          <w:tab w:val="left" w:pos="851"/>
        </w:tabs>
        <w:ind w:left="851"/>
        <w:rPr>
          <w:sz w:val="24"/>
          <w:szCs w:val="24"/>
        </w:rPr>
      </w:pPr>
      <w:r w:rsidRPr="00C405D2">
        <w:rPr>
          <w:sz w:val="24"/>
          <w:szCs w:val="24"/>
        </w:rPr>
        <w:t xml:space="preserve">Da lenalidomid har antineoplastisk aktivitet, kan der optræde komplikationer i form af tumorlysesyndrom (TLS). </w:t>
      </w:r>
      <w:r w:rsidRPr="00063A9D">
        <w:rPr>
          <w:bCs/>
          <w:sz w:val="24"/>
          <w:szCs w:val="24"/>
        </w:rPr>
        <w:t>Tilfælde af TLS og tumor-flare-reaktion (TFR), inklusive dødelige tilfælde, er rapporteret (se pkt. 4.8)</w:t>
      </w:r>
      <w:r w:rsidRPr="00063A9D">
        <w:rPr>
          <w:sz w:val="24"/>
          <w:szCs w:val="24"/>
        </w:rPr>
        <w:t xml:space="preserve">. </w:t>
      </w:r>
      <w:r w:rsidRPr="00C405D2">
        <w:rPr>
          <w:sz w:val="24"/>
          <w:szCs w:val="24"/>
        </w:rPr>
        <w:t>Det er patienter med stor tumorbyrde inden behandlingen, som har risiko for at få TLS og TFR. Der skal udvises forsigtighed, når lenalidomid-behandling initieres hos disse patienter, og patienterne skal monitoreres nøje, især i løbet af første cyklus og ved dosisøgning, og der skal tages passende forholdsregler.</w:t>
      </w:r>
    </w:p>
    <w:p w:rsidR="00C405D2" w:rsidRPr="00C405D2" w:rsidRDefault="00C405D2" w:rsidP="00C405D2">
      <w:pPr>
        <w:tabs>
          <w:tab w:val="left" w:pos="851"/>
        </w:tabs>
        <w:ind w:left="851"/>
        <w:rPr>
          <w:sz w:val="24"/>
          <w:szCs w:val="24"/>
        </w:rPr>
      </w:pPr>
    </w:p>
    <w:p w:rsidR="00562E7E" w:rsidRPr="00562E7E" w:rsidRDefault="00562E7E" w:rsidP="00562E7E">
      <w:pPr>
        <w:suppressAutoHyphens/>
        <w:ind w:left="851"/>
        <w:rPr>
          <w:i/>
          <w:iCs/>
          <w:sz w:val="24"/>
          <w:szCs w:val="24"/>
        </w:rPr>
      </w:pPr>
      <w:r w:rsidRPr="00562E7E">
        <w:rPr>
          <w:i/>
          <w:iCs/>
          <w:sz w:val="24"/>
          <w:szCs w:val="24"/>
        </w:rPr>
        <w:lastRenderedPageBreak/>
        <w:t xml:space="preserve">Follikulært lymfom </w:t>
      </w:r>
    </w:p>
    <w:p w:rsidR="00B85B64" w:rsidRPr="00562E7E" w:rsidRDefault="00B85B64" w:rsidP="00B85B64">
      <w:pPr>
        <w:suppressAutoHyphens/>
        <w:ind w:left="851"/>
        <w:rPr>
          <w:sz w:val="24"/>
          <w:szCs w:val="24"/>
        </w:rPr>
      </w:pPr>
      <w:r w:rsidRPr="00562E7E">
        <w:rPr>
          <w:sz w:val="24"/>
          <w:szCs w:val="24"/>
        </w:rPr>
        <w:t xml:space="preserve">Der anbefales nøje overvågning og evaluering for TFR. Tumor-flare kan imitere PD. Patienter, der oplevede grad 1 og 2 TFR, blev behandlet med kortikosteroider, NSAID'er og/eller narkotiske analgetika for deres TFR-symptomer. Beslutningen om at tage terapeutiske forholdsregler med hensyn til TFR skal tages efter en nøje klinisk vurdering af den enkelte patient (se pkt. 4.2 og 4.8). </w:t>
      </w:r>
    </w:p>
    <w:p w:rsidR="00B85B64" w:rsidRPr="00562E7E" w:rsidRDefault="00B85B64" w:rsidP="00B85B64">
      <w:pPr>
        <w:suppressAutoHyphens/>
        <w:ind w:left="851"/>
        <w:rPr>
          <w:sz w:val="24"/>
          <w:szCs w:val="24"/>
        </w:rPr>
      </w:pPr>
      <w:r w:rsidRPr="00562E7E">
        <w:rPr>
          <w:sz w:val="24"/>
          <w:szCs w:val="24"/>
        </w:rPr>
        <w:t xml:space="preserve"> </w:t>
      </w:r>
    </w:p>
    <w:p w:rsidR="00B85B64" w:rsidRPr="00562E7E" w:rsidRDefault="00B85B64" w:rsidP="00B85B64">
      <w:pPr>
        <w:suppressAutoHyphens/>
        <w:ind w:left="851"/>
        <w:rPr>
          <w:sz w:val="24"/>
          <w:szCs w:val="24"/>
        </w:rPr>
      </w:pPr>
      <w:r w:rsidRPr="00562E7E">
        <w:rPr>
          <w:sz w:val="24"/>
          <w:szCs w:val="24"/>
        </w:rPr>
        <w:t xml:space="preserve">Der anbefales nøje overvågning og evaluering for TLS. Patienterne skal være velhydrerede og få TLS-profylakse i tillæg til ugentlige kemiske laboratorieprøver i løbet af den første cyklus eller længere, efter klinisk indikation (se pkt. 4.2 og 4.8). </w:t>
      </w:r>
    </w:p>
    <w:p w:rsidR="00562E7E" w:rsidRDefault="00562E7E" w:rsidP="00562E7E">
      <w:pPr>
        <w:suppressAutoHyphens/>
        <w:ind w:left="851"/>
        <w:rPr>
          <w:sz w:val="24"/>
          <w:szCs w:val="24"/>
        </w:rPr>
      </w:pPr>
    </w:p>
    <w:p w:rsidR="00B85B64" w:rsidRPr="005524AB" w:rsidRDefault="00B85B64" w:rsidP="00B85B64">
      <w:pPr>
        <w:autoSpaceDE w:val="0"/>
        <w:autoSpaceDN w:val="0"/>
        <w:adjustRightInd w:val="0"/>
        <w:ind w:firstLine="850"/>
        <w:rPr>
          <w:i/>
          <w:iCs/>
          <w:sz w:val="24"/>
          <w:szCs w:val="24"/>
          <w:lang w:eastAsia="da-DK"/>
        </w:rPr>
      </w:pPr>
      <w:r w:rsidRPr="005524AB">
        <w:rPr>
          <w:i/>
          <w:iCs/>
          <w:sz w:val="24"/>
          <w:szCs w:val="24"/>
          <w:lang w:eastAsia="da-DK"/>
        </w:rPr>
        <w:t>Tumorbyrde</w:t>
      </w:r>
    </w:p>
    <w:p w:rsidR="00B85B64" w:rsidRPr="000B7CDE" w:rsidRDefault="00B85B64" w:rsidP="00B85B64">
      <w:pPr>
        <w:pStyle w:val="Listeafsnit"/>
        <w:numPr>
          <w:ilvl w:val="0"/>
          <w:numId w:val="15"/>
        </w:numPr>
        <w:tabs>
          <w:tab w:val="left" w:pos="720"/>
        </w:tabs>
        <w:suppressAutoHyphens/>
        <w:autoSpaceDE w:val="0"/>
        <w:autoSpaceDN w:val="0"/>
        <w:adjustRightInd w:val="0"/>
        <w:ind w:left="1350" w:hanging="270"/>
        <w:rPr>
          <w:sz w:val="24"/>
          <w:szCs w:val="24"/>
          <w:lang w:eastAsia="da-DK"/>
        </w:rPr>
      </w:pPr>
      <w:r w:rsidRPr="00A1658B">
        <w:rPr>
          <w:i/>
          <w:iCs/>
          <w:sz w:val="24"/>
          <w:szCs w:val="24"/>
        </w:rPr>
        <w:t>Mantle celle lymfom</w:t>
      </w:r>
    </w:p>
    <w:p w:rsidR="00B85B64" w:rsidRPr="005524AB" w:rsidRDefault="00B85B64" w:rsidP="00B85B64">
      <w:pPr>
        <w:autoSpaceDE w:val="0"/>
        <w:autoSpaceDN w:val="0"/>
        <w:adjustRightInd w:val="0"/>
        <w:ind w:left="850"/>
        <w:rPr>
          <w:sz w:val="24"/>
          <w:szCs w:val="24"/>
          <w:lang w:eastAsia="da-DK"/>
        </w:rPr>
      </w:pPr>
      <w:r w:rsidRPr="005524AB">
        <w:rPr>
          <w:sz w:val="24"/>
          <w:szCs w:val="24"/>
          <w:lang w:eastAsia="da-DK"/>
        </w:rPr>
        <w:t>Lenalidomid bør ikke anvendes til behandling af patienter med stor tumorbyrde, hvis der er alternative</w:t>
      </w:r>
      <w:r>
        <w:rPr>
          <w:sz w:val="24"/>
          <w:szCs w:val="24"/>
          <w:lang w:eastAsia="da-DK"/>
        </w:rPr>
        <w:t xml:space="preserve"> </w:t>
      </w:r>
      <w:r w:rsidRPr="005524AB">
        <w:rPr>
          <w:sz w:val="24"/>
          <w:szCs w:val="24"/>
          <w:lang w:eastAsia="da-DK"/>
        </w:rPr>
        <w:t>behandlingsmuligheder.</w:t>
      </w:r>
    </w:p>
    <w:p w:rsidR="00B85B64" w:rsidRDefault="00B85B64" w:rsidP="00B85B64">
      <w:pPr>
        <w:autoSpaceDE w:val="0"/>
        <w:autoSpaceDN w:val="0"/>
        <w:adjustRightInd w:val="0"/>
        <w:ind w:left="850"/>
        <w:rPr>
          <w:i/>
          <w:iCs/>
          <w:sz w:val="24"/>
          <w:szCs w:val="24"/>
          <w:lang w:eastAsia="da-DK"/>
        </w:rPr>
      </w:pPr>
    </w:p>
    <w:p w:rsidR="00B85B64" w:rsidRPr="005524AB" w:rsidRDefault="00B85B64" w:rsidP="00B85B64">
      <w:pPr>
        <w:autoSpaceDE w:val="0"/>
        <w:autoSpaceDN w:val="0"/>
        <w:adjustRightInd w:val="0"/>
        <w:ind w:left="850"/>
        <w:rPr>
          <w:i/>
          <w:iCs/>
          <w:sz w:val="24"/>
          <w:szCs w:val="24"/>
          <w:lang w:eastAsia="da-DK"/>
        </w:rPr>
      </w:pPr>
      <w:r w:rsidRPr="005524AB">
        <w:rPr>
          <w:i/>
          <w:iCs/>
          <w:sz w:val="24"/>
          <w:szCs w:val="24"/>
          <w:lang w:eastAsia="da-DK"/>
        </w:rPr>
        <w:t>Tidlige dødsfald</w:t>
      </w:r>
    </w:p>
    <w:p w:rsidR="00B85B64" w:rsidRDefault="00B85B64" w:rsidP="00B85B64">
      <w:pPr>
        <w:autoSpaceDE w:val="0"/>
        <w:autoSpaceDN w:val="0"/>
        <w:adjustRightInd w:val="0"/>
        <w:ind w:left="850"/>
        <w:rPr>
          <w:sz w:val="24"/>
          <w:szCs w:val="24"/>
          <w:lang w:eastAsia="da-DK"/>
        </w:rPr>
      </w:pPr>
      <w:r w:rsidRPr="005524AB">
        <w:rPr>
          <w:sz w:val="24"/>
          <w:szCs w:val="24"/>
          <w:lang w:eastAsia="da-DK"/>
        </w:rPr>
        <w:t>I studie MCL-002 var der samlet en tilsyneladende stigning i tidlige (inden for 20 uger) dødsfald. Der</w:t>
      </w:r>
      <w:r>
        <w:rPr>
          <w:sz w:val="24"/>
          <w:szCs w:val="24"/>
          <w:lang w:eastAsia="da-DK"/>
        </w:rPr>
        <w:t xml:space="preserve"> </w:t>
      </w:r>
      <w:r w:rsidRPr="005524AB">
        <w:rPr>
          <w:sz w:val="24"/>
          <w:szCs w:val="24"/>
          <w:lang w:eastAsia="da-DK"/>
        </w:rPr>
        <w:t xml:space="preserve">er en øget risiko for tidligt dødsfald blandt patienter med stor tumorbyrde ved </w:t>
      </w:r>
      <w:r w:rsidRPr="005524AB">
        <w:rPr>
          <w:i/>
          <w:iCs/>
          <w:sz w:val="24"/>
          <w:szCs w:val="24"/>
          <w:lang w:eastAsia="da-DK"/>
        </w:rPr>
        <w:t>baseline</w:t>
      </w:r>
      <w:r w:rsidRPr="005524AB">
        <w:rPr>
          <w:sz w:val="24"/>
          <w:szCs w:val="24"/>
          <w:lang w:eastAsia="da-DK"/>
        </w:rPr>
        <w:t>. Der var 16/81</w:t>
      </w:r>
      <w:r>
        <w:rPr>
          <w:sz w:val="24"/>
          <w:szCs w:val="24"/>
          <w:lang w:eastAsia="da-DK"/>
        </w:rPr>
        <w:t xml:space="preserve"> </w:t>
      </w:r>
      <w:r w:rsidRPr="005524AB">
        <w:rPr>
          <w:sz w:val="24"/>
          <w:szCs w:val="24"/>
          <w:lang w:eastAsia="da-DK"/>
        </w:rPr>
        <w:t>(20 %) tidlige dødsfald i lenalidomidarmen og 2/28 (7 %) tidlige dødsfald i kontrolarmen. Inden for</w:t>
      </w:r>
      <w:r>
        <w:rPr>
          <w:sz w:val="24"/>
          <w:szCs w:val="24"/>
          <w:lang w:eastAsia="da-DK"/>
        </w:rPr>
        <w:t xml:space="preserve"> </w:t>
      </w:r>
      <w:r w:rsidRPr="005524AB">
        <w:rPr>
          <w:sz w:val="24"/>
          <w:szCs w:val="24"/>
          <w:lang w:eastAsia="da-DK"/>
        </w:rPr>
        <w:t>52 uger var de tilsvarende tal 32/81 (40 %) og 6/28 (21 %) (se pkt. 5.1).</w:t>
      </w:r>
    </w:p>
    <w:p w:rsidR="00B85B64" w:rsidRPr="00AC0884" w:rsidRDefault="00B85B64" w:rsidP="00B85B64">
      <w:pPr>
        <w:autoSpaceDE w:val="0"/>
        <w:autoSpaceDN w:val="0"/>
        <w:adjustRightInd w:val="0"/>
        <w:ind w:left="850"/>
        <w:rPr>
          <w:sz w:val="24"/>
          <w:szCs w:val="24"/>
          <w:lang w:eastAsia="da-DK"/>
        </w:rPr>
      </w:pPr>
    </w:p>
    <w:p w:rsidR="00B85B64" w:rsidRPr="005524AB" w:rsidRDefault="00B85B64" w:rsidP="00B85B64">
      <w:pPr>
        <w:autoSpaceDE w:val="0"/>
        <w:autoSpaceDN w:val="0"/>
        <w:adjustRightInd w:val="0"/>
        <w:ind w:firstLine="850"/>
        <w:rPr>
          <w:i/>
          <w:iCs/>
          <w:sz w:val="24"/>
          <w:szCs w:val="24"/>
          <w:lang w:eastAsia="da-DK"/>
        </w:rPr>
      </w:pPr>
      <w:r w:rsidRPr="005524AB">
        <w:rPr>
          <w:i/>
          <w:iCs/>
          <w:sz w:val="24"/>
          <w:szCs w:val="24"/>
          <w:lang w:eastAsia="da-DK"/>
        </w:rPr>
        <w:t>Bivirkninger</w:t>
      </w:r>
    </w:p>
    <w:p w:rsidR="00B85B64" w:rsidRPr="005524AB" w:rsidRDefault="00B85B64" w:rsidP="00B85B64">
      <w:pPr>
        <w:autoSpaceDE w:val="0"/>
        <w:autoSpaceDN w:val="0"/>
        <w:adjustRightInd w:val="0"/>
        <w:ind w:left="850"/>
        <w:rPr>
          <w:sz w:val="24"/>
          <w:szCs w:val="24"/>
          <w:lang w:eastAsia="da-DK"/>
        </w:rPr>
      </w:pPr>
      <w:r w:rsidRPr="005524AB">
        <w:rPr>
          <w:sz w:val="24"/>
          <w:szCs w:val="24"/>
          <w:lang w:eastAsia="da-DK"/>
        </w:rPr>
        <w:t>Studie MCL-002: I lenalidomidarmen seponerede 11/81 (14 %) patienter med stor tumorbyrde</w:t>
      </w:r>
      <w:r>
        <w:rPr>
          <w:sz w:val="24"/>
          <w:szCs w:val="24"/>
          <w:lang w:eastAsia="da-DK"/>
        </w:rPr>
        <w:t xml:space="preserve"> </w:t>
      </w:r>
      <w:r w:rsidRPr="005524AB">
        <w:rPr>
          <w:sz w:val="24"/>
          <w:szCs w:val="24"/>
          <w:lang w:eastAsia="da-DK"/>
        </w:rPr>
        <w:t xml:space="preserve">behandlingen i løbet af behandlingscyklus 1 </w:t>
      </w:r>
      <w:r w:rsidRPr="005524AB">
        <w:rPr>
          <w:i/>
          <w:iCs/>
          <w:sz w:val="24"/>
          <w:szCs w:val="24"/>
          <w:lang w:eastAsia="da-DK"/>
        </w:rPr>
        <w:t xml:space="preserve">vs. </w:t>
      </w:r>
      <w:r w:rsidRPr="005524AB">
        <w:rPr>
          <w:sz w:val="24"/>
          <w:szCs w:val="24"/>
          <w:lang w:eastAsia="da-DK"/>
        </w:rPr>
        <w:t>1/28 (4 %) i kontrolarmen. Den primære årsag til, at</w:t>
      </w:r>
      <w:r>
        <w:rPr>
          <w:sz w:val="24"/>
          <w:szCs w:val="24"/>
          <w:lang w:eastAsia="da-DK"/>
        </w:rPr>
        <w:t xml:space="preserve"> </w:t>
      </w:r>
      <w:r w:rsidRPr="005524AB">
        <w:rPr>
          <w:sz w:val="24"/>
          <w:szCs w:val="24"/>
          <w:lang w:eastAsia="da-DK"/>
        </w:rPr>
        <w:t>patienter med stor tumorbyrde seponerede lenalidomid i løbet af behandlingscyklus 1, var</w:t>
      </w:r>
      <w:r>
        <w:rPr>
          <w:sz w:val="24"/>
          <w:szCs w:val="24"/>
          <w:lang w:eastAsia="da-DK"/>
        </w:rPr>
        <w:t xml:space="preserve"> </w:t>
      </w:r>
      <w:r w:rsidRPr="005524AB">
        <w:rPr>
          <w:sz w:val="24"/>
          <w:szCs w:val="24"/>
          <w:lang w:eastAsia="da-DK"/>
        </w:rPr>
        <w:t>bivirkninger, 7/11 (64 %).</w:t>
      </w:r>
    </w:p>
    <w:p w:rsidR="00B85B64" w:rsidRDefault="00B85B64" w:rsidP="00B85B64">
      <w:pPr>
        <w:autoSpaceDE w:val="0"/>
        <w:autoSpaceDN w:val="0"/>
        <w:adjustRightInd w:val="0"/>
        <w:ind w:left="850"/>
        <w:rPr>
          <w:sz w:val="24"/>
          <w:szCs w:val="24"/>
          <w:lang w:eastAsia="da-DK"/>
        </w:rPr>
      </w:pPr>
    </w:p>
    <w:p w:rsidR="00B85B64" w:rsidRPr="00AC0884" w:rsidRDefault="00B85B64" w:rsidP="00B85B64">
      <w:pPr>
        <w:autoSpaceDE w:val="0"/>
        <w:autoSpaceDN w:val="0"/>
        <w:adjustRightInd w:val="0"/>
        <w:ind w:left="850"/>
        <w:rPr>
          <w:sz w:val="24"/>
          <w:szCs w:val="24"/>
          <w:lang w:eastAsia="da-DK"/>
        </w:rPr>
      </w:pPr>
      <w:r w:rsidRPr="005524AB">
        <w:rPr>
          <w:sz w:val="24"/>
          <w:szCs w:val="24"/>
          <w:lang w:eastAsia="da-DK"/>
        </w:rPr>
        <w:t>Patienter med stor tumorbyrde bør derfor overvåges nøje for bivirkninger (se pkt. 4.8), herunder tegn</w:t>
      </w:r>
      <w:r>
        <w:rPr>
          <w:sz w:val="24"/>
          <w:szCs w:val="24"/>
          <w:lang w:eastAsia="da-DK"/>
        </w:rPr>
        <w:t xml:space="preserve"> </w:t>
      </w:r>
      <w:r w:rsidRPr="005524AB">
        <w:rPr>
          <w:sz w:val="24"/>
          <w:szCs w:val="24"/>
          <w:lang w:eastAsia="da-DK"/>
        </w:rPr>
        <w:t>på tumor-flare-reaktion (TFR). Der henvises til pkt. 4.2 for dosisjustering ved TFR.</w:t>
      </w:r>
      <w:r>
        <w:rPr>
          <w:sz w:val="24"/>
          <w:szCs w:val="24"/>
          <w:lang w:eastAsia="da-DK"/>
        </w:rPr>
        <w:t xml:space="preserve"> </w:t>
      </w:r>
      <w:r w:rsidRPr="005524AB">
        <w:rPr>
          <w:rFonts w:eastAsia="TimesNewRomanPSMT"/>
          <w:sz w:val="24"/>
          <w:szCs w:val="24"/>
          <w:lang w:eastAsia="da-DK"/>
        </w:rPr>
        <w:t>Stor tumorbyrde blev defineret som mindst én læsion ≥ 5 cm i diameter eller 3 læsioner ≥ 3 cm.</w:t>
      </w:r>
    </w:p>
    <w:p w:rsidR="00B85B64" w:rsidRPr="00562E7E" w:rsidRDefault="00B85B64" w:rsidP="00562E7E">
      <w:pPr>
        <w:suppressAutoHyphens/>
        <w:ind w:left="851"/>
        <w:rPr>
          <w:sz w:val="24"/>
          <w:szCs w:val="24"/>
        </w:rPr>
      </w:pPr>
    </w:p>
    <w:p w:rsidR="00562E7E" w:rsidRPr="00562E7E" w:rsidRDefault="00562E7E" w:rsidP="00562E7E">
      <w:pPr>
        <w:suppressAutoHyphens/>
        <w:ind w:left="851"/>
        <w:rPr>
          <w:i/>
          <w:iCs/>
          <w:sz w:val="24"/>
          <w:szCs w:val="24"/>
        </w:rPr>
      </w:pPr>
      <w:r w:rsidRPr="00562E7E">
        <w:rPr>
          <w:i/>
          <w:iCs/>
          <w:sz w:val="24"/>
          <w:szCs w:val="24"/>
        </w:rPr>
        <w:t>Allergiske reaktioner og alvorlige hudreaktioner</w:t>
      </w:r>
    </w:p>
    <w:p w:rsidR="00562E7E" w:rsidRPr="00562E7E" w:rsidRDefault="00562E7E" w:rsidP="00562E7E">
      <w:pPr>
        <w:suppressAutoHyphens/>
        <w:ind w:left="851"/>
        <w:rPr>
          <w:sz w:val="24"/>
          <w:szCs w:val="24"/>
        </w:rPr>
      </w:pPr>
      <w:r w:rsidRPr="00562E7E">
        <w:rPr>
          <w:sz w:val="24"/>
          <w:szCs w:val="24"/>
        </w:rPr>
        <w:t>Der er rapporteret om tilfælde af allergiske reaktioner, herunder angioødem, anafylaktisk reaktion og alvorlige kutane reaktioner, herunder Stevens-Johnson syndrom (SJS), toksisk epidermal nekrolyse (TEN) og lægemiddelfremkaldt reaktion med eosinofili og systemiske symptomer (DRESS) hos patienter i behandling med lenalidomid (se pkt. 4.8). Patienter skal underrettes om tegn og symptomer på disse reaktioner af dem, der ordinerer medicinen, og bør instrueres i straks at søge lægehjælp, hvis de udvikler disse symptomer. Lenalidomid skal seponeres ved angioødem, anafylaktisk reaktion, eksfoliativt udslæt eller udslæt med blæredannelser, eller hvis der er mistanke om SJS, TEN eller DRESS. Behandlingen må ikke genoptages, hvis den er blevet seponeret på grund af disse reaktioner. Afbrydelse eller seponering af behandling med lenalidomid bør overvejes ved andre former for hudreaktion, afhængigt af sværhedsgraden. Patienter, der tidligere har haft allergiske reaktioner under behandling med thalidomid, skal følges tæt, da der i litteraturen er rapporteret om en mulig krydsreaktion mellem lenalidomid og thalidomid. Patienter, der tidligere har haft alvorligt udslæt i forbindelse med thalidomid-behandling, bør ikke få lenalidomid.</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i/>
          <w:sz w:val="24"/>
          <w:szCs w:val="24"/>
        </w:rPr>
      </w:pPr>
      <w:r w:rsidRPr="00C405D2">
        <w:rPr>
          <w:i/>
          <w:sz w:val="24"/>
          <w:szCs w:val="24"/>
        </w:rPr>
        <w:lastRenderedPageBreak/>
        <w:t>Sekundær primær malignitet</w:t>
      </w:r>
    </w:p>
    <w:p w:rsidR="00C405D2" w:rsidRPr="00C405D2" w:rsidRDefault="00C405D2" w:rsidP="00C405D2">
      <w:pPr>
        <w:tabs>
          <w:tab w:val="left" w:pos="851"/>
        </w:tabs>
        <w:ind w:left="851"/>
        <w:rPr>
          <w:sz w:val="24"/>
          <w:szCs w:val="24"/>
        </w:rPr>
      </w:pPr>
      <w:r w:rsidRPr="00C405D2">
        <w:rPr>
          <w:sz w:val="24"/>
          <w:szCs w:val="24"/>
        </w:rPr>
        <w:t>I kliniske studier med tidligere behandlede myelom-patienter, blev der observeret sekundær primær malignitet (SPM) hyppigere hos patienter, der fik lenalidomid/dexamethason (3,98 pr. 100 personår), sammenlignet med kontrollerne (1,38 pr. 100 personår). Ikke-invasiv SPM omfatter basalcelle- eller planocellulær-hudcancer. De fleste invasive SPM’er var maligniteter med solide tumorer.</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I kliniske studier hos patienter med nydiagnosticeret myelomatose, som ikke var egnede til transplantation, er der observeret en 4,9-doblet stigning i forekomsten af hæmatologisk SPM (tilfælde af AML</w:t>
      </w:r>
      <w:r w:rsidR="005F70F3">
        <w:rPr>
          <w:sz w:val="24"/>
          <w:szCs w:val="24"/>
        </w:rPr>
        <w:t>, MDS</w:t>
      </w:r>
      <w:r w:rsidRPr="00C405D2">
        <w:rPr>
          <w:sz w:val="24"/>
          <w:szCs w:val="24"/>
        </w:rPr>
        <w:t>) hos patienter, der fik lenalidomid i kombination med melphalan og prednison indtil progression (1,75 pr. 100 personår), sammenlignet med melphalan i kombination med prednison (0,36 pr. 100 personår).</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Der er observeret en 2,12-doblet stigning i forekomsten af solid tumor SPM hos patienter, der fik lenalidomid (9 cyklusser) i kombination med melphalan og prednison (1,57 pr. 100 personår), sammenlignet med melphalan i kombination med prednison (0,74 pr. 100 personår).</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Hos patienter, der fik lenalidomid i kombination med dexamethason indtil progression eller i 18 måneder, var den hæmatologiske forekomst af SPM (0,16 pr. 100 personår) ikke øget i sammenligning med thalidomid i kombination med melphalan og prednison (0,79 pr. 100 personår).</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 xml:space="preserve">Der er observeret en </w:t>
      </w:r>
      <w:proofErr w:type="gramStart"/>
      <w:r w:rsidRPr="00C405D2">
        <w:rPr>
          <w:sz w:val="24"/>
          <w:szCs w:val="24"/>
        </w:rPr>
        <w:t>1,3-fold stigning</w:t>
      </w:r>
      <w:proofErr w:type="gramEnd"/>
      <w:r w:rsidRPr="00C405D2">
        <w:rPr>
          <w:sz w:val="24"/>
          <w:szCs w:val="24"/>
        </w:rPr>
        <w:t xml:space="preserve"> i forekomsten af solid tumor SPM hos patienter, der fik lenalidomid i kombination med dexamethason indtil progression eller i 18 måneder (1,58 pr. 100 personår), sammenlignet med thalidomid i kombination med melphalan og prednison (1,19 pr. 100 personår).</w:t>
      </w:r>
    </w:p>
    <w:p w:rsidR="00C405D2" w:rsidRPr="005F70F3" w:rsidRDefault="00C405D2" w:rsidP="005F70F3">
      <w:pPr>
        <w:ind w:left="851"/>
        <w:rPr>
          <w:sz w:val="24"/>
          <w:szCs w:val="24"/>
        </w:rPr>
      </w:pPr>
    </w:p>
    <w:p w:rsidR="005F70F3" w:rsidRPr="005F70F3" w:rsidRDefault="005F70F3" w:rsidP="005F70F3">
      <w:pPr>
        <w:suppressAutoHyphens/>
        <w:ind w:left="851"/>
        <w:rPr>
          <w:sz w:val="24"/>
          <w:szCs w:val="24"/>
        </w:rPr>
      </w:pPr>
      <w:r w:rsidRPr="005F70F3">
        <w:rPr>
          <w:sz w:val="24"/>
          <w:szCs w:val="24"/>
        </w:rPr>
        <w:t xml:space="preserve">Hos nydiagnosticerede patienter med myelomatose, der fik lenalidomid i kombination med bortezomib og dexamethason, var forekomsten af hæmatologisk SPM 0,00 – 0,16 pr. 100 personår, og forekomsten af SPM i form af solide tumorer 0,21 – 1,04 pr. 100 personår. </w:t>
      </w:r>
    </w:p>
    <w:p w:rsidR="005F70F3" w:rsidRPr="005F70F3" w:rsidRDefault="005F70F3" w:rsidP="005F70F3">
      <w:pPr>
        <w:ind w:left="851"/>
        <w:rPr>
          <w:sz w:val="24"/>
          <w:szCs w:val="24"/>
        </w:rPr>
      </w:pPr>
    </w:p>
    <w:p w:rsidR="00C405D2" w:rsidRPr="00C405D2" w:rsidRDefault="00C405D2" w:rsidP="00C405D2">
      <w:pPr>
        <w:tabs>
          <w:tab w:val="left" w:pos="851"/>
        </w:tabs>
        <w:ind w:left="851"/>
        <w:rPr>
          <w:sz w:val="24"/>
          <w:szCs w:val="24"/>
        </w:rPr>
      </w:pPr>
      <w:r w:rsidRPr="00C405D2">
        <w:rPr>
          <w:sz w:val="24"/>
          <w:szCs w:val="24"/>
        </w:rPr>
        <w:t>Den øgede risiko for sekundær primær malignitet forbundet med lenalidomid er relevant også i forbindelse med NDMM efter stamcelletransplantation. Selvom denne risiko endnu ikke er fuldt beskrevet, skal man huske på den, når man overvejer at bruge Lenalidomide "Glenmark" i denne situation.</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Forekomsten af hæmatologiske maligniteter, især AML, MDS og B-celle-maligniteter (herunder Hodgkins lymfom), var 1,31 pr. 100 personår for lenalidomid-armene og 0,58 pr. 100 personår for placebo-armene (1,02 pr. 100 personår for patienter, der får lenalidomid efter ASCT, og 0,60 pr. 100 personår for patienter, der ikke får lenalidomid efter ASCT). Forekomsten af SPM i form af solide tumorer var 1,36 pr. 100 personår for lenalidomid-armene og 1,05 pr. 100 personår for placebo-armene (1,26 pr. 100 personår for patienter, der får lenalidomid efter ASCT, og 0,60 pr. 100 personår for patienter, der ikke får lenalidomid efter ASCT).</w:t>
      </w:r>
    </w:p>
    <w:p w:rsidR="00C405D2" w:rsidRPr="00C405D2" w:rsidRDefault="00C405D2" w:rsidP="00C405D2">
      <w:pPr>
        <w:tabs>
          <w:tab w:val="left" w:pos="851"/>
        </w:tabs>
        <w:ind w:left="851"/>
        <w:rPr>
          <w:sz w:val="24"/>
          <w:szCs w:val="24"/>
        </w:rPr>
      </w:pPr>
    </w:p>
    <w:p w:rsidR="00C405D2" w:rsidRDefault="00C405D2" w:rsidP="00C405D2">
      <w:pPr>
        <w:tabs>
          <w:tab w:val="left" w:pos="851"/>
        </w:tabs>
        <w:ind w:left="851"/>
        <w:rPr>
          <w:sz w:val="24"/>
          <w:szCs w:val="24"/>
        </w:rPr>
      </w:pPr>
      <w:r w:rsidRPr="00C405D2">
        <w:rPr>
          <w:sz w:val="24"/>
          <w:szCs w:val="24"/>
        </w:rPr>
        <w:t>Risikoen for forekomst af hæmatologisk SPM skal overvejes, før behandling med lenalidomid indledes, enten i kombination med melphalan eller umiddelbart efter højdosis melphalan og ASCT. Patienterne skal omhyggeligt evalueres for forekomst af SPM før og under behandlingen ved hjælp af standard-cancerscreening og indiceret behandling iværksættes.</w:t>
      </w:r>
    </w:p>
    <w:p w:rsidR="00B85B64" w:rsidRDefault="00B85B64" w:rsidP="00C405D2">
      <w:pPr>
        <w:tabs>
          <w:tab w:val="left" w:pos="851"/>
        </w:tabs>
        <w:ind w:left="851"/>
        <w:rPr>
          <w:sz w:val="24"/>
          <w:szCs w:val="24"/>
        </w:rPr>
      </w:pPr>
    </w:p>
    <w:p w:rsidR="00B85B64" w:rsidRPr="005524AB" w:rsidRDefault="00B85B64" w:rsidP="00B85B64">
      <w:pPr>
        <w:autoSpaceDE w:val="0"/>
        <w:autoSpaceDN w:val="0"/>
        <w:adjustRightInd w:val="0"/>
        <w:ind w:left="850"/>
        <w:rPr>
          <w:i/>
          <w:iCs/>
          <w:sz w:val="24"/>
          <w:szCs w:val="24"/>
          <w:lang w:eastAsia="da-DK"/>
        </w:rPr>
      </w:pPr>
      <w:r w:rsidRPr="005524AB">
        <w:rPr>
          <w:i/>
          <w:iCs/>
          <w:sz w:val="24"/>
          <w:szCs w:val="24"/>
          <w:lang w:eastAsia="da-DK"/>
        </w:rPr>
        <w:t>Progression til akut myeloid leukæmi ved lav- eller intermediær-1-risiko MDS</w:t>
      </w:r>
    </w:p>
    <w:p w:rsidR="00B85B64" w:rsidRPr="00670F1D" w:rsidRDefault="00B85B64" w:rsidP="00B85B64">
      <w:pPr>
        <w:pStyle w:val="Listeafsnit"/>
        <w:numPr>
          <w:ilvl w:val="0"/>
          <w:numId w:val="15"/>
        </w:numPr>
        <w:tabs>
          <w:tab w:val="left" w:pos="720"/>
        </w:tabs>
        <w:suppressAutoHyphens/>
        <w:autoSpaceDE w:val="0"/>
        <w:autoSpaceDN w:val="0"/>
        <w:adjustRightInd w:val="0"/>
        <w:ind w:left="1350" w:hanging="270"/>
        <w:rPr>
          <w:sz w:val="24"/>
          <w:szCs w:val="24"/>
          <w:lang w:eastAsia="da-DK"/>
        </w:rPr>
      </w:pPr>
      <w:r w:rsidRPr="005524AB">
        <w:rPr>
          <w:iCs/>
          <w:sz w:val="24"/>
          <w:szCs w:val="24"/>
        </w:rPr>
        <w:t>Karotype</w:t>
      </w:r>
    </w:p>
    <w:p w:rsidR="00B85B64" w:rsidRDefault="00B85B64" w:rsidP="00B85B64">
      <w:pPr>
        <w:autoSpaceDE w:val="0"/>
        <w:autoSpaceDN w:val="0"/>
        <w:adjustRightInd w:val="0"/>
        <w:ind w:left="850"/>
        <w:rPr>
          <w:sz w:val="24"/>
          <w:szCs w:val="24"/>
          <w:lang w:eastAsia="da-DK"/>
        </w:rPr>
      </w:pPr>
      <w:r w:rsidRPr="005524AB">
        <w:rPr>
          <w:i/>
          <w:iCs/>
          <w:sz w:val="24"/>
          <w:szCs w:val="24"/>
          <w:lang w:eastAsia="da-DK"/>
        </w:rPr>
        <w:t>Baseline</w:t>
      </w:r>
      <w:r w:rsidRPr="005524AB">
        <w:rPr>
          <w:sz w:val="24"/>
          <w:szCs w:val="24"/>
          <w:lang w:eastAsia="da-DK"/>
        </w:rPr>
        <w:t>-variable, herunder kompleks cytogenetik er forbundet med progression til AML hos</w:t>
      </w:r>
      <w:r>
        <w:rPr>
          <w:sz w:val="24"/>
          <w:szCs w:val="24"/>
          <w:lang w:eastAsia="da-DK"/>
        </w:rPr>
        <w:t xml:space="preserve"> </w:t>
      </w:r>
      <w:r w:rsidRPr="005524AB">
        <w:rPr>
          <w:sz w:val="24"/>
          <w:szCs w:val="24"/>
          <w:lang w:eastAsia="da-DK"/>
        </w:rPr>
        <w:t>personer, som er transfusionsafhængige og har en Del (5</w:t>
      </w:r>
      <w:proofErr w:type="gramStart"/>
      <w:r w:rsidRPr="005524AB">
        <w:rPr>
          <w:sz w:val="24"/>
          <w:szCs w:val="24"/>
          <w:lang w:eastAsia="da-DK"/>
        </w:rPr>
        <w:t>q)-</w:t>
      </w:r>
      <w:proofErr w:type="gramEnd"/>
      <w:r w:rsidRPr="005524AB">
        <w:rPr>
          <w:sz w:val="24"/>
          <w:szCs w:val="24"/>
          <w:lang w:eastAsia="da-DK"/>
        </w:rPr>
        <w:t>anomali. I en kombineret analyse af to</w:t>
      </w:r>
      <w:r>
        <w:rPr>
          <w:sz w:val="24"/>
          <w:szCs w:val="24"/>
          <w:lang w:eastAsia="da-DK"/>
        </w:rPr>
        <w:t xml:space="preserve"> </w:t>
      </w:r>
      <w:r w:rsidRPr="005524AB">
        <w:rPr>
          <w:sz w:val="24"/>
          <w:szCs w:val="24"/>
          <w:lang w:eastAsia="da-DK"/>
        </w:rPr>
        <w:t>kliniske studier med lenalidomid hos patienter med lav- eller intermediær-1-risiko myelodysplastisk</w:t>
      </w:r>
      <w:r>
        <w:rPr>
          <w:sz w:val="24"/>
          <w:szCs w:val="24"/>
          <w:lang w:eastAsia="da-DK"/>
        </w:rPr>
        <w:t xml:space="preserve"> </w:t>
      </w:r>
      <w:r w:rsidRPr="005524AB">
        <w:rPr>
          <w:sz w:val="24"/>
          <w:szCs w:val="24"/>
          <w:lang w:eastAsia="da-DK"/>
        </w:rPr>
        <w:t>syndrom, havde personer med kompleks cytogenetik den højeste estimerede 2-års kumulative risiko</w:t>
      </w:r>
      <w:r>
        <w:rPr>
          <w:sz w:val="24"/>
          <w:szCs w:val="24"/>
          <w:lang w:eastAsia="da-DK"/>
        </w:rPr>
        <w:t xml:space="preserve"> </w:t>
      </w:r>
      <w:r w:rsidRPr="005524AB">
        <w:rPr>
          <w:sz w:val="24"/>
          <w:szCs w:val="24"/>
          <w:lang w:eastAsia="da-DK"/>
        </w:rPr>
        <w:t>for progression til AML (38,6 %). Den estimerede frekvens af 2-års progression til AML hos patienter</w:t>
      </w:r>
      <w:r>
        <w:rPr>
          <w:sz w:val="24"/>
          <w:szCs w:val="24"/>
          <w:lang w:eastAsia="da-DK"/>
        </w:rPr>
        <w:t xml:space="preserve"> </w:t>
      </w:r>
      <w:r w:rsidRPr="005524AB">
        <w:rPr>
          <w:sz w:val="24"/>
          <w:szCs w:val="24"/>
          <w:lang w:eastAsia="da-DK"/>
        </w:rPr>
        <w:t>med en isoleret Del (5</w:t>
      </w:r>
      <w:proofErr w:type="gramStart"/>
      <w:r w:rsidRPr="005524AB">
        <w:rPr>
          <w:sz w:val="24"/>
          <w:szCs w:val="24"/>
          <w:lang w:eastAsia="da-DK"/>
        </w:rPr>
        <w:t>q)-</w:t>
      </w:r>
      <w:proofErr w:type="gramEnd"/>
      <w:r w:rsidRPr="005524AB">
        <w:rPr>
          <w:sz w:val="24"/>
          <w:szCs w:val="24"/>
          <w:lang w:eastAsia="da-DK"/>
        </w:rPr>
        <w:t>anomali var 13,8 %, sammenlignet med 17,3 % hos patienter med Del (5q)</w:t>
      </w:r>
      <w:r>
        <w:rPr>
          <w:sz w:val="24"/>
          <w:szCs w:val="24"/>
          <w:lang w:eastAsia="da-DK"/>
        </w:rPr>
        <w:t xml:space="preserve"> </w:t>
      </w:r>
      <w:r w:rsidRPr="005524AB">
        <w:rPr>
          <w:sz w:val="24"/>
          <w:szCs w:val="24"/>
          <w:lang w:eastAsia="da-DK"/>
        </w:rPr>
        <w:t>og en yderligere cytogenetisk anomali.</w:t>
      </w:r>
      <w:r>
        <w:rPr>
          <w:sz w:val="24"/>
          <w:szCs w:val="24"/>
          <w:lang w:eastAsia="da-DK"/>
        </w:rPr>
        <w:t xml:space="preserve"> </w:t>
      </w:r>
    </w:p>
    <w:p w:rsidR="00B85B64" w:rsidRDefault="00B85B64" w:rsidP="00B85B64">
      <w:pPr>
        <w:autoSpaceDE w:val="0"/>
        <w:autoSpaceDN w:val="0"/>
        <w:adjustRightInd w:val="0"/>
        <w:ind w:left="850"/>
        <w:rPr>
          <w:sz w:val="24"/>
          <w:szCs w:val="24"/>
          <w:lang w:eastAsia="da-DK"/>
        </w:rPr>
      </w:pPr>
    </w:p>
    <w:p w:rsidR="00B85B64" w:rsidRPr="00A66137" w:rsidRDefault="00B85B64" w:rsidP="00B85B64">
      <w:pPr>
        <w:autoSpaceDE w:val="0"/>
        <w:autoSpaceDN w:val="0"/>
        <w:adjustRightInd w:val="0"/>
        <w:ind w:left="850"/>
        <w:rPr>
          <w:sz w:val="24"/>
          <w:szCs w:val="24"/>
        </w:rPr>
      </w:pPr>
      <w:r w:rsidRPr="005524AB">
        <w:rPr>
          <w:sz w:val="24"/>
          <w:szCs w:val="24"/>
          <w:lang w:eastAsia="da-DK"/>
        </w:rPr>
        <w:t>Som et resultat heraf er risk/benefit-forholdet for lenalidomid, når MDS er forbundet med Del (5q) og</w:t>
      </w:r>
      <w:r>
        <w:rPr>
          <w:sz w:val="24"/>
          <w:szCs w:val="24"/>
          <w:lang w:eastAsia="da-DK"/>
        </w:rPr>
        <w:t xml:space="preserve"> </w:t>
      </w:r>
      <w:r w:rsidRPr="005524AB">
        <w:rPr>
          <w:sz w:val="24"/>
          <w:szCs w:val="24"/>
          <w:lang w:eastAsia="da-DK"/>
        </w:rPr>
        <w:t>kompleks cytogenetik, ukendt.</w:t>
      </w:r>
    </w:p>
    <w:p w:rsidR="00B85B64" w:rsidRDefault="00B85B64" w:rsidP="00B85B64">
      <w:pPr>
        <w:autoSpaceDE w:val="0"/>
        <w:autoSpaceDN w:val="0"/>
        <w:adjustRightInd w:val="0"/>
        <w:ind w:left="850"/>
        <w:rPr>
          <w:sz w:val="24"/>
          <w:szCs w:val="24"/>
          <w:lang w:eastAsia="da-DK"/>
        </w:rPr>
      </w:pPr>
    </w:p>
    <w:p w:rsidR="00B85B64" w:rsidRPr="00670F1D" w:rsidRDefault="00B85B64" w:rsidP="00B85B64">
      <w:pPr>
        <w:pStyle w:val="Listeafsnit"/>
        <w:numPr>
          <w:ilvl w:val="0"/>
          <w:numId w:val="15"/>
        </w:numPr>
        <w:tabs>
          <w:tab w:val="left" w:pos="720"/>
        </w:tabs>
        <w:suppressAutoHyphens/>
        <w:autoSpaceDE w:val="0"/>
        <w:autoSpaceDN w:val="0"/>
        <w:adjustRightInd w:val="0"/>
        <w:ind w:left="1350" w:hanging="270"/>
        <w:rPr>
          <w:sz w:val="24"/>
          <w:szCs w:val="24"/>
          <w:lang w:eastAsia="da-DK"/>
        </w:rPr>
      </w:pPr>
      <w:r w:rsidRPr="005524AB">
        <w:rPr>
          <w:iCs/>
          <w:sz w:val="24"/>
          <w:szCs w:val="24"/>
        </w:rPr>
        <w:t>TP53-status</w:t>
      </w:r>
    </w:p>
    <w:p w:rsidR="00B85B64" w:rsidRDefault="00B85B64" w:rsidP="00B85B64">
      <w:pPr>
        <w:autoSpaceDE w:val="0"/>
        <w:autoSpaceDN w:val="0"/>
        <w:adjustRightInd w:val="0"/>
        <w:ind w:left="850"/>
        <w:rPr>
          <w:sz w:val="24"/>
          <w:szCs w:val="24"/>
          <w:lang w:eastAsia="da-DK"/>
        </w:rPr>
      </w:pPr>
      <w:r w:rsidRPr="005524AB">
        <w:rPr>
          <w:sz w:val="24"/>
          <w:szCs w:val="24"/>
          <w:lang w:eastAsia="da-DK"/>
        </w:rPr>
        <w:t>En TP53-mutation findes hos 20 til 25 % af patienterne med lav risiko MDS Del (5q) og er forbundet</w:t>
      </w:r>
      <w:r>
        <w:rPr>
          <w:sz w:val="24"/>
          <w:szCs w:val="24"/>
          <w:lang w:eastAsia="da-DK"/>
        </w:rPr>
        <w:t xml:space="preserve"> </w:t>
      </w:r>
      <w:r w:rsidRPr="005524AB">
        <w:rPr>
          <w:sz w:val="24"/>
          <w:szCs w:val="24"/>
          <w:lang w:eastAsia="da-DK"/>
        </w:rPr>
        <w:t>med en højere risiko for progression til akut myeloid leukæmi (AML). I en post-hoc-analyse af et</w:t>
      </w:r>
      <w:r>
        <w:rPr>
          <w:sz w:val="24"/>
          <w:szCs w:val="24"/>
          <w:lang w:eastAsia="da-DK"/>
        </w:rPr>
        <w:t xml:space="preserve"> </w:t>
      </w:r>
      <w:r w:rsidRPr="005524AB">
        <w:rPr>
          <w:sz w:val="24"/>
          <w:szCs w:val="24"/>
          <w:lang w:eastAsia="da-DK"/>
        </w:rPr>
        <w:t>klinisk studie med lenalidomid ved lav- eller intermediær-1-risiko myelodysplastisk syndrom (MDS-004) var den estimerede 2-års hyppighed for progression til AML 27,5 % hos IHC-p53-positive</w:t>
      </w:r>
      <w:r>
        <w:rPr>
          <w:sz w:val="24"/>
          <w:szCs w:val="24"/>
          <w:lang w:eastAsia="da-DK"/>
        </w:rPr>
        <w:t xml:space="preserve"> </w:t>
      </w:r>
      <w:r w:rsidRPr="005524AB">
        <w:rPr>
          <w:sz w:val="24"/>
          <w:szCs w:val="24"/>
          <w:lang w:eastAsia="da-DK"/>
        </w:rPr>
        <w:t>patienter (1 % testniveau af kraftig kernefarvning ved brug af immunhistokemisk vurdering af p53proteinet som et surrogat for TP53-mutationstatus) og 3,6 % hos IHC-p53-negative patienter</w:t>
      </w:r>
      <w:r>
        <w:rPr>
          <w:sz w:val="24"/>
          <w:szCs w:val="24"/>
          <w:lang w:eastAsia="da-DK"/>
        </w:rPr>
        <w:t xml:space="preserve"> </w:t>
      </w:r>
      <w:r w:rsidRPr="005524AB">
        <w:rPr>
          <w:sz w:val="24"/>
          <w:szCs w:val="24"/>
          <w:lang w:eastAsia="da-DK"/>
        </w:rPr>
        <w:t>(p = 0,0038) (se pkt. 4.8).</w:t>
      </w:r>
      <w:r>
        <w:rPr>
          <w:sz w:val="24"/>
          <w:szCs w:val="24"/>
          <w:lang w:eastAsia="da-DK"/>
        </w:rPr>
        <w:t xml:space="preserve"> </w:t>
      </w:r>
    </w:p>
    <w:p w:rsidR="00B85B64" w:rsidRDefault="00B85B64" w:rsidP="00B85B64">
      <w:pPr>
        <w:autoSpaceDE w:val="0"/>
        <w:autoSpaceDN w:val="0"/>
        <w:adjustRightInd w:val="0"/>
        <w:ind w:left="850"/>
        <w:rPr>
          <w:i/>
          <w:iCs/>
          <w:sz w:val="24"/>
          <w:szCs w:val="24"/>
          <w:lang w:eastAsia="da-DK"/>
        </w:rPr>
      </w:pPr>
    </w:p>
    <w:p w:rsidR="00B85B64" w:rsidRPr="005524AB" w:rsidRDefault="00B85B64" w:rsidP="00B85B64">
      <w:pPr>
        <w:autoSpaceDE w:val="0"/>
        <w:autoSpaceDN w:val="0"/>
        <w:adjustRightInd w:val="0"/>
        <w:ind w:left="850"/>
        <w:rPr>
          <w:i/>
          <w:iCs/>
          <w:sz w:val="24"/>
          <w:szCs w:val="24"/>
          <w:lang w:eastAsia="da-DK"/>
        </w:rPr>
      </w:pPr>
      <w:r w:rsidRPr="005524AB">
        <w:rPr>
          <w:i/>
          <w:iCs/>
          <w:sz w:val="24"/>
          <w:szCs w:val="24"/>
          <w:lang w:eastAsia="da-DK"/>
        </w:rPr>
        <w:t>Progression til andre maligniteter ved mantle celle lymfom</w:t>
      </w:r>
    </w:p>
    <w:p w:rsidR="00B85B64" w:rsidRPr="00670F1D" w:rsidRDefault="00B85B64" w:rsidP="00B85B64">
      <w:pPr>
        <w:autoSpaceDE w:val="0"/>
        <w:autoSpaceDN w:val="0"/>
        <w:adjustRightInd w:val="0"/>
        <w:ind w:left="850"/>
        <w:rPr>
          <w:sz w:val="24"/>
          <w:szCs w:val="24"/>
        </w:rPr>
      </w:pPr>
      <w:r w:rsidRPr="005524AB">
        <w:rPr>
          <w:sz w:val="24"/>
          <w:szCs w:val="24"/>
          <w:lang w:eastAsia="da-DK"/>
        </w:rPr>
        <w:t>Ved mantle celle lymfom er AML, B-cellemaligniteter og non-melanom-hudcancer (NMSC)</w:t>
      </w:r>
      <w:r>
        <w:rPr>
          <w:sz w:val="24"/>
          <w:szCs w:val="24"/>
          <w:lang w:eastAsia="da-DK"/>
        </w:rPr>
        <w:t xml:space="preserve"> </w:t>
      </w:r>
      <w:r w:rsidRPr="005524AB">
        <w:rPr>
          <w:sz w:val="24"/>
          <w:szCs w:val="24"/>
          <w:lang w:eastAsia="da-DK"/>
        </w:rPr>
        <w:t>identificere risici.</w:t>
      </w:r>
    </w:p>
    <w:p w:rsidR="00C405D2" w:rsidRPr="005F70F3" w:rsidRDefault="00C405D2" w:rsidP="005F70F3">
      <w:pPr>
        <w:ind w:left="851"/>
        <w:rPr>
          <w:sz w:val="24"/>
          <w:szCs w:val="24"/>
        </w:rPr>
      </w:pPr>
    </w:p>
    <w:p w:rsidR="005F70F3" w:rsidRPr="005F70F3" w:rsidRDefault="005F70F3" w:rsidP="005F70F3">
      <w:pPr>
        <w:suppressAutoHyphens/>
        <w:ind w:left="851"/>
        <w:rPr>
          <w:i/>
          <w:sz w:val="24"/>
          <w:szCs w:val="24"/>
        </w:rPr>
      </w:pPr>
      <w:r w:rsidRPr="005F70F3">
        <w:rPr>
          <w:i/>
          <w:sz w:val="24"/>
          <w:szCs w:val="24"/>
        </w:rPr>
        <w:t xml:space="preserve">Sekundære primære maligniteter ved follikulært lymfom </w:t>
      </w:r>
    </w:p>
    <w:p w:rsidR="005F70F3" w:rsidRPr="005F70F3" w:rsidRDefault="005F70F3" w:rsidP="005F70F3">
      <w:pPr>
        <w:suppressAutoHyphens/>
        <w:ind w:left="851"/>
        <w:rPr>
          <w:sz w:val="24"/>
          <w:szCs w:val="24"/>
        </w:rPr>
      </w:pPr>
      <w:r w:rsidRPr="005F70F3">
        <w:rPr>
          <w:sz w:val="24"/>
          <w:szCs w:val="24"/>
        </w:rPr>
        <w:t>I et studie af recidiveret/refraktært iNHL, som inkluderede patienter med follikulært lymfom, blev der ikke observeret nogen forhøjet risiko for SPM'er i armen med lenalidomid/rituximab sammenlignet med armen med placebo/rituximab.</w:t>
      </w:r>
      <w:r w:rsidRPr="005F70F3">
        <w:rPr>
          <w:i/>
          <w:sz w:val="24"/>
          <w:szCs w:val="24"/>
        </w:rPr>
        <w:t xml:space="preserve"> </w:t>
      </w:r>
      <w:r w:rsidRPr="005F70F3">
        <w:rPr>
          <w:sz w:val="24"/>
          <w:szCs w:val="24"/>
        </w:rPr>
        <w:t xml:space="preserve">Forekomsten af hæmatologisk SPM fra AML var 0,29 pr. 100 personår i armen med lenalidomid/rituximab sammenlignet med 0,29 pr. 100 personår hos patienter, der fik placebo/rituximab. Forekomsten af hæmatologiske plus solid tumor SPM'er (ekskl. non-melanom hudcancer) var 0,87 pr. 100 personår i armen med lenalidomid/rituximab sammenlignet med 1,17 pr. 100 personår hos patienter, der fik placebo/rituximab, med en median opfølgning på 30,59 måneder (interval fra 0,6 til 50,9 måneder).  </w:t>
      </w:r>
    </w:p>
    <w:p w:rsidR="005F70F3" w:rsidRPr="005F70F3" w:rsidRDefault="005F70F3" w:rsidP="005F70F3">
      <w:pPr>
        <w:suppressAutoHyphens/>
        <w:ind w:left="851"/>
        <w:rPr>
          <w:sz w:val="24"/>
          <w:szCs w:val="24"/>
        </w:rPr>
      </w:pPr>
      <w:r w:rsidRPr="005F70F3">
        <w:rPr>
          <w:sz w:val="24"/>
          <w:szCs w:val="24"/>
        </w:rPr>
        <w:t xml:space="preserve"> </w:t>
      </w:r>
    </w:p>
    <w:p w:rsidR="005F70F3" w:rsidRPr="005F70F3" w:rsidRDefault="005F70F3" w:rsidP="005F70F3">
      <w:pPr>
        <w:suppressAutoHyphens/>
        <w:ind w:left="851"/>
        <w:rPr>
          <w:sz w:val="24"/>
          <w:szCs w:val="24"/>
        </w:rPr>
      </w:pPr>
      <w:r w:rsidRPr="005F70F3">
        <w:rPr>
          <w:sz w:val="24"/>
          <w:szCs w:val="24"/>
        </w:rPr>
        <w:t xml:space="preserve">Former af non-melanom hudcancer er identificerede risici, og de omfatter planocellulære karcinomer i huden og basalcellekarcinomer. </w:t>
      </w:r>
    </w:p>
    <w:p w:rsidR="005F70F3" w:rsidRPr="005F70F3" w:rsidRDefault="005F70F3" w:rsidP="005F70F3">
      <w:pPr>
        <w:suppressAutoHyphens/>
        <w:ind w:left="851"/>
        <w:rPr>
          <w:sz w:val="24"/>
          <w:szCs w:val="24"/>
        </w:rPr>
      </w:pPr>
      <w:r w:rsidRPr="005F70F3">
        <w:rPr>
          <w:sz w:val="24"/>
          <w:szCs w:val="24"/>
        </w:rPr>
        <w:t xml:space="preserve"> </w:t>
      </w:r>
    </w:p>
    <w:p w:rsidR="005F70F3" w:rsidRPr="005F70F3" w:rsidRDefault="005F70F3" w:rsidP="005F70F3">
      <w:pPr>
        <w:suppressAutoHyphens/>
        <w:ind w:left="851"/>
        <w:rPr>
          <w:sz w:val="24"/>
          <w:szCs w:val="24"/>
        </w:rPr>
      </w:pPr>
      <w:r w:rsidRPr="005F70F3">
        <w:rPr>
          <w:sz w:val="24"/>
          <w:szCs w:val="24"/>
        </w:rPr>
        <w:t xml:space="preserve">Lægerne bør overvåge patienterne for udvikling af SPM'er. Både den mulige fordel ved lenalidomid og risikoen for SPM'er bør overvejes, når behandling med lenalidomid overvejes. </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i/>
          <w:sz w:val="24"/>
          <w:szCs w:val="24"/>
        </w:rPr>
      </w:pPr>
      <w:r w:rsidRPr="00C405D2">
        <w:rPr>
          <w:i/>
          <w:sz w:val="24"/>
          <w:szCs w:val="24"/>
        </w:rPr>
        <w:t>Leversygdomme</w:t>
      </w:r>
    </w:p>
    <w:p w:rsidR="00C405D2" w:rsidRPr="00C405D2" w:rsidRDefault="00C405D2" w:rsidP="00C405D2">
      <w:pPr>
        <w:tabs>
          <w:tab w:val="left" w:pos="851"/>
        </w:tabs>
        <w:ind w:left="851"/>
        <w:rPr>
          <w:sz w:val="24"/>
          <w:szCs w:val="24"/>
        </w:rPr>
      </w:pPr>
      <w:r w:rsidRPr="00C405D2">
        <w:rPr>
          <w:sz w:val="24"/>
          <w:szCs w:val="24"/>
        </w:rPr>
        <w:t xml:space="preserve">Leversvigt, herunder dødelige tilfælde, er blevet rapporteret hos patienter i behandling med lenalidomid i kombinationsbehandling: akut leversvigt, toksisk hepatitis, cytolytisk hepatitis, kolestatisk hepatitis og blandet cytolytisk/kolestatisk hepatitis. Mekanismen for svær lægemiddelinduceret hepatotoksicitet er stadig ukendt, selvom eksisterende viral </w:t>
      </w:r>
      <w:r w:rsidRPr="00C405D2">
        <w:rPr>
          <w:sz w:val="24"/>
          <w:szCs w:val="24"/>
        </w:rPr>
        <w:lastRenderedPageBreak/>
        <w:t xml:space="preserve">leversygdom, forhøjede leverenzymer ved </w:t>
      </w:r>
      <w:r w:rsidRPr="00C405D2">
        <w:rPr>
          <w:i/>
          <w:sz w:val="24"/>
          <w:szCs w:val="24"/>
        </w:rPr>
        <w:t xml:space="preserve">baseline </w:t>
      </w:r>
      <w:r w:rsidRPr="00C405D2">
        <w:rPr>
          <w:sz w:val="24"/>
          <w:szCs w:val="24"/>
        </w:rPr>
        <w:t>og muligvis behandling med antibiotika i nogle tilfælde kan være risikofaktorer.</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 xml:space="preserve">Unormale leverfunktionsprøver blev rapporteret med en hyppighed på almindelig og var generelt asymptomatiske og reversible efter seponering. Når parametrene er vendt tilbage til </w:t>
      </w:r>
      <w:r w:rsidRPr="00C405D2">
        <w:rPr>
          <w:i/>
          <w:sz w:val="24"/>
          <w:szCs w:val="24"/>
        </w:rPr>
        <w:t>baseline</w:t>
      </w:r>
      <w:r w:rsidRPr="00C405D2">
        <w:rPr>
          <w:sz w:val="24"/>
          <w:szCs w:val="24"/>
        </w:rPr>
        <w:t>-værdier, kan behandling med en lavere dosis overvejes.</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Lenalidomid udskilles af nyrerne. Det er vigtigt at justere dosis hos patienter med nedsat nyrefunktion, så der undgås plasmaniveauer, der kan øge risikoen for hæmatologiske bivirkninger eller hepatotoksicitet. Monitorering af leverfunktionen anbefales især ved en anamnese med eller en pågående viral leverinfektion, eller når lenalidomid anvendes i kombination med lægemidler, der vides at være forbundet med leverdysfunktion.</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i/>
          <w:sz w:val="24"/>
          <w:szCs w:val="24"/>
        </w:rPr>
      </w:pPr>
      <w:r w:rsidRPr="00C405D2">
        <w:rPr>
          <w:i/>
          <w:sz w:val="24"/>
          <w:szCs w:val="24"/>
        </w:rPr>
        <w:t>Infektion med eller uden neutropeni</w:t>
      </w:r>
    </w:p>
    <w:p w:rsidR="00C405D2" w:rsidRPr="00C405D2" w:rsidRDefault="00C405D2" w:rsidP="00C405D2">
      <w:pPr>
        <w:tabs>
          <w:tab w:val="left" w:pos="851"/>
        </w:tabs>
        <w:ind w:left="851"/>
        <w:rPr>
          <w:sz w:val="24"/>
          <w:szCs w:val="24"/>
        </w:rPr>
      </w:pPr>
      <w:r w:rsidRPr="00C405D2">
        <w:rPr>
          <w:sz w:val="24"/>
          <w:szCs w:val="24"/>
        </w:rPr>
        <w:t>Patienter med myelomatose har tendens til at udvikle infektioner, herunder pneumoni. En højere infektionshyppighed blev observeret med lenalidomid i kombination med dexamethason sammenlignet med melphalan, prednison og thalidomid (MPT) hos patienter med NDMM, der ikke er egnede til transplantation, og med lenalidomid-vedligeholdelsesbehandling sammenlignet med placebo hos patienter med NDMM, der har gennemgået ASCT. Infektioner af grad ≥ 3 forekom i sammenhæng med neutropeni hos under en tredjedel af patienterne. Patienter med kendte risikofaktorer for infektioner bør overvåges nøje. Alle patienter bør rådes til straks at søge lægehjælp ved det første infektionstegn (f.eks. hoste, feber osv.), og derved gøre en tidlig behandling mulig for at reducere sværhedsgraden.</w:t>
      </w:r>
    </w:p>
    <w:p w:rsidR="00C405D2" w:rsidRPr="00C405D2" w:rsidRDefault="00C405D2" w:rsidP="00C405D2">
      <w:pPr>
        <w:tabs>
          <w:tab w:val="left" w:pos="851"/>
        </w:tabs>
        <w:ind w:left="851"/>
        <w:rPr>
          <w:sz w:val="24"/>
          <w:szCs w:val="24"/>
        </w:rPr>
      </w:pPr>
    </w:p>
    <w:p w:rsidR="005F70F3" w:rsidRPr="005F70F3" w:rsidRDefault="005F70F3" w:rsidP="00C405D2">
      <w:pPr>
        <w:tabs>
          <w:tab w:val="left" w:pos="851"/>
        </w:tabs>
        <w:ind w:left="851"/>
        <w:rPr>
          <w:sz w:val="24"/>
          <w:szCs w:val="24"/>
        </w:rPr>
      </w:pPr>
      <w:r w:rsidRPr="005F70F3">
        <w:rPr>
          <w:i/>
          <w:sz w:val="24"/>
          <w:szCs w:val="24"/>
        </w:rPr>
        <w:t>Viral reaktivering</w:t>
      </w:r>
    </w:p>
    <w:p w:rsidR="00C405D2" w:rsidRPr="00C405D2" w:rsidRDefault="00C405D2" w:rsidP="00C405D2">
      <w:pPr>
        <w:tabs>
          <w:tab w:val="left" w:pos="851"/>
        </w:tabs>
        <w:ind w:left="851"/>
        <w:rPr>
          <w:sz w:val="24"/>
          <w:szCs w:val="24"/>
        </w:rPr>
      </w:pPr>
      <w:r w:rsidRPr="00C405D2">
        <w:rPr>
          <w:sz w:val="24"/>
          <w:szCs w:val="24"/>
        </w:rPr>
        <w:t>Der er blevet rapporteret om viral reaktivering hos patienter, der fik lenalidomid, herunder alvorlige tilfælde af reaktivering af herpes zoster eller hepatitis B-virus (HBV).</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Nogle af tilfældene af viral reaktivering var dødelige.</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Nogle af tilfældene af herpes zoster-reaktivering førte til dissemineret herpes zoster, meningitis herpes zoster eller oftalmisk herpes zoster, der krævede en midlertidig afbrydelse eller en permanent seponering af behandlingen med lenalidomid og passende antiviral behandling.</w:t>
      </w:r>
    </w:p>
    <w:p w:rsidR="00C405D2" w:rsidRPr="00C405D2" w:rsidRDefault="00C405D2" w:rsidP="00C405D2">
      <w:pPr>
        <w:tabs>
          <w:tab w:val="left" w:pos="851"/>
        </w:tabs>
        <w:ind w:left="851"/>
        <w:rPr>
          <w:sz w:val="24"/>
          <w:szCs w:val="24"/>
        </w:rPr>
      </w:pPr>
    </w:p>
    <w:p w:rsidR="00C405D2" w:rsidRPr="00C405D2" w:rsidRDefault="00C405D2" w:rsidP="00C405D2">
      <w:pPr>
        <w:tabs>
          <w:tab w:val="left" w:pos="851"/>
        </w:tabs>
        <w:ind w:left="851"/>
        <w:rPr>
          <w:sz w:val="24"/>
          <w:szCs w:val="24"/>
        </w:rPr>
      </w:pPr>
      <w:r w:rsidRPr="00C405D2">
        <w:rPr>
          <w:sz w:val="24"/>
          <w:szCs w:val="24"/>
        </w:rPr>
        <w:t>Der er i sjældne tilfælde blevet rapporteret om reaktivering af hepatitis B hos patienter, der fik lenalidomid, og som tidligere har været inficeret med hepatitis B-virus (HBV). Nogle af disse tilfælde udviklede sig til akut leversvigt og førte til seponering af lenalidomid og passende antiviral behandling. Hepatitis B-virusstatus bør klarlægges før behandling med lenalidomid påbegyndes. For patienter, der tester positive for HBV-infektion, anbefales det at konsultere en læge med erfaring i at behandle hepatitis B.</w:t>
      </w:r>
    </w:p>
    <w:p w:rsidR="00C405D2" w:rsidRPr="00C405D2" w:rsidRDefault="00C405D2" w:rsidP="00C405D2">
      <w:pPr>
        <w:tabs>
          <w:tab w:val="left" w:pos="851"/>
        </w:tabs>
        <w:ind w:left="851"/>
        <w:rPr>
          <w:sz w:val="24"/>
          <w:szCs w:val="24"/>
        </w:rPr>
      </w:pPr>
      <w:r w:rsidRPr="00C405D2">
        <w:rPr>
          <w:sz w:val="24"/>
          <w:szCs w:val="24"/>
        </w:rPr>
        <w:t>Der bør udvises forsigtighed, når lenalidomid anvendes til patienter, der tidligere har været inficeret med HBV, herunder patienter, som er anti-HBc-positive, men HBsAg-negative. Disse patienter bør overvåges nøje for tegn og symptomer på aktiv HBV-infektion under hele behandlingen.</w:t>
      </w:r>
    </w:p>
    <w:p w:rsidR="00B85B64" w:rsidRPr="00C405D2" w:rsidRDefault="00B85B64" w:rsidP="00B85B64">
      <w:pPr>
        <w:tabs>
          <w:tab w:val="left" w:pos="851"/>
        </w:tabs>
        <w:rPr>
          <w:sz w:val="24"/>
          <w:szCs w:val="24"/>
        </w:rPr>
      </w:pPr>
    </w:p>
    <w:p w:rsidR="00B85B64" w:rsidRPr="00C405D2" w:rsidRDefault="00B85B64" w:rsidP="00B85B64">
      <w:pPr>
        <w:tabs>
          <w:tab w:val="left" w:pos="851"/>
        </w:tabs>
        <w:ind w:left="851"/>
        <w:rPr>
          <w:i/>
          <w:sz w:val="24"/>
          <w:szCs w:val="24"/>
        </w:rPr>
      </w:pPr>
      <w:r w:rsidRPr="00C405D2">
        <w:rPr>
          <w:i/>
          <w:sz w:val="24"/>
          <w:szCs w:val="24"/>
        </w:rPr>
        <w:t>Multifokal progressiv leukoencefalopati</w:t>
      </w:r>
    </w:p>
    <w:p w:rsidR="00B85B64" w:rsidRPr="00C405D2" w:rsidRDefault="00B85B64" w:rsidP="00B85B64">
      <w:pPr>
        <w:tabs>
          <w:tab w:val="left" w:pos="851"/>
        </w:tabs>
        <w:ind w:left="851"/>
        <w:rPr>
          <w:sz w:val="24"/>
          <w:szCs w:val="24"/>
        </w:rPr>
      </w:pPr>
      <w:r w:rsidRPr="00C405D2">
        <w:rPr>
          <w:sz w:val="24"/>
          <w:szCs w:val="24"/>
        </w:rPr>
        <w:t xml:space="preserve">Der er rapporteret om tilfælde af progressiv multifokal leukoencefalopati (PML), herunder med dødelig udgang, ved behandling med lenalidomid. PML blev rapporteret fra adskillige måneder til adskillige år efter påbegyndelse af behandling med lenalidomid. Der er </w:t>
      </w:r>
      <w:r w:rsidRPr="00C405D2">
        <w:rPr>
          <w:sz w:val="24"/>
          <w:szCs w:val="24"/>
        </w:rPr>
        <w:lastRenderedPageBreak/>
        <w:t>generelt rapporteret om tilfælde hos patienter, der er i samtidig behandling med dexamethason, eller som tidligere er blevet behandlet med anden immunsuppressiv kemoterapi. Læger bør overvåge patienter med regelmæssige intervaller og overveje PML ved differential diagnostik hos patienter med nye eller forværrede neurologiske symptomer, kognitive eller adfærdsmæssige tegn eller symptomer. Patienter bør også rådes til at orientere deres partner eller omsorgspersoner om behandlingen, da disse kan bemærke symptomer, som patienten ikke selv er klar over.</w:t>
      </w:r>
    </w:p>
    <w:p w:rsidR="00B85B64" w:rsidRDefault="00B85B64" w:rsidP="00B85B64">
      <w:pPr>
        <w:tabs>
          <w:tab w:val="left" w:pos="851"/>
        </w:tabs>
        <w:ind w:left="851"/>
        <w:rPr>
          <w:sz w:val="24"/>
          <w:szCs w:val="24"/>
        </w:rPr>
      </w:pPr>
    </w:p>
    <w:p w:rsidR="00B85B64" w:rsidRPr="00C405D2" w:rsidRDefault="00B85B64" w:rsidP="00B85B64">
      <w:pPr>
        <w:tabs>
          <w:tab w:val="left" w:pos="851"/>
        </w:tabs>
        <w:ind w:left="851"/>
        <w:rPr>
          <w:sz w:val="24"/>
          <w:szCs w:val="24"/>
        </w:rPr>
      </w:pPr>
      <w:r w:rsidRPr="00C405D2">
        <w:rPr>
          <w:sz w:val="24"/>
          <w:szCs w:val="24"/>
        </w:rPr>
        <w:t>Undersøgelsen for PML bør baseres på neurologisk udredning, MR</w:t>
      </w:r>
      <w:r w:rsidRPr="00C405D2">
        <w:rPr>
          <w:sz w:val="24"/>
          <w:szCs w:val="24"/>
        </w:rPr>
        <w:noBreakHyphen/>
        <w:t>scanning af hjernen og analyse af rygmarvsvæsken for JC</w:t>
      </w:r>
      <w:r w:rsidRPr="00C405D2">
        <w:rPr>
          <w:sz w:val="24"/>
          <w:szCs w:val="24"/>
        </w:rPr>
        <w:noBreakHyphen/>
        <w:t>virus (JCV)</w:t>
      </w:r>
      <w:r w:rsidRPr="00C405D2">
        <w:rPr>
          <w:sz w:val="24"/>
          <w:szCs w:val="24"/>
        </w:rPr>
        <w:noBreakHyphen/>
        <w:t>dna ved hjælp af polymerasekædereaktion (PCR) eller en JCV</w:t>
      </w:r>
      <w:r w:rsidRPr="00C405D2">
        <w:rPr>
          <w:sz w:val="24"/>
          <w:szCs w:val="24"/>
        </w:rPr>
        <w:noBreakHyphen/>
        <w:t>test på en biopsi af hjernevæv. En negativ JCV</w:t>
      </w:r>
      <w:r w:rsidRPr="00C405D2">
        <w:rPr>
          <w:sz w:val="24"/>
          <w:szCs w:val="24"/>
        </w:rPr>
        <w:noBreakHyphen/>
        <w:t>PCR udelukker ikke PML. Yderligere opfølgning og undersøgelser kan være nødvendige, hvis der ikke kan stilles en alternativ diagnose.</w:t>
      </w:r>
    </w:p>
    <w:p w:rsidR="00B85B64" w:rsidRDefault="00B85B64" w:rsidP="00B85B64">
      <w:pPr>
        <w:tabs>
          <w:tab w:val="left" w:pos="851"/>
        </w:tabs>
        <w:ind w:left="851"/>
        <w:rPr>
          <w:sz w:val="24"/>
          <w:szCs w:val="24"/>
        </w:rPr>
      </w:pPr>
    </w:p>
    <w:p w:rsidR="00B85B64" w:rsidRDefault="00B85B64" w:rsidP="00B85B64">
      <w:pPr>
        <w:tabs>
          <w:tab w:val="left" w:pos="851"/>
        </w:tabs>
        <w:ind w:left="851"/>
        <w:rPr>
          <w:sz w:val="24"/>
          <w:szCs w:val="24"/>
        </w:rPr>
      </w:pPr>
      <w:r w:rsidRPr="00C405D2">
        <w:rPr>
          <w:sz w:val="24"/>
          <w:szCs w:val="24"/>
        </w:rPr>
        <w:t>Hvis der er mistanke om PML, skal behandlingen afbrydes, indtil PML er udelukket. Hvis PML bekræftes, skal lenalidomid seponeres permanent.</w:t>
      </w:r>
    </w:p>
    <w:p w:rsidR="00B85B64" w:rsidRPr="005F70F3" w:rsidRDefault="00B85B64" w:rsidP="00B85B64">
      <w:pPr>
        <w:ind w:left="851"/>
        <w:rPr>
          <w:sz w:val="24"/>
          <w:szCs w:val="24"/>
        </w:rPr>
      </w:pPr>
    </w:p>
    <w:p w:rsidR="00B85B64" w:rsidRPr="005F70F3" w:rsidRDefault="00B85B64" w:rsidP="00B85B64">
      <w:pPr>
        <w:numPr>
          <w:ilvl w:val="0"/>
          <w:numId w:val="6"/>
        </w:numPr>
        <w:ind w:left="851" w:firstLine="0"/>
        <w:rPr>
          <w:i/>
          <w:iCs/>
          <w:noProof/>
          <w:sz w:val="24"/>
          <w:szCs w:val="24"/>
        </w:rPr>
      </w:pPr>
      <w:r w:rsidRPr="005F70F3">
        <w:rPr>
          <w:i/>
          <w:iCs/>
          <w:noProof/>
          <w:sz w:val="24"/>
          <w:szCs w:val="24"/>
        </w:rPr>
        <w:t>Nydiagnosticerede patienter med myelomatose</w:t>
      </w:r>
    </w:p>
    <w:p w:rsidR="00B85B64" w:rsidRPr="005F70F3" w:rsidRDefault="00B85B64" w:rsidP="00B85B64">
      <w:pPr>
        <w:suppressAutoHyphens/>
        <w:ind w:left="851"/>
        <w:rPr>
          <w:sz w:val="24"/>
          <w:szCs w:val="24"/>
        </w:rPr>
      </w:pPr>
      <w:r w:rsidRPr="005F70F3">
        <w:rPr>
          <w:sz w:val="24"/>
          <w:szCs w:val="24"/>
        </w:rPr>
        <w:t xml:space="preserve">Der var en større hyppighed af intolerans (grad 3 eller 4 bivirkninger, alvorlige bivirkninger, seponering) hos patienter i alderen &gt; 75 år, </w:t>
      </w:r>
      <w:proofErr w:type="gramStart"/>
      <w:r w:rsidRPr="005F70F3">
        <w:rPr>
          <w:sz w:val="24"/>
          <w:szCs w:val="24"/>
        </w:rPr>
        <w:t>ISS trin</w:t>
      </w:r>
      <w:proofErr w:type="gramEnd"/>
      <w:r w:rsidRPr="005F70F3">
        <w:rPr>
          <w:sz w:val="24"/>
          <w:szCs w:val="24"/>
        </w:rPr>
        <w:t xml:space="preserve"> III, ECOG PS </w:t>
      </w:r>
      <w:r>
        <w:rPr>
          <w:sz w:val="24"/>
          <w:szCs w:val="24"/>
        </w:rPr>
        <w:t>≥</w:t>
      </w:r>
      <w:r w:rsidRPr="005F70F3">
        <w:rPr>
          <w:sz w:val="24"/>
          <w:szCs w:val="24"/>
        </w:rPr>
        <w:t xml:space="preserve"> 2 eller kreatininclearance &lt; 60 ml/min, når lenalidomid gives i kombination. Patienter bør vurderes nøje for deres evne til at tolerere lenalidomid i kombination, under hensyntagen til alder, </w:t>
      </w:r>
      <w:proofErr w:type="gramStart"/>
      <w:r w:rsidRPr="005F70F3">
        <w:rPr>
          <w:sz w:val="24"/>
          <w:szCs w:val="24"/>
        </w:rPr>
        <w:t>ISS trin</w:t>
      </w:r>
      <w:proofErr w:type="gramEnd"/>
      <w:r w:rsidRPr="005F70F3">
        <w:rPr>
          <w:sz w:val="24"/>
          <w:szCs w:val="24"/>
        </w:rPr>
        <w:t xml:space="preserve"> III, ECOG PS </w:t>
      </w:r>
      <w:r>
        <w:rPr>
          <w:sz w:val="24"/>
          <w:szCs w:val="24"/>
        </w:rPr>
        <w:t>≥</w:t>
      </w:r>
      <w:r w:rsidRPr="005F70F3">
        <w:rPr>
          <w:sz w:val="24"/>
          <w:szCs w:val="24"/>
        </w:rPr>
        <w:t> 2 eller kreatininclearance &lt; 60 ml/min (se pkt. 4.2 og 4.8).</w:t>
      </w:r>
    </w:p>
    <w:p w:rsidR="00B85B64" w:rsidRPr="005F70F3" w:rsidRDefault="00B85B64" w:rsidP="00B85B64">
      <w:pPr>
        <w:suppressAutoHyphens/>
        <w:ind w:left="851"/>
        <w:rPr>
          <w:sz w:val="24"/>
          <w:szCs w:val="24"/>
        </w:rPr>
      </w:pPr>
    </w:p>
    <w:p w:rsidR="00B85B64" w:rsidRPr="005F70F3" w:rsidRDefault="00B85B64" w:rsidP="00B85B64">
      <w:pPr>
        <w:suppressAutoHyphens/>
        <w:ind w:left="851"/>
        <w:rPr>
          <w:i/>
          <w:sz w:val="24"/>
          <w:szCs w:val="24"/>
        </w:rPr>
      </w:pPr>
      <w:r w:rsidRPr="005F70F3">
        <w:rPr>
          <w:i/>
          <w:sz w:val="24"/>
          <w:szCs w:val="24"/>
        </w:rPr>
        <w:t>Katarakt</w:t>
      </w:r>
    </w:p>
    <w:p w:rsidR="00B85B64" w:rsidRPr="005F70F3" w:rsidRDefault="00B85B64" w:rsidP="00B85B64">
      <w:pPr>
        <w:suppressAutoHyphens/>
        <w:ind w:left="851"/>
        <w:rPr>
          <w:sz w:val="24"/>
          <w:szCs w:val="24"/>
        </w:rPr>
      </w:pPr>
      <w:r w:rsidRPr="005F70F3">
        <w:rPr>
          <w:sz w:val="24"/>
          <w:szCs w:val="24"/>
        </w:rPr>
        <w:t>Der er blevet rapporteret katarakt med en større hyppighed hos patienter, der fik lenalidomid i kombination med dexamethason, især når det blev anvendt i længere tid. Det anbefales at overvåge synsevnen regelmæssigt.</w:t>
      </w:r>
    </w:p>
    <w:p w:rsidR="00B85B64" w:rsidRDefault="00B85B64" w:rsidP="00B85B64">
      <w:pPr>
        <w:tabs>
          <w:tab w:val="left" w:pos="851"/>
        </w:tabs>
        <w:ind w:left="851"/>
        <w:rPr>
          <w:sz w:val="24"/>
          <w:szCs w:val="24"/>
        </w:rPr>
      </w:pPr>
    </w:p>
    <w:p w:rsidR="00B85B64" w:rsidRPr="00C405D2" w:rsidRDefault="00B85B64" w:rsidP="00B85B64">
      <w:pPr>
        <w:tabs>
          <w:tab w:val="left" w:pos="851"/>
        </w:tabs>
        <w:ind w:left="851"/>
        <w:rPr>
          <w:i/>
          <w:sz w:val="24"/>
          <w:szCs w:val="24"/>
        </w:rPr>
      </w:pPr>
      <w:r w:rsidRPr="00C405D2">
        <w:rPr>
          <w:i/>
          <w:sz w:val="24"/>
          <w:szCs w:val="24"/>
        </w:rPr>
        <w:t>Lactoseintolerans</w:t>
      </w:r>
    </w:p>
    <w:p w:rsidR="00B85B64" w:rsidRPr="00C405D2" w:rsidRDefault="00B85B64" w:rsidP="00B85B64">
      <w:pPr>
        <w:tabs>
          <w:tab w:val="left" w:pos="851"/>
        </w:tabs>
        <w:ind w:left="851"/>
        <w:rPr>
          <w:sz w:val="24"/>
          <w:szCs w:val="24"/>
        </w:rPr>
      </w:pPr>
      <w:r w:rsidRPr="00C405D2">
        <w:rPr>
          <w:sz w:val="24"/>
          <w:szCs w:val="24"/>
        </w:rPr>
        <w:t>Lenalidomide "Glenmark kapsler indeholder lactose. Bør ikke anvendes til patienter med hereditær galactoseintolerans, total lactasemangel eller glucose/galactosemalabsorption.</w:t>
      </w:r>
    </w:p>
    <w:p w:rsidR="00B85B64" w:rsidRDefault="00B85B64" w:rsidP="00B85B64">
      <w:pPr>
        <w:suppressAutoHyphens/>
        <w:ind w:left="851"/>
        <w:rPr>
          <w:b/>
          <w:noProof/>
          <w:sz w:val="24"/>
          <w:szCs w:val="24"/>
        </w:rPr>
      </w:pPr>
    </w:p>
    <w:p w:rsidR="00B85B64" w:rsidRPr="000F2B51" w:rsidRDefault="00B85B64" w:rsidP="00B85B64">
      <w:pPr>
        <w:suppressAutoHyphens/>
        <w:ind w:left="851"/>
        <w:rPr>
          <w:i/>
          <w:noProof/>
          <w:sz w:val="24"/>
          <w:szCs w:val="24"/>
        </w:rPr>
      </w:pPr>
      <w:r w:rsidRPr="000F2B51">
        <w:rPr>
          <w:i/>
          <w:noProof/>
          <w:sz w:val="24"/>
          <w:szCs w:val="24"/>
        </w:rPr>
        <w:t>Lenalidomide “Glenmark” indeholder natrium</w:t>
      </w:r>
    </w:p>
    <w:p w:rsidR="00B85B64" w:rsidRPr="00013419" w:rsidRDefault="00B85B64" w:rsidP="00B85B64">
      <w:pPr>
        <w:suppressAutoHyphens/>
        <w:ind w:left="851"/>
        <w:rPr>
          <w:sz w:val="24"/>
          <w:szCs w:val="24"/>
          <w:u w:val="single"/>
        </w:rPr>
      </w:pPr>
      <w:r w:rsidRPr="00013419">
        <w:rPr>
          <w:noProof/>
          <w:sz w:val="24"/>
          <w:szCs w:val="24"/>
        </w:rPr>
        <w:t xml:space="preserve">Dette lægemiddel indeholder mindre end 1 mmol (23 mg) natrium per kapsel, dvs. det er i det væsentlige natriumfrit. </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42243E" w:rsidRPr="0042243E" w:rsidRDefault="0042243E" w:rsidP="0042243E">
      <w:pPr>
        <w:tabs>
          <w:tab w:val="left" w:pos="851"/>
        </w:tabs>
        <w:ind w:left="851"/>
        <w:rPr>
          <w:sz w:val="24"/>
          <w:szCs w:val="24"/>
        </w:rPr>
      </w:pPr>
      <w:r w:rsidRPr="0042243E">
        <w:rPr>
          <w:sz w:val="24"/>
          <w:szCs w:val="24"/>
        </w:rPr>
        <w:t>Erytropoietiner eller andre stoffer, som kan øge risikoen for trombose som f.eks. hormonsubstitutionsbehandling, bør anvendes med forsigtighed hos patienter med myelomatose, som får lenalidomid sammen med dexamethason (se pkt. 4.4 og 4.8).</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u w:val="single"/>
        </w:rPr>
        <w:t>Orale præventionsmidler</w:t>
      </w:r>
    </w:p>
    <w:p w:rsidR="0042243E" w:rsidRPr="0042243E" w:rsidRDefault="0042243E" w:rsidP="0042243E">
      <w:pPr>
        <w:tabs>
          <w:tab w:val="left" w:pos="851"/>
        </w:tabs>
        <w:ind w:left="851"/>
        <w:rPr>
          <w:sz w:val="24"/>
          <w:szCs w:val="24"/>
        </w:rPr>
      </w:pPr>
      <w:r w:rsidRPr="0042243E">
        <w:rPr>
          <w:sz w:val="24"/>
          <w:szCs w:val="24"/>
        </w:rPr>
        <w:t xml:space="preserve">Der er ikke udført interaktionsstudier med orale præventionsmidler. Lenalidomid er ikke en enzyminduktor. I et </w:t>
      </w:r>
      <w:r w:rsidRPr="0042243E">
        <w:rPr>
          <w:i/>
          <w:sz w:val="24"/>
          <w:szCs w:val="24"/>
        </w:rPr>
        <w:t>in vitro-</w:t>
      </w:r>
      <w:r w:rsidRPr="0042243E">
        <w:rPr>
          <w:sz w:val="24"/>
          <w:szCs w:val="24"/>
        </w:rPr>
        <w:t xml:space="preserve">studie med humane hepatocytter inducerede lenalidomid i de forskellige undersøgte koncentrationer ikke CYP1A2, CYP2B6, CYP2C9, CYP2C19 og CYP3A4/5. Derfor forventes der ingen induktion, som fører til reduceret virkning af lægemidler, herunder hormonelle præventionsmidler, hvis lenalidomid administreres alene. Dexamethason er imidlertid kendt som en svag til moderat induktor af CYP3A4 og påvirker sandsynligvis også andre enzymer samt transportproteiner. Det kan ikke </w:t>
      </w:r>
      <w:r w:rsidRPr="0042243E">
        <w:rPr>
          <w:sz w:val="24"/>
          <w:szCs w:val="24"/>
        </w:rPr>
        <w:lastRenderedPageBreak/>
        <w:t>udelukkes, at virkningen af orale præventionsmidler reduceres under behandlingen. Der skal tages effektive forholdsregler for at undgå graviditet (se pkt. 4.4 og 4.6).</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u w:val="single"/>
        </w:rPr>
        <w:t>Warfarin</w:t>
      </w:r>
    </w:p>
    <w:p w:rsidR="0042243E" w:rsidRPr="0042243E" w:rsidRDefault="0042243E" w:rsidP="0042243E">
      <w:pPr>
        <w:tabs>
          <w:tab w:val="left" w:pos="851"/>
        </w:tabs>
        <w:ind w:left="851"/>
        <w:rPr>
          <w:sz w:val="24"/>
          <w:szCs w:val="24"/>
        </w:rPr>
      </w:pPr>
      <w:r w:rsidRPr="0042243E">
        <w:rPr>
          <w:sz w:val="24"/>
          <w:szCs w:val="24"/>
        </w:rPr>
        <w:t>Samtidig administration af flere 10 mg doser af lenalidomid havde ingen virkning på R- og S</w:t>
      </w:r>
      <w:r w:rsidRPr="0042243E">
        <w:rPr>
          <w:sz w:val="24"/>
          <w:szCs w:val="24"/>
        </w:rPr>
        <w:noBreakHyphen/>
        <w:t>warfarins enkeltdosisfarmakokinetik. Samtidig administration af en enkelt dosis på 25 mg warfarin havde ingen virkning på farmakokinetikken for lenalidomid. Det vides imidlertid ikke, om der er en interaktion ved klinisk anvendelse (samtidig behandling med dexamethason). Dexamethason er en svag til moderat enzyminduktor, og dens effekt på warfarin kendes ikke. Omhyggelig overvågning af warfarin-koncentrationen tilrådes under behandlingen.</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u w:val="single"/>
        </w:rPr>
        <w:t>Digoxin</w:t>
      </w:r>
    </w:p>
    <w:p w:rsidR="0042243E" w:rsidRPr="0042243E" w:rsidRDefault="0042243E" w:rsidP="0042243E">
      <w:pPr>
        <w:tabs>
          <w:tab w:val="left" w:pos="851"/>
        </w:tabs>
        <w:ind w:left="851"/>
        <w:rPr>
          <w:sz w:val="24"/>
          <w:szCs w:val="24"/>
        </w:rPr>
      </w:pPr>
      <w:r w:rsidRPr="0042243E">
        <w:rPr>
          <w:sz w:val="24"/>
          <w:szCs w:val="24"/>
        </w:rPr>
        <w:t>Samtidig administration af lenalidomid 10 mg en gang daglig øgede digoxins plasmaeksponering (0,5 mg, enkeltdosis) med 14 % med 90 % CI (konfidensinterval) [0,52 %-28,2 %]. Det vides ikke, om virkningen er anderledes ved klinisk anvendelse (højere lenalidomid-doser og samtidig behandling med dexamethason). Digoxin-koncentrationen bør derfor monitoreres under behandlingen med lenalidomid.</w:t>
      </w:r>
    </w:p>
    <w:p w:rsidR="0042243E" w:rsidRPr="0042243E" w:rsidRDefault="0042243E" w:rsidP="0042243E">
      <w:pPr>
        <w:tabs>
          <w:tab w:val="left" w:pos="851"/>
        </w:tabs>
        <w:ind w:left="851"/>
        <w:rPr>
          <w:sz w:val="24"/>
          <w:szCs w:val="24"/>
        </w:rPr>
      </w:pPr>
    </w:p>
    <w:p w:rsidR="0042243E" w:rsidRPr="0042243E" w:rsidRDefault="0042243E" w:rsidP="007366DD">
      <w:pPr>
        <w:keepNext/>
        <w:tabs>
          <w:tab w:val="left" w:pos="851"/>
        </w:tabs>
        <w:ind w:left="851"/>
        <w:rPr>
          <w:sz w:val="24"/>
          <w:szCs w:val="24"/>
        </w:rPr>
      </w:pPr>
      <w:r w:rsidRPr="0042243E">
        <w:rPr>
          <w:sz w:val="24"/>
          <w:szCs w:val="24"/>
          <w:u w:val="single"/>
        </w:rPr>
        <w:t>Statiner</w:t>
      </w:r>
    </w:p>
    <w:p w:rsidR="0042243E" w:rsidRPr="0042243E" w:rsidRDefault="0042243E" w:rsidP="0042243E">
      <w:pPr>
        <w:tabs>
          <w:tab w:val="left" w:pos="851"/>
        </w:tabs>
        <w:ind w:left="851"/>
        <w:rPr>
          <w:sz w:val="24"/>
          <w:szCs w:val="24"/>
        </w:rPr>
      </w:pPr>
      <w:r w:rsidRPr="0042243E">
        <w:rPr>
          <w:sz w:val="24"/>
          <w:szCs w:val="24"/>
        </w:rPr>
        <w:t xml:space="preserve">Der er en øget risiko for rhabdomyolyse, når statiner administreres samtidigt med lenalidomid, muligvis blot en </w:t>
      </w:r>
      <w:proofErr w:type="gramStart"/>
      <w:r w:rsidRPr="0042243E">
        <w:rPr>
          <w:sz w:val="24"/>
          <w:szCs w:val="24"/>
        </w:rPr>
        <w:t>additiv risiko</w:t>
      </w:r>
      <w:proofErr w:type="gramEnd"/>
      <w:r w:rsidRPr="0042243E">
        <w:rPr>
          <w:sz w:val="24"/>
          <w:szCs w:val="24"/>
        </w:rPr>
        <w:t>. Øget klinisk og laboratoriemæssig overvågning er påkrævet, især i de første behandlingsuger.</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u w:val="single"/>
        </w:rPr>
        <w:t>Dexamethason</w:t>
      </w:r>
    </w:p>
    <w:p w:rsidR="0042243E" w:rsidRPr="0042243E" w:rsidRDefault="0042243E" w:rsidP="0042243E">
      <w:pPr>
        <w:tabs>
          <w:tab w:val="left" w:pos="851"/>
        </w:tabs>
        <w:ind w:left="851"/>
        <w:rPr>
          <w:sz w:val="24"/>
          <w:szCs w:val="24"/>
        </w:rPr>
      </w:pPr>
      <w:r w:rsidRPr="0042243E">
        <w:rPr>
          <w:sz w:val="24"/>
          <w:szCs w:val="24"/>
        </w:rPr>
        <w:t>Samtidig administration af enkelte eller flere doser dexamethason (40 mg en gang daglig) har ingen klinisk relevant virkning på farmakokinetikken af lenalidomid efter gentagne doser (25 mg en gang daglig).</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u w:val="single"/>
        </w:rPr>
        <w:t>Interaktioner med P-glykoprotein (P-</w:t>
      </w:r>
      <w:proofErr w:type="gramStart"/>
      <w:r w:rsidRPr="0042243E">
        <w:rPr>
          <w:sz w:val="24"/>
          <w:szCs w:val="24"/>
          <w:u w:val="single"/>
        </w:rPr>
        <w:t>gp)-</w:t>
      </w:r>
      <w:proofErr w:type="gramEnd"/>
      <w:r w:rsidRPr="0042243E">
        <w:rPr>
          <w:sz w:val="24"/>
          <w:szCs w:val="24"/>
          <w:u w:val="single"/>
        </w:rPr>
        <w:t>hæmmere</w:t>
      </w:r>
    </w:p>
    <w:p w:rsidR="0042243E" w:rsidRPr="0042243E" w:rsidRDefault="0042243E" w:rsidP="0042243E">
      <w:pPr>
        <w:tabs>
          <w:tab w:val="left" w:pos="851"/>
        </w:tabs>
        <w:ind w:left="851"/>
        <w:rPr>
          <w:sz w:val="24"/>
          <w:szCs w:val="24"/>
        </w:rPr>
      </w:pPr>
      <w:r w:rsidRPr="0042243E">
        <w:rPr>
          <w:i/>
          <w:sz w:val="24"/>
          <w:szCs w:val="24"/>
        </w:rPr>
        <w:t xml:space="preserve">In vitro </w:t>
      </w:r>
      <w:r w:rsidRPr="0042243E">
        <w:rPr>
          <w:sz w:val="24"/>
          <w:szCs w:val="24"/>
        </w:rPr>
        <w:t>er lenalidomid et substrat for P-gp, men det er ikke en P-gp-hæmmer. Samtidig administration af flere doser af den potente P-gp-hæmmer quinidin (600 mg, to gange daglig) eller den moderate P</w:t>
      </w:r>
      <w:r w:rsidRPr="0042243E">
        <w:rPr>
          <w:sz w:val="24"/>
          <w:szCs w:val="24"/>
        </w:rPr>
        <w:noBreakHyphen/>
        <w:t>gp-hæmmer/substrat temsirolimus (25 mg) har ingen klinisk relevant virkning på lenalidomids farmakokinetik (25 mg). Samtidig administration af lenalidomid ændrer ikke temsirolimus’ farmakokinetik.</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r w:rsidR="00876C3D">
        <w:rPr>
          <w:b/>
          <w:sz w:val="24"/>
          <w:szCs w:val="24"/>
        </w:rPr>
        <w:t>Fertilitet, g</w:t>
      </w:r>
      <w:r w:rsidRPr="00C84483">
        <w:rPr>
          <w:b/>
          <w:sz w:val="24"/>
          <w:szCs w:val="24"/>
        </w:rPr>
        <w:t>raviditet og amning</w:t>
      </w:r>
    </w:p>
    <w:p w:rsidR="0042243E" w:rsidRPr="0042243E" w:rsidRDefault="0042243E" w:rsidP="0042243E">
      <w:pPr>
        <w:tabs>
          <w:tab w:val="left" w:pos="851"/>
        </w:tabs>
        <w:ind w:left="851"/>
        <w:rPr>
          <w:sz w:val="24"/>
          <w:szCs w:val="24"/>
        </w:rPr>
      </w:pPr>
      <w:r w:rsidRPr="0042243E">
        <w:rPr>
          <w:sz w:val="24"/>
          <w:szCs w:val="24"/>
        </w:rPr>
        <w:t>På grund af lenalidomids teratogene potentiale skal det ordineres under et program til svangerskabsforebyggelse (se pkt. 4.4), medmindre der er pålidelig evidens for, at patienten ikke er fertil.</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u w:val="single"/>
        </w:rPr>
        <w:t>Kvinder i den fertile alder/kontraception hos mænd og kvinder</w:t>
      </w:r>
    </w:p>
    <w:p w:rsidR="0042243E" w:rsidRPr="0042243E" w:rsidRDefault="0042243E" w:rsidP="0042243E">
      <w:pPr>
        <w:tabs>
          <w:tab w:val="left" w:pos="851"/>
        </w:tabs>
        <w:ind w:left="851"/>
        <w:rPr>
          <w:sz w:val="24"/>
          <w:szCs w:val="24"/>
        </w:rPr>
      </w:pPr>
      <w:r w:rsidRPr="0042243E">
        <w:rPr>
          <w:sz w:val="24"/>
          <w:szCs w:val="24"/>
        </w:rPr>
        <w:t>Kvinder i den fertile alder skal anvende en sikker kontraceptionsmetode. Hvis en kvinde, som er i behandling med lenalidomid, bliver gravid, skal behandlingen ophøre, og patienten skal henvises til en læge med speciale eller erfaring i teratologi til vurdering og rådgivning. Hvis en kvindelig partner til en mandlig patient, som tager lenalidomid, bliver gravid, anbefales det at henvise den kvindelige partner til en læge med speciale eller erfaring i teratologi til vurdering og rådgivning.</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rPr>
        <w:t xml:space="preserve">Lenalidomid er til stede i human sæd i ekstremt små mængder under behandlingen og kan ikke påvises i den humane sæd 3 dage efter seponering af stoffet hos raske forsøgspersoner </w:t>
      </w:r>
      <w:r w:rsidRPr="0042243E">
        <w:rPr>
          <w:sz w:val="24"/>
          <w:szCs w:val="24"/>
        </w:rPr>
        <w:lastRenderedPageBreak/>
        <w:t>(se pkt. 5.2). Som forholdsregel og under hensyntagen til særlige patientpopulationer med forlænget eliminationstid såsom ved nedsat nyrefunktion skal alle mandlige patienter, der er i behandling med lenalidomid, benytte kondom under hele behandlingen, under dosisafbrydelse og i 1 uge efter behandlingsophør, hvis deres partner er gravid eller i den fertile alder og ikke bruger kontraception.</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u w:val="single"/>
        </w:rPr>
        <w:t>Graviditet</w:t>
      </w:r>
    </w:p>
    <w:p w:rsidR="0042243E" w:rsidRPr="0042243E" w:rsidRDefault="0042243E" w:rsidP="0042243E">
      <w:pPr>
        <w:tabs>
          <w:tab w:val="left" w:pos="851"/>
        </w:tabs>
        <w:ind w:left="851"/>
        <w:rPr>
          <w:sz w:val="24"/>
          <w:szCs w:val="24"/>
        </w:rPr>
      </w:pPr>
      <w:r w:rsidRPr="0042243E">
        <w:rPr>
          <w:sz w:val="24"/>
          <w:szCs w:val="24"/>
        </w:rPr>
        <w:t>Lenalidomid er strukturelt i familie med thalidomid. Thalidomid er et kendt human-teratogent aktivt stof, som forårsager svære livstruende fødselsdefekter.</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rPr>
        <w:t>Hos aber medførte lenalidomid misdannelser, som ligner dem, der er beskrevet i forbindelse med thalidomid (se pkt. 5.3). Derfor kan det forventes, at lenalidomid har en teratogen virkning, og lenalidomid er kontraindiceret under graviditet (se pkt. 4.3).</w:t>
      </w:r>
    </w:p>
    <w:p w:rsidR="0042243E" w:rsidRPr="0042243E" w:rsidRDefault="0042243E" w:rsidP="0042243E">
      <w:pPr>
        <w:tabs>
          <w:tab w:val="left" w:pos="851"/>
        </w:tabs>
        <w:ind w:left="851"/>
        <w:rPr>
          <w:sz w:val="24"/>
          <w:szCs w:val="24"/>
        </w:rPr>
      </w:pPr>
    </w:p>
    <w:p w:rsidR="0042243E" w:rsidRPr="0042243E" w:rsidRDefault="0042243E" w:rsidP="0042243E">
      <w:pPr>
        <w:tabs>
          <w:tab w:val="left" w:pos="851"/>
        </w:tabs>
        <w:ind w:left="851"/>
        <w:rPr>
          <w:sz w:val="24"/>
          <w:szCs w:val="24"/>
        </w:rPr>
      </w:pPr>
      <w:r w:rsidRPr="0042243E">
        <w:rPr>
          <w:sz w:val="24"/>
          <w:szCs w:val="24"/>
          <w:u w:val="single"/>
        </w:rPr>
        <w:t>Amning</w:t>
      </w:r>
    </w:p>
    <w:p w:rsidR="0042243E" w:rsidRPr="0042243E" w:rsidRDefault="0042243E" w:rsidP="0042243E">
      <w:pPr>
        <w:tabs>
          <w:tab w:val="left" w:pos="851"/>
        </w:tabs>
        <w:ind w:left="851"/>
        <w:rPr>
          <w:sz w:val="24"/>
          <w:szCs w:val="24"/>
        </w:rPr>
      </w:pPr>
      <w:r w:rsidRPr="0042243E">
        <w:rPr>
          <w:sz w:val="24"/>
          <w:szCs w:val="24"/>
        </w:rPr>
        <w:t>Det er ukendt, om lenalidomid udskilles i modermælk. Derfor skal amning ophøre under behandling med lenalidomid.</w:t>
      </w:r>
    </w:p>
    <w:p w:rsidR="0042243E" w:rsidRPr="0042243E" w:rsidRDefault="0042243E" w:rsidP="0042243E">
      <w:pPr>
        <w:tabs>
          <w:tab w:val="left" w:pos="851"/>
        </w:tabs>
        <w:ind w:left="851"/>
        <w:rPr>
          <w:sz w:val="24"/>
          <w:szCs w:val="24"/>
        </w:rPr>
      </w:pPr>
    </w:p>
    <w:p w:rsidR="0042243E" w:rsidRPr="0042243E" w:rsidRDefault="0042243E" w:rsidP="007366DD">
      <w:pPr>
        <w:keepNext/>
        <w:tabs>
          <w:tab w:val="left" w:pos="851"/>
        </w:tabs>
        <w:ind w:left="851"/>
        <w:rPr>
          <w:sz w:val="24"/>
          <w:szCs w:val="24"/>
        </w:rPr>
      </w:pPr>
      <w:r w:rsidRPr="0042243E">
        <w:rPr>
          <w:sz w:val="24"/>
          <w:szCs w:val="24"/>
          <w:u w:val="single"/>
        </w:rPr>
        <w:t>Fertilitet</w:t>
      </w:r>
    </w:p>
    <w:p w:rsidR="0042243E" w:rsidRPr="0042243E" w:rsidRDefault="0042243E" w:rsidP="0042243E">
      <w:pPr>
        <w:tabs>
          <w:tab w:val="left" w:pos="851"/>
        </w:tabs>
        <w:ind w:left="851"/>
        <w:rPr>
          <w:sz w:val="24"/>
          <w:szCs w:val="24"/>
        </w:rPr>
      </w:pPr>
      <w:r w:rsidRPr="0042243E">
        <w:rPr>
          <w:sz w:val="24"/>
          <w:szCs w:val="24"/>
        </w:rPr>
        <w:t>Et fertilitetsstudie hos rotter med lenalidomid-doser på op til 500 mg/kg (cirka 200 til 500 gange de humane doser på hhv. 25 mg og 10 mg, baseret på legemsoverfladearealet) fremkaldte ingen uønskede virkninger på fertiliteten og ingen toksicitet for forældregenerationen.</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876C3D">
        <w:rPr>
          <w:b/>
          <w:sz w:val="24"/>
          <w:szCs w:val="24"/>
        </w:rPr>
        <w:t>og</w:t>
      </w:r>
      <w:r w:rsidRPr="00C84483">
        <w:rPr>
          <w:b/>
          <w:sz w:val="24"/>
          <w:szCs w:val="24"/>
        </w:rPr>
        <w:t xml:space="preserve"> betjene maskiner</w:t>
      </w:r>
    </w:p>
    <w:p w:rsidR="00FF6875" w:rsidRPr="00FF6875" w:rsidRDefault="00FF6875" w:rsidP="00FF6875">
      <w:pPr>
        <w:tabs>
          <w:tab w:val="left" w:pos="851"/>
        </w:tabs>
        <w:ind w:left="851"/>
        <w:rPr>
          <w:sz w:val="24"/>
          <w:szCs w:val="24"/>
        </w:rPr>
      </w:pPr>
      <w:r w:rsidRPr="00FF6875">
        <w:rPr>
          <w:sz w:val="24"/>
          <w:szCs w:val="24"/>
        </w:rPr>
        <w:t>Ikke mærkning.</w:t>
      </w:r>
    </w:p>
    <w:p w:rsidR="00FF6875" w:rsidRPr="00FF6875" w:rsidRDefault="00FF6875" w:rsidP="00FF6875">
      <w:pPr>
        <w:tabs>
          <w:tab w:val="left" w:pos="851"/>
        </w:tabs>
        <w:ind w:left="851"/>
        <w:rPr>
          <w:sz w:val="24"/>
          <w:szCs w:val="24"/>
        </w:rPr>
      </w:pPr>
      <w:r w:rsidRPr="00FF6875">
        <w:rPr>
          <w:sz w:val="24"/>
          <w:szCs w:val="24"/>
        </w:rPr>
        <w:t>Lenalidomid påvirker i mindre eller moderat grad evnen til at føre motorkøretøj og betjene maskiner. Træthed, svimmelhed, døsighed, vertigo og sløret syn er rapporteret under behandling med lenalidomid. Det anbefales derfor at udvise forsigtighed, når der føres motorkøretøj eller betjenes maskiner.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D83032" w:rsidRPr="00D83032" w:rsidRDefault="00D83032" w:rsidP="00D83032">
      <w:pPr>
        <w:ind w:left="851"/>
        <w:rPr>
          <w:sz w:val="24"/>
          <w:szCs w:val="24"/>
          <w:u w:val="single"/>
        </w:rPr>
      </w:pPr>
    </w:p>
    <w:p w:rsidR="00D83032" w:rsidRPr="00D83032" w:rsidRDefault="00D83032" w:rsidP="00D83032">
      <w:pPr>
        <w:ind w:left="851"/>
        <w:rPr>
          <w:sz w:val="24"/>
          <w:szCs w:val="24"/>
        </w:rPr>
      </w:pPr>
      <w:r w:rsidRPr="00D83032">
        <w:rPr>
          <w:sz w:val="24"/>
          <w:szCs w:val="24"/>
          <w:u w:val="single"/>
        </w:rPr>
        <w:t>Resumé af sikkerhedsprofilen</w:t>
      </w:r>
    </w:p>
    <w:p w:rsidR="00C21F5E" w:rsidRDefault="00C21F5E" w:rsidP="00D83032">
      <w:pPr>
        <w:ind w:left="851"/>
        <w:rPr>
          <w:i/>
          <w:sz w:val="24"/>
          <w:szCs w:val="24"/>
        </w:rPr>
      </w:pPr>
    </w:p>
    <w:p w:rsidR="00D83032" w:rsidRPr="00D83032" w:rsidRDefault="00D83032" w:rsidP="00D83032">
      <w:pPr>
        <w:ind w:left="851"/>
        <w:rPr>
          <w:i/>
          <w:sz w:val="24"/>
          <w:szCs w:val="24"/>
        </w:rPr>
      </w:pPr>
      <w:r w:rsidRPr="00D83032">
        <w:rPr>
          <w:i/>
          <w:sz w:val="24"/>
          <w:szCs w:val="24"/>
        </w:rPr>
        <w:t xml:space="preserve">Nydiagnosticeret myelomatose: </w:t>
      </w:r>
      <w:r w:rsidR="00C21F5E">
        <w:rPr>
          <w:i/>
          <w:sz w:val="24"/>
          <w:szCs w:val="24"/>
        </w:rPr>
        <w:t>P</w:t>
      </w:r>
      <w:r w:rsidRPr="00D83032">
        <w:rPr>
          <w:i/>
          <w:sz w:val="24"/>
          <w:szCs w:val="24"/>
        </w:rPr>
        <w:t>atienter, der har gennemgået ASCT og er i vedligeholdelsesbehandling med lenalidomid</w:t>
      </w:r>
    </w:p>
    <w:p w:rsidR="00D83032" w:rsidRPr="00D83032" w:rsidRDefault="00D83032" w:rsidP="00D83032">
      <w:pPr>
        <w:ind w:left="851"/>
        <w:rPr>
          <w:sz w:val="24"/>
          <w:szCs w:val="24"/>
        </w:rPr>
      </w:pPr>
      <w:r w:rsidRPr="00D83032">
        <w:rPr>
          <w:sz w:val="24"/>
          <w:szCs w:val="24"/>
        </w:rPr>
        <w:t>Der blev anvendt en konservativ tilgang til at bestemme bivirkningerne fra CALGB 100104. Bivirkningerne, der er beskrevet i tabel 1, omfatter hændelser, der blev rapporteret efter HDM/ASCT, samt hændelser fra perioden med vedligeholdelsesbehandling. En anden analyse, der identificerede hændelser, der forekom efter påbegyndelse af vedligeholdelsesbehandling, tyder på, at de hyppigheder, der er anført i tabel 1, kan være højere end dem, der rent faktisk blev observeret i perioden med vedligeholdelsesbehandling. I IFM 2005-02 stammede bivirkningerne kun fra perioden med vedligeholdelsesbehandling.</w:t>
      </w:r>
    </w:p>
    <w:p w:rsidR="00D83032" w:rsidRPr="00D83032" w:rsidRDefault="00D83032" w:rsidP="00D83032">
      <w:pPr>
        <w:ind w:left="851"/>
        <w:rPr>
          <w:sz w:val="24"/>
          <w:szCs w:val="24"/>
        </w:rPr>
      </w:pPr>
    </w:p>
    <w:p w:rsidR="00D83032" w:rsidRPr="00D83032" w:rsidRDefault="00D83032" w:rsidP="00D83032">
      <w:pPr>
        <w:ind w:left="851"/>
        <w:rPr>
          <w:sz w:val="24"/>
          <w:szCs w:val="24"/>
        </w:rPr>
      </w:pPr>
      <w:r w:rsidRPr="00D83032">
        <w:rPr>
          <w:sz w:val="24"/>
          <w:szCs w:val="24"/>
        </w:rPr>
        <w:t>De alvorlige bivirkninger, som blev observeret hyppigere (≥ 5 %) med lenalidomid-vedligeholdelsesbehandling end med placebo, var:</w:t>
      </w:r>
    </w:p>
    <w:p w:rsidR="00D83032" w:rsidRPr="00D83032" w:rsidRDefault="00D83032" w:rsidP="00C21F5E">
      <w:pPr>
        <w:numPr>
          <w:ilvl w:val="0"/>
          <w:numId w:val="7"/>
        </w:numPr>
        <w:ind w:left="1134" w:hanging="283"/>
        <w:rPr>
          <w:sz w:val="24"/>
          <w:szCs w:val="24"/>
        </w:rPr>
      </w:pPr>
      <w:r w:rsidRPr="00D83032">
        <w:rPr>
          <w:sz w:val="24"/>
          <w:szCs w:val="24"/>
        </w:rPr>
        <w:t>Pneumoni (10,6 %; kombineret term) fra IFM 2005-02</w:t>
      </w:r>
    </w:p>
    <w:p w:rsidR="00D83032" w:rsidRPr="00D83032" w:rsidRDefault="00D83032" w:rsidP="00C21F5E">
      <w:pPr>
        <w:numPr>
          <w:ilvl w:val="0"/>
          <w:numId w:val="7"/>
        </w:numPr>
        <w:ind w:left="1134" w:hanging="283"/>
        <w:rPr>
          <w:sz w:val="24"/>
          <w:szCs w:val="24"/>
        </w:rPr>
      </w:pPr>
      <w:r w:rsidRPr="00D83032">
        <w:rPr>
          <w:sz w:val="24"/>
          <w:szCs w:val="24"/>
        </w:rPr>
        <w:t>Lungeinfektion (9,4 % [9,4 % efter påbegyndelse af vedligeholdelsesbehandling]) fra CALGB 100104</w:t>
      </w:r>
    </w:p>
    <w:p w:rsidR="00D83032" w:rsidRPr="00D83032" w:rsidRDefault="00D83032" w:rsidP="00D83032">
      <w:pPr>
        <w:ind w:left="851"/>
        <w:rPr>
          <w:sz w:val="24"/>
          <w:szCs w:val="24"/>
        </w:rPr>
      </w:pPr>
    </w:p>
    <w:p w:rsidR="00D83032" w:rsidRPr="00D83032" w:rsidRDefault="00D83032" w:rsidP="00D83032">
      <w:pPr>
        <w:ind w:left="851"/>
        <w:rPr>
          <w:sz w:val="24"/>
          <w:szCs w:val="24"/>
        </w:rPr>
      </w:pPr>
      <w:r w:rsidRPr="00D83032">
        <w:rPr>
          <w:sz w:val="24"/>
          <w:szCs w:val="24"/>
        </w:rPr>
        <w:t>I IFM 2005-02-studiet var de bivirkninger, der blev observeret hyppigere med lenalidomid-vedligeholdelsesbehandling end med placebo, neutropeni (60,8 %), bronkitis (47,4 %), diarré (38,9 %), nasofaryngitis (34,8 %), muskelspasmer (33,4 %), leukopeni (31,7 %), asteni (29,7 %), hoste (27,3 %), trombocytopeni (23,5 %), gastroenteritis (22,5 %) og pyreksi (20,5 %).</w:t>
      </w:r>
    </w:p>
    <w:p w:rsidR="00D83032" w:rsidRPr="00D83032" w:rsidRDefault="00D83032" w:rsidP="00D83032">
      <w:pPr>
        <w:ind w:left="851"/>
        <w:rPr>
          <w:sz w:val="24"/>
          <w:szCs w:val="24"/>
        </w:rPr>
      </w:pPr>
    </w:p>
    <w:p w:rsidR="00D83032" w:rsidRDefault="00D83032" w:rsidP="00D83032">
      <w:pPr>
        <w:ind w:left="851"/>
        <w:rPr>
          <w:sz w:val="24"/>
          <w:szCs w:val="24"/>
        </w:rPr>
      </w:pPr>
      <w:r w:rsidRPr="00D83032">
        <w:rPr>
          <w:sz w:val="24"/>
          <w:szCs w:val="24"/>
        </w:rPr>
        <w:t>I CALGB 100104-studiet var de bivirkninger, der blev observeret hyppigere med lenalidomid-vedligeholdelsesbehandling end med placebo, neutropeni (79,0 % [71,9 % efter påbegyndelse af vedligeholdelsesbehandling]), trombocytopeni (72,3 % [61,6 %]), diarré (54,5 % [46,4 %]), udslæt (31,7 % [25,0 %]), øvre luftvejsinfektion (26,8 % [26,8 %], træthed (22,8 % [17,9 %]), leukopeni (22,8 % [18,8 %]) og anæmi (21,0 % [13,8 %]).</w:t>
      </w:r>
    </w:p>
    <w:p w:rsidR="005F70F3" w:rsidRDefault="005F70F3" w:rsidP="00D83032">
      <w:pPr>
        <w:ind w:left="851"/>
        <w:rPr>
          <w:sz w:val="24"/>
          <w:szCs w:val="24"/>
        </w:rPr>
      </w:pPr>
    </w:p>
    <w:p w:rsidR="005F70F3" w:rsidRPr="005F70F3" w:rsidRDefault="005F70F3" w:rsidP="007366DD">
      <w:pPr>
        <w:keepNext/>
        <w:ind w:left="851"/>
        <w:rPr>
          <w:i/>
          <w:sz w:val="24"/>
          <w:szCs w:val="24"/>
        </w:rPr>
      </w:pPr>
      <w:r w:rsidRPr="005F70F3">
        <w:rPr>
          <w:i/>
          <w:sz w:val="24"/>
          <w:szCs w:val="24"/>
        </w:rPr>
        <w:t xml:space="preserve">Nydiagnosticeret myelomatose hos patienter, som ikke er egnede til transplantation, der får lenalidomid i kombination med bortezomib og dexamethason </w:t>
      </w:r>
    </w:p>
    <w:p w:rsidR="005F70F3" w:rsidRPr="005F70F3" w:rsidRDefault="005F70F3" w:rsidP="005F70F3">
      <w:pPr>
        <w:ind w:left="851"/>
        <w:rPr>
          <w:sz w:val="24"/>
          <w:szCs w:val="24"/>
        </w:rPr>
      </w:pPr>
      <w:r w:rsidRPr="005F70F3">
        <w:rPr>
          <w:sz w:val="24"/>
          <w:szCs w:val="24"/>
        </w:rPr>
        <w:t>I SWOG S0777-studiet var de alvorlige bivirkninger, som blev observeret hyppigere (≥ 5 %) med lenalidomid i kombination med intravenøs bortezomib og dexamethason end med lenalidomid i kombination med dexamethason:</w:t>
      </w:r>
    </w:p>
    <w:p w:rsidR="005F70F3" w:rsidRPr="005F70F3" w:rsidRDefault="005F70F3" w:rsidP="005F70F3">
      <w:pPr>
        <w:ind w:left="851"/>
        <w:rPr>
          <w:i/>
          <w:sz w:val="24"/>
          <w:szCs w:val="24"/>
        </w:rPr>
      </w:pPr>
    </w:p>
    <w:p w:rsidR="005F70F3" w:rsidRPr="005F70F3" w:rsidRDefault="005F70F3" w:rsidP="005F70F3">
      <w:pPr>
        <w:ind w:left="851"/>
        <w:rPr>
          <w:sz w:val="24"/>
          <w:szCs w:val="24"/>
        </w:rPr>
      </w:pPr>
      <w:r w:rsidRPr="005F70F3">
        <w:rPr>
          <w:sz w:val="24"/>
          <w:szCs w:val="24"/>
        </w:rPr>
        <w:t xml:space="preserve">• Hypotension (6,5 %), lungeinfektion (5,7 %), dehydrering (5,0 %) </w:t>
      </w:r>
    </w:p>
    <w:p w:rsidR="005F70F3" w:rsidRPr="005F70F3" w:rsidRDefault="005F70F3" w:rsidP="005F70F3">
      <w:pPr>
        <w:ind w:left="851"/>
        <w:rPr>
          <w:sz w:val="24"/>
          <w:szCs w:val="24"/>
        </w:rPr>
      </w:pPr>
      <w:r w:rsidRPr="005F70F3">
        <w:rPr>
          <w:sz w:val="24"/>
          <w:szCs w:val="24"/>
        </w:rPr>
        <w:t xml:space="preserve"> </w:t>
      </w:r>
    </w:p>
    <w:p w:rsidR="005F70F3" w:rsidRPr="005F70F3" w:rsidRDefault="005F70F3" w:rsidP="005F70F3">
      <w:pPr>
        <w:ind w:left="851"/>
        <w:rPr>
          <w:sz w:val="24"/>
          <w:szCs w:val="24"/>
        </w:rPr>
      </w:pPr>
      <w:r w:rsidRPr="005F70F3">
        <w:rPr>
          <w:sz w:val="24"/>
          <w:szCs w:val="24"/>
        </w:rPr>
        <w:t xml:space="preserve">Bivirkningerne, som blev observeret hyppigere med lenalidomid i kombination med bortezomib og dexamethason end med lenalidomid i kombination med dexamethason, var: Træthed (73,7 %), perifer neuropati (71,8 %), trombocytopeni (57,6 %), forstoppelse (56,1 %), hypocalcæmi (50,0 %). </w:t>
      </w:r>
    </w:p>
    <w:p w:rsidR="00D83032" w:rsidRPr="00D83032" w:rsidRDefault="00D83032" w:rsidP="00D83032">
      <w:pPr>
        <w:ind w:left="851"/>
        <w:rPr>
          <w:sz w:val="24"/>
          <w:szCs w:val="24"/>
        </w:rPr>
      </w:pPr>
    </w:p>
    <w:p w:rsidR="00D83032" w:rsidRPr="00D83032" w:rsidRDefault="00D83032" w:rsidP="00D83032">
      <w:pPr>
        <w:ind w:left="851"/>
        <w:rPr>
          <w:i/>
          <w:sz w:val="24"/>
          <w:szCs w:val="24"/>
        </w:rPr>
      </w:pPr>
      <w:r w:rsidRPr="00D83032">
        <w:rPr>
          <w:i/>
          <w:sz w:val="24"/>
          <w:szCs w:val="24"/>
        </w:rPr>
        <w:t>Nydiagnosticeret myelomatose hos patienter, som ikke er egnede til transplantation, og som er i behandling med lenalidomid i kombination med lavdosis dexamethason</w:t>
      </w:r>
    </w:p>
    <w:p w:rsidR="00D83032" w:rsidRPr="00D83032" w:rsidRDefault="00D83032" w:rsidP="00D83032">
      <w:pPr>
        <w:ind w:left="851"/>
        <w:rPr>
          <w:sz w:val="24"/>
          <w:szCs w:val="24"/>
        </w:rPr>
      </w:pPr>
      <w:r w:rsidRPr="00D83032">
        <w:rPr>
          <w:sz w:val="24"/>
          <w:szCs w:val="24"/>
        </w:rPr>
        <w:t>De alvorlige bivirkninger, som hyppigere blev observeret (≥ 5 %) med lenalidomid i kombination med lavdosis dexamethason (Rd and Rd18) end med melphalan, prednison og thalidomid (MPT), var:</w:t>
      </w:r>
    </w:p>
    <w:p w:rsidR="00D83032" w:rsidRPr="00D83032" w:rsidRDefault="00D83032" w:rsidP="00C21F5E">
      <w:pPr>
        <w:numPr>
          <w:ilvl w:val="0"/>
          <w:numId w:val="7"/>
        </w:numPr>
        <w:ind w:left="1134" w:hanging="283"/>
        <w:rPr>
          <w:sz w:val="24"/>
          <w:szCs w:val="24"/>
        </w:rPr>
      </w:pPr>
      <w:r w:rsidRPr="00D83032">
        <w:rPr>
          <w:sz w:val="24"/>
          <w:szCs w:val="24"/>
        </w:rPr>
        <w:t>Lungebetændelse (9,8 %)</w:t>
      </w:r>
    </w:p>
    <w:p w:rsidR="00D83032" w:rsidRPr="00D83032" w:rsidRDefault="00D83032" w:rsidP="00C21F5E">
      <w:pPr>
        <w:numPr>
          <w:ilvl w:val="0"/>
          <w:numId w:val="7"/>
        </w:numPr>
        <w:ind w:left="1134" w:hanging="283"/>
        <w:rPr>
          <w:sz w:val="24"/>
          <w:szCs w:val="24"/>
        </w:rPr>
      </w:pPr>
      <w:r w:rsidRPr="00D83032">
        <w:rPr>
          <w:sz w:val="24"/>
          <w:szCs w:val="24"/>
        </w:rPr>
        <w:t>Nyresvigt (herunder akut) (6,3 %)</w:t>
      </w:r>
    </w:p>
    <w:p w:rsidR="00D83032" w:rsidRPr="00D83032" w:rsidRDefault="00D83032" w:rsidP="00D83032">
      <w:pPr>
        <w:ind w:left="851"/>
        <w:rPr>
          <w:sz w:val="24"/>
          <w:szCs w:val="24"/>
        </w:rPr>
      </w:pPr>
    </w:p>
    <w:p w:rsidR="00D83032" w:rsidRPr="00D83032" w:rsidRDefault="00D83032" w:rsidP="00D83032">
      <w:pPr>
        <w:ind w:left="851"/>
        <w:rPr>
          <w:sz w:val="24"/>
          <w:szCs w:val="24"/>
        </w:rPr>
      </w:pPr>
      <w:r w:rsidRPr="00D83032">
        <w:rPr>
          <w:sz w:val="24"/>
          <w:szCs w:val="24"/>
        </w:rPr>
        <w:t>De bivirkninger, der hyppigere blev observeret med Rd eller Rd18 end med MPT, var: diarré (45,5 %), træthed (32,8 %), rygsmerter (32,0 %), asteni (28,2 %), insomni (27,6 %), udslæt (24,3 %), nedsat appetit (23,1 %), hoste (22,7 %), pyreksi (21,4 %) og muskelspasmer (20,5 %).</w:t>
      </w:r>
    </w:p>
    <w:p w:rsidR="00D83032" w:rsidRPr="00D83032" w:rsidRDefault="00D83032" w:rsidP="00D83032">
      <w:pPr>
        <w:ind w:left="851"/>
        <w:rPr>
          <w:sz w:val="24"/>
          <w:szCs w:val="24"/>
        </w:rPr>
      </w:pPr>
    </w:p>
    <w:p w:rsidR="00D83032" w:rsidRPr="00D83032" w:rsidRDefault="00D83032" w:rsidP="00D83032">
      <w:pPr>
        <w:ind w:left="851"/>
        <w:rPr>
          <w:i/>
          <w:sz w:val="24"/>
          <w:szCs w:val="24"/>
        </w:rPr>
      </w:pPr>
      <w:r w:rsidRPr="00D83032">
        <w:rPr>
          <w:i/>
          <w:sz w:val="24"/>
          <w:szCs w:val="24"/>
        </w:rPr>
        <w:t>Nydiagnosticeret myelomatose hos patienter, som ikke er egnede til transplantation, og som er i behandling med lenalidomid i kombination med melphalan og prednison</w:t>
      </w:r>
    </w:p>
    <w:p w:rsidR="00D83032" w:rsidRPr="00D83032" w:rsidRDefault="00D83032" w:rsidP="00D83032">
      <w:pPr>
        <w:ind w:left="851"/>
        <w:rPr>
          <w:sz w:val="24"/>
          <w:szCs w:val="24"/>
        </w:rPr>
      </w:pPr>
      <w:r w:rsidRPr="00D83032">
        <w:rPr>
          <w:sz w:val="24"/>
          <w:szCs w:val="24"/>
        </w:rPr>
        <w:t>De alvorlige bivirkninger, der hyppigere blev observeret (≥ 5 %) med melphalan, prednison og lenalidomid, efterfulgt af vedligeholdelse med lenalidomid (MPR+R) eller melphalan, prednison og lenalidomid, efterfulgt af placebo (MPR+p) end med melphalan, prednison og placebo, efterfulgt af placebo (MPp+p), var:</w:t>
      </w:r>
    </w:p>
    <w:p w:rsidR="00D83032" w:rsidRPr="00D83032" w:rsidRDefault="00D83032" w:rsidP="00C21F5E">
      <w:pPr>
        <w:numPr>
          <w:ilvl w:val="0"/>
          <w:numId w:val="7"/>
        </w:numPr>
        <w:ind w:left="1134" w:hanging="283"/>
        <w:rPr>
          <w:sz w:val="24"/>
          <w:szCs w:val="24"/>
        </w:rPr>
      </w:pPr>
      <w:r w:rsidRPr="00D83032">
        <w:rPr>
          <w:sz w:val="24"/>
          <w:szCs w:val="24"/>
        </w:rPr>
        <w:t>Febril neutropeni (6,0 %)</w:t>
      </w:r>
    </w:p>
    <w:p w:rsidR="00D83032" w:rsidRPr="00D83032" w:rsidRDefault="00D83032" w:rsidP="00C21F5E">
      <w:pPr>
        <w:numPr>
          <w:ilvl w:val="0"/>
          <w:numId w:val="7"/>
        </w:numPr>
        <w:ind w:left="1134" w:hanging="283"/>
        <w:rPr>
          <w:sz w:val="24"/>
          <w:szCs w:val="24"/>
        </w:rPr>
      </w:pPr>
      <w:r w:rsidRPr="00D83032">
        <w:rPr>
          <w:sz w:val="24"/>
          <w:szCs w:val="24"/>
        </w:rPr>
        <w:t>Anæmi (5,3 %)</w:t>
      </w:r>
    </w:p>
    <w:p w:rsidR="00D83032" w:rsidRPr="00D83032" w:rsidRDefault="00D83032" w:rsidP="00D83032">
      <w:pPr>
        <w:ind w:left="851"/>
        <w:rPr>
          <w:sz w:val="24"/>
          <w:szCs w:val="24"/>
        </w:rPr>
      </w:pPr>
    </w:p>
    <w:p w:rsidR="00D83032" w:rsidRPr="00D83032" w:rsidRDefault="00D83032" w:rsidP="00D83032">
      <w:pPr>
        <w:ind w:left="851"/>
        <w:rPr>
          <w:sz w:val="24"/>
          <w:szCs w:val="24"/>
        </w:rPr>
      </w:pPr>
      <w:r w:rsidRPr="00D83032">
        <w:rPr>
          <w:sz w:val="24"/>
          <w:szCs w:val="24"/>
        </w:rPr>
        <w:t xml:space="preserve">De bivirkninger, der hyppigere blev observeret med MPR+R eller MPR+p end med MPp+p var: neutropeni (83,3 %), anæmi (70,7 %), trombocytopeni (70,0 %), leukopeni </w:t>
      </w:r>
      <w:r w:rsidRPr="00D83032">
        <w:rPr>
          <w:sz w:val="24"/>
          <w:szCs w:val="24"/>
        </w:rPr>
        <w:lastRenderedPageBreak/>
        <w:t>(38,8 %), forstoppelse (34,0 %), diarré (33,3 %), udslæt (28,9 %), pyreksi (27,0 %), perifert ødem (25,0 %), hoste (24,0 %), nedsat appetit (23,7 %) og asteni (22,0 %).</w:t>
      </w:r>
    </w:p>
    <w:p w:rsidR="00D83032" w:rsidRPr="00D83032" w:rsidRDefault="00D83032" w:rsidP="00D83032">
      <w:pPr>
        <w:ind w:left="851"/>
        <w:rPr>
          <w:sz w:val="24"/>
          <w:szCs w:val="24"/>
        </w:rPr>
      </w:pPr>
    </w:p>
    <w:p w:rsidR="00D83032" w:rsidRPr="00D83032" w:rsidRDefault="00D83032" w:rsidP="00D83032">
      <w:pPr>
        <w:ind w:left="851"/>
        <w:rPr>
          <w:i/>
          <w:sz w:val="24"/>
          <w:szCs w:val="24"/>
        </w:rPr>
      </w:pPr>
      <w:r w:rsidRPr="00D83032">
        <w:rPr>
          <w:i/>
          <w:sz w:val="24"/>
          <w:szCs w:val="24"/>
        </w:rPr>
        <w:t>Patienter med myelomatose, der har fået mindst en tidligere behandling</w:t>
      </w:r>
    </w:p>
    <w:p w:rsidR="00D83032" w:rsidRPr="00D83032" w:rsidRDefault="00D83032" w:rsidP="00D83032">
      <w:pPr>
        <w:ind w:left="851"/>
        <w:rPr>
          <w:sz w:val="24"/>
          <w:szCs w:val="24"/>
        </w:rPr>
      </w:pPr>
      <w:r w:rsidRPr="00D83032">
        <w:rPr>
          <w:sz w:val="24"/>
          <w:szCs w:val="24"/>
        </w:rPr>
        <w:t>I to placebokontrollerede fase III</w:t>
      </w:r>
      <w:r w:rsidRPr="00D83032">
        <w:rPr>
          <w:sz w:val="24"/>
          <w:szCs w:val="24"/>
        </w:rPr>
        <w:noBreakHyphen/>
        <w:t>studier fik 353 patienter med myelomatose lenalidomid/dexamethason-kombinationen og 351 fik placebo/dexamethason-kombinationen.</w:t>
      </w:r>
    </w:p>
    <w:p w:rsidR="00D83032" w:rsidRPr="00D83032" w:rsidRDefault="00D83032" w:rsidP="00D83032">
      <w:pPr>
        <w:ind w:left="851"/>
        <w:rPr>
          <w:sz w:val="24"/>
          <w:szCs w:val="24"/>
        </w:rPr>
      </w:pPr>
    </w:p>
    <w:p w:rsidR="00D83032" w:rsidRPr="00D83032" w:rsidRDefault="00D83032" w:rsidP="00D83032">
      <w:pPr>
        <w:ind w:left="851"/>
        <w:rPr>
          <w:sz w:val="24"/>
          <w:szCs w:val="24"/>
        </w:rPr>
      </w:pPr>
      <w:r w:rsidRPr="00D83032">
        <w:rPr>
          <w:sz w:val="24"/>
          <w:szCs w:val="24"/>
        </w:rPr>
        <w:t>De alvorligste bivirkninger, der hyppigere blev observeret med lenalidomid/dexamethason end med placebo/dexamethason-kombinationen, var:</w:t>
      </w:r>
    </w:p>
    <w:p w:rsidR="00D83032" w:rsidRPr="00D83032" w:rsidRDefault="00D83032" w:rsidP="00C21F5E">
      <w:pPr>
        <w:numPr>
          <w:ilvl w:val="0"/>
          <w:numId w:val="7"/>
        </w:numPr>
        <w:ind w:left="1134" w:hanging="283"/>
        <w:rPr>
          <w:sz w:val="24"/>
          <w:szCs w:val="24"/>
        </w:rPr>
      </w:pPr>
      <w:r w:rsidRPr="00D83032">
        <w:rPr>
          <w:sz w:val="24"/>
          <w:szCs w:val="24"/>
        </w:rPr>
        <w:t>Venøs tromboemboli (dyb venetrombose (DVT), lungeemboli) (se pkt. 4.4)</w:t>
      </w:r>
    </w:p>
    <w:p w:rsidR="00D83032" w:rsidRPr="00D83032" w:rsidRDefault="00D83032" w:rsidP="00C21F5E">
      <w:pPr>
        <w:numPr>
          <w:ilvl w:val="0"/>
          <w:numId w:val="7"/>
        </w:numPr>
        <w:ind w:left="1134" w:hanging="283"/>
        <w:rPr>
          <w:sz w:val="24"/>
          <w:szCs w:val="24"/>
        </w:rPr>
      </w:pPr>
      <w:r w:rsidRPr="00D83032">
        <w:rPr>
          <w:sz w:val="24"/>
          <w:szCs w:val="24"/>
        </w:rPr>
        <w:t>Grad 4 neutropeni (se pkt. 4.4).</w:t>
      </w:r>
    </w:p>
    <w:p w:rsidR="00D83032" w:rsidRPr="00D83032" w:rsidRDefault="00D83032" w:rsidP="00D83032">
      <w:pPr>
        <w:ind w:left="851"/>
        <w:rPr>
          <w:sz w:val="24"/>
          <w:szCs w:val="24"/>
        </w:rPr>
      </w:pPr>
    </w:p>
    <w:p w:rsidR="00D83032" w:rsidRPr="00D83032" w:rsidRDefault="00D83032" w:rsidP="00D83032">
      <w:pPr>
        <w:ind w:left="851"/>
        <w:rPr>
          <w:sz w:val="24"/>
          <w:szCs w:val="24"/>
        </w:rPr>
      </w:pPr>
      <w:r w:rsidRPr="00D83032">
        <w:rPr>
          <w:sz w:val="24"/>
          <w:szCs w:val="24"/>
        </w:rPr>
        <w:t>De observerede bivirkninger, som opstod hyppigere med lenalidomid og dexamethason end med placebo og dexamethason i en samlet oversigt af kliniske studier med myelomatose (MM-009 og MM</w:t>
      </w:r>
      <w:r w:rsidRPr="00D83032">
        <w:rPr>
          <w:sz w:val="24"/>
          <w:szCs w:val="24"/>
        </w:rPr>
        <w:noBreakHyphen/>
        <w:t>010) var træthed (43,9 %), neutropeni (42,2 %), forstoppelse (40,5 %), diarré (38,5 %), muskelkrampe (33,4 %), anæmi (31,4 %), trombocytopeni (21,5 %) og udslæt (21,2 %).</w:t>
      </w:r>
    </w:p>
    <w:p w:rsidR="00D83032" w:rsidRDefault="00D83032" w:rsidP="00D83032">
      <w:pPr>
        <w:ind w:left="851"/>
        <w:rPr>
          <w:sz w:val="24"/>
          <w:szCs w:val="24"/>
        </w:rPr>
      </w:pPr>
    </w:p>
    <w:p w:rsidR="00F33C81" w:rsidRPr="000F2B51" w:rsidRDefault="00F33C81" w:rsidP="00F33C81">
      <w:pPr>
        <w:autoSpaceDE w:val="0"/>
        <w:autoSpaceDN w:val="0"/>
        <w:adjustRightInd w:val="0"/>
        <w:ind w:left="850"/>
        <w:rPr>
          <w:i/>
          <w:iCs/>
          <w:sz w:val="24"/>
          <w:szCs w:val="24"/>
          <w:u w:val="single"/>
          <w:lang w:eastAsia="da-DK"/>
        </w:rPr>
      </w:pPr>
      <w:r w:rsidRPr="000F2B51">
        <w:rPr>
          <w:i/>
          <w:iCs/>
          <w:sz w:val="24"/>
          <w:szCs w:val="24"/>
          <w:u w:val="single"/>
          <w:lang w:eastAsia="da-DK"/>
        </w:rPr>
        <w:t>Myelodysplastisk syndrom</w:t>
      </w: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Den samlede sikkerhedsprofil for lenalidomid hos patienter med myelodysplastisk syndrom er baseret</w:t>
      </w:r>
      <w:r>
        <w:rPr>
          <w:sz w:val="24"/>
          <w:szCs w:val="24"/>
          <w:lang w:eastAsia="da-DK"/>
        </w:rPr>
        <w:t xml:space="preserve"> </w:t>
      </w:r>
      <w:r w:rsidRPr="005524AB">
        <w:rPr>
          <w:sz w:val="24"/>
          <w:szCs w:val="24"/>
          <w:lang w:eastAsia="da-DK"/>
        </w:rPr>
        <w:t>på data fra i alt 286 patienter fra et fase 2-studie og et fase 3-studie (se pkt. 5.1). I fase 2 var alle 148</w:t>
      </w:r>
      <w:r>
        <w:rPr>
          <w:sz w:val="24"/>
          <w:szCs w:val="24"/>
          <w:lang w:eastAsia="da-DK"/>
        </w:rPr>
        <w:t xml:space="preserve"> </w:t>
      </w:r>
      <w:r w:rsidRPr="005524AB">
        <w:rPr>
          <w:sz w:val="24"/>
          <w:szCs w:val="24"/>
          <w:lang w:eastAsia="da-DK"/>
        </w:rPr>
        <w:t>patienter i behandling med lenalidomid. I fase 3 -studiet var 69 patienter i behandling med lenalidomid</w:t>
      </w:r>
      <w:r>
        <w:rPr>
          <w:sz w:val="24"/>
          <w:szCs w:val="24"/>
          <w:lang w:eastAsia="da-DK"/>
        </w:rPr>
        <w:t xml:space="preserve"> </w:t>
      </w:r>
      <w:r w:rsidRPr="005524AB">
        <w:rPr>
          <w:sz w:val="24"/>
          <w:szCs w:val="24"/>
          <w:lang w:eastAsia="da-DK"/>
        </w:rPr>
        <w:t>5 mg, 69 patienter i behandling med 10 mg, og 67 patienter fik placebo i løbet af den dobbeltblinde</w:t>
      </w:r>
      <w:r>
        <w:rPr>
          <w:sz w:val="24"/>
          <w:szCs w:val="24"/>
          <w:lang w:eastAsia="da-DK"/>
        </w:rPr>
        <w:t xml:space="preserve"> </w:t>
      </w:r>
      <w:r w:rsidRPr="005524AB">
        <w:rPr>
          <w:sz w:val="24"/>
          <w:szCs w:val="24"/>
          <w:lang w:eastAsia="da-DK"/>
        </w:rPr>
        <w:t>fase af studiet.</w:t>
      </w:r>
    </w:p>
    <w:p w:rsidR="00F33C81" w:rsidRDefault="00F33C81" w:rsidP="00F33C81">
      <w:pPr>
        <w:autoSpaceDE w:val="0"/>
        <w:autoSpaceDN w:val="0"/>
        <w:adjustRightInd w:val="0"/>
        <w:ind w:left="850"/>
        <w:rPr>
          <w:sz w:val="24"/>
          <w:szCs w:val="24"/>
          <w:lang w:eastAsia="da-DK"/>
        </w:rPr>
      </w:pP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Der var en tendens til, at de fleste bivirkninger forekom i løbet af de første 16 ugers behandling med</w:t>
      </w:r>
      <w:r>
        <w:rPr>
          <w:sz w:val="24"/>
          <w:szCs w:val="24"/>
          <w:lang w:eastAsia="da-DK"/>
        </w:rPr>
        <w:t xml:space="preserve"> </w:t>
      </w:r>
      <w:r w:rsidRPr="005524AB">
        <w:rPr>
          <w:sz w:val="24"/>
          <w:szCs w:val="24"/>
          <w:lang w:eastAsia="da-DK"/>
        </w:rPr>
        <w:t>lenalidomid.</w:t>
      </w:r>
    </w:p>
    <w:p w:rsidR="00F33C81" w:rsidRPr="005524AB" w:rsidRDefault="00F33C81" w:rsidP="00F33C81">
      <w:pPr>
        <w:ind w:left="850"/>
        <w:rPr>
          <w:sz w:val="24"/>
          <w:szCs w:val="24"/>
          <w:lang w:eastAsia="da-DK"/>
        </w:rPr>
      </w:pP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Alvorlige bivirkninger omfatter:</w:t>
      </w:r>
    </w:p>
    <w:p w:rsidR="00F33C81" w:rsidRPr="0066479C" w:rsidRDefault="00F33C81" w:rsidP="00F33C81">
      <w:pPr>
        <w:numPr>
          <w:ilvl w:val="0"/>
          <w:numId w:val="7"/>
        </w:numPr>
        <w:ind w:left="1134" w:hanging="283"/>
        <w:rPr>
          <w:sz w:val="24"/>
          <w:szCs w:val="24"/>
        </w:rPr>
      </w:pPr>
      <w:r w:rsidRPr="0066479C">
        <w:rPr>
          <w:sz w:val="24"/>
          <w:szCs w:val="24"/>
        </w:rPr>
        <w:t>Venøs tromboemboli (dyb venetrombose (DVT), lungeemboli) (se pkt. 4.4)</w:t>
      </w:r>
    </w:p>
    <w:p w:rsidR="00F33C81" w:rsidRPr="00C3323C" w:rsidRDefault="00F33C81" w:rsidP="00F33C81">
      <w:pPr>
        <w:numPr>
          <w:ilvl w:val="0"/>
          <w:numId w:val="7"/>
        </w:numPr>
        <w:ind w:left="1134" w:hanging="283"/>
        <w:rPr>
          <w:sz w:val="24"/>
          <w:szCs w:val="24"/>
        </w:rPr>
      </w:pPr>
      <w:r w:rsidRPr="00C3323C">
        <w:rPr>
          <w:sz w:val="24"/>
          <w:szCs w:val="24"/>
        </w:rPr>
        <w:t>Grad 3 eller 4 neutropeni</w:t>
      </w:r>
      <w:r w:rsidRPr="005524AB">
        <w:rPr>
          <w:sz w:val="24"/>
          <w:szCs w:val="24"/>
        </w:rPr>
        <w:t xml:space="preserve">, </w:t>
      </w:r>
      <w:r w:rsidRPr="005524AB">
        <w:rPr>
          <w:sz w:val="24"/>
          <w:szCs w:val="24"/>
          <w:lang w:eastAsia="da-DK"/>
        </w:rPr>
        <w:t xml:space="preserve">febril neutropeni og grad 3 eller 4 trombocytopeni </w:t>
      </w:r>
      <w:r w:rsidRPr="00C3323C">
        <w:rPr>
          <w:sz w:val="24"/>
          <w:szCs w:val="24"/>
        </w:rPr>
        <w:t>(se pkt. 4.4).</w:t>
      </w:r>
    </w:p>
    <w:p w:rsidR="00F33C81" w:rsidRPr="004766CF" w:rsidRDefault="00F33C81" w:rsidP="00F33C81">
      <w:pPr>
        <w:autoSpaceDE w:val="0"/>
        <w:autoSpaceDN w:val="0"/>
        <w:adjustRightInd w:val="0"/>
        <w:ind w:left="850"/>
        <w:rPr>
          <w:sz w:val="24"/>
          <w:szCs w:val="24"/>
          <w:lang w:eastAsia="da-DK"/>
        </w:rPr>
      </w:pP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De almindeligt observerede bivirkninger, der forekom hyppigere i lenalidomid-grupperne</w:t>
      </w:r>
      <w:r>
        <w:rPr>
          <w:sz w:val="24"/>
          <w:szCs w:val="24"/>
          <w:lang w:eastAsia="da-DK"/>
        </w:rPr>
        <w:t xml:space="preserve"> </w:t>
      </w:r>
      <w:r w:rsidRPr="005524AB">
        <w:rPr>
          <w:sz w:val="24"/>
          <w:szCs w:val="24"/>
          <w:lang w:eastAsia="da-DK"/>
        </w:rPr>
        <w:t>sammenlignet med kontrolarmen i fase 3 -studiet, var neutropeni (76,8 %), trombocytopeni (46,4 %),</w:t>
      </w:r>
      <w:r>
        <w:rPr>
          <w:sz w:val="24"/>
          <w:szCs w:val="24"/>
          <w:lang w:eastAsia="da-DK"/>
        </w:rPr>
        <w:t xml:space="preserve"> </w:t>
      </w:r>
      <w:r w:rsidRPr="005524AB">
        <w:rPr>
          <w:sz w:val="24"/>
          <w:szCs w:val="24"/>
          <w:lang w:eastAsia="da-DK"/>
        </w:rPr>
        <w:t>diarré (34,8 %), forstoppelse (19,6 %), kvalme (19,6 %), pruritus (25,4 %), udslæt (18,1 %), træthed</w:t>
      </w:r>
      <w:r>
        <w:rPr>
          <w:sz w:val="24"/>
          <w:szCs w:val="24"/>
          <w:lang w:eastAsia="da-DK"/>
        </w:rPr>
        <w:t xml:space="preserve"> </w:t>
      </w:r>
      <w:r w:rsidRPr="005524AB">
        <w:rPr>
          <w:sz w:val="24"/>
          <w:szCs w:val="24"/>
          <w:lang w:eastAsia="da-DK"/>
        </w:rPr>
        <w:t>(18,1 %) og muskelspasmer (16,7 %).</w:t>
      </w:r>
    </w:p>
    <w:p w:rsidR="00F33C81" w:rsidRPr="005524AB" w:rsidRDefault="00F33C81" w:rsidP="00F33C81">
      <w:pPr>
        <w:ind w:left="850"/>
        <w:rPr>
          <w:sz w:val="24"/>
          <w:szCs w:val="24"/>
          <w:lang w:eastAsia="da-DK"/>
        </w:rPr>
      </w:pPr>
    </w:p>
    <w:p w:rsidR="00F33C81" w:rsidRPr="000F2B51" w:rsidRDefault="00F33C81" w:rsidP="00F33C81">
      <w:pPr>
        <w:autoSpaceDE w:val="0"/>
        <w:autoSpaceDN w:val="0"/>
        <w:adjustRightInd w:val="0"/>
        <w:ind w:left="850"/>
        <w:rPr>
          <w:i/>
          <w:iCs/>
          <w:sz w:val="24"/>
          <w:szCs w:val="24"/>
          <w:u w:val="single"/>
          <w:lang w:eastAsia="da-DK"/>
        </w:rPr>
      </w:pPr>
      <w:r w:rsidRPr="000F2B51">
        <w:rPr>
          <w:i/>
          <w:iCs/>
          <w:sz w:val="24"/>
          <w:szCs w:val="24"/>
          <w:u w:val="single"/>
          <w:lang w:eastAsia="da-DK"/>
        </w:rPr>
        <w:t>Mantle celle lymfom</w:t>
      </w: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Den samlede sikkerhedsprofil for lenalidomid hos patienter med</w:t>
      </w:r>
      <w:r>
        <w:rPr>
          <w:sz w:val="24"/>
          <w:szCs w:val="24"/>
          <w:lang w:eastAsia="da-DK"/>
        </w:rPr>
        <w:t xml:space="preserve"> mantle celle lymfom</w:t>
      </w:r>
      <w:r w:rsidRPr="005524AB">
        <w:rPr>
          <w:sz w:val="24"/>
          <w:szCs w:val="24"/>
          <w:lang w:eastAsia="da-DK"/>
        </w:rPr>
        <w:t xml:space="preserve"> er baseret på data fra 254 patienter fra</w:t>
      </w:r>
      <w:r>
        <w:rPr>
          <w:sz w:val="24"/>
          <w:szCs w:val="24"/>
          <w:lang w:eastAsia="da-DK"/>
        </w:rPr>
        <w:t xml:space="preserve"> </w:t>
      </w:r>
      <w:r w:rsidRPr="005524AB">
        <w:rPr>
          <w:sz w:val="24"/>
          <w:szCs w:val="24"/>
          <w:lang w:eastAsia="da-DK"/>
        </w:rPr>
        <w:t>et randomiseret, kontrolleret fase 2-studie, MCL-002 (se pkt. 5.1).</w:t>
      </w:r>
    </w:p>
    <w:p w:rsidR="00F33C81" w:rsidRDefault="00F33C81" w:rsidP="00F33C81">
      <w:pPr>
        <w:autoSpaceDE w:val="0"/>
        <w:autoSpaceDN w:val="0"/>
        <w:adjustRightInd w:val="0"/>
        <w:ind w:left="850"/>
        <w:rPr>
          <w:sz w:val="24"/>
          <w:szCs w:val="24"/>
          <w:lang w:eastAsia="da-DK"/>
        </w:rPr>
      </w:pP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Desuden er bivirkninger fra det understøttende studie, MCL-001, blevet inkluderet i tabel 3.</w:t>
      </w:r>
    </w:p>
    <w:p w:rsidR="00DF19D5" w:rsidRDefault="00DF19D5" w:rsidP="00F15870">
      <w:pPr>
        <w:autoSpaceDE w:val="0"/>
        <w:autoSpaceDN w:val="0"/>
        <w:adjustRightInd w:val="0"/>
        <w:rPr>
          <w:sz w:val="24"/>
          <w:szCs w:val="24"/>
          <w:lang w:eastAsia="da-DK"/>
        </w:rPr>
      </w:pP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Alvorlige bivirkninger, der i studie MCL-002 blev observeret hyppigere i lenalidomidarmen end i</w:t>
      </w:r>
      <w:r>
        <w:rPr>
          <w:sz w:val="24"/>
          <w:szCs w:val="24"/>
          <w:lang w:eastAsia="da-DK"/>
        </w:rPr>
        <w:t xml:space="preserve"> </w:t>
      </w:r>
      <w:r w:rsidRPr="005524AB">
        <w:rPr>
          <w:sz w:val="24"/>
          <w:szCs w:val="24"/>
          <w:lang w:eastAsia="da-DK"/>
        </w:rPr>
        <w:t>kontrolarmen (med en forskel på mindst 2 procentpoint), var:</w:t>
      </w:r>
    </w:p>
    <w:p w:rsidR="00F33C81" w:rsidRDefault="00F33C81" w:rsidP="00F33C81">
      <w:pPr>
        <w:numPr>
          <w:ilvl w:val="0"/>
          <w:numId w:val="7"/>
        </w:numPr>
        <w:ind w:left="1134" w:hanging="283"/>
        <w:rPr>
          <w:sz w:val="24"/>
          <w:szCs w:val="24"/>
        </w:rPr>
      </w:pPr>
      <w:r>
        <w:rPr>
          <w:sz w:val="24"/>
          <w:szCs w:val="24"/>
        </w:rPr>
        <w:t>Neutropeni (3,6%)</w:t>
      </w:r>
    </w:p>
    <w:p w:rsidR="00F33C81" w:rsidRDefault="00F33C81" w:rsidP="00F33C81">
      <w:pPr>
        <w:numPr>
          <w:ilvl w:val="0"/>
          <w:numId w:val="7"/>
        </w:numPr>
        <w:ind w:left="1134" w:hanging="283"/>
        <w:rPr>
          <w:sz w:val="24"/>
          <w:szCs w:val="24"/>
        </w:rPr>
      </w:pPr>
      <w:r>
        <w:rPr>
          <w:sz w:val="24"/>
          <w:szCs w:val="24"/>
        </w:rPr>
        <w:t>Lungeemboli (3,6%)</w:t>
      </w:r>
    </w:p>
    <w:p w:rsidR="00F33C81" w:rsidRDefault="00F33C81" w:rsidP="00F33C81">
      <w:pPr>
        <w:numPr>
          <w:ilvl w:val="0"/>
          <w:numId w:val="7"/>
        </w:numPr>
        <w:ind w:left="1134" w:hanging="283"/>
        <w:rPr>
          <w:sz w:val="24"/>
          <w:szCs w:val="24"/>
        </w:rPr>
      </w:pPr>
      <w:r>
        <w:rPr>
          <w:sz w:val="24"/>
          <w:szCs w:val="24"/>
        </w:rPr>
        <w:lastRenderedPageBreak/>
        <w:t>Diarré (3,6%)</w:t>
      </w:r>
    </w:p>
    <w:p w:rsidR="00F33C81" w:rsidRPr="005524AB" w:rsidRDefault="00F33C81" w:rsidP="00F33C81">
      <w:pPr>
        <w:ind w:left="850"/>
        <w:rPr>
          <w:sz w:val="24"/>
          <w:szCs w:val="24"/>
          <w:lang w:eastAsia="da-DK"/>
        </w:rPr>
      </w:pP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De hyppigst observerede bivirkninger, der i studie MCL-002 opstod hyppigere i lenalidomidarmen</w:t>
      </w:r>
      <w:r>
        <w:rPr>
          <w:sz w:val="24"/>
          <w:szCs w:val="24"/>
          <w:lang w:eastAsia="da-DK"/>
        </w:rPr>
        <w:t xml:space="preserve"> </w:t>
      </w:r>
      <w:r w:rsidRPr="005524AB">
        <w:rPr>
          <w:sz w:val="24"/>
          <w:szCs w:val="24"/>
          <w:lang w:eastAsia="da-DK"/>
        </w:rPr>
        <w:t>end i kontrolarmen, var neutropeni (50,9 %), anæmi (28,7 %), diarré (22,8 %), træthed (21,0 %),</w:t>
      </w:r>
      <w:r>
        <w:rPr>
          <w:sz w:val="24"/>
          <w:szCs w:val="24"/>
          <w:lang w:eastAsia="da-DK"/>
        </w:rPr>
        <w:t xml:space="preserve"> </w:t>
      </w:r>
      <w:r w:rsidRPr="005524AB">
        <w:rPr>
          <w:sz w:val="24"/>
          <w:szCs w:val="24"/>
          <w:lang w:eastAsia="da-DK"/>
        </w:rPr>
        <w:t>forstoppelse (17,4 %), pyreksi (16,8 %) og udslæt (herunder allergisk dermatitis) (16,2 %).</w:t>
      </w:r>
    </w:p>
    <w:p w:rsidR="00F33C81" w:rsidRDefault="00F33C81" w:rsidP="00F33C81">
      <w:pPr>
        <w:autoSpaceDE w:val="0"/>
        <w:autoSpaceDN w:val="0"/>
        <w:adjustRightInd w:val="0"/>
        <w:ind w:left="850"/>
        <w:rPr>
          <w:sz w:val="24"/>
          <w:szCs w:val="24"/>
          <w:lang w:eastAsia="da-DK"/>
        </w:rPr>
      </w:pP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I studie MCL-002 var der samlet en tilsyneladende stigning i tidlige (inden for 20 uger) dødsfald. Der</w:t>
      </w:r>
      <w:r>
        <w:rPr>
          <w:sz w:val="24"/>
          <w:szCs w:val="24"/>
          <w:lang w:eastAsia="da-DK"/>
        </w:rPr>
        <w:t xml:space="preserve"> </w:t>
      </w:r>
      <w:r w:rsidRPr="005524AB">
        <w:rPr>
          <w:sz w:val="24"/>
          <w:szCs w:val="24"/>
          <w:lang w:eastAsia="da-DK"/>
        </w:rPr>
        <w:t xml:space="preserve">var en øget risiko for tidligt dødsfald blandt patienter med stor tumorbyrde ved </w:t>
      </w:r>
      <w:r w:rsidRPr="005524AB">
        <w:rPr>
          <w:i/>
          <w:iCs/>
          <w:sz w:val="24"/>
          <w:szCs w:val="24"/>
          <w:lang w:eastAsia="da-DK"/>
        </w:rPr>
        <w:t>baseline</w:t>
      </w:r>
      <w:r w:rsidRPr="005524AB">
        <w:rPr>
          <w:sz w:val="24"/>
          <w:szCs w:val="24"/>
          <w:lang w:eastAsia="da-DK"/>
        </w:rPr>
        <w:t>, 16/81 (20 %)</w:t>
      </w:r>
      <w:r>
        <w:rPr>
          <w:sz w:val="24"/>
          <w:szCs w:val="24"/>
          <w:lang w:eastAsia="da-DK"/>
        </w:rPr>
        <w:t xml:space="preserve"> </w:t>
      </w:r>
      <w:r w:rsidRPr="005524AB">
        <w:rPr>
          <w:sz w:val="24"/>
          <w:szCs w:val="24"/>
          <w:lang w:eastAsia="da-DK"/>
        </w:rPr>
        <w:t>tidlige dødsfald i lenalidomidarmen og 2/28 (7 %) tidlige dødsfald i kontrolarmen. Inden for 52 uger</w:t>
      </w:r>
      <w:r>
        <w:rPr>
          <w:sz w:val="24"/>
          <w:szCs w:val="24"/>
          <w:lang w:eastAsia="da-DK"/>
        </w:rPr>
        <w:t xml:space="preserve"> </w:t>
      </w:r>
      <w:r w:rsidRPr="005524AB">
        <w:rPr>
          <w:sz w:val="24"/>
          <w:szCs w:val="24"/>
          <w:lang w:eastAsia="da-DK"/>
        </w:rPr>
        <w:t>var de tilsvarende tal 32/81 (39,5 %) og 6/28 (21 %) (se pkt. 5.1).</w:t>
      </w:r>
    </w:p>
    <w:p w:rsidR="00F33C81" w:rsidRDefault="00F33C81" w:rsidP="00F33C81">
      <w:pPr>
        <w:autoSpaceDE w:val="0"/>
        <w:autoSpaceDN w:val="0"/>
        <w:adjustRightInd w:val="0"/>
        <w:ind w:left="850"/>
        <w:rPr>
          <w:sz w:val="24"/>
          <w:szCs w:val="24"/>
          <w:lang w:eastAsia="da-DK"/>
        </w:rPr>
      </w:pPr>
    </w:p>
    <w:p w:rsidR="00F33C81" w:rsidRDefault="00F33C81" w:rsidP="00F33C81">
      <w:pPr>
        <w:autoSpaceDE w:val="0"/>
        <w:autoSpaceDN w:val="0"/>
        <w:adjustRightInd w:val="0"/>
        <w:ind w:left="850"/>
        <w:rPr>
          <w:sz w:val="24"/>
          <w:szCs w:val="24"/>
          <w:lang w:eastAsia="da-DK"/>
        </w:rPr>
      </w:pPr>
      <w:r w:rsidRPr="005524AB">
        <w:rPr>
          <w:sz w:val="24"/>
          <w:szCs w:val="24"/>
          <w:lang w:eastAsia="da-DK"/>
        </w:rPr>
        <w:t>I lenalidomidarmen seponerede 11/81 (14 %) patienter med stor tumorbyrde behandlingen i løbet af</w:t>
      </w:r>
      <w:r>
        <w:rPr>
          <w:sz w:val="24"/>
          <w:szCs w:val="24"/>
          <w:lang w:eastAsia="da-DK"/>
        </w:rPr>
        <w:t xml:space="preserve"> </w:t>
      </w:r>
      <w:r w:rsidRPr="005524AB">
        <w:rPr>
          <w:sz w:val="24"/>
          <w:szCs w:val="24"/>
          <w:lang w:eastAsia="da-DK"/>
        </w:rPr>
        <w:t xml:space="preserve">behandlingscyklus 1 </w:t>
      </w:r>
      <w:r w:rsidRPr="005524AB">
        <w:rPr>
          <w:i/>
          <w:iCs/>
          <w:sz w:val="24"/>
          <w:szCs w:val="24"/>
          <w:lang w:eastAsia="da-DK"/>
        </w:rPr>
        <w:t xml:space="preserve">vs. </w:t>
      </w:r>
      <w:r w:rsidRPr="005524AB">
        <w:rPr>
          <w:sz w:val="24"/>
          <w:szCs w:val="24"/>
          <w:lang w:eastAsia="da-DK"/>
        </w:rPr>
        <w:t>1/28 (4 %) i kontrolarmen. Den primære årsag til, at patienter med stor</w:t>
      </w:r>
      <w:r>
        <w:rPr>
          <w:sz w:val="24"/>
          <w:szCs w:val="24"/>
          <w:lang w:eastAsia="da-DK"/>
        </w:rPr>
        <w:t xml:space="preserve"> </w:t>
      </w:r>
      <w:r w:rsidRPr="005524AB">
        <w:rPr>
          <w:sz w:val="24"/>
          <w:szCs w:val="24"/>
          <w:lang w:eastAsia="da-DK"/>
        </w:rPr>
        <w:t xml:space="preserve">tumorbyrde seponerede lenalidomid i løbet af behandlingscyklus 1, var bivirkninger, 7/11 (64 %). </w:t>
      </w:r>
    </w:p>
    <w:p w:rsidR="00F33C81" w:rsidRDefault="00F33C81" w:rsidP="00F33C81">
      <w:pPr>
        <w:autoSpaceDE w:val="0"/>
        <w:autoSpaceDN w:val="0"/>
        <w:adjustRightInd w:val="0"/>
        <w:ind w:left="850"/>
        <w:rPr>
          <w:sz w:val="24"/>
          <w:szCs w:val="24"/>
          <w:lang w:eastAsia="da-DK"/>
        </w:rPr>
      </w:pPr>
    </w:p>
    <w:p w:rsidR="00F33C81" w:rsidRPr="005524AB" w:rsidRDefault="00F33C81" w:rsidP="00F33C81">
      <w:pPr>
        <w:autoSpaceDE w:val="0"/>
        <w:autoSpaceDN w:val="0"/>
        <w:adjustRightInd w:val="0"/>
        <w:ind w:left="850"/>
        <w:rPr>
          <w:sz w:val="24"/>
          <w:szCs w:val="24"/>
          <w:lang w:eastAsia="da-DK"/>
        </w:rPr>
      </w:pPr>
      <w:r w:rsidRPr="005524AB">
        <w:rPr>
          <w:sz w:val="24"/>
          <w:szCs w:val="24"/>
          <w:lang w:eastAsia="da-DK"/>
        </w:rPr>
        <w:t>Stor</w:t>
      </w:r>
      <w:r>
        <w:rPr>
          <w:sz w:val="24"/>
          <w:szCs w:val="24"/>
          <w:lang w:eastAsia="da-DK"/>
        </w:rPr>
        <w:t xml:space="preserve"> </w:t>
      </w:r>
      <w:r w:rsidRPr="005524AB">
        <w:rPr>
          <w:rFonts w:eastAsia="TimesNewRomanPSMT"/>
          <w:sz w:val="24"/>
          <w:szCs w:val="24"/>
          <w:lang w:eastAsia="da-DK"/>
        </w:rPr>
        <w:t>tumorbyrde blev defineret som mindst</w:t>
      </w:r>
      <w:r>
        <w:rPr>
          <w:rFonts w:eastAsia="TimesNewRomanPSMT"/>
          <w:sz w:val="24"/>
          <w:szCs w:val="24"/>
          <w:lang w:eastAsia="da-DK"/>
        </w:rPr>
        <w:t xml:space="preserve"> </w:t>
      </w:r>
      <w:r w:rsidRPr="00CE3A77">
        <w:rPr>
          <w:sz w:val="24"/>
          <w:szCs w:val="24"/>
        </w:rPr>
        <w:t>en læsion ≥ 5 cm i diameter eller 3 læsioner ≥ 3 cm</w:t>
      </w:r>
      <w:r>
        <w:rPr>
          <w:sz w:val="24"/>
          <w:szCs w:val="24"/>
        </w:rPr>
        <w:t>.</w:t>
      </w:r>
      <w:r w:rsidRPr="005524AB">
        <w:rPr>
          <w:rFonts w:eastAsia="TimesNewRomanPSMT"/>
          <w:sz w:val="24"/>
          <w:szCs w:val="24"/>
          <w:lang w:eastAsia="da-DK"/>
        </w:rPr>
        <w:t xml:space="preserve"> </w:t>
      </w:r>
    </w:p>
    <w:p w:rsidR="00F33C81" w:rsidRPr="00D83032" w:rsidRDefault="00F33C81" w:rsidP="00F33C81">
      <w:pPr>
        <w:rPr>
          <w:sz w:val="24"/>
          <w:szCs w:val="24"/>
        </w:rPr>
      </w:pPr>
    </w:p>
    <w:p w:rsidR="005F70F3" w:rsidRPr="005F70F3" w:rsidRDefault="005F70F3" w:rsidP="005F70F3">
      <w:pPr>
        <w:ind w:left="851"/>
        <w:rPr>
          <w:i/>
          <w:sz w:val="24"/>
          <w:szCs w:val="24"/>
          <w:u w:val="single"/>
        </w:rPr>
      </w:pPr>
      <w:r w:rsidRPr="005F70F3">
        <w:rPr>
          <w:i/>
          <w:sz w:val="24"/>
          <w:szCs w:val="24"/>
          <w:u w:val="single"/>
        </w:rPr>
        <w:t xml:space="preserve">Follikulært lymfom  </w:t>
      </w:r>
    </w:p>
    <w:p w:rsidR="005F70F3" w:rsidRPr="005F70F3" w:rsidRDefault="005F70F3" w:rsidP="005F70F3">
      <w:pPr>
        <w:ind w:left="851"/>
        <w:rPr>
          <w:sz w:val="24"/>
          <w:szCs w:val="24"/>
        </w:rPr>
      </w:pPr>
      <w:r w:rsidRPr="005F70F3">
        <w:rPr>
          <w:sz w:val="24"/>
          <w:szCs w:val="24"/>
        </w:rPr>
        <w:t xml:space="preserve">Den samlede sikkerhedsprofil for lenalidomid i kombination med rituximab hos patienter med tidligere behandlet follikulært lymfom er baseret på data fra 294 patienter fra et randomiseret, kontrolleret fase 3-studie, NHL-007. Desuden er bivirkninger fra det understøttende studie, NHL-008, blevet inkluderet i tabel </w:t>
      </w:r>
      <w:r w:rsidR="00F33C81">
        <w:rPr>
          <w:sz w:val="24"/>
          <w:szCs w:val="24"/>
        </w:rPr>
        <w:t>5</w:t>
      </w:r>
      <w:r w:rsidRPr="005F70F3">
        <w:rPr>
          <w:sz w:val="24"/>
          <w:szCs w:val="24"/>
        </w:rPr>
        <w:t xml:space="preserve">. </w:t>
      </w:r>
    </w:p>
    <w:p w:rsidR="005F70F3" w:rsidRPr="005F70F3" w:rsidRDefault="005F70F3" w:rsidP="005F70F3">
      <w:pPr>
        <w:ind w:left="851"/>
        <w:rPr>
          <w:sz w:val="24"/>
          <w:szCs w:val="24"/>
        </w:rPr>
      </w:pPr>
      <w:r w:rsidRPr="005F70F3">
        <w:rPr>
          <w:sz w:val="24"/>
          <w:szCs w:val="24"/>
        </w:rPr>
        <w:t xml:space="preserve"> </w:t>
      </w:r>
    </w:p>
    <w:p w:rsidR="005F70F3" w:rsidRPr="005F70F3" w:rsidRDefault="005F70F3" w:rsidP="005F70F3">
      <w:pPr>
        <w:ind w:left="851"/>
        <w:rPr>
          <w:sz w:val="24"/>
          <w:szCs w:val="24"/>
        </w:rPr>
      </w:pPr>
      <w:r w:rsidRPr="005F70F3">
        <w:rPr>
          <w:sz w:val="24"/>
          <w:szCs w:val="24"/>
        </w:rPr>
        <w:t xml:space="preserve">Alvorlige bivirkninger, der i studie NHL-007 blev observeret hyppigere i armen med lenalidomid/rituximab (med en forskel på mindst 1 procentpoints), sammenlignet med armen med placebo/rituximab, var: </w:t>
      </w:r>
    </w:p>
    <w:p w:rsidR="005F70F3" w:rsidRPr="005F70F3" w:rsidRDefault="005F70F3" w:rsidP="005F70F3">
      <w:pPr>
        <w:ind w:left="851"/>
        <w:rPr>
          <w:sz w:val="24"/>
          <w:szCs w:val="24"/>
        </w:rPr>
      </w:pPr>
    </w:p>
    <w:p w:rsidR="005F70F3" w:rsidRPr="005F70F3" w:rsidRDefault="005F70F3" w:rsidP="005F70F3">
      <w:pPr>
        <w:ind w:left="851"/>
        <w:rPr>
          <w:sz w:val="24"/>
          <w:szCs w:val="24"/>
        </w:rPr>
      </w:pPr>
      <w:r w:rsidRPr="005F70F3">
        <w:rPr>
          <w:sz w:val="24"/>
          <w:szCs w:val="24"/>
        </w:rPr>
        <w:t xml:space="preserve">• Febril neutropeni (2,7 %) </w:t>
      </w:r>
    </w:p>
    <w:p w:rsidR="005F70F3" w:rsidRPr="005F70F3" w:rsidRDefault="005F70F3" w:rsidP="005F70F3">
      <w:pPr>
        <w:ind w:left="851"/>
        <w:rPr>
          <w:sz w:val="24"/>
          <w:szCs w:val="24"/>
        </w:rPr>
      </w:pPr>
      <w:r w:rsidRPr="005F70F3">
        <w:rPr>
          <w:sz w:val="24"/>
          <w:szCs w:val="24"/>
        </w:rPr>
        <w:t xml:space="preserve">• Lungeemboli (2,7 %) </w:t>
      </w:r>
    </w:p>
    <w:p w:rsidR="005F70F3" w:rsidRPr="005F70F3" w:rsidRDefault="005F70F3" w:rsidP="005F70F3">
      <w:pPr>
        <w:ind w:left="851"/>
        <w:rPr>
          <w:sz w:val="24"/>
          <w:szCs w:val="24"/>
        </w:rPr>
      </w:pPr>
      <w:r w:rsidRPr="005F70F3">
        <w:rPr>
          <w:sz w:val="24"/>
          <w:szCs w:val="24"/>
        </w:rPr>
        <w:t xml:space="preserve">• Pneumoni (2,7 %) </w:t>
      </w:r>
    </w:p>
    <w:p w:rsidR="005F70F3" w:rsidRPr="005F70F3" w:rsidRDefault="005F70F3" w:rsidP="005F70F3">
      <w:pPr>
        <w:ind w:left="851"/>
        <w:rPr>
          <w:sz w:val="24"/>
          <w:szCs w:val="24"/>
        </w:rPr>
      </w:pPr>
      <w:r w:rsidRPr="005F70F3">
        <w:rPr>
          <w:sz w:val="24"/>
          <w:szCs w:val="24"/>
        </w:rPr>
        <w:t xml:space="preserve"> </w:t>
      </w:r>
    </w:p>
    <w:p w:rsidR="005F70F3" w:rsidRPr="005F70F3" w:rsidRDefault="005F70F3" w:rsidP="005F70F3">
      <w:pPr>
        <w:ind w:left="851"/>
        <w:rPr>
          <w:sz w:val="24"/>
          <w:szCs w:val="24"/>
        </w:rPr>
      </w:pPr>
      <w:r w:rsidRPr="005F70F3">
        <w:rPr>
          <w:sz w:val="24"/>
          <w:szCs w:val="24"/>
        </w:rPr>
        <w:t xml:space="preserve">I NHL-007-studiet var de bivirkninger, der hyppigere blev observeret i armen med lenalidomid/rituximab sammenlignet med armen med placebo/rituximab (med en mindst 2 % større hyppighed mellem armene) neutropeni (58,2 %), diarré (30,8 %), leukopeni (28,8 %), forstoppelse (21,9 %), hoste (21,9 %) og træthed (21,9 %). </w:t>
      </w:r>
    </w:p>
    <w:p w:rsidR="00D83032" w:rsidRPr="00D83032" w:rsidRDefault="00D83032" w:rsidP="00D83032">
      <w:pPr>
        <w:ind w:left="851"/>
        <w:rPr>
          <w:sz w:val="24"/>
          <w:szCs w:val="24"/>
        </w:rPr>
      </w:pPr>
    </w:p>
    <w:p w:rsidR="00D83032" w:rsidRPr="00D83032" w:rsidRDefault="00D83032" w:rsidP="00D83032">
      <w:pPr>
        <w:ind w:left="851"/>
        <w:rPr>
          <w:sz w:val="24"/>
          <w:szCs w:val="24"/>
        </w:rPr>
      </w:pPr>
      <w:r w:rsidRPr="00D83032">
        <w:rPr>
          <w:sz w:val="24"/>
          <w:szCs w:val="24"/>
          <w:u w:val="single"/>
        </w:rPr>
        <w:t>Tabel over bivirkninger</w:t>
      </w:r>
    </w:p>
    <w:p w:rsidR="00D83032" w:rsidRPr="00D83032" w:rsidRDefault="00D83032" w:rsidP="00D83032">
      <w:pPr>
        <w:ind w:left="851"/>
        <w:rPr>
          <w:sz w:val="24"/>
          <w:szCs w:val="24"/>
        </w:rPr>
      </w:pPr>
      <w:r w:rsidRPr="00D83032">
        <w:rPr>
          <w:sz w:val="24"/>
          <w:szCs w:val="24"/>
        </w:rPr>
        <w:t>De bivirkninger, som blev observeret hos patienter, der blev behandlet for myelomatose, er opført nedenfor efter systemorganklasse og hyppighed. Inden for hver enkelt frekvensgruppe skal bivirkningerne opstilles efter, hvor alvorlige de er. De alvorligste bivirkninger skal anføres først. Hyppigheden defineres som: Meget almindelig (≥ 1/10), almindelig (≥ 1/100 til &lt; 1/10), ikke almindelig (≥ 1/1.000 til &lt; 1/100), sjælden (≥ 1/10.000 til &lt; 1/1.000), meget sjælden (&lt; 1/10.000), ikke kendt (kan ikke estimeres ud fra forhåndenværende data).</w:t>
      </w:r>
    </w:p>
    <w:p w:rsidR="00D83032" w:rsidRPr="00D83032" w:rsidRDefault="00D83032" w:rsidP="00D83032">
      <w:pPr>
        <w:ind w:left="851"/>
        <w:rPr>
          <w:sz w:val="24"/>
          <w:szCs w:val="24"/>
        </w:rPr>
      </w:pPr>
    </w:p>
    <w:p w:rsidR="00D83032" w:rsidRPr="00D83032" w:rsidRDefault="00D83032" w:rsidP="00D83032">
      <w:pPr>
        <w:ind w:left="851"/>
        <w:rPr>
          <w:sz w:val="24"/>
          <w:szCs w:val="24"/>
        </w:rPr>
      </w:pPr>
      <w:r w:rsidRPr="00D83032">
        <w:rPr>
          <w:sz w:val="24"/>
          <w:szCs w:val="24"/>
        </w:rPr>
        <w:t>Bivirkningerne er inkluderet i passende kategorier i tabellen nedenunder i henhold til den største observerede hyppighed i alle de primære kliniske studier.</w:t>
      </w:r>
    </w:p>
    <w:p w:rsidR="00D83032" w:rsidRPr="00D83032" w:rsidRDefault="00D83032" w:rsidP="00D83032">
      <w:pPr>
        <w:ind w:left="851"/>
        <w:rPr>
          <w:sz w:val="24"/>
          <w:szCs w:val="24"/>
        </w:rPr>
      </w:pPr>
    </w:p>
    <w:p w:rsidR="00D83032" w:rsidRPr="00D83032" w:rsidRDefault="00D83032" w:rsidP="00D83032">
      <w:pPr>
        <w:ind w:left="851"/>
        <w:rPr>
          <w:i/>
          <w:sz w:val="24"/>
          <w:szCs w:val="24"/>
        </w:rPr>
      </w:pPr>
      <w:r w:rsidRPr="00D83032">
        <w:rPr>
          <w:i/>
          <w:sz w:val="24"/>
          <w:szCs w:val="24"/>
        </w:rPr>
        <w:t>Oversigt i tabelform for monoterapi ved MM</w:t>
      </w:r>
    </w:p>
    <w:p w:rsidR="00D83032" w:rsidRPr="00D83032" w:rsidRDefault="00D83032" w:rsidP="00D83032">
      <w:pPr>
        <w:ind w:left="851"/>
        <w:rPr>
          <w:sz w:val="24"/>
          <w:szCs w:val="24"/>
        </w:rPr>
      </w:pPr>
      <w:r w:rsidRPr="00D83032">
        <w:rPr>
          <w:sz w:val="24"/>
          <w:szCs w:val="24"/>
        </w:rPr>
        <w:t xml:space="preserve">Grundlaget for nedenstående tabel er data indsamlet under NDMM-studier hos patienter, der har gennemgået ASCT og er i vedligeholdelsesbehandling med lenalidomid. Data er ikke blevet justeret i forhold til den længere behandlingsvarighed i de lenalidomid-arme, der fortsatte til sygdomsprogression, </w:t>
      </w:r>
      <w:r w:rsidRPr="00D83032">
        <w:rPr>
          <w:i/>
          <w:sz w:val="24"/>
          <w:szCs w:val="24"/>
        </w:rPr>
        <w:t xml:space="preserve">versus </w:t>
      </w:r>
      <w:r w:rsidRPr="00D83032">
        <w:rPr>
          <w:sz w:val="24"/>
          <w:szCs w:val="24"/>
        </w:rPr>
        <w:t>placebo-armene i de pivotale myelomatose-studier (se pkt. 5.1).</w:t>
      </w:r>
    </w:p>
    <w:p w:rsidR="00D83032" w:rsidRPr="00D83032" w:rsidRDefault="00D83032" w:rsidP="00D83032">
      <w:pPr>
        <w:ind w:left="851"/>
        <w:rPr>
          <w:sz w:val="24"/>
          <w:szCs w:val="24"/>
        </w:rPr>
      </w:pPr>
    </w:p>
    <w:p w:rsidR="00D83032" w:rsidRDefault="00D83032" w:rsidP="007366DD">
      <w:pPr>
        <w:keepNext/>
        <w:ind w:left="851"/>
        <w:rPr>
          <w:b/>
          <w:bCs/>
          <w:sz w:val="24"/>
          <w:szCs w:val="24"/>
        </w:rPr>
      </w:pPr>
      <w:r w:rsidRPr="008B3285">
        <w:rPr>
          <w:b/>
          <w:bCs/>
          <w:sz w:val="24"/>
          <w:szCs w:val="24"/>
        </w:rPr>
        <w:t>Tabel 1. Bivirkninger rapporteret i kliniske studier hos patienter med myelomatose, der blev behandlet med lenalidomid-vedligeholdelsesbehandling</w:t>
      </w:r>
    </w:p>
    <w:p w:rsidR="008B3285" w:rsidRPr="008B3285" w:rsidRDefault="008B3285" w:rsidP="007366DD">
      <w:pPr>
        <w:keepNext/>
        <w:rPr>
          <w:b/>
          <w:bCs/>
          <w:sz w:val="24"/>
          <w:szCs w:val="24"/>
        </w:rPr>
      </w:pPr>
    </w:p>
    <w:tbl>
      <w:tblPr>
        <w:tblW w:w="9075"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8"/>
        <w:gridCol w:w="3403"/>
        <w:gridCol w:w="3544"/>
      </w:tblGrid>
      <w:tr w:rsidR="00F33C81" w:rsidTr="00F33C81">
        <w:trPr>
          <w:trHeight w:val="505"/>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keepNext/>
              <w:rPr>
                <w:b/>
                <w:lang w:val="en-GB"/>
              </w:rPr>
            </w:pPr>
            <w:r>
              <w:rPr>
                <w:b/>
                <w:lang w:val="en-GB"/>
              </w:rPr>
              <w:t>Systemorganklasse/foretrukken term</w:t>
            </w:r>
          </w:p>
        </w:tc>
        <w:tc>
          <w:tcPr>
            <w:tcW w:w="340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keepNext/>
              <w:rPr>
                <w:b/>
                <w:lang w:val="en-GB"/>
              </w:rPr>
            </w:pPr>
            <w:r>
              <w:rPr>
                <w:b/>
                <w:lang w:val="en-GB"/>
              </w:rPr>
              <w:t>Alle bivirkninger/hyppighed</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keepNext/>
              <w:rPr>
                <w:b/>
                <w:lang w:val="en-GB"/>
              </w:rPr>
            </w:pPr>
            <w:r>
              <w:rPr>
                <w:b/>
                <w:lang w:val="en-GB"/>
              </w:rPr>
              <w:t>Grad 3-4-bivirkninger/hyppighed</w:t>
            </w:r>
          </w:p>
        </w:tc>
      </w:tr>
      <w:tr w:rsidR="00F33C81" w:rsidTr="00F33C81">
        <w:trPr>
          <w:trHeight w:val="2608"/>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lang w:val="en-GB"/>
              </w:rPr>
            </w:pPr>
            <w:r>
              <w:rPr>
                <w:b/>
                <w:lang w:val="en-GB"/>
              </w:rPr>
              <w:t>Infektioner og parasitære sygdomme</w:t>
            </w:r>
          </w:p>
        </w:tc>
        <w:tc>
          <w:tcPr>
            <w:tcW w:w="3403" w:type="dxa"/>
            <w:tcBorders>
              <w:top w:val="single" w:sz="4" w:space="0" w:color="000000"/>
              <w:left w:val="single" w:sz="4" w:space="0" w:color="000000"/>
              <w:bottom w:val="single" w:sz="4" w:space="0" w:color="000000"/>
              <w:right w:val="single" w:sz="4" w:space="0" w:color="000000"/>
            </w:tcBorders>
          </w:tcPr>
          <w:p w:rsidR="00F33C81" w:rsidRPr="000F2B51" w:rsidRDefault="00F33C81" w:rsidP="00F33C81">
            <w:r w:rsidRPr="000F2B51">
              <w:rPr>
                <w:u w:val="single"/>
              </w:rPr>
              <w:t>Meget almindelig</w:t>
            </w:r>
          </w:p>
          <w:p w:rsidR="00F33C81" w:rsidRPr="000F2B51" w:rsidRDefault="00F33C81" w:rsidP="00F33C81">
            <w:r w:rsidRPr="000F2B51">
              <w:t>Pneumoni</w:t>
            </w:r>
            <w:proofErr w:type="gramStart"/>
            <w:r w:rsidRPr="000F2B51">
              <w:rPr>
                <w:vertAlign w:val="superscript"/>
              </w:rPr>
              <w:t>◊,a</w:t>
            </w:r>
            <w:proofErr w:type="gramEnd"/>
            <w:r w:rsidRPr="000F2B51">
              <w:t>, øvre luftvejsinfektion, neutropenisk infektion, bronkitis</w:t>
            </w:r>
            <w:r w:rsidRPr="000F2B51">
              <w:rPr>
                <w:vertAlign w:val="superscript"/>
              </w:rPr>
              <w:t>◊</w:t>
            </w:r>
            <w:r w:rsidRPr="000F2B51">
              <w:t>, influenza</w:t>
            </w:r>
            <w:r w:rsidRPr="000F2B51">
              <w:rPr>
                <w:vertAlign w:val="superscript"/>
              </w:rPr>
              <w:t>◊</w:t>
            </w:r>
            <w:r w:rsidRPr="000F2B51">
              <w:t>, gastroenteritis</w:t>
            </w:r>
            <w:r w:rsidRPr="000F2B51">
              <w:rPr>
                <w:vertAlign w:val="superscript"/>
              </w:rPr>
              <w:t>◊</w:t>
            </w:r>
            <w:r w:rsidRPr="000F2B51">
              <w:t>, sinusitis, nasofaryngitis, rinitis</w:t>
            </w:r>
          </w:p>
          <w:p w:rsidR="00F33C81" w:rsidRPr="000F2B51" w:rsidRDefault="00F33C81" w:rsidP="00F33C81">
            <w:pPr>
              <w:rPr>
                <w:b/>
              </w:rPr>
            </w:pPr>
          </w:p>
          <w:p w:rsidR="00F33C81" w:rsidRPr="00D83032" w:rsidRDefault="00F33C81" w:rsidP="00F33C81">
            <w:r w:rsidRPr="00D83032">
              <w:rPr>
                <w:u w:val="single"/>
              </w:rPr>
              <w:t>Almindelig</w:t>
            </w:r>
          </w:p>
          <w:p w:rsidR="00F33C81" w:rsidRPr="00D83032" w:rsidRDefault="00F33C81" w:rsidP="00F33C81">
            <w:r w:rsidRPr="00D83032">
              <w:t>Infektion</w:t>
            </w:r>
            <w:r w:rsidRPr="00D83032">
              <w:rPr>
                <w:vertAlign w:val="superscript"/>
              </w:rPr>
              <w:t>◊</w:t>
            </w:r>
            <w:r w:rsidRPr="00D83032">
              <w:t>, urinvejsinfektion</w:t>
            </w:r>
            <w:r w:rsidRPr="00D83032">
              <w:rPr>
                <w:vertAlign w:val="superscript"/>
              </w:rPr>
              <w:t>◊</w:t>
            </w:r>
            <w:r w:rsidRPr="00D83032">
              <w:t>*, nedre luftvejsinfektion, lungeinfektion</w:t>
            </w:r>
            <w:r w:rsidRPr="00D83032">
              <w:rPr>
                <w:vertAlign w:val="superscript"/>
              </w:rPr>
              <w:t>◊</w:t>
            </w:r>
          </w:p>
        </w:tc>
        <w:tc>
          <w:tcPr>
            <w:tcW w:w="3544"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r w:rsidRPr="00D83032">
              <w:rPr>
                <w:u w:val="single"/>
              </w:rPr>
              <w:t>Meget almindelig</w:t>
            </w:r>
          </w:p>
          <w:p w:rsidR="00F33C81" w:rsidRPr="00D83032" w:rsidRDefault="00F33C81" w:rsidP="00F33C81">
            <w:r w:rsidRPr="00D83032">
              <w:t>Pneumoni</w:t>
            </w:r>
            <w:proofErr w:type="gramStart"/>
            <w:r w:rsidRPr="00D83032">
              <w:rPr>
                <w:vertAlign w:val="superscript"/>
              </w:rPr>
              <w:t>◊,a</w:t>
            </w:r>
            <w:proofErr w:type="gramEnd"/>
            <w:r w:rsidRPr="00D83032">
              <w:t>, neutropenisk infektion</w:t>
            </w:r>
          </w:p>
          <w:p w:rsidR="00F33C81" w:rsidRPr="00D83032" w:rsidRDefault="00F33C81" w:rsidP="00F33C81">
            <w:pPr>
              <w:rPr>
                <w:b/>
              </w:rPr>
            </w:pPr>
          </w:p>
          <w:p w:rsidR="00F33C81" w:rsidRPr="00D83032" w:rsidRDefault="00F33C81" w:rsidP="00F33C81">
            <w:r w:rsidRPr="00D83032">
              <w:rPr>
                <w:u w:val="single"/>
              </w:rPr>
              <w:t>Almindelig</w:t>
            </w:r>
          </w:p>
          <w:p w:rsidR="00F33C81" w:rsidRPr="00D83032" w:rsidRDefault="00F33C81" w:rsidP="00F33C81">
            <w:r w:rsidRPr="00D83032">
              <w:t>Sepsis</w:t>
            </w:r>
            <w:r w:rsidRPr="00D83032">
              <w:rPr>
                <w:vertAlign w:val="superscript"/>
              </w:rPr>
              <w:t>◊,b</w:t>
            </w:r>
            <w:r w:rsidRPr="00D83032">
              <w:t>, bakteriæmi, lungeinfektion</w:t>
            </w:r>
            <w:r w:rsidRPr="00D83032">
              <w:rPr>
                <w:vertAlign w:val="superscript"/>
              </w:rPr>
              <w:t>◊</w:t>
            </w:r>
            <w:r w:rsidRPr="00D83032">
              <w:t>, bakteriel nedre luftvejsinfektion, bronkitis</w:t>
            </w:r>
            <w:r w:rsidRPr="00D83032">
              <w:rPr>
                <w:vertAlign w:val="superscript"/>
              </w:rPr>
              <w:t>◊</w:t>
            </w:r>
            <w:r w:rsidRPr="00D83032">
              <w:t>, influenza</w:t>
            </w:r>
            <w:r w:rsidRPr="00D83032">
              <w:rPr>
                <w:vertAlign w:val="superscript"/>
              </w:rPr>
              <w:t>◊</w:t>
            </w:r>
            <w:r w:rsidRPr="00D83032">
              <w:t>, gastroenteritis</w:t>
            </w:r>
            <w:r w:rsidRPr="00D83032">
              <w:rPr>
                <w:vertAlign w:val="superscript"/>
              </w:rPr>
              <w:t>◊</w:t>
            </w:r>
            <w:r w:rsidRPr="00D83032">
              <w:t>, herpes zoster</w:t>
            </w:r>
            <w:r w:rsidRPr="00D83032">
              <w:rPr>
                <w:vertAlign w:val="superscript"/>
              </w:rPr>
              <w:t>◊</w:t>
            </w:r>
            <w:r w:rsidRPr="00D83032">
              <w:t>, infektion</w:t>
            </w:r>
            <w:r w:rsidRPr="00D83032">
              <w:rPr>
                <w:vertAlign w:val="superscript"/>
              </w:rPr>
              <w:t>◊</w:t>
            </w:r>
          </w:p>
        </w:tc>
      </w:tr>
      <w:tr w:rsidR="00F33C81" w:rsidTr="00F33C81">
        <w:trPr>
          <w:trHeight w:val="754"/>
        </w:trPr>
        <w:tc>
          <w:tcPr>
            <w:tcW w:w="2128"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b/>
              </w:rPr>
            </w:pPr>
            <w:r w:rsidRPr="00D83032">
              <w:rPr>
                <w:b/>
              </w:rPr>
              <w:t>Benigne, maligne og uspecificerede tumorer (inkl. cyster og polypper)</w:t>
            </w:r>
          </w:p>
        </w:tc>
        <w:tc>
          <w:tcPr>
            <w:tcW w:w="340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lang w:val="en-GB"/>
              </w:rPr>
            </w:pPr>
            <w:r>
              <w:rPr>
                <w:u w:val="single"/>
                <w:lang w:val="en-GB"/>
              </w:rPr>
              <w:t>Almindelig</w:t>
            </w:r>
          </w:p>
          <w:p w:rsidR="00F33C81" w:rsidRDefault="00F33C81" w:rsidP="00F33C81">
            <w:pPr>
              <w:rPr>
                <w:lang w:val="en-GB"/>
              </w:rPr>
            </w:pPr>
            <w:r>
              <w:rPr>
                <w:lang w:val="en-GB"/>
              </w:rPr>
              <w:t>Myelodysplastisk syndrom</w:t>
            </w:r>
            <w:r>
              <w:rPr>
                <w:vertAlign w:val="superscript"/>
                <w:lang w:val="en-GB"/>
              </w:rPr>
              <w:t>◊,</w:t>
            </w:r>
            <w:r>
              <w:rPr>
                <w:lang w:val="en-GB"/>
              </w:rPr>
              <w:t>*</w:t>
            </w:r>
          </w:p>
        </w:tc>
        <w:tc>
          <w:tcPr>
            <w:tcW w:w="3544" w:type="dxa"/>
            <w:tcBorders>
              <w:top w:val="single" w:sz="4" w:space="0" w:color="000000"/>
              <w:left w:val="single" w:sz="4" w:space="0" w:color="000000"/>
              <w:bottom w:val="single" w:sz="4" w:space="0" w:color="000000"/>
              <w:right w:val="single" w:sz="4" w:space="0" w:color="000000"/>
            </w:tcBorders>
          </w:tcPr>
          <w:p w:rsidR="00F33C81" w:rsidRDefault="00F33C81" w:rsidP="00F33C81">
            <w:pPr>
              <w:rPr>
                <w:lang w:val="en-GB"/>
              </w:rPr>
            </w:pPr>
          </w:p>
        </w:tc>
      </w:tr>
      <w:tr w:rsidR="00F33C81" w:rsidTr="00F33C81">
        <w:trPr>
          <w:trHeight w:val="1795"/>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lang w:val="en-GB"/>
              </w:rPr>
            </w:pPr>
            <w:r>
              <w:rPr>
                <w:b/>
                <w:lang w:val="en-GB"/>
              </w:rPr>
              <w:t>Blod og lymfesystem</w:t>
            </w:r>
          </w:p>
        </w:tc>
        <w:tc>
          <w:tcPr>
            <w:tcW w:w="340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lang w:val="en-GB"/>
              </w:rPr>
            </w:pPr>
            <w:r>
              <w:rPr>
                <w:u w:val="single"/>
                <w:lang w:val="en-GB"/>
              </w:rPr>
              <w:t>Meget almindelig</w:t>
            </w:r>
          </w:p>
          <w:p w:rsidR="00F33C81" w:rsidRDefault="00F33C81" w:rsidP="00F33C81">
            <w:pPr>
              <w:rPr>
                <w:lang w:val="en-GB"/>
              </w:rPr>
            </w:pPr>
            <w:r>
              <w:rPr>
                <w:lang w:val="en-GB"/>
              </w:rPr>
              <w:t>Neutropeni^</w:t>
            </w:r>
            <w:r>
              <w:rPr>
                <w:vertAlign w:val="superscript"/>
                <w:lang w:val="en-GB"/>
              </w:rPr>
              <w:t>,◊</w:t>
            </w:r>
            <w:r>
              <w:rPr>
                <w:lang w:val="en-GB"/>
              </w:rPr>
              <w:t>, febril neutropeni^</w:t>
            </w:r>
            <w:r>
              <w:rPr>
                <w:vertAlign w:val="superscript"/>
                <w:lang w:val="en-GB"/>
              </w:rPr>
              <w:t>,◊</w:t>
            </w:r>
            <w:r>
              <w:rPr>
                <w:lang w:val="en-GB"/>
              </w:rPr>
              <w:t>, trombocytopeni^</w:t>
            </w:r>
            <w:r>
              <w:rPr>
                <w:vertAlign w:val="superscript"/>
                <w:lang w:val="en-GB"/>
              </w:rPr>
              <w:t>,◊</w:t>
            </w:r>
            <w:r>
              <w:rPr>
                <w:lang w:val="en-GB"/>
              </w:rPr>
              <w:t>, anæmi, leukopeni</w:t>
            </w:r>
            <w:r>
              <w:rPr>
                <w:vertAlign w:val="superscript"/>
                <w:lang w:val="en-GB"/>
              </w:rPr>
              <w:t>◊</w:t>
            </w:r>
            <w:r>
              <w:rPr>
                <w:lang w:val="en-GB"/>
              </w:rPr>
              <w:t>, lymfopeni</w:t>
            </w:r>
          </w:p>
        </w:tc>
        <w:tc>
          <w:tcPr>
            <w:tcW w:w="3544" w:type="dxa"/>
            <w:tcBorders>
              <w:top w:val="single" w:sz="4" w:space="0" w:color="000000"/>
              <w:left w:val="single" w:sz="4" w:space="0" w:color="000000"/>
              <w:bottom w:val="single" w:sz="4" w:space="0" w:color="000000"/>
              <w:right w:val="single" w:sz="4" w:space="0" w:color="000000"/>
            </w:tcBorders>
          </w:tcPr>
          <w:p w:rsidR="00F33C81" w:rsidRDefault="00F33C81" w:rsidP="00F33C81">
            <w:pPr>
              <w:rPr>
                <w:lang w:val="en-GB"/>
              </w:rPr>
            </w:pPr>
            <w:r>
              <w:rPr>
                <w:u w:val="single"/>
                <w:lang w:val="en-GB"/>
              </w:rPr>
              <w:t>Meget almindelig</w:t>
            </w:r>
          </w:p>
          <w:p w:rsidR="00F33C81" w:rsidRDefault="00F33C81" w:rsidP="00F33C81">
            <w:pPr>
              <w:rPr>
                <w:lang w:val="en-GB"/>
              </w:rPr>
            </w:pPr>
            <w:r>
              <w:rPr>
                <w:lang w:val="en-GB"/>
              </w:rPr>
              <w:t>Neutropeni^</w:t>
            </w:r>
            <w:r>
              <w:rPr>
                <w:vertAlign w:val="superscript"/>
                <w:lang w:val="en-GB"/>
              </w:rPr>
              <w:t>,◊</w:t>
            </w:r>
            <w:r>
              <w:rPr>
                <w:lang w:val="en-GB"/>
              </w:rPr>
              <w:t>, febril neutropeni^</w:t>
            </w:r>
            <w:r>
              <w:rPr>
                <w:vertAlign w:val="superscript"/>
                <w:lang w:val="en-GB"/>
              </w:rPr>
              <w:t>,◊</w:t>
            </w:r>
            <w:r>
              <w:rPr>
                <w:lang w:val="en-GB"/>
              </w:rPr>
              <w:t>, trombocytopeni^</w:t>
            </w:r>
            <w:r>
              <w:rPr>
                <w:vertAlign w:val="superscript"/>
                <w:lang w:val="en-GB"/>
              </w:rPr>
              <w:t>,◊</w:t>
            </w:r>
            <w:r>
              <w:rPr>
                <w:lang w:val="en-GB"/>
              </w:rPr>
              <w:t>, anæmi, leukopeni</w:t>
            </w:r>
            <w:r>
              <w:rPr>
                <w:vertAlign w:val="superscript"/>
                <w:lang w:val="en-GB"/>
              </w:rPr>
              <w:t>◊</w:t>
            </w:r>
            <w:r>
              <w:rPr>
                <w:lang w:val="en-GB"/>
              </w:rPr>
              <w:t>, lymfopeni</w:t>
            </w:r>
          </w:p>
          <w:p w:rsidR="00F33C81" w:rsidRDefault="00F33C81" w:rsidP="00F33C81">
            <w:pPr>
              <w:rPr>
                <w:b/>
                <w:lang w:val="en-GB"/>
              </w:rPr>
            </w:pPr>
          </w:p>
          <w:p w:rsidR="00F33C81" w:rsidRDefault="00F33C81" w:rsidP="00F33C81">
            <w:pPr>
              <w:rPr>
                <w:lang w:val="en-GB"/>
              </w:rPr>
            </w:pPr>
            <w:r>
              <w:rPr>
                <w:u w:val="single"/>
                <w:lang w:val="en-GB"/>
              </w:rPr>
              <w:t>Almindelig</w:t>
            </w:r>
          </w:p>
          <w:p w:rsidR="00F33C81" w:rsidRDefault="00F33C81" w:rsidP="00F33C81">
            <w:pPr>
              <w:rPr>
                <w:lang w:val="en-GB"/>
              </w:rPr>
            </w:pPr>
            <w:r>
              <w:rPr>
                <w:lang w:val="en-GB"/>
              </w:rPr>
              <w:t>Pancytopeni</w:t>
            </w:r>
            <w:r>
              <w:rPr>
                <w:vertAlign w:val="superscript"/>
                <w:lang w:val="en-GB"/>
              </w:rPr>
              <w:t>◊</w:t>
            </w:r>
          </w:p>
        </w:tc>
      </w:tr>
      <w:tr w:rsidR="00F33C81" w:rsidTr="00F33C81">
        <w:trPr>
          <w:trHeight w:val="559"/>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lang w:val="en-GB"/>
              </w:rPr>
            </w:pPr>
            <w:r>
              <w:rPr>
                <w:b/>
                <w:lang w:val="en-GB"/>
              </w:rPr>
              <w:t>Metabolisme og ernæring</w:t>
            </w:r>
          </w:p>
        </w:tc>
        <w:tc>
          <w:tcPr>
            <w:tcW w:w="340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lang w:val="en-GB"/>
              </w:rPr>
            </w:pPr>
            <w:r>
              <w:rPr>
                <w:u w:val="single"/>
                <w:lang w:val="en-GB"/>
              </w:rPr>
              <w:t>Meget almindelig</w:t>
            </w:r>
          </w:p>
          <w:p w:rsidR="00F33C81" w:rsidRDefault="00F33C81" w:rsidP="00F33C81">
            <w:pPr>
              <w:rPr>
                <w:lang w:val="en-GB"/>
              </w:rPr>
            </w:pPr>
            <w:r>
              <w:rPr>
                <w:lang w:val="en-GB"/>
              </w:rPr>
              <w:t>Hypokaliæmi</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lang w:val="en-GB"/>
              </w:rPr>
            </w:pPr>
            <w:r>
              <w:rPr>
                <w:u w:val="single"/>
                <w:lang w:val="en-GB"/>
              </w:rPr>
              <w:t>Almindelig</w:t>
            </w:r>
          </w:p>
          <w:p w:rsidR="00F33C81" w:rsidRDefault="00F33C81" w:rsidP="00F33C81">
            <w:pPr>
              <w:rPr>
                <w:lang w:val="en-GB"/>
              </w:rPr>
            </w:pPr>
            <w:r>
              <w:rPr>
                <w:lang w:val="en-GB"/>
              </w:rPr>
              <w:t>Hypokaliæmi, dehydrering</w:t>
            </w:r>
          </w:p>
        </w:tc>
      </w:tr>
      <w:tr w:rsidR="00F33C81" w:rsidTr="00F33C81">
        <w:trPr>
          <w:trHeight w:val="1261"/>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lang w:val="en-GB"/>
              </w:rPr>
            </w:pPr>
            <w:r>
              <w:rPr>
                <w:b/>
                <w:lang w:val="en-GB"/>
              </w:rPr>
              <w:t>Nervesystemet</w:t>
            </w:r>
          </w:p>
        </w:tc>
        <w:tc>
          <w:tcPr>
            <w:tcW w:w="3403"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r w:rsidRPr="00D83032">
              <w:rPr>
                <w:u w:val="single"/>
              </w:rPr>
              <w:t>Meget almindelig</w:t>
            </w:r>
          </w:p>
          <w:p w:rsidR="00F33C81" w:rsidRPr="00D83032" w:rsidRDefault="00F33C81" w:rsidP="00F33C81">
            <w:r w:rsidRPr="00D83032">
              <w:t>Paræstesi</w:t>
            </w:r>
          </w:p>
          <w:p w:rsidR="00F33C81" w:rsidRPr="00D83032" w:rsidRDefault="00F33C81" w:rsidP="00F33C81"/>
          <w:p w:rsidR="00F33C81" w:rsidRPr="00D83032" w:rsidRDefault="00F33C81" w:rsidP="00F33C81">
            <w:pPr>
              <w:rPr>
                <w:u w:val="single"/>
              </w:rPr>
            </w:pPr>
            <w:r w:rsidRPr="00D83032">
              <w:rPr>
                <w:u w:val="single"/>
              </w:rPr>
              <w:t>Almindelig</w:t>
            </w:r>
          </w:p>
          <w:p w:rsidR="00F33C81" w:rsidRPr="00D83032" w:rsidRDefault="00F33C81" w:rsidP="00F33C81">
            <w:r w:rsidRPr="00D83032">
              <w:t>Perifer neuropati</w:t>
            </w:r>
            <w:r w:rsidRPr="00D83032">
              <w:rPr>
                <w:vertAlign w:val="superscript"/>
              </w:rPr>
              <w:t>c</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lang w:val="en-GB"/>
              </w:rPr>
            </w:pPr>
            <w:r>
              <w:rPr>
                <w:u w:val="single"/>
                <w:lang w:val="en-GB"/>
              </w:rPr>
              <w:t>Almindelig</w:t>
            </w:r>
          </w:p>
          <w:p w:rsidR="00F33C81" w:rsidRDefault="00F33C81" w:rsidP="00F33C81">
            <w:pPr>
              <w:rPr>
                <w:lang w:val="en-GB"/>
              </w:rPr>
            </w:pPr>
            <w:r>
              <w:rPr>
                <w:lang w:val="en-GB"/>
              </w:rPr>
              <w:t>Hovedpine</w:t>
            </w:r>
          </w:p>
        </w:tc>
      </w:tr>
      <w:tr w:rsidR="00F33C81" w:rsidTr="00F33C81">
        <w:trPr>
          <w:trHeight w:val="504"/>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lang w:val="en-GB"/>
              </w:rPr>
            </w:pPr>
            <w:r>
              <w:rPr>
                <w:b/>
                <w:lang w:val="en-GB"/>
              </w:rPr>
              <w:t>Vaskulære sygdomme</w:t>
            </w:r>
          </w:p>
        </w:tc>
        <w:tc>
          <w:tcPr>
            <w:tcW w:w="340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u w:val="single"/>
                <w:lang w:val="en-GB"/>
              </w:rPr>
            </w:pPr>
            <w:r>
              <w:rPr>
                <w:u w:val="single"/>
                <w:lang w:val="en-GB"/>
              </w:rPr>
              <w:t>Almindelig</w:t>
            </w:r>
          </w:p>
          <w:p w:rsidR="00F33C81" w:rsidRDefault="00F33C81" w:rsidP="00F33C81">
            <w:pPr>
              <w:rPr>
                <w:lang w:val="en-GB"/>
              </w:rPr>
            </w:pPr>
            <w:r>
              <w:rPr>
                <w:lang w:val="en-GB"/>
              </w:rPr>
              <w:t>Lungeemboli</w:t>
            </w:r>
            <w:r>
              <w:rPr>
                <w:vertAlign w:val="superscript"/>
                <w:lang w:val="en-GB"/>
              </w:rPr>
              <w:t>◊</w:t>
            </w:r>
            <w:r>
              <w:rPr>
                <w:lang w:val="en-GB"/>
              </w:rPr>
              <w:t>*</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lang w:val="en-GB"/>
              </w:rPr>
            </w:pPr>
            <w:r>
              <w:rPr>
                <w:u w:val="single"/>
                <w:lang w:val="en-GB"/>
              </w:rPr>
              <w:t>Almindelig</w:t>
            </w:r>
          </w:p>
          <w:p w:rsidR="00F33C81" w:rsidRDefault="00F33C81" w:rsidP="00F33C81">
            <w:pPr>
              <w:rPr>
                <w:lang w:val="en-GB"/>
              </w:rPr>
            </w:pPr>
            <w:r>
              <w:rPr>
                <w:lang w:val="en-GB"/>
              </w:rPr>
              <w:t>Dyb venetrombose^</w:t>
            </w:r>
            <w:r>
              <w:rPr>
                <w:vertAlign w:val="superscript"/>
                <w:lang w:val="en-GB"/>
              </w:rPr>
              <w:t>,◊,d</w:t>
            </w:r>
          </w:p>
        </w:tc>
      </w:tr>
      <w:tr w:rsidR="00F33C81" w:rsidTr="00F33C81">
        <w:trPr>
          <w:trHeight w:val="504"/>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lang w:val="en-GB"/>
              </w:rPr>
            </w:pPr>
            <w:r>
              <w:rPr>
                <w:b/>
                <w:lang w:val="en-GB"/>
              </w:rPr>
              <w:t>Luftveje, thorax og mediastinum</w:t>
            </w:r>
          </w:p>
        </w:tc>
        <w:tc>
          <w:tcPr>
            <w:tcW w:w="3403"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u w:val="single"/>
              </w:rPr>
            </w:pPr>
            <w:r w:rsidRPr="00D83032">
              <w:rPr>
                <w:u w:val="single"/>
              </w:rPr>
              <w:t>Meget almindelig</w:t>
            </w:r>
          </w:p>
          <w:p w:rsidR="00F33C81" w:rsidRPr="00D83032" w:rsidRDefault="00F33C81" w:rsidP="00F33C81">
            <w:r w:rsidRPr="00D83032">
              <w:t>Hoste</w:t>
            </w:r>
          </w:p>
          <w:p w:rsidR="00F33C81" w:rsidRPr="00D83032" w:rsidRDefault="00F33C81" w:rsidP="00F33C81">
            <w:pPr>
              <w:rPr>
                <w:u w:val="single"/>
              </w:rPr>
            </w:pPr>
          </w:p>
          <w:p w:rsidR="00F33C81" w:rsidRPr="00D83032" w:rsidRDefault="00F33C81" w:rsidP="00F33C81">
            <w:pPr>
              <w:rPr>
                <w:u w:val="single"/>
              </w:rPr>
            </w:pPr>
            <w:r w:rsidRPr="00D83032">
              <w:rPr>
                <w:u w:val="single"/>
              </w:rPr>
              <w:t>Almindelig</w:t>
            </w:r>
          </w:p>
          <w:p w:rsidR="00F33C81" w:rsidRPr="00D83032" w:rsidRDefault="00F33C81" w:rsidP="00F33C81">
            <w:pPr>
              <w:rPr>
                <w:u w:val="single"/>
              </w:rPr>
            </w:pPr>
            <w:r w:rsidRPr="00D83032">
              <w:rPr>
                <w:u w:val="single"/>
              </w:rPr>
              <w:t>Dyspnø</w:t>
            </w:r>
            <w:r w:rsidRPr="00D83032">
              <w:rPr>
                <w:u w:val="single"/>
                <w:vertAlign w:val="superscript"/>
              </w:rPr>
              <w:t>◊</w:t>
            </w:r>
            <w:r w:rsidRPr="00D83032">
              <w:rPr>
                <w:u w:val="single"/>
              </w:rPr>
              <w:t>, rinoré</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u w:val="single"/>
                <w:lang w:val="en-GB"/>
              </w:rPr>
            </w:pPr>
            <w:r>
              <w:rPr>
                <w:u w:val="single"/>
                <w:lang w:val="en-GB"/>
              </w:rPr>
              <w:t>Almindelig</w:t>
            </w:r>
          </w:p>
          <w:p w:rsidR="00F33C81" w:rsidRDefault="00F33C81" w:rsidP="00F33C81">
            <w:pPr>
              <w:rPr>
                <w:u w:val="single"/>
                <w:lang w:val="en-GB"/>
              </w:rPr>
            </w:pPr>
            <w:r>
              <w:rPr>
                <w:lang w:val="en-GB"/>
              </w:rPr>
              <w:t>Dyspnø</w:t>
            </w:r>
            <w:r>
              <w:rPr>
                <w:vertAlign w:val="superscript"/>
                <w:lang w:val="en-GB"/>
              </w:rPr>
              <w:t>◊</w:t>
            </w:r>
          </w:p>
        </w:tc>
      </w:tr>
      <w:tr w:rsidR="00F33C81" w:rsidTr="00F33C81">
        <w:trPr>
          <w:trHeight w:val="1462"/>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lang w:val="en-GB"/>
              </w:rPr>
            </w:pPr>
            <w:r>
              <w:rPr>
                <w:b/>
                <w:lang w:val="en-GB"/>
              </w:rPr>
              <w:lastRenderedPageBreak/>
              <w:t>Mave-tarm-kanalen</w:t>
            </w:r>
          </w:p>
        </w:tc>
        <w:tc>
          <w:tcPr>
            <w:tcW w:w="3403"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u w:val="single"/>
              </w:rPr>
            </w:pPr>
            <w:r w:rsidRPr="00D83032">
              <w:rPr>
                <w:u w:val="single"/>
              </w:rPr>
              <w:t>Meget almindelig</w:t>
            </w:r>
          </w:p>
          <w:p w:rsidR="00F33C81" w:rsidRPr="00D83032" w:rsidRDefault="00F33C81" w:rsidP="00F33C81">
            <w:r w:rsidRPr="00D83032">
              <w:t>Diarré, forstoppelse, abdominalsmerter, kvalme</w:t>
            </w:r>
          </w:p>
          <w:p w:rsidR="00F33C81" w:rsidRPr="00D83032" w:rsidRDefault="00F33C81" w:rsidP="00F33C81">
            <w:pPr>
              <w:rPr>
                <w:u w:val="single"/>
              </w:rPr>
            </w:pPr>
          </w:p>
          <w:p w:rsidR="00F33C81" w:rsidRDefault="00F33C81" w:rsidP="00F33C81">
            <w:pPr>
              <w:rPr>
                <w:u w:val="single"/>
                <w:lang w:val="en-GB"/>
              </w:rPr>
            </w:pPr>
            <w:r>
              <w:rPr>
                <w:u w:val="single"/>
                <w:lang w:val="en-GB"/>
              </w:rPr>
              <w:t>Almindelig</w:t>
            </w:r>
          </w:p>
          <w:p w:rsidR="00F33C81" w:rsidRDefault="00F33C81" w:rsidP="00F33C81">
            <w:pPr>
              <w:rPr>
                <w:lang w:val="en-GB"/>
              </w:rPr>
            </w:pPr>
            <w:r>
              <w:rPr>
                <w:lang w:val="en-GB"/>
              </w:rPr>
              <w:t>Opkastning, øvre abdominalsmerter</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u w:val="single"/>
                <w:lang w:val="en-GB"/>
              </w:rPr>
            </w:pPr>
            <w:r>
              <w:rPr>
                <w:u w:val="single"/>
                <w:lang w:val="en-GB"/>
              </w:rPr>
              <w:t>Almindelig</w:t>
            </w:r>
          </w:p>
          <w:p w:rsidR="00F33C81" w:rsidRDefault="00F33C81" w:rsidP="00F33C81">
            <w:pPr>
              <w:rPr>
                <w:lang w:val="en-GB"/>
              </w:rPr>
            </w:pPr>
            <w:r>
              <w:rPr>
                <w:lang w:val="en-GB"/>
              </w:rPr>
              <w:t>Diarré, opkastning, kvalme</w:t>
            </w:r>
          </w:p>
        </w:tc>
      </w:tr>
      <w:tr w:rsidR="00F33C81" w:rsidTr="00F33C81">
        <w:trPr>
          <w:trHeight w:val="504"/>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lang w:val="en-GB"/>
              </w:rPr>
            </w:pPr>
            <w:r>
              <w:rPr>
                <w:b/>
                <w:lang w:val="en-GB"/>
              </w:rPr>
              <w:t>Lever og galdeveje</w:t>
            </w:r>
          </w:p>
        </w:tc>
        <w:tc>
          <w:tcPr>
            <w:tcW w:w="340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u w:val="single"/>
                <w:lang w:val="en-GB"/>
              </w:rPr>
            </w:pPr>
            <w:r>
              <w:rPr>
                <w:u w:val="single"/>
                <w:lang w:val="en-GB"/>
              </w:rPr>
              <w:t>Meget almindelig</w:t>
            </w:r>
          </w:p>
          <w:p w:rsidR="00F33C81" w:rsidRDefault="00F33C81" w:rsidP="00F33C81">
            <w:pPr>
              <w:rPr>
                <w:lang w:val="en-GB"/>
              </w:rPr>
            </w:pPr>
            <w:r>
              <w:rPr>
                <w:lang w:val="en-GB"/>
              </w:rPr>
              <w:t>Unormale leverfunktionstests</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u w:val="single"/>
                <w:lang w:val="en-GB"/>
              </w:rPr>
            </w:pPr>
            <w:r>
              <w:rPr>
                <w:u w:val="single"/>
                <w:lang w:val="en-GB"/>
              </w:rPr>
              <w:t>Almindelig</w:t>
            </w:r>
          </w:p>
          <w:p w:rsidR="00F33C81" w:rsidRDefault="00F33C81" w:rsidP="00F33C81">
            <w:pPr>
              <w:rPr>
                <w:lang w:val="en-GB"/>
              </w:rPr>
            </w:pPr>
            <w:r>
              <w:rPr>
                <w:lang w:val="en-GB"/>
              </w:rPr>
              <w:t>Unormale leverfunktionstests</w:t>
            </w:r>
          </w:p>
        </w:tc>
      </w:tr>
      <w:tr w:rsidR="00F33C81" w:rsidTr="00F33C81">
        <w:trPr>
          <w:trHeight w:val="504"/>
        </w:trPr>
        <w:tc>
          <w:tcPr>
            <w:tcW w:w="2128"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lang w:val="en-GB"/>
              </w:rPr>
            </w:pPr>
            <w:r>
              <w:rPr>
                <w:b/>
                <w:lang w:val="en-GB"/>
              </w:rPr>
              <w:t>Hud og subkutane væv</w:t>
            </w:r>
          </w:p>
        </w:tc>
        <w:tc>
          <w:tcPr>
            <w:tcW w:w="3403"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u w:val="single"/>
              </w:rPr>
            </w:pPr>
            <w:r w:rsidRPr="00D83032">
              <w:rPr>
                <w:u w:val="single"/>
              </w:rPr>
              <w:t>Meget almindelig</w:t>
            </w:r>
          </w:p>
          <w:p w:rsidR="00F33C81" w:rsidRPr="00D83032" w:rsidRDefault="00F33C81" w:rsidP="00F33C81">
            <w:r w:rsidRPr="00D83032">
              <w:t>Udslæt, tør hud</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u w:val="single"/>
                <w:lang w:val="en-GB"/>
              </w:rPr>
            </w:pPr>
            <w:r>
              <w:rPr>
                <w:u w:val="single"/>
                <w:lang w:val="en-GB"/>
              </w:rPr>
              <w:t>Almindelig</w:t>
            </w:r>
          </w:p>
          <w:p w:rsidR="00F33C81" w:rsidRDefault="00F33C81" w:rsidP="00F33C81">
            <w:pPr>
              <w:rPr>
                <w:u w:val="single"/>
                <w:lang w:val="en-GB"/>
              </w:rPr>
            </w:pPr>
            <w:r>
              <w:rPr>
                <w:u w:val="single"/>
                <w:lang w:val="en-GB"/>
              </w:rPr>
              <w:t>Udslæt, kløe</w:t>
            </w:r>
          </w:p>
        </w:tc>
      </w:tr>
      <w:tr w:rsidR="00F33C81" w:rsidTr="00F33C81">
        <w:trPr>
          <w:trHeight w:val="273"/>
        </w:trPr>
        <w:tc>
          <w:tcPr>
            <w:tcW w:w="2128"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b/>
              </w:rPr>
            </w:pPr>
            <w:r w:rsidRPr="00D83032">
              <w:rPr>
                <w:b/>
              </w:rPr>
              <w:t>Knogler, led, muskler og bindevæv</w:t>
            </w:r>
          </w:p>
        </w:tc>
        <w:tc>
          <w:tcPr>
            <w:tcW w:w="3403"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u w:val="single"/>
              </w:rPr>
            </w:pPr>
            <w:r w:rsidRPr="00D83032">
              <w:rPr>
                <w:u w:val="single"/>
              </w:rPr>
              <w:t>Meget almindelig</w:t>
            </w:r>
          </w:p>
          <w:p w:rsidR="00F33C81" w:rsidRPr="00D83032" w:rsidRDefault="00F33C81" w:rsidP="00F33C81">
            <w:r w:rsidRPr="00D83032">
              <w:t>Muskelspasmer</w:t>
            </w:r>
          </w:p>
          <w:p w:rsidR="00F33C81" w:rsidRPr="00D83032" w:rsidRDefault="00F33C81" w:rsidP="00F33C81">
            <w:pPr>
              <w:rPr>
                <w:u w:val="single"/>
              </w:rPr>
            </w:pPr>
          </w:p>
          <w:p w:rsidR="00F33C81" w:rsidRPr="00D83032" w:rsidRDefault="00F33C81" w:rsidP="00F33C81">
            <w:pPr>
              <w:rPr>
                <w:u w:val="single"/>
              </w:rPr>
            </w:pPr>
            <w:r w:rsidRPr="00D83032">
              <w:rPr>
                <w:u w:val="single"/>
              </w:rPr>
              <w:t>Almindelig</w:t>
            </w:r>
          </w:p>
          <w:p w:rsidR="00F33C81" w:rsidRPr="00D83032" w:rsidRDefault="00F33C81" w:rsidP="00F33C81">
            <w:r w:rsidRPr="00D83032">
              <w:t>Myalgi, muskuloskeletale smerter</w:t>
            </w:r>
          </w:p>
        </w:tc>
        <w:tc>
          <w:tcPr>
            <w:tcW w:w="3544"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u w:val="single"/>
              </w:rPr>
            </w:pPr>
          </w:p>
        </w:tc>
      </w:tr>
      <w:tr w:rsidR="00F33C81" w:rsidTr="00F33C81">
        <w:trPr>
          <w:trHeight w:val="504"/>
        </w:trPr>
        <w:tc>
          <w:tcPr>
            <w:tcW w:w="2128"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b/>
              </w:rPr>
            </w:pPr>
            <w:r w:rsidRPr="00D83032">
              <w:rPr>
                <w:b/>
              </w:rPr>
              <w:t>Almene symptomer og reaktioner på administrations-stedet</w:t>
            </w:r>
          </w:p>
        </w:tc>
        <w:tc>
          <w:tcPr>
            <w:tcW w:w="3403"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u w:val="single"/>
              </w:rPr>
            </w:pPr>
            <w:r w:rsidRPr="00D83032">
              <w:rPr>
                <w:u w:val="single"/>
              </w:rPr>
              <w:t>Meget almindelig</w:t>
            </w:r>
          </w:p>
          <w:p w:rsidR="00F33C81" w:rsidRPr="00D83032" w:rsidRDefault="00F33C81" w:rsidP="00F33C81">
            <w:r w:rsidRPr="00D83032">
              <w:t>Træthed, asteni, pyreksi</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u w:val="single"/>
                <w:lang w:val="en-GB"/>
              </w:rPr>
            </w:pPr>
            <w:r>
              <w:rPr>
                <w:u w:val="single"/>
                <w:lang w:val="en-GB"/>
              </w:rPr>
              <w:t>Almindelig</w:t>
            </w:r>
          </w:p>
          <w:p w:rsidR="00F33C81" w:rsidRDefault="00F33C81" w:rsidP="00F33C81">
            <w:pPr>
              <w:rPr>
                <w:lang w:val="en-GB"/>
              </w:rPr>
            </w:pPr>
            <w:r>
              <w:rPr>
                <w:lang w:val="en-GB"/>
              </w:rPr>
              <w:t>Træthed, asteni</w:t>
            </w:r>
          </w:p>
        </w:tc>
      </w:tr>
    </w:tbl>
    <w:p w:rsidR="00D83032" w:rsidRDefault="00D83032" w:rsidP="007366DD">
      <w:pPr>
        <w:ind w:left="851"/>
        <w:rPr>
          <w:sz w:val="16"/>
          <w:szCs w:val="16"/>
        </w:rPr>
      </w:pPr>
      <w:r>
        <w:rPr>
          <w:sz w:val="16"/>
          <w:szCs w:val="16"/>
        </w:rPr>
        <w:t>◊ Bivirkninger, der er rapporteret som alvorlige i kliniske studier hos patienter med NDMM, der havde gennemgået ASCT</w:t>
      </w:r>
    </w:p>
    <w:p w:rsidR="00D83032" w:rsidRDefault="00D83032" w:rsidP="007366DD">
      <w:pPr>
        <w:ind w:left="851"/>
        <w:rPr>
          <w:sz w:val="16"/>
          <w:szCs w:val="16"/>
        </w:rPr>
      </w:pPr>
      <w:r>
        <w:rPr>
          <w:sz w:val="16"/>
          <w:szCs w:val="16"/>
        </w:rPr>
        <w:t>* Gælder kun alvorlige bivirkninger.</w:t>
      </w:r>
    </w:p>
    <w:p w:rsidR="00D83032" w:rsidRDefault="00D83032" w:rsidP="007366DD">
      <w:pPr>
        <w:ind w:left="851"/>
        <w:rPr>
          <w:sz w:val="16"/>
          <w:szCs w:val="16"/>
        </w:rPr>
      </w:pPr>
      <w:r>
        <w:rPr>
          <w:sz w:val="16"/>
          <w:szCs w:val="16"/>
        </w:rPr>
        <w:t>^ Se pkt. 4.8 Beskrivelse af udvalgte bivirkninger</w:t>
      </w:r>
    </w:p>
    <w:p w:rsidR="00D83032" w:rsidRDefault="00D83032" w:rsidP="007366DD">
      <w:pPr>
        <w:ind w:left="851"/>
        <w:rPr>
          <w:sz w:val="16"/>
          <w:szCs w:val="16"/>
        </w:rPr>
      </w:pPr>
      <w:r>
        <w:rPr>
          <w:sz w:val="16"/>
          <w:szCs w:val="16"/>
          <w:vertAlign w:val="superscript"/>
        </w:rPr>
        <w:t xml:space="preserve">a </w:t>
      </w:r>
      <w:r>
        <w:rPr>
          <w:sz w:val="16"/>
          <w:szCs w:val="16"/>
        </w:rPr>
        <w:t xml:space="preserve">"Pneumoni" kombineret bivirkningsterm, der inkluderer følgende foretrukne termer: Bronkopneumoni, lobær pneumoni, </w:t>
      </w:r>
      <w:r>
        <w:rPr>
          <w:i/>
          <w:sz w:val="16"/>
          <w:szCs w:val="16"/>
        </w:rPr>
        <w:t>Pneumocystis jiroveci</w:t>
      </w:r>
      <w:r>
        <w:rPr>
          <w:sz w:val="16"/>
          <w:szCs w:val="16"/>
        </w:rPr>
        <w:t xml:space="preserve">-pneumoni, pneumoni, </w:t>
      </w:r>
      <w:r>
        <w:rPr>
          <w:i/>
          <w:sz w:val="16"/>
          <w:szCs w:val="16"/>
        </w:rPr>
        <w:t>Klebsiella-</w:t>
      </w:r>
      <w:r>
        <w:rPr>
          <w:sz w:val="16"/>
          <w:szCs w:val="16"/>
        </w:rPr>
        <w:t xml:space="preserve">pneumoni, </w:t>
      </w:r>
      <w:r>
        <w:rPr>
          <w:i/>
          <w:sz w:val="16"/>
          <w:szCs w:val="16"/>
        </w:rPr>
        <w:t>Legionella</w:t>
      </w:r>
      <w:r>
        <w:rPr>
          <w:sz w:val="16"/>
          <w:szCs w:val="16"/>
        </w:rPr>
        <w:t xml:space="preserve">-pneumoni, </w:t>
      </w:r>
      <w:r>
        <w:rPr>
          <w:i/>
          <w:sz w:val="16"/>
          <w:szCs w:val="16"/>
        </w:rPr>
        <w:t>Mycoplasma</w:t>
      </w:r>
      <w:r>
        <w:rPr>
          <w:sz w:val="16"/>
          <w:szCs w:val="16"/>
        </w:rPr>
        <w:t>-pneumoni, pneumokok-pneumoni, streptokok- pneumoni, viral pneumoni, lungeforstyrrelse, pneumonitis</w:t>
      </w:r>
    </w:p>
    <w:p w:rsidR="00D83032" w:rsidRDefault="00D83032" w:rsidP="007366DD">
      <w:pPr>
        <w:ind w:left="851"/>
        <w:rPr>
          <w:sz w:val="16"/>
          <w:szCs w:val="16"/>
        </w:rPr>
      </w:pPr>
      <w:r>
        <w:rPr>
          <w:sz w:val="16"/>
          <w:szCs w:val="16"/>
          <w:vertAlign w:val="superscript"/>
        </w:rPr>
        <w:t xml:space="preserve">b </w:t>
      </w:r>
      <w:r>
        <w:rPr>
          <w:sz w:val="16"/>
          <w:szCs w:val="16"/>
        </w:rPr>
        <w:t>“Sepsis" kombineret bivirkningsterm, der inkluderer følgende foretrukne termer: Bakteriel sepsis, pneumokok-sepsis, sepsis, septisk shock, stafylokok-sepsis</w:t>
      </w:r>
    </w:p>
    <w:p w:rsidR="00D83032" w:rsidRDefault="00D83032" w:rsidP="007366DD">
      <w:pPr>
        <w:ind w:left="851"/>
        <w:rPr>
          <w:sz w:val="16"/>
          <w:szCs w:val="16"/>
        </w:rPr>
      </w:pPr>
      <w:r>
        <w:rPr>
          <w:sz w:val="16"/>
          <w:szCs w:val="16"/>
          <w:vertAlign w:val="superscript"/>
        </w:rPr>
        <w:t>c</w:t>
      </w:r>
      <w:r>
        <w:rPr>
          <w:sz w:val="16"/>
          <w:szCs w:val="16"/>
        </w:rPr>
        <w:t xml:space="preserve"> “Perifer neuropati" kombineret bivirkningsterm, der inkluderer følgende foretrukne termer: Perifer neuropati, perifer sensorisk neuropati, polyneuropati</w:t>
      </w:r>
    </w:p>
    <w:p w:rsidR="00D83032" w:rsidRDefault="00D83032" w:rsidP="007366DD">
      <w:pPr>
        <w:ind w:left="851"/>
        <w:rPr>
          <w:sz w:val="16"/>
          <w:szCs w:val="16"/>
        </w:rPr>
      </w:pPr>
      <w:r>
        <w:rPr>
          <w:sz w:val="16"/>
          <w:szCs w:val="16"/>
          <w:vertAlign w:val="superscript"/>
        </w:rPr>
        <w:t>d</w:t>
      </w:r>
      <w:r>
        <w:rPr>
          <w:sz w:val="16"/>
          <w:szCs w:val="16"/>
        </w:rPr>
        <w:t xml:space="preserve"> “Dyb venetrombose" kombineret bivirkningsterm, der inkluderer følgende foretrukne termer: Dyb venetrombose, trombose, venøs trombose</w:t>
      </w:r>
    </w:p>
    <w:p w:rsidR="00D83032" w:rsidRPr="00A757D3" w:rsidRDefault="00D83032" w:rsidP="00A757D3">
      <w:pPr>
        <w:ind w:left="851"/>
        <w:rPr>
          <w:sz w:val="24"/>
          <w:szCs w:val="24"/>
        </w:rPr>
      </w:pPr>
    </w:p>
    <w:p w:rsidR="00D83032" w:rsidRPr="00C11010" w:rsidRDefault="00D83032" w:rsidP="00A757D3">
      <w:pPr>
        <w:ind w:left="851"/>
        <w:rPr>
          <w:i/>
          <w:sz w:val="24"/>
          <w:szCs w:val="24"/>
        </w:rPr>
      </w:pPr>
      <w:r w:rsidRPr="00C11010">
        <w:rPr>
          <w:i/>
          <w:sz w:val="24"/>
          <w:szCs w:val="24"/>
        </w:rPr>
        <w:t>Oversigt over kombinationsbehandling i tabelform ved MM</w:t>
      </w:r>
    </w:p>
    <w:p w:rsidR="00D83032" w:rsidRPr="00A757D3" w:rsidRDefault="00D83032" w:rsidP="00A757D3">
      <w:pPr>
        <w:ind w:left="851"/>
        <w:rPr>
          <w:sz w:val="24"/>
          <w:szCs w:val="24"/>
        </w:rPr>
      </w:pPr>
      <w:r w:rsidRPr="00A757D3">
        <w:rPr>
          <w:sz w:val="24"/>
          <w:szCs w:val="24"/>
        </w:rPr>
        <w:t xml:space="preserve">Grundlaget for nedenstående tabel er data indsamlet under studier af myelomatose med kombinationsbehandling. Data er ikke blevet justeret i forhold til den længere behandlingsvarighed i lenalidomid-baserede arme, der fortsatte behandling til sygdomsprogression, </w:t>
      </w:r>
      <w:r w:rsidRPr="00A757D3">
        <w:rPr>
          <w:i/>
          <w:sz w:val="24"/>
          <w:szCs w:val="24"/>
        </w:rPr>
        <w:t xml:space="preserve">versus </w:t>
      </w:r>
      <w:r w:rsidRPr="00A757D3">
        <w:rPr>
          <w:sz w:val="24"/>
          <w:szCs w:val="24"/>
        </w:rPr>
        <w:t>komparator-arme i de pivotale myelomatose-studier (se pkt. 5.1).</w:t>
      </w:r>
    </w:p>
    <w:p w:rsidR="00DF19D5" w:rsidRDefault="00DF19D5">
      <w:pPr>
        <w:rPr>
          <w:b/>
          <w:bCs/>
          <w:sz w:val="24"/>
          <w:szCs w:val="24"/>
        </w:rPr>
      </w:pPr>
    </w:p>
    <w:p w:rsidR="00D83032" w:rsidRDefault="00D83032" w:rsidP="00A757D3">
      <w:pPr>
        <w:ind w:left="851"/>
        <w:rPr>
          <w:b/>
          <w:bCs/>
          <w:sz w:val="24"/>
          <w:szCs w:val="24"/>
        </w:rPr>
      </w:pPr>
      <w:r w:rsidRPr="00A757D3">
        <w:rPr>
          <w:b/>
          <w:bCs/>
          <w:sz w:val="24"/>
          <w:szCs w:val="24"/>
        </w:rPr>
        <w:t>Tabel 2. Bivirkninger indberettet i kliniske studier hos patienter med myelomatose, der blev behandlet med lenalidomid i kombination med</w:t>
      </w:r>
      <w:r w:rsidRPr="005F70F3">
        <w:rPr>
          <w:b/>
          <w:bCs/>
          <w:sz w:val="24"/>
          <w:szCs w:val="24"/>
        </w:rPr>
        <w:t xml:space="preserve"> </w:t>
      </w:r>
      <w:r w:rsidR="005F70F3" w:rsidRPr="005F70F3">
        <w:rPr>
          <w:b/>
          <w:bCs/>
          <w:sz w:val="24"/>
          <w:szCs w:val="24"/>
        </w:rPr>
        <w:t xml:space="preserve">bortezomib og </w:t>
      </w:r>
      <w:r w:rsidRPr="00A757D3">
        <w:rPr>
          <w:b/>
          <w:bCs/>
          <w:sz w:val="24"/>
          <w:szCs w:val="24"/>
        </w:rPr>
        <w:t>dexamethason</w:t>
      </w:r>
      <w:r w:rsidR="00894B4E">
        <w:rPr>
          <w:b/>
          <w:bCs/>
          <w:sz w:val="24"/>
          <w:szCs w:val="24"/>
        </w:rPr>
        <w:t xml:space="preserve"> eller </w:t>
      </w:r>
      <w:r w:rsidRPr="00A757D3">
        <w:rPr>
          <w:b/>
          <w:bCs/>
          <w:sz w:val="24"/>
          <w:szCs w:val="24"/>
        </w:rPr>
        <w:t>melphalan og prednison</w:t>
      </w:r>
    </w:p>
    <w:p w:rsidR="005F70F3" w:rsidRDefault="005F70F3" w:rsidP="005F70F3">
      <w:pPr>
        <w:rPr>
          <w:b/>
          <w:bCs/>
          <w:sz w:val="22"/>
        </w:rPr>
      </w:pPr>
    </w:p>
    <w:tbl>
      <w:tblPr>
        <w:tblW w:w="9060" w:type="dxa"/>
        <w:tblInd w:w="846" w:type="dxa"/>
        <w:tblLayout w:type="fixed"/>
        <w:tblCellMar>
          <w:left w:w="0" w:type="dxa"/>
          <w:right w:w="0" w:type="dxa"/>
        </w:tblCellMar>
        <w:tblLook w:val="04A0" w:firstRow="1" w:lastRow="0" w:firstColumn="1" w:lastColumn="0" w:noHBand="0" w:noVBand="1"/>
      </w:tblPr>
      <w:tblGrid>
        <w:gridCol w:w="2126"/>
        <w:gridCol w:w="3544"/>
        <w:gridCol w:w="3390"/>
      </w:tblGrid>
      <w:tr w:rsidR="00F33C81" w:rsidTr="00F33C81">
        <w:trPr>
          <w:trHeight w:val="577"/>
          <w:tblHeader/>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bCs/>
                <w:noProof/>
                <w:szCs w:val="22"/>
                <w:lang w:val="en-GB"/>
              </w:rPr>
            </w:pPr>
            <w:r>
              <w:rPr>
                <w:b/>
                <w:bCs/>
                <w:noProof/>
                <w:szCs w:val="22"/>
                <w:lang w:val="en-GB"/>
              </w:rPr>
              <w:t>Systemorganklasse/</w:t>
            </w:r>
          </w:p>
          <w:p w:rsidR="00F33C81" w:rsidRDefault="00F33C81" w:rsidP="00F33C81">
            <w:pPr>
              <w:rPr>
                <w:noProof/>
                <w:szCs w:val="22"/>
                <w:lang w:val="en-GB"/>
              </w:rPr>
            </w:pPr>
            <w:r>
              <w:rPr>
                <w:b/>
                <w:bCs/>
                <w:noProof/>
                <w:szCs w:val="22"/>
                <w:lang w:val="en-GB"/>
              </w:rPr>
              <w:t>foretrukken term</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Alle bivirkninger/hyppighed</w:t>
            </w:r>
          </w:p>
        </w:tc>
        <w:tc>
          <w:tcPr>
            <w:tcW w:w="3390"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bCs/>
                <w:noProof/>
                <w:szCs w:val="22"/>
                <w:lang w:val="en-GB"/>
              </w:rPr>
            </w:pPr>
            <w:r>
              <w:rPr>
                <w:b/>
                <w:bCs/>
                <w:noProof/>
                <w:szCs w:val="22"/>
                <w:lang w:val="en-GB"/>
              </w:rPr>
              <w:t>Grad 3-4 bivirkninger/hyppighed</w:t>
            </w:r>
          </w:p>
        </w:tc>
      </w:tr>
      <w:tr w:rsidR="00F33C81" w:rsidTr="00F33C81">
        <w:trPr>
          <w:trHeight w:val="2034"/>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Infektioner og parasitære sygdomme</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Pneumoni</w:t>
            </w:r>
            <w:r w:rsidRPr="005F70F3">
              <w:rPr>
                <w:noProof/>
                <w:szCs w:val="22"/>
                <w:vertAlign w:val="superscript"/>
              </w:rPr>
              <w:t>◊</w:t>
            </w:r>
            <w:r w:rsidRPr="005F70F3">
              <w:rPr>
                <w:spacing w:val="-3"/>
                <w:position w:val="8"/>
                <w:sz w:val="14"/>
                <w:szCs w:val="14"/>
              </w:rPr>
              <w:t>,◊◊</w:t>
            </w:r>
            <w:r w:rsidRPr="005F70F3">
              <w:rPr>
                <w:noProof/>
                <w:szCs w:val="22"/>
              </w:rPr>
              <w:t>, infektion i de øvre luftveje</w:t>
            </w:r>
            <w:r w:rsidRPr="005F70F3">
              <w:rPr>
                <w:noProof/>
                <w:szCs w:val="22"/>
                <w:vertAlign w:val="superscript"/>
              </w:rPr>
              <w:t>◊</w:t>
            </w:r>
            <w:r w:rsidRPr="005F70F3">
              <w:rPr>
                <w:noProof/>
                <w:szCs w:val="22"/>
              </w:rPr>
              <w:t>, bakterie-, virus- og svampeinfektioner (herunder opportunistiske infektioner)</w:t>
            </w:r>
            <w:r w:rsidRPr="005F70F3">
              <w:rPr>
                <w:noProof/>
                <w:szCs w:val="22"/>
                <w:vertAlign w:val="superscript"/>
              </w:rPr>
              <w:t>◊</w:t>
            </w:r>
            <w:r w:rsidRPr="005F70F3">
              <w:rPr>
                <w:noProof/>
                <w:szCs w:val="22"/>
              </w:rPr>
              <w:t>, nasofaryngitis, faryngitis, bronkitis</w:t>
            </w:r>
            <w:r w:rsidRPr="005F70F3">
              <w:rPr>
                <w:noProof/>
                <w:szCs w:val="22"/>
                <w:vertAlign w:val="superscript"/>
              </w:rPr>
              <w:t>◊</w:t>
            </w:r>
            <w:r w:rsidRPr="005F70F3">
              <w:rPr>
                <w:noProof/>
                <w:szCs w:val="22"/>
              </w:rPr>
              <w:t>, rhinitis</w:t>
            </w:r>
          </w:p>
          <w:p w:rsidR="00F33C81" w:rsidRPr="005F70F3" w:rsidRDefault="00F33C81" w:rsidP="00F33C81">
            <w:pPr>
              <w:rPr>
                <w:noProof/>
                <w:szCs w:val="22"/>
              </w:rPr>
            </w:pPr>
          </w:p>
          <w:p w:rsidR="00F33C81" w:rsidRPr="005F70F3" w:rsidRDefault="00F33C81" w:rsidP="00F15870">
            <w:pPr>
              <w:keepNext/>
              <w:rPr>
                <w:noProof/>
                <w:szCs w:val="22"/>
              </w:rPr>
            </w:pPr>
            <w:r w:rsidRPr="005F70F3">
              <w:rPr>
                <w:noProof/>
                <w:szCs w:val="22"/>
                <w:u w:val="single"/>
              </w:rPr>
              <w:lastRenderedPageBreak/>
              <w:t>Almindelig</w:t>
            </w:r>
          </w:p>
          <w:p w:rsidR="00F33C81" w:rsidRPr="005F70F3" w:rsidRDefault="00F33C81" w:rsidP="00F33C81">
            <w:pPr>
              <w:rPr>
                <w:noProof/>
                <w:szCs w:val="22"/>
              </w:rPr>
            </w:pPr>
            <w:r w:rsidRPr="005F70F3">
              <w:rPr>
                <w:noProof/>
                <w:szCs w:val="22"/>
              </w:rPr>
              <w:t>Sepsis</w:t>
            </w:r>
            <w:r w:rsidRPr="005F70F3">
              <w:rPr>
                <w:noProof/>
                <w:szCs w:val="22"/>
                <w:vertAlign w:val="superscript"/>
              </w:rPr>
              <w:t>◊</w:t>
            </w:r>
            <w:r w:rsidRPr="005F70F3">
              <w:rPr>
                <w:spacing w:val="-3"/>
                <w:position w:val="8"/>
                <w:sz w:val="14"/>
                <w:szCs w:val="14"/>
              </w:rPr>
              <w:t>,◊◊</w:t>
            </w:r>
            <w:r w:rsidRPr="005F70F3">
              <w:rPr>
                <w:noProof/>
                <w:szCs w:val="22"/>
              </w:rPr>
              <w:t>, lungeinfektion</w:t>
            </w:r>
            <w:r w:rsidRPr="005F70F3">
              <w:rPr>
                <w:noProof/>
                <w:szCs w:val="22"/>
                <w:vertAlign w:val="superscript"/>
              </w:rPr>
              <w:t>◊◊</w:t>
            </w:r>
            <w:r w:rsidRPr="005F70F3">
              <w:rPr>
                <w:noProof/>
                <w:szCs w:val="22"/>
              </w:rPr>
              <w:t>, urinvejsinfektion</w:t>
            </w:r>
            <w:r w:rsidRPr="005F70F3">
              <w:rPr>
                <w:noProof/>
                <w:szCs w:val="22"/>
                <w:vertAlign w:val="superscript"/>
              </w:rPr>
              <w:t>◊◊</w:t>
            </w:r>
            <w:r w:rsidRPr="005F70F3">
              <w:rPr>
                <w:noProof/>
                <w:szCs w:val="22"/>
              </w:rPr>
              <w:t>, sinusitis</w:t>
            </w:r>
            <w:r w:rsidRPr="005F70F3">
              <w:rPr>
                <w:noProof/>
                <w:szCs w:val="22"/>
                <w:vertAlign w:val="superscript"/>
              </w:rPr>
              <w:t>◊</w:t>
            </w:r>
          </w:p>
        </w:tc>
        <w:tc>
          <w:tcPr>
            <w:tcW w:w="3390"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noProof/>
                <w:szCs w:val="22"/>
                <w:u w:val="single"/>
              </w:rPr>
              <w:lastRenderedPageBreak/>
              <w:t>Almindelig</w:t>
            </w:r>
          </w:p>
          <w:p w:rsidR="00F33C81" w:rsidRPr="005F70F3" w:rsidRDefault="00F33C81" w:rsidP="00F33C81">
            <w:pPr>
              <w:rPr>
                <w:noProof/>
                <w:szCs w:val="22"/>
              </w:rPr>
            </w:pPr>
            <w:r w:rsidRPr="005F70F3">
              <w:rPr>
                <w:noProof/>
                <w:szCs w:val="22"/>
              </w:rPr>
              <w:t>Pneumoni</w:t>
            </w:r>
            <w:r w:rsidRPr="005F70F3">
              <w:rPr>
                <w:noProof/>
                <w:szCs w:val="22"/>
                <w:vertAlign w:val="superscript"/>
              </w:rPr>
              <w:t>◊</w:t>
            </w:r>
            <w:r w:rsidRPr="005F70F3">
              <w:rPr>
                <w:spacing w:val="-3"/>
                <w:position w:val="8"/>
                <w:sz w:val="14"/>
                <w:szCs w:val="14"/>
              </w:rPr>
              <w:t>,◊◊</w:t>
            </w:r>
            <w:r w:rsidRPr="005F70F3">
              <w:rPr>
                <w:noProof/>
                <w:szCs w:val="22"/>
              </w:rPr>
              <w:t>, bakterie-, virus- og svampeinfektioner (herunder opportunistiske infektioner)</w:t>
            </w:r>
            <w:r w:rsidRPr="005F70F3">
              <w:rPr>
                <w:noProof/>
                <w:szCs w:val="22"/>
                <w:vertAlign w:val="superscript"/>
              </w:rPr>
              <w:t>◊</w:t>
            </w:r>
            <w:r w:rsidRPr="005F70F3">
              <w:rPr>
                <w:noProof/>
                <w:szCs w:val="22"/>
              </w:rPr>
              <w:t>,</w:t>
            </w:r>
            <w:r w:rsidRPr="005F70F3">
              <w:rPr>
                <w:noProof/>
                <w:szCs w:val="22"/>
                <w:vertAlign w:val="superscript"/>
              </w:rPr>
              <w:t>,</w:t>
            </w:r>
            <w:r w:rsidRPr="005F70F3">
              <w:rPr>
                <w:noProof/>
                <w:szCs w:val="22"/>
              </w:rPr>
              <w:t>cellulitis◊, sepsis</w:t>
            </w:r>
            <w:r w:rsidRPr="005F70F3">
              <w:rPr>
                <w:noProof/>
                <w:szCs w:val="22"/>
                <w:vertAlign w:val="superscript"/>
              </w:rPr>
              <w:t>◊</w:t>
            </w:r>
            <w:r w:rsidRPr="005F70F3">
              <w:rPr>
                <w:noProof/>
                <w:szCs w:val="22"/>
              </w:rPr>
              <w:t>, lungeinfektion</w:t>
            </w:r>
            <w:r w:rsidRPr="005F70F3">
              <w:rPr>
                <w:noProof/>
                <w:szCs w:val="22"/>
                <w:vertAlign w:val="superscript"/>
              </w:rPr>
              <w:t>◊◊</w:t>
            </w:r>
            <w:r w:rsidRPr="005F70F3">
              <w:rPr>
                <w:noProof/>
                <w:szCs w:val="22"/>
              </w:rPr>
              <w:t>, bronkitis</w:t>
            </w:r>
            <w:r w:rsidRPr="005F70F3">
              <w:rPr>
                <w:noProof/>
                <w:szCs w:val="22"/>
                <w:vertAlign w:val="superscript"/>
              </w:rPr>
              <w:t>◊</w:t>
            </w:r>
            <w:r w:rsidRPr="005F70F3">
              <w:rPr>
                <w:noProof/>
                <w:szCs w:val="22"/>
              </w:rPr>
              <w:t>, luftvejsinfektion</w:t>
            </w:r>
            <w:r w:rsidRPr="005F70F3">
              <w:rPr>
                <w:noProof/>
                <w:szCs w:val="22"/>
                <w:vertAlign w:val="superscript"/>
              </w:rPr>
              <w:t>◊◊</w:t>
            </w:r>
            <w:r w:rsidRPr="005F70F3">
              <w:rPr>
                <w:noProof/>
                <w:szCs w:val="22"/>
              </w:rPr>
              <w:t>, urinvejsinfektion</w:t>
            </w:r>
            <w:r w:rsidRPr="005F70F3">
              <w:rPr>
                <w:noProof/>
                <w:szCs w:val="22"/>
                <w:vertAlign w:val="superscript"/>
              </w:rPr>
              <w:t>◊◊</w:t>
            </w:r>
            <w:r w:rsidRPr="005F70F3">
              <w:rPr>
                <w:noProof/>
                <w:szCs w:val="22"/>
              </w:rPr>
              <w:t>, infektiøs enterokolitis</w:t>
            </w:r>
          </w:p>
        </w:tc>
      </w:tr>
      <w:tr w:rsidR="00F33C81" w:rsidTr="00F33C81">
        <w:trPr>
          <w:trHeight w:val="2393"/>
        </w:trPr>
        <w:tc>
          <w:tcPr>
            <w:tcW w:w="2126"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b/>
                <w:bCs/>
                <w:noProof/>
                <w:szCs w:val="22"/>
              </w:rPr>
              <w:t>Benigne, maligne og uspecificerede tumorer (inkl. cyster og polypper)</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noProof/>
                <w:szCs w:val="22"/>
                <w:u w:val="single"/>
              </w:rPr>
              <w:t>Ikke almindelig</w:t>
            </w:r>
          </w:p>
          <w:p w:rsidR="00F33C81" w:rsidRPr="005F70F3" w:rsidRDefault="00F33C81" w:rsidP="00F33C81">
            <w:pPr>
              <w:rPr>
                <w:noProof/>
                <w:szCs w:val="22"/>
              </w:rPr>
            </w:pPr>
            <w:r w:rsidRPr="005F70F3">
              <w:rPr>
                <w:noProof/>
                <w:szCs w:val="22"/>
              </w:rPr>
              <w:t>Basalcellekarcinomer^</w:t>
            </w:r>
            <w:r w:rsidRPr="005F70F3">
              <w:rPr>
                <w:noProof/>
                <w:szCs w:val="22"/>
                <w:vertAlign w:val="superscript"/>
              </w:rPr>
              <w:t>,◊</w:t>
            </w:r>
            <w:r w:rsidRPr="005F70F3">
              <w:rPr>
                <w:noProof/>
                <w:szCs w:val="22"/>
              </w:rPr>
              <w:t>, planocellulær hudcancer^</w:t>
            </w:r>
            <w:r w:rsidRPr="005F70F3">
              <w:rPr>
                <w:noProof/>
                <w:szCs w:val="22"/>
                <w:vertAlign w:val="superscript"/>
              </w:rPr>
              <w:t>,◊,</w:t>
            </w:r>
            <w:r w:rsidRPr="005F70F3">
              <w:rPr>
                <w:noProof/>
                <w:szCs w:val="22"/>
              </w:rPr>
              <w:t>*</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Akut myeloid leukæmi</w:t>
            </w:r>
            <w:r w:rsidRPr="005F70F3">
              <w:rPr>
                <w:noProof/>
                <w:szCs w:val="22"/>
                <w:vertAlign w:val="superscript"/>
              </w:rPr>
              <w:t>◊</w:t>
            </w:r>
            <w:r w:rsidRPr="005F70F3">
              <w:rPr>
                <w:noProof/>
                <w:szCs w:val="22"/>
              </w:rPr>
              <w:t>, myelodysplastisk syndrom</w:t>
            </w:r>
            <w:r w:rsidRPr="005F70F3">
              <w:rPr>
                <w:noProof/>
                <w:szCs w:val="22"/>
                <w:vertAlign w:val="superscript"/>
              </w:rPr>
              <w:t>◊</w:t>
            </w:r>
            <w:r w:rsidRPr="005F70F3">
              <w:rPr>
                <w:noProof/>
                <w:szCs w:val="22"/>
              </w:rPr>
              <w:t>, planocellulært hudkarcinom^</w:t>
            </w:r>
            <w:r w:rsidRPr="005F70F3">
              <w:rPr>
                <w:noProof/>
                <w:szCs w:val="22"/>
                <w:vertAlign w:val="superscript"/>
              </w:rPr>
              <w:t>,◊,</w:t>
            </w:r>
            <w:r w:rsidRPr="005F70F3">
              <w:rPr>
                <w:noProof/>
                <w:szCs w:val="22"/>
              </w:rPr>
              <w:t>**</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Pr="005F70F3" w:rsidRDefault="00F33C81" w:rsidP="00F33C81">
            <w:pPr>
              <w:rPr>
                <w:noProof/>
                <w:szCs w:val="22"/>
              </w:rPr>
            </w:pPr>
            <w:r w:rsidRPr="005F70F3">
              <w:rPr>
                <w:noProof/>
                <w:szCs w:val="22"/>
              </w:rPr>
              <w:t>T-celletype akut leukæmi</w:t>
            </w:r>
            <w:r w:rsidRPr="005F70F3">
              <w:rPr>
                <w:noProof/>
                <w:szCs w:val="22"/>
                <w:vertAlign w:val="superscript"/>
              </w:rPr>
              <w:t>◊</w:t>
            </w:r>
            <w:r w:rsidRPr="005F70F3">
              <w:rPr>
                <w:noProof/>
                <w:szCs w:val="22"/>
              </w:rPr>
              <w:t>, basalcellekarcinom^</w:t>
            </w:r>
            <w:r w:rsidRPr="005F70F3">
              <w:rPr>
                <w:noProof/>
                <w:szCs w:val="22"/>
                <w:vertAlign w:val="superscript"/>
              </w:rPr>
              <w:t>,◊</w:t>
            </w:r>
            <w:r w:rsidRPr="005F70F3">
              <w:rPr>
                <w:noProof/>
                <w:szCs w:val="22"/>
              </w:rPr>
              <w:t>, tumorlysesyndrom</w:t>
            </w:r>
          </w:p>
        </w:tc>
      </w:tr>
      <w:tr w:rsidR="00F33C81" w:rsidTr="00F33C81">
        <w:trPr>
          <w:trHeight w:val="2804"/>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Blod og lymfesystem</w:t>
            </w:r>
          </w:p>
        </w:tc>
        <w:tc>
          <w:tcPr>
            <w:tcW w:w="3544" w:type="dxa"/>
            <w:tcBorders>
              <w:top w:val="single" w:sz="4" w:space="0" w:color="000000"/>
              <w:left w:val="single" w:sz="4" w:space="0" w:color="000000"/>
              <w:bottom w:val="single" w:sz="4" w:space="0" w:color="000000"/>
              <w:right w:val="single" w:sz="4" w:space="0" w:color="000000"/>
            </w:tcBorders>
          </w:tcPr>
          <w:p w:rsidR="00F33C81" w:rsidRPr="000F2B51" w:rsidRDefault="00F33C81" w:rsidP="00F33C81">
            <w:pPr>
              <w:rPr>
                <w:noProof/>
                <w:szCs w:val="22"/>
              </w:rPr>
            </w:pPr>
            <w:r w:rsidRPr="000F2B51">
              <w:rPr>
                <w:noProof/>
                <w:szCs w:val="22"/>
                <w:u w:val="single"/>
              </w:rPr>
              <w:t>Meget almindelig</w:t>
            </w:r>
          </w:p>
          <w:p w:rsidR="00F33C81" w:rsidRPr="000F2B51" w:rsidRDefault="00F33C81" w:rsidP="00F33C81">
            <w:pPr>
              <w:rPr>
                <w:noProof/>
                <w:szCs w:val="22"/>
              </w:rPr>
            </w:pPr>
            <w:r w:rsidRPr="000F2B51">
              <w:rPr>
                <w:noProof/>
                <w:szCs w:val="22"/>
              </w:rPr>
              <w:t>Neutropeni^</w:t>
            </w:r>
            <w:r w:rsidRPr="000F2B51">
              <w:rPr>
                <w:noProof/>
                <w:szCs w:val="22"/>
                <w:vertAlign w:val="superscript"/>
              </w:rPr>
              <w:t>,◊</w:t>
            </w:r>
            <w:r w:rsidRPr="000F2B51">
              <w:rPr>
                <w:noProof/>
                <w:szCs w:val="22"/>
              </w:rPr>
              <w:t>, trombocytopeni ^</w:t>
            </w:r>
            <w:r w:rsidRPr="000F2B51">
              <w:rPr>
                <w:noProof/>
                <w:szCs w:val="22"/>
                <w:vertAlign w:val="superscript"/>
              </w:rPr>
              <w:t>,◊,</w:t>
            </w:r>
            <w:r w:rsidRPr="000F2B51">
              <w:rPr>
                <w:spacing w:val="-3"/>
                <w:position w:val="8"/>
                <w:sz w:val="14"/>
                <w:szCs w:val="14"/>
              </w:rPr>
              <w:t>◊◊</w:t>
            </w:r>
            <w:r w:rsidRPr="000F2B51">
              <w:rPr>
                <w:noProof/>
                <w:szCs w:val="22"/>
              </w:rPr>
              <w:t>, anæmi</w:t>
            </w:r>
            <w:r w:rsidRPr="000F2B51">
              <w:rPr>
                <w:noProof/>
                <w:szCs w:val="22"/>
                <w:vertAlign w:val="superscript"/>
              </w:rPr>
              <w:t>◊</w:t>
            </w:r>
            <w:r w:rsidRPr="000F2B51">
              <w:rPr>
                <w:noProof/>
                <w:szCs w:val="22"/>
              </w:rPr>
              <w:t>, blødningsforstyrrelser ^, leukopeni, lymfopeni</w:t>
            </w:r>
          </w:p>
          <w:p w:rsidR="00F33C81" w:rsidRPr="000F2B51" w:rsidRDefault="00F33C81" w:rsidP="00F33C81">
            <w:pPr>
              <w:rPr>
                <w:noProof/>
                <w:szCs w:val="22"/>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Febril neutropeni</w:t>
            </w:r>
            <w:r w:rsidRPr="005F70F3">
              <w:rPr>
                <w:noProof/>
                <w:szCs w:val="22"/>
                <w:vertAlign w:val="superscript"/>
              </w:rPr>
              <w:t>◊</w:t>
            </w:r>
            <w:r w:rsidRPr="005F70F3">
              <w:rPr>
                <w:noProof/>
                <w:szCs w:val="22"/>
              </w:rPr>
              <w:t>, pancytopeni</w:t>
            </w:r>
            <w:r w:rsidRPr="005F70F3">
              <w:rPr>
                <w:noProof/>
                <w:szCs w:val="22"/>
                <w:vertAlign w:val="superscript"/>
              </w:rPr>
              <w:t>◊</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Pr="005F70F3" w:rsidRDefault="00F33C81" w:rsidP="00F33C81">
            <w:pPr>
              <w:rPr>
                <w:noProof/>
                <w:szCs w:val="22"/>
              </w:rPr>
            </w:pPr>
            <w:r w:rsidRPr="005F70F3">
              <w:rPr>
                <w:noProof/>
                <w:szCs w:val="22"/>
              </w:rPr>
              <w:t>Hæmolyse, autoimmun hæmolytisk anæmi, hæmolytisk anæmi</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Neutropeni^</w:t>
            </w:r>
            <w:r w:rsidRPr="005F70F3">
              <w:rPr>
                <w:noProof/>
                <w:szCs w:val="22"/>
                <w:vertAlign w:val="superscript"/>
              </w:rPr>
              <w:t>,◊</w:t>
            </w:r>
            <w:r w:rsidRPr="005F70F3">
              <w:rPr>
                <w:spacing w:val="-3"/>
                <w:position w:val="8"/>
                <w:sz w:val="14"/>
                <w:szCs w:val="14"/>
              </w:rPr>
              <w:t>,◊◊</w:t>
            </w:r>
            <w:r w:rsidRPr="005F70F3">
              <w:rPr>
                <w:noProof/>
                <w:szCs w:val="22"/>
              </w:rPr>
              <w:t>, trombocytopeni^</w:t>
            </w:r>
            <w:r w:rsidRPr="005F70F3">
              <w:rPr>
                <w:noProof/>
                <w:szCs w:val="22"/>
                <w:vertAlign w:val="superscript"/>
              </w:rPr>
              <w:t>,◊</w:t>
            </w:r>
            <w:r w:rsidRPr="005F70F3">
              <w:rPr>
                <w:spacing w:val="-3"/>
                <w:position w:val="8"/>
                <w:sz w:val="14"/>
                <w:szCs w:val="14"/>
              </w:rPr>
              <w:t>,◊◊</w:t>
            </w:r>
            <w:r w:rsidRPr="005F70F3">
              <w:rPr>
                <w:noProof/>
                <w:szCs w:val="22"/>
              </w:rPr>
              <w:t>, anæmi</w:t>
            </w:r>
            <w:r w:rsidRPr="005F70F3">
              <w:rPr>
                <w:noProof/>
                <w:szCs w:val="22"/>
                <w:vertAlign w:val="superscript"/>
              </w:rPr>
              <w:t>◊</w:t>
            </w:r>
            <w:r w:rsidRPr="005F70F3">
              <w:rPr>
                <w:noProof/>
                <w:szCs w:val="22"/>
              </w:rPr>
              <w:t xml:space="preserve">, leukopeni, lymfopeni </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Febril neutropeni^</w:t>
            </w:r>
            <w:r w:rsidRPr="005F70F3">
              <w:rPr>
                <w:noProof/>
                <w:szCs w:val="22"/>
                <w:vertAlign w:val="superscript"/>
              </w:rPr>
              <w:t>,◊</w:t>
            </w:r>
            <w:r w:rsidRPr="005F70F3">
              <w:rPr>
                <w:noProof/>
                <w:szCs w:val="22"/>
              </w:rPr>
              <w:t>, pancytopeni</w:t>
            </w:r>
            <w:r w:rsidRPr="005F70F3">
              <w:rPr>
                <w:noProof/>
                <w:szCs w:val="22"/>
                <w:vertAlign w:val="superscript"/>
              </w:rPr>
              <w:t>◊</w:t>
            </w:r>
            <w:r w:rsidRPr="005F70F3">
              <w:rPr>
                <w:noProof/>
                <w:szCs w:val="22"/>
              </w:rPr>
              <w:t>, hæmolytisk anæmi</w:t>
            </w:r>
          </w:p>
          <w:p w:rsidR="00F33C81" w:rsidRPr="005F70F3" w:rsidRDefault="00F33C81" w:rsidP="00F33C81">
            <w:pPr>
              <w:rPr>
                <w:noProof/>
                <w:szCs w:val="22"/>
              </w:rPr>
            </w:pPr>
          </w:p>
          <w:p w:rsidR="00F33C81" w:rsidRDefault="00F33C81" w:rsidP="00F33C81">
            <w:pPr>
              <w:rPr>
                <w:noProof/>
                <w:szCs w:val="22"/>
                <w:lang w:val="en-GB"/>
              </w:rPr>
            </w:pPr>
            <w:r>
              <w:rPr>
                <w:noProof/>
                <w:szCs w:val="22"/>
                <w:u w:val="single"/>
                <w:lang w:val="en-GB"/>
              </w:rPr>
              <w:t>Ikke almindelig</w:t>
            </w:r>
          </w:p>
          <w:p w:rsidR="00F33C81" w:rsidRDefault="00F33C81" w:rsidP="00F33C81">
            <w:pPr>
              <w:rPr>
                <w:noProof/>
                <w:szCs w:val="22"/>
                <w:lang w:val="en-GB"/>
              </w:rPr>
            </w:pPr>
            <w:r>
              <w:rPr>
                <w:noProof/>
                <w:szCs w:val="22"/>
                <w:lang w:val="en-GB"/>
              </w:rPr>
              <w:t>Hyperkoagulation, koagulopati</w:t>
            </w:r>
          </w:p>
        </w:tc>
      </w:tr>
      <w:tr w:rsidR="00F33C81" w:rsidTr="00F33C81">
        <w:trPr>
          <w:trHeight w:val="577"/>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Immunsystemet</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Ikke almindelig</w:t>
            </w:r>
          </w:p>
          <w:p w:rsidR="00F33C81" w:rsidRDefault="00F33C81" w:rsidP="00F33C81">
            <w:pPr>
              <w:rPr>
                <w:noProof/>
                <w:szCs w:val="22"/>
                <w:lang w:val="en-GB"/>
              </w:rPr>
            </w:pPr>
            <w:r>
              <w:rPr>
                <w:noProof/>
                <w:szCs w:val="22"/>
                <w:lang w:val="en-GB"/>
              </w:rPr>
              <w:t>Overfølsmhed^</w:t>
            </w:r>
          </w:p>
        </w:tc>
        <w:tc>
          <w:tcPr>
            <w:tcW w:w="3390"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r w:rsidR="00F33C81" w:rsidTr="00F33C81">
        <w:trPr>
          <w:trHeight w:hRule="exact" w:val="562"/>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Det endokrine system</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Hypotyroidisme</w:t>
            </w:r>
          </w:p>
        </w:tc>
        <w:tc>
          <w:tcPr>
            <w:tcW w:w="3390"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r w:rsidR="00F33C81" w:rsidRPr="007F3447" w:rsidTr="00F33C81">
        <w:trPr>
          <w:trHeight w:val="1811"/>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Metabolisme og ernæring</w:t>
            </w:r>
          </w:p>
        </w:tc>
        <w:tc>
          <w:tcPr>
            <w:tcW w:w="3544"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r>
              <w:rPr>
                <w:noProof/>
                <w:szCs w:val="22"/>
                <w:u w:val="single"/>
                <w:lang w:val="en-GB"/>
              </w:rPr>
              <w:t>Meget almindelig</w:t>
            </w:r>
          </w:p>
          <w:p w:rsidR="00F33C81" w:rsidRDefault="00F33C81" w:rsidP="00F33C81">
            <w:pPr>
              <w:rPr>
                <w:noProof/>
                <w:szCs w:val="22"/>
                <w:lang w:val="en-GB"/>
              </w:rPr>
            </w:pPr>
            <w:r>
              <w:rPr>
                <w:noProof/>
                <w:szCs w:val="22"/>
                <w:lang w:val="en-GB"/>
              </w:rPr>
              <w:t>Hypokaliæmi</w:t>
            </w:r>
            <w:r>
              <w:rPr>
                <w:noProof/>
                <w:szCs w:val="22"/>
                <w:vertAlign w:val="superscript"/>
                <w:lang w:val="en-GB"/>
              </w:rPr>
              <w:t>◊</w:t>
            </w:r>
            <w:r>
              <w:rPr>
                <w:spacing w:val="-3"/>
                <w:position w:val="8"/>
                <w:sz w:val="14"/>
                <w:szCs w:val="14"/>
                <w:lang w:val="en-GB"/>
              </w:rPr>
              <w:t>,◊◊</w:t>
            </w:r>
            <w:r>
              <w:rPr>
                <w:noProof/>
                <w:szCs w:val="22"/>
                <w:lang w:val="en-GB"/>
              </w:rPr>
              <w:t>, hyperglykæmi, hypoglykæmi, hypokalcæmi</w:t>
            </w:r>
            <w:r>
              <w:rPr>
                <w:noProof/>
                <w:szCs w:val="22"/>
                <w:vertAlign w:val="superscript"/>
                <w:lang w:val="en-GB"/>
              </w:rPr>
              <w:t>◊</w:t>
            </w:r>
            <w:r>
              <w:rPr>
                <w:noProof/>
                <w:szCs w:val="22"/>
                <w:lang w:val="en-GB"/>
              </w:rPr>
              <w:t>, hyponatriæmi</w:t>
            </w:r>
            <w:r>
              <w:rPr>
                <w:noProof/>
                <w:szCs w:val="22"/>
                <w:vertAlign w:val="superscript"/>
                <w:lang w:val="en-GB"/>
              </w:rPr>
              <w:t>◊</w:t>
            </w:r>
            <w:r>
              <w:rPr>
                <w:noProof/>
                <w:szCs w:val="22"/>
                <w:lang w:val="en-GB"/>
              </w:rPr>
              <w:t>, dehydrering</w:t>
            </w:r>
            <w:r>
              <w:rPr>
                <w:noProof/>
                <w:szCs w:val="22"/>
                <w:vertAlign w:val="superscript"/>
                <w:lang w:val="en-GB"/>
              </w:rPr>
              <w:t>◊◊</w:t>
            </w:r>
            <w:r>
              <w:rPr>
                <w:noProof/>
                <w:szCs w:val="22"/>
                <w:lang w:val="en-GB"/>
              </w:rPr>
              <w:t>, nedsat appetit</w:t>
            </w:r>
            <w:r>
              <w:rPr>
                <w:vertAlign w:val="superscript"/>
                <w:lang w:val="en-GB"/>
              </w:rPr>
              <w:t>◊◊</w:t>
            </w:r>
            <w:r>
              <w:rPr>
                <w:noProof/>
                <w:szCs w:val="22"/>
                <w:lang w:val="en-GB"/>
              </w:rPr>
              <w:t>, vægttab</w:t>
            </w:r>
          </w:p>
          <w:p w:rsidR="00F33C81" w:rsidRDefault="00F33C81" w:rsidP="00F33C81">
            <w:pPr>
              <w:rPr>
                <w:noProof/>
                <w:szCs w:val="22"/>
                <w:lang w:val="en-GB"/>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Hypomagnesiæmi, hyperurikæmi, hyperkalcæmi</w:t>
            </w:r>
            <w:r>
              <w:rPr>
                <w:noProof/>
                <w:szCs w:val="22"/>
                <w:vertAlign w:val="superscript"/>
                <w:lang w:val="en-GB"/>
              </w:rPr>
              <w:t>+</w:t>
            </w:r>
          </w:p>
        </w:tc>
        <w:tc>
          <w:tcPr>
            <w:tcW w:w="3390"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Hypokaliæmi</w:t>
            </w:r>
            <w:r>
              <w:rPr>
                <w:noProof/>
                <w:szCs w:val="22"/>
                <w:vertAlign w:val="superscript"/>
                <w:lang w:val="en-GB"/>
              </w:rPr>
              <w:t>◊</w:t>
            </w:r>
            <w:r>
              <w:rPr>
                <w:spacing w:val="-3"/>
                <w:position w:val="8"/>
                <w:sz w:val="14"/>
                <w:szCs w:val="14"/>
                <w:lang w:val="en-GB"/>
              </w:rPr>
              <w:t>,◊◊</w:t>
            </w:r>
            <w:r>
              <w:rPr>
                <w:noProof/>
                <w:szCs w:val="22"/>
                <w:lang w:val="en-GB"/>
              </w:rPr>
              <w:t>, hyperglykæmi, hypokalcæmi</w:t>
            </w:r>
            <w:r>
              <w:rPr>
                <w:noProof/>
                <w:szCs w:val="22"/>
                <w:vertAlign w:val="superscript"/>
                <w:lang w:val="en-GB"/>
              </w:rPr>
              <w:t>◊</w:t>
            </w:r>
            <w:r>
              <w:rPr>
                <w:noProof/>
                <w:szCs w:val="22"/>
                <w:lang w:val="en-GB"/>
              </w:rPr>
              <w:t>, diabetes mellitus</w:t>
            </w:r>
            <w:r>
              <w:rPr>
                <w:noProof/>
                <w:szCs w:val="22"/>
                <w:vertAlign w:val="superscript"/>
                <w:lang w:val="en-GB"/>
              </w:rPr>
              <w:t>◊</w:t>
            </w:r>
            <w:r>
              <w:rPr>
                <w:noProof/>
                <w:szCs w:val="22"/>
                <w:lang w:val="en-GB"/>
              </w:rPr>
              <w:t>, hypofosfatæmi, hyponatriæmi</w:t>
            </w:r>
            <w:r>
              <w:rPr>
                <w:noProof/>
                <w:szCs w:val="22"/>
                <w:vertAlign w:val="superscript"/>
                <w:lang w:val="en-GB"/>
              </w:rPr>
              <w:t>◊</w:t>
            </w:r>
            <w:r>
              <w:rPr>
                <w:noProof/>
                <w:szCs w:val="22"/>
                <w:lang w:val="en-GB"/>
              </w:rPr>
              <w:t>, hyperurikæmi, podagra, dehydrering</w:t>
            </w:r>
            <w:r>
              <w:rPr>
                <w:noProof/>
                <w:szCs w:val="22"/>
                <w:vertAlign w:val="superscript"/>
                <w:lang w:val="en-GB"/>
              </w:rPr>
              <w:t>◊◊</w:t>
            </w:r>
            <w:r>
              <w:rPr>
                <w:noProof/>
                <w:szCs w:val="22"/>
                <w:lang w:val="en-GB"/>
              </w:rPr>
              <w:t>,  nedsat appetit</w:t>
            </w:r>
            <w:r>
              <w:rPr>
                <w:vertAlign w:val="superscript"/>
                <w:lang w:val="en-GB"/>
              </w:rPr>
              <w:t>◊◊</w:t>
            </w:r>
            <w:r>
              <w:rPr>
                <w:noProof/>
                <w:szCs w:val="22"/>
                <w:lang w:val="en-GB"/>
              </w:rPr>
              <w:t>, vægttab</w:t>
            </w:r>
          </w:p>
        </w:tc>
      </w:tr>
      <w:tr w:rsidR="00F33C81" w:rsidTr="00F33C81">
        <w:trPr>
          <w:trHeight w:hRule="exact" w:val="1290"/>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Psykiske forstyrrelser</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Depression, insomni</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Default="00F33C81" w:rsidP="00F33C81">
            <w:pPr>
              <w:rPr>
                <w:noProof/>
                <w:szCs w:val="22"/>
                <w:lang w:val="en-GB"/>
              </w:rPr>
            </w:pPr>
            <w:r>
              <w:rPr>
                <w:noProof/>
                <w:szCs w:val="22"/>
                <w:lang w:val="en-GB"/>
              </w:rPr>
              <w:t>Tab af libido</w:t>
            </w:r>
          </w:p>
        </w:tc>
        <w:tc>
          <w:tcPr>
            <w:tcW w:w="3390"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Depression, insomni</w:t>
            </w:r>
          </w:p>
        </w:tc>
      </w:tr>
      <w:tr w:rsidR="00F33C81" w:rsidTr="00F33C81">
        <w:trPr>
          <w:trHeight w:hRule="exact" w:val="2764"/>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lastRenderedPageBreak/>
              <w:t>Nervesystemet</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Perifer neuropati</w:t>
            </w:r>
            <w:r w:rsidRPr="005F70F3">
              <w:rPr>
                <w:vertAlign w:val="superscript"/>
              </w:rPr>
              <w:t>◊◊</w:t>
            </w:r>
            <w:r w:rsidRPr="005F70F3">
              <w:rPr>
                <w:noProof/>
                <w:szCs w:val="22"/>
              </w:rPr>
              <w:t>, paræstesi, svimmelhed</w:t>
            </w:r>
            <w:r w:rsidRPr="005F70F3">
              <w:rPr>
                <w:vertAlign w:val="superscript"/>
              </w:rPr>
              <w:t>◊◊</w:t>
            </w:r>
            <w:r w:rsidRPr="005F70F3">
              <w:rPr>
                <w:noProof/>
                <w:szCs w:val="22"/>
              </w:rPr>
              <w:t>, tremor, dysgeusi, hovedpine</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Ataksi, balanceforstyrrelser, synkope</w:t>
            </w:r>
            <w:r w:rsidRPr="005F70F3">
              <w:rPr>
                <w:noProof/>
                <w:szCs w:val="22"/>
                <w:vertAlign w:val="superscript"/>
              </w:rPr>
              <w:t>◊◊</w:t>
            </w:r>
            <w:r w:rsidRPr="005F70F3">
              <w:rPr>
                <w:noProof/>
                <w:szCs w:val="22"/>
              </w:rPr>
              <w:t>, neuralgi, dysæstesi</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Perifere neuropatier</w:t>
            </w:r>
            <w:r w:rsidRPr="005F70F3">
              <w:rPr>
                <w:noProof/>
                <w:szCs w:val="22"/>
                <w:vertAlign w:val="superscript"/>
              </w:rPr>
              <w:t>◊◊</w:t>
            </w:r>
            <w:r w:rsidRPr="005F70F3">
              <w:rPr>
                <w:noProof/>
                <w:szCs w:val="22"/>
              </w:rPr>
              <w:t xml:space="preserve"> </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rPr>
              <w:t>Almindelig</w:t>
            </w:r>
          </w:p>
          <w:p w:rsidR="00F33C81" w:rsidRPr="005F70F3" w:rsidRDefault="00F33C81" w:rsidP="00F33C81">
            <w:pPr>
              <w:rPr>
                <w:noProof/>
                <w:szCs w:val="22"/>
              </w:rPr>
            </w:pPr>
            <w:r w:rsidRPr="005F70F3">
              <w:rPr>
                <w:noProof/>
                <w:szCs w:val="22"/>
              </w:rPr>
              <w:t>Cerebrovaskulær hændelse</w:t>
            </w:r>
            <w:r w:rsidRPr="005F70F3">
              <w:rPr>
                <w:noProof/>
                <w:szCs w:val="22"/>
                <w:vertAlign w:val="superscript"/>
              </w:rPr>
              <w:t>◊</w:t>
            </w:r>
            <w:r w:rsidRPr="005F70F3">
              <w:rPr>
                <w:noProof/>
                <w:szCs w:val="22"/>
              </w:rPr>
              <w:t>, svimmelhed</w:t>
            </w:r>
            <w:r w:rsidRPr="005F70F3">
              <w:rPr>
                <w:vertAlign w:val="superscript"/>
              </w:rPr>
              <w:t>◊◊</w:t>
            </w:r>
            <w:r w:rsidRPr="005F70F3">
              <w:rPr>
                <w:noProof/>
                <w:szCs w:val="22"/>
              </w:rPr>
              <w:t>, synkope</w:t>
            </w:r>
            <w:r w:rsidRPr="005F70F3">
              <w:rPr>
                <w:vertAlign w:val="superscript"/>
              </w:rPr>
              <w:t>◊◊</w:t>
            </w:r>
            <w:r w:rsidRPr="005F70F3">
              <w:t>, neuralgi</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Pr="005F70F3" w:rsidRDefault="00F33C81" w:rsidP="00F33C81">
            <w:pPr>
              <w:rPr>
                <w:noProof/>
                <w:szCs w:val="22"/>
              </w:rPr>
            </w:pPr>
            <w:r w:rsidRPr="005F70F3">
              <w:rPr>
                <w:noProof/>
                <w:szCs w:val="22"/>
              </w:rPr>
              <w:t>Intrakraniel blødning^, transitorisk cerebral iskæmi, cerebral iskæmi</w:t>
            </w:r>
          </w:p>
        </w:tc>
      </w:tr>
      <w:tr w:rsidR="00F33C81" w:rsidTr="00F33C81">
        <w:trPr>
          <w:trHeight w:hRule="exact" w:val="1277"/>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Øjne</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Katarakt, sløret syn</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Almindelig</w:t>
            </w:r>
          </w:p>
          <w:p w:rsidR="00F33C81" w:rsidRDefault="00F33C81" w:rsidP="00F33C81">
            <w:pPr>
              <w:rPr>
                <w:noProof/>
                <w:szCs w:val="22"/>
                <w:lang w:val="en-GB"/>
              </w:rPr>
            </w:pPr>
            <w:r>
              <w:rPr>
                <w:noProof/>
                <w:szCs w:val="22"/>
                <w:lang w:val="en-GB"/>
              </w:rPr>
              <w:t>Nedsat synsskarphed</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Katarakt</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Pr="005F70F3" w:rsidRDefault="00F33C81" w:rsidP="00F33C81">
            <w:pPr>
              <w:rPr>
                <w:noProof/>
                <w:szCs w:val="22"/>
              </w:rPr>
            </w:pPr>
            <w:r w:rsidRPr="005F70F3">
              <w:rPr>
                <w:noProof/>
                <w:szCs w:val="22"/>
              </w:rPr>
              <w:t>Blindhed</w:t>
            </w:r>
          </w:p>
        </w:tc>
      </w:tr>
      <w:tr w:rsidR="00F33C81" w:rsidTr="00F33C81">
        <w:trPr>
          <w:trHeight w:hRule="exact" w:val="573"/>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Øre og labyrint</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Døvhed (herunder hypakusi), tinnitus</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p>
        </w:tc>
      </w:tr>
      <w:tr w:rsidR="00F33C81" w:rsidTr="00F33C81">
        <w:trPr>
          <w:trHeight w:val="70"/>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Hjerte</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Atrieflimren</w:t>
            </w:r>
            <w:r w:rsidRPr="005F70F3">
              <w:rPr>
                <w:noProof/>
                <w:szCs w:val="22"/>
                <w:vertAlign w:val="superscript"/>
              </w:rPr>
              <w:t>◊</w:t>
            </w:r>
            <w:r w:rsidRPr="005F70F3">
              <w:rPr>
                <w:spacing w:val="-3"/>
                <w:position w:val="8"/>
                <w:sz w:val="14"/>
                <w:szCs w:val="14"/>
              </w:rPr>
              <w:t>,◊◊</w:t>
            </w:r>
            <w:r w:rsidRPr="005F70F3">
              <w:rPr>
                <w:noProof/>
                <w:szCs w:val="22"/>
              </w:rPr>
              <w:t>, bradykardi</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Pr="005F70F3" w:rsidRDefault="00F33C81" w:rsidP="00F33C81">
            <w:pPr>
              <w:rPr>
                <w:noProof/>
                <w:szCs w:val="22"/>
              </w:rPr>
            </w:pPr>
            <w:r w:rsidRPr="005F70F3">
              <w:rPr>
                <w:noProof/>
                <w:szCs w:val="22"/>
              </w:rPr>
              <w:t>Arytmi, QT-forlængelse, atrieflagren, ventrikulære ekstrasystoler</w:t>
            </w:r>
          </w:p>
        </w:tc>
        <w:tc>
          <w:tcPr>
            <w:tcW w:w="3390"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Myokardieinfarkt (herunder akut)^</w:t>
            </w:r>
            <w:r w:rsidRPr="005F70F3">
              <w:rPr>
                <w:noProof/>
                <w:szCs w:val="22"/>
                <w:vertAlign w:val="superscript"/>
              </w:rPr>
              <w:t>, ◊</w:t>
            </w:r>
            <w:r w:rsidRPr="005F70F3">
              <w:rPr>
                <w:noProof/>
                <w:szCs w:val="22"/>
              </w:rPr>
              <w:t>, atrieflimren</w:t>
            </w:r>
            <w:r w:rsidRPr="005F70F3">
              <w:rPr>
                <w:noProof/>
                <w:szCs w:val="22"/>
                <w:vertAlign w:val="superscript"/>
              </w:rPr>
              <w:t>◊</w:t>
            </w:r>
            <w:r w:rsidRPr="005F70F3">
              <w:rPr>
                <w:spacing w:val="-3"/>
                <w:position w:val="8"/>
                <w:sz w:val="14"/>
                <w:szCs w:val="14"/>
              </w:rPr>
              <w:t>,◊◊</w:t>
            </w:r>
            <w:r w:rsidRPr="005F70F3">
              <w:rPr>
                <w:noProof/>
                <w:szCs w:val="22"/>
              </w:rPr>
              <w:t>, kongestivt hjerteinsuffiens</w:t>
            </w:r>
            <w:r w:rsidRPr="005F70F3">
              <w:rPr>
                <w:noProof/>
                <w:szCs w:val="22"/>
                <w:vertAlign w:val="superscript"/>
              </w:rPr>
              <w:t>◊</w:t>
            </w:r>
            <w:r w:rsidRPr="005F70F3">
              <w:rPr>
                <w:noProof/>
                <w:szCs w:val="22"/>
              </w:rPr>
              <w:t>, takykardi, hjerteinsufficiens</w:t>
            </w:r>
            <w:r w:rsidRPr="005F70F3">
              <w:rPr>
                <w:noProof/>
                <w:szCs w:val="22"/>
                <w:vertAlign w:val="superscript"/>
              </w:rPr>
              <w:t>◊</w:t>
            </w:r>
            <w:r w:rsidRPr="005F70F3">
              <w:rPr>
                <w:spacing w:val="-3"/>
                <w:position w:val="8"/>
                <w:sz w:val="14"/>
                <w:szCs w:val="14"/>
              </w:rPr>
              <w:t>,◊◊</w:t>
            </w:r>
            <w:r w:rsidRPr="005F70F3">
              <w:rPr>
                <w:noProof/>
                <w:szCs w:val="22"/>
              </w:rPr>
              <w:t>, myokardieiskæmi</w:t>
            </w:r>
            <w:r w:rsidRPr="005F70F3">
              <w:rPr>
                <w:noProof/>
                <w:szCs w:val="22"/>
                <w:vertAlign w:val="superscript"/>
              </w:rPr>
              <w:t>◊</w:t>
            </w:r>
          </w:p>
        </w:tc>
      </w:tr>
      <w:tr w:rsidR="00F33C81" w:rsidTr="00F33C81">
        <w:trPr>
          <w:trHeight w:val="2804"/>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Vaskulære sygdomme</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Venøse tromboemboliske hændelser</w:t>
            </w:r>
            <w:r w:rsidRPr="005F70F3">
              <w:t>^</w:t>
            </w:r>
            <w:r w:rsidRPr="005F70F3">
              <w:rPr>
                <w:noProof/>
                <w:szCs w:val="22"/>
              </w:rPr>
              <w:t>, hovedsageligt dyb venetrombose og lungeemboli^</w:t>
            </w:r>
            <w:r w:rsidRPr="005F70F3">
              <w:rPr>
                <w:noProof/>
                <w:szCs w:val="22"/>
                <w:vertAlign w:val="superscript"/>
              </w:rPr>
              <w:t>,◊</w:t>
            </w:r>
            <w:r w:rsidRPr="005F70F3">
              <w:rPr>
                <w:spacing w:val="-3"/>
                <w:position w:val="8"/>
                <w:sz w:val="14"/>
                <w:szCs w:val="14"/>
              </w:rPr>
              <w:t>,◊◊</w:t>
            </w:r>
            <w:r w:rsidRPr="005F70F3">
              <w:rPr>
                <w:noProof/>
                <w:szCs w:val="22"/>
              </w:rPr>
              <w:t>, hypotension</w:t>
            </w:r>
            <w:r w:rsidRPr="005F70F3">
              <w:rPr>
                <w:noProof/>
                <w:szCs w:val="22"/>
                <w:vertAlign w:val="superscript"/>
              </w:rPr>
              <w:t>◊◊</w:t>
            </w:r>
          </w:p>
          <w:p w:rsidR="00F33C81" w:rsidRPr="005F70F3"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hypertension, ekkymose^</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Venøs tromboemboliske hændelser, hovedsageligt dyb venetrombose og lungeemboli^</w:t>
            </w:r>
            <w:r w:rsidRPr="005F70F3">
              <w:rPr>
                <w:noProof/>
                <w:szCs w:val="22"/>
                <w:vertAlign w:val="superscript"/>
              </w:rPr>
              <w:t>,◊,</w:t>
            </w:r>
            <w:r w:rsidRPr="005F70F3">
              <w:rPr>
                <w:spacing w:val="-3"/>
                <w:position w:val="8"/>
                <w:sz w:val="14"/>
                <w:szCs w:val="14"/>
              </w:rPr>
              <w:t>◊◊</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Vaskulitis, hypotension</w:t>
            </w:r>
            <w:r w:rsidRPr="005F70F3">
              <w:rPr>
                <w:noProof/>
                <w:szCs w:val="22"/>
                <w:vertAlign w:val="superscript"/>
              </w:rPr>
              <w:t>◊◊</w:t>
            </w:r>
            <w:r w:rsidRPr="005F70F3">
              <w:rPr>
                <w:noProof/>
                <w:szCs w:val="22"/>
              </w:rPr>
              <w:t>, hypertension</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Pr="000F2B51" w:rsidRDefault="00F33C81" w:rsidP="00F33C81">
            <w:pPr>
              <w:rPr>
                <w:noProof/>
                <w:szCs w:val="22"/>
              </w:rPr>
            </w:pPr>
            <w:r w:rsidRPr="000F2B51">
              <w:rPr>
                <w:noProof/>
                <w:szCs w:val="22"/>
              </w:rPr>
              <w:t>Iskæmi, perifer iskæmi, intrakraniel venøs sinustrombose</w:t>
            </w:r>
          </w:p>
        </w:tc>
      </w:tr>
      <w:tr w:rsidR="00F33C81" w:rsidTr="00F33C81">
        <w:trPr>
          <w:trHeight w:hRule="exact" w:val="1324"/>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Luftveje, thorax og mediastinum</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Dyspnø</w:t>
            </w:r>
            <w:r w:rsidRPr="005F70F3">
              <w:rPr>
                <w:noProof/>
                <w:szCs w:val="22"/>
                <w:vertAlign w:val="superscript"/>
              </w:rPr>
              <w:t>◊</w:t>
            </w:r>
            <w:r w:rsidRPr="005F70F3">
              <w:rPr>
                <w:spacing w:val="-3"/>
                <w:position w:val="8"/>
                <w:sz w:val="14"/>
                <w:szCs w:val="14"/>
              </w:rPr>
              <w:t>,◊◊</w:t>
            </w:r>
            <w:r w:rsidRPr="005F70F3">
              <w:rPr>
                <w:noProof/>
                <w:szCs w:val="22"/>
              </w:rPr>
              <w:t>, epistaxis^, hoste</w:t>
            </w:r>
          </w:p>
          <w:p w:rsidR="00F33C81" w:rsidRPr="005F70F3" w:rsidRDefault="00F33C81" w:rsidP="00F33C81">
            <w:pPr>
              <w:rPr>
                <w:noProof/>
                <w:szCs w:val="22"/>
              </w:rPr>
            </w:pPr>
          </w:p>
          <w:p w:rsidR="00F33C81" w:rsidRPr="005F70F3" w:rsidRDefault="00F33C81" w:rsidP="00F33C81">
            <w:pPr>
              <w:rPr>
                <w:noProof/>
                <w:szCs w:val="22"/>
                <w:u w:val="single"/>
              </w:rPr>
            </w:pPr>
            <w:r w:rsidRPr="005F70F3">
              <w:rPr>
                <w:noProof/>
                <w:szCs w:val="22"/>
                <w:u w:val="single"/>
              </w:rPr>
              <w:t xml:space="preserve">Almindelig </w:t>
            </w:r>
          </w:p>
          <w:p w:rsidR="00F33C81" w:rsidRDefault="00F33C81" w:rsidP="00F33C81">
            <w:pPr>
              <w:rPr>
                <w:noProof/>
                <w:szCs w:val="22"/>
                <w:lang w:val="en-GB"/>
              </w:rPr>
            </w:pPr>
            <w:r>
              <w:rPr>
                <w:noProof/>
                <w:szCs w:val="22"/>
                <w:lang w:val="en-GB"/>
              </w:rPr>
              <w:t>Dysfoni</w:t>
            </w:r>
          </w:p>
        </w:tc>
        <w:tc>
          <w:tcPr>
            <w:tcW w:w="3390"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Respirationsbesvær</w:t>
            </w:r>
            <w:r w:rsidRPr="005F70F3">
              <w:rPr>
                <w:noProof/>
                <w:szCs w:val="22"/>
                <w:vertAlign w:val="superscript"/>
              </w:rPr>
              <w:t>◊</w:t>
            </w:r>
            <w:r w:rsidRPr="005F70F3">
              <w:rPr>
                <w:noProof/>
                <w:szCs w:val="22"/>
              </w:rPr>
              <w:t>, dyspnø</w:t>
            </w:r>
            <w:r w:rsidRPr="005F70F3">
              <w:rPr>
                <w:noProof/>
                <w:szCs w:val="22"/>
                <w:vertAlign w:val="superscript"/>
              </w:rPr>
              <w:t>◊</w:t>
            </w:r>
            <w:r w:rsidRPr="005F70F3">
              <w:rPr>
                <w:noProof/>
                <w:szCs w:val="22"/>
              </w:rPr>
              <w:t>, pleuritiske smerter</w:t>
            </w:r>
            <w:r w:rsidRPr="005F70F3">
              <w:rPr>
                <w:noProof/>
                <w:szCs w:val="22"/>
                <w:vertAlign w:val="superscript"/>
              </w:rPr>
              <w:t>◊◊</w:t>
            </w:r>
            <w:r w:rsidRPr="005F70F3">
              <w:rPr>
                <w:noProof/>
                <w:szCs w:val="22"/>
              </w:rPr>
              <w:t>, hypoksi</w:t>
            </w:r>
            <w:r w:rsidRPr="005F70F3">
              <w:rPr>
                <w:noProof/>
                <w:szCs w:val="22"/>
                <w:vertAlign w:val="superscript"/>
              </w:rPr>
              <w:t>◊◊</w:t>
            </w:r>
          </w:p>
        </w:tc>
      </w:tr>
      <w:tr w:rsidR="00F33C81" w:rsidRPr="004B7018" w:rsidTr="00F33C81">
        <w:trPr>
          <w:trHeight w:val="3531"/>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lastRenderedPageBreak/>
              <w:t>Mave-tarm-kanalen</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Diarré</w:t>
            </w:r>
            <w:r w:rsidRPr="005F70F3">
              <w:rPr>
                <w:noProof/>
                <w:szCs w:val="22"/>
                <w:vertAlign w:val="superscript"/>
              </w:rPr>
              <w:t>◊</w:t>
            </w:r>
            <w:r w:rsidRPr="005F70F3">
              <w:rPr>
                <w:spacing w:val="-3"/>
                <w:position w:val="8"/>
                <w:sz w:val="14"/>
                <w:szCs w:val="14"/>
              </w:rPr>
              <w:t>,◊◊</w:t>
            </w:r>
            <w:r w:rsidRPr="005F70F3">
              <w:rPr>
                <w:noProof/>
                <w:szCs w:val="22"/>
              </w:rPr>
              <w:t>, forstoppelse</w:t>
            </w:r>
            <w:r w:rsidRPr="005F70F3">
              <w:rPr>
                <w:noProof/>
                <w:szCs w:val="22"/>
                <w:vertAlign w:val="superscript"/>
              </w:rPr>
              <w:t>◊</w:t>
            </w:r>
            <w:r w:rsidRPr="005F70F3">
              <w:rPr>
                <w:noProof/>
                <w:szCs w:val="22"/>
              </w:rPr>
              <w:t>, abdominalsmerter</w:t>
            </w:r>
            <w:r w:rsidRPr="005F70F3">
              <w:rPr>
                <w:noProof/>
                <w:szCs w:val="22"/>
                <w:vertAlign w:val="superscript"/>
              </w:rPr>
              <w:t>◊</w:t>
            </w:r>
            <w:r w:rsidRPr="005F70F3">
              <w:rPr>
                <w:spacing w:val="-3"/>
                <w:position w:val="8"/>
                <w:sz w:val="14"/>
                <w:szCs w:val="14"/>
              </w:rPr>
              <w:t>◊</w:t>
            </w:r>
            <w:r w:rsidRPr="005F70F3">
              <w:rPr>
                <w:noProof/>
                <w:szCs w:val="22"/>
              </w:rPr>
              <w:t>, kvalme, opkastning</w:t>
            </w:r>
            <w:r w:rsidRPr="005F70F3">
              <w:rPr>
                <w:spacing w:val="-3"/>
                <w:position w:val="8"/>
                <w:sz w:val="14"/>
                <w:szCs w:val="14"/>
              </w:rPr>
              <w:t>◊◊</w:t>
            </w:r>
            <w:r w:rsidRPr="005F70F3">
              <w:rPr>
                <w:noProof/>
                <w:szCs w:val="22"/>
              </w:rPr>
              <w:t>, dyspepsi, mundtørhed, stomatitis</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Gastrointestinal blødning (herunder rektalblødning, hæmorideblødning, blødende mavesår og gingivalblødning)^</w:t>
            </w:r>
            <w:r w:rsidRPr="005F70F3">
              <w:rPr>
                <w:spacing w:val="-3"/>
                <w:position w:val="8"/>
                <w:sz w:val="14"/>
                <w:szCs w:val="14"/>
              </w:rPr>
              <w:t xml:space="preserve"> ◊◊</w:t>
            </w:r>
            <w:r w:rsidRPr="005F70F3">
              <w:t>,</w:t>
            </w:r>
            <w:r w:rsidRPr="005F70F3">
              <w:rPr>
                <w:noProof/>
                <w:szCs w:val="22"/>
              </w:rPr>
              <w:t>, dysfagi</w:t>
            </w:r>
          </w:p>
          <w:p w:rsidR="00F33C81" w:rsidRPr="005F70F3" w:rsidRDefault="00F33C81" w:rsidP="00F33C81">
            <w:pPr>
              <w:rPr>
                <w:noProof/>
                <w:szCs w:val="22"/>
              </w:rPr>
            </w:pPr>
          </w:p>
          <w:p w:rsidR="00F33C81" w:rsidRDefault="00F33C81" w:rsidP="00F33C81">
            <w:pPr>
              <w:rPr>
                <w:noProof/>
                <w:szCs w:val="22"/>
                <w:lang w:val="en-GB"/>
              </w:rPr>
            </w:pPr>
            <w:r>
              <w:rPr>
                <w:noProof/>
                <w:szCs w:val="22"/>
                <w:u w:val="single"/>
                <w:lang w:val="en-GB"/>
              </w:rPr>
              <w:t>Ikke almindelig</w:t>
            </w:r>
          </w:p>
          <w:p w:rsidR="00F33C81" w:rsidRDefault="00F33C81" w:rsidP="00F33C81">
            <w:pPr>
              <w:rPr>
                <w:noProof/>
                <w:szCs w:val="22"/>
                <w:lang w:val="en-GB"/>
              </w:rPr>
            </w:pPr>
            <w:r>
              <w:rPr>
                <w:noProof/>
                <w:szCs w:val="22"/>
                <w:lang w:val="en-GB"/>
              </w:rPr>
              <w:t>Colitis, tyflitis</w:t>
            </w:r>
          </w:p>
        </w:tc>
        <w:tc>
          <w:tcPr>
            <w:tcW w:w="3390" w:type="dxa"/>
            <w:tcBorders>
              <w:top w:val="single" w:sz="4" w:space="0" w:color="000000"/>
              <w:left w:val="single" w:sz="4" w:space="0" w:color="000000"/>
              <w:bottom w:val="single" w:sz="4" w:space="0" w:color="000000"/>
              <w:right w:val="single" w:sz="4" w:space="0" w:color="000000"/>
            </w:tcBorders>
            <w:hideMark/>
          </w:tcPr>
          <w:p w:rsidR="00F33C81" w:rsidRPr="000F2B51" w:rsidRDefault="00F33C81" w:rsidP="00F33C81">
            <w:pPr>
              <w:rPr>
                <w:noProof/>
                <w:szCs w:val="22"/>
              </w:rPr>
            </w:pPr>
            <w:r w:rsidRPr="000F2B51">
              <w:rPr>
                <w:noProof/>
                <w:szCs w:val="22"/>
                <w:u w:val="single"/>
              </w:rPr>
              <w:t>Almindelig</w:t>
            </w:r>
          </w:p>
          <w:p w:rsidR="00F33C81" w:rsidRPr="000F2B51" w:rsidRDefault="00F33C81" w:rsidP="00F33C81">
            <w:pPr>
              <w:rPr>
                <w:noProof/>
                <w:szCs w:val="22"/>
              </w:rPr>
            </w:pPr>
            <w:r w:rsidRPr="000F2B51">
              <w:rPr>
                <w:noProof/>
                <w:szCs w:val="22"/>
              </w:rPr>
              <w:t>Gastrointestinal blødning</w:t>
            </w:r>
            <w:r w:rsidRPr="000F2B51">
              <w:rPr>
                <w:noProof/>
                <w:szCs w:val="22"/>
                <w:vertAlign w:val="superscript"/>
              </w:rPr>
              <w:t>^,◊,◊◊</w:t>
            </w:r>
            <w:r w:rsidRPr="000F2B51">
              <w:rPr>
                <w:noProof/>
                <w:szCs w:val="22"/>
              </w:rPr>
              <w:t>, tyndtarmsobstruktion</w:t>
            </w:r>
            <w:r w:rsidRPr="000F2B51">
              <w:rPr>
                <w:noProof/>
                <w:szCs w:val="22"/>
                <w:vertAlign w:val="superscript"/>
              </w:rPr>
              <w:t>◊◊</w:t>
            </w:r>
            <w:r w:rsidRPr="000F2B51">
              <w:rPr>
                <w:noProof/>
                <w:szCs w:val="22"/>
              </w:rPr>
              <w:t>, Diarré</w:t>
            </w:r>
            <w:r w:rsidRPr="000F2B51">
              <w:rPr>
                <w:noProof/>
                <w:szCs w:val="22"/>
                <w:vertAlign w:val="superscript"/>
              </w:rPr>
              <w:t>◊</w:t>
            </w:r>
            <w:r w:rsidRPr="000F2B51">
              <w:rPr>
                <w:noProof/>
                <w:szCs w:val="22"/>
              </w:rPr>
              <w:t>, forstoppelse</w:t>
            </w:r>
            <w:r w:rsidRPr="000F2B51">
              <w:rPr>
                <w:noProof/>
                <w:szCs w:val="22"/>
                <w:vertAlign w:val="superscript"/>
              </w:rPr>
              <w:t>◊</w:t>
            </w:r>
            <w:r w:rsidRPr="000F2B51">
              <w:rPr>
                <w:noProof/>
                <w:szCs w:val="22"/>
              </w:rPr>
              <w:t>, abdominalsmerter</w:t>
            </w:r>
            <w:r w:rsidRPr="000F2B51">
              <w:rPr>
                <w:noProof/>
                <w:szCs w:val="22"/>
                <w:vertAlign w:val="superscript"/>
              </w:rPr>
              <w:t>◊</w:t>
            </w:r>
            <w:r w:rsidRPr="000F2B51">
              <w:rPr>
                <w:spacing w:val="-3"/>
                <w:position w:val="8"/>
                <w:sz w:val="14"/>
                <w:szCs w:val="14"/>
              </w:rPr>
              <w:t>◊</w:t>
            </w:r>
            <w:r w:rsidRPr="000F2B51">
              <w:rPr>
                <w:noProof/>
                <w:szCs w:val="22"/>
              </w:rPr>
              <w:t>, kvalme, opkastning</w:t>
            </w:r>
            <w:r w:rsidRPr="000F2B51">
              <w:rPr>
                <w:spacing w:val="-3"/>
                <w:position w:val="8"/>
                <w:sz w:val="14"/>
                <w:szCs w:val="14"/>
              </w:rPr>
              <w:t>◊◊</w:t>
            </w:r>
          </w:p>
        </w:tc>
      </w:tr>
      <w:tr w:rsidR="00F33C81" w:rsidTr="00F33C81">
        <w:trPr>
          <w:trHeight w:val="1542"/>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Lever og galdeveje</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u w:val="single"/>
              </w:rPr>
            </w:pPr>
            <w:r w:rsidRPr="005F70F3">
              <w:rPr>
                <w:noProof/>
                <w:szCs w:val="22"/>
                <w:u w:val="single"/>
              </w:rPr>
              <w:t xml:space="preserve">Meget almindelig </w:t>
            </w:r>
          </w:p>
          <w:p w:rsidR="00F33C81" w:rsidRPr="005F70F3" w:rsidRDefault="00F33C81" w:rsidP="00F33C81">
            <w:pPr>
              <w:rPr>
                <w:noProof/>
                <w:szCs w:val="22"/>
              </w:rPr>
            </w:pPr>
            <w:r w:rsidRPr="005F70F3">
              <w:rPr>
                <w:noProof/>
                <w:szCs w:val="22"/>
              </w:rPr>
              <w:t xml:space="preserve">Forhøjet alaninaminotransferase, forhøjet aspartataminotransferase </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Hepatocellulær skade</w:t>
            </w:r>
            <w:r w:rsidRPr="005F70F3">
              <w:rPr>
                <w:noProof/>
                <w:szCs w:val="22"/>
                <w:vertAlign w:val="superscript"/>
              </w:rPr>
              <w:t>◊◊</w:t>
            </w:r>
            <w:r w:rsidRPr="005F70F3">
              <w:rPr>
                <w:noProof/>
                <w:szCs w:val="22"/>
              </w:rPr>
              <w:t>, unormale leverfunktionstests</w:t>
            </w:r>
            <w:r w:rsidRPr="005F70F3">
              <w:rPr>
                <w:noProof/>
                <w:szCs w:val="22"/>
                <w:vertAlign w:val="superscript"/>
              </w:rPr>
              <w:t>◊</w:t>
            </w:r>
            <w:r w:rsidRPr="005F70F3">
              <w:rPr>
                <w:noProof/>
                <w:szCs w:val="22"/>
              </w:rPr>
              <w:t>, hyperbilirubinæmi</w:t>
            </w:r>
          </w:p>
          <w:p w:rsidR="00F33C81" w:rsidRPr="005F70F3" w:rsidRDefault="00F33C81" w:rsidP="00F33C81">
            <w:pPr>
              <w:rPr>
                <w:noProof/>
                <w:szCs w:val="22"/>
              </w:rPr>
            </w:pPr>
          </w:p>
          <w:p w:rsidR="00F33C81" w:rsidRDefault="00F33C81" w:rsidP="00F33C81">
            <w:pPr>
              <w:rPr>
                <w:noProof/>
                <w:szCs w:val="22"/>
                <w:lang w:val="en-GB"/>
              </w:rPr>
            </w:pPr>
            <w:r>
              <w:rPr>
                <w:noProof/>
                <w:szCs w:val="22"/>
                <w:u w:val="single"/>
                <w:lang w:val="en-GB"/>
              </w:rPr>
              <w:t>Ikke almindelig</w:t>
            </w:r>
          </w:p>
          <w:p w:rsidR="00F33C81" w:rsidRDefault="00F33C81" w:rsidP="00F33C81">
            <w:pPr>
              <w:rPr>
                <w:noProof/>
                <w:szCs w:val="22"/>
                <w:lang w:val="en-GB"/>
              </w:rPr>
            </w:pPr>
            <w:r>
              <w:rPr>
                <w:noProof/>
                <w:szCs w:val="22"/>
                <w:lang w:val="en-GB"/>
              </w:rPr>
              <w:t>Leversvigt^</w:t>
            </w:r>
          </w:p>
        </w:tc>
        <w:tc>
          <w:tcPr>
            <w:tcW w:w="3390" w:type="dxa"/>
            <w:tcBorders>
              <w:top w:val="single" w:sz="4" w:space="0" w:color="000000"/>
              <w:left w:val="single" w:sz="4" w:space="0" w:color="000000"/>
              <w:bottom w:val="single" w:sz="4" w:space="0" w:color="000000"/>
              <w:right w:val="single" w:sz="4" w:space="0" w:color="000000"/>
            </w:tcBorders>
          </w:tcPr>
          <w:p w:rsidR="00F33C81" w:rsidRPr="000F2B51" w:rsidRDefault="00F33C81" w:rsidP="00F33C81">
            <w:pPr>
              <w:rPr>
                <w:noProof/>
                <w:szCs w:val="22"/>
              </w:rPr>
            </w:pPr>
            <w:r w:rsidRPr="000F2B51">
              <w:rPr>
                <w:noProof/>
                <w:szCs w:val="22"/>
                <w:u w:val="single"/>
              </w:rPr>
              <w:t>Almindelig</w:t>
            </w:r>
          </w:p>
          <w:p w:rsidR="00F33C81" w:rsidRPr="000F2B51" w:rsidRDefault="00F33C81" w:rsidP="00F33C81">
            <w:pPr>
              <w:rPr>
                <w:noProof/>
                <w:szCs w:val="22"/>
              </w:rPr>
            </w:pPr>
            <w:r w:rsidRPr="000F2B51">
              <w:rPr>
                <w:noProof/>
                <w:szCs w:val="22"/>
              </w:rPr>
              <w:t>Kolestasis</w:t>
            </w:r>
            <w:r w:rsidRPr="000F2B51">
              <w:rPr>
                <w:noProof/>
                <w:szCs w:val="22"/>
                <w:vertAlign w:val="superscript"/>
              </w:rPr>
              <w:t>◊</w:t>
            </w:r>
            <w:r w:rsidRPr="000F2B51">
              <w:rPr>
                <w:noProof/>
                <w:szCs w:val="22"/>
              </w:rPr>
              <w:t>, hepatoksicitet, hepatocellulær skade</w:t>
            </w:r>
            <w:r w:rsidRPr="000F2B51">
              <w:rPr>
                <w:noProof/>
                <w:szCs w:val="22"/>
                <w:vertAlign w:val="superscript"/>
              </w:rPr>
              <w:t>◊◊</w:t>
            </w:r>
            <w:r w:rsidRPr="000F2B51">
              <w:rPr>
                <w:noProof/>
                <w:szCs w:val="22"/>
              </w:rPr>
              <w:t>, forhøjet alaninaminotransferase, unormale leverfunktionstest</w:t>
            </w:r>
            <w:r w:rsidRPr="000F2B51">
              <w:rPr>
                <w:noProof/>
                <w:szCs w:val="22"/>
                <w:vertAlign w:val="superscript"/>
              </w:rPr>
              <w:t>◊</w:t>
            </w:r>
          </w:p>
          <w:p w:rsidR="00F33C81" w:rsidRPr="000F2B51" w:rsidRDefault="00F33C81" w:rsidP="00F33C81">
            <w:pPr>
              <w:rPr>
                <w:noProof/>
                <w:szCs w:val="22"/>
              </w:rPr>
            </w:pPr>
          </w:p>
          <w:p w:rsidR="00F33C81" w:rsidRDefault="00F33C81" w:rsidP="00F33C81">
            <w:pPr>
              <w:rPr>
                <w:noProof/>
                <w:szCs w:val="22"/>
                <w:lang w:val="en-GB"/>
              </w:rPr>
            </w:pPr>
            <w:r>
              <w:rPr>
                <w:noProof/>
                <w:szCs w:val="22"/>
                <w:u w:val="single"/>
                <w:lang w:val="en-GB"/>
              </w:rPr>
              <w:t>Ikke almindelig</w:t>
            </w:r>
          </w:p>
          <w:p w:rsidR="00F33C81" w:rsidRDefault="00F33C81" w:rsidP="00F33C81">
            <w:pPr>
              <w:rPr>
                <w:noProof/>
                <w:szCs w:val="22"/>
                <w:lang w:val="en-GB"/>
              </w:rPr>
            </w:pPr>
            <w:r>
              <w:rPr>
                <w:noProof/>
                <w:szCs w:val="22"/>
                <w:lang w:val="en-GB"/>
              </w:rPr>
              <w:t>Leversvigt^</w:t>
            </w:r>
          </w:p>
        </w:tc>
      </w:tr>
      <w:tr w:rsidR="00F33C81" w:rsidTr="00F33C81">
        <w:trPr>
          <w:trHeight w:val="2811"/>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Hud og subkutane væv</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Udslæt</w:t>
            </w:r>
            <w:r w:rsidRPr="005F70F3">
              <w:rPr>
                <w:spacing w:val="-3"/>
                <w:position w:val="8"/>
                <w:sz w:val="14"/>
                <w:szCs w:val="14"/>
              </w:rPr>
              <w:t>◊◊</w:t>
            </w:r>
            <w:r w:rsidRPr="005F70F3">
              <w:rPr>
                <w:noProof/>
                <w:szCs w:val="22"/>
              </w:rPr>
              <w:t>, pruritus</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Urticaria, hyperhidrose, tør hud, hyperpigmentering i hudem, eksem, erytem</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Pr="005F70F3" w:rsidRDefault="00F33C81" w:rsidP="00F33C81">
            <w:pPr>
              <w:rPr>
                <w:noProof/>
                <w:szCs w:val="22"/>
              </w:rPr>
            </w:pPr>
            <w:r w:rsidRPr="005F70F3">
              <w:rPr>
                <w:noProof/>
                <w:szCs w:val="22"/>
              </w:rPr>
              <w:t>Lægemiddeludslæt med eosinofili og systemiske symptomer</w:t>
            </w:r>
            <w:r w:rsidRPr="005F70F3">
              <w:rPr>
                <w:noProof/>
                <w:szCs w:val="22"/>
                <w:vertAlign w:val="superscript"/>
              </w:rPr>
              <w:t>◊◊</w:t>
            </w:r>
            <w:r w:rsidRPr="005F70F3">
              <w:rPr>
                <w:noProof/>
                <w:szCs w:val="22"/>
              </w:rPr>
              <w:t>, misfarvning af huden, lysfølsomhedsreaktion</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spacing w:val="-3"/>
                <w:position w:val="8"/>
                <w:sz w:val="14"/>
                <w:szCs w:val="14"/>
              </w:rPr>
            </w:pPr>
            <w:r w:rsidRPr="005F70F3">
              <w:rPr>
                <w:noProof/>
                <w:szCs w:val="22"/>
              </w:rPr>
              <w:t>Udslæt</w:t>
            </w:r>
            <w:r w:rsidRPr="005F70F3">
              <w:rPr>
                <w:spacing w:val="-3"/>
                <w:position w:val="8"/>
                <w:sz w:val="14"/>
                <w:szCs w:val="14"/>
              </w:rPr>
              <w:t>◊◊</w:t>
            </w:r>
          </w:p>
          <w:p w:rsidR="00F33C81" w:rsidRPr="005F70F3" w:rsidRDefault="00F33C81" w:rsidP="00F33C81">
            <w:pPr>
              <w:rPr>
                <w:noProof/>
                <w:sz w:val="22"/>
                <w:szCs w:val="22"/>
              </w:rPr>
            </w:pPr>
          </w:p>
          <w:p w:rsidR="00F33C81" w:rsidRPr="005F70F3" w:rsidRDefault="00F33C81" w:rsidP="00F33C81">
            <w:pPr>
              <w:rPr>
                <w:noProof/>
                <w:szCs w:val="22"/>
                <w:u w:val="single"/>
              </w:rPr>
            </w:pPr>
            <w:r w:rsidRPr="005F70F3">
              <w:rPr>
                <w:noProof/>
                <w:szCs w:val="22"/>
                <w:u w:val="single"/>
              </w:rPr>
              <w:t xml:space="preserve">Ikke almindelig </w:t>
            </w:r>
          </w:p>
          <w:p w:rsidR="00F33C81" w:rsidRPr="005F70F3" w:rsidRDefault="00F33C81" w:rsidP="00F33C81">
            <w:pPr>
              <w:rPr>
                <w:noProof/>
                <w:szCs w:val="22"/>
              </w:rPr>
            </w:pPr>
            <w:r w:rsidRPr="005F70F3">
              <w:rPr>
                <w:noProof/>
                <w:szCs w:val="22"/>
              </w:rPr>
              <w:t>Lægemiddeludslæt med eosinofili og systemiske symptomer</w:t>
            </w:r>
            <w:r w:rsidRPr="005F70F3">
              <w:rPr>
                <w:noProof/>
                <w:szCs w:val="22"/>
                <w:vertAlign w:val="superscript"/>
              </w:rPr>
              <w:t>◊◊</w:t>
            </w:r>
          </w:p>
        </w:tc>
      </w:tr>
      <w:tr w:rsidR="00F33C81" w:rsidTr="00F33C81">
        <w:trPr>
          <w:trHeight w:hRule="exact" w:val="2459"/>
        </w:trPr>
        <w:tc>
          <w:tcPr>
            <w:tcW w:w="2126"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b/>
                <w:bCs/>
                <w:noProof/>
                <w:szCs w:val="22"/>
              </w:rPr>
              <w:t>Knogler, led, muskler og bindevæv</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Muskelsvaghed</w:t>
            </w:r>
            <w:r w:rsidRPr="005F70F3">
              <w:rPr>
                <w:noProof/>
                <w:szCs w:val="22"/>
                <w:vertAlign w:val="superscript"/>
              </w:rPr>
              <w:t>◊◊</w:t>
            </w:r>
            <w:r w:rsidRPr="005F70F3">
              <w:rPr>
                <w:noProof/>
                <w:szCs w:val="22"/>
              </w:rPr>
              <w:t>, Muskelspasmer, knoglesmerter</w:t>
            </w:r>
            <w:r w:rsidRPr="005F70F3">
              <w:rPr>
                <w:noProof/>
                <w:szCs w:val="22"/>
                <w:vertAlign w:val="superscript"/>
              </w:rPr>
              <w:t>◊</w:t>
            </w:r>
            <w:r w:rsidRPr="005F70F3">
              <w:rPr>
                <w:noProof/>
                <w:szCs w:val="22"/>
              </w:rPr>
              <w:t>, smerter og ubehag i knogler, led, muskler og bindevæv (herunder rygsmerter</w:t>
            </w:r>
            <w:r w:rsidRPr="005F70F3">
              <w:rPr>
                <w:noProof/>
                <w:szCs w:val="22"/>
                <w:vertAlign w:val="superscript"/>
              </w:rPr>
              <w:t>◊</w:t>
            </w:r>
            <w:r w:rsidRPr="005F70F3">
              <w:rPr>
                <w:spacing w:val="-3"/>
                <w:position w:val="8"/>
                <w:sz w:val="14"/>
                <w:szCs w:val="14"/>
              </w:rPr>
              <w:t>,</w:t>
            </w:r>
            <w:r w:rsidRPr="005F70F3">
              <w:rPr>
                <w:vertAlign w:val="superscript"/>
              </w:rPr>
              <w:t>◊◊</w:t>
            </w:r>
            <w:r w:rsidRPr="005F70F3">
              <w:rPr>
                <w:noProof/>
                <w:szCs w:val="22"/>
              </w:rPr>
              <w:t>), smerter i ekstremiteter, myalgi, artralgi</w:t>
            </w:r>
            <w:r w:rsidRPr="005F70F3">
              <w:rPr>
                <w:noProof/>
                <w:szCs w:val="22"/>
                <w:vertAlign w:val="superscript"/>
              </w:rPr>
              <w:t>◊</w:t>
            </w:r>
          </w:p>
          <w:p w:rsidR="00F33C81" w:rsidRPr="005F70F3"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Hævelse af led,</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Muskelsvaghed</w:t>
            </w:r>
            <w:r w:rsidRPr="005F70F3">
              <w:rPr>
                <w:vertAlign w:val="superscript"/>
              </w:rPr>
              <w:t>◊◊</w:t>
            </w:r>
            <w:r w:rsidRPr="005F70F3">
              <w:rPr>
                <w:noProof/>
                <w:szCs w:val="22"/>
              </w:rPr>
              <w:t>, knoglesmerter</w:t>
            </w:r>
            <w:r w:rsidRPr="005F70F3">
              <w:rPr>
                <w:noProof/>
                <w:szCs w:val="22"/>
                <w:vertAlign w:val="superscript"/>
              </w:rPr>
              <w:t>◊</w:t>
            </w:r>
            <w:r w:rsidRPr="005F70F3">
              <w:rPr>
                <w:noProof/>
                <w:szCs w:val="22"/>
              </w:rPr>
              <w:t>, smerter og ubehag i knogler, led, muskler og bindevæv (herunder rygsmerter</w:t>
            </w:r>
            <w:r w:rsidRPr="005F70F3">
              <w:rPr>
                <w:noProof/>
                <w:szCs w:val="22"/>
                <w:vertAlign w:val="superscript"/>
              </w:rPr>
              <w:t>◊</w:t>
            </w:r>
            <w:r w:rsidRPr="005F70F3">
              <w:rPr>
                <w:spacing w:val="-3"/>
                <w:position w:val="8"/>
                <w:sz w:val="14"/>
                <w:szCs w:val="14"/>
              </w:rPr>
              <w:t>,</w:t>
            </w:r>
            <w:r w:rsidRPr="005F70F3">
              <w:rPr>
                <w:vertAlign w:val="superscript"/>
              </w:rPr>
              <w:t>◊◊</w:t>
            </w:r>
            <w:r w:rsidRPr="005F70F3">
              <w:rPr>
                <w:noProof/>
                <w:szCs w:val="22"/>
              </w:rPr>
              <w:t>)</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Pr="005F70F3" w:rsidRDefault="00F33C81" w:rsidP="00F33C81">
            <w:pPr>
              <w:rPr>
                <w:noProof/>
                <w:szCs w:val="22"/>
              </w:rPr>
            </w:pPr>
            <w:r w:rsidRPr="005F70F3">
              <w:rPr>
                <w:noProof/>
                <w:szCs w:val="22"/>
              </w:rPr>
              <w:t>Hævelse af led</w:t>
            </w:r>
          </w:p>
        </w:tc>
      </w:tr>
      <w:tr w:rsidR="00F33C81" w:rsidTr="00F33C81">
        <w:trPr>
          <w:trHeight w:val="2379"/>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lastRenderedPageBreak/>
              <w:t>Nyrer og urinveje</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Nyresvigt (herunder akut)</w:t>
            </w:r>
            <w:r w:rsidRPr="005F70F3">
              <w:rPr>
                <w:noProof/>
                <w:szCs w:val="22"/>
                <w:vertAlign w:val="superscript"/>
              </w:rPr>
              <w:t>◊</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Hæmaturi^, urinretention, urininkontinens</w:t>
            </w:r>
          </w:p>
          <w:p w:rsidR="00F33C81" w:rsidRPr="005F70F3" w:rsidRDefault="00F33C81" w:rsidP="00F33C81">
            <w:pPr>
              <w:rPr>
                <w:noProof/>
                <w:szCs w:val="22"/>
              </w:rPr>
            </w:pPr>
          </w:p>
          <w:p w:rsidR="00F33C81" w:rsidRPr="005F70F3" w:rsidRDefault="00F33C81" w:rsidP="00F33C81">
            <w:pPr>
              <w:rPr>
                <w:noProof/>
                <w:szCs w:val="22"/>
              </w:rPr>
            </w:pPr>
            <w:r w:rsidRPr="005F70F3">
              <w:rPr>
                <w:noProof/>
                <w:szCs w:val="22"/>
                <w:u w:val="single"/>
              </w:rPr>
              <w:t>Ikke almindelig</w:t>
            </w:r>
          </w:p>
          <w:p w:rsidR="00F33C81" w:rsidRDefault="00F33C81" w:rsidP="00F33C81">
            <w:pPr>
              <w:rPr>
                <w:noProof/>
                <w:szCs w:val="22"/>
                <w:lang w:val="en-GB"/>
              </w:rPr>
            </w:pPr>
            <w:r>
              <w:rPr>
                <w:noProof/>
                <w:szCs w:val="22"/>
                <w:lang w:val="en-GB"/>
              </w:rPr>
              <w:t>Erhverved Fanconis syndrom</w:t>
            </w:r>
          </w:p>
        </w:tc>
        <w:tc>
          <w:tcPr>
            <w:tcW w:w="3390"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noProof/>
                <w:szCs w:val="22"/>
                <w:u w:val="single"/>
              </w:rPr>
              <w:t>Ikke almindelig</w:t>
            </w:r>
          </w:p>
          <w:p w:rsidR="00F33C81" w:rsidRPr="005F70F3" w:rsidRDefault="00F33C81" w:rsidP="00F33C81">
            <w:pPr>
              <w:rPr>
                <w:noProof/>
                <w:szCs w:val="22"/>
              </w:rPr>
            </w:pPr>
            <w:r w:rsidRPr="005F70F3">
              <w:rPr>
                <w:noProof/>
                <w:szCs w:val="22"/>
              </w:rPr>
              <w:t>Renal tubulær nekrose</w:t>
            </w:r>
          </w:p>
        </w:tc>
      </w:tr>
      <w:tr w:rsidR="00F33C81" w:rsidTr="00F33C81">
        <w:trPr>
          <w:trHeight w:val="555"/>
        </w:trPr>
        <w:tc>
          <w:tcPr>
            <w:tcW w:w="2126"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b/>
                <w:bCs/>
                <w:noProof/>
                <w:szCs w:val="22"/>
              </w:rPr>
              <w:t>Det reproduktive system og mammae</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Erektil dysfunktion</w:t>
            </w:r>
          </w:p>
        </w:tc>
        <w:tc>
          <w:tcPr>
            <w:tcW w:w="3390"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r w:rsidR="00F33C81" w:rsidTr="00F33C81">
        <w:trPr>
          <w:trHeight w:val="2534"/>
        </w:trPr>
        <w:tc>
          <w:tcPr>
            <w:tcW w:w="2126"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b/>
                <w:bCs/>
                <w:noProof/>
                <w:szCs w:val="22"/>
              </w:rPr>
              <w:t>Almene symptomer og reaktioner på administrations-stedet</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r w:rsidRPr="005F70F3">
              <w:rPr>
                <w:noProof/>
                <w:szCs w:val="22"/>
                <w:u w:val="single"/>
              </w:rPr>
              <w:t>Meget almindelig</w:t>
            </w:r>
          </w:p>
          <w:p w:rsidR="00F33C81" w:rsidRPr="005F70F3" w:rsidRDefault="00F33C81" w:rsidP="00F33C81">
            <w:pPr>
              <w:rPr>
                <w:noProof/>
                <w:szCs w:val="22"/>
              </w:rPr>
            </w:pPr>
            <w:r w:rsidRPr="005F70F3">
              <w:rPr>
                <w:noProof/>
                <w:szCs w:val="22"/>
              </w:rPr>
              <w:t>Træthed</w:t>
            </w:r>
            <w:r w:rsidRPr="005F70F3">
              <w:rPr>
                <w:noProof/>
                <w:szCs w:val="22"/>
                <w:vertAlign w:val="superscript"/>
              </w:rPr>
              <w:t>◊</w:t>
            </w:r>
            <w:r w:rsidRPr="005F70F3">
              <w:rPr>
                <w:spacing w:val="-3"/>
                <w:position w:val="8"/>
                <w:sz w:val="14"/>
                <w:szCs w:val="14"/>
              </w:rPr>
              <w:t>,</w:t>
            </w:r>
            <w:r w:rsidRPr="005F70F3">
              <w:rPr>
                <w:vertAlign w:val="superscript"/>
              </w:rPr>
              <w:t>◊◊</w:t>
            </w:r>
            <w:r w:rsidRPr="005F70F3">
              <w:rPr>
                <w:noProof/>
                <w:szCs w:val="22"/>
              </w:rPr>
              <w:t>, ødemer (herunder perifere ødemer), pyreksi</w:t>
            </w:r>
            <w:r w:rsidRPr="005F70F3">
              <w:rPr>
                <w:noProof/>
                <w:szCs w:val="22"/>
                <w:vertAlign w:val="superscript"/>
              </w:rPr>
              <w:t>◊</w:t>
            </w:r>
            <w:r w:rsidRPr="005F70F3">
              <w:rPr>
                <w:spacing w:val="-3"/>
                <w:position w:val="8"/>
                <w:sz w:val="14"/>
                <w:szCs w:val="14"/>
              </w:rPr>
              <w:t>,</w:t>
            </w:r>
            <w:r w:rsidRPr="005F70F3">
              <w:rPr>
                <w:vertAlign w:val="superscript"/>
              </w:rPr>
              <w:t>◊◊</w:t>
            </w:r>
            <w:r w:rsidRPr="005F70F3">
              <w:rPr>
                <w:noProof/>
                <w:szCs w:val="22"/>
              </w:rPr>
              <w:t>, asteni, influenzalignende sygdom (herunder pyreksi, hoste, myalgi, muskuloskeletale smerter, hovedpine og kulderystelser)</w:t>
            </w:r>
          </w:p>
          <w:p w:rsidR="00F33C81" w:rsidRPr="005F70F3"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Brystsmerter</w:t>
            </w:r>
            <w:r>
              <w:rPr>
                <w:spacing w:val="-3"/>
                <w:position w:val="8"/>
                <w:sz w:val="14"/>
                <w:szCs w:val="14"/>
                <w:lang w:val="en-GB"/>
              </w:rPr>
              <w:t>◊,</w:t>
            </w:r>
            <w:r>
              <w:rPr>
                <w:vertAlign w:val="superscript"/>
                <w:lang w:val="en-GB"/>
              </w:rPr>
              <w:t>◊◊</w:t>
            </w:r>
            <w:r>
              <w:rPr>
                <w:noProof/>
                <w:szCs w:val="22"/>
                <w:lang w:val="en-GB"/>
              </w:rPr>
              <w:t>, letargi</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u w:val="single"/>
              </w:rPr>
            </w:pPr>
            <w:r w:rsidRPr="005F70F3">
              <w:rPr>
                <w:noProof/>
                <w:szCs w:val="22"/>
                <w:u w:val="single"/>
              </w:rPr>
              <w:t xml:space="preserve">Meget almindelig </w:t>
            </w:r>
          </w:p>
          <w:p w:rsidR="00F33C81" w:rsidRPr="005F70F3" w:rsidRDefault="00F33C81" w:rsidP="00F33C81">
            <w:pPr>
              <w:rPr>
                <w:noProof/>
                <w:szCs w:val="22"/>
              </w:rPr>
            </w:pPr>
            <w:r w:rsidRPr="005F70F3">
              <w:rPr>
                <w:noProof/>
                <w:szCs w:val="22"/>
              </w:rPr>
              <w:t>Træthed</w:t>
            </w:r>
            <w:r w:rsidRPr="005F70F3">
              <w:rPr>
                <w:noProof/>
                <w:szCs w:val="22"/>
                <w:vertAlign w:val="superscript"/>
              </w:rPr>
              <w:t>◊,◊◊</w:t>
            </w:r>
          </w:p>
          <w:p w:rsidR="00F33C81" w:rsidRPr="005F70F3" w:rsidRDefault="00F33C81" w:rsidP="00F33C81">
            <w:pPr>
              <w:rPr>
                <w:noProof/>
                <w:szCs w:val="22"/>
                <w:u w:val="single"/>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Perifert ødem, pyreksi</w:t>
            </w:r>
            <w:r w:rsidRPr="005F70F3">
              <w:rPr>
                <w:noProof/>
                <w:szCs w:val="22"/>
                <w:vertAlign w:val="superscript"/>
              </w:rPr>
              <w:t>◊,◊◊</w:t>
            </w:r>
            <w:r w:rsidRPr="005F70F3">
              <w:rPr>
                <w:noProof/>
                <w:szCs w:val="22"/>
              </w:rPr>
              <w:t>, asteni</w:t>
            </w:r>
          </w:p>
        </w:tc>
      </w:tr>
      <w:tr w:rsidR="00F33C81" w:rsidTr="00F33C81">
        <w:trPr>
          <w:trHeight w:val="577"/>
        </w:trPr>
        <w:tc>
          <w:tcPr>
            <w:tcW w:w="2126"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Undersøgelser</w:t>
            </w:r>
          </w:p>
        </w:tc>
        <w:tc>
          <w:tcPr>
            <w:tcW w:w="3544"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u w:val="single"/>
              </w:rPr>
            </w:pPr>
            <w:r w:rsidRPr="005F70F3">
              <w:rPr>
                <w:noProof/>
                <w:szCs w:val="22"/>
                <w:u w:val="single"/>
              </w:rPr>
              <w:t xml:space="preserve">Meget almindelig </w:t>
            </w:r>
          </w:p>
          <w:p w:rsidR="00F33C81" w:rsidRPr="005F70F3" w:rsidRDefault="00F33C81" w:rsidP="00F33C81">
            <w:pPr>
              <w:rPr>
                <w:noProof/>
                <w:szCs w:val="22"/>
              </w:rPr>
            </w:pPr>
            <w:r w:rsidRPr="005F70F3">
              <w:rPr>
                <w:noProof/>
                <w:szCs w:val="22"/>
              </w:rPr>
              <w:t xml:space="preserve">Forhøjet basisk fosfatase i blodet </w:t>
            </w:r>
          </w:p>
          <w:p w:rsidR="00F33C81" w:rsidRPr="005F70F3" w:rsidRDefault="00F33C81" w:rsidP="00F33C81">
            <w:pPr>
              <w:rPr>
                <w:noProof/>
                <w:szCs w:val="22"/>
                <w:u w:val="single"/>
              </w:rPr>
            </w:pPr>
          </w:p>
          <w:p w:rsidR="00F33C81" w:rsidRPr="005F70F3" w:rsidRDefault="00F33C81" w:rsidP="00F33C81">
            <w:pPr>
              <w:rPr>
                <w:noProof/>
                <w:szCs w:val="22"/>
              </w:rPr>
            </w:pPr>
            <w:r w:rsidRPr="005F70F3">
              <w:rPr>
                <w:noProof/>
                <w:szCs w:val="22"/>
                <w:u w:val="single"/>
              </w:rPr>
              <w:t>Almindelig</w:t>
            </w:r>
          </w:p>
          <w:p w:rsidR="00F33C81" w:rsidRPr="005F70F3" w:rsidRDefault="00F33C81" w:rsidP="00F33C81">
            <w:pPr>
              <w:rPr>
                <w:noProof/>
                <w:szCs w:val="22"/>
              </w:rPr>
            </w:pPr>
            <w:r w:rsidRPr="005F70F3">
              <w:rPr>
                <w:noProof/>
                <w:szCs w:val="22"/>
              </w:rPr>
              <w:t>Forhøjet C-reaktivt protein</w:t>
            </w:r>
          </w:p>
        </w:tc>
        <w:tc>
          <w:tcPr>
            <w:tcW w:w="3390" w:type="dxa"/>
            <w:tcBorders>
              <w:top w:val="single" w:sz="4" w:space="0" w:color="000000"/>
              <w:left w:val="single" w:sz="4" w:space="0" w:color="000000"/>
              <w:bottom w:val="single" w:sz="4" w:space="0" w:color="000000"/>
              <w:right w:val="single" w:sz="4" w:space="0" w:color="000000"/>
            </w:tcBorders>
          </w:tcPr>
          <w:p w:rsidR="00F33C81" w:rsidRPr="005F70F3" w:rsidRDefault="00F33C81" w:rsidP="00F33C81">
            <w:pPr>
              <w:rPr>
                <w:noProof/>
                <w:szCs w:val="22"/>
              </w:rPr>
            </w:pPr>
          </w:p>
        </w:tc>
      </w:tr>
      <w:tr w:rsidR="00F33C81" w:rsidTr="00F33C81">
        <w:trPr>
          <w:trHeight w:hRule="exact" w:val="1052"/>
        </w:trPr>
        <w:tc>
          <w:tcPr>
            <w:tcW w:w="2126" w:type="dxa"/>
            <w:tcBorders>
              <w:top w:val="single" w:sz="4" w:space="0" w:color="000000"/>
              <w:left w:val="single" w:sz="4" w:space="0" w:color="000000"/>
              <w:bottom w:val="single" w:sz="4" w:space="0" w:color="000000"/>
              <w:right w:val="single" w:sz="4" w:space="0" w:color="000000"/>
            </w:tcBorders>
            <w:hideMark/>
          </w:tcPr>
          <w:p w:rsidR="00F33C81" w:rsidRPr="005F70F3" w:rsidRDefault="00F33C81" w:rsidP="00F33C81">
            <w:pPr>
              <w:rPr>
                <w:noProof/>
                <w:szCs w:val="22"/>
              </w:rPr>
            </w:pPr>
            <w:r w:rsidRPr="005F70F3">
              <w:rPr>
                <w:b/>
                <w:bCs/>
                <w:noProof/>
                <w:szCs w:val="22"/>
              </w:rPr>
              <w:t>Traumer, forgiftninger og behandlings-komplikationer</w:t>
            </w:r>
          </w:p>
        </w:tc>
        <w:tc>
          <w:tcPr>
            <w:tcW w:w="3544"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Faldtendens, kontusion^</w:t>
            </w:r>
          </w:p>
        </w:tc>
        <w:tc>
          <w:tcPr>
            <w:tcW w:w="3390"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bl>
    <w:p w:rsidR="005F70F3" w:rsidRDefault="005F70F3" w:rsidP="005F70F3">
      <w:pPr>
        <w:ind w:left="851"/>
        <w:rPr>
          <w:noProof/>
          <w:sz w:val="16"/>
          <w:szCs w:val="16"/>
        </w:rPr>
      </w:pPr>
      <w:r>
        <w:rPr>
          <w:noProof/>
          <w:sz w:val="16"/>
          <w:szCs w:val="16"/>
          <w:vertAlign w:val="superscript"/>
        </w:rPr>
        <w:t>◊◊</w:t>
      </w:r>
      <w:r>
        <w:rPr>
          <w:noProof/>
          <w:sz w:val="16"/>
          <w:szCs w:val="16"/>
        </w:rPr>
        <w:t xml:space="preserve">Bivirkninger, der er rapporteret som alvorlige i kliniske studier hos patienter med NDMM, som fik lenalidomid i kombination med bortezomib og dexamethason </w:t>
      </w:r>
    </w:p>
    <w:p w:rsidR="005F70F3" w:rsidRDefault="005F70F3" w:rsidP="005F70F3">
      <w:pPr>
        <w:ind w:left="851"/>
        <w:rPr>
          <w:noProof/>
          <w:sz w:val="16"/>
          <w:szCs w:val="16"/>
        </w:rPr>
      </w:pPr>
      <w:r>
        <w:rPr>
          <w:noProof/>
          <w:sz w:val="16"/>
          <w:szCs w:val="16"/>
        </w:rPr>
        <w:t>^Se pkt. 4.8 ”Beskrivelse af udvalgte bivirkninger”.</w:t>
      </w:r>
    </w:p>
    <w:p w:rsidR="005F70F3" w:rsidRDefault="005F70F3" w:rsidP="005F70F3">
      <w:pPr>
        <w:ind w:left="851"/>
        <w:rPr>
          <w:noProof/>
          <w:sz w:val="16"/>
          <w:szCs w:val="16"/>
        </w:rPr>
      </w:pPr>
      <w:r>
        <w:rPr>
          <w:noProof/>
          <w:sz w:val="16"/>
          <w:szCs w:val="16"/>
        </w:rPr>
        <w:t>◊Bivirkninger, der er rapporteret som alvorlige i kliniske studier hos patienter med multipelt myelom behandlet med lenalidomid i kombination med dexamethason eller med melphalan og prednison</w:t>
      </w:r>
    </w:p>
    <w:p w:rsidR="005F70F3" w:rsidRDefault="005F70F3" w:rsidP="005F70F3">
      <w:pPr>
        <w:ind w:left="851"/>
        <w:rPr>
          <w:noProof/>
          <w:sz w:val="16"/>
          <w:szCs w:val="16"/>
        </w:rPr>
      </w:pPr>
      <w:r>
        <w:rPr>
          <w:noProof/>
          <w:sz w:val="16"/>
          <w:szCs w:val="16"/>
        </w:rPr>
        <w:t>+Gælder kun alvorlige bivirkninger</w:t>
      </w:r>
    </w:p>
    <w:p w:rsidR="005F70F3" w:rsidRDefault="005F70F3" w:rsidP="005F70F3">
      <w:pPr>
        <w:ind w:left="851"/>
        <w:rPr>
          <w:noProof/>
          <w:sz w:val="16"/>
          <w:szCs w:val="16"/>
        </w:rPr>
      </w:pPr>
      <w:r>
        <w:rPr>
          <w:noProof/>
          <w:sz w:val="16"/>
          <w:szCs w:val="16"/>
        </w:rPr>
        <w:t>*Planocellulær hudcancer blev rapporteret i kliniske studier hos patienter med myelom, der tidligere blev behandlet med lenalidomid/dexamethason, sammenlignet med kontrollerne</w:t>
      </w:r>
    </w:p>
    <w:p w:rsidR="005F70F3" w:rsidRDefault="005F70F3" w:rsidP="005F70F3">
      <w:pPr>
        <w:ind w:left="851"/>
        <w:rPr>
          <w:noProof/>
          <w:sz w:val="16"/>
          <w:szCs w:val="16"/>
        </w:rPr>
      </w:pPr>
      <w:r>
        <w:rPr>
          <w:noProof/>
          <w:sz w:val="16"/>
          <w:szCs w:val="16"/>
        </w:rPr>
        <w:t>**Planocellulært hudkarcinom på huden blev rapporteret i et klinisk studie hos nydiagnosticerede patienter med myelom behandlet med lenalidomid/dexamethason, sammenlignet med kontrollerne</w:t>
      </w:r>
    </w:p>
    <w:p w:rsidR="005F70F3" w:rsidRDefault="005F70F3" w:rsidP="005F70F3">
      <w:pPr>
        <w:ind w:left="851"/>
        <w:rPr>
          <w:noProof/>
          <w:sz w:val="24"/>
          <w:szCs w:val="24"/>
        </w:rPr>
      </w:pPr>
    </w:p>
    <w:p w:rsidR="00F33C81" w:rsidRPr="005524AB" w:rsidRDefault="00F33C81" w:rsidP="00F33C81">
      <w:pPr>
        <w:autoSpaceDE w:val="0"/>
        <w:autoSpaceDN w:val="0"/>
        <w:adjustRightInd w:val="0"/>
        <w:ind w:left="1700" w:hanging="850"/>
        <w:rPr>
          <w:i/>
          <w:iCs/>
          <w:sz w:val="24"/>
          <w:szCs w:val="24"/>
          <w:lang w:eastAsia="da-DK"/>
        </w:rPr>
      </w:pPr>
      <w:r w:rsidRPr="005524AB">
        <w:rPr>
          <w:i/>
          <w:iCs/>
          <w:sz w:val="24"/>
          <w:szCs w:val="24"/>
          <w:lang w:eastAsia="da-DK"/>
        </w:rPr>
        <w:t>Tabel med oversigt af monoterapi</w:t>
      </w:r>
    </w:p>
    <w:p w:rsidR="00DF19D5" w:rsidRDefault="00F33C81" w:rsidP="00F33C81">
      <w:pPr>
        <w:ind w:left="851"/>
        <w:rPr>
          <w:sz w:val="24"/>
          <w:szCs w:val="24"/>
          <w:lang w:eastAsia="da-DK"/>
        </w:rPr>
      </w:pPr>
      <w:r w:rsidRPr="005524AB">
        <w:rPr>
          <w:sz w:val="24"/>
          <w:szCs w:val="24"/>
          <w:lang w:eastAsia="da-DK"/>
        </w:rPr>
        <w:t>Grundlaget for disse tabeller er data indsamlet fra d</w:t>
      </w:r>
      <w:r w:rsidRPr="00AC4455">
        <w:rPr>
          <w:sz w:val="24"/>
          <w:szCs w:val="24"/>
          <w:lang w:eastAsia="da-DK"/>
        </w:rPr>
        <w:t xml:space="preserve">e primære monoterapistudier hos </w:t>
      </w:r>
      <w:r w:rsidRPr="005524AB">
        <w:rPr>
          <w:sz w:val="24"/>
          <w:szCs w:val="24"/>
          <w:lang w:eastAsia="da-DK"/>
        </w:rPr>
        <w:t>patienter med</w:t>
      </w:r>
      <w:r>
        <w:rPr>
          <w:sz w:val="24"/>
          <w:szCs w:val="24"/>
          <w:lang w:eastAsia="da-DK"/>
        </w:rPr>
        <w:t xml:space="preserve"> </w:t>
      </w:r>
      <w:r w:rsidRPr="005524AB">
        <w:rPr>
          <w:sz w:val="24"/>
          <w:szCs w:val="24"/>
          <w:lang w:eastAsia="da-DK"/>
        </w:rPr>
        <w:t>myelodysplastisk syndrom eller mantle celle lymfom.</w:t>
      </w:r>
    </w:p>
    <w:p w:rsidR="00F33C81" w:rsidRDefault="00F33C81" w:rsidP="00F33C81">
      <w:pPr>
        <w:ind w:left="851"/>
        <w:rPr>
          <w:i/>
          <w:noProof/>
          <w:sz w:val="24"/>
          <w:szCs w:val="24"/>
        </w:rPr>
      </w:pPr>
    </w:p>
    <w:p w:rsidR="00F33C81" w:rsidRDefault="00F33C81" w:rsidP="00F15870">
      <w:pPr>
        <w:keepNext/>
        <w:ind w:left="851"/>
        <w:rPr>
          <w:b/>
          <w:bCs/>
          <w:noProof/>
          <w:sz w:val="24"/>
          <w:szCs w:val="24"/>
        </w:rPr>
      </w:pPr>
      <w:r w:rsidRPr="00C11010">
        <w:rPr>
          <w:b/>
          <w:bCs/>
          <w:noProof/>
          <w:sz w:val="24"/>
          <w:szCs w:val="24"/>
        </w:rPr>
        <w:lastRenderedPageBreak/>
        <w:t>Tabel 3. Bivirkninger indberettet i kliniske studier hos patienter med myelodysplastisk syndrom, der blev behandlet med lenalidomid#</w:t>
      </w:r>
    </w:p>
    <w:tbl>
      <w:tblPr>
        <w:tblW w:w="9060" w:type="dxa"/>
        <w:tblInd w:w="562" w:type="dxa"/>
        <w:tblLayout w:type="fixed"/>
        <w:tblCellMar>
          <w:left w:w="0" w:type="dxa"/>
          <w:right w:w="0" w:type="dxa"/>
        </w:tblCellMar>
        <w:tblLook w:val="04A0" w:firstRow="1" w:lastRow="0" w:firstColumn="1" w:lastColumn="0" w:noHBand="0" w:noVBand="1"/>
      </w:tblPr>
      <w:tblGrid>
        <w:gridCol w:w="1985"/>
        <w:gridCol w:w="3533"/>
        <w:gridCol w:w="3542"/>
      </w:tblGrid>
      <w:tr w:rsidR="00F33C81" w:rsidTr="00F33C81">
        <w:trPr>
          <w:trHeight w:hRule="exact" w:val="784"/>
          <w:tblHeader/>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bCs/>
                <w:noProof/>
                <w:szCs w:val="22"/>
                <w:lang w:val="en-GB"/>
              </w:rPr>
            </w:pPr>
            <w:r>
              <w:rPr>
                <w:b/>
                <w:bCs/>
                <w:noProof/>
                <w:szCs w:val="22"/>
                <w:lang w:val="en-GB"/>
              </w:rPr>
              <w:t>Systemorganklasse/</w:t>
            </w:r>
          </w:p>
          <w:p w:rsidR="00F33C81" w:rsidRDefault="00F33C81" w:rsidP="00F33C81">
            <w:pPr>
              <w:rPr>
                <w:noProof/>
                <w:szCs w:val="22"/>
                <w:lang w:val="en-GB"/>
              </w:rPr>
            </w:pPr>
            <w:r>
              <w:rPr>
                <w:b/>
                <w:bCs/>
                <w:noProof/>
                <w:szCs w:val="22"/>
                <w:lang w:val="en-GB"/>
              </w:rPr>
              <w:t>foretrukken term</w:t>
            </w:r>
          </w:p>
        </w:tc>
        <w:tc>
          <w:tcPr>
            <w:tcW w:w="353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Alle bivirkninger/hyppighed</w:t>
            </w: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Grad 3-4 bivirkninger/hyppighed</w:t>
            </w:r>
          </w:p>
        </w:tc>
      </w:tr>
      <w:tr w:rsidR="00F33C81" w:rsidTr="00F33C81">
        <w:trPr>
          <w:trHeight w:val="1919"/>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Infektioner og parasitære sygdomme</w:t>
            </w:r>
          </w:p>
        </w:tc>
        <w:tc>
          <w:tcPr>
            <w:tcW w:w="3533"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Bakterie-, virus- og svampeinfektioner (herunder opportunistiske infektioner)</w:t>
            </w:r>
            <w:r w:rsidRPr="00D83032">
              <w:rPr>
                <w:noProof/>
                <w:szCs w:val="22"/>
                <w:vertAlign w:val="superscript"/>
              </w:rPr>
              <w:t>◊</w:t>
            </w:r>
          </w:p>
        </w:tc>
        <w:tc>
          <w:tcPr>
            <w:tcW w:w="3542"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Pneumoni</w:t>
            </w:r>
            <w:r w:rsidRPr="00D83032">
              <w:rPr>
                <w:noProof/>
                <w:szCs w:val="22"/>
                <w:vertAlign w:val="superscript"/>
              </w:rPr>
              <w:t>◊</w:t>
            </w:r>
          </w:p>
          <w:p w:rsidR="00F33C81" w:rsidRPr="00D83032" w:rsidRDefault="00F33C81" w:rsidP="00F33C81">
            <w:pPr>
              <w:rPr>
                <w:noProof/>
                <w:szCs w:val="22"/>
              </w:rPr>
            </w:pPr>
          </w:p>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Bakterie-, virus- og svampeinfektioner (herunder opportunistiske infektioner)</w:t>
            </w:r>
            <w:r w:rsidRPr="00D83032">
              <w:rPr>
                <w:noProof/>
                <w:szCs w:val="22"/>
                <w:vertAlign w:val="superscript"/>
              </w:rPr>
              <w:t>◊</w:t>
            </w:r>
            <w:r w:rsidRPr="00D83032">
              <w:rPr>
                <w:noProof/>
                <w:szCs w:val="22"/>
              </w:rPr>
              <w:t>, bronkitis</w:t>
            </w:r>
          </w:p>
        </w:tc>
      </w:tr>
      <w:tr w:rsidR="00F33C81" w:rsidTr="00F33C81">
        <w:trPr>
          <w:trHeight w:val="1474"/>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Blod og lymfesystem</w:t>
            </w:r>
          </w:p>
        </w:tc>
        <w:tc>
          <w:tcPr>
            <w:tcW w:w="3533" w:type="dxa"/>
            <w:tcBorders>
              <w:top w:val="single" w:sz="4" w:space="0" w:color="000000"/>
              <w:left w:val="single" w:sz="4" w:space="0" w:color="000000"/>
              <w:bottom w:val="single" w:sz="4" w:space="0" w:color="000000"/>
              <w:right w:val="single" w:sz="4" w:space="0" w:color="000000"/>
            </w:tcBorders>
            <w:hideMark/>
          </w:tcPr>
          <w:p w:rsidR="00F15870" w:rsidRPr="00EB5AC4" w:rsidRDefault="00F15870" w:rsidP="00F15870">
            <w:pPr>
              <w:rPr>
                <w:noProof/>
                <w:szCs w:val="22"/>
              </w:rPr>
            </w:pPr>
            <w:r w:rsidRPr="00EB5AC4">
              <w:rPr>
                <w:noProof/>
                <w:szCs w:val="22"/>
                <w:u w:val="single"/>
              </w:rPr>
              <w:t>Meget almindelig</w:t>
            </w:r>
          </w:p>
          <w:p w:rsidR="00F15870" w:rsidRPr="00EB5AC4" w:rsidRDefault="00F15870" w:rsidP="00F15870">
            <w:pPr>
              <w:rPr>
                <w:sz w:val="16"/>
                <w:szCs w:val="16"/>
              </w:rPr>
            </w:pPr>
            <w:r w:rsidRPr="00A3405B">
              <w:rPr>
                <w:noProof/>
                <w:szCs w:val="22"/>
              </w:rPr>
              <w:t>Trombocytopeni^</w:t>
            </w:r>
            <w:r w:rsidRPr="00A3405B">
              <w:rPr>
                <w:noProof/>
                <w:szCs w:val="22"/>
                <w:vertAlign w:val="superscript"/>
              </w:rPr>
              <w:t>,◊</w:t>
            </w:r>
            <w:r w:rsidRPr="00A3405B">
              <w:rPr>
                <w:noProof/>
                <w:szCs w:val="22"/>
              </w:rPr>
              <w:t>, neutropeni^</w:t>
            </w:r>
            <w:r w:rsidRPr="00A3405B">
              <w:rPr>
                <w:noProof/>
                <w:szCs w:val="22"/>
                <w:vertAlign w:val="superscript"/>
              </w:rPr>
              <w:t>,◊</w:t>
            </w:r>
            <w:r w:rsidRPr="000B5EC8">
              <w:rPr>
                <w:noProof/>
                <w:szCs w:val="22"/>
              </w:rPr>
              <w:t xml:space="preserve">, leukopeni, </w:t>
            </w:r>
            <w:r w:rsidRPr="000B5EC8">
              <w:rPr>
                <w:szCs w:val="23"/>
              </w:rPr>
              <w:t>anæmi</w:t>
            </w:r>
            <w:r w:rsidRPr="00FB409F">
              <w:rPr>
                <w:rFonts w:ascii="Cambria" w:hAnsi="Cambria" w:cs="Cambria"/>
                <w:sz w:val="2"/>
                <w:szCs w:val="2"/>
                <w:vertAlign w:val="superscript"/>
              </w:rPr>
              <w:t>P</w:t>
            </w:r>
            <w:r w:rsidRPr="00EB5AC4">
              <w:rPr>
                <w:noProof/>
                <w:szCs w:val="22"/>
                <w:vertAlign w:val="superscript"/>
              </w:rPr>
              <w:t>,◊</w:t>
            </w:r>
          </w:p>
          <w:p w:rsidR="00F33C81" w:rsidRPr="000F2B51" w:rsidRDefault="00F33C81" w:rsidP="00F33C81">
            <w:pPr>
              <w:rPr>
                <w:noProof/>
                <w:szCs w:val="22"/>
              </w:rPr>
            </w:pPr>
          </w:p>
        </w:tc>
        <w:tc>
          <w:tcPr>
            <w:tcW w:w="3542" w:type="dxa"/>
            <w:tcBorders>
              <w:top w:val="single" w:sz="4" w:space="0" w:color="000000"/>
              <w:left w:val="single" w:sz="4" w:space="0" w:color="000000"/>
              <w:bottom w:val="single" w:sz="4" w:space="0" w:color="000000"/>
              <w:right w:val="single" w:sz="4" w:space="0" w:color="000000"/>
            </w:tcBorders>
          </w:tcPr>
          <w:p w:rsidR="00F15870" w:rsidRPr="00EB5AC4" w:rsidRDefault="00F15870" w:rsidP="00F15870">
            <w:pPr>
              <w:rPr>
                <w:noProof/>
                <w:szCs w:val="22"/>
              </w:rPr>
            </w:pPr>
            <w:r w:rsidRPr="00EB5AC4">
              <w:rPr>
                <w:noProof/>
                <w:szCs w:val="22"/>
                <w:u w:val="single"/>
              </w:rPr>
              <w:t>Meget almindelig</w:t>
            </w:r>
          </w:p>
          <w:p w:rsidR="00F15870" w:rsidRPr="00FB409F" w:rsidRDefault="00F15870" w:rsidP="00F15870">
            <w:pPr>
              <w:rPr>
                <w:sz w:val="16"/>
                <w:szCs w:val="16"/>
              </w:rPr>
            </w:pPr>
            <w:r w:rsidRPr="00EB5AC4">
              <w:rPr>
                <w:noProof/>
                <w:szCs w:val="22"/>
              </w:rPr>
              <w:t>Trombocytopeni^</w:t>
            </w:r>
            <w:r w:rsidRPr="00EB5AC4">
              <w:rPr>
                <w:noProof/>
                <w:szCs w:val="22"/>
                <w:vertAlign w:val="superscript"/>
              </w:rPr>
              <w:t>,◊</w:t>
            </w:r>
            <w:r w:rsidRPr="00EB5AC4">
              <w:rPr>
                <w:noProof/>
                <w:szCs w:val="22"/>
              </w:rPr>
              <w:t>, neutropeni^</w:t>
            </w:r>
            <w:r w:rsidRPr="00EB5AC4">
              <w:rPr>
                <w:noProof/>
                <w:szCs w:val="22"/>
                <w:vertAlign w:val="superscript"/>
              </w:rPr>
              <w:t>,◊</w:t>
            </w:r>
            <w:r w:rsidRPr="00EB5AC4">
              <w:rPr>
                <w:noProof/>
                <w:szCs w:val="22"/>
              </w:rPr>
              <w:t xml:space="preserve">, leukopeni, </w:t>
            </w:r>
            <w:r w:rsidRPr="00EB5AC4">
              <w:rPr>
                <w:szCs w:val="23"/>
              </w:rPr>
              <w:t>anæmi</w:t>
            </w:r>
            <w:r w:rsidRPr="00EB5AC4">
              <w:rPr>
                <w:rFonts w:ascii="Cambria" w:hAnsi="Cambria" w:cs="Cambria"/>
                <w:sz w:val="2"/>
                <w:szCs w:val="2"/>
                <w:vertAlign w:val="superscript"/>
              </w:rPr>
              <w:t>P</w:t>
            </w:r>
            <w:r w:rsidRPr="00EB5AC4">
              <w:rPr>
                <w:noProof/>
                <w:szCs w:val="22"/>
                <w:vertAlign w:val="superscript"/>
              </w:rPr>
              <w:t>,◊</w:t>
            </w:r>
          </w:p>
          <w:p w:rsidR="00F33C81" w:rsidRPr="00D83032" w:rsidRDefault="00F33C81" w:rsidP="00F33C81">
            <w:pPr>
              <w:rPr>
                <w:noProof/>
                <w:szCs w:val="22"/>
              </w:rPr>
            </w:pPr>
          </w:p>
          <w:p w:rsidR="00F33C81" w:rsidRPr="00D83032" w:rsidRDefault="00F33C81" w:rsidP="00F33C81">
            <w:pPr>
              <w:rPr>
                <w:noProof/>
                <w:szCs w:val="22"/>
              </w:rPr>
            </w:pPr>
            <w:r w:rsidRPr="00D83032">
              <w:rPr>
                <w:noProof/>
                <w:szCs w:val="22"/>
                <w:u w:val="single"/>
              </w:rPr>
              <w:t>Almindelig</w:t>
            </w:r>
          </w:p>
          <w:p w:rsidR="00F33C81" w:rsidRDefault="00F33C81" w:rsidP="00F33C81">
            <w:pPr>
              <w:rPr>
                <w:noProof/>
                <w:szCs w:val="22"/>
                <w:lang w:val="en-GB"/>
              </w:rPr>
            </w:pPr>
            <w:r>
              <w:rPr>
                <w:noProof/>
                <w:szCs w:val="22"/>
                <w:lang w:val="en-GB"/>
              </w:rPr>
              <w:t>Febril neutropeni^</w:t>
            </w:r>
            <w:r>
              <w:rPr>
                <w:noProof/>
                <w:szCs w:val="22"/>
                <w:vertAlign w:val="superscript"/>
                <w:lang w:val="en-GB"/>
              </w:rPr>
              <w:t>,◊</w:t>
            </w:r>
          </w:p>
        </w:tc>
      </w:tr>
      <w:tr w:rsidR="00F33C81" w:rsidTr="00F33C81">
        <w:trPr>
          <w:trHeight w:val="503"/>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Det endokrine system</w:t>
            </w:r>
          </w:p>
        </w:tc>
        <w:tc>
          <w:tcPr>
            <w:tcW w:w="353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Meget almindelig</w:t>
            </w:r>
          </w:p>
          <w:p w:rsidR="00F33C81" w:rsidRDefault="00F33C81" w:rsidP="00F33C81">
            <w:pPr>
              <w:rPr>
                <w:noProof/>
                <w:szCs w:val="22"/>
                <w:lang w:val="en-GB"/>
              </w:rPr>
            </w:pPr>
            <w:r>
              <w:rPr>
                <w:noProof/>
                <w:szCs w:val="22"/>
                <w:lang w:val="en-GB"/>
              </w:rPr>
              <w:t>Hypotyroidisme</w:t>
            </w:r>
          </w:p>
        </w:tc>
        <w:tc>
          <w:tcPr>
            <w:tcW w:w="3542"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r w:rsidR="00F33C81" w:rsidTr="00F33C81">
        <w:trPr>
          <w:trHeight w:val="1275"/>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Metabolisme og ernæring</w:t>
            </w:r>
          </w:p>
        </w:tc>
        <w:tc>
          <w:tcPr>
            <w:tcW w:w="3533"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Nedsat appetit</w:t>
            </w:r>
          </w:p>
          <w:p w:rsidR="00F33C81" w:rsidRPr="00D83032" w:rsidRDefault="00F33C81" w:rsidP="00F33C81">
            <w:pPr>
              <w:rPr>
                <w:noProof/>
                <w:szCs w:val="22"/>
              </w:rPr>
            </w:pPr>
          </w:p>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Jernophobning, vægttab</w:t>
            </w: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Hyperglykæmi</w:t>
            </w:r>
            <w:r>
              <w:rPr>
                <w:noProof/>
                <w:szCs w:val="22"/>
                <w:vertAlign w:val="superscript"/>
                <w:lang w:val="en-GB"/>
              </w:rPr>
              <w:t>◊</w:t>
            </w:r>
            <w:r>
              <w:rPr>
                <w:noProof/>
                <w:szCs w:val="22"/>
                <w:lang w:val="en-GB"/>
              </w:rPr>
              <w:t>, Nedsat appetit</w:t>
            </w:r>
          </w:p>
        </w:tc>
      </w:tr>
      <w:tr w:rsidR="00F33C81" w:rsidTr="00F33C81">
        <w:trPr>
          <w:trHeight w:hRule="exact" w:val="577"/>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Psykiske forstyrrelser</w:t>
            </w:r>
          </w:p>
        </w:tc>
        <w:tc>
          <w:tcPr>
            <w:tcW w:w="3533"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Humørsvingninger</w:t>
            </w:r>
            <w:r>
              <w:rPr>
                <w:noProof/>
                <w:szCs w:val="22"/>
                <w:vertAlign w:val="superscript"/>
                <w:lang w:val="en-GB"/>
              </w:rPr>
              <w:t>◊,~</w:t>
            </w:r>
          </w:p>
        </w:tc>
      </w:tr>
      <w:tr w:rsidR="00F33C81" w:rsidTr="00F33C81">
        <w:trPr>
          <w:trHeight w:hRule="exact" w:val="1373"/>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Nervesystemet</w:t>
            </w:r>
          </w:p>
        </w:tc>
        <w:tc>
          <w:tcPr>
            <w:tcW w:w="3533"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Svimmelhed, hovedpine</w:t>
            </w:r>
          </w:p>
          <w:p w:rsidR="00F33C81" w:rsidRPr="00D83032" w:rsidRDefault="00F33C81" w:rsidP="00F33C81">
            <w:pPr>
              <w:rPr>
                <w:noProof/>
                <w:szCs w:val="22"/>
              </w:rPr>
            </w:pPr>
          </w:p>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Paræstesi</w:t>
            </w:r>
          </w:p>
        </w:tc>
        <w:tc>
          <w:tcPr>
            <w:tcW w:w="3542"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p>
        </w:tc>
      </w:tr>
      <w:tr w:rsidR="00F33C81" w:rsidRPr="007F3447" w:rsidTr="00F33C81">
        <w:trPr>
          <w:trHeight w:val="828"/>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Hjerte</w:t>
            </w:r>
          </w:p>
        </w:tc>
        <w:tc>
          <w:tcPr>
            <w:tcW w:w="3533"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Akut myokardieinfarkt^</w:t>
            </w:r>
            <w:r>
              <w:rPr>
                <w:noProof/>
                <w:szCs w:val="22"/>
                <w:vertAlign w:val="superscript"/>
                <w:lang w:val="en-GB"/>
              </w:rPr>
              <w:t>,◊</w:t>
            </w:r>
            <w:r>
              <w:rPr>
                <w:noProof/>
                <w:szCs w:val="22"/>
                <w:lang w:val="en-GB"/>
              </w:rPr>
              <w:t>, atrieflimren</w:t>
            </w:r>
            <w:r>
              <w:rPr>
                <w:noProof/>
                <w:szCs w:val="22"/>
                <w:vertAlign w:val="superscript"/>
                <w:lang w:val="en-GB"/>
              </w:rPr>
              <w:t>◊</w:t>
            </w:r>
            <w:r>
              <w:rPr>
                <w:noProof/>
                <w:szCs w:val="22"/>
                <w:lang w:val="en-GB"/>
              </w:rPr>
              <w:t>, hjerteinsufficiens</w:t>
            </w:r>
            <w:r>
              <w:rPr>
                <w:noProof/>
                <w:szCs w:val="22"/>
                <w:vertAlign w:val="superscript"/>
                <w:lang w:val="en-GB"/>
              </w:rPr>
              <w:t>◊</w:t>
            </w:r>
          </w:p>
        </w:tc>
      </w:tr>
      <w:tr w:rsidR="00F33C81" w:rsidTr="00F33C81">
        <w:trPr>
          <w:trHeight w:val="1108"/>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Vaskulære sygdomme</w:t>
            </w:r>
          </w:p>
        </w:tc>
        <w:tc>
          <w:tcPr>
            <w:tcW w:w="353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Hypertension, hæmatom</w:t>
            </w:r>
          </w:p>
        </w:tc>
        <w:tc>
          <w:tcPr>
            <w:tcW w:w="3542"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Venøse tromboemboliske hændelser, hovedsageligt dyb venetrombose og lungeemboli ^</w:t>
            </w:r>
            <w:r w:rsidRPr="00D83032">
              <w:rPr>
                <w:noProof/>
                <w:szCs w:val="22"/>
                <w:vertAlign w:val="superscript"/>
              </w:rPr>
              <w:t>,◊</w:t>
            </w:r>
          </w:p>
        </w:tc>
      </w:tr>
      <w:tr w:rsidR="00F33C81" w:rsidTr="00F33C81">
        <w:trPr>
          <w:trHeight w:hRule="exact" w:val="588"/>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Luftveje, thorax og mediastinum</w:t>
            </w:r>
          </w:p>
        </w:tc>
        <w:tc>
          <w:tcPr>
            <w:tcW w:w="353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Meget almindelig</w:t>
            </w:r>
          </w:p>
          <w:p w:rsidR="00F33C81" w:rsidRDefault="00F33C81" w:rsidP="00F33C81">
            <w:pPr>
              <w:rPr>
                <w:noProof/>
                <w:szCs w:val="22"/>
                <w:lang w:val="en-GB"/>
              </w:rPr>
            </w:pPr>
            <w:r>
              <w:rPr>
                <w:noProof/>
                <w:szCs w:val="22"/>
                <w:lang w:val="en-GB"/>
              </w:rPr>
              <w:t>Epistaxis^</w:t>
            </w:r>
          </w:p>
        </w:tc>
        <w:tc>
          <w:tcPr>
            <w:tcW w:w="3542"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r w:rsidR="00F33C81" w:rsidTr="00F33C81">
        <w:trPr>
          <w:trHeight w:val="1825"/>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Mave-tarm-kanalen</w:t>
            </w:r>
          </w:p>
        </w:tc>
        <w:tc>
          <w:tcPr>
            <w:tcW w:w="3533"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Diarré</w:t>
            </w:r>
            <w:r w:rsidRPr="00D83032">
              <w:rPr>
                <w:noProof/>
                <w:szCs w:val="22"/>
                <w:vertAlign w:val="superscript"/>
              </w:rPr>
              <w:t>◊</w:t>
            </w:r>
            <w:r w:rsidRPr="00D83032">
              <w:rPr>
                <w:noProof/>
                <w:szCs w:val="22"/>
              </w:rPr>
              <w:t>, abdominalsmerter (herunder i den øvre del), kvalme, opkastning, forstoppelse</w:t>
            </w:r>
          </w:p>
          <w:p w:rsidR="00F33C81" w:rsidRPr="00D83032"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Mundtørhed, dyspepsi</w:t>
            </w: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Diarré</w:t>
            </w:r>
            <w:r>
              <w:rPr>
                <w:noProof/>
                <w:szCs w:val="22"/>
                <w:vertAlign w:val="superscript"/>
                <w:lang w:val="en-GB"/>
              </w:rPr>
              <w:t>◊</w:t>
            </w:r>
            <w:r>
              <w:rPr>
                <w:noProof/>
                <w:szCs w:val="22"/>
                <w:lang w:val="en-GB"/>
              </w:rPr>
              <w:t>, kvalme, tandpine</w:t>
            </w:r>
          </w:p>
        </w:tc>
      </w:tr>
      <w:tr w:rsidR="00F33C81" w:rsidTr="00F33C81">
        <w:trPr>
          <w:trHeight w:val="547"/>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Lever og galdeveje</w:t>
            </w:r>
          </w:p>
        </w:tc>
        <w:tc>
          <w:tcPr>
            <w:tcW w:w="3533"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Unormale leverfunktionstests</w:t>
            </w: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Unormale leverfunktionstests</w:t>
            </w:r>
          </w:p>
        </w:tc>
      </w:tr>
      <w:tr w:rsidR="00F33C81" w:rsidTr="00F33C81">
        <w:trPr>
          <w:trHeight w:val="555"/>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lastRenderedPageBreak/>
              <w:t>Hud og subkutane væv</w:t>
            </w:r>
          </w:p>
        </w:tc>
        <w:tc>
          <w:tcPr>
            <w:tcW w:w="3533"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Udslæt, tør hud, pruritus</w:t>
            </w: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Udslæt, pruritus</w:t>
            </w:r>
          </w:p>
        </w:tc>
      </w:tr>
      <w:tr w:rsidR="00F33C81" w:rsidTr="00F33C81">
        <w:trPr>
          <w:trHeight w:val="1002"/>
        </w:trPr>
        <w:tc>
          <w:tcPr>
            <w:tcW w:w="1985"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b/>
                <w:bCs/>
                <w:noProof/>
                <w:szCs w:val="22"/>
              </w:rPr>
              <w:t>Knogler, led, muskler og bindevæv</w:t>
            </w:r>
          </w:p>
        </w:tc>
        <w:tc>
          <w:tcPr>
            <w:tcW w:w="3533"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Muskelspasmer, smerter i knogler, led og muskler (herunder rygsmerter</w:t>
            </w:r>
            <w:r w:rsidRPr="00D83032">
              <w:rPr>
                <w:noProof/>
                <w:szCs w:val="22"/>
                <w:vertAlign w:val="superscript"/>
              </w:rPr>
              <w:t>◊</w:t>
            </w:r>
            <w:r w:rsidRPr="00D83032">
              <w:rPr>
                <w:noProof/>
                <w:szCs w:val="22"/>
              </w:rPr>
              <w:t xml:space="preserve"> og ekstremitetssmerter), artralgi, myalgi</w:t>
            </w: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Rygsmerter</w:t>
            </w:r>
            <w:r>
              <w:rPr>
                <w:noProof/>
                <w:szCs w:val="22"/>
                <w:vertAlign w:val="superscript"/>
                <w:lang w:val="en-GB"/>
              </w:rPr>
              <w:t>◊</w:t>
            </w:r>
          </w:p>
        </w:tc>
      </w:tr>
      <w:tr w:rsidR="00F33C81" w:rsidTr="00F33C81">
        <w:trPr>
          <w:trHeight w:hRule="exact" w:val="555"/>
        </w:trPr>
        <w:tc>
          <w:tcPr>
            <w:tcW w:w="1985"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Nyrer og urinveje</w:t>
            </w:r>
          </w:p>
        </w:tc>
        <w:tc>
          <w:tcPr>
            <w:tcW w:w="3533" w:type="dxa"/>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Nyresvigt</w:t>
            </w:r>
            <w:r>
              <w:rPr>
                <w:noProof/>
                <w:szCs w:val="22"/>
                <w:vertAlign w:val="superscript"/>
                <w:lang w:val="en-GB"/>
              </w:rPr>
              <w:t>◊</w:t>
            </w:r>
          </w:p>
        </w:tc>
      </w:tr>
      <w:tr w:rsidR="00F33C81" w:rsidTr="00F33C81">
        <w:trPr>
          <w:trHeight w:val="1333"/>
        </w:trPr>
        <w:tc>
          <w:tcPr>
            <w:tcW w:w="1985"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b/>
                <w:bCs/>
                <w:noProof/>
                <w:szCs w:val="22"/>
              </w:rPr>
              <w:t>Almene symptomer og reaktioner og administrations-stedet</w:t>
            </w:r>
          </w:p>
        </w:tc>
        <w:tc>
          <w:tcPr>
            <w:tcW w:w="3533"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Træthed, perifere ødemer, influenzalignende sygdom (herunder pyreksi, hoste, faryngitis, myalgi, muskuloskeletale smerter, hovedpine)</w:t>
            </w: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Pyrexi</w:t>
            </w:r>
          </w:p>
        </w:tc>
      </w:tr>
      <w:tr w:rsidR="00F33C81" w:rsidTr="00F33C81">
        <w:trPr>
          <w:trHeight w:hRule="exact" w:val="1069"/>
        </w:trPr>
        <w:tc>
          <w:tcPr>
            <w:tcW w:w="1985" w:type="dxa"/>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b/>
                <w:bCs/>
                <w:noProof/>
                <w:szCs w:val="22"/>
              </w:rPr>
              <w:t>Traumer, forgiftninger og behandlings-komplikationer</w:t>
            </w:r>
          </w:p>
        </w:tc>
        <w:tc>
          <w:tcPr>
            <w:tcW w:w="3533" w:type="dxa"/>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p>
        </w:tc>
        <w:tc>
          <w:tcPr>
            <w:tcW w:w="3542" w:type="dxa"/>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Faldtendens</w:t>
            </w:r>
          </w:p>
        </w:tc>
      </w:tr>
    </w:tbl>
    <w:p w:rsidR="00F33C81" w:rsidRDefault="00F33C81" w:rsidP="00F33C81">
      <w:pPr>
        <w:ind w:left="567"/>
        <w:rPr>
          <w:noProof/>
          <w:sz w:val="16"/>
          <w:szCs w:val="16"/>
        </w:rPr>
      </w:pPr>
      <w:r>
        <w:rPr>
          <w:noProof/>
          <w:sz w:val="16"/>
          <w:szCs w:val="16"/>
        </w:rPr>
        <w:t>^Se pkt. 4.8 “Beskrivelse af udvalgte bivirkninger"</w:t>
      </w:r>
    </w:p>
    <w:p w:rsidR="00F33C81" w:rsidRDefault="00F33C81" w:rsidP="00F33C81">
      <w:pPr>
        <w:ind w:left="567"/>
        <w:rPr>
          <w:noProof/>
          <w:sz w:val="16"/>
          <w:szCs w:val="16"/>
        </w:rPr>
      </w:pPr>
      <w:r>
        <w:rPr>
          <w:noProof/>
          <w:sz w:val="16"/>
          <w:szCs w:val="16"/>
          <w:vertAlign w:val="superscript"/>
        </w:rPr>
        <w:t>◊</w:t>
      </w:r>
      <w:r>
        <w:rPr>
          <w:noProof/>
          <w:sz w:val="16"/>
          <w:szCs w:val="16"/>
        </w:rPr>
        <w:t>Bivirkninger raporteret som alvorlige i kliniske studier hos patienter med myelodysplastiske syndromer</w:t>
      </w:r>
    </w:p>
    <w:p w:rsidR="00F33C81" w:rsidRDefault="00F33C81" w:rsidP="00F33C81">
      <w:pPr>
        <w:ind w:left="567"/>
        <w:rPr>
          <w:noProof/>
          <w:sz w:val="16"/>
          <w:szCs w:val="16"/>
        </w:rPr>
      </w:pPr>
      <w:r>
        <w:rPr>
          <w:noProof/>
          <w:sz w:val="16"/>
          <w:szCs w:val="16"/>
          <w:vertAlign w:val="superscript"/>
        </w:rPr>
        <w:t>~</w:t>
      </w:r>
      <w:r>
        <w:rPr>
          <w:noProof/>
          <w:sz w:val="16"/>
          <w:szCs w:val="16"/>
        </w:rPr>
        <w:t>Humørsvingninger blev rapporteret som en almindelig alvorlig bivirkning i fase III-studier hos patienter med myelodysplastisk syndrom. Det blev ikke rapporteret som en grad 3 eller 4 bivirkning</w:t>
      </w:r>
    </w:p>
    <w:p w:rsidR="00F33C81" w:rsidRDefault="00F33C81" w:rsidP="00F33C81">
      <w:pPr>
        <w:ind w:left="567"/>
        <w:rPr>
          <w:noProof/>
          <w:sz w:val="16"/>
          <w:szCs w:val="16"/>
        </w:rPr>
      </w:pPr>
      <w:r>
        <w:rPr>
          <w:noProof/>
          <w:sz w:val="16"/>
          <w:szCs w:val="16"/>
        </w:rPr>
        <w:t>Algoritme anvendt for inklusion i produktresuméet: Alle bivirkninger, der blev opfanget af fase III</w:t>
      </w:r>
      <w:r>
        <w:rPr>
          <w:noProof/>
          <w:sz w:val="16"/>
          <w:szCs w:val="16"/>
        </w:rPr>
        <w:noBreakHyphen/>
        <w:t>studiets algoritme, er inkluderet i det europæiske produktresumé. For disse bivirkninger blev der foretaget en ekstra kontrol af den bivirkningshyppighed, der blev fastlagt af fase II</w:t>
      </w:r>
      <w:r>
        <w:rPr>
          <w:noProof/>
          <w:sz w:val="16"/>
          <w:szCs w:val="16"/>
        </w:rPr>
        <w:noBreakHyphen/>
        <w:t>studiets algoritme. Hvis hyppigheden af bivirkningen var højere i fase II</w:t>
      </w:r>
      <w:r>
        <w:rPr>
          <w:noProof/>
          <w:sz w:val="16"/>
          <w:szCs w:val="16"/>
        </w:rPr>
        <w:noBreakHyphen/>
        <w:t>studiet end i fase III</w:t>
      </w:r>
      <w:r>
        <w:rPr>
          <w:noProof/>
          <w:sz w:val="16"/>
          <w:szCs w:val="16"/>
        </w:rPr>
        <w:noBreakHyphen/>
        <w:t>studiet, blev bivirkningen inkluderet i det europæiske produktresumé med hyppigheden fra fase II</w:t>
      </w:r>
      <w:r>
        <w:rPr>
          <w:noProof/>
          <w:sz w:val="16"/>
          <w:szCs w:val="16"/>
        </w:rPr>
        <w:noBreakHyphen/>
        <w:t>studiet.</w:t>
      </w:r>
    </w:p>
    <w:p w:rsidR="00F33C81" w:rsidRDefault="00F33C81" w:rsidP="00F33C81">
      <w:pPr>
        <w:ind w:left="567"/>
        <w:rPr>
          <w:noProof/>
          <w:sz w:val="16"/>
          <w:szCs w:val="16"/>
        </w:rPr>
      </w:pPr>
      <w:r>
        <w:rPr>
          <w:noProof/>
          <w:sz w:val="16"/>
          <w:szCs w:val="16"/>
        </w:rPr>
        <w:t>#Algoritme anvendt for myelodysplastisk syndrom:</w:t>
      </w:r>
    </w:p>
    <w:p w:rsidR="00F33C81" w:rsidRDefault="00F33C81" w:rsidP="00F33C81">
      <w:pPr>
        <w:numPr>
          <w:ilvl w:val="0"/>
          <w:numId w:val="7"/>
        </w:numPr>
        <w:ind w:left="851" w:hanging="284"/>
        <w:rPr>
          <w:sz w:val="16"/>
          <w:szCs w:val="16"/>
        </w:rPr>
      </w:pPr>
      <w:r>
        <w:rPr>
          <w:sz w:val="16"/>
          <w:szCs w:val="16"/>
        </w:rPr>
        <w:t>Fase III</w:t>
      </w:r>
      <w:r>
        <w:rPr>
          <w:sz w:val="16"/>
          <w:szCs w:val="16"/>
        </w:rPr>
        <w:noBreakHyphen/>
        <w:t>studie hos patienter med myelodysplastisk syndrom (dobbeltblind sikkerhedspopulation, forskel mellem lenalidomid 5/10 mg og placebo i henhold til indledende dosisforløb; bivirkningen forekommer hos mindst 2 personer)</w:t>
      </w:r>
    </w:p>
    <w:p w:rsidR="00F33C81" w:rsidRDefault="00F33C81" w:rsidP="00F33C81">
      <w:pPr>
        <w:numPr>
          <w:ilvl w:val="1"/>
          <w:numId w:val="7"/>
        </w:numPr>
        <w:ind w:hanging="229"/>
        <w:rPr>
          <w:sz w:val="16"/>
          <w:szCs w:val="16"/>
        </w:rPr>
      </w:pPr>
      <w:r>
        <w:rPr>
          <w:noProof/>
          <w:sz w:val="16"/>
          <w:szCs w:val="16"/>
        </w:rPr>
        <w:t>Alle bivirkninger, der opstod under behandlingen hos ≥ 5 % af personerne på lenalidomid, og mindst 2 % forskel i andelen mellem lenalidomid og placebo</w:t>
      </w:r>
    </w:p>
    <w:p w:rsidR="00F33C81" w:rsidRDefault="00F33C81" w:rsidP="00F33C81">
      <w:pPr>
        <w:numPr>
          <w:ilvl w:val="1"/>
          <w:numId w:val="7"/>
        </w:numPr>
        <w:ind w:hanging="229"/>
        <w:rPr>
          <w:noProof/>
          <w:sz w:val="16"/>
          <w:szCs w:val="16"/>
        </w:rPr>
      </w:pPr>
      <w:r>
        <w:rPr>
          <w:noProof/>
          <w:sz w:val="16"/>
          <w:szCs w:val="16"/>
        </w:rPr>
        <w:t>Alle grad 3 og 4 bivirkninger, der opstod under behandlingen hos 1 % af personerne på lenalidomid, og mindst 1 % forskel i andelen mellem lenalidomid og placebo</w:t>
      </w:r>
    </w:p>
    <w:p w:rsidR="00F33C81" w:rsidRDefault="00F33C81" w:rsidP="00F33C81">
      <w:pPr>
        <w:numPr>
          <w:ilvl w:val="1"/>
          <w:numId w:val="7"/>
        </w:numPr>
        <w:ind w:hanging="229"/>
        <w:rPr>
          <w:noProof/>
          <w:sz w:val="16"/>
          <w:szCs w:val="16"/>
        </w:rPr>
      </w:pPr>
      <w:r>
        <w:rPr>
          <w:noProof/>
          <w:sz w:val="16"/>
          <w:szCs w:val="16"/>
        </w:rPr>
        <w:t>Alle alvorlige bivirkninger, der opstod under behandlingen hos 1 % af personerne på lenalidomid, og mindst 1 % forskel i andelen mellem lenalidomid og placebo</w:t>
      </w:r>
    </w:p>
    <w:p w:rsidR="00F33C81" w:rsidRDefault="00F33C81" w:rsidP="00F33C81">
      <w:pPr>
        <w:numPr>
          <w:ilvl w:val="0"/>
          <w:numId w:val="7"/>
        </w:numPr>
        <w:ind w:left="851" w:hanging="284"/>
        <w:rPr>
          <w:sz w:val="16"/>
          <w:szCs w:val="16"/>
        </w:rPr>
      </w:pPr>
      <w:r>
        <w:rPr>
          <w:sz w:val="16"/>
          <w:szCs w:val="16"/>
        </w:rPr>
        <w:t>Fase II</w:t>
      </w:r>
      <w:r>
        <w:rPr>
          <w:sz w:val="16"/>
          <w:szCs w:val="16"/>
        </w:rPr>
        <w:noBreakHyphen/>
        <w:t>studie hos patienter med myelodysplastisk syndrom</w:t>
      </w:r>
    </w:p>
    <w:p w:rsidR="00F33C81" w:rsidRDefault="00F33C81" w:rsidP="00F33C81">
      <w:pPr>
        <w:numPr>
          <w:ilvl w:val="1"/>
          <w:numId w:val="7"/>
        </w:numPr>
        <w:ind w:hanging="229"/>
        <w:rPr>
          <w:noProof/>
          <w:sz w:val="16"/>
          <w:szCs w:val="16"/>
        </w:rPr>
      </w:pPr>
      <w:r>
        <w:rPr>
          <w:noProof/>
          <w:sz w:val="16"/>
          <w:szCs w:val="16"/>
        </w:rPr>
        <w:t>Alle bivirkninger, der opstod under behandlingen hos ≥ 5 % af personerne i behandling med lenalidomid</w:t>
      </w:r>
    </w:p>
    <w:p w:rsidR="00F33C81" w:rsidRDefault="00F33C81" w:rsidP="00F33C81">
      <w:pPr>
        <w:numPr>
          <w:ilvl w:val="1"/>
          <w:numId w:val="7"/>
        </w:numPr>
        <w:ind w:hanging="229"/>
        <w:rPr>
          <w:noProof/>
          <w:sz w:val="16"/>
          <w:szCs w:val="16"/>
        </w:rPr>
      </w:pPr>
      <w:r>
        <w:rPr>
          <w:noProof/>
          <w:sz w:val="16"/>
          <w:szCs w:val="16"/>
        </w:rPr>
        <w:t>Alle grad 3 og 4 bivirkninger, der opstod under behandlingen hos 1 % af personerne i behandling med lenalidomid</w:t>
      </w:r>
    </w:p>
    <w:p w:rsidR="00F33C81" w:rsidRDefault="00F33C81" w:rsidP="00F33C81">
      <w:pPr>
        <w:numPr>
          <w:ilvl w:val="1"/>
          <w:numId w:val="7"/>
        </w:numPr>
        <w:ind w:hanging="229"/>
        <w:rPr>
          <w:noProof/>
          <w:sz w:val="16"/>
          <w:szCs w:val="16"/>
        </w:rPr>
      </w:pPr>
      <w:r>
        <w:rPr>
          <w:noProof/>
          <w:sz w:val="16"/>
          <w:szCs w:val="16"/>
        </w:rPr>
        <w:t>Alle alvorlige bivirkninger, der opstod under behandlingen hos 1 % af personerne i behandling med lenalidomid</w:t>
      </w:r>
    </w:p>
    <w:p w:rsidR="00F33C81" w:rsidRDefault="00F33C81" w:rsidP="005F70F3">
      <w:pPr>
        <w:ind w:left="851"/>
        <w:rPr>
          <w:noProof/>
          <w:sz w:val="24"/>
          <w:szCs w:val="24"/>
        </w:rPr>
      </w:pPr>
    </w:p>
    <w:p w:rsidR="00F33C81" w:rsidRDefault="00F33C81" w:rsidP="00F33C81">
      <w:pPr>
        <w:ind w:left="851"/>
        <w:rPr>
          <w:b/>
          <w:bCs/>
          <w:noProof/>
          <w:sz w:val="24"/>
          <w:szCs w:val="24"/>
        </w:rPr>
      </w:pPr>
      <w:r w:rsidRPr="00B45B89">
        <w:rPr>
          <w:b/>
          <w:bCs/>
          <w:noProof/>
          <w:sz w:val="24"/>
          <w:szCs w:val="24"/>
        </w:rPr>
        <w:t>Tabel 4. Bivirkninger indberettet i kliniske studier hos patienter med mantle celle lymfom, der blev behandlet med lenalidomid</w:t>
      </w:r>
    </w:p>
    <w:p w:rsidR="00F33C81" w:rsidRDefault="00F33C81" w:rsidP="005F70F3">
      <w:pPr>
        <w:ind w:left="851"/>
        <w:rPr>
          <w:noProof/>
          <w:sz w:val="24"/>
          <w:szCs w:val="24"/>
        </w:rPr>
      </w:pPr>
    </w:p>
    <w:tbl>
      <w:tblPr>
        <w:tblW w:w="5000" w:type="pct"/>
        <w:tblInd w:w="562" w:type="dxa"/>
        <w:tblCellMar>
          <w:left w:w="0" w:type="dxa"/>
          <w:right w:w="0" w:type="dxa"/>
        </w:tblCellMar>
        <w:tblLook w:val="04A0" w:firstRow="1" w:lastRow="0" w:firstColumn="1" w:lastColumn="0" w:noHBand="0" w:noVBand="1"/>
      </w:tblPr>
      <w:tblGrid>
        <w:gridCol w:w="2166"/>
        <w:gridCol w:w="3701"/>
        <w:gridCol w:w="3761"/>
      </w:tblGrid>
      <w:tr w:rsidR="00F33C81" w:rsidTr="00F33C81">
        <w:trPr>
          <w:trHeight w:val="20"/>
          <w:tblHeader/>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bCs/>
                <w:noProof/>
                <w:szCs w:val="22"/>
                <w:lang w:val="en-GB"/>
              </w:rPr>
            </w:pPr>
            <w:r>
              <w:rPr>
                <w:b/>
                <w:bCs/>
                <w:noProof/>
                <w:szCs w:val="22"/>
                <w:lang w:val="en-GB"/>
              </w:rPr>
              <w:t>Systemorganklasse/</w:t>
            </w:r>
          </w:p>
          <w:p w:rsidR="00F33C81" w:rsidRDefault="00F33C81" w:rsidP="00F33C81">
            <w:pPr>
              <w:rPr>
                <w:noProof/>
                <w:szCs w:val="22"/>
                <w:lang w:val="en-GB"/>
              </w:rPr>
            </w:pPr>
            <w:r>
              <w:rPr>
                <w:b/>
                <w:bCs/>
                <w:noProof/>
                <w:szCs w:val="22"/>
                <w:lang w:val="en-GB"/>
              </w:rPr>
              <w:t>foretrukken term</w:t>
            </w:r>
          </w:p>
        </w:tc>
        <w:tc>
          <w:tcPr>
            <w:tcW w:w="192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Alle bivirkninger/hyppighed</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Grad 3-4 bivirkninger/hyppighed</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Infektioner og parasitære sygdomme</w:t>
            </w:r>
          </w:p>
        </w:tc>
        <w:tc>
          <w:tcPr>
            <w:tcW w:w="1922" w:type="pct"/>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Bakterie-, virus- og svampeinfektioner (herunder opportunistiske infektioner)</w:t>
            </w:r>
            <w:r w:rsidRPr="00D83032">
              <w:rPr>
                <w:noProof/>
                <w:szCs w:val="22"/>
                <w:vertAlign w:val="superscript"/>
              </w:rPr>
              <w:t>◊</w:t>
            </w:r>
            <w:r w:rsidRPr="00D83032">
              <w:rPr>
                <w:noProof/>
                <w:szCs w:val="22"/>
              </w:rPr>
              <w:t>, nasofaryngitis, pneumoni</w:t>
            </w:r>
            <w:r w:rsidRPr="00D83032">
              <w:rPr>
                <w:noProof/>
                <w:szCs w:val="22"/>
                <w:vertAlign w:val="superscript"/>
              </w:rPr>
              <w:t>◊</w:t>
            </w:r>
          </w:p>
          <w:p w:rsidR="00F33C81" w:rsidRPr="00D83032"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Sinuitis</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Bakterie-, virus- og svampeinfektioner (herunder opportunistiske infektioner)</w:t>
            </w:r>
            <w:r w:rsidRPr="00D83032">
              <w:rPr>
                <w:noProof/>
                <w:szCs w:val="22"/>
                <w:vertAlign w:val="superscript"/>
              </w:rPr>
              <w:t>◊</w:t>
            </w:r>
            <w:r w:rsidRPr="00D83032">
              <w:rPr>
                <w:noProof/>
                <w:szCs w:val="22"/>
              </w:rPr>
              <w:t>, pneumoni</w:t>
            </w:r>
            <w:r w:rsidRPr="00D83032">
              <w:rPr>
                <w:noProof/>
                <w:szCs w:val="22"/>
                <w:vertAlign w:val="superscript"/>
              </w:rPr>
              <w:t>◊</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b/>
                <w:bCs/>
                <w:noProof/>
                <w:szCs w:val="22"/>
              </w:rPr>
              <w:t>Benigne, maligne og uspecificerede tumorer (inkl. cyster og polypper)</w:t>
            </w:r>
          </w:p>
        </w:tc>
        <w:tc>
          <w:tcPr>
            <w:tcW w:w="192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Tumor-flare-reaktion</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Tumor-flare-reaktion, planocellulær hudcancer^</w:t>
            </w:r>
            <w:r w:rsidRPr="00D83032">
              <w:rPr>
                <w:noProof/>
                <w:szCs w:val="22"/>
                <w:vertAlign w:val="superscript"/>
              </w:rPr>
              <w:t>,◊</w:t>
            </w:r>
            <w:r w:rsidRPr="00D83032">
              <w:rPr>
                <w:noProof/>
                <w:szCs w:val="22"/>
              </w:rPr>
              <w:t>,  basalcellekarcinom</w:t>
            </w:r>
            <w:r w:rsidRPr="00D83032">
              <w:rPr>
                <w:noProof/>
                <w:szCs w:val="22"/>
                <w:vertAlign w:val="superscript"/>
              </w:rPr>
              <w:t>◊</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lastRenderedPageBreak/>
              <w:t>Blod og lymfesystem</w:t>
            </w:r>
          </w:p>
        </w:tc>
        <w:tc>
          <w:tcPr>
            <w:tcW w:w="1922" w:type="pct"/>
            <w:tcBorders>
              <w:top w:val="single" w:sz="4" w:space="0" w:color="000000"/>
              <w:left w:val="single" w:sz="4" w:space="0" w:color="000000"/>
              <w:bottom w:val="single" w:sz="4" w:space="0" w:color="000000"/>
              <w:right w:val="single" w:sz="4" w:space="0" w:color="000000"/>
            </w:tcBorders>
          </w:tcPr>
          <w:p w:rsidR="00F33C81" w:rsidRPr="000F2B51" w:rsidRDefault="00F33C81" w:rsidP="00F33C81">
            <w:pPr>
              <w:rPr>
                <w:noProof/>
                <w:szCs w:val="22"/>
              </w:rPr>
            </w:pPr>
            <w:r w:rsidRPr="000F2B51">
              <w:rPr>
                <w:noProof/>
                <w:szCs w:val="22"/>
                <w:u w:val="single"/>
              </w:rPr>
              <w:t>Meget almindelig</w:t>
            </w:r>
          </w:p>
          <w:p w:rsidR="00F33C81" w:rsidRPr="000F2B51" w:rsidRDefault="00F33C81" w:rsidP="00F33C81">
            <w:pPr>
              <w:rPr>
                <w:noProof/>
                <w:szCs w:val="22"/>
              </w:rPr>
            </w:pPr>
            <w:r w:rsidRPr="000F2B51">
              <w:rPr>
                <w:noProof/>
                <w:szCs w:val="22"/>
              </w:rPr>
              <w:t>Trombocytopeni^, neutropeni^</w:t>
            </w:r>
            <w:r w:rsidRPr="000F2B51">
              <w:rPr>
                <w:noProof/>
                <w:szCs w:val="22"/>
                <w:vertAlign w:val="superscript"/>
              </w:rPr>
              <w:t>,◊</w:t>
            </w:r>
            <w:r w:rsidRPr="000F2B51">
              <w:rPr>
                <w:noProof/>
                <w:szCs w:val="22"/>
              </w:rPr>
              <w:t>, leukopeni</w:t>
            </w:r>
            <w:r w:rsidRPr="000F2B51">
              <w:rPr>
                <w:noProof/>
                <w:szCs w:val="22"/>
                <w:vertAlign w:val="superscript"/>
              </w:rPr>
              <w:t>◊</w:t>
            </w:r>
            <w:r w:rsidRPr="000F2B51">
              <w:rPr>
                <w:noProof/>
                <w:szCs w:val="22"/>
              </w:rPr>
              <w:t>, anæmi</w:t>
            </w:r>
            <w:r w:rsidRPr="000F2B51">
              <w:rPr>
                <w:noProof/>
                <w:szCs w:val="22"/>
                <w:vertAlign w:val="superscript"/>
              </w:rPr>
              <w:t>◊</w:t>
            </w:r>
          </w:p>
          <w:p w:rsidR="00F33C81" w:rsidRPr="000F2B51"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Febril neutropeni^</w:t>
            </w:r>
            <w:r>
              <w:rPr>
                <w:noProof/>
                <w:szCs w:val="22"/>
                <w:vertAlign w:val="superscript"/>
                <w:lang w:val="en-GB"/>
              </w:rPr>
              <w:t>,◊</w:t>
            </w:r>
          </w:p>
        </w:tc>
        <w:tc>
          <w:tcPr>
            <w:tcW w:w="1953" w:type="pct"/>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Trombocytopeni^, neutropeni^</w:t>
            </w:r>
            <w:r w:rsidRPr="00D83032">
              <w:rPr>
                <w:noProof/>
                <w:szCs w:val="22"/>
                <w:vertAlign w:val="superscript"/>
              </w:rPr>
              <w:t>,◊</w:t>
            </w:r>
            <w:r w:rsidRPr="00D83032">
              <w:rPr>
                <w:noProof/>
                <w:szCs w:val="22"/>
              </w:rPr>
              <w:t>, anæmi</w:t>
            </w:r>
            <w:r w:rsidRPr="00D83032">
              <w:rPr>
                <w:noProof/>
                <w:szCs w:val="22"/>
                <w:vertAlign w:val="superscript"/>
              </w:rPr>
              <w:t>◊</w:t>
            </w:r>
          </w:p>
          <w:p w:rsidR="00F33C81" w:rsidRPr="00D83032"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Febril neutropeni^</w:t>
            </w:r>
            <w:r>
              <w:rPr>
                <w:noProof/>
                <w:szCs w:val="22"/>
                <w:vertAlign w:val="superscript"/>
                <w:lang w:val="en-GB"/>
              </w:rPr>
              <w:t>,◊</w:t>
            </w:r>
            <w:r>
              <w:rPr>
                <w:noProof/>
                <w:szCs w:val="22"/>
                <w:lang w:val="en-GB"/>
              </w:rPr>
              <w:t>, leukopeni</w:t>
            </w:r>
            <w:r>
              <w:rPr>
                <w:noProof/>
                <w:szCs w:val="22"/>
                <w:vertAlign w:val="superscript"/>
                <w:lang w:val="en-GB"/>
              </w:rPr>
              <w:t>◊</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Metabolisme og ernæring</w:t>
            </w:r>
          </w:p>
        </w:tc>
        <w:tc>
          <w:tcPr>
            <w:tcW w:w="1922" w:type="pct"/>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Nedsat appetit, vægttab, hypokaliæmi</w:t>
            </w:r>
          </w:p>
          <w:p w:rsidR="00F33C81" w:rsidRPr="00D83032"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Dehydrering</w:t>
            </w:r>
            <w:r>
              <w:rPr>
                <w:noProof/>
                <w:szCs w:val="22"/>
                <w:vertAlign w:val="superscript"/>
                <w:lang w:val="en-GB"/>
              </w:rPr>
              <w:t>◊</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Dehydrering</w:t>
            </w:r>
            <w:r>
              <w:rPr>
                <w:noProof/>
                <w:szCs w:val="22"/>
                <w:vertAlign w:val="superscript"/>
                <w:lang w:val="en-GB"/>
              </w:rPr>
              <w:t>◊</w:t>
            </w:r>
            <w:r>
              <w:rPr>
                <w:noProof/>
                <w:szCs w:val="22"/>
                <w:lang w:val="en-GB"/>
              </w:rPr>
              <w:t>, hyponatriæmi, hypokalcæmi</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Psykiske forstyrrelser</w:t>
            </w:r>
          </w:p>
        </w:tc>
        <w:tc>
          <w:tcPr>
            <w:tcW w:w="192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Insomni</w:t>
            </w:r>
          </w:p>
        </w:tc>
        <w:tc>
          <w:tcPr>
            <w:tcW w:w="1953" w:type="pct"/>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Nervesystemet</w:t>
            </w:r>
          </w:p>
        </w:tc>
        <w:tc>
          <w:tcPr>
            <w:tcW w:w="1922"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 xml:space="preserve">Dysgeusi, hovedpine, perifer neuropati </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Perifer sensorisk neuropati, letargi</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Øre og labyrint</w:t>
            </w:r>
          </w:p>
        </w:tc>
        <w:tc>
          <w:tcPr>
            <w:tcW w:w="192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Vertigo</w:t>
            </w:r>
          </w:p>
        </w:tc>
        <w:tc>
          <w:tcPr>
            <w:tcW w:w="1953" w:type="pct"/>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Hjerte</w:t>
            </w:r>
          </w:p>
        </w:tc>
        <w:tc>
          <w:tcPr>
            <w:tcW w:w="1922" w:type="pct"/>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c>
          <w:tcPr>
            <w:tcW w:w="1953"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Myokardieinfarkt (herunder akut)^</w:t>
            </w:r>
            <w:r w:rsidRPr="00D83032">
              <w:rPr>
                <w:noProof/>
                <w:szCs w:val="22"/>
                <w:vertAlign w:val="superscript"/>
              </w:rPr>
              <w:t>,◊</w:t>
            </w:r>
            <w:r w:rsidRPr="00D83032">
              <w:rPr>
                <w:noProof/>
                <w:szCs w:val="22"/>
              </w:rPr>
              <w:t>, hjerteinsufficiens</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Vaskulære sygdomme</w:t>
            </w:r>
          </w:p>
        </w:tc>
        <w:tc>
          <w:tcPr>
            <w:tcW w:w="192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Hypotension</w:t>
            </w:r>
            <w:r>
              <w:rPr>
                <w:noProof/>
                <w:szCs w:val="22"/>
                <w:vertAlign w:val="superscript"/>
                <w:lang w:val="en-GB"/>
              </w:rPr>
              <w:t>◊</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Dyb venetrombose</w:t>
            </w:r>
            <w:r w:rsidRPr="00D83032">
              <w:rPr>
                <w:noProof/>
                <w:szCs w:val="22"/>
                <w:vertAlign w:val="superscript"/>
              </w:rPr>
              <w:t>◊</w:t>
            </w:r>
            <w:r w:rsidRPr="00D83032">
              <w:rPr>
                <w:noProof/>
                <w:szCs w:val="22"/>
              </w:rPr>
              <w:t>, lungeemboli^</w:t>
            </w:r>
            <w:r w:rsidRPr="00D83032">
              <w:rPr>
                <w:noProof/>
                <w:szCs w:val="22"/>
                <w:vertAlign w:val="superscript"/>
              </w:rPr>
              <w:t>,◊</w:t>
            </w:r>
            <w:r w:rsidRPr="00D83032">
              <w:rPr>
                <w:noProof/>
                <w:szCs w:val="22"/>
              </w:rPr>
              <w:t>, hypotension</w:t>
            </w:r>
            <w:r w:rsidRPr="00D83032">
              <w:rPr>
                <w:noProof/>
                <w:szCs w:val="22"/>
                <w:vertAlign w:val="superscript"/>
              </w:rPr>
              <w:t>◊</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Luftveje, thorax og mediastinum</w:t>
            </w:r>
          </w:p>
        </w:tc>
        <w:tc>
          <w:tcPr>
            <w:tcW w:w="192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Meget almindelig</w:t>
            </w:r>
          </w:p>
          <w:p w:rsidR="00F33C81" w:rsidRDefault="00F33C81" w:rsidP="00F33C81">
            <w:pPr>
              <w:rPr>
                <w:noProof/>
                <w:szCs w:val="22"/>
                <w:lang w:val="en-GB"/>
              </w:rPr>
            </w:pPr>
            <w:r>
              <w:rPr>
                <w:noProof/>
                <w:szCs w:val="22"/>
                <w:lang w:val="en-GB"/>
              </w:rPr>
              <w:t>Dyspnø</w:t>
            </w:r>
            <w:r>
              <w:rPr>
                <w:noProof/>
                <w:szCs w:val="22"/>
                <w:vertAlign w:val="superscript"/>
                <w:lang w:val="en-GB"/>
              </w:rPr>
              <w:t>◊</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Dyspnø</w:t>
            </w:r>
            <w:r>
              <w:rPr>
                <w:noProof/>
                <w:szCs w:val="22"/>
                <w:vertAlign w:val="superscript"/>
                <w:lang w:val="en-GB"/>
              </w:rPr>
              <w:t>◊</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Mave-tarm-kanalen</w:t>
            </w:r>
          </w:p>
        </w:tc>
        <w:tc>
          <w:tcPr>
            <w:tcW w:w="1922" w:type="pct"/>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Diarré</w:t>
            </w:r>
            <w:r w:rsidRPr="00D83032">
              <w:rPr>
                <w:noProof/>
                <w:szCs w:val="22"/>
                <w:vertAlign w:val="superscript"/>
              </w:rPr>
              <w:t>◊</w:t>
            </w:r>
            <w:r w:rsidRPr="00D83032">
              <w:rPr>
                <w:noProof/>
                <w:szCs w:val="22"/>
              </w:rPr>
              <w:t>, kvalme</w:t>
            </w:r>
            <w:r w:rsidRPr="00D83032">
              <w:rPr>
                <w:noProof/>
                <w:szCs w:val="22"/>
                <w:vertAlign w:val="superscript"/>
              </w:rPr>
              <w:t>◊</w:t>
            </w:r>
            <w:r w:rsidRPr="00D83032">
              <w:rPr>
                <w:noProof/>
                <w:szCs w:val="22"/>
              </w:rPr>
              <w:t>, opkastning</w:t>
            </w:r>
            <w:r w:rsidRPr="00D83032">
              <w:rPr>
                <w:noProof/>
                <w:szCs w:val="22"/>
                <w:vertAlign w:val="superscript"/>
              </w:rPr>
              <w:t>◊</w:t>
            </w:r>
            <w:r w:rsidRPr="00D83032">
              <w:rPr>
                <w:noProof/>
                <w:szCs w:val="22"/>
              </w:rPr>
              <w:t>, forstoppelse</w:t>
            </w:r>
          </w:p>
          <w:p w:rsidR="00F33C81" w:rsidRPr="00D83032"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Abdominalsmerter</w:t>
            </w:r>
            <w:r>
              <w:rPr>
                <w:noProof/>
                <w:szCs w:val="22"/>
                <w:vertAlign w:val="superscript"/>
                <w:lang w:val="en-GB"/>
              </w:rPr>
              <w:t>◊</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Diarré</w:t>
            </w:r>
            <w:r>
              <w:rPr>
                <w:noProof/>
                <w:szCs w:val="22"/>
                <w:vertAlign w:val="superscript"/>
                <w:lang w:val="en-GB"/>
              </w:rPr>
              <w:t>◊</w:t>
            </w:r>
            <w:r>
              <w:rPr>
                <w:noProof/>
                <w:szCs w:val="22"/>
                <w:lang w:val="en-GB"/>
              </w:rPr>
              <w:t>, abdominalsmerter</w:t>
            </w:r>
            <w:r>
              <w:rPr>
                <w:noProof/>
                <w:szCs w:val="22"/>
                <w:vertAlign w:val="superscript"/>
                <w:lang w:val="en-GB"/>
              </w:rPr>
              <w:t>◊</w:t>
            </w:r>
            <w:r>
              <w:rPr>
                <w:noProof/>
                <w:szCs w:val="22"/>
                <w:lang w:val="en-GB"/>
              </w:rPr>
              <w:t>, forstoppelse</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Hud og subkutane væv</w:t>
            </w:r>
          </w:p>
        </w:tc>
        <w:tc>
          <w:tcPr>
            <w:tcW w:w="1922" w:type="pct"/>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Udslæt (herunder allergisk dermatitis), pruritus</w:t>
            </w:r>
          </w:p>
          <w:p w:rsidR="00F33C81" w:rsidRPr="00D83032" w:rsidRDefault="00F33C81" w:rsidP="00F33C81">
            <w:pPr>
              <w:rPr>
                <w:noProof/>
                <w:szCs w:val="22"/>
              </w:rPr>
            </w:pPr>
          </w:p>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Nattesved, tør hud</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Udslæt</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b/>
                <w:bCs/>
                <w:noProof/>
                <w:szCs w:val="22"/>
              </w:rPr>
              <w:t>Knogler, led, muskler og bindevæv</w:t>
            </w:r>
          </w:p>
        </w:tc>
        <w:tc>
          <w:tcPr>
            <w:tcW w:w="1922" w:type="pct"/>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rPr>
            </w:pPr>
            <w:r w:rsidRPr="00D83032">
              <w:rPr>
                <w:noProof/>
                <w:szCs w:val="22"/>
                <w:u w:val="single"/>
              </w:rPr>
              <w:t>Meget almindelig</w:t>
            </w:r>
          </w:p>
          <w:p w:rsidR="00F33C81" w:rsidRPr="00D83032" w:rsidRDefault="00F33C81" w:rsidP="00F33C81">
            <w:pPr>
              <w:rPr>
                <w:noProof/>
                <w:szCs w:val="22"/>
              </w:rPr>
            </w:pPr>
            <w:r w:rsidRPr="00D83032">
              <w:rPr>
                <w:noProof/>
                <w:szCs w:val="22"/>
              </w:rPr>
              <w:t>Muskelspasmer, rygsmerter</w:t>
            </w:r>
          </w:p>
          <w:p w:rsidR="00F33C81" w:rsidRPr="00D83032" w:rsidRDefault="00F33C81" w:rsidP="00F33C81">
            <w:pPr>
              <w:rPr>
                <w:noProof/>
                <w:szCs w:val="22"/>
              </w:rPr>
            </w:pPr>
          </w:p>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Artralgi, ekstremitetssmerter, muskelsvaghed</w:t>
            </w:r>
            <w:r w:rsidRPr="00D83032">
              <w:rPr>
                <w:noProof/>
                <w:szCs w:val="22"/>
                <w:vertAlign w:val="superscript"/>
              </w:rPr>
              <w:t>◊</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noProof/>
                <w:szCs w:val="22"/>
              </w:rPr>
            </w:pPr>
            <w:r w:rsidRPr="00D83032">
              <w:rPr>
                <w:noProof/>
                <w:szCs w:val="22"/>
                <w:u w:val="single"/>
              </w:rPr>
              <w:t>Almindelig</w:t>
            </w:r>
          </w:p>
          <w:p w:rsidR="00F33C81" w:rsidRPr="00D83032" w:rsidRDefault="00F33C81" w:rsidP="00F33C81">
            <w:pPr>
              <w:rPr>
                <w:noProof/>
                <w:szCs w:val="22"/>
              </w:rPr>
            </w:pPr>
            <w:r w:rsidRPr="00D83032">
              <w:rPr>
                <w:noProof/>
                <w:szCs w:val="22"/>
              </w:rPr>
              <w:t>Rygsmerter, muskelsvaghed</w:t>
            </w:r>
            <w:r w:rsidRPr="00D83032">
              <w:rPr>
                <w:noProof/>
                <w:szCs w:val="22"/>
                <w:vertAlign w:val="superscript"/>
              </w:rPr>
              <w:t>◊</w:t>
            </w:r>
            <w:r w:rsidRPr="00D83032">
              <w:rPr>
                <w:noProof/>
                <w:szCs w:val="22"/>
              </w:rPr>
              <w:t>, artralgi, ekstremitetssmerter</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bCs/>
                <w:noProof/>
                <w:szCs w:val="22"/>
                <w:lang w:val="en-GB"/>
              </w:rPr>
            </w:pPr>
            <w:r>
              <w:rPr>
                <w:b/>
                <w:bCs/>
                <w:noProof/>
                <w:szCs w:val="22"/>
                <w:lang w:val="en-GB"/>
              </w:rPr>
              <w:t>Nyrer og urinveje</w:t>
            </w:r>
          </w:p>
        </w:tc>
        <w:tc>
          <w:tcPr>
            <w:tcW w:w="1922" w:type="pct"/>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u w:val="single"/>
                <w:lang w:val="en-GB"/>
              </w:rPr>
            </w:pPr>
          </w:p>
        </w:tc>
        <w:tc>
          <w:tcPr>
            <w:tcW w:w="1953"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u w:val="single"/>
                <w:lang w:val="en-GB"/>
              </w:rPr>
            </w:pPr>
            <w:r>
              <w:rPr>
                <w:noProof/>
                <w:szCs w:val="22"/>
                <w:u w:val="single"/>
                <w:lang w:val="en-GB"/>
              </w:rPr>
              <w:t>Almindelig</w:t>
            </w:r>
          </w:p>
          <w:p w:rsidR="00F33C81" w:rsidRDefault="00F33C81" w:rsidP="00F33C81">
            <w:pPr>
              <w:rPr>
                <w:noProof/>
                <w:szCs w:val="22"/>
                <w:u w:val="single"/>
                <w:lang w:val="en-GB"/>
              </w:rPr>
            </w:pPr>
            <w:r>
              <w:rPr>
                <w:noProof/>
                <w:szCs w:val="22"/>
                <w:lang w:val="en-GB"/>
              </w:rPr>
              <w:t>Nyresvigt</w:t>
            </w:r>
            <w:r>
              <w:rPr>
                <w:noProof/>
                <w:szCs w:val="22"/>
                <w:vertAlign w:val="superscript"/>
                <w:lang w:val="en-GB"/>
              </w:rPr>
              <w:t>◊</w:t>
            </w:r>
          </w:p>
        </w:tc>
      </w:tr>
      <w:tr w:rsidR="00F33C81" w:rsidTr="00F33C81">
        <w:trPr>
          <w:trHeight w:val="20"/>
        </w:trPr>
        <w:tc>
          <w:tcPr>
            <w:tcW w:w="1125" w:type="pct"/>
            <w:tcBorders>
              <w:top w:val="single" w:sz="4" w:space="0" w:color="000000"/>
              <w:left w:val="single" w:sz="4" w:space="0" w:color="000000"/>
              <w:bottom w:val="single" w:sz="4" w:space="0" w:color="000000"/>
              <w:right w:val="single" w:sz="4" w:space="0" w:color="000000"/>
            </w:tcBorders>
            <w:hideMark/>
          </w:tcPr>
          <w:p w:rsidR="00F33C81" w:rsidRPr="00D83032" w:rsidRDefault="00F33C81" w:rsidP="00F33C81">
            <w:pPr>
              <w:rPr>
                <w:b/>
                <w:bCs/>
                <w:noProof/>
                <w:szCs w:val="22"/>
              </w:rPr>
            </w:pPr>
            <w:r w:rsidRPr="00D83032">
              <w:rPr>
                <w:b/>
                <w:bCs/>
                <w:noProof/>
                <w:szCs w:val="22"/>
              </w:rPr>
              <w:t>Almene symptomer og reaktioner på administrations-stedet</w:t>
            </w:r>
          </w:p>
        </w:tc>
        <w:tc>
          <w:tcPr>
            <w:tcW w:w="1922" w:type="pct"/>
            <w:tcBorders>
              <w:top w:val="single" w:sz="4" w:space="0" w:color="000000"/>
              <w:left w:val="single" w:sz="4" w:space="0" w:color="000000"/>
              <w:bottom w:val="single" w:sz="4" w:space="0" w:color="000000"/>
              <w:right w:val="single" w:sz="4" w:space="0" w:color="000000"/>
            </w:tcBorders>
          </w:tcPr>
          <w:p w:rsidR="00F33C81" w:rsidRPr="00D83032" w:rsidRDefault="00F33C81" w:rsidP="00F33C81">
            <w:pPr>
              <w:rPr>
                <w:noProof/>
                <w:szCs w:val="22"/>
                <w:u w:val="single"/>
              </w:rPr>
            </w:pPr>
            <w:r w:rsidRPr="00D83032">
              <w:rPr>
                <w:noProof/>
                <w:szCs w:val="22"/>
                <w:u w:val="single"/>
              </w:rPr>
              <w:t>Meget almindelig</w:t>
            </w:r>
          </w:p>
          <w:p w:rsidR="00F33C81" w:rsidRPr="00D83032" w:rsidRDefault="00F33C81" w:rsidP="00F33C81">
            <w:pPr>
              <w:rPr>
                <w:noProof/>
                <w:szCs w:val="22"/>
              </w:rPr>
            </w:pPr>
            <w:r w:rsidRPr="00D83032">
              <w:rPr>
                <w:noProof/>
                <w:szCs w:val="22"/>
              </w:rPr>
              <w:t>Træthed, asteni</w:t>
            </w:r>
            <w:r w:rsidRPr="00D83032">
              <w:rPr>
                <w:noProof/>
                <w:szCs w:val="22"/>
                <w:vertAlign w:val="superscript"/>
              </w:rPr>
              <w:t>◊</w:t>
            </w:r>
            <w:r w:rsidRPr="00D83032">
              <w:rPr>
                <w:noProof/>
                <w:szCs w:val="22"/>
              </w:rPr>
              <w:t>, perifere ødemer, influenzalignende sygdom (herunder pyreksi</w:t>
            </w:r>
            <w:r w:rsidRPr="00D83032">
              <w:rPr>
                <w:noProof/>
                <w:szCs w:val="22"/>
                <w:vertAlign w:val="superscript"/>
              </w:rPr>
              <w:t>◊</w:t>
            </w:r>
            <w:r w:rsidRPr="00D83032">
              <w:rPr>
                <w:noProof/>
                <w:szCs w:val="22"/>
              </w:rPr>
              <w:t>, hoste)</w:t>
            </w:r>
          </w:p>
          <w:p w:rsidR="00F33C81" w:rsidRPr="00D83032" w:rsidRDefault="00F33C81" w:rsidP="00F33C81">
            <w:pPr>
              <w:rPr>
                <w:noProof/>
                <w:szCs w:val="22"/>
              </w:rPr>
            </w:pPr>
          </w:p>
          <w:p w:rsidR="00F33C81" w:rsidRDefault="00F33C81" w:rsidP="00F33C81">
            <w:pPr>
              <w:rPr>
                <w:noProof/>
                <w:szCs w:val="22"/>
                <w:u w:val="single"/>
                <w:lang w:val="en-GB"/>
              </w:rPr>
            </w:pPr>
            <w:r>
              <w:rPr>
                <w:noProof/>
                <w:szCs w:val="22"/>
                <w:u w:val="single"/>
                <w:lang w:val="en-GB"/>
              </w:rPr>
              <w:t>Almindelig</w:t>
            </w:r>
          </w:p>
          <w:p w:rsidR="00F33C81" w:rsidRDefault="00F33C81" w:rsidP="00F33C81">
            <w:pPr>
              <w:rPr>
                <w:noProof/>
                <w:szCs w:val="22"/>
                <w:u w:val="single"/>
                <w:lang w:val="en-GB"/>
              </w:rPr>
            </w:pPr>
            <w:r>
              <w:rPr>
                <w:noProof/>
                <w:szCs w:val="22"/>
                <w:lang w:val="en-GB"/>
              </w:rPr>
              <w:lastRenderedPageBreak/>
              <w:t>Kulderystelser</w:t>
            </w:r>
          </w:p>
        </w:tc>
        <w:tc>
          <w:tcPr>
            <w:tcW w:w="1953"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u w:val="single"/>
                <w:lang w:val="en-GB"/>
              </w:rPr>
            </w:pPr>
            <w:r>
              <w:rPr>
                <w:noProof/>
                <w:szCs w:val="22"/>
                <w:u w:val="single"/>
                <w:lang w:val="en-GB"/>
              </w:rPr>
              <w:lastRenderedPageBreak/>
              <w:t>Almindelig</w:t>
            </w:r>
          </w:p>
          <w:p w:rsidR="00F33C81" w:rsidRDefault="00F33C81" w:rsidP="00F33C81">
            <w:pPr>
              <w:rPr>
                <w:noProof/>
                <w:szCs w:val="22"/>
                <w:lang w:val="en-GB"/>
              </w:rPr>
            </w:pPr>
            <w:r>
              <w:rPr>
                <w:noProof/>
                <w:szCs w:val="22"/>
                <w:lang w:val="en-GB"/>
              </w:rPr>
              <w:t>Pyreksi</w:t>
            </w:r>
            <w:r>
              <w:rPr>
                <w:noProof/>
                <w:szCs w:val="22"/>
                <w:vertAlign w:val="superscript"/>
                <w:lang w:val="en-GB"/>
              </w:rPr>
              <w:t>◊</w:t>
            </w:r>
            <w:r>
              <w:rPr>
                <w:noProof/>
                <w:szCs w:val="22"/>
                <w:lang w:val="en-GB"/>
              </w:rPr>
              <w:t>, asteni</w:t>
            </w:r>
            <w:r>
              <w:rPr>
                <w:noProof/>
                <w:szCs w:val="22"/>
                <w:vertAlign w:val="superscript"/>
                <w:lang w:val="en-GB"/>
              </w:rPr>
              <w:t>◊</w:t>
            </w:r>
            <w:r>
              <w:rPr>
                <w:noProof/>
                <w:szCs w:val="22"/>
                <w:lang w:val="en-GB"/>
              </w:rPr>
              <w:t>, træthed</w:t>
            </w:r>
          </w:p>
        </w:tc>
      </w:tr>
    </w:tbl>
    <w:p w:rsidR="00F33C81" w:rsidRDefault="00F33C81" w:rsidP="00F33C81">
      <w:pPr>
        <w:ind w:left="567"/>
        <w:rPr>
          <w:noProof/>
          <w:sz w:val="16"/>
          <w:szCs w:val="16"/>
        </w:rPr>
      </w:pPr>
      <w:r>
        <w:rPr>
          <w:noProof/>
          <w:sz w:val="16"/>
          <w:szCs w:val="16"/>
        </w:rPr>
        <w:t>^Se pkt. 4.8 “Beskrivelse af udvalgte bivirkninger"</w:t>
      </w:r>
    </w:p>
    <w:p w:rsidR="00F33C81" w:rsidRDefault="00F33C81" w:rsidP="00F33C81">
      <w:pPr>
        <w:ind w:left="567"/>
        <w:rPr>
          <w:noProof/>
          <w:sz w:val="16"/>
          <w:szCs w:val="16"/>
        </w:rPr>
      </w:pPr>
      <w:r>
        <w:rPr>
          <w:noProof/>
          <w:sz w:val="16"/>
          <w:szCs w:val="16"/>
          <w:vertAlign w:val="superscript"/>
        </w:rPr>
        <w:t>◊</w:t>
      </w:r>
      <w:r>
        <w:rPr>
          <w:noProof/>
          <w:sz w:val="16"/>
          <w:szCs w:val="16"/>
        </w:rPr>
        <w:t>Bivirkninger rapporteret som alvorlige i kliniske studier af mantle celle lymfom Anvendt algoritme for mantle celle lymfom:</w:t>
      </w:r>
    </w:p>
    <w:p w:rsidR="00F33C81" w:rsidRDefault="00F33C81" w:rsidP="00F33C81">
      <w:pPr>
        <w:numPr>
          <w:ilvl w:val="0"/>
          <w:numId w:val="7"/>
        </w:numPr>
        <w:ind w:left="851" w:hanging="284"/>
        <w:rPr>
          <w:sz w:val="16"/>
          <w:szCs w:val="16"/>
        </w:rPr>
      </w:pPr>
      <w:r>
        <w:rPr>
          <w:sz w:val="16"/>
          <w:szCs w:val="16"/>
        </w:rPr>
        <w:t>Mantle celle lymfom kontrolleret fase II</w:t>
      </w:r>
      <w:r>
        <w:rPr>
          <w:sz w:val="16"/>
          <w:szCs w:val="16"/>
        </w:rPr>
        <w:noBreakHyphen/>
        <w:t>studie</w:t>
      </w:r>
    </w:p>
    <w:p w:rsidR="00F33C81" w:rsidRDefault="00F33C81" w:rsidP="00F33C81">
      <w:pPr>
        <w:numPr>
          <w:ilvl w:val="1"/>
          <w:numId w:val="7"/>
        </w:numPr>
        <w:ind w:hanging="229"/>
        <w:rPr>
          <w:noProof/>
          <w:sz w:val="16"/>
          <w:szCs w:val="16"/>
        </w:rPr>
      </w:pPr>
      <w:r>
        <w:rPr>
          <w:noProof/>
          <w:sz w:val="16"/>
          <w:szCs w:val="16"/>
        </w:rPr>
        <w:t>Alle bivirkninger, der opstod under behandlingen hos ≥ 5 % af personerne i lenalidomid-armen, og mindst 2 % forskel i forholdet mellem lenalidomid- og kontrolarmen</w:t>
      </w:r>
    </w:p>
    <w:p w:rsidR="00F33C81" w:rsidRDefault="00F33C81" w:rsidP="00F33C81">
      <w:pPr>
        <w:numPr>
          <w:ilvl w:val="1"/>
          <w:numId w:val="7"/>
        </w:numPr>
        <w:ind w:hanging="229"/>
        <w:rPr>
          <w:noProof/>
          <w:sz w:val="16"/>
          <w:szCs w:val="16"/>
        </w:rPr>
      </w:pPr>
      <w:r>
        <w:rPr>
          <w:noProof/>
          <w:sz w:val="16"/>
          <w:szCs w:val="16"/>
        </w:rPr>
        <w:t>Alle grad 3 eller 4 bivirkninger, der opstod hos ≥ 1 % af personerne i lenalidomid-armen, og mindst 1,0 % forskel i forholdet mellem lenalidomid- og kontrolarmen</w:t>
      </w:r>
    </w:p>
    <w:p w:rsidR="00F33C81" w:rsidRDefault="00F33C81" w:rsidP="00F33C81">
      <w:pPr>
        <w:numPr>
          <w:ilvl w:val="1"/>
          <w:numId w:val="7"/>
        </w:numPr>
        <w:ind w:hanging="229"/>
        <w:rPr>
          <w:noProof/>
          <w:sz w:val="16"/>
          <w:szCs w:val="16"/>
        </w:rPr>
      </w:pPr>
      <w:r>
        <w:rPr>
          <w:noProof/>
          <w:sz w:val="16"/>
          <w:szCs w:val="16"/>
        </w:rPr>
        <w:t>Alle alvorlige bivirkninger, der opstod under behandlingen hos ≥ 1 % af personerne i lenalidomid-armen, og mindst 1,0 % forskel i forholdet mellem lenalidomid- og kontrolarmen</w:t>
      </w:r>
    </w:p>
    <w:p w:rsidR="00F33C81" w:rsidRDefault="00F33C81" w:rsidP="00F33C81">
      <w:pPr>
        <w:numPr>
          <w:ilvl w:val="0"/>
          <w:numId w:val="7"/>
        </w:numPr>
        <w:ind w:left="851" w:hanging="284"/>
        <w:rPr>
          <w:sz w:val="16"/>
          <w:szCs w:val="16"/>
        </w:rPr>
      </w:pPr>
      <w:r>
        <w:rPr>
          <w:sz w:val="16"/>
          <w:szCs w:val="16"/>
        </w:rPr>
        <w:t>Mantle celle lymfom fase II</w:t>
      </w:r>
      <w:r>
        <w:rPr>
          <w:sz w:val="16"/>
          <w:szCs w:val="16"/>
        </w:rPr>
        <w:noBreakHyphen/>
        <w:t>studie med en enkelt arm</w:t>
      </w:r>
    </w:p>
    <w:p w:rsidR="00F33C81" w:rsidRDefault="00F33C81" w:rsidP="00F33C81">
      <w:pPr>
        <w:numPr>
          <w:ilvl w:val="1"/>
          <w:numId w:val="7"/>
        </w:numPr>
        <w:ind w:hanging="229"/>
        <w:rPr>
          <w:noProof/>
          <w:sz w:val="16"/>
          <w:szCs w:val="16"/>
        </w:rPr>
      </w:pPr>
      <w:r>
        <w:rPr>
          <w:noProof/>
          <w:sz w:val="16"/>
          <w:szCs w:val="16"/>
        </w:rPr>
        <w:t>Alle bivirkninger, der opstod under behandlingen hos ≥ 5 % af personerne</w:t>
      </w:r>
    </w:p>
    <w:p w:rsidR="00F33C81" w:rsidRDefault="00F33C81" w:rsidP="00F33C81">
      <w:pPr>
        <w:numPr>
          <w:ilvl w:val="1"/>
          <w:numId w:val="7"/>
        </w:numPr>
        <w:ind w:hanging="229"/>
        <w:rPr>
          <w:noProof/>
          <w:sz w:val="16"/>
          <w:szCs w:val="16"/>
        </w:rPr>
      </w:pPr>
      <w:r>
        <w:rPr>
          <w:noProof/>
          <w:sz w:val="16"/>
          <w:szCs w:val="16"/>
        </w:rPr>
        <w:t>Alle grad 3 eller 4 bivirkninger, der opstod under behandlingen, og som blev rapporteret hos 2 eller flere personer</w:t>
      </w:r>
    </w:p>
    <w:p w:rsidR="00F33C81" w:rsidRDefault="00F33C81" w:rsidP="00F33C81">
      <w:pPr>
        <w:numPr>
          <w:ilvl w:val="1"/>
          <w:numId w:val="7"/>
        </w:numPr>
        <w:ind w:hanging="229"/>
        <w:rPr>
          <w:noProof/>
          <w:sz w:val="16"/>
          <w:szCs w:val="16"/>
        </w:rPr>
      </w:pPr>
      <w:r>
        <w:rPr>
          <w:noProof/>
          <w:sz w:val="16"/>
          <w:szCs w:val="16"/>
        </w:rPr>
        <w:t>Alle alvorlige bivirkninger, der opstod under behandlingen, og som blev rapporteret hos 2 eller flere personer</w:t>
      </w:r>
    </w:p>
    <w:p w:rsidR="00F33C81" w:rsidRDefault="00F33C81" w:rsidP="005F70F3">
      <w:pPr>
        <w:ind w:left="851"/>
        <w:rPr>
          <w:noProof/>
          <w:sz w:val="24"/>
          <w:szCs w:val="24"/>
        </w:rPr>
      </w:pPr>
    </w:p>
    <w:p w:rsidR="00F33C81" w:rsidRPr="007366DD" w:rsidRDefault="00F33C81" w:rsidP="005F70F3">
      <w:pPr>
        <w:ind w:left="851"/>
        <w:rPr>
          <w:noProof/>
          <w:sz w:val="24"/>
          <w:szCs w:val="24"/>
        </w:rPr>
      </w:pPr>
    </w:p>
    <w:p w:rsidR="005F70F3" w:rsidRPr="007366DD" w:rsidRDefault="005F70F3" w:rsidP="005F70F3">
      <w:pPr>
        <w:ind w:left="851"/>
        <w:rPr>
          <w:i/>
          <w:noProof/>
          <w:sz w:val="24"/>
          <w:szCs w:val="24"/>
        </w:rPr>
      </w:pPr>
      <w:r w:rsidRPr="007366DD">
        <w:rPr>
          <w:i/>
          <w:noProof/>
          <w:sz w:val="24"/>
          <w:szCs w:val="24"/>
        </w:rPr>
        <w:t xml:space="preserve">Tabel med resumé af kombinationsbehandling ved FL </w:t>
      </w:r>
    </w:p>
    <w:p w:rsidR="005F70F3" w:rsidRPr="007366DD" w:rsidRDefault="005F70F3" w:rsidP="005F70F3">
      <w:pPr>
        <w:ind w:left="851"/>
        <w:rPr>
          <w:noProof/>
          <w:sz w:val="24"/>
          <w:szCs w:val="24"/>
        </w:rPr>
      </w:pPr>
      <w:r w:rsidRPr="007366DD">
        <w:rPr>
          <w:noProof/>
          <w:sz w:val="24"/>
          <w:szCs w:val="24"/>
        </w:rPr>
        <w:t xml:space="preserve">Den følgende tabel er udfærdiget fra data indsamlet i de primære studier (NHL-007 og NHL-008), der brugte lenalidomid i kombination med rituximab til patienter med follikulært lymfom. </w:t>
      </w:r>
    </w:p>
    <w:p w:rsidR="005F70F3" w:rsidRPr="007366DD" w:rsidRDefault="005F70F3" w:rsidP="005F70F3">
      <w:pPr>
        <w:ind w:left="851"/>
        <w:rPr>
          <w:noProof/>
          <w:sz w:val="24"/>
          <w:szCs w:val="24"/>
        </w:rPr>
      </w:pPr>
      <w:r w:rsidRPr="007366DD">
        <w:rPr>
          <w:noProof/>
          <w:sz w:val="24"/>
          <w:szCs w:val="24"/>
        </w:rPr>
        <w:t xml:space="preserve"> </w:t>
      </w:r>
    </w:p>
    <w:p w:rsidR="005F70F3" w:rsidRPr="007366DD" w:rsidRDefault="005F70F3" w:rsidP="005F70F3">
      <w:pPr>
        <w:shd w:val="clear" w:color="auto" w:fill="FFFFFF"/>
        <w:spacing w:after="143"/>
        <w:ind w:left="851"/>
        <w:rPr>
          <w:color w:val="000000"/>
          <w:sz w:val="24"/>
          <w:szCs w:val="24"/>
          <w:lang w:eastAsia="en-IN"/>
        </w:rPr>
      </w:pPr>
      <w:r w:rsidRPr="007366DD">
        <w:rPr>
          <w:b/>
          <w:bCs/>
          <w:color w:val="000000"/>
          <w:sz w:val="24"/>
          <w:szCs w:val="24"/>
          <w:lang w:eastAsia="en-IN"/>
        </w:rPr>
        <w:t xml:space="preserve">Table </w:t>
      </w:r>
      <w:r w:rsidR="00F33C81">
        <w:rPr>
          <w:b/>
          <w:bCs/>
          <w:color w:val="000000"/>
          <w:sz w:val="24"/>
          <w:szCs w:val="24"/>
          <w:lang w:eastAsia="en-IN"/>
        </w:rPr>
        <w:t>5</w:t>
      </w:r>
      <w:r w:rsidRPr="007366DD">
        <w:rPr>
          <w:b/>
          <w:bCs/>
          <w:color w:val="000000"/>
          <w:sz w:val="24"/>
          <w:szCs w:val="24"/>
          <w:lang w:eastAsia="en-IN"/>
        </w:rPr>
        <w:t>: Bivirkninger indberettet i kliniske studier med patienter med follikulært lymfom i behandling med lenalidomid i kombination med rituximab</w:t>
      </w:r>
    </w:p>
    <w:tbl>
      <w:tblPr>
        <w:tblW w:w="4991" w:type="pct"/>
        <w:tblInd w:w="846" w:type="dxa"/>
        <w:tblCellMar>
          <w:left w:w="0" w:type="dxa"/>
          <w:right w:w="0" w:type="dxa"/>
        </w:tblCellMar>
        <w:tblLook w:val="04A0" w:firstRow="1" w:lastRow="0" w:firstColumn="1" w:lastColumn="0" w:noHBand="0" w:noVBand="1"/>
      </w:tblPr>
      <w:tblGrid>
        <w:gridCol w:w="2443"/>
        <w:gridCol w:w="3625"/>
        <w:gridCol w:w="3543"/>
      </w:tblGrid>
      <w:tr w:rsidR="00F33C81" w:rsidTr="00F33C81">
        <w:trPr>
          <w:trHeight w:val="20"/>
          <w:tblHeader/>
        </w:trPr>
        <w:tc>
          <w:tcPr>
            <w:tcW w:w="1271"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bCs/>
                <w:noProof/>
                <w:szCs w:val="22"/>
                <w:lang w:val="en-GB"/>
              </w:rPr>
            </w:pPr>
            <w:r>
              <w:rPr>
                <w:b/>
                <w:bCs/>
                <w:noProof/>
                <w:szCs w:val="22"/>
                <w:lang w:val="en-GB"/>
              </w:rPr>
              <w:t>Systemorganklasse/</w:t>
            </w:r>
          </w:p>
          <w:p w:rsidR="00F33C81" w:rsidRDefault="00F33C81" w:rsidP="00F33C81">
            <w:pPr>
              <w:rPr>
                <w:noProof/>
                <w:szCs w:val="22"/>
                <w:lang w:val="en-GB"/>
              </w:rPr>
            </w:pPr>
            <w:r>
              <w:rPr>
                <w:b/>
                <w:bCs/>
                <w:noProof/>
                <w:szCs w:val="22"/>
                <w:lang w:val="en-GB"/>
              </w:rPr>
              <w:t>foretrukken term</w:t>
            </w:r>
          </w:p>
        </w:tc>
        <w:tc>
          <w:tcPr>
            <w:tcW w:w="1886"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Alle bivirkninger/hyppighed</w:t>
            </w:r>
          </w:p>
        </w:tc>
        <w:tc>
          <w:tcPr>
            <w:tcW w:w="1843"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Grad 3-4 bivirkninger/hyppighed</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b/>
                <w:bCs/>
                <w:lang w:val="en-GB" w:eastAsia="en-IN"/>
              </w:rPr>
              <w:t>Infektioner og parasitære sygdomme</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u w:val="single"/>
                <w:lang w:eastAsia="en-IN"/>
              </w:rPr>
            </w:pPr>
            <w:r w:rsidRPr="005F70F3">
              <w:rPr>
                <w:u w:val="single"/>
                <w:lang w:eastAsia="en-IN"/>
              </w:rPr>
              <w:t xml:space="preserve">Meget almindelig </w:t>
            </w:r>
          </w:p>
          <w:p w:rsidR="00F33C81" w:rsidRPr="005F70F3" w:rsidRDefault="00F33C81" w:rsidP="00F33C81">
            <w:pPr>
              <w:rPr>
                <w:lang w:eastAsia="en-IN"/>
              </w:rPr>
            </w:pPr>
            <w:r w:rsidRPr="005F70F3">
              <w:rPr>
                <w:lang w:eastAsia="en-IN"/>
              </w:rPr>
              <w:t xml:space="preserve">Øvre luftvejsinfektion  </w:t>
            </w:r>
          </w:p>
          <w:p w:rsidR="00F33C81" w:rsidRDefault="00F33C81" w:rsidP="00F33C81">
            <w:pPr>
              <w:rPr>
                <w:u w:val="single"/>
                <w:lang w:eastAsia="en-IN"/>
              </w:rPr>
            </w:pPr>
          </w:p>
          <w:p w:rsidR="00F33C81" w:rsidRPr="005F70F3" w:rsidRDefault="00F33C81" w:rsidP="00F33C81">
            <w:pPr>
              <w:rPr>
                <w:u w:val="single"/>
                <w:lang w:eastAsia="en-IN"/>
              </w:rPr>
            </w:pPr>
            <w:r w:rsidRPr="005F70F3">
              <w:rPr>
                <w:u w:val="single"/>
                <w:lang w:eastAsia="en-IN"/>
              </w:rPr>
              <w:t xml:space="preserve">Almindelig </w:t>
            </w:r>
          </w:p>
          <w:p w:rsidR="00F33C81" w:rsidRPr="005F70F3" w:rsidRDefault="00F33C81" w:rsidP="00F33C81">
            <w:pPr>
              <w:rPr>
                <w:lang w:eastAsia="en-IN"/>
              </w:rPr>
            </w:pPr>
            <w:r w:rsidRPr="005F70F3">
              <w:rPr>
                <w:lang w:eastAsia="en-IN"/>
              </w:rPr>
              <w:t>Pneumoni</w:t>
            </w:r>
            <w:r w:rsidRPr="005F70F3">
              <w:rPr>
                <w:vertAlign w:val="superscript"/>
                <w:lang w:eastAsia="en-IN"/>
              </w:rPr>
              <w:t>◊</w:t>
            </w:r>
            <w:r w:rsidRPr="005F70F3">
              <w:rPr>
                <w:lang w:eastAsia="en-IN"/>
              </w:rPr>
              <w:t>, influenza, bronkitis, sinuitis, urinvejsinfektion</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0F2B51" w:rsidRDefault="00F33C81" w:rsidP="00F33C81">
            <w:pPr>
              <w:rPr>
                <w:u w:val="single"/>
                <w:lang w:eastAsia="en-IN"/>
              </w:rPr>
            </w:pPr>
            <w:r w:rsidRPr="000F2B51">
              <w:rPr>
                <w:u w:val="single"/>
                <w:lang w:eastAsia="en-IN"/>
              </w:rPr>
              <w:t xml:space="preserve">Almindelig </w:t>
            </w:r>
          </w:p>
          <w:p w:rsidR="00F33C81" w:rsidRPr="000F2B51" w:rsidRDefault="00F33C81" w:rsidP="00F33C81">
            <w:pPr>
              <w:rPr>
                <w:lang w:eastAsia="en-IN"/>
              </w:rPr>
            </w:pPr>
            <w:r w:rsidRPr="000F2B51">
              <w:rPr>
                <w:lang w:eastAsia="en-IN"/>
              </w:rPr>
              <w:t>Pneumoni</w:t>
            </w:r>
            <w:r w:rsidRPr="000F2B51">
              <w:rPr>
                <w:vertAlign w:val="superscript"/>
                <w:lang w:eastAsia="en-IN"/>
              </w:rPr>
              <w:t>◊</w:t>
            </w:r>
            <w:r w:rsidRPr="000F2B51">
              <w:rPr>
                <w:lang w:eastAsia="en-IN"/>
              </w:rPr>
              <w:t>, sepsis</w:t>
            </w:r>
            <w:r w:rsidRPr="000F2B51">
              <w:rPr>
                <w:vertAlign w:val="superscript"/>
                <w:lang w:eastAsia="en-IN"/>
              </w:rPr>
              <w:t>◊</w:t>
            </w:r>
            <w:r w:rsidRPr="000F2B51">
              <w:rPr>
                <w:lang w:eastAsia="en-IN"/>
              </w:rPr>
              <w:t>, lungeinfektion, bronkitis, gastroenteritis, sinusitis, urinvejsinfektion, cellulitis</w:t>
            </w:r>
            <w:r w:rsidRPr="000F2B51">
              <w:rPr>
                <w:vertAlign w:val="superscript"/>
                <w:lang w:eastAsia="en-IN"/>
              </w:rPr>
              <w:t>◊</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b/>
                <w:bCs/>
                <w:lang w:eastAsia="en-IN"/>
              </w:rPr>
            </w:pPr>
            <w:r w:rsidRPr="005F70F3">
              <w:rPr>
                <w:b/>
                <w:bCs/>
                <w:lang w:eastAsia="en-IN"/>
              </w:rPr>
              <w:t>Benigne, maligne og uspecificerede tumorer (inkl. cyster og polypper)</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u w:val="single"/>
                <w:lang w:eastAsia="en-IN"/>
              </w:rPr>
            </w:pPr>
            <w:r w:rsidRPr="005F70F3">
              <w:rPr>
                <w:u w:val="single"/>
                <w:lang w:eastAsia="en-IN"/>
              </w:rPr>
              <w:t xml:space="preserve">Meget almindelig </w:t>
            </w:r>
          </w:p>
          <w:p w:rsidR="00F33C81" w:rsidRPr="005F70F3" w:rsidRDefault="00F33C81" w:rsidP="00F33C81">
            <w:pPr>
              <w:rPr>
                <w:lang w:eastAsia="en-IN"/>
              </w:rPr>
            </w:pPr>
            <w:r w:rsidRPr="005F70F3">
              <w:rPr>
                <w:lang w:eastAsia="en-IN"/>
              </w:rPr>
              <w:t xml:space="preserve">Tumor-flare^ </w:t>
            </w:r>
          </w:p>
          <w:p w:rsidR="00F33C81" w:rsidRDefault="00F33C81" w:rsidP="00F33C81">
            <w:pPr>
              <w:rPr>
                <w:u w:val="single"/>
                <w:lang w:eastAsia="en-IN"/>
              </w:rPr>
            </w:pPr>
          </w:p>
          <w:p w:rsidR="00F33C81" w:rsidRPr="005F70F3" w:rsidRDefault="00F33C81" w:rsidP="00F33C81">
            <w:pPr>
              <w:rPr>
                <w:u w:val="single"/>
                <w:lang w:eastAsia="en-IN"/>
              </w:rPr>
            </w:pPr>
            <w:r w:rsidRPr="005F70F3">
              <w:rPr>
                <w:u w:val="single"/>
                <w:lang w:eastAsia="en-IN"/>
              </w:rPr>
              <w:t xml:space="preserve">Almindelig </w:t>
            </w:r>
          </w:p>
          <w:p w:rsidR="00F33C81" w:rsidRPr="005F70F3" w:rsidRDefault="00F33C81" w:rsidP="00F33C81">
            <w:pPr>
              <w:rPr>
                <w:lang w:eastAsia="en-IN"/>
              </w:rPr>
            </w:pPr>
            <w:r w:rsidRPr="005F70F3">
              <w:rPr>
                <w:lang w:eastAsia="en-IN"/>
              </w:rPr>
              <w:t>Planocellulært karcinom i huden◊,^,+</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u w:val="single"/>
                <w:lang w:val="en-GB" w:eastAsia="en-IN"/>
              </w:rPr>
            </w:pPr>
            <w:r>
              <w:rPr>
                <w:u w:val="single"/>
                <w:lang w:val="en-GB" w:eastAsia="en-IN"/>
              </w:rPr>
              <w:t xml:space="preserve">Almindelig </w:t>
            </w:r>
          </w:p>
          <w:p w:rsidR="00F33C81" w:rsidRDefault="00F33C81" w:rsidP="00F33C81">
            <w:pPr>
              <w:rPr>
                <w:lang w:val="en-GB" w:eastAsia="en-IN"/>
              </w:rPr>
            </w:pPr>
            <w:r>
              <w:rPr>
                <w:lang w:val="en-GB" w:eastAsia="en-IN"/>
              </w:rPr>
              <w:t>Basalcellekarcinomer</w:t>
            </w:r>
            <w:r>
              <w:rPr>
                <w:vertAlign w:val="superscript"/>
                <w:lang w:val="en-GB" w:eastAsia="en-IN"/>
              </w:rPr>
              <w:t>^,◊</w:t>
            </w:r>
          </w:p>
        </w:tc>
      </w:tr>
      <w:tr w:rsidR="00F33C81" w:rsidRPr="00C35187"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US" w:eastAsia="en-IN"/>
              </w:rPr>
            </w:pPr>
            <w:r>
              <w:rPr>
                <w:b/>
                <w:bCs/>
                <w:lang w:val="en-US" w:eastAsia="en-IN"/>
              </w:rPr>
              <w:t>Blod og lymfesystem</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u w:val="single"/>
                <w:lang w:val="en-US" w:eastAsia="en-IN"/>
              </w:rPr>
            </w:pPr>
            <w:r>
              <w:rPr>
                <w:u w:val="single"/>
                <w:lang w:val="en-US" w:eastAsia="en-IN"/>
              </w:rPr>
              <w:t xml:space="preserve">Meget almindelig </w:t>
            </w:r>
          </w:p>
          <w:p w:rsidR="00F33C81" w:rsidRDefault="00F33C81" w:rsidP="00F33C81">
            <w:pPr>
              <w:rPr>
                <w:lang w:val="en-US" w:eastAsia="en-IN"/>
              </w:rPr>
            </w:pPr>
            <w:r>
              <w:rPr>
                <w:lang w:val="en-US" w:eastAsia="en-IN"/>
              </w:rPr>
              <w:t>Neutropeni</w:t>
            </w:r>
            <w:r>
              <w:rPr>
                <w:vertAlign w:val="superscript"/>
                <w:lang w:val="en-US" w:eastAsia="en-IN"/>
              </w:rPr>
              <w:t>^,◊</w:t>
            </w:r>
            <w:r>
              <w:rPr>
                <w:lang w:val="en-US" w:eastAsia="en-IN"/>
              </w:rPr>
              <w:t>, anæmi</w:t>
            </w:r>
            <w:r>
              <w:rPr>
                <w:vertAlign w:val="superscript"/>
                <w:lang w:val="en-US" w:eastAsia="en-IN"/>
              </w:rPr>
              <w:t>◊</w:t>
            </w:r>
            <w:r>
              <w:rPr>
                <w:lang w:val="en-US" w:eastAsia="en-IN"/>
              </w:rPr>
              <w:t>, trombocytopeni</w:t>
            </w:r>
            <w:r>
              <w:rPr>
                <w:vertAlign w:val="superscript"/>
                <w:lang w:val="en-US" w:eastAsia="en-IN"/>
              </w:rPr>
              <w:t>^</w:t>
            </w:r>
            <w:r>
              <w:rPr>
                <w:lang w:val="en-US" w:eastAsia="en-IN"/>
              </w:rPr>
              <w:t>, leukopeni</w:t>
            </w:r>
            <w:r>
              <w:rPr>
                <w:vertAlign w:val="superscript"/>
                <w:lang w:val="en-US" w:eastAsia="en-IN"/>
              </w:rPr>
              <w:t>**</w:t>
            </w:r>
            <w:r>
              <w:rPr>
                <w:lang w:val="en-US" w:eastAsia="en-IN"/>
              </w:rPr>
              <w:t>, lymfopeni</w:t>
            </w:r>
            <w:r>
              <w:rPr>
                <w:vertAlign w:val="superscript"/>
                <w:lang w:val="en-US" w:eastAsia="en-IN"/>
              </w:rPr>
              <w:t>***</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u w:val="single"/>
                <w:lang w:val="en-US" w:eastAsia="en-IN"/>
              </w:rPr>
            </w:pPr>
            <w:r>
              <w:rPr>
                <w:u w:val="single"/>
                <w:lang w:val="en-US" w:eastAsia="en-IN"/>
              </w:rPr>
              <w:t xml:space="preserve">Meget almindelig </w:t>
            </w:r>
          </w:p>
          <w:p w:rsidR="00F33C81" w:rsidRDefault="00F33C81" w:rsidP="00F33C81">
            <w:pPr>
              <w:rPr>
                <w:lang w:val="en-US" w:eastAsia="en-IN"/>
              </w:rPr>
            </w:pPr>
            <w:r>
              <w:rPr>
                <w:lang w:val="en-US" w:eastAsia="en-IN"/>
              </w:rPr>
              <w:t>Neutropeni</w:t>
            </w:r>
            <w:r>
              <w:rPr>
                <w:vertAlign w:val="superscript"/>
                <w:lang w:val="en-US" w:eastAsia="en-IN"/>
              </w:rPr>
              <w:t>^,◊</w:t>
            </w:r>
            <w:r>
              <w:rPr>
                <w:lang w:val="en-US" w:eastAsia="en-IN"/>
              </w:rPr>
              <w:t xml:space="preserve"> </w:t>
            </w:r>
          </w:p>
          <w:p w:rsidR="00F33C81" w:rsidRDefault="00F33C81" w:rsidP="00F33C81">
            <w:pPr>
              <w:rPr>
                <w:u w:val="single"/>
                <w:lang w:val="en-US" w:eastAsia="en-IN"/>
              </w:rPr>
            </w:pPr>
          </w:p>
          <w:p w:rsidR="00F33C81" w:rsidRDefault="00F33C81" w:rsidP="00F33C81">
            <w:pPr>
              <w:rPr>
                <w:u w:val="single"/>
                <w:lang w:val="en-US" w:eastAsia="en-IN"/>
              </w:rPr>
            </w:pPr>
            <w:r>
              <w:rPr>
                <w:u w:val="single"/>
                <w:lang w:val="en-US" w:eastAsia="en-IN"/>
              </w:rPr>
              <w:t xml:space="preserve">Almindelig </w:t>
            </w:r>
          </w:p>
          <w:p w:rsidR="00F33C81" w:rsidRDefault="00F33C81" w:rsidP="00F33C81">
            <w:pPr>
              <w:rPr>
                <w:lang w:val="en-US" w:eastAsia="en-IN"/>
              </w:rPr>
            </w:pPr>
            <w:r>
              <w:rPr>
                <w:lang w:val="en-US" w:eastAsia="en-IN"/>
              </w:rPr>
              <w:t>Anæmi</w:t>
            </w:r>
            <w:r>
              <w:rPr>
                <w:vertAlign w:val="superscript"/>
                <w:lang w:val="en-US" w:eastAsia="en-IN"/>
              </w:rPr>
              <w:t>◊</w:t>
            </w:r>
            <w:r>
              <w:rPr>
                <w:lang w:val="en-US" w:eastAsia="en-IN"/>
              </w:rPr>
              <w:t>, trombocytopeni</w:t>
            </w:r>
            <w:r>
              <w:rPr>
                <w:vertAlign w:val="superscript"/>
                <w:lang w:val="en-US" w:eastAsia="en-IN"/>
              </w:rPr>
              <w:t>^</w:t>
            </w:r>
            <w:r>
              <w:rPr>
                <w:lang w:val="en-US" w:eastAsia="en-IN"/>
              </w:rPr>
              <w:t>, febril neutropeni</w:t>
            </w:r>
            <w:r>
              <w:rPr>
                <w:vertAlign w:val="superscript"/>
                <w:lang w:val="en-US" w:eastAsia="en-IN"/>
              </w:rPr>
              <w:t>◊</w:t>
            </w:r>
            <w:r>
              <w:rPr>
                <w:lang w:val="en-US" w:eastAsia="en-IN"/>
              </w:rPr>
              <w:t>, pancytopenia, leukopeni</w:t>
            </w:r>
            <w:r>
              <w:rPr>
                <w:vertAlign w:val="superscript"/>
                <w:lang w:val="en-US" w:eastAsia="en-IN"/>
              </w:rPr>
              <w:t>**</w:t>
            </w:r>
            <w:r>
              <w:rPr>
                <w:lang w:val="en-US" w:eastAsia="en-IN"/>
              </w:rPr>
              <w:t>, lymfopeni</w:t>
            </w:r>
            <w:r>
              <w:rPr>
                <w:vertAlign w:val="superscript"/>
                <w:lang w:val="en-US" w:eastAsia="en-IN"/>
              </w:rPr>
              <w:t>*</w:t>
            </w:r>
          </w:p>
        </w:tc>
      </w:tr>
      <w:tr w:rsidR="00F33C81" w:rsidRPr="004B7018"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b/>
                <w:bCs/>
                <w:lang w:val="en-GB" w:eastAsia="en-IN"/>
              </w:rPr>
              <w:t>Metabolisme og ernæring</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u w:val="single"/>
                <w:lang w:eastAsia="en-IN"/>
              </w:rPr>
            </w:pPr>
            <w:r w:rsidRPr="005F70F3">
              <w:rPr>
                <w:u w:val="single"/>
                <w:lang w:eastAsia="en-IN"/>
              </w:rPr>
              <w:t xml:space="preserve">Meget almindelig </w:t>
            </w:r>
          </w:p>
          <w:p w:rsidR="00F33C81" w:rsidRDefault="00F33C81" w:rsidP="00F33C81">
            <w:pPr>
              <w:rPr>
                <w:u w:val="single"/>
                <w:lang w:eastAsia="en-IN"/>
              </w:rPr>
            </w:pPr>
            <w:r w:rsidRPr="005F70F3">
              <w:rPr>
                <w:lang w:eastAsia="en-IN"/>
              </w:rPr>
              <w:t>Nedsat appetit, hypokaliæmi</w:t>
            </w:r>
            <w:r w:rsidRPr="005F70F3">
              <w:rPr>
                <w:u w:val="single"/>
                <w:lang w:eastAsia="en-IN"/>
              </w:rPr>
              <w:t xml:space="preserve"> </w:t>
            </w:r>
          </w:p>
          <w:p w:rsidR="00F33C81" w:rsidRDefault="00F33C81" w:rsidP="00F33C81">
            <w:pPr>
              <w:rPr>
                <w:u w:val="single"/>
                <w:lang w:eastAsia="en-IN"/>
              </w:rPr>
            </w:pPr>
          </w:p>
          <w:p w:rsidR="00F33C81" w:rsidRPr="005F70F3" w:rsidRDefault="00F33C81" w:rsidP="00F33C81">
            <w:pPr>
              <w:rPr>
                <w:u w:val="single"/>
                <w:lang w:eastAsia="en-IN"/>
              </w:rPr>
            </w:pPr>
            <w:r w:rsidRPr="005F70F3">
              <w:rPr>
                <w:u w:val="single"/>
                <w:lang w:eastAsia="en-IN"/>
              </w:rPr>
              <w:t xml:space="preserve">Almindelig </w:t>
            </w:r>
          </w:p>
          <w:p w:rsidR="00F33C81" w:rsidRDefault="00F33C81" w:rsidP="00F33C81">
            <w:pPr>
              <w:rPr>
                <w:lang w:val="en-GB" w:eastAsia="en-IN"/>
              </w:rPr>
            </w:pPr>
            <w:r>
              <w:rPr>
                <w:lang w:val="en-GB" w:eastAsia="en-IN"/>
              </w:rPr>
              <w:t>Hypofosfatæmi, dehydrering</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0F2B51" w:rsidRDefault="00F33C81" w:rsidP="00F33C81">
            <w:pPr>
              <w:rPr>
                <w:lang w:eastAsia="en-IN"/>
              </w:rPr>
            </w:pPr>
            <w:r w:rsidRPr="000F2B51">
              <w:rPr>
                <w:u w:val="single"/>
                <w:lang w:eastAsia="en-IN"/>
              </w:rPr>
              <w:t>Almindelig</w:t>
            </w:r>
            <w:r w:rsidRPr="000F2B51">
              <w:rPr>
                <w:lang w:eastAsia="en-IN"/>
              </w:rPr>
              <w:t xml:space="preserve"> </w:t>
            </w:r>
          </w:p>
          <w:p w:rsidR="00F33C81" w:rsidRPr="000F2B51" w:rsidRDefault="00F33C81" w:rsidP="00F33C81">
            <w:pPr>
              <w:rPr>
                <w:lang w:eastAsia="en-IN"/>
              </w:rPr>
            </w:pPr>
            <w:r w:rsidRPr="000F2B51">
              <w:rPr>
                <w:lang w:eastAsia="en-IN"/>
              </w:rPr>
              <w:t>Dehydrering, hyperkalcæmi</w:t>
            </w:r>
            <w:r w:rsidRPr="000F2B51">
              <w:rPr>
                <w:vertAlign w:val="superscript"/>
                <w:lang w:eastAsia="en-IN"/>
              </w:rPr>
              <w:t>◊</w:t>
            </w:r>
            <w:r w:rsidRPr="000F2B51">
              <w:rPr>
                <w:lang w:eastAsia="en-IN"/>
              </w:rPr>
              <w:t>, hypokaliæmi, hypofosfatæmi, hyperurikæmi</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b/>
                <w:bCs/>
                <w:lang w:val="en-GB" w:eastAsia="en-IN"/>
              </w:rPr>
              <w:t>Psykiske forstyrrelser</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u w:val="single"/>
                <w:lang w:val="en-GB" w:eastAsia="en-IN"/>
              </w:rPr>
            </w:pPr>
            <w:r>
              <w:rPr>
                <w:u w:val="single"/>
                <w:lang w:val="en-GB" w:eastAsia="en-IN"/>
              </w:rPr>
              <w:t xml:space="preserve">Almindelig </w:t>
            </w:r>
          </w:p>
          <w:p w:rsidR="00F33C81" w:rsidRDefault="00F33C81" w:rsidP="00F33C81">
            <w:pPr>
              <w:rPr>
                <w:lang w:val="en-GB" w:eastAsia="en-IN"/>
              </w:rPr>
            </w:pPr>
            <w:r>
              <w:rPr>
                <w:lang w:val="en-GB" w:eastAsia="en-IN"/>
              </w:rPr>
              <w:t>Depression, insomni</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sz w:val="22"/>
                <w:lang w:val="en-GB" w:eastAsia="en-IN"/>
              </w:rPr>
            </w:pPr>
            <w:r>
              <w:rPr>
                <w:b/>
                <w:bCs/>
                <w:lang w:val="en-GB" w:eastAsia="en-IN"/>
              </w:rPr>
              <w:t>Nervesystemet</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u w:val="single"/>
                <w:lang w:eastAsia="en-IN"/>
              </w:rPr>
            </w:pPr>
            <w:r w:rsidRPr="005F70F3">
              <w:rPr>
                <w:u w:val="single"/>
                <w:lang w:eastAsia="en-IN"/>
              </w:rPr>
              <w:t xml:space="preserve">Meget almindelig </w:t>
            </w:r>
          </w:p>
          <w:p w:rsidR="00F33C81" w:rsidRPr="005F70F3" w:rsidRDefault="00F33C81" w:rsidP="00F33C81">
            <w:pPr>
              <w:rPr>
                <w:lang w:eastAsia="en-IN"/>
              </w:rPr>
            </w:pPr>
            <w:r w:rsidRPr="005F70F3">
              <w:rPr>
                <w:lang w:eastAsia="en-IN"/>
              </w:rPr>
              <w:t xml:space="preserve">Hovedpine, svimmelhed  </w:t>
            </w:r>
          </w:p>
          <w:p w:rsidR="00F33C81" w:rsidRDefault="00F33C81" w:rsidP="00F33C81">
            <w:pPr>
              <w:rPr>
                <w:u w:val="single"/>
                <w:lang w:eastAsia="en-IN"/>
              </w:rPr>
            </w:pPr>
          </w:p>
          <w:p w:rsidR="00F33C81" w:rsidRPr="005F70F3" w:rsidRDefault="00F33C81" w:rsidP="00F33C81">
            <w:pPr>
              <w:rPr>
                <w:u w:val="single"/>
                <w:lang w:eastAsia="en-IN"/>
              </w:rPr>
            </w:pPr>
            <w:r w:rsidRPr="005F70F3">
              <w:rPr>
                <w:u w:val="single"/>
                <w:lang w:eastAsia="en-IN"/>
              </w:rPr>
              <w:lastRenderedPageBreak/>
              <w:t xml:space="preserve">Almindelig </w:t>
            </w:r>
          </w:p>
          <w:p w:rsidR="00F33C81" w:rsidRPr="005F70F3" w:rsidRDefault="00F33C81" w:rsidP="00F33C81">
            <w:pPr>
              <w:rPr>
                <w:lang w:eastAsia="en-IN"/>
              </w:rPr>
            </w:pPr>
            <w:r w:rsidRPr="005F70F3">
              <w:rPr>
                <w:lang w:eastAsia="en-IN"/>
              </w:rPr>
              <w:t>Perifer sensorisk neuropati, dysgeusi</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u w:val="single"/>
                <w:lang w:val="en-GB" w:eastAsia="en-IN"/>
              </w:rPr>
            </w:pPr>
            <w:r>
              <w:rPr>
                <w:u w:val="single"/>
                <w:lang w:val="en-GB" w:eastAsia="en-IN"/>
              </w:rPr>
              <w:lastRenderedPageBreak/>
              <w:t xml:space="preserve">Almindelig </w:t>
            </w:r>
          </w:p>
          <w:p w:rsidR="00F33C81" w:rsidRDefault="00F33C81" w:rsidP="00F33C81">
            <w:pPr>
              <w:rPr>
                <w:lang w:val="en-GB" w:eastAsia="en-IN"/>
              </w:rPr>
            </w:pPr>
            <w:r>
              <w:rPr>
                <w:lang w:val="en-GB" w:eastAsia="en-IN"/>
              </w:rPr>
              <w:t>Synkope</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b/>
                <w:bCs/>
                <w:lang w:val="en-GB" w:eastAsia="en-IN"/>
              </w:rPr>
              <w:t>Hjerte</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u w:val="single"/>
                <w:lang w:val="en-GB" w:eastAsia="en-IN"/>
              </w:rPr>
            </w:pPr>
            <w:r>
              <w:rPr>
                <w:u w:val="single"/>
                <w:lang w:val="en-GB" w:eastAsia="en-IN"/>
              </w:rPr>
              <w:t xml:space="preserve">Ikke almindelig </w:t>
            </w:r>
          </w:p>
          <w:p w:rsidR="00F33C81" w:rsidRDefault="00F33C81" w:rsidP="00F33C81">
            <w:pPr>
              <w:rPr>
                <w:lang w:val="en-GB" w:eastAsia="en-IN"/>
              </w:rPr>
            </w:pPr>
            <w:r>
              <w:rPr>
                <w:lang w:val="en-GB" w:eastAsia="en-IN"/>
              </w:rPr>
              <w:t>Arytmi</w:t>
            </w:r>
            <w:r>
              <w:rPr>
                <w:vertAlign w:val="superscript"/>
                <w:lang w:val="en-GB" w:eastAsia="en-IN"/>
              </w:rPr>
              <w:t>◊</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sz w:val="22"/>
                <w:lang w:val="en-GB" w:eastAsia="en-IN"/>
              </w:rPr>
            </w:pPr>
            <w:r>
              <w:rPr>
                <w:b/>
                <w:bCs/>
                <w:lang w:val="en-GB" w:eastAsia="en-IN"/>
              </w:rPr>
              <w:t>Vaskulære sygdomme</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u w:val="single"/>
                <w:lang w:val="en-GB" w:eastAsia="en-IN"/>
              </w:rPr>
            </w:pPr>
            <w:r>
              <w:rPr>
                <w:u w:val="single"/>
                <w:lang w:val="en-GB" w:eastAsia="en-IN"/>
              </w:rPr>
              <w:t xml:space="preserve">Almindelig </w:t>
            </w:r>
          </w:p>
          <w:p w:rsidR="00F33C81" w:rsidRDefault="00F33C81" w:rsidP="00F33C81">
            <w:pPr>
              <w:rPr>
                <w:lang w:val="en-GB" w:eastAsia="en-IN"/>
              </w:rPr>
            </w:pPr>
            <w:r>
              <w:rPr>
                <w:lang w:val="en-GB" w:eastAsia="en-IN"/>
              </w:rPr>
              <w:t>Hypotension</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u w:val="single"/>
                <w:lang w:val="en-GB" w:eastAsia="en-IN"/>
              </w:rPr>
            </w:pPr>
            <w:r>
              <w:rPr>
                <w:u w:val="single"/>
                <w:lang w:val="en-GB" w:eastAsia="en-IN"/>
              </w:rPr>
              <w:t xml:space="preserve">Almindelig </w:t>
            </w:r>
          </w:p>
          <w:p w:rsidR="00F33C81" w:rsidRDefault="00F33C81" w:rsidP="00F33C81">
            <w:pPr>
              <w:rPr>
                <w:lang w:val="en-GB" w:eastAsia="en-IN"/>
              </w:rPr>
            </w:pPr>
            <w:r>
              <w:rPr>
                <w:lang w:val="en-GB" w:eastAsia="en-IN"/>
              </w:rPr>
              <w:t>Lungeemboli</w:t>
            </w:r>
            <w:r>
              <w:rPr>
                <w:vertAlign w:val="superscript"/>
                <w:lang w:val="en-GB" w:eastAsia="en-IN"/>
              </w:rPr>
              <w:t>^,◊</w:t>
            </w:r>
            <w:r>
              <w:rPr>
                <w:lang w:val="en-GB" w:eastAsia="en-IN"/>
              </w:rPr>
              <w:t>, hypotension</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US" w:eastAsia="en-IN"/>
              </w:rPr>
            </w:pPr>
            <w:r>
              <w:rPr>
                <w:b/>
                <w:bCs/>
                <w:lang w:val="en-US" w:eastAsia="en-IN"/>
              </w:rPr>
              <w:t>Luftveje, thorax og mediastinum</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u w:val="single"/>
                <w:lang w:eastAsia="en-IN"/>
              </w:rPr>
            </w:pPr>
            <w:r w:rsidRPr="005F70F3">
              <w:rPr>
                <w:u w:val="single"/>
                <w:lang w:eastAsia="en-IN"/>
              </w:rPr>
              <w:t xml:space="preserve">Meget almindelig </w:t>
            </w:r>
          </w:p>
          <w:p w:rsidR="00F33C81" w:rsidRPr="005F70F3" w:rsidRDefault="00F33C81" w:rsidP="00F33C81">
            <w:pPr>
              <w:rPr>
                <w:lang w:eastAsia="en-IN"/>
              </w:rPr>
            </w:pPr>
            <w:r w:rsidRPr="005F70F3">
              <w:rPr>
                <w:lang w:eastAsia="en-IN"/>
              </w:rPr>
              <w:t xml:space="preserve">Dyspnø◊, hoste, </w:t>
            </w:r>
          </w:p>
          <w:p w:rsidR="00F33C81" w:rsidRDefault="00F33C81" w:rsidP="00F33C81">
            <w:pPr>
              <w:rPr>
                <w:u w:val="single"/>
                <w:lang w:eastAsia="en-IN"/>
              </w:rPr>
            </w:pPr>
          </w:p>
          <w:p w:rsidR="00F33C81" w:rsidRDefault="00F33C81" w:rsidP="00F33C81">
            <w:pPr>
              <w:rPr>
                <w:u w:val="single"/>
                <w:lang w:eastAsia="en-IN"/>
              </w:rPr>
            </w:pPr>
          </w:p>
          <w:p w:rsidR="00F33C81" w:rsidRPr="005F70F3" w:rsidRDefault="00F33C81" w:rsidP="00F33C81">
            <w:pPr>
              <w:rPr>
                <w:u w:val="single"/>
                <w:lang w:eastAsia="en-IN"/>
              </w:rPr>
            </w:pPr>
            <w:r w:rsidRPr="005F70F3">
              <w:rPr>
                <w:u w:val="single"/>
                <w:lang w:eastAsia="en-IN"/>
              </w:rPr>
              <w:t xml:space="preserve">Almindelig </w:t>
            </w:r>
          </w:p>
          <w:p w:rsidR="00F33C81" w:rsidRPr="005F70F3" w:rsidRDefault="00F33C81" w:rsidP="00F33C81">
            <w:pPr>
              <w:rPr>
                <w:lang w:eastAsia="en-IN"/>
              </w:rPr>
            </w:pPr>
            <w:r w:rsidRPr="005F70F3">
              <w:rPr>
                <w:lang w:eastAsia="en-IN"/>
              </w:rPr>
              <w:t>Orofaryngeale smerter, dysfoni</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u w:val="single"/>
                <w:lang w:val="en-GB" w:eastAsia="en-IN"/>
              </w:rPr>
              <w:t>Almindelig</w:t>
            </w:r>
            <w:r>
              <w:rPr>
                <w:lang w:val="en-GB" w:eastAsia="en-IN"/>
              </w:rPr>
              <w:t xml:space="preserve"> </w:t>
            </w:r>
          </w:p>
          <w:p w:rsidR="00F33C81" w:rsidRDefault="00F33C81" w:rsidP="00F33C81">
            <w:pPr>
              <w:rPr>
                <w:lang w:val="en-GB" w:eastAsia="en-IN"/>
              </w:rPr>
            </w:pPr>
            <w:r>
              <w:rPr>
                <w:lang w:val="en-GB" w:eastAsia="en-IN"/>
              </w:rPr>
              <w:t>Dyspnø</w:t>
            </w:r>
            <w:r>
              <w:rPr>
                <w:vertAlign w:val="superscript"/>
                <w:lang w:val="en-GB" w:eastAsia="en-IN"/>
              </w:rPr>
              <w:t>◊</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b/>
                <w:bCs/>
                <w:lang w:val="en-GB" w:eastAsia="en-IN"/>
              </w:rPr>
              <w:t>Mave-tarm-kanalen</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lang w:eastAsia="en-IN"/>
              </w:rPr>
            </w:pPr>
            <w:r w:rsidRPr="005F70F3">
              <w:rPr>
                <w:u w:val="single"/>
                <w:lang w:eastAsia="en-IN"/>
              </w:rPr>
              <w:t xml:space="preserve">Meget almindelig </w:t>
            </w:r>
            <w:r w:rsidRPr="005F70F3">
              <w:rPr>
                <w:lang w:eastAsia="en-IN"/>
              </w:rPr>
              <w:t>Abdominalsmerter</w:t>
            </w:r>
            <w:r w:rsidRPr="005F70F3">
              <w:rPr>
                <w:vertAlign w:val="superscript"/>
                <w:lang w:eastAsia="en-IN"/>
              </w:rPr>
              <w:t>◊</w:t>
            </w:r>
            <w:r w:rsidRPr="005F70F3">
              <w:rPr>
                <w:lang w:eastAsia="en-IN"/>
              </w:rPr>
              <w:t xml:space="preserve">, diarré, forstoppelse, kvalme, opkastning, dyspepsi </w:t>
            </w:r>
          </w:p>
          <w:p w:rsidR="00F33C81" w:rsidRDefault="00F33C81" w:rsidP="00F33C81">
            <w:pPr>
              <w:rPr>
                <w:u w:val="single"/>
                <w:lang w:eastAsia="en-IN"/>
              </w:rPr>
            </w:pPr>
          </w:p>
          <w:p w:rsidR="00F33C81" w:rsidRPr="005F70F3" w:rsidRDefault="00F33C81" w:rsidP="00F33C81">
            <w:pPr>
              <w:rPr>
                <w:u w:val="single"/>
                <w:lang w:eastAsia="en-IN"/>
              </w:rPr>
            </w:pPr>
            <w:r w:rsidRPr="005F70F3">
              <w:rPr>
                <w:u w:val="single"/>
                <w:lang w:eastAsia="en-IN"/>
              </w:rPr>
              <w:t xml:space="preserve">Almindelig </w:t>
            </w:r>
          </w:p>
          <w:p w:rsidR="00F33C81" w:rsidRPr="005F70F3" w:rsidRDefault="00F33C81" w:rsidP="00F33C81">
            <w:pPr>
              <w:rPr>
                <w:lang w:eastAsia="en-IN"/>
              </w:rPr>
            </w:pPr>
            <w:r w:rsidRPr="005F70F3">
              <w:rPr>
                <w:lang w:eastAsia="en-IN"/>
              </w:rPr>
              <w:t xml:space="preserve">Øvre abdominalsmerter, stomatitis, mundtørhed </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lang w:eastAsia="en-IN"/>
              </w:rPr>
            </w:pPr>
            <w:r w:rsidRPr="005F70F3">
              <w:rPr>
                <w:u w:val="single"/>
                <w:lang w:eastAsia="en-IN"/>
              </w:rPr>
              <w:t>Almindelig</w:t>
            </w:r>
            <w:r w:rsidRPr="005F70F3">
              <w:rPr>
                <w:lang w:eastAsia="en-IN"/>
              </w:rPr>
              <w:t xml:space="preserve"> </w:t>
            </w:r>
          </w:p>
          <w:p w:rsidR="00F33C81" w:rsidRPr="005F70F3" w:rsidRDefault="00F33C81" w:rsidP="00F33C81">
            <w:pPr>
              <w:rPr>
                <w:lang w:eastAsia="en-IN"/>
              </w:rPr>
            </w:pPr>
            <w:r w:rsidRPr="005F70F3">
              <w:rPr>
                <w:lang w:eastAsia="en-IN"/>
              </w:rPr>
              <w:t>Abdominalsmerter</w:t>
            </w:r>
            <w:r w:rsidRPr="005F70F3">
              <w:rPr>
                <w:vertAlign w:val="superscript"/>
                <w:lang w:eastAsia="en-IN"/>
              </w:rPr>
              <w:t>◊</w:t>
            </w:r>
            <w:r w:rsidRPr="005F70F3">
              <w:rPr>
                <w:lang w:eastAsia="en-IN"/>
              </w:rPr>
              <w:t>, diarré, forstoppelse, stomatitis</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b/>
                <w:bCs/>
                <w:lang w:val="en-US" w:eastAsia="en-IN"/>
              </w:rPr>
            </w:pPr>
            <w:r>
              <w:rPr>
                <w:b/>
                <w:bCs/>
                <w:lang w:val="en-US" w:eastAsia="en-IN"/>
              </w:rPr>
              <w:t xml:space="preserve">Hud og subkutane væv </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u w:val="single"/>
                <w:lang w:eastAsia="en-IN"/>
              </w:rPr>
            </w:pPr>
            <w:r w:rsidRPr="005F70F3">
              <w:rPr>
                <w:u w:val="single"/>
                <w:lang w:eastAsia="en-IN"/>
              </w:rPr>
              <w:t xml:space="preserve">Meget almindelig </w:t>
            </w:r>
          </w:p>
          <w:p w:rsidR="00F33C81" w:rsidRPr="005F70F3" w:rsidRDefault="00F33C81" w:rsidP="00F33C81">
            <w:pPr>
              <w:rPr>
                <w:lang w:eastAsia="en-IN"/>
              </w:rPr>
            </w:pPr>
            <w:r w:rsidRPr="005F70F3">
              <w:rPr>
                <w:lang w:eastAsia="en-IN"/>
              </w:rPr>
              <w:t xml:space="preserve">Udslæt*, pruritus  </w:t>
            </w:r>
          </w:p>
          <w:p w:rsidR="00F33C81" w:rsidRDefault="00F33C81" w:rsidP="00F33C81">
            <w:pPr>
              <w:rPr>
                <w:u w:val="single"/>
                <w:lang w:eastAsia="en-IN"/>
              </w:rPr>
            </w:pPr>
          </w:p>
          <w:p w:rsidR="00F33C81" w:rsidRPr="005F70F3" w:rsidRDefault="00F33C81" w:rsidP="00F33C81">
            <w:pPr>
              <w:rPr>
                <w:u w:val="single"/>
                <w:lang w:eastAsia="en-IN"/>
              </w:rPr>
            </w:pPr>
            <w:r w:rsidRPr="005F70F3">
              <w:rPr>
                <w:u w:val="single"/>
                <w:lang w:eastAsia="en-IN"/>
              </w:rPr>
              <w:t xml:space="preserve">Almindelig </w:t>
            </w:r>
          </w:p>
          <w:p w:rsidR="00F33C81" w:rsidRPr="005F70F3" w:rsidRDefault="00F33C81" w:rsidP="00F33C81">
            <w:pPr>
              <w:rPr>
                <w:lang w:eastAsia="en-IN"/>
              </w:rPr>
            </w:pPr>
            <w:r w:rsidRPr="005F70F3">
              <w:rPr>
                <w:lang w:eastAsia="en-IN"/>
              </w:rPr>
              <w:t>Tør hud, nattesved, erytem</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u w:val="single"/>
                <w:lang w:val="en-GB" w:eastAsia="en-IN"/>
              </w:rPr>
              <w:t>Almindelig</w:t>
            </w:r>
          </w:p>
          <w:p w:rsidR="00F33C81" w:rsidRDefault="00F33C81" w:rsidP="00F33C81">
            <w:pPr>
              <w:rPr>
                <w:lang w:val="en-GB" w:eastAsia="en-IN"/>
              </w:rPr>
            </w:pPr>
            <w:r>
              <w:rPr>
                <w:lang w:val="en-GB" w:eastAsia="en-IN"/>
              </w:rPr>
              <w:t>Udslæt*, pruritus</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lang w:eastAsia="en-IN"/>
              </w:rPr>
            </w:pPr>
            <w:r w:rsidRPr="005F70F3">
              <w:rPr>
                <w:b/>
                <w:bCs/>
                <w:lang w:eastAsia="en-IN"/>
              </w:rPr>
              <w:t>Knogler, led, muskler og bindevæv</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u w:val="single"/>
                <w:lang w:eastAsia="en-IN"/>
              </w:rPr>
            </w:pPr>
            <w:r w:rsidRPr="005F70F3">
              <w:rPr>
                <w:u w:val="single"/>
                <w:lang w:eastAsia="en-IN"/>
              </w:rPr>
              <w:t xml:space="preserve">Meget almindelig </w:t>
            </w:r>
          </w:p>
          <w:p w:rsidR="00F33C81" w:rsidRDefault="00F33C81" w:rsidP="00F33C81">
            <w:pPr>
              <w:rPr>
                <w:u w:val="single"/>
                <w:lang w:eastAsia="en-IN"/>
              </w:rPr>
            </w:pPr>
            <w:r w:rsidRPr="005F70F3">
              <w:rPr>
                <w:lang w:eastAsia="en-IN"/>
              </w:rPr>
              <w:t>Muskelspasmer, rygsmerter, artralgi</w:t>
            </w:r>
            <w:r w:rsidRPr="005F70F3">
              <w:rPr>
                <w:u w:val="single"/>
                <w:lang w:eastAsia="en-IN"/>
              </w:rPr>
              <w:t xml:space="preserve">  </w:t>
            </w:r>
          </w:p>
          <w:p w:rsidR="00F33C81" w:rsidRDefault="00F33C81" w:rsidP="00F33C81">
            <w:pPr>
              <w:rPr>
                <w:u w:val="single"/>
                <w:lang w:eastAsia="en-IN"/>
              </w:rPr>
            </w:pPr>
          </w:p>
          <w:p w:rsidR="00F33C81" w:rsidRPr="005F70F3" w:rsidRDefault="00F33C81" w:rsidP="00F33C81">
            <w:pPr>
              <w:rPr>
                <w:u w:val="single"/>
                <w:lang w:eastAsia="en-IN"/>
              </w:rPr>
            </w:pPr>
            <w:r w:rsidRPr="005F70F3">
              <w:rPr>
                <w:u w:val="single"/>
                <w:lang w:eastAsia="en-IN"/>
              </w:rPr>
              <w:t xml:space="preserve">Almindelig </w:t>
            </w:r>
          </w:p>
          <w:p w:rsidR="00F33C81" w:rsidRPr="005F70F3" w:rsidRDefault="00F33C81" w:rsidP="00F33C81">
            <w:pPr>
              <w:rPr>
                <w:lang w:eastAsia="en-IN"/>
              </w:rPr>
            </w:pPr>
            <w:r w:rsidRPr="005F70F3">
              <w:rPr>
                <w:lang w:eastAsia="en-IN"/>
              </w:rPr>
              <w:t>Smerter i ekstremiteter, muskelsvaghed, knogle- og muskelsmerter, myalgi, nakkesmerter</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u w:val="single"/>
                <w:lang w:val="en-US" w:eastAsia="en-IN"/>
              </w:rPr>
            </w:pPr>
            <w:r>
              <w:rPr>
                <w:u w:val="single"/>
                <w:lang w:val="en-US" w:eastAsia="en-IN"/>
              </w:rPr>
              <w:t xml:space="preserve">Almindelig </w:t>
            </w:r>
          </w:p>
          <w:p w:rsidR="00F33C81" w:rsidRDefault="00F33C81" w:rsidP="00F33C81">
            <w:pPr>
              <w:rPr>
                <w:lang w:val="en-US" w:eastAsia="en-IN"/>
              </w:rPr>
            </w:pPr>
            <w:r>
              <w:rPr>
                <w:lang w:val="en-US" w:eastAsia="en-IN"/>
              </w:rPr>
              <w:t>Muskelsvaghed, nakkesmerter</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b/>
                <w:bCs/>
                <w:lang w:val="en-GB" w:eastAsia="en-IN"/>
              </w:rPr>
              <w:t>Nyrer og urinveje</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sz w:val="22"/>
                <w:u w:val="single"/>
                <w:lang w:val="en-GB" w:eastAsia="en-IN"/>
              </w:rPr>
            </w:pPr>
            <w:r>
              <w:rPr>
                <w:u w:val="single"/>
                <w:lang w:val="en-GB" w:eastAsia="en-IN"/>
              </w:rPr>
              <w:t xml:space="preserve">Almindelig </w:t>
            </w:r>
          </w:p>
          <w:p w:rsidR="00F33C81" w:rsidRDefault="00F33C81" w:rsidP="00F33C81">
            <w:pPr>
              <w:rPr>
                <w:lang w:val="en-GB" w:eastAsia="en-IN"/>
              </w:rPr>
            </w:pPr>
            <w:r>
              <w:rPr>
                <w:lang w:val="en-GB" w:eastAsia="en-IN"/>
              </w:rPr>
              <w:t>Akut nyreskade</w:t>
            </w:r>
            <w:r>
              <w:rPr>
                <w:u w:val="single"/>
                <w:lang w:val="en-GB" w:eastAsia="en-IN"/>
              </w:rPr>
              <w:t xml:space="preserve"> </w:t>
            </w:r>
            <w:r>
              <w:rPr>
                <w:vertAlign w:val="superscript"/>
                <w:lang w:val="en-GB" w:eastAsia="en-IN"/>
              </w:rPr>
              <w:t>◊</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lang w:eastAsia="en-IN"/>
              </w:rPr>
            </w:pPr>
            <w:r w:rsidRPr="005F70F3">
              <w:rPr>
                <w:b/>
                <w:bCs/>
                <w:lang w:eastAsia="en-IN"/>
              </w:rPr>
              <w:t>Almene symptomer og reaktioner på administrationsstedet</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u w:val="single"/>
                <w:lang w:eastAsia="en-IN"/>
              </w:rPr>
            </w:pPr>
            <w:r w:rsidRPr="005F70F3">
              <w:rPr>
                <w:u w:val="single"/>
                <w:lang w:eastAsia="en-IN"/>
              </w:rPr>
              <w:t xml:space="preserve">Meget almindelig </w:t>
            </w:r>
          </w:p>
          <w:p w:rsidR="00F33C81" w:rsidRPr="005F70F3" w:rsidRDefault="00F33C81" w:rsidP="00F33C81">
            <w:pPr>
              <w:rPr>
                <w:u w:val="single"/>
                <w:lang w:eastAsia="en-IN"/>
              </w:rPr>
            </w:pPr>
            <w:r w:rsidRPr="005F70F3">
              <w:rPr>
                <w:lang w:eastAsia="en-IN"/>
              </w:rPr>
              <w:t>Pyreksi, træthed, asteni, perifert ødem</w:t>
            </w:r>
            <w:r w:rsidRPr="005F70F3">
              <w:rPr>
                <w:u w:val="single"/>
                <w:lang w:eastAsia="en-IN"/>
              </w:rPr>
              <w:t xml:space="preserve"> </w:t>
            </w:r>
          </w:p>
          <w:p w:rsidR="00F33C81" w:rsidRPr="000F2B51" w:rsidRDefault="00F33C81" w:rsidP="00F33C81">
            <w:pPr>
              <w:rPr>
                <w:u w:val="single"/>
                <w:lang w:eastAsia="en-IN"/>
              </w:rPr>
            </w:pPr>
          </w:p>
          <w:p w:rsidR="00F33C81" w:rsidRDefault="00F33C81" w:rsidP="00F33C81">
            <w:pPr>
              <w:rPr>
                <w:u w:val="single"/>
                <w:lang w:val="en-GB" w:eastAsia="en-IN"/>
              </w:rPr>
            </w:pPr>
            <w:r>
              <w:rPr>
                <w:u w:val="single"/>
                <w:lang w:val="en-GB" w:eastAsia="en-IN"/>
              </w:rPr>
              <w:t xml:space="preserve">Almindelig </w:t>
            </w:r>
          </w:p>
          <w:p w:rsidR="00F33C81" w:rsidRDefault="00F33C81" w:rsidP="00F33C81">
            <w:pPr>
              <w:rPr>
                <w:lang w:val="en-GB" w:eastAsia="en-IN"/>
              </w:rPr>
            </w:pPr>
            <w:r>
              <w:rPr>
                <w:lang w:val="en-GB" w:eastAsia="en-IN"/>
              </w:rPr>
              <w:t>Utilpashed, kulderystelser</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u w:val="single"/>
                <w:lang w:val="en-GB" w:eastAsia="en-IN"/>
              </w:rPr>
              <w:t>Almindelig</w:t>
            </w:r>
          </w:p>
          <w:p w:rsidR="00F33C81" w:rsidRDefault="00F33C81" w:rsidP="00F33C81">
            <w:pPr>
              <w:rPr>
                <w:lang w:val="en-GB" w:eastAsia="en-IN"/>
              </w:rPr>
            </w:pPr>
            <w:r>
              <w:rPr>
                <w:lang w:val="en-GB" w:eastAsia="en-IN"/>
              </w:rPr>
              <w:t>Træthed, asteni</w:t>
            </w:r>
          </w:p>
        </w:tc>
      </w:tr>
      <w:tr w:rsidR="00F33C81" w:rsidTr="00F33C81">
        <w:tc>
          <w:tcPr>
            <w:tcW w:w="1271"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Default="00F33C81" w:rsidP="00F33C81">
            <w:pPr>
              <w:rPr>
                <w:lang w:val="en-GB" w:eastAsia="en-IN"/>
              </w:rPr>
            </w:pPr>
            <w:r>
              <w:rPr>
                <w:b/>
                <w:bCs/>
                <w:lang w:val="en-GB" w:eastAsia="en-IN"/>
              </w:rPr>
              <w:t>Undersøgelser</w:t>
            </w:r>
          </w:p>
        </w:tc>
        <w:tc>
          <w:tcPr>
            <w:tcW w:w="1886"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u w:val="single"/>
                <w:lang w:eastAsia="en-IN"/>
              </w:rPr>
            </w:pPr>
            <w:r w:rsidRPr="005F70F3">
              <w:rPr>
                <w:u w:val="single"/>
                <w:lang w:eastAsia="en-IN"/>
              </w:rPr>
              <w:t xml:space="preserve">Meget almindelig </w:t>
            </w:r>
          </w:p>
          <w:p w:rsidR="00F33C81" w:rsidRDefault="00F33C81" w:rsidP="00F33C81">
            <w:pPr>
              <w:rPr>
                <w:u w:val="single"/>
                <w:lang w:eastAsia="en-IN"/>
              </w:rPr>
            </w:pPr>
            <w:r w:rsidRPr="005F70F3">
              <w:rPr>
                <w:lang w:eastAsia="en-IN"/>
              </w:rPr>
              <w:t>Forhøjet alaninaminotransferase</w:t>
            </w:r>
            <w:r w:rsidRPr="005F70F3">
              <w:rPr>
                <w:u w:val="single"/>
                <w:lang w:eastAsia="en-IN"/>
              </w:rPr>
              <w:t xml:space="preserve"> </w:t>
            </w:r>
          </w:p>
          <w:p w:rsidR="00F33C81" w:rsidRDefault="00F33C81" w:rsidP="00F33C81">
            <w:pPr>
              <w:rPr>
                <w:u w:val="single"/>
                <w:lang w:eastAsia="en-IN"/>
              </w:rPr>
            </w:pPr>
          </w:p>
          <w:p w:rsidR="00F33C81" w:rsidRPr="005F70F3" w:rsidRDefault="00F33C81" w:rsidP="00F33C81">
            <w:pPr>
              <w:rPr>
                <w:u w:val="single"/>
                <w:lang w:eastAsia="en-IN"/>
              </w:rPr>
            </w:pPr>
            <w:r w:rsidRPr="005F70F3">
              <w:rPr>
                <w:u w:val="single"/>
                <w:lang w:eastAsia="en-IN"/>
              </w:rPr>
              <w:t xml:space="preserve">Almindelig </w:t>
            </w:r>
          </w:p>
          <w:p w:rsidR="00F33C81" w:rsidRPr="005F70F3" w:rsidRDefault="00F33C81" w:rsidP="00F33C81">
            <w:pPr>
              <w:rPr>
                <w:lang w:eastAsia="en-IN"/>
              </w:rPr>
            </w:pPr>
            <w:r w:rsidRPr="005F70F3">
              <w:rPr>
                <w:lang w:eastAsia="en-IN"/>
              </w:rPr>
              <w:t>Vægtreduktion, forhøjet blodbilirubin</w:t>
            </w:r>
          </w:p>
        </w:tc>
        <w:tc>
          <w:tcPr>
            <w:tcW w:w="1843" w:type="pct"/>
            <w:tcBorders>
              <w:top w:val="outset" w:sz="6" w:space="0" w:color="7B7B7B"/>
              <w:left w:val="outset" w:sz="6" w:space="0" w:color="7B7B7B"/>
              <w:bottom w:val="outset" w:sz="6" w:space="0" w:color="7B7B7B"/>
              <w:right w:val="outset" w:sz="6" w:space="0" w:color="7B7B7B"/>
            </w:tcBorders>
            <w:tcMar>
              <w:top w:w="30" w:type="dxa"/>
              <w:left w:w="30" w:type="dxa"/>
              <w:bottom w:w="30" w:type="dxa"/>
              <w:right w:w="30" w:type="dxa"/>
            </w:tcMar>
            <w:hideMark/>
          </w:tcPr>
          <w:p w:rsidR="00F33C81" w:rsidRPr="005F70F3" w:rsidRDefault="00F33C81" w:rsidP="00F33C81">
            <w:pPr>
              <w:rPr>
                <w:lang w:eastAsia="en-IN"/>
              </w:rPr>
            </w:pPr>
          </w:p>
        </w:tc>
      </w:tr>
    </w:tbl>
    <w:p w:rsidR="005F70F3" w:rsidRDefault="005F70F3" w:rsidP="00C00726">
      <w:pPr>
        <w:ind w:left="851"/>
        <w:rPr>
          <w:color w:val="000000"/>
          <w:sz w:val="16"/>
          <w:szCs w:val="16"/>
          <w:lang w:eastAsia="en-IN"/>
        </w:rPr>
      </w:pPr>
      <w:r>
        <w:rPr>
          <w:color w:val="000000"/>
          <w:sz w:val="16"/>
          <w:szCs w:val="16"/>
          <w:lang w:eastAsia="en-IN"/>
        </w:rPr>
        <w:t xml:space="preserve">^se pkt. 4.8 Beskrivelse af udvalgte bivirkninger </w:t>
      </w:r>
    </w:p>
    <w:p w:rsidR="005F70F3" w:rsidRDefault="005F70F3" w:rsidP="00C00726">
      <w:pPr>
        <w:ind w:left="851"/>
        <w:rPr>
          <w:color w:val="000000"/>
          <w:sz w:val="16"/>
          <w:szCs w:val="16"/>
          <w:lang w:eastAsia="en-IN"/>
        </w:rPr>
      </w:pPr>
      <w:r>
        <w:rPr>
          <w:color w:val="000000"/>
          <w:sz w:val="16"/>
          <w:szCs w:val="16"/>
          <w:lang w:eastAsia="en-IN"/>
        </w:rPr>
        <w:t xml:space="preserve">Algoritme anvendt for follikulært lymfom: </w:t>
      </w:r>
    </w:p>
    <w:p w:rsidR="005F70F3" w:rsidRDefault="005F70F3" w:rsidP="00C00726">
      <w:pPr>
        <w:ind w:left="851"/>
        <w:rPr>
          <w:color w:val="000000"/>
          <w:sz w:val="16"/>
          <w:szCs w:val="16"/>
          <w:lang w:eastAsia="en-IN"/>
        </w:rPr>
      </w:pPr>
      <w:r>
        <w:rPr>
          <w:color w:val="000000"/>
          <w:sz w:val="16"/>
          <w:szCs w:val="16"/>
          <w:lang w:eastAsia="en-IN"/>
        </w:rPr>
        <w:t xml:space="preserve">Kontrolleret– fase 3-studie:  </w:t>
      </w:r>
    </w:p>
    <w:p w:rsidR="005F70F3" w:rsidRDefault="005F70F3" w:rsidP="00C00726">
      <w:pPr>
        <w:ind w:left="851"/>
        <w:rPr>
          <w:color w:val="000000"/>
          <w:sz w:val="16"/>
          <w:szCs w:val="16"/>
          <w:lang w:eastAsia="en-IN"/>
        </w:rPr>
      </w:pPr>
      <w:r>
        <w:rPr>
          <w:color w:val="000000"/>
          <w:sz w:val="16"/>
          <w:szCs w:val="16"/>
          <w:lang w:eastAsia="en-IN"/>
        </w:rPr>
        <w:t xml:space="preserve">o NHL-007 Bivirkninger- Alle uønskede hændelser, der opstod under behandling hos ≥ 5,0 % af personerne i armen med lenalidomid/rituximab og med en mindst 2,0 % højere frekvens (%) i armen med lenalidomid sammenlignet med kontrolarmen - (sikkerhedspopulation) </w:t>
      </w:r>
    </w:p>
    <w:p w:rsidR="005F70F3" w:rsidRDefault="005F70F3" w:rsidP="00C00726">
      <w:pPr>
        <w:ind w:left="851"/>
        <w:rPr>
          <w:color w:val="000000"/>
          <w:sz w:val="16"/>
          <w:szCs w:val="16"/>
          <w:lang w:eastAsia="en-IN"/>
        </w:rPr>
      </w:pPr>
      <w:r>
        <w:rPr>
          <w:color w:val="000000"/>
          <w:sz w:val="16"/>
          <w:szCs w:val="16"/>
          <w:lang w:eastAsia="en-IN"/>
        </w:rPr>
        <w:t xml:space="preserve">o NHL-007 grad 3/4 bivirkninger- Alle grad 3 eller grad 4 uønskede hændelser, der opstod under behandling hos mindst 1,0 % af personerne i armen med lenalidomid/rituximab, og med en mindst 1,0 % højere frekvens i armen med lenalidomid sammenlignet med </w:t>
      </w:r>
      <w:r>
        <w:rPr>
          <w:color w:val="000000"/>
          <w:sz w:val="16"/>
          <w:szCs w:val="16"/>
          <w:lang w:eastAsia="en-IN"/>
        </w:rPr>
        <w:lastRenderedPageBreak/>
        <w:t xml:space="preserve">kontrolarmen - (sikkerhedspopulation) o NHL-007 alvorlige bivirkninger- Alle uønskede hændelser, der opstod under behandling hos mindst 1,0 % af personerne i armen med lenalidomid/rituximab, og med en mindst 1,0 % højere frekvens i armen med lenalidomid sammenlignet med kontrolarmen - (sikkerhedspopulation) FL enkelt arm - fase 3-studie: </w:t>
      </w:r>
    </w:p>
    <w:p w:rsidR="005F70F3" w:rsidRDefault="005F70F3" w:rsidP="00C00726">
      <w:pPr>
        <w:ind w:left="851"/>
        <w:rPr>
          <w:color w:val="000000"/>
          <w:sz w:val="16"/>
          <w:szCs w:val="16"/>
          <w:lang w:eastAsia="en-IN"/>
        </w:rPr>
      </w:pPr>
      <w:r>
        <w:rPr>
          <w:color w:val="000000"/>
          <w:sz w:val="16"/>
          <w:szCs w:val="16"/>
          <w:lang w:eastAsia="en-IN"/>
        </w:rPr>
        <w:t xml:space="preserve">o NHL-008 bivirkninger- alle uønskede hændelser, der opstod under behandlingen, hos ≥ 5,0 % af personerne  </w:t>
      </w:r>
    </w:p>
    <w:p w:rsidR="005F70F3" w:rsidRDefault="005F70F3" w:rsidP="00C00726">
      <w:pPr>
        <w:ind w:left="851"/>
        <w:rPr>
          <w:color w:val="000000"/>
          <w:sz w:val="16"/>
          <w:szCs w:val="16"/>
          <w:lang w:eastAsia="en-IN"/>
        </w:rPr>
      </w:pPr>
      <w:r>
        <w:rPr>
          <w:color w:val="000000"/>
          <w:sz w:val="16"/>
          <w:szCs w:val="16"/>
          <w:lang w:eastAsia="en-IN"/>
        </w:rPr>
        <w:t xml:space="preserve">o NHL-008 grad 3/4 bivirkninger- alle grad 3/4 uønskede hændelser, der opstod under behandlingen, rapporteret hos ≥ 1,0 % af personerne  </w:t>
      </w:r>
    </w:p>
    <w:p w:rsidR="005F70F3" w:rsidRDefault="005F70F3" w:rsidP="00C00726">
      <w:pPr>
        <w:ind w:left="851"/>
        <w:rPr>
          <w:color w:val="000000"/>
          <w:sz w:val="16"/>
          <w:szCs w:val="16"/>
          <w:lang w:eastAsia="en-IN"/>
        </w:rPr>
      </w:pPr>
      <w:r>
        <w:rPr>
          <w:color w:val="000000"/>
          <w:sz w:val="16"/>
          <w:szCs w:val="16"/>
          <w:lang w:eastAsia="en-IN"/>
        </w:rPr>
        <w:t xml:space="preserve">o NHL-008 alvorlige bivirkninger- alle alvorlige uønskede hændelser, der opstod under behandlingen, rapporteret hos ≥ 1,0 % af personerne  </w:t>
      </w:r>
    </w:p>
    <w:p w:rsidR="005F70F3" w:rsidRDefault="005F70F3" w:rsidP="00C00726">
      <w:pPr>
        <w:ind w:left="851"/>
        <w:rPr>
          <w:color w:val="000000"/>
          <w:sz w:val="16"/>
          <w:szCs w:val="16"/>
          <w:lang w:eastAsia="en-IN"/>
        </w:rPr>
      </w:pPr>
      <w:r>
        <w:rPr>
          <w:color w:val="000000"/>
          <w:sz w:val="16"/>
          <w:szCs w:val="16"/>
          <w:lang w:eastAsia="en-IN"/>
        </w:rPr>
        <w:t xml:space="preserve">◊Uønskede hændelser rapporteret som alvorlige i kliniske studier af follikulært lymfom </w:t>
      </w:r>
    </w:p>
    <w:p w:rsidR="005F70F3" w:rsidRDefault="005F70F3" w:rsidP="00C00726">
      <w:pPr>
        <w:ind w:left="851"/>
        <w:rPr>
          <w:color w:val="000000"/>
          <w:sz w:val="16"/>
          <w:szCs w:val="16"/>
          <w:lang w:eastAsia="en-IN"/>
        </w:rPr>
      </w:pPr>
      <w:r>
        <w:rPr>
          <w:color w:val="000000"/>
          <w:sz w:val="16"/>
          <w:szCs w:val="16"/>
          <w:lang w:eastAsia="en-IN"/>
        </w:rPr>
        <w:t xml:space="preserve">+ Gælder kun for alvorlige bivirkninger </w:t>
      </w:r>
    </w:p>
    <w:p w:rsidR="005F70F3" w:rsidRDefault="005F70F3" w:rsidP="00C00726">
      <w:pPr>
        <w:ind w:left="851"/>
        <w:rPr>
          <w:color w:val="000000"/>
          <w:sz w:val="16"/>
          <w:szCs w:val="16"/>
          <w:lang w:eastAsia="en-IN"/>
        </w:rPr>
      </w:pPr>
      <w:r>
        <w:rPr>
          <w:color w:val="000000"/>
          <w:sz w:val="16"/>
          <w:szCs w:val="16"/>
          <w:lang w:eastAsia="en-IN"/>
        </w:rPr>
        <w:t xml:space="preserve">*Udslæt omfatter PT med udslæt og makulopapuløst udslæt </w:t>
      </w:r>
    </w:p>
    <w:p w:rsidR="005F70F3" w:rsidRDefault="005F70F3" w:rsidP="00C00726">
      <w:pPr>
        <w:ind w:left="851"/>
        <w:rPr>
          <w:color w:val="000000"/>
          <w:sz w:val="16"/>
          <w:szCs w:val="16"/>
          <w:lang w:eastAsia="en-IN"/>
        </w:rPr>
      </w:pPr>
      <w:r>
        <w:rPr>
          <w:color w:val="000000"/>
          <w:sz w:val="16"/>
          <w:szCs w:val="16"/>
          <w:lang w:eastAsia="en-IN"/>
        </w:rPr>
        <w:t xml:space="preserve">**Leukopeni omfatter PT leukopeni og et nedsat antal hvide blodlegemer </w:t>
      </w:r>
    </w:p>
    <w:p w:rsidR="005F70F3" w:rsidRDefault="005F70F3" w:rsidP="00C00726">
      <w:pPr>
        <w:ind w:left="851"/>
        <w:rPr>
          <w:color w:val="000000"/>
          <w:sz w:val="16"/>
          <w:szCs w:val="16"/>
          <w:lang w:eastAsia="en-IN"/>
        </w:rPr>
      </w:pPr>
      <w:r>
        <w:rPr>
          <w:color w:val="000000"/>
          <w:sz w:val="16"/>
          <w:szCs w:val="16"/>
          <w:lang w:eastAsia="en-IN"/>
        </w:rPr>
        <w:t xml:space="preserve">***Lymfopeni omfatter PT lymfopeni og nedsat lymfocyttal </w:t>
      </w:r>
    </w:p>
    <w:p w:rsidR="005F70F3" w:rsidRDefault="005F70F3" w:rsidP="00C00726">
      <w:pPr>
        <w:ind w:left="851"/>
        <w:rPr>
          <w:i/>
          <w:noProof/>
          <w:sz w:val="22"/>
          <w:szCs w:val="22"/>
        </w:rPr>
      </w:pPr>
    </w:p>
    <w:p w:rsidR="005F70F3" w:rsidRDefault="005F70F3" w:rsidP="00C00726">
      <w:pPr>
        <w:ind w:left="851"/>
        <w:rPr>
          <w:i/>
          <w:noProof/>
          <w:szCs w:val="22"/>
        </w:rPr>
      </w:pPr>
      <w:r>
        <w:rPr>
          <w:i/>
          <w:noProof/>
          <w:szCs w:val="22"/>
        </w:rPr>
        <w:t>Oversigt over bivirkninger efter markedsføring i tabelform</w:t>
      </w:r>
    </w:p>
    <w:p w:rsidR="005F70F3" w:rsidRDefault="005F70F3" w:rsidP="00C00726">
      <w:pPr>
        <w:ind w:left="851"/>
        <w:rPr>
          <w:noProof/>
          <w:szCs w:val="22"/>
        </w:rPr>
      </w:pPr>
      <w:r>
        <w:rPr>
          <w:noProof/>
          <w:szCs w:val="22"/>
        </w:rPr>
        <w:t>I tillæg til de ovennævnte bivirkninger identificeret fra de pivotale kliniske studier er grundlaget for den følgende tabel data indsamlet efter markedsføring.</w:t>
      </w:r>
    </w:p>
    <w:p w:rsidR="00D83032" w:rsidRPr="00840A6C" w:rsidRDefault="00D83032" w:rsidP="00C00726">
      <w:pPr>
        <w:ind w:left="851"/>
        <w:rPr>
          <w:noProof/>
          <w:sz w:val="24"/>
          <w:szCs w:val="24"/>
        </w:rPr>
      </w:pPr>
    </w:p>
    <w:p w:rsidR="00D83032" w:rsidRDefault="00D83032" w:rsidP="007366DD">
      <w:pPr>
        <w:keepNext/>
        <w:ind w:left="851"/>
        <w:rPr>
          <w:b/>
          <w:bCs/>
          <w:noProof/>
          <w:sz w:val="24"/>
          <w:szCs w:val="24"/>
        </w:rPr>
      </w:pPr>
      <w:r w:rsidRPr="00840A6C">
        <w:rPr>
          <w:b/>
          <w:bCs/>
          <w:noProof/>
          <w:sz w:val="24"/>
          <w:szCs w:val="24"/>
        </w:rPr>
        <w:t>Tabel </w:t>
      </w:r>
      <w:r w:rsidR="00F33C81">
        <w:rPr>
          <w:b/>
          <w:bCs/>
          <w:noProof/>
          <w:sz w:val="24"/>
          <w:szCs w:val="24"/>
        </w:rPr>
        <w:t>6</w:t>
      </w:r>
      <w:r w:rsidRPr="00840A6C">
        <w:rPr>
          <w:b/>
          <w:bCs/>
          <w:noProof/>
          <w:sz w:val="24"/>
          <w:szCs w:val="24"/>
        </w:rPr>
        <w:t>. Bivirkninger indberettet efter markedsføring hos patienter, der blev behandlet med lenalidomid</w:t>
      </w:r>
    </w:p>
    <w:p w:rsidR="00C00726" w:rsidRDefault="00C00726" w:rsidP="007366DD">
      <w:pPr>
        <w:keepNext/>
        <w:rPr>
          <w:b/>
          <w:bCs/>
          <w:noProof/>
          <w:sz w:val="22"/>
          <w:szCs w:val="22"/>
        </w:rPr>
      </w:pPr>
    </w:p>
    <w:tbl>
      <w:tblPr>
        <w:tblW w:w="5000" w:type="pct"/>
        <w:tblInd w:w="562" w:type="dxa"/>
        <w:tblCellMar>
          <w:left w:w="0" w:type="dxa"/>
          <w:right w:w="0" w:type="dxa"/>
        </w:tblCellMar>
        <w:tblLook w:val="04A0" w:firstRow="1" w:lastRow="0" w:firstColumn="1" w:lastColumn="0" w:noHBand="0" w:noVBand="1"/>
      </w:tblPr>
      <w:tblGrid>
        <w:gridCol w:w="2257"/>
        <w:gridCol w:w="3618"/>
        <w:gridCol w:w="3753"/>
      </w:tblGrid>
      <w:tr w:rsidR="00F33C81" w:rsidTr="00F33C81">
        <w:trPr>
          <w:trHeight w:val="20"/>
          <w:tblHeader/>
        </w:trPr>
        <w:tc>
          <w:tcPr>
            <w:tcW w:w="117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bCs/>
                <w:noProof/>
                <w:szCs w:val="22"/>
                <w:lang w:val="en-GB"/>
              </w:rPr>
            </w:pPr>
            <w:r>
              <w:rPr>
                <w:b/>
                <w:bCs/>
                <w:noProof/>
                <w:szCs w:val="22"/>
                <w:lang w:val="en-GB"/>
              </w:rPr>
              <w:t>Systemorganklasse/</w:t>
            </w:r>
          </w:p>
          <w:p w:rsidR="00F33C81" w:rsidRDefault="00F33C81" w:rsidP="00F33C81">
            <w:pPr>
              <w:rPr>
                <w:noProof/>
                <w:szCs w:val="22"/>
                <w:lang w:val="en-GB"/>
              </w:rPr>
            </w:pPr>
            <w:r>
              <w:rPr>
                <w:b/>
                <w:bCs/>
                <w:noProof/>
                <w:szCs w:val="22"/>
                <w:lang w:val="en-GB"/>
              </w:rPr>
              <w:t>foretrukken term</w:t>
            </w:r>
          </w:p>
        </w:tc>
        <w:tc>
          <w:tcPr>
            <w:tcW w:w="1879"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Alle bivirkninger/hyppighed</w:t>
            </w:r>
          </w:p>
        </w:tc>
        <w:tc>
          <w:tcPr>
            <w:tcW w:w="1949"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Grad 3-4 bivirkninger/hyppighed</w:t>
            </w:r>
          </w:p>
        </w:tc>
      </w:tr>
      <w:tr w:rsidR="00F33C81" w:rsidTr="00F33C81">
        <w:trPr>
          <w:trHeight w:val="20"/>
        </w:trPr>
        <w:tc>
          <w:tcPr>
            <w:tcW w:w="117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Infektioner og parasitære sygdomme</w:t>
            </w:r>
          </w:p>
        </w:tc>
        <w:tc>
          <w:tcPr>
            <w:tcW w:w="1879" w:type="pct"/>
            <w:tcBorders>
              <w:top w:val="single" w:sz="4" w:space="0" w:color="000000"/>
              <w:left w:val="single" w:sz="4" w:space="0" w:color="000000"/>
              <w:bottom w:val="single" w:sz="4" w:space="0" w:color="000000"/>
              <w:right w:val="single" w:sz="4" w:space="0" w:color="000000"/>
            </w:tcBorders>
            <w:hideMark/>
          </w:tcPr>
          <w:p w:rsidR="00F33C81" w:rsidRPr="00C00726" w:rsidRDefault="00F33C81" w:rsidP="00F33C81">
            <w:pPr>
              <w:rPr>
                <w:noProof/>
                <w:szCs w:val="22"/>
              </w:rPr>
            </w:pPr>
            <w:r w:rsidRPr="00C00726">
              <w:rPr>
                <w:noProof/>
                <w:szCs w:val="22"/>
                <w:u w:val="single"/>
              </w:rPr>
              <w:t>Ikke kendt</w:t>
            </w:r>
          </w:p>
          <w:p w:rsidR="00F33C81" w:rsidRPr="00C00726" w:rsidRDefault="00F33C81" w:rsidP="00F33C81">
            <w:pPr>
              <w:rPr>
                <w:noProof/>
                <w:szCs w:val="22"/>
              </w:rPr>
            </w:pPr>
            <w:r w:rsidRPr="00C00726">
              <w:rPr>
                <w:noProof/>
                <w:szCs w:val="22"/>
              </w:rPr>
              <w:t>Virusinfektioner, herunder herpes zoster og reaktivering af hepatitis B</w:t>
            </w:r>
            <w:r w:rsidRPr="00C00726">
              <w:rPr>
                <w:noProof/>
                <w:szCs w:val="22"/>
              </w:rPr>
              <w:noBreakHyphen/>
              <w:t>virus</w:t>
            </w:r>
          </w:p>
        </w:tc>
        <w:tc>
          <w:tcPr>
            <w:tcW w:w="1949" w:type="pct"/>
            <w:tcBorders>
              <w:top w:val="single" w:sz="4" w:space="0" w:color="000000"/>
              <w:left w:val="single" w:sz="4" w:space="0" w:color="000000"/>
              <w:bottom w:val="single" w:sz="4" w:space="0" w:color="000000"/>
              <w:right w:val="single" w:sz="4" w:space="0" w:color="000000"/>
            </w:tcBorders>
            <w:hideMark/>
          </w:tcPr>
          <w:p w:rsidR="00F33C81" w:rsidRPr="00C00726" w:rsidRDefault="00F33C81" w:rsidP="00F33C81">
            <w:pPr>
              <w:rPr>
                <w:noProof/>
                <w:szCs w:val="22"/>
              </w:rPr>
            </w:pPr>
            <w:r w:rsidRPr="00C00726">
              <w:rPr>
                <w:noProof/>
                <w:szCs w:val="22"/>
                <w:u w:val="single"/>
              </w:rPr>
              <w:t>Ikke kendt</w:t>
            </w:r>
          </w:p>
          <w:p w:rsidR="00F33C81" w:rsidRPr="00C00726" w:rsidRDefault="00F33C81" w:rsidP="00F33C81">
            <w:pPr>
              <w:rPr>
                <w:noProof/>
                <w:szCs w:val="22"/>
              </w:rPr>
            </w:pPr>
            <w:r w:rsidRPr="00C00726">
              <w:rPr>
                <w:noProof/>
                <w:szCs w:val="22"/>
              </w:rPr>
              <w:t>Virusinfektioner, herunder herpes zoster og reaktivering af hepatitis B</w:t>
            </w:r>
            <w:r w:rsidRPr="00C00726">
              <w:rPr>
                <w:noProof/>
                <w:szCs w:val="22"/>
              </w:rPr>
              <w:noBreakHyphen/>
              <w:t>virus</w:t>
            </w:r>
          </w:p>
        </w:tc>
      </w:tr>
      <w:tr w:rsidR="00F33C81" w:rsidTr="00F33C81">
        <w:trPr>
          <w:trHeight w:val="20"/>
        </w:trPr>
        <w:tc>
          <w:tcPr>
            <w:tcW w:w="1172" w:type="pct"/>
            <w:tcBorders>
              <w:top w:val="single" w:sz="4" w:space="0" w:color="000000"/>
              <w:left w:val="single" w:sz="4" w:space="0" w:color="000000"/>
              <w:bottom w:val="single" w:sz="4" w:space="0" w:color="000000"/>
              <w:right w:val="single" w:sz="4" w:space="0" w:color="000000"/>
            </w:tcBorders>
            <w:hideMark/>
          </w:tcPr>
          <w:p w:rsidR="00F33C81" w:rsidRPr="00C00726" w:rsidRDefault="00F33C81" w:rsidP="00F33C81">
            <w:pPr>
              <w:rPr>
                <w:noProof/>
                <w:szCs w:val="22"/>
              </w:rPr>
            </w:pPr>
            <w:r w:rsidRPr="00C00726">
              <w:rPr>
                <w:b/>
                <w:bCs/>
                <w:noProof/>
                <w:szCs w:val="22"/>
              </w:rPr>
              <w:t>Benigne, maligne og uspecificerede tumorer (inkl. cyster og polypper)</w:t>
            </w:r>
          </w:p>
        </w:tc>
        <w:tc>
          <w:tcPr>
            <w:tcW w:w="1879" w:type="pct"/>
            <w:tcBorders>
              <w:top w:val="single" w:sz="4" w:space="0" w:color="000000"/>
              <w:left w:val="single" w:sz="4" w:space="0" w:color="000000"/>
              <w:bottom w:val="single" w:sz="4" w:space="0" w:color="000000"/>
              <w:right w:val="single" w:sz="4" w:space="0" w:color="000000"/>
            </w:tcBorders>
          </w:tcPr>
          <w:p w:rsidR="00F33C81" w:rsidRPr="00C00726" w:rsidRDefault="00F33C81" w:rsidP="00F33C81">
            <w:pPr>
              <w:rPr>
                <w:noProof/>
                <w:szCs w:val="22"/>
              </w:rPr>
            </w:pPr>
          </w:p>
        </w:tc>
        <w:tc>
          <w:tcPr>
            <w:tcW w:w="1949"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Sjælden</w:t>
            </w:r>
          </w:p>
          <w:p w:rsidR="00F33C81" w:rsidRDefault="00F33C81" w:rsidP="00F33C81">
            <w:pPr>
              <w:rPr>
                <w:noProof/>
                <w:szCs w:val="22"/>
                <w:lang w:val="en-GB"/>
              </w:rPr>
            </w:pPr>
            <w:r>
              <w:rPr>
                <w:noProof/>
                <w:szCs w:val="22"/>
                <w:lang w:val="en-GB"/>
              </w:rPr>
              <w:t>Tumorlysesyndrom</w:t>
            </w:r>
          </w:p>
        </w:tc>
      </w:tr>
      <w:tr w:rsidR="00F33C81" w:rsidTr="00F33C81">
        <w:trPr>
          <w:trHeight w:val="20"/>
        </w:trPr>
        <w:tc>
          <w:tcPr>
            <w:tcW w:w="117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b/>
                <w:bCs/>
                <w:noProof/>
                <w:szCs w:val="22"/>
                <w:lang w:val="en-GB"/>
              </w:rPr>
            </w:pPr>
            <w:r>
              <w:rPr>
                <w:b/>
                <w:noProof/>
                <w:szCs w:val="22"/>
                <w:lang w:val="en-GB"/>
              </w:rPr>
              <w:t>Immunsystemet</w:t>
            </w:r>
          </w:p>
        </w:tc>
        <w:tc>
          <w:tcPr>
            <w:tcW w:w="1879" w:type="pct"/>
            <w:tcBorders>
              <w:top w:val="single" w:sz="4" w:space="0" w:color="000000"/>
              <w:left w:val="single" w:sz="4" w:space="0" w:color="000000"/>
              <w:bottom w:val="single" w:sz="4" w:space="0" w:color="000000"/>
              <w:right w:val="single" w:sz="4" w:space="0" w:color="000000"/>
            </w:tcBorders>
          </w:tcPr>
          <w:p w:rsidR="00F33C81" w:rsidRPr="00C00726" w:rsidRDefault="00F33C81" w:rsidP="00F33C81">
            <w:pPr>
              <w:rPr>
                <w:noProof/>
                <w:szCs w:val="22"/>
                <w:u w:val="single"/>
              </w:rPr>
            </w:pPr>
            <w:r w:rsidRPr="00C00726">
              <w:rPr>
                <w:noProof/>
                <w:szCs w:val="22"/>
                <w:u w:val="single"/>
              </w:rPr>
              <w:t xml:space="preserve">Sjælden </w:t>
            </w:r>
          </w:p>
          <w:p w:rsidR="00F33C81" w:rsidRPr="00C00726" w:rsidRDefault="00F33C81" w:rsidP="00F33C81">
            <w:pPr>
              <w:rPr>
                <w:noProof/>
                <w:szCs w:val="22"/>
              </w:rPr>
            </w:pPr>
            <w:r w:rsidRPr="00C00726">
              <w:rPr>
                <w:noProof/>
                <w:szCs w:val="22"/>
              </w:rPr>
              <w:t>Anafylaktisk reaktion</w:t>
            </w:r>
            <w:r w:rsidRPr="00C00726">
              <w:rPr>
                <w:noProof/>
                <w:szCs w:val="22"/>
                <w:vertAlign w:val="superscript"/>
              </w:rPr>
              <w:t>^</w:t>
            </w:r>
            <w:r w:rsidRPr="00C00726">
              <w:rPr>
                <w:noProof/>
                <w:szCs w:val="22"/>
              </w:rPr>
              <w:t xml:space="preserve"> </w:t>
            </w:r>
          </w:p>
          <w:p w:rsidR="00F33C81" w:rsidRPr="00C00726" w:rsidRDefault="00F33C81" w:rsidP="00F33C81">
            <w:pPr>
              <w:rPr>
                <w:noProof/>
                <w:szCs w:val="22"/>
                <w:u w:val="single"/>
              </w:rPr>
            </w:pPr>
          </w:p>
          <w:p w:rsidR="00F33C81" w:rsidRPr="00C00726" w:rsidRDefault="00F33C81" w:rsidP="00F33C81">
            <w:pPr>
              <w:rPr>
                <w:noProof/>
                <w:szCs w:val="22"/>
                <w:u w:val="single"/>
              </w:rPr>
            </w:pPr>
            <w:r w:rsidRPr="00C00726">
              <w:rPr>
                <w:noProof/>
                <w:szCs w:val="22"/>
                <w:u w:val="single"/>
              </w:rPr>
              <w:t>Ikke kendt</w:t>
            </w:r>
          </w:p>
          <w:p w:rsidR="00F33C81" w:rsidRPr="00C00726" w:rsidRDefault="00F33C81" w:rsidP="00F33C81">
            <w:pPr>
              <w:rPr>
                <w:noProof/>
                <w:szCs w:val="22"/>
                <w:u w:val="single"/>
              </w:rPr>
            </w:pPr>
            <w:r w:rsidRPr="00C00726">
              <w:rPr>
                <w:noProof/>
                <w:szCs w:val="22"/>
              </w:rPr>
              <w:t>Afstødning af transplanterede solide organer</w:t>
            </w:r>
          </w:p>
        </w:tc>
        <w:tc>
          <w:tcPr>
            <w:tcW w:w="1949" w:type="pct"/>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u w:val="single"/>
                <w:lang w:val="en-GB"/>
              </w:rPr>
            </w:pPr>
            <w:r>
              <w:rPr>
                <w:noProof/>
                <w:szCs w:val="22"/>
                <w:u w:val="single"/>
                <w:lang w:val="en-GB"/>
              </w:rPr>
              <w:t xml:space="preserve">Sjælden </w:t>
            </w:r>
          </w:p>
          <w:p w:rsidR="00F33C81" w:rsidRDefault="00F33C81" w:rsidP="00F33C81">
            <w:pPr>
              <w:rPr>
                <w:noProof/>
                <w:szCs w:val="22"/>
                <w:lang w:val="en-GB"/>
              </w:rPr>
            </w:pPr>
            <w:r>
              <w:rPr>
                <w:noProof/>
                <w:szCs w:val="22"/>
                <w:lang w:val="en-GB"/>
              </w:rPr>
              <w:t>Anafylaktisk reaktion</w:t>
            </w:r>
            <w:r>
              <w:rPr>
                <w:noProof/>
                <w:szCs w:val="22"/>
                <w:vertAlign w:val="superscript"/>
                <w:lang w:val="en-GB"/>
              </w:rPr>
              <w:t>^</w:t>
            </w:r>
            <w:r>
              <w:rPr>
                <w:noProof/>
                <w:szCs w:val="22"/>
                <w:lang w:val="en-GB"/>
              </w:rPr>
              <w:t xml:space="preserve"> </w:t>
            </w:r>
          </w:p>
          <w:p w:rsidR="00F33C81" w:rsidRDefault="00F33C81" w:rsidP="00F33C81">
            <w:pPr>
              <w:rPr>
                <w:noProof/>
                <w:szCs w:val="22"/>
                <w:lang w:val="en-GB"/>
              </w:rPr>
            </w:pPr>
          </w:p>
        </w:tc>
      </w:tr>
      <w:tr w:rsidR="00F33C81" w:rsidTr="00F33C81">
        <w:trPr>
          <w:trHeight w:val="20"/>
        </w:trPr>
        <w:tc>
          <w:tcPr>
            <w:tcW w:w="117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Blod og lymfesystem</w:t>
            </w:r>
          </w:p>
        </w:tc>
        <w:tc>
          <w:tcPr>
            <w:tcW w:w="1879"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Ikke kendt</w:t>
            </w:r>
          </w:p>
          <w:p w:rsidR="00F33C81" w:rsidRDefault="00F33C81" w:rsidP="00F33C81">
            <w:pPr>
              <w:rPr>
                <w:noProof/>
                <w:szCs w:val="22"/>
                <w:lang w:val="en-GB"/>
              </w:rPr>
            </w:pPr>
            <w:r>
              <w:rPr>
                <w:noProof/>
                <w:szCs w:val="22"/>
                <w:lang w:val="en-GB"/>
              </w:rPr>
              <w:t>Erhvervet hæmofili</w:t>
            </w:r>
          </w:p>
        </w:tc>
        <w:tc>
          <w:tcPr>
            <w:tcW w:w="1949" w:type="pct"/>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r w:rsidR="00F33C81" w:rsidTr="00F33C81">
        <w:trPr>
          <w:trHeight w:val="20"/>
        </w:trPr>
        <w:tc>
          <w:tcPr>
            <w:tcW w:w="117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Det endokrine system</w:t>
            </w:r>
          </w:p>
        </w:tc>
        <w:tc>
          <w:tcPr>
            <w:tcW w:w="1879"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noProof/>
                <w:szCs w:val="22"/>
                <w:u w:val="single"/>
                <w:lang w:val="en-GB"/>
              </w:rPr>
              <w:t>Almindelig</w:t>
            </w:r>
          </w:p>
          <w:p w:rsidR="00F33C81" w:rsidRDefault="00F33C81" w:rsidP="00F33C81">
            <w:pPr>
              <w:rPr>
                <w:noProof/>
                <w:szCs w:val="22"/>
                <w:lang w:val="en-GB"/>
              </w:rPr>
            </w:pPr>
            <w:r>
              <w:rPr>
                <w:noProof/>
                <w:szCs w:val="22"/>
                <w:lang w:val="en-GB"/>
              </w:rPr>
              <w:t>Hypertyroidisme</w:t>
            </w:r>
          </w:p>
        </w:tc>
        <w:tc>
          <w:tcPr>
            <w:tcW w:w="1949" w:type="pct"/>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r>
      <w:tr w:rsidR="00F33C81" w:rsidTr="00F33C81">
        <w:trPr>
          <w:trHeight w:val="20"/>
        </w:trPr>
        <w:tc>
          <w:tcPr>
            <w:tcW w:w="117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Luftveje, thorax og mediastinum</w:t>
            </w:r>
          </w:p>
        </w:tc>
        <w:tc>
          <w:tcPr>
            <w:tcW w:w="1879"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u w:val="single"/>
                <w:lang w:val="en-GB"/>
              </w:rPr>
            </w:pPr>
            <w:r>
              <w:rPr>
                <w:noProof/>
                <w:szCs w:val="22"/>
                <w:u w:val="single"/>
                <w:lang w:val="en-GB"/>
              </w:rPr>
              <w:t xml:space="preserve">Ikke almindelig </w:t>
            </w:r>
          </w:p>
          <w:p w:rsidR="00F33C81" w:rsidRDefault="00F33C81" w:rsidP="00F33C81">
            <w:pPr>
              <w:rPr>
                <w:noProof/>
                <w:szCs w:val="22"/>
                <w:lang w:val="en-GB"/>
              </w:rPr>
            </w:pPr>
            <w:r>
              <w:rPr>
                <w:noProof/>
                <w:szCs w:val="22"/>
                <w:lang w:val="en-GB"/>
              </w:rPr>
              <w:t>Pulmonal hypertension</w:t>
            </w:r>
          </w:p>
        </w:tc>
        <w:tc>
          <w:tcPr>
            <w:tcW w:w="1949" w:type="pct"/>
            <w:tcBorders>
              <w:top w:val="single" w:sz="4" w:space="0" w:color="000000"/>
              <w:left w:val="single" w:sz="4" w:space="0" w:color="000000"/>
              <w:bottom w:val="single" w:sz="4" w:space="0" w:color="000000"/>
              <w:right w:val="single" w:sz="4" w:space="0" w:color="000000"/>
            </w:tcBorders>
            <w:hideMark/>
          </w:tcPr>
          <w:p w:rsidR="00F33C81" w:rsidRPr="00C00726" w:rsidRDefault="00F33C81" w:rsidP="00F33C81">
            <w:pPr>
              <w:rPr>
                <w:noProof/>
                <w:szCs w:val="22"/>
                <w:u w:val="single"/>
              </w:rPr>
            </w:pPr>
            <w:r w:rsidRPr="00C00726">
              <w:rPr>
                <w:noProof/>
                <w:szCs w:val="22"/>
                <w:u w:val="single"/>
              </w:rPr>
              <w:t xml:space="preserve">Sjælden </w:t>
            </w:r>
          </w:p>
          <w:p w:rsidR="00F33C81" w:rsidRPr="00C00726" w:rsidRDefault="00F33C81" w:rsidP="00F33C81">
            <w:pPr>
              <w:rPr>
                <w:noProof/>
                <w:szCs w:val="22"/>
              </w:rPr>
            </w:pPr>
            <w:r w:rsidRPr="00C00726">
              <w:rPr>
                <w:noProof/>
                <w:szCs w:val="22"/>
              </w:rPr>
              <w:t>Pulmonal hypertension</w:t>
            </w:r>
          </w:p>
          <w:p w:rsidR="00F33C81" w:rsidRDefault="00F33C81" w:rsidP="00F33C81">
            <w:pPr>
              <w:rPr>
                <w:noProof/>
                <w:szCs w:val="22"/>
                <w:u w:val="single"/>
              </w:rPr>
            </w:pPr>
          </w:p>
          <w:p w:rsidR="00F33C81" w:rsidRPr="00C00726" w:rsidRDefault="00F33C81" w:rsidP="00F33C81">
            <w:pPr>
              <w:rPr>
                <w:noProof/>
                <w:szCs w:val="22"/>
              </w:rPr>
            </w:pPr>
            <w:r w:rsidRPr="00C00726">
              <w:rPr>
                <w:noProof/>
                <w:szCs w:val="22"/>
                <w:u w:val="single"/>
              </w:rPr>
              <w:t>Ikke kendt</w:t>
            </w:r>
          </w:p>
          <w:p w:rsidR="00F33C81" w:rsidRPr="00C00726" w:rsidRDefault="00F33C81" w:rsidP="00F33C81">
            <w:pPr>
              <w:rPr>
                <w:noProof/>
                <w:szCs w:val="22"/>
              </w:rPr>
            </w:pPr>
            <w:r w:rsidRPr="00C00726">
              <w:rPr>
                <w:noProof/>
                <w:szCs w:val="22"/>
              </w:rPr>
              <w:t>Interstitial pneumonitis</w:t>
            </w:r>
          </w:p>
        </w:tc>
      </w:tr>
      <w:tr w:rsidR="00F33C81" w:rsidTr="00F33C81">
        <w:trPr>
          <w:trHeight w:val="20"/>
        </w:trPr>
        <w:tc>
          <w:tcPr>
            <w:tcW w:w="117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Mave-tarm-kanalen</w:t>
            </w:r>
          </w:p>
        </w:tc>
        <w:tc>
          <w:tcPr>
            <w:tcW w:w="1879" w:type="pct"/>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c>
          <w:tcPr>
            <w:tcW w:w="1949" w:type="pct"/>
            <w:tcBorders>
              <w:top w:val="single" w:sz="4" w:space="0" w:color="000000"/>
              <w:left w:val="single" w:sz="4" w:space="0" w:color="000000"/>
              <w:bottom w:val="single" w:sz="4" w:space="0" w:color="000000"/>
              <w:right w:val="single" w:sz="4" w:space="0" w:color="000000"/>
            </w:tcBorders>
            <w:hideMark/>
          </w:tcPr>
          <w:p w:rsidR="00F33C81" w:rsidRPr="00C00726" w:rsidRDefault="00F33C81" w:rsidP="00F33C81">
            <w:pPr>
              <w:rPr>
                <w:noProof/>
                <w:szCs w:val="22"/>
              </w:rPr>
            </w:pPr>
            <w:r w:rsidRPr="00C00726">
              <w:rPr>
                <w:noProof/>
                <w:szCs w:val="22"/>
                <w:u w:val="single"/>
              </w:rPr>
              <w:t>Ikke kendt</w:t>
            </w:r>
          </w:p>
          <w:p w:rsidR="00F33C81" w:rsidRPr="00C00726" w:rsidRDefault="00F33C81" w:rsidP="00F33C81">
            <w:pPr>
              <w:rPr>
                <w:noProof/>
                <w:szCs w:val="22"/>
              </w:rPr>
            </w:pPr>
            <w:r w:rsidRPr="00C00726">
              <w:rPr>
                <w:noProof/>
                <w:szCs w:val="22"/>
              </w:rPr>
              <w:t>Pankreatitis, gastrointestinal perforation (herunder divertikulær og intestinal perforation samt tyktarms</w:t>
            </w:r>
            <w:r w:rsidRPr="00C00726">
              <w:rPr>
                <w:noProof/>
                <w:szCs w:val="22"/>
              </w:rPr>
              <w:softHyphen/>
              <w:t>perforation)^</w:t>
            </w:r>
          </w:p>
        </w:tc>
      </w:tr>
      <w:tr w:rsidR="00F33C81" w:rsidTr="00F33C81">
        <w:trPr>
          <w:trHeight w:val="20"/>
        </w:trPr>
        <w:tc>
          <w:tcPr>
            <w:tcW w:w="117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Lever og galdeveje</w:t>
            </w:r>
          </w:p>
        </w:tc>
        <w:tc>
          <w:tcPr>
            <w:tcW w:w="1879" w:type="pct"/>
            <w:tcBorders>
              <w:top w:val="single" w:sz="4" w:space="0" w:color="000000"/>
              <w:left w:val="single" w:sz="4" w:space="0" w:color="000000"/>
              <w:bottom w:val="single" w:sz="4" w:space="0" w:color="000000"/>
              <w:right w:val="single" w:sz="4" w:space="0" w:color="000000"/>
            </w:tcBorders>
            <w:hideMark/>
          </w:tcPr>
          <w:p w:rsidR="00F33C81" w:rsidRPr="00C00726" w:rsidRDefault="00F33C81" w:rsidP="00F33C81">
            <w:pPr>
              <w:rPr>
                <w:noProof/>
                <w:szCs w:val="22"/>
              </w:rPr>
            </w:pPr>
            <w:r w:rsidRPr="00C00726">
              <w:rPr>
                <w:noProof/>
                <w:szCs w:val="22"/>
                <w:u w:val="single"/>
              </w:rPr>
              <w:t>Ikke kendt</w:t>
            </w:r>
          </w:p>
          <w:p w:rsidR="00F33C81" w:rsidRPr="00C00726" w:rsidRDefault="00F33C81" w:rsidP="00F33C81">
            <w:pPr>
              <w:rPr>
                <w:noProof/>
                <w:szCs w:val="22"/>
              </w:rPr>
            </w:pPr>
            <w:r w:rsidRPr="00C00726">
              <w:rPr>
                <w:noProof/>
                <w:szCs w:val="22"/>
              </w:rPr>
              <w:t>Akut leversvigt^, toksisk hepatitis^, cytolytisk hepatitis^, kolestatisk hepatitis^, blandet cytolytisk/kolestatisk hepatitis^</w:t>
            </w:r>
          </w:p>
        </w:tc>
        <w:tc>
          <w:tcPr>
            <w:tcW w:w="1949" w:type="pct"/>
            <w:tcBorders>
              <w:top w:val="single" w:sz="4" w:space="0" w:color="000000"/>
              <w:left w:val="single" w:sz="4" w:space="0" w:color="000000"/>
              <w:bottom w:val="single" w:sz="4" w:space="0" w:color="000000"/>
              <w:right w:val="single" w:sz="4" w:space="0" w:color="000000"/>
            </w:tcBorders>
            <w:hideMark/>
          </w:tcPr>
          <w:p w:rsidR="00F33C81" w:rsidRPr="00C00726" w:rsidRDefault="00F33C81" w:rsidP="00F33C81">
            <w:pPr>
              <w:rPr>
                <w:noProof/>
                <w:szCs w:val="22"/>
              </w:rPr>
            </w:pPr>
            <w:r w:rsidRPr="00C00726">
              <w:rPr>
                <w:noProof/>
                <w:szCs w:val="22"/>
                <w:u w:val="single"/>
              </w:rPr>
              <w:t>Ikke kendt</w:t>
            </w:r>
          </w:p>
          <w:p w:rsidR="00F33C81" w:rsidRPr="00C00726" w:rsidRDefault="00F33C81" w:rsidP="00F33C81">
            <w:pPr>
              <w:rPr>
                <w:noProof/>
                <w:szCs w:val="22"/>
              </w:rPr>
            </w:pPr>
            <w:r w:rsidRPr="00C00726">
              <w:rPr>
                <w:noProof/>
                <w:szCs w:val="22"/>
              </w:rPr>
              <w:t>Akut leversvigt^, toksisk hepatitis^</w:t>
            </w:r>
          </w:p>
        </w:tc>
      </w:tr>
      <w:tr w:rsidR="00F33C81" w:rsidTr="00F33C81">
        <w:trPr>
          <w:trHeight w:val="20"/>
        </w:trPr>
        <w:tc>
          <w:tcPr>
            <w:tcW w:w="1172" w:type="pct"/>
            <w:tcBorders>
              <w:top w:val="single" w:sz="4" w:space="0" w:color="000000"/>
              <w:left w:val="single" w:sz="4" w:space="0" w:color="000000"/>
              <w:bottom w:val="single" w:sz="4" w:space="0" w:color="000000"/>
              <w:right w:val="single" w:sz="4" w:space="0" w:color="000000"/>
            </w:tcBorders>
            <w:hideMark/>
          </w:tcPr>
          <w:p w:rsidR="00F33C81" w:rsidRDefault="00F33C81" w:rsidP="00F33C81">
            <w:pPr>
              <w:rPr>
                <w:noProof/>
                <w:szCs w:val="22"/>
                <w:lang w:val="en-GB"/>
              </w:rPr>
            </w:pPr>
            <w:r>
              <w:rPr>
                <w:b/>
                <w:bCs/>
                <w:noProof/>
                <w:szCs w:val="22"/>
                <w:lang w:val="en-GB"/>
              </w:rPr>
              <w:t>Hud og subkutane væv</w:t>
            </w:r>
          </w:p>
        </w:tc>
        <w:tc>
          <w:tcPr>
            <w:tcW w:w="1879" w:type="pct"/>
            <w:tcBorders>
              <w:top w:val="single" w:sz="4" w:space="0" w:color="000000"/>
              <w:left w:val="single" w:sz="4" w:space="0" w:color="000000"/>
              <w:bottom w:val="single" w:sz="4" w:space="0" w:color="000000"/>
              <w:right w:val="single" w:sz="4" w:space="0" w:color="000000"/>
            </w:tcBorders>
          </w:tcPr>
          <w:p w:rsidR="00F33C81" w:rsidRDefault="00F33C81" w:rsidP="00F33C81">
            <w:pPr>
              <w:rPr>
                <w:noProof/>
                <w:szCs w:val="22"/>
                <w:lang w:val="en-GB"/>
              </w:rPr>
            </w:pPr>
          </w:p>
        </w:tc>
        <w:tc>
          <w:tcPr>
            <w:tcW w:w="1949" w:type="pct"/>
            <w:tcBorders>
              <w:top w:val="single" w:sz="4" w:space="0" w:color="000000"/>
              <w:left w:val="single" w:sz="4" w:space="0" w:color="000000"/>
              <w:bottom w:val="single" w:sz="4" w:space="0" w:color="000000"/>
              <w:right w:val="single" w:sz="4" w:space="0" w:color="000000"/>
            </w:tcBorders>
          </w:tcPr>
          <w:p w:rsidR="00F33C81" w:rsidRPr="00C00726" w:rsidRDefault="00F33C81" w:rsidP="00F33C81">
            <w:pPr>
              <w:rPr>
                <w:noProof/>
                <w:szCs w:val="22"/>
              </w:rPr>
            </w:pPr>
            <w:r w:rsidRPr="00C00726">
              <w:rPr>
                <w:noProof/>
                <w:szCs w:val="22"/>
                <w:u w:val="single"/>
              </w:rPr>
              <w:t>Ikke almindelig</w:t>
            </w:r>
          </w:p>
          <w:p w:rsidR="00F33C81" w:rsidRPr="00C00726" w:rsidRDefault="00F33C81" w:rsidP="00F33C81">
            <w:pPr>
              <w:rPr>
                <w:noProof/>
                <w:szCs w:val="22"/>
              </w:rPr>
            </w:pPr>
            <w:r w:rsidRPr="00C00726">
              <w:rPr>
                <w:noProof/>
                <w:szCs w:val="22"/>
              </w:rPr>
              <w:t>Angioødem</w:t>
            </w:r>
          </w:p>
          <w:p w:rsidR="00F33C81" w:rsidRPr="00C00726" w:rsidRDefault="00F33C81" w:rsidP="00F33C81">
            <w:pPr>
              <w:rPr>
                <w:noProof/>
                <w:szCs w:val="22"/>
              </w:rPr>
            </w:pPr>
          </w:p>
          <w:p w:rsidR="00F33C81" w:rsidRPr="00C00726" w:rsidRDefault="00F33C81" w:rsidP="00F33C81">
            <w:pPr>
              <w:rPr>
                <w:noProof/>
                <w:szCs w:val="22"/>
              </w:rPr>
            </w:pPr>
            <w:r w:rsidRPr="00C00726">
              <w:rPr>
                <w:noProof/>
                <w:szCs w:val="22"/>
                <w:u w:val="single"/>
              </w:rPr>
              <w:t>Sjælden</w:t>
            </w:r>
          </w:p>
          <w:p w:rsidR="00F33C81" w:rsidRPr="00C00726" w:rsidRDefault="00F33C81" w:rsidP="00F33C81">
            <w:pPr>
              <w:rPr>
                <w:noProof/>
                <w:szCs w:val="22"/>
              </w:rPr>
            </w:pPr>
            <w:r w:rsidRPr="00C00726">
              <w:rPr>
                <w:noProof/>
                <w:szCs w:val="22"/>
              </w:rPr>
              <w:t>Stevens-Johnson syndrom^, toksisk epidermal nekrolyse^</w:t>
            </w:r>
          </w:p>
          <w:p w:rsidR="00F33C81" w:rsidRPr="00C00726" w:rsidRDefault="00F33C81" w:rsidP="00F33C81">
            <w:pPr>
              <w:rPr>
                <w:noProof/>
                <w:szCs w:val="22"/>
              </w:rPr>
            </w:pPr>
          </w:p>
          <w:p w:rsidR="00F33C81" w:rsidRPr="00C00726" w:rsidRDefault="00F33C81" w:rsidP="00F33C81">
            <w:pPr>
              <w:rPr>
                <w:noProof/>
                <w:szCs w:val="22"/>
              </w:rPr>
            </w:pPr>
            <w:r w:rsidRPr="00C00726">
              <w:rPr>
                <w:noProof/>
                <w:szCs w:val="22"/>
                <w:u w:val="single"/>
              </w:rPr>
              <w:t>Ikke kendt</w:t>
            </w:r>
          </w:p>
          <w:p w:rsidR="00F33C81" w:rsidRPr="00C00726" w:rsidRDefault="00F33C81" w:rsidP="00F33C81">
            <w:pPr>
              <w:rPr>
                <w:noProof/>
                <w:szCs w:val="22"/>
              </w:rPr>
            </w:pPr>
            <w:r w:rsidRPr="00C00726">
              <w:rPr>
                <w:noProof/>
                <w:szCs w:val="22"/>
              </w:rPr>
              <w:t>Leukocytoklastisk vaskulitis, lægemiddelfremkaldt reaktion med eosinofili og systemiske symptomer^</w:t>
            </w:r>
          </w:p>
        </w:tc>
      </w:tr>
    </w:tbl>
    <w:p w:rsidR="00C00726" w:rsidRDefault="00C00726" w:rsidP="00C00726">
      <w:pPr>
        <w:ind w:left="851"/>
        <w:rPr>
          <w:noProof/>
          <w:sz w:val="16"/>
          <w:szCs w:val="16"/>
        </w:rPr>
      </w:pPr>
      <w:r>
        <w:rPr>
          <w:noProof/>
          <w:sz w:val="16"/>
          <w:szCs w:val="16"/>
        </w:rPr>
        <w:lastRenderedPageBreak/>
        <w:t>^Se pkt. 4.8 “Beskrivelse af udvalgte bivirkninger”</w:t>
      </w:r>
    </w:p>
    <w:p w:rsidR="00D83032" w:rsidRPr="00840A6C" w:rsidRDefault="00D83032" w:rsidP="00840A6C">
      <w:pPr>
        <w:ind w:left="851"/>
        <w:rPr>
          <w:noProof/>
          <w:sz w:val="24"/>
          <w:szCs w:val="24"/>
        </w:rPr>
      </w:pPr>
    </w:p>
    <w:p w:rsidR="00D83032" w:rsidRPr="00840A6C" w:rsidRDefault="00D83032" w:rsidP="007366DD">
      <w:pPr>
        <w:keepNext/>
        <w:ind w:left="851"/>
        <w:rPr>
          <w:noProof/>
          <w:sz w:val="24"/>
          <w:szCs w:val="24"/>
        </w:rPr>
      </w:pPr>
      <w:r w:rsidRPr="00840A6C">
        <w:rPr>
          <w:noProof/>
          <w:sz w:val="24"/>
          <w:szCs w:val="24"/>
          <w:u w:val="single"/>
        </w:rPr>
        <w:t>Beskrivelse af udvalgte bivirkninger</w:t>
      </w:r>
    </w:p>
    <w:p w:rsidR="00D83032" w:rsidRPr="00840A6C" w:rsidRDefault="00D83032" w:rsidP="007366DD">
      <w:pPr>
        <w:keepNext/>
        <w:ind w:left="851"/>
        <w:rPr>
          <w:i/>
          <w:noProof/>
          <w:sz w:val="24"/>
          <w:szCs w:val="24"/>
        </w:rPr>
      </w:pPr>
    </w:p>
    <w:p w:rsidR="00D83032" w:rsidRPr="00840A6C" w:rsidRDefault="00D83032" w:rsidP="007366DD">
      <w:pPr>
        <w:keepNext/>
        <w:ind w:left="851"/>
        <w:rPr>
          <w:i/>
          <w:noProof/>
          <w:sz w:val="24"/>
          <w:szCs w:val="24"/>
        </w:rPr>
      </w:pPr>
      <w:r w:rsidRPr="00840A6C">
        <w:rPr>
          <w:i/>
          <w:noProof/>
          <w:sz w:val="24"/>
          <w:szCs w:val="24"/>
        </w:rPr>
        <w:t>Teratogenicitet</w:t>
      </w:r>
    </w:p>
    <w:p w:rsidR="00D83032" w:rsidRPr="00840A6C" w:rsidRDefault="00D83032" w:rsidP="00840A6C">
      <w:pPr>
        <w:ind w:left="851"/>
        <w:rPr>
          <w:noProof/>
          <w:sz w:val="24"/>
          <w:szCs w:val="24"/>
        </w:rPr>
      </w:pPr>
      <w:r w:rsidRPr="00840A6C">
        <w:rPr>
          <w:noProof/>
          <w:sz w:val="24"/>
          <w:szCs w:val="24"/>
        </w:rPr>
        <w:t>Lenalidomid er strukturelt i familie med thalidomid. Thalidomid er et kendt humanteratogent aktivt stof, som forårsager svære livstruende fødselsdefekter. Hos aber medførte lenalidomid misdannelser, som ligner dem, der er beskrevet i forbindelse med thalidomid (se pkt. 4.6 og 5.3). Hvis lenalidomid indtages under graviditet, forventes det, at lenalidomid har en teratogen virkning hos mennesker.</w:t>
      </w:r>
    </w:p>
    <w:p w:rsidR="00D83032" w:rsidRPr="00840A6C" w:rsidRDefault="00D83032" w:rsidP="00840A6C">
      <w:pPr>
        <w:ind w:left="851"/>
        <w:rPr>
          <w:noProof/>
          <w:sz w:val="24"/>
          <w:szCs w:val="24"/>
        </w:rPr>
      </w:pPr>
    </w:p>
    <w:p w:rsidR="00D83032" w:rsidRPr="00840A6C" w:rsidRDefault="00D83032" w:rsidP="00840A6C">
      <w:pPr>
        <w:ind w:left="851"/>
        <w:rPr>
          <w:i/>
          <w:noProof/>
          <w:sz w:val="24"/>
          <w:szCs w:val="24"/>
          <w:lang w:val="en-US"/>
        </w:rPr>
      </w:pPr>
      <w:r w:rsidRPr="00840A6C">
        <w:rPr>
          <w:i/>
          <w:noProof/>
          <w:sz w:val="24"/>
          <w:szCs w:val="24"/>
          <w:lang w:val="en-US"/>
        </w:rPr>
        <w:t>Neutropeni og trombocytopeni</w:t>
      </w:r>
    </w:p>
    <w:p w:rsidR="00D83032" w:rsidRPr="00840A6C" w:rsidRDefault="00D83032" w:rsidP="00C06583">
      <w:pPr>
        <w:numPr>
          <w:ilvl w:val="0"/>
          <w:numId w:val="7"/>
        </w:numPr>
        <w:ind w:left="1134" w:hanging="283"/>
        <w:rPr>
          <w:i/>
          <w:iCs/>
          <w:sz w:val="24"/>
          <w:szCs w:val="24"/>
        </w:rPr>
      </w:pPr>
      <w:r w:rsidRPr="00840A6C">
        <w:rPr>
          <w:i/>
          <w:iCs/>
          <w:sz w:val="24"/>
          <w:szCs w:val="24"/>
        </w:rPr>
        <w:t xml:space="preserve">Nydiagnosticeret myelomatose: </w:t>
      </w:r>
      <w:r w:rsidR="00C06583">
        <w:rPr>
          <w:i/>
          <w:iCs/>
          <w:sz w:val="24"/>
          <w:szCs w:val="24"/>
        </w:rPr>
        <w:t>P</w:t>
      </w:r>
      <w:r w:rsidRPr="00840A6C">
        <w:rPr>
          <w:i/>
          <w:iCs/>
          <w:sz w:val="24"/>
          <w:szCs w:val="24"/>
        </w:rPr>
        <w:t>atienter, der har gennemgået ASCT og er i vedligeholdelsesbehandling med lenalidomid</w:t>
      </w:r>
    </w:p>
    <w:p w:rsidR="00D83032" w:rsidRPr="00840A6C" w:rsidRDefault="00D83032" w:rsidP="00840A6C">
      <w:pPr>
        <w:ind w:left="851"/>
        <w:rPr>
          <w:noProof/>
          <w:sz w:val="24"/>
          <w:szCs w:val="24"/>
        </w:rPr>
      </w:pPr>
      <w:r w:rsidRPr="00840A6C">
        <w:rPr>
          <w:noProof/>
          <w:sz w:val="24"/>
          <w:szCs w:val="24"/>
        </w:rPr>
        <w:t xml:space="preserve">Vedligeholdelsesbehandling med lenalidomid efter ASCT er forbundet med en højere forekomst af grad 4 neutropeni sammenlignet med placebo-vedligeholdelsesbehandling (32,1 % </w:t>
      </w:r>
      <w:r w:rsidRPr="00840A6C">
        <w:rPr>
          <w:i/>
          <w:noProof/>
          <w:sz w:val="24"/>
          <w:szCs w:val="24"/>
        </w:rPr>
        <w:t xml:space="preserve">vs. </w:t>
      </w:r>
      <w:r w:rsidRPr="00840A6C">
        <w:rPr>
          <w:noProof/>
          <w:sz w:val="24"/>
          <w:szCs w:val="24"/>
        </w:rPr>
        <w:t>26,7 % [16,1</w:t>
      </w:r>
      <w:r w:rsidRPr="00840A6C">
        <w:rPr>
          <w:sz w:val="24"/>
          <w:szCs w:val="24"/>
        </w:rPr>
        <w:t> </w:t>
      </w:r>
      <w:r w:rsidRPr="00840A6C">
        <w:rPr>
          <w:noProof/>
          <w:sz w:val="24"/>
          <w:szCs w:val="24"/>
        </w:rPr>
        <w:t xml:space="preserve">% </w:t>
      </w:r>
      <w:r w:rsidRPr="00840A6C">
        <w:rPr>
          <w:i/>
          <w:iCs/>
          <w:noProof/>
          <w:sz w:val="24"/>
          <w:szCs w:val="24"/>
        </w:rPr>
        <w:t>vs.</w:t>
      </w:r>
      <w:r w:rsidRPr="00840A6C">
        <w:rPr>
          <w:noProof/>
          <w:sz w:val="24"/>
          <w:szCs w:val="24"/>
        </w:rPr>
        <w:t xml:space="preserve"> 1,8 % efter påbegyndelse af vedligeholdelsesbehandling] i CALGB 100104 og 16,4 % </w:t>
      </w:r>
      <w:r w:rsidRPr="00840A6C">
        <w:rPr>
          <w:i/>
          <w:noProof/>
          <w:sz w:val="24"/>
          <w:szCs w:val="24"/>
        </w:rPr>
        <w:t xml:space="preserve">vs. </w:t>
      </w:r>
      <w:r w:rsidRPr="00840A6C">
        <w:rPr>
          <w:noProof/>
          <w:sz w:val="24"/>
          <w:szCs w:val="24"/>
        </w:rPr>
        <w:t xml:space="preserve">0,7 % i IFM 2005-02). Bivirkninger på grund af behandlingsrelateret neutropeni medførte seponering af lenalidomid hos 2,2 % af patienterne i CALGB 100104 og hos 2,4 % af patienterne i IFM 2005-02. Grad 4 febril neutropeni blev rapporteret med sammenlignelige hyppigheder i armene med lenalidomid-vedligeholdelsesbehandling og placebo-vedligeholdelsesbehandling i de 2 studier (henholdsvis 0,4 % </w:t>
      </w:r>
      <w:r w:rsidRPr="00840A6C">
        <w:rPr>
          <w:i/>
          <w:noProof/>
          <w:sz w:val="24"/>
          <w:szCs w:val="24"/>
        </w:rPr>
        <w:t xml:space="preserve">vs. </w:t>
      </w:r>
      <w:r w:rsidRPr="00840A6C">
        <w:rPr>
          <w:noProof/>
          <w:sz w:val="24"/>
          <w:szCs w:val="24"/>
        </w:rPr>
        <w:t xml:space="preserve">0,5 % [0,4 % </w:t>
      </w:r>
      <w:r w:rsidRPr="00840A6C">
        <w:rPr>
          <w:i/>
          <w:iCs/>
          <w:noProof/>
          <w:sz w:val="24"/>
          <w:szCs w:val="24"/>
        </w:rPr>
        <w:t>vs.</w:t>
      </w:r>
      <w:r w:rsidRPr="00840A6C">
        <w:rPr>
          <w:noProof/>
          <w:sz w:val="24"/>
          <w:szCs w:val="24"/>
        </w:rPr>
        <w:t xml:space="preserve"> 0,5 % efter påbegyndelse af vedligeholdelsesbehandling] i CALGB 100104 og 0,3 % </w:t>
      </w:r>
      <w:r w:rsidRPr="00840A6C">
        <w:rPr>
          <w:i/>
          <w:noProof/>
          <w:sz w:val="24"/>
          <w:szCs w:val="24"/>
        </w:rPr>
        <w:t xml:space="preserve">vs. </w:t>
      </w:r>
      <w:r w:rsidRPr="00840A6C">
        <w:rPr>
          <w:noProof/>
          <w:sz w:val="24"/>
          <w:szCs w:val="24"/>
        </w:rPr>
        <w:t>0 % i IFM 2005-02).</w:t>
      </w:r>
    </w:p>
    <w:p w:rsidR="00D83032" w:rsidRPr="00840A6C" w:rsidRDefault="00D83032" w:rsidP="00840A6C">
      <w:pPr>
        <w:ind w:left="851"/>
        <w:rPr>
          <w:noProof/>
          <w:sz w:val="24"/>
          <w:szCs w:val="24"/>
        </w:rPr>
      </w:pPr>
    </w:p>
    <w:p w:rsidR="00D83032" w:rsidRDefault="00D83032" w:rsidP="00840A6C">
      <w:pPr>
        <w:ind w:left="851"/>
        <w:rPr>
          <w:noProof/>
          <w:sz w:val="24"/>
          <w:szCs w:val="24"/>
        </w:rPr>
      </w:pPr>
      <w:r w:rsidRPr="00840A6C">
        <w:rPr>
          <w:noProof/>
          <w:sz w:val="24"/>
          <w:szCs w:val="24"/>
        </w:rPr>
        <w:t xml:space="preserve">Vedligeholdelsesbehandling med lenalidomid efter ASCT er forbundet med en højere forekomst af grad 3 eller 4 trombocytopeni sammenlignet med placebo-vedligeholdelsesbehandling (henholdsvis 37,5 % </w:t>
      </w:r>
      <w:r w:rsidRPr="00840A6C">
        <w:rPr>
          <w:i/>
          <w:noProof/>
          <w:sz w:val="24"/>
          <w:szCs w:val="24"/>
        </w:rPr>
        <w:t xml:space="preserve">vs. </w:t>
      </w:r>
      <w:r w:rsidRPr="00840A6C">
        <w:rPr>
          <w:noProof/>
          <w:sz w:val="24"/>
          <w:szCs w:val="24"/>
        </w:rPr>
        <w:t xml:space="preserve">30,3 % [17,9 % </w:t>
      </w:r>
      <w:r w:rsidRPr="00840A6C">
        <w:rPr>
          <w:i/>
          <w:iCs/>
          <w:noProof/>
          <w:sz w:val="24"/>
          <w:szCs w:val="24"/>
        </w:rPr>
        <w:t>vs.</w:t>
      </w:r>
      <w:r w:rsidRPr="00840A6C">
        <w:rPr>
          <w:noProof/>
          <w:sz w:val="24"/>
          <w:szCs w:val="24"/>
        </w:rPr>
        <w:t xml:space="preserve"> 4,1 % efter påbegyndelse af vedligeholdelsesbehandling] i CALGB 100104 og 13,0 % </w:t>
      </w:r>
      <w:r w:rsidRPr="00840A6C">
        <w:rPr>
          <w:i/>
          <w:noProof/>
          <w:sz w:val="24"/>
          <w:szCs w:val="24"/>
        </w:rPr>
        <w:t xml:space="preserve">vs. </w:t>
      </w:r>
      <w:r w:rsidRPr="00840A6C">
        <w:rPr>
          <w:noProof/>
          <w:sz w:val="24"/>
          <w:szCs w:val="24"/>
        </w:rPr>
        <w:t>2,9 % i IFM 2005-02).</w:t>
      </w:r>
    </w:p>
    <w:p w:rsidR="00C00726" w:rsidRDefault="00C00726" w:rsidP="00C00726">
      <w:pPr>
        <w:rPr>
          <w:noProof/>
          <w:sz w:val="22"/>
          <w:szCs w:val="22"/>
        </w:rPr>
      </w:pPr>
    </w:p>
    <w:p w:rsidR="00C00726" w:rsidRDefault="00C00726" w:rsidP="00C00726">
      <w:pPr>
        <w:numPr>
          <w:ilvl w:val="0"/>
          <w:numId w:val="13"/>
        </w:numPr>
        <w:ind w:left="1134" w:hanging="283"/>
        <w:rPr>
          <w:i/>
          <w:iCs/>
          <w:szCs w:val="22"/>
        </w:rPr>
      </w:pPr>
      <w:r>
        <w:rPr>
          <w:i/>
          <w:iCs/>
          <w:szCs w:val="22"/>
        </w:rPr>
        <w:t xml:space="preserve">Nydiagnosticeret myelomatose: </w:t>
      </w:r>
      <w:r>
        <w:rPr>
          <w:i/>
          <w:noProof/>
          <w:szCs w:val="22"/>
        </w:rPr>
        <w:t>hos patienter, som ikke er egnede til transplantation, der får lenalidomid i kombination med bortezomib og dexamethason</w:t>
      </w:r>
    </w:p>
    <w:p w:rsidR="00C00726" w:rsidRDefault="00C00726" w:rsidP="00C00726">
      <w:pPr>
        <w:ind w:left="851"/>
        <w:rPr>
          <w:noProof/>
          <w:szCs w:val="22"/>
        </w:rPr>
      </w:pPr>
      <w:r>
        <w:rPr>
          <w:noProof/>
          <w:szCs w:val="22"/>
        </w:rPr>
        <w:t xml:space="preserve">Grad 4 neutropeni blev observeret i mindre grad i RVd-armen end i Rd-komparatorarmen (2,7 % vs. 5,9 %) i SWOG S0777-studiet. Grad 4 febril neutropeni blev rapporteret med tilsvarende hyppigheder i RVd-armen og Rd-armen (0,0 % vs. 0,4 %). </w:t>
      </w:r>
    </w:p>
    <w:p w:rsidR="00C00726" w:rsidRDefault="00C00726" w:rsidP="00C00726">
      <w:pPr>
        <w:ind w:left="851"/>
        <w:rPr>
          <w:noProof/>
          <w:szCs w:val="22"/>
        </w:rPr>
      </w:pPr>
      <w:r>
        <w:rPr>
          <w:noProof/>
          <w:szCs w:val="22"/>
        </w:rPr>
        <w:t xml:space="preserve"> </w:t>
      </w:r>
    </w:p>
    <w:p w:rsidR="00C00726" w:rsidRDefault="00C00726" w:rsidP="00C00726">
      <w:pPr>
        <w:ind w:left="851"/>
        <w:rPr>
          <w:noProof/>
          <w:szCs w:val="22"/>
        </w:rPr>
      </w:pPr>
      <w:r>
        <w:rPr>
          <w:noProof/>
          <w:szCs w:val="22"/>
        </w:rPr>
        <w:t>Grad 3 eller 4 trombocytopeni blev observeret i større grad i RVd-armen end i Rd-komparatorarmen (17,2 % vs. 9,4 %).</w:t>
      </w:r>
    </w:p>
    <w:p w:rsidR="00D83032" w:rsidRPr="00840A6C" w:rsidRDefault="00D83032" w:rsidP="00840A6C">
      <w:pPr>
        <w:ind w:left="851"/>
        <w:rPr>
          <w:noProof/>
          <w:sz w:val="24"/>
          <w:szCs w:val="24"/>
        </w:rPr>
      </w:pPr>
    </w:p>
    <w:p w:rsidR="00D83032" w:rsidRPr="00840A6C" w:rsidRDefault="00D83032" w:rsidP="00C06583">
      <w:pPr>
        <w:numPr>
          <w:ilvl w:val="0"/>
          <w:numId w:val="7"/>
        </w:numPr>
        <w:ind w:left="1134" w:hanging="283"/>
        <w:rPr>
          <w:i/>
          <w:iCs/>
          <w:sz w:val="24"/>
          <w:szCs w:val="24"/>
        </w:rPr>
      </w:pPr>
      <w:r w:rsidRPr="00840A6C">
        <w:rPr>
          <w:i/>
          <w:iCs/>
          <w:sz w:val="24"/>
          <w:szCs w:val="24"/>
        </w:rPr>
        <w:lastRenderedPageBreak/>
        <w:t xml:space="preserve">Nydiagnosticeret myelomatose: </w:t>
      </w:r>
      <w:r w:rsidR="00C06583">
        <w:rPr>
          <w:i/>
          <w:iCs/>
          <w:sz w:val="24"/>
          <w:szCs w:val="24"/>
        </w:rPr>
        <w:t>P</w:t>
      </w:r>
      <w:r w:rsidRPr="00840A6C">
        <w:rPr>
          <w:i/>
          <w:iCs/>
          <w:sz w:val="24"/>
          <w:szCs w:val="24"/>
        </w:rPr>
        <w:t>atienter, der ikke er egnede til transplantation, i behandling med lenalidomid i kombination med dexamethason</w:t>
      </w:r>
    </w:p>
    <w:p w:rsidR="00D83032" w:rsidRPr="00840A6C" w:rsidRDefault="00D83032" w:rsidP="00840A6C">
      <w:pPr>
        <w:ind w:left="851"/>
        <w:rPr>
          <w:noProof/>
          <w:sz w:val="24"/>
          <w:szCs w:val="24"/>
        </w:rPr>
      </w:pPr>
      <w:r w:rsidRPr="00840A6C">
        <w:rPr>
          <w:noProof/>
          <w:sz w:val="24"/>
          <w:szCs w:val="24"/>
        </w:rPr>
        <w:t>Kombinationen af lenalidomid og dexamethason hos nydiagnosticerede patienter med myelomatose er forbundet med en lavere hyppighed af grad 4 neutropeni (8,5 % med Rd og Rd18, sammenlignet med 15 % med MPT). Grad 4 febril neutropeni blev ikke observeret hyppigt (0,6 % med RD og Rd18 sammenlignet med 0,7 % med MPT).</w:t>
      </w:r>
    </w:p>
    <w:p w:rsidR="00D83032" w:rsidRPr="00840A6C" w:rsidRDefault="00D83032" w:rsidP="00840A6C">
      <w:pPr>
        <w:ind w:left="851"/>
        <w:rPr>
          <w:noProof/>
          <w:sz w:val="24"/>
          <w:szCs w:val="24"/>
          <w:u w:val="single"/>
        </w:rPr>
      </w:pPr>
    </w:p>
    <w:p w:rsidR="00D83032" w:rsidRPr="00840A6C" w:rsidRDefault="00D83032" w:rsidP="00840A6C">
      <w:pPr>
        <w:ind w:left="851"/>
        <w:rPr>
          <w:noProof/>
          <w:sz w:val="24"/>
          <w:szCs w:val="24"/>
        </w:rPr>
      </w:pPr>
      <w:r w:rsidRPr="00840A6C">
        <w:rPr>
          <w:noProof/>
          <w:sz w:val="24"/>
          <w:szCs w:val="24"/>
        </w:rPr>
        <w:t>Kombinationen af lenalidomid og dexamethason hos nydiagnosticerede patienter med myelomatose er forbundet med en lavere hyppighed af grad 3 og 4 neutropeni (8,1 % med Rd og Rd18), sammenlignet med MPT (11</w:t>
      </w:r>
      <w:r w:rsidR="00F33C81">
        <w:rPr>
          <w:noProof/>
          <w:sz w:val="24"/>
          <w:szCs w:val="24"/>
        </w:rPr>
        <w:t>,1</w:t>
      </w:r>
      <w:r w:rsidRPr="00840A6C">
        <w:rPr>
          <w:noProof/>
          <w:sz w:val="24"/>
          <w:szCs w:val="24"/>
        </w:rPr>
        <w:t> %).</w:t>
      </w:r>
    </w:p>
    <w:p w:rsidR="00D83032" w:rsidRPr="00840A6C" w:rsidRDefault="00D83032" w:rsidP="00840A6C">
      <w:pPr>
        <w:ind w:left="851"/>
        <w:rPr>
          <w:noProof/>
          <w:sz w:val="24"/>
          <w:szCs w:val="24"/>
        </w:rPr>
      </w:pPr>
    </w:p>
    <w:p w:rsidR="00D83032" w:rsidRPr="00840A6C" w:rsidRDefault="00D83032" w:rsidP="007366DD">
      <w:pPr>
        <w:keepNext/>
        <w:numPr>
          <w:ilvl w:val="0"/>
          <w:numId w:val="7"/>
        </w:numPr>
        <w:ind w:left="1135" w:hanging="284"/>
        <w:rPr>
          <w:i/>
          <w:iCs/>
          <w:sz w:val="24"/>
          <w:szCs w:val="24"/>
        </w:rPr>
      </w:pPr>
      <w:r w:rsidRPr="00840A6C">
        <w:rPr>
          <w:i/>
          <w:iCs/>
          <w:sz w:val="24"/>
          <w:szCs w:val="24"/>
        </w:rPr>
        <w:t>Nydiagnosticeret myelomatose hos patienter, der ikke er egnede til transplantation, og som er i behandling med lenalidomid i kombination med melphalan og prednison</w:t>
      </w:r>
    </w:p>
    <w:p w:rsidR="00D83032" w:rsidRPr="00840A6C" w:rsidRDefault="00D83032" w:rsidP="00840A6C">
      <w:pPr>
        <w:ind w:left="851"/>
        <w:rPr>
          <w:noProof/>
          <w:sz w:val="24"/>
          <w:szCs w:val="24"/>
        </w:rPr>
      </w:pPr>
      <w:r w:rsidRPr="00840A6C">
        <w:rPr>
          <w:noProof/>
          <w:sz w:val="24"/>
          <w:szCs w:val="24"/>
        </w:rPr>
        <w:t>Kombinationen af lenalidomid og melphalan og prednison hos nydiagnosticerede patienter med myelomatose er forbundet med en større hyppighed af grad 4 neutropeni (34,1 % med MPR+R/MPR+p) sammenlignet med MPp+p (7,8 %). Der blev observeret en større hyppighed af grad 4 febril neutropeni (1,7 % med MPR+R/MPR+p sammenlignet med 0,0 % med MPp+p).</w:t>
      </w:r>
    </w:p>
    <w:p w:rsidR="00D83032" w:rsidRPr="00840A6C" w:rsidRDefault="00D83032" w:rsidP="00840A6C">
      <w:pPr>
        <w:ind w:left="851"/>
        <w:rPr>
          <w:noProof/>
          <w:sz w:val="24"/>
          <w:szCs w:val="24"/>
        </w:rPr>
      </w:pPr>
    </w:p>
    <w:p w:rsidR="00D83032" w:rsidRPr="00840A6C" w:rsidRDefault="00D83032" w:rsidP="00840A6C">
      <w:pPr>
        <w:ind w:left="851"/>
        <w:rPr>
          <w:noProof/>
          <w:sz w:val="24"/>
          <w:szCs w:val="24"/>
        </w:rPr>
      </w:pPr>
      <w:r w:rsidRPr="00840A6C">
        <w:rPr>
          <w:noProof/>
          <w:sz w:val="24"/>
          <w:szCs w:val="24"/>
        </w:rPr>
        <w:t>Kombinationen af lenalidomid sammen med melphalan og prednison hos nydiagnosticerede patienter med myelomatose er forbundet med en større hyppighed af grad 3 og grad 4 trombocytopeni (40,4 % hos patienter i behandling med MPR+R/MPR+p, sammenlignet med MPp+p (13,7 %)).</w:t>
      </w:r>
    </w:p>
    <w:p w:rsidR="00D83032" w:rsidRPr="00840A6C" w:rsidRDefault="00D83032" w:rsidP="00840A6C">
      <w:pPr>
        <w:ind w:left="851"/>
        <w:rPr>
          <w:noProof/>
          <w:sz w:val="24"/>
          <w:szCs w:val="24"/>
        </w:rPr>
      </w:pPr>
    </w:p>
    <w:p w:rsidR="00D83032" w:rsidRPr="00840A6C" w:rsidRDefault="00D83032" w:rsidP="00C06583">
      <w:pPr>
        <w:numPr>
          <w:ilvl w:val="0"/>
          <w:numId w:val="7"/>
        </w:numPr>
        <w:ind w:left="1134" w:hanging="283"/>
        <w:rPr>
          <w:i/>
          <w:iCs/>
          <w:sz w:val="24"/>
          <w:szCs w:val="24"/>
        </w:rPr>
      </w:pPr>
      <w:r w:rsidRPr="00840A6C">
        <w:rPr>
          <w:i/>
          <w:iCs/>
          <w:sz w:val="24"/>
          <w:szCs w:val="24"/>
        </w:rPr>
        <w:t>Patienter med myelomatose, der har fået mindst en tidligere behandling</w:t>
      </w:r>
    </w:p>
    <w:p w:rsidR="00D83032" w:rsidRPr="00840A6C" w:rsidRDefault="00D83032" w:rsidP="00840A6C">
      <w:pPr>
        <w:ind w:left="851"/>
        <w:rPr>
          <w:noProof/>
          <w:sz w:val="24"/>
          <w:szCs w:val="24"/>
        </w:rPr>
      </w:pPr>
      <w:r w:rsidRPr="00840A6C">
        <w:rPr>
          <w:noProof/>
          <w:sz w:val="24"/>
          <w:szCs w:val="24"/>
        </w:rPr>
        <w:t>Kombination af lenalidomid og dexamethason hos patienter med myelomatose er forbundet med en højere forekomst af grad 4-neutropeni (5,1 % hos patienter, som blev behandlet med lenalidomid/dexamethason, sammenlignet med 0,6 % hos patienter, som blev behandlet med placebo/dexamethason). Episoder af grad 4 febril neutropeni blev observeret mindre hyppigt (0,6 % hos patienter, som blev behandlet med lenalidomid/dexamethason, sammenlignet med 0,0 % hos patienter, som blev behandlet med placebo/dexamethason).</w:t>
      </w:r>
    </w:p>
    <w:p w:rsidR="00D83032" w:rsidRPr="00840A6C" w:rsidRDefault="00D83032" w:rsidP="00840A6C">
      <w:pPr>
        <w:ind w:left="851"/>
        <w:rPr>
          <w:noProof/>
          <w:sz w:val="24"/>
          <w:szCs w:val="24"/>
        </w:rPr>
      </w:pPr>
    </w:p>
    <w:p w:rsidR="00D83032" w:rsidRDefault="00D83032" w:rsidP="00840A6C">
      <w:pPr>
        <w:ind w:left="851"/>
        <w:rPr>
          <w:noProof/>
          <w:sz w:val="24"/>
          <w:szCs w:val="24"/>
        </w:rPr>
      </w:pPr>
      <w:r w:rsidRPr="00840A6C">
        <w:rPr>
          <w:noProof/>
          <w:sz w:val="24"/>
          <w:szCs w:val="24"/>
        </w:rPr>
        <w:t>Hos patienter med myelomatose er kombination af lenalidomid og dexamethason forbundet med en højere forekomst af grad 3 og grad 4 trombocytopeni (henholdsvis 9,9 % og 1,4 % hos patienter, som blev behandlet med lenalidomid/dexamethason, sammenlignet med 2,3 % og 0,0 % hos patienter, som blev behandlet med placebo/dexamethason).</w:t>
      </w:r>
    </w:p>
    <w:p w:rsidR="00F33C81" w:rsidRDefault="00F33C81" w:rsidP="00840A6C">
      <w:pPr>
        <w:ind w:left="851"/>
        <w:rPr>
          <w:noProof/>
          <w:sz w:val="24"/>
          <w:szCs w:val="24"/>
        </w:rPr>
      </w:pPr>
    </w:p>
    <w:p w:rsidR="00F33C81" w:rsidRPr="00840A6C" w:rsidRDefault="00F33C81" w:rsidP="00F33C81">
      <w:pPr>
        <w:numPr>
          <w:ilvl w:val="0"/>
          <w:numId w:val="7"/>
        </w:numPr>
        <w:ind w:left="1134" w:hanging="283"/>
        <w:rPr>
          <w:i/>
          <w:iCs/>
          <w:sz w:val="24"/>
          <w:szCs w:val="24"/>
        </w:rPr>
      </w:pPr>
      <w:r w:rsidRPr="00840A6C">
        <w:rPr>
          <w:i/>
          <w:iCs/>
          <w:sz w:val="24"/>
          <w:szCs w:val="24"/>
        </w:rPr>
        <w:t>Patienter med myelodysplastisk syndrom</w:t>
      </w:r>
    </w:p>
    <w:p w:rsidR="00F33C81" w:rsidRPr="00840A6C" w:rsidRDefault="00F33C81" w:rsidP="00F33C81">
      <w:pPr>
        <w:ind w:left="851"/>
        <w:rPr>
          <w:noProof/>
          <w:sz w:val="24"/>
          <w:szCs w:val="24"/>
        </w:rPr>
      </w:pPr>
      <w:r w:rsidRPr="00840A6C">
        <w:rPr>
          <w:noProof/>
          <w:sz w:val="24"/>
          <w:szCs w:val="24"/>
        </w:rPr>
        <w:t>Hos patienter med myolodysplastisk syndrom er lenalidomid forbundet med en højere forekomst af grad 3 eller 4 neutropeni (74,6 % hos lenalidomid-behandlede patienter, sammenlignet med 14,9 % hos patienter på placebo i fase III</w:t>
      </w:r>
      <w:r w:rsidRPr="00840A6C">
        <w:rPr>
          <w:noProof/>
          <w:sz w:val="24"/>
          <w:szCs w:val="24"/>
        </w:rPr>
        <w:noBreakHyphen/>
        <w:t>studiet). Grad 3 eller 4 febrile episoder med neutropeni blev observeret (2,2 % af lenalidomid-behandlede patienter, sammenlignet med 0,0 % hos patienter på placebo). Lenalidomid er forbundet med en højere forekomst af grad 3 eller 4 trombocytopeni (37 % hos lenalidomid-behandlede patienter, sammenlignet med 1,5 % hos patienter på placebo i fase III</w:t>
      </w:r>
      <w:r w:rsidRPr="00840A6C">
        <w:rPr>
          <w:noProof/>
          <w:sz w:val="24"/>
          <w:szCs w:val="24"/>
        </w:rPr>
        <w:noBreakHyphen/>
        <w:t>studiet).</w:t>
      </w:r>
    </w:p>
    <w:p w:rsidR="00F33C81" w:rsidRPr="00840A6C" w:rsidRDefault="00F33C81" w:rsidP="00F33C81">
      <w:pPr>
        <w:ind w:left="851"/>
        <w:rPr>
          <w:noProof/>
          <w:sz w:val="24"/>
          <w:szCs w:val="24"/>
        </w:rPr>
      </w:pPr>
    </w:p>
    <w:p w:rsidR="00F33C81" w:rsidRPr="00840A6C" w:rsidRDefault="00F33C81" w:rsidP="00F33C81">
      <w:pPr>
        <w:numPr>
          <w:ilvl w:val="0"/>
          <w:numId w:val="7"/>
        </w:numPr>
        <w:ind w:left="1134" w:hanging="283"/>
        <w:rPr>
          <w:i/>
          <w:iCs/>
          <w:sz w:val="24"/>
          <w:szCs w:val="24"/>
        </w:rPr>
      </w:pPr>
      <w:r w:rsidRPr="00840A6C">
        <w:rPr>
          <w:i/>
          <w:iCs/>
          <w:sz w:val="24"/>
          <w:szCs w:val="24"/>
        </w:rPr>
        <w:t>Patienter med mantle celle lymfom</w:t>
      </w:r>
    </w:p>
    <w:p w:rsidR="00F33C81" w:rsidRPr="00840A6C" w:rsidRDefault="00F33C81" w:rsidP="00F33C81">
      <w:pPr>
        <w:ind w:left="851"/>
        <w:rPr>
          <w:noProof/>
          <w:sz w:val="24"/>
          <w:szCs w:val="24"/>
        </w:rPr>
      </w:pPr>
      <w:r w:rsidRPr="00840A6C">
        <w:rPr>
          <w:noProof/>
          <w:sz w:val="24"/>
          <w:szCs w:val="24"/>
        </w:rPr>
        <w:t>Hos patienter med mantle celle lymfom er lenalidomid forbundet med en højere forekomst af grad 3 og 4 neutropeni (43,7 % hos lenalidomid-behandlede patienter sammenlignet med 33,7 % i kontrolarmen i fase II</w:t>
      </w:r>
      <w:r w:rsidRPr="00840A6C">
        <w:rPr>
          <w:noProof/>
          <w:sz w:val="24"/>
          <w:szCs w:val="24"/>
        </w:rPr>
        <w:noBreakHyphen/>
        <w:t xml:space="preserve">studiet). Grad 3 eller 4 febrile episoder med </w:t>
      </w:r>
      <w:r w:rsidRPr="00840A6C">
        <w:rPr>
          <w:noProof/>
          <w:sz w:val="24"/>
          <w:szCs w:val="24"/>
        </w:rPr>
        <w:lastRenderedPageBreak/>
        <w:t>neutropeni blev observeret hos 6,0 % i lenalidomid-armen sammenlignet med 2,4 % i kontrolarmen.</w:t>
      </w:r>
    </w:p>
    <w:p w:rsidR="00D83032" w:rsidRPr="00840A6C" w:rsidRDefault="00D83032" w:rsidP="00840A6C">
      <w:pPr>
        <w:ind w:left="851"/>
        <w:rPr>
          <w:noProof/>
          <w:sz w:val="24"/>
          <w:szCs w:val="24"/>
        </w:rPr>
      </w:pPr>
    </w:p>
    <w:p w:rsidR="00C00726" w:rsidRPr="00C00726" w:rsidRDefault="00C00726" w:rsidP="00C00726">
      <w:pPr>
        <w:numPr>
          <w:ilvl w:val="0"/>
          <w:numId w:val="13"/>
        </w:numPr>
        <w:ind w:left="1134" w:hanging="283"/>
        <w:rPr>
          <w:i/>
          <w:iCs/>
          <w:sz w:val="24"/>
          <w:szCs w:val="24"/>
        </w:rPr>
      </w:pPr>
      <w:r w:rsidRPr="00C00726">
        <w:rPr>
          <w:i/>
          <w:iCs/>
          <w:sz w:val="24"/>
          <w:szCs w:val="24"/>
        </w:rPr>
        <w:t xml:space="preserve">Patienter med </w:t>
      </w:r>
      <w:r w:rsidRPr="00C00726">
        <w:rPr>
          <w:i/>
          <w:noProof/>
          <w:sz w:val="24"/>
          <w:szCs w:val="24"/>
        </w:rPr>
        <w:t xml:space="preserve">follikulært lymfom </w:t>
      </w:r>
    </w:p>
    <w:p w:rsidR="00C00726" w:rsidRPr="00C00726" w:rsidRDefault="00C00726" w:rsidP="00C00726">
      <w:pPr>
        <w:ind w:left="851"/>
        <w:rPr>
          <w:noProof/>
          <w:sz w:val="24"/>
          <w:szCs w:val="24"/>
        </w:rPr>
      </w:pPr>
      <w:r w:rsidRPr="00C00726">
        <w:rPr>
          <w:noProof/>
          <w:sz w:val="24"/>
          <w:szCs w:val="24"/>
        </w:rPr>
        <w:t xml:space="preserve">Kombinationen af lenalidomid og rituximab ved follikulært lymfom er forbundet med en større forekomst af grad 3 eller grad 4 neutropeni (50,7 % hos patienter behandlet med lenalidomid/rituximab sammenlignet med 12,2 % hos patienter behandlet med placebo/rituximab). Alle grad 3 eller 4 neutropenier var reversible ved dosisafbrydelse, dosisreduktion og/eller støttebehandling med vækstfaktorer. Desuden blev febril neutropeni ikke hyppigt observeret (2,7 % hos patienter behandlet med lenalidomid/rituximab sammenlignet med 0,7 % hos patienter behandlet med placebo/rituximab). </w:t>
      </w:r>
    </w:p>
    <w:p w:rsidR="00C00726" w:rsidRPr="00C00726" w:rsidRDefault="00C00726" w:rsidP="00C00726">
      <w:pPr>
        <w:ind w:left="851"/>
        <w:rPr>
          <w:noProof/>
          <w:sz w:val="24"/>
          <w:szCs w:val="24"/>
        </w:rPr>
      </w:pPr>
    </w:p>
    <w:p w:rsidR="00C00726" w:rsidRPr="00C00726" w:rsidRDefault="00C00726" w:rsidP="00C00726">
      <w:pPr>
        <w:ind w:left="851"/>
        <w:rPr>
          <w:noProof/>
          <w:sz w:val="24"/>
          <w:szCs w:val="24"/>
        </w:rPr>
      </w:pPr>
      <w:r w:rsidRPr="00C00726">
        <w:rPr>
          <w:noProof/>
          <w:sz w:val="24"/>
          <w:szCs w:val="24"/>
        </w:rPr>
        <w:t xml:space="preserve">Lenalidomid i kombination med rituximab er også forbundet med en større forekomst af grad 3 eller grad 4 trombocytopeni (1,4 % hos patienter behandlet med lenalidomid/rituximab sammenlignet med 0 % hos patienter behandlet med placebo/rituximab).  </w:t>
      </w:r>
    </w:p>
    <w:p w:rsidR="00C00726" w:rsidRPr="00C00726" w:rsidRDefault="00C00726" w:rsidP="00C00726">
      <w:pPr>
        <w:ind w:left="851"/>
        <w:rPr>
          <w:noProof/>
          <w:sz w:val="24"/>
          <w:szCs w:val="24"/>
        </w:rPr>
      </w:pPr>
    </w:p>
    <w:p w:rsidR="00C00726" w:rsidRPr="00C00726" w:rsidRDefault="00C00726" w:rsidP="00C00726">
      <w:pPr>
        <w:pStyle w:val="Listeafsnit"/>
        <w:numPr>
          <w:ilvl w:val="0"/>
          <w:numId w:val="14"/>
        </w:numPr>
        <w:ind w:left="1134" w:hanging="283"/>
        <w:rPr>
          <w:i/>
          <w:noProof/>
          <w:sz w:val="24"/>
          <w:szCs w:val="24"/>
        </w:rPr>
      </w:pPr>
      <w:r w:rsidRPr="00C00726">
        <w:rPr>
          <w:i/>
          <w:noProof/>
          <w:sz w:val="24"/>
          <w:szCs w:val="24"/>
        </w:rPr>
        <w:t>Venøs tromboemboli</w:t>
      </w:r>
    </w:p>
    <w:p w:rsidR="00DF19D5" w:rsidRPr="00C00726" w:rsidRDefault="00DF19D5" w:rsidP="00DF19D5">
      <w:pPr>
        <w:ind w:left="851"/>
        <w:rPr>
          <w:noProof/>
          <w:sz w:val="24"/>
          <w:szCs w:val="24"/>
        </w:rPr>
      </w:pPr>
      <w:r w:rsidRPr="00C00726">
        <w:rPr>
          <w:noProof/>
          <w:sz w:val="24"/>
          <w:szCs w:val="24"/>
        </w:rPr>
        <w:t>Der er en øget risiko for DVT og lungeemboli forbundet med anvendelse af kombinationen lenalidomid plus dexamethason og i mindre grad med anvendelse af lenalidomid i kombination med melphalan og prednison hos patienter med myelomatose eller anvendelse af lenalidomid-hos patienter med myelomatose</w:t>
      </w:r>
      <w:r>
        <w:rPr>
          <w:noProof/>
          <w:sz w:val="24"/>
          <w:szCs w:val="24"/>
        </w:rPr>
        <w:t xml:space="preserve">, </w:t>
      </w:r>
      <w:r w:rsidRPr="005524AB">
        <w:rPr>
          <w:sz w:val="24"/>
          <w:szCs w:val="24"/>
          <w:lang w:eastAsia="da-DK"/>
        </w:rPr>
        <w:t>myelodysplastisk syndrom eller mantle celle lymfom</w:t>
      </w:r>
      <w:r w:rsidRPr="00C00726">
        <w:rPr>
          <w:noProof/>
          <w:sz w:val="24"/>
          <w:szCs w:val="24"/>
        </w:rPr>
        <w:t xml:space="preserve"> (se pkt. 4.5).</w:t>
      </w:r>
    </w:p>
    <w:p w:rsidR="00DF19D5" w:rsidRPr="00C00726" w:rsidRDefault="00DF19D5" w:rsidP="00DF19D5">
      <w:pPr>
        <w:ind w:left="851"/>
        <w:rPr>
          <w:noProof/>
          <w:sz w:val="24"/>
          <w:szCs w:val="24"/>
        </w:rPr>
      </w:pPr>
      <w:r w:rsidRPr="00C00726">
        <w:rPr>
          <w:noProof/>
          <w:sz w:val="24"/>
          <w:szCs w:val="24"/>
        </w:rPr>
        <w:t>Samtidig administration af erytropoietiner eller dyb venetrombose i anamnesen kan også øge risikoen for trombose hos disse patienter.</w:t>
      </w:r>
    </w:p>
    <w:p w:rsidR="00C00726" w:rsidRPr="00C00726" w:rsidRDefault="00C00726" w:rsidP="00C00726">
      <w:pPr>
        <w:ind w:left="851"/>
        <w:rPr>
          <w:noProof/>
          <w:sz w:val="24"/>
          <w:szCs w:val="24"/>
        </w:rPr>
      </w:pPr>
    </w:p>
    <w:p w:rsidR="00C00726" w:rsidRPr="00C00726" w:rsidRDefault="00C00726" w:rsidP="007366DD">
      <w:pPr>
        <w:pStyle w:val="Listeafsnit"/>
        <w:keepNext/>
        <w:numPr>
          <w:ilvl w:val="0"/>
          <w:numId w:val="14"/>
        </w:numPr>
        <w:ind w:left="1135" w:hanging="284"/>
        <w:rPr>
          <w:i/>
          <w:noProof/>
          <w:sz w:val="24"/>
          <w:szCs w:val="24"/>
        </w:rPr>
      </w:pPr>
      <w:r w:rsidRPr="00C00726">
        <w:rPr>
          <w:i/>
          <w:noProof/>
          <w:sz w:val="24"/>
          <w:szCs w:val="24"/>
        </w:rPr>
        <w:t>Myokardieinfarkt</w:t>
      </w:r>
    </w:p>
    <w:p w:rsidR="00C00726" w:rsidRPr="00C00726" w:rsidRDefault="00C00726" w:rsidP="00C00726">
      <w:pPr>
        <w:ind w:left="851"/>
        <w:rPr>
          <w:noProof/>
          <w:sz w:val="24"/>
          <w:szCs w:val="24"/>
        </w:rPr>
      </w:pPr>
      <w:r w:rsidRPr="00C00726">
        <w:rPr>
          <w:noProof/>
          <w:sz w:val="24"/>
          <w:szCs w:val="24"/>
        </w:rPr>
        <w:t>Der er rapporteret om myokardieinfarkt hos patienter, der får lenalidomid, især hos patienter med kendte risikofaktorer.</w:t>
      </w:r>
    </w:p>
    <w:p w:rsidR="00C00726" w:rsidRPr="00C00726" w:rsidRDefault="00C00726" w:rsidP="00C00726">
      <w:pPr>
        <w:ind w:left="851"/>
        <w:rPr>
          <w:noProof/>
          <w:sz w:val="24"/>
          <w:szCs w:val="24"/>
        </w:rPr>
      </w:pPr>
    </w:p>
    <w:p w:rsidR="00C00726" w:rsidRPr="00C00726" w:rsidRDefault="00C00726" w:rsidP="00C00726">
      <w:pPr>
        <w:pStyle w:val="Listeafsnit"/>
        <w:numPr>
          <w:ilvl w:val="0"/>
          <w:numId w:val="14"/>
        </w:numPr>
        <w:ind w:left="1134" w:hanging="283"/>
        <w:rPr>
          <w:i/>
          <w:noProof/>
          <w:sz w:val="24"/>
          <w:szCs w:val="24"/>
        </w:rPr>
      </w:pPr>
      <w:r w:rsidRPr="00C00726">
        <w:rPr>
          <w:i/>
          <w:noProof/>
          <w:sz w:val="24"/>
          <w:szCs w:val="24"/>
        </w:rPr>
        <w:t>Blødningsforstyrrelser</w:t>
      </w:r>
    </w:p>
    <w:p w:rsidR="00C00726" w:rsidRPr="00C00726" w:rsidRDefault="00C00726" w:rsidP="00C00726">
      <w:pPr>
        <w:ind w:left="851"/>
        <w:rPr>
          <w:noProof/>
          <w:sz w:val="24"/>
          <w:szCs w:val="24"/>
        </w:rPr>
      </w:pPr>
      <w:r w:rsidRPr="00C00726">
        <w:rPr>
          <w:noProof/>
          <w:sz w:val="24"/>
          <w:szCs w:val="24"/>
        </w:rPr>
        <w:t>Blødningsforstyrrelser er anført under flere systemorganklasser: blod og lymfesystem, nervesystemet (intrakraniel blødning), luftveje, thorax og mediastinum (epistaxis), mave-tarm-kanalen (gingivalblødning, hæmorideblødning, rektalblødning), nyrer og urinveje (hæmaturi), traumer, forgiftninger og behandlingskomplikationer (kontusion) og vaskulære sygdomme (ecchymosis).</w:t>
      </w:r>
    </w:p>
    <w:p w:rsidR="00C00726" w:rsidRPr="00C00726" w:rsidRDefault="00C00726" w:rsidP="00C00726">
      <w:pPr>
        <w:ind w:left="851"/>
        <w:rPr>
          <w:noProof/>
          <w:sz w:val="24"/>
          <w:szCs w:val="24"/>
        </w:rPr>
      </w:pPr>
    </w:p>
    <w:p w:rsidR="00C00726" w:rsidRPr="00C00726" w:rsidRDefault="00C00726" w:rsidP="00C00726">
      <w:pPr>
        <w:pStyle w:val="Listeafsnit"/>
        <w:numPr>
          <w:ilvl w:val="0"/>
          <w:numId w:val="14"/>
        </w:numPr>
        <w:ind w:left="1134" w:hanging="283"/>
        <w:rPr>
          <w:i/>
          <w:noProof/>
          <w:sz w:val="24"/>
          <w:szCs w:val="24"/>
        </w:rPr>
      </w:pPr>
      <w:r w:rsidRPr="00C00726">
        <w:rPr>
          <w:i/>
          <w:noProof/>
          <w:sz w:val="24"/>
          <w:szCs w:val="24"/>
        </w:rPr>
        <w:t>Allergiske reaktione og svære hudreaktionerr</w:t>
      </w:r>
    </w:p>
    <w:p w:rsidR="00C00726" w:rsidRPr="00C00726" w:rsidRDefault="00C00726" w:rsidP="00C00726">
      <w:pPr>
        <w:ind w:left="851"/>
        <w:rPr>
          <w:noProof/>
          <w:sz w:val="24"/>
          <w:szCs w:val="24"/>
        </w:rPr>
      </w:pPr>
      <w:r w:rsidRPr="00C00726">
        <w:rPr>
          <w:noProof/>
          <w:sz w:val="24"/>
          <w:szCs w:val="24"/>
        </w:rPr>
        <w:t>Der er rapporteret om tilfælde af allergiske herunder angioødem, anafylaktisk reaktion og svære kutane reaktioner, herunder Stevens-Johnsons syndrom, toksisk epidermal nekrolyse og lægemiddelfremkaldt reaktion med eosinofili og systemiske symptomer (DRESS), ved brug af lenalidomid. Der er i litteraturen rapporteret om en mulig krydsreaktion mellem lenalidomid og thalidomid. Patienter, der tidligere har haft svært udslæt i forbindelse med thalidomid-behandling, bør ikke få lenalidomid (se pkt. 4.4).</w:t>
      </w:r>
    </w:p>
    <w:p w:rsidR="00C00726" w:rsidRPr="00C00726" w:rsidRDefault="00C00726" w:rsidP="00C00726">
      <w:pPr>
        <w:ind w:left="851"/>
        <w:rPr>
          <w:noProof/>
          <w:sz w:val="24"/>
          <w:szCs w:val="24"/>
        </w:rPr>
      </w:pPr>
    </w:p>
    <w:p w:rsidR="00C00726" w:rsidRPr="00C00726" w:rsidRDefault="00C00726" w:rsidP="00C00726">
      <w:pPr>
        <w:pStyle w:val="Listeafsnit"/>
        <w:numPr>
          <w:ilvl w:val="0"/>
          <w:numId w:val="14"/>
        </w:numPr>
        <w:ind w:left="1134" w:hanging="283"/>
        <w:rPr>
          <w:i/>
          <w:noProof/>
          <w:sz w:val="24"/>
          <w:szCs w:val="24"/>
        </w:rPr>
      </w:pPr>
      <w:r w:rsidRPr="00C00726">
        <w:rPr>
          <w:i/>
          <w:noProof/>
          <w:sz w:val="24"/>
          <w:szCs w:val="24"/>
        </w:rPr>
        <w:t>Anden primær malignitet</w:t>
      </w:r>
    </w:p>
    <w:p w:rsidR="00C00726" w:rsidRPr="00C00726" w:rsidRDefault="00C00726" w:rsidP="00C00726">
      <w:pPr>
        <w:ind w:left="851"/>
        <w:rPr>
          <w:noProof/>
          <w:sz w:val="24"/>
          <w:szCs w:val="24"/>
        </w:rPr>
      </w:pPr>
      <w:r w:rsidRPr="00C00726">
        <w:rPr>
          <w:noProof/>
          <w:sz w:val="24"/>
          <w:szCs w:val="24"/>
        </w:rPr>
        <w:t>I kliniske studier med myelom-patienter, der tidligere er blevet behandlet; lenalidomid/dexamethason sammenlignet med kontroller; hovedsageligt bestående af basalcelle- eller planocellulær hudcancer.</w:t>
      </w:r>
    </w:p>
    <w:p w:rsidR="00C00726" w:rsidRPr="00C00726" w:rsidRDefault="00C00726" w:rsidP="00C00726">
      <w:pPr>
        <w:ind w:left="851"/>
        <w:rPr>
          <w:noProof/>
          <w:sz w:val="24"/>
          <w:szCs w:val="24"/>
        </w:rPr>
      </w:pPr>
    </w:p>
    <w:p w:rsidR="00C00726" w:rsidRPr="00C00726" w:rsidRDefault="00C00726" w:rsidP="00C00726">
      <w:pPr>
        <w:ind w:left="851"/>
        <w:rPr>
          <w:i/>
          <w:noProof/>
          <w:sz w:val="24"/>
          <w:szCs w:val="24"/>
          <w:lang w:val="en-US"/>
        </w:rPr>
      </w:pPr>
      <w:r w:rsidRPr="00C00726">
        <w:rPr>
          <w:i/>
          <w:noProof/>
          <w:sz w:val="24"/>
          <w:szCs w:val="24"/>
          <w:lang w:val="en-US"/>
        </w:rPr>
        <w:lastRenderedPageBreak/>
        <w:t>Akut myeloid leukæmi</w:t>
      </w:r>
    </w:p>
    <w:p w:rsidR="00C00726" w:rsidRPr="00C00726" w:rsidRDefault="00C00726" w:rsidP="00C00726">
      <w:pPr>
        <w:numPr>
          <w:ilvl w:val="0"/>
          <w:numId w:val="12"/>
        </w:numPr>
        <w:ind w:left="851" w:firstLine="0"/>
        <w:rPr>
          <w:i/>
          <w:iCs/>
          <w:noProof/>
          <w:sz w:val="24"/>
          <w:szCs w:val="24"/>
        </w:rPr>
      </w:pPr>
      <w:r w:rsidRPr="00C00726">
        <w:rPr>
          <w:i/>
          <w:iCs/>
          <w:noProof/>
          <w:sz w:val="24"/>
          <w:szCs w:val="24"/>
        </w:rPr>
        <w:t>Myelomatose</w:t>
      </w:r>
    </w:p>
    <w:p w:rsidR="00C00726" w:rsidRPr="00C00726" w:rsidRDefault="00C00726" w:rsidP="00C00726">
      <w:pPr>
        <w:ind w:left="851"/>
        <w:rPr>
          <w:noProof/>
          <w:sz w:val="24"/>
          <w:szCs w:val="24"/>
        </w:rPr>
      </w:pPr>
      <w:r w:rsidRPr="00C00726">
        <w:rPr>
          <w:noProof/>
          <w:sz w:val="24"/>
          <w:szCs w:val="24"/>
        </w:rPr>
        <w:t>Der er blevet observeret tilfælde af AML i kliniske studier af nydiagnosticeret myelomatose hos patienter, der får behandling med lenalidomid i kombination med melphalan eller lige efter HDM/ASCT (se pkt. 4.4). Denne stigning blev ikke observeret i kliniske studier hos nydiagnosticerede patienter med myelomatose, der tog lenalidomid i kombination med dexamethason, sammenlignet med thalidomid i kombination med melphalan og prednison.</w:t>
      </w:r>
    </w:p>
    <w:p w:rsidR="00C00726" w:rsidRPr="00C00726" w:rsidRDefault="00C00726" w:rsidP="00C00726">
      <w:pPr>
        <w:ind w:left="851"/>
        <w:rPr>
          <w:noProof/>
          <w:sz w:val="24"/>
          <w:szCs w:val="24"/>
        </w:rPr>
      </w:pPr>
    </w:p>
    <w:p w:rsidR="00DF19D5" w:rsidRPr="00840A6C" w:rsidRDefault="00DF19D5" w:rsidP="00DF19D5">
      <w:pPr>
        <w:numPr>
          <w:ilvl w:val="0"/>
          <w:numId w:val="6"/>
        </w:numPr>
        <w:ind w:left="1134" w:hanging="283"/>
        <w:rPr>
          <w:i/>
          <w:iCs/>
          <w:noProof/>
          <w:sz w:val="24"/>
          <w:szCs w:val="24"/>
        </w:rPr>
      </w:pPr>
      <w:r w:rsidRPr="00840A6C">
        <w:rPr>
          <w:i/>
          <w:iCs/>
          <w:noProof/>
          <w:sz w:val="24"/>
          <w:szCs w:val="24"/>
        </w:rPr>
        <w:t>Myelodysplastisk syndrom</w:t>
      </w:r>
    </w:p>
    <w:p w:rsidR="00DF19D5" w:rsidRPr="00840A6C" w:rsidRDefault="00DF19D5" w:rsidP="00DF19D5">
      <w:pPr>
        <w:ind w:left="851"/>
        <w:rPr>
          <w:noProof/>
          <w:sz w:val="24"/>
          <w:szCs w:val="24"/>
        </w:rPr>
      </w:pPr>
      <w:r w:rsidRPr="00840A6C">
        <w:rPr>
          <w:i/>
          <w:noProof/>
          <w:sz w:val="24"/>
          <w:szCs w:val="24"/>
        </w:rPr>
        <w:t>Baseline</w:t>
      </w:r>
      <w:r w:rsidRPr="00840A6C">
        <w:rPr>
          <w:noProof/>
          <w:sz w:val="24"/>
          <w:szCs w:val="24"/>
        </w:rPr>
        <w:t>-variabler, herunder kompleks cytogenetik og TP53-mutation er forbundet med progression til AML hos personer, som er transfusionsafhængige og har en Del (5q)-anomali (se pkt. 4.4). Den estimerede 2</w:t>
      </w:r>
      <w:r w:rsidRPr="00840A6C">
        <w:rPr>
          <w:noProof/>
          <w:sz w:val="24"/>
          <w:szCs w:val="24"/>
        </w:rPr>
        <w:noBreakHyphen/>
        <w:t>års kumulative risiko for progression til AML var 13,8 % hos patienter med en isoleret Del (5q)-anomali, sammenlignet med 17,3 % hos patienter med Del (5q) og en ekstra cytogenetisk anomali, og 38,6 % hos patienter med en kompleks karyotype.</w:t>
      </w:r>
    </w:p>
    <w:p w:rsidR="00DF19D5" w:rsidRDefault="00DF19D5" w:rsidP="00DF19D5">
      <w:pPr>
        <w:ind w:left="851"/>
        <w:rPr>
          <w:noProof/>
          <w:sz w:val="24"/>
          <w:szCs w:val="24"/>
        </w:rPr>
      </w:pPr>
    </w:p>
    <w:p w:rsidR="00DF19D5" w:rsidRPr="00840A6C" w:rsidRDefault="00DF19D5" w:rsidP="00DF19D5">
      <w:pPr>
        <w:ind w:left="851"/>
        <w:rPr>
          <w:noProof/>
          <w:sz w:val="24"/>
          <w:szCs w:val="24"/>
        </w:rPr>
      </w:pPr>
      <w:r w:rsidRPr="00840A6C">
        <w:rPr>
          <w:noProof/>
          <w:sz w:val="24"/>
          <w:szCs w:val="24"/>
        </w:rPr>
        <w:t xml:space="preserve">I en </w:t>
      </w:r>
      <w:r w:rsidRPr="00840A6C">
        <w:rPr>
          <w:i/>
          <w:iCs/>
          <w:noProof/>
          <w:sz w:val="24"/>
          <w:szCs w:val="24"/>
        </w:rPr>
        <w:t>post-hoc</w:t>
      </w:r>
      <w:r w:rsidRPr="00840A6C">
        <w:rPr>
          <w:noProof/>
          <w:sz w:val="24"/>
          <w:szCs w:val="24"/>
        </w:rPr>
        <w:t>-analyse af et klinisk studie med lenalidomid ved myelodysplastisk syndrom var den estimerede 2</w:t>
      </w:r>
      <w:r w:rsidRPr="00840A6C">
        <w:rPr>
          <w:noProof/>
          <w:sz w:val="24"/>
          <w:szCs w:val="24"/>
        </w:rPr>
        <w:noBreakHyphen/>
        <w:t>års hyppighed for progression til AML 27,5 % hos IHC-p53-positive patienter og 3,6 % hos IHC-p53-negative patienter (p = 0,0038). Hos IHC-p53-positive patienter blev en lavere progressionsrate til AML observeret blandt patienter, som opnåede et transfusionsuafhængigt (</w:t>
      </w:r>
      <w:r w:rsidRPr="00840A6C">
        <w:rPr>
          <w:i/>
          <w:iCs/>
          <w:noProof/>
          <w:sz w:val="24"/>
          <w:szCs w:val="24"/>
        </w:rPr>
        <w:t>Transfusion Independence</w:t>
      </w:r>
      <w:r w:rsidRPr="00840A6C">
        <w:rPr>
          <w:noProof/>
          <w:sz w:val="24"/>
          <w:szCs w:val="24"/>
        </w:rPr>
        <w:t>, TI) respons (11,1 %) sammenlignet med patienter uden respons (34,8 %).</w:t>
      </w:r>
    </w:p>
    <w:p w:rsidR="00DF19D5" w:rsidRDefault="00DF19D5" w:rsidP="00C00726">
      <w:pPr>
        <w:ind w:left="851"/>
        <w:rPr>
          <w:i/>
          <w:noProof/>
          <w:sz w:val="24"/>
          <w:szCs w:val="24"/>
        </w:rPr>
      </w:pPr>
    </w:p>
    <w:p w:rsidR="00C00726" w:rsidRPr="00C00726" w:rsidRDefault="00C00726" w:rsidP="00C00726">
      <w:pPr>
        <w:ind w:left="851"/>
        <w:rPr>
          <w:i/>
          <w:noProof/>
          <w:sz w:val="24"/>
          <w:szCs w:val="24"/>
        </w:rPr>
      </w:pPr>
      <w:r w:rsidRPr="00C00726">
        <w:rPr>
          <w:i/>
          <w:noProof/>
          <w:sz w:val="24"/>
          <w:szCs w:val="24"/>
        </w:rPr>
        <w:t>Leversygdomme</w:t>
      </w:r>
    </w:p>
    <w:p w:rsidR="00C00726" w:rsidRPr="00C00726" w:rsidRDefault="00C00726" w:rsidP="00C00726">
      <w:pPr>
        <w:ind w:left="851"/>
        <w:rPr>
          <w:noProof/>
          <w:sz w:val="24"/>
          <w:szCs w:val="24"/>
        </w:rPr>
      </w:pPr>
      <w:r w:rsidRPr="00C00726">
        <w:rPr>
          <w:noProof/>
          <w:sz w:val="24"/>
          <w:szCs w:val="24"/>
        </w:rPr>
        <w:t>Følgende bivirkninger efter markedsføring er blevet rapporteret (hyppighed ikke kendt): Akut leversvigt og kolestase (begge kan være dødelige), toksisk hepatitis, cytolytisk hepatitis og blandet cytolytisk/kolestatisk hepatitis.</w:t>
      </w:r>
    </w:p>
    <w:p w:rsidR="00C00726" w:rsidRPr="00C00726" w:rsidRDefault="00C00726" w:rsidP="00C00726">
      <w:pPr>
        <w:ind w:left="851"/>
        <w:rPr>
          <w:noProof/>
          <w:sz w:val="24"/>
          <w:szCs w:val="24"/>
        </w:rPr>
      </w:pPr>
    </w:p>
    <w:p w:rsidR="00C00726" w:rsidRPr="00C00726" w:rsidRDefault="00C00726" w:rsidP="00C00726">
      <w:pPr>
        <w:ind w:left="851"/>
        <w:rPr>
          <w:noProof/>
          <w:sz w:val="24"/>
          <w:szCs w:val="24"/>
        </w:rPr>
      </w:pPr>
      <w:r w:rsidRPr="00C00726">
        <w:rPr>
          <w:i/>
          <w:noProof/>
          <w:sz w:val="24"/>
          <w:szCs w:val="24"/>
        </w:rPr>
        <w:t>Rhabdomyolyse</w:t>
      </w:r>
    </w:p>
    <w:p w:rsidR="00C00726" w:rsidRPr="00C00726" w:rsidRDefault="00C00726" w:rsidP="00C00726">
      <w:pPr>
        <w:ind w:left="851"/>
        <w:rPr>
          <w:noProof/>
          <w:sz w:val="24"/>
          <w:szCs w:val="24"/>
        </w:rPr>
      </w:pPr>
      <w:r w:rsidRPr="00C00726">
        <w:rPr>
          <w:noProof/>
          <w:sz w:val="24"/>
          <w:szCs w:val="24"/>
        </w:rPr>
        <w:t>Der er blevet observeret sjældne tilfælde af rhabdomyolyse, i nogle af disse blev lenalidomid administreret samtidigt med et statin.</w:t>
      </w:r>
    </w:p>
    <w:p w:rsidR="00C00726" w:rsidRPr="00C00726" w:rsidRDefault="00C00726" w:rsidP="00C00726">
      <w:pPr>
        <w:ind w:left="851"/>
        <w:rPr>
          <w:noProof/>
          <w:sz w:val="24"/>
          <w:szCs w:val="24"/>
        </w:rPr>
      </w:pPr>
    </w:p>
    <w:p w:rsidR="00C00726" w:rsidRPr="00C00726" w:rsidRDefault="00C00726" w:rsidP="00C00726">
      <w:pPr>
        <w:ind w:left="851"/>
        <w:rPr>
          <w:i/>
          <w:noProof/>
          <w:sz w:val="24"/>
          <w:szCs w:val="24"/>
        </w:rPr>
      </w:pPr>
      <w:r w:rsidRPr="00C00726">
        <w:rPr>
          <w:i/>
          <w:noProof/>
          <w:sz w:val="24"/>
          <w:szCs w:val="24"/>
        </w:rPr>
        <w:t>Thyroideasygdomme</w:t>
      </w:r>
    </w:p>
    <w:p w:rsidR="00C00726" w:rsidRPr="00C00726" w:rsidRDefault="00C00726" w:rsidP="00C00726">
      <w:pPr>
        <w:ind w:left="851"/>
        <w:rPr>
          <w:noProof/>
          <w:sz w:val="24"/>
          <w:szCs w:val="24"/>
        </w:rPr>
      </w:pPr>
      <w:r w:rsidRPr="00C00726">
        <w:rPr>
          <w:noProof/>
          <w:sz w:val="24"/>
          <w:szCs w:val="24"/>
        </w:rPr>
        <w:t>Der er rapporteret tilfælde af hypo- og hypertyroidisme (se pkt. 4.4 “Thyroideasygdomme”).</w:t>
      </w:r>
    </w:p>
    <w:p w:rsidR="00C00726" w:rsidRPr="00C00726" w:rsidRDefault="00C00726" w:rsidP="00C00726">
      <w:pPr>
        <w:ind w:left="851"/>
        <w:rPr>
          <w:noProof/>
          <w:sz w:val="24"/>
          <w:szCs w:val="24"/>
        </w:rPr>
      </w:pPr>
    </w:p>
    <w:p w:rsidR="00C00726" w:rsidRPr="00C00726" w:rsidRDefault="00C00726" w:rsidP="00C00726">
      <w:pPr>
        <w:ind w:left="851"/>
        <w:rPr>
          <w:i/>
          <w:noProof/>
          <w:sz w:val="24"/>
          <w:szCs w:val="24"/>
        </w:rPr>
      </w:pPr>
      <w:r w:rsidRPr="00C00726">
        <w:rPr>
          <w:i/>
          <w:noProof/>
          <w:sz w:val="24"/>
          <w:szCs w:val="24"/>
        </w:rPr>
        <w:t>Tumor-flare-reaktion og tumorlysesyndrom</w:t>
      </w:r>
    </w:p>
    <w:p w:rsidR="00DF19D5" w:rsidRPr="00840A6C" w:rsidRDefault="00DF19D5" w:rsidP="00DF19D5">
      <w:pPr>
        <w:ind w:left="851"/>
        <w:rPr>
          <w:noProof/>
          <w:sz w:val="24"/>
          <w:szCs w:val="24"/>
        </w:rPr>
      </w:pPr>
      <w:r w:rsidRPr="00840A6C">
        <w:rPr>
          <w:noProof/>
          <w:sz w:val="24"/>
          <w:szCs w:val="24"/>
        </w:rPr>
        <w:t xml:space="preserve">I studie MCL-002 oplevede ca. 10 % af lenalidomid-behandlede patienter TFR sammenlignet med 0 % i kontrolarmen. Hovedparten af hændelserne opstod i cyklus 1, de blev alle vurderet som behandlingsrelaterede, og hovedparten blev rapporteret som grad 1 eller 2. Patienter med højt MIPI på diagnosetidspunktet eller massiv sygdom (mindst en læsion, hvor den længste diameter er ≥ 7 cm) ved </w:t>
      </w:r>
      <w:r w:rsidRPr="00840A6C">
        <w:rPr>
          <w:i/>
          <w:noProof/>
          <w:sz w:val="24"/>
          <w:szCs w:val="24"/>
        </w:rPr>
        <w:t xml:space="preserve">baseline </w:t>
      </w:r>
      <w:r w:rsidRPr="00840A6C">
        <w:rPr>
          <w:noProof/>
          <w:sz w:val="24"/>
          <w:szCs w:val="24"/>
        </w:rPr>
        <w:t>kan være i risiko for TFR. I studie MCL-002 blev TLS rapporteret hos en patient i hver af de to behandlingsarme. I det understøttende studie, MCL-001, oplevede ca. 10 % af personerne TFR. Alle tilfælde blev rapporteret grad 1 eller 2 i sværhedsgrad, og alle blev vurderet som behandlingsrelaterede. Hovedparten af hændelserne opstod i cyklus 1. Der var ingen rapporter om TLS i studie MCL-001 (se pkt. 4.4).</w:t>
      </w:r>
    </w:p>
    <w:p w:rsidR="00DF19D5" w:rsidRDefault="00DF19D5" w:rsidP="00DF19D5">
      <w:pPr>
        <w:ind w:left="851"/>
        <w:rPr>
          <w:noProof/>
          <w:sz w:val="24"/>
          <w:szCs w:val="24"/>
        </w:rPr>
      </w:pPr>
    </w:p>
    <w:p w:rsidR="00DF19D5" w:rsidRPr="00C00726" w:rsidRDefault="00DF19D5" w:rsidP="00DF19D5">
      <w:pPr>
        <w:ind w:left="851"/>
        <w:rPr>
          <w:noProof/>
          <w:sz w:val="24"/>
          <w:szCs w:val="24"/>
        </w:rPr>
      </w:pPr>
      <w:r w:rsidRPr="00C00726">
        <w:rPr>
          <w:noProof/>
          <w:sz w:val="24"/>
          <w:szCs w:val="24"/>
        </w:rPr>
        <w:t xml:space="preserve">I studie NHL-007 blev TFR rapporteret hos 19/146 (13,0 %) af patienterne i armen med lenalidomid/rituximab versus 1/148 (0,7 %) patienter i armen med placebo/rituximab. De </w:t>
      </w:r>
      <w:r w:rsidRPr="00C00726">
        <w:rPr>
          <w:noProof/>
          <w:sz w:val="24"/>
          <w:szCs w:val="24"/>
        </w:rPr>
        <w:lastRenderedPageBreak/>
        <w:t xml:space="preserve">fleste TFR'er (18 ud af 19) rapporteret i armen med lenalidomid/rituximab opstod i løbet af de første 2 behandlingscyklusser. En FL-patient i armen med lenalidomid/rituximab oplevede en grad 3-hændelse med TFR versus ingen patienter i armen med placebo/rituximab. I studie NHL-008 oplevede 7/177 (4,0 %) af FL-patienterne TFR (3 rapporter var af grad 1 og 4 rapporter var af grad 2 sværhedsgrad), mens 1 rapport blev anset for at være alvorlig. I studie NHL-007 forekom TLS hos 2 FL-patienter (1,4 %) i armen med lenalidomid/rituximab og ikke hos nogen FL-patienter i armen med placebo/rituximab. Ingen af patienterne havde en grad 3 eller 4 hændelse. Der forekom TLS hos 1 FL-patient (0,6 %) i studie NHL-008. Denne enkelte hændelse blev identificeret som en alvorlig, grad 3 bivirkning. I studie NHL-007 var der ingen patienter, der måtte seponere behandlingen med lenalidomid/rituximab som følge af TFR eller TLS. </w:t>
      </w:r>
    </w:p>
    <w:p w:rsidR="00C00726" w:rsidRPr="00C00726" w:rsidRDefault="00C00726" w:rsidP="00C00726">
      <w:pPr>
        <w:ind w:left="851"/>
        <w:rPr>
          <w:noProof/>
          <w:sz w:val="24"/>
          <w:szCs w:val="24"/>
        </w:rPr>
      </w:pPr>
    </w:p>
    <w:p w:rsidR="00C00726" w:rsidRPr="00C00726" w:rsidRDefault="00C00726" w:rsidP="00C00726">
      <w:pPr>
        <w:ind w:left="851"/>
        <w:rPr>
          <w:i/>
          <w:noProof/>
          <w:sz w:val="24"/>
          <w:szCs w:val="24"/>
        </w:rPr>
      </w:pPr>
      <w:r w:rsidRPr="00C00726">
        <w:rPr>
          <w:i/>
          <w:noProof/>
          <w:sz w:val="24"/>
          <w:szCs w:val="24"/>
        </w:rPr>
        <w:t>Gastrointestinale sygdomme</w:t>
      </w:r>
    </w:p>
    <w:p w:rsidR="00C00726" w:rsidRPr="00C00726" w:rsidRDefault="00C00726" w:rsidP="00C00726">
      <w:pPr>
        <w:ind w:left="851"/>
        <w:rPr>
          <w:noProof/>
          <w:sz w:val="24"/>
          <w:szCs w:val="24"/>
        </w:rPr>
      </w:pPr>
      <w:r w:rsidRPr="00C00726">
        <w:rPr>
          <w:noProof/>
          <w:sz w:val="24"/>
          <w:szCs w:val="24"/>
        </w:rPr>
        <w:t>Der er rapporteret om gastrointestinal perforation under behandling med lenalidomid. Gastrointestinal perforation kan føre til septiske komplikationer og kan være forbundet med dødeligt udfald.</w:t>
      </w:r>
    </w:p>
    <w:p w:rsidR="00D83032" w:rsidRPr="00840A6C" w:rsidRDefault="00D83032" w:rsidP="00840A6C">
      <w:pPr>
        <w:ind w:left="851"/>
        <w:rPr>
          <w:noProof/>
          <w:sz w:val="24"/>
          <w:szCs w:val="24"/>
        </w:rPr>
      </w:pPr>
    </w:p>
    <w:p w:rsidR="00D83032" w:rsidRPr="00840A6C" w:rsidRDefault="00D83032" w:rsidP="00840A6C">
      <w:pPr>
        <w:autoSpaceDE w:val="0"/>
        <w:autoSpaceDN w:val="0"/>
        <w:adjustRightInd w:val="0"/>
        <w:ind w:left="851"/>
        <w:rPr>
          <w:sz w:val="24"/>
          <w:szCs w:val="24"/>
          <w:u w:val="single"/>
        </w:rPr>
      </w:pPr>
      <w:r w:rsidRPr="00840A6C">
        <w:rPr>
          <w:noProof/>
          <w:sz w:val="24"/>
          <w:szCs w:val="24"/>
          <w:u w:val="single"/>
        </w:rPr>
        <w:t>Indberetning af formodede bivirkninger</w:t>
      </w:r>
    </w:p>
    <w:p w:rsidR="00D83032" w:rsidRPr="00840A6C" w:rsidRDefault="00D83032" w:rsidP="00840A6C">
      <w:pPr>
        <w:autoSpaceDE w:val="0"/>
        <w:autoSpaceDN w:val="0"/>
        <w:adjustRightInd w:val="0"/>
        <w:ind w:left="851"/>
        <w:rPr>
          <w:noProof/>
          <w:sz w:val="24"/>
          <w:szCs w:val="24"/>
        </w:rPr>
      </w:pPr>
      <w:r w:rsidRPr="00840A6C">
        <w:rPr>
          <w:noProof/>
          <w:sz w:val="24"/>
          <w:szCs w:val="24"/>
        </w:rPr>
        <w:t>Når lægemidlet er godkendt, er indberetning af formodede bivirkninger vigtig.</w:t>
      </w:r>
      <w:r w:rsidRPr="00840A6C">
        <w:rPr>
          <w:sz w:val="24"/>
          <w:szCs w:val="24"/>
        </w:rPr>
        <w:t xml:space="preserve"> </w:t>
      </w:r>
      <w:r w:rsidRPr="00840A6C">
        <w:rPr>
          <w:noProof/>
          <w:sz w:val="24"/>
          <w:szCs w:val="24"/>
        </w:rPr>
        <w:t>Det muliggør løbende overvågning af benefit/risk-forholdet for lægemidlet.</w:t>
      </w:r>
      <w:r w:rsidRPr="00840A6C">
        <w:rPr>
          <w:sz w:val="24"/>
          <w:szCs w:val="24"/>
        </w:rPr>
        <w:t xml:space="preserve"> </w:t>
      </w:r>
      <w:r w:rsidRPr="00840A6C">
        <w:rPr>
          <w:noProof/>
          <w:sz w:val="24"/>
          <w:szCs w:val="24"/>
        </w:rPr>
        <w:t>Sundhedspersoner anmodes om at indberette alle formodede bivirkninger via:</w:t>
      </w:r>
    </w:p>
    <w:p w:rsidR="00D83032" w:rsidRPr="00840A6C" w:rsidRDefault="00D83032" w:rsidP="00840A6C">
      <w:pPr>
        <w:autoSpaceDE w:val="0"/>
        <w:autoSpaceDN w:val="0"/>
        <w:adjustRightInd w:val="0"/>
        <w:ind w:left="851"/>
        <w:rPr>
          <w:noProof/>
          <w:sz w:val="24"/>
          <w:szCs w:val="24"/>
        </w:rPr>
      </w:pPr>
    </w:p>
    <w:p w:rsidR="00D83032" w:rsidRPr="00840A6C" w:rsidRDefault="00D83032" w:rsidP="00840A6C">
      <w:pPr>
        <w:autoSpaceDE w:val="0"/>
        <w:autoSpaceDN w:val="0"/>
        <w:adjustRightInd w:val="0"/>
        <w:ind w:left="851"/>
        <w:rPr>
          <w:noProof/>
          <w:sz w:val="24"/>
          <w:szCs w:val="24"/>
        </w:rPr>
      </w:pPr>
      <w:r w:rsidRPr="00840A6C">
        <w:rPr>
          <w:noProof/>
          <w:sz w:val="24"/>
          <w:szCs w:val="24"/>
        </w:rPr>
        <w:t>Lægemiddelstyrelsen</w:t>
      </w:r>
    </w:p>
    <w:p w:rsidR="00D83032" w:rsidRPr="00840A6C" w:rsidRDefault="00D83032" w:rsidP="00840A6C">
      <w:pPr>
        <w:autoSpaceDE w:val="0"/>
        <w:autoSpaceDN w:val="0"/>
        <w:adjustRightInd w:val="0"/>
        <w:ind w:left="851"/>
        <w:rPr>
          <w:noProof/>
          <w:sz w:val="24"/>
          <w:szCs w:val="24"/>
        </w:rPr>
      </w:pPr>
      <w:r w:rsidRPr="00840A6C">
        <w:rPr>
          <w:noProof/>
          <w:sz w:val="24"/>
          <w:szCs w:val="24"/>
        </w:rPr>
        <w:t>Axel Heides Gade 1</w:t>
      </w:r>
    </w:p>
    <w:p w:rsidR="00D83032" w:rsidRPr="00840A6C" w:rsidRDefault="00D83032" w:rsidP="00840A6C">
      <w:pPr>
        <w:autoSpaceDE w:val="0"/>
        <w:autoSpaceDN w:val="0"/>
        <w:adjustRightInd w:val="0"/>
        <w:ind w:left="851"/>
        <w:rPr>
          <w:noProof/>
          <w:sz w:val="24"/>
          <w:szCs w:val="24"/>
        </w:rPr>
      </w:pPr>
      <w:r w:rsidRPr="00840A6C">
        <w:rPr>
          <w:noProof/>
          <w:sz w:val="24"/>
          <w:szCs w:val="24"/>
        </w:rPr>
        <w:t>DK-2300 København S</w:t>
      </w:r>
    </w:p>
    <w:p w:rsidR="00D83032" w:rsidRPr="00840A6C" w:rsidRDefault="00D83032" w:rsidP="00840A6C">
      <w:pPr>
        <w:autoSpaceDE w:val="0"/>
        <w:autoSpaceDN w:val="0"/>
        <w:adjustRightInd w:val="0"/>
        <w:ind w:left="851"/>
        <w:rPr>
          <w:sz w:val="24"/>
          <w:szCs w:val="24"/>
        </w:rPr>
      </w:pPr>
      <w:r w:rsidRPr="00840A6C">
        <w:rPr>
          <w:sz w:val="24"/>
          <w:szCs w:val="24"/>
        </w:rPr>
        <w:t xml:space="preserve">Websted: </w:t>
      </w:r>
      <w:hyperlink r:id="rId8" w:history="1">
        <w:r w:rsidR="007936E7" w:rsidRPr="003622DF">
          <w:rPr>
            <w:rStyle w:val="Hyperlink"/>
            <w:sz w:val="24"/>
            <w:szCs w:val="24"/>
          </w:rPr>
          <w:t>www.meldenbivirkning.dk</w:t>
        </w:r>
      </w:hyperlink>
      <w:r w:rsidR="007936E7">
        <w:rPr>
          <w:sz w:val="24"/>
          <w:szCs w:val="24"/>
        </w:rPr>
        <w:t xml:space="preserve"> </w:t>
      </w:r>
    </w:p>
    <w:p w:rsidR="009260DE" w:rsidRPr="00840A6C" w:rsidRDefault="009260DE" w:rsidP="00840A6C">
      <w:pPr>
        <w:pStyle w:val="Sidehoved"/>
        <w:tabs>
          <w:tab w:val="left" w:pos="851"/>
        </w:tabs>
        <w:ind w:left="851"/>
        <w:rPr>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C145F8" w:rsidRPr="00C145F8" w:rsidRDefault="00C145F8" w:rsidP="00C145F8">
      <w:pPr>
        <w:tabs>
          <w:tab w:val="left" w:pos="851"/>
        </w:tabs>
        <w:ind w:left="851"/>
        <w:rPr>
          <w:sz w:val="24"/>
          <w:szCs w:val="24"/>
        </w:rPr>
      </w:pPr>
      <w:r w:rsidRPr="00C145F8">
        <w:rPr>
          <w:sz w:val="24"/>
          <w:szCs w:val="24"/>
        </w:rPr>
        <w:t>Der er ingen specifik erfaring med håndtering af overdosis af lenalidomid hos patienter, selvom nogle patienter i dosisstudier blev udsat for op til 150 mg, og i enkeltdosisstudier blev nogle patienter eksponeret for op til 400 mg. Den dosisbegrænsende toksicitet i disse studier var primært hæmatologisk. I tilfælde af overdosis tilrådes en understøttende behandling.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C145F8" w:rsidP="009260DE">
      <w:pPr>
        <w:tabs>
          <w:tab w:val="left" w:pos="851"/>
        </w:tabs>
        <w:ind w:left="851"/>
        <w:rPr>
          <w:sz w:val="24"/>
          <w:szCs w:val="24"/>
        </w:rPr>
      </w:pPr>
      <w:r>
        <w:rPr>
          <w:sz w:val="24"/>
          <w:szCs w:val="24"/>
        </w:rPr>
        <w:t>BEGR (kun til sygehuse)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9260DE">
      <w:pPr>
        <w:tabs>
          <w:tab w:val="left" w:pos="851"/>
        </w:tabs>
        <w:ind w:left="851"/>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t>Farmakodynamiske egenskaber</w:t>
      </w:r>
    </w:p>
    <w:p w:rsidR="00085231" w:rsidRPr="00876C3D" w:rsidRDefault="00876C3D" w:rsidP="00876C3D">
      <w:pPr>
        <w:tabs>
          <w:tab w:val="left" w:pos="851"/>
        </w:tabs>
        <w:ind w:left="851"/>
        <w:rPr>
          <w:sz w:val="24"/>
          <w:szCs w:val="24"/>
        </w:rPr>
      </w:pPr>
      <w:r>
        <w:rPr>
          <w:bCs/>
          <w:noProof/>
          <w:sz w:val="24"/>
          <w:szCs w:val="24"/>
        </w:rPr>
        <w:t>Farmakoterapeutisk klassifikation: I</w:t>
      </w:r>
      <w:r w:rsidRPr="00C145F8">
        <w:rPr>
          <w:sz w:val="24"/>
          <w:szCs w:val="24"/>
        </w:rPr>
        <w:t>mmunsuppressiva, andre immunsuppressiva</w:t>
      </w:r>
      <w:r>
        <w:rPr>
          <w:sz w:val="24"/>
          <w:szCs w:val="24"/>
        </w:rPr>
        <w:t xml:space="preserve">, </w:t>
      </w:r>
      <w:r w:rsidRPr="00C145F8">
        <w:rPr>
          <w:sz w:val="24"/>
          <w:szCs w:val="24"/>
        </w:rPr>
        <w:t>ATC-kode: L04AX04.</w:t>
      </w:r>
    </w:p>
    <w:p w:rsidR="00876C3D" w:rsidRPr="00085231" w:rsidRDefault="00876C3D" w:rsidP="00085231">
      <w:pPr>
        <w:suppressAutoHyphens/>
        <w:ind w:left="851"/>
        <w:rPr>
          <w:bCs/>
          <w:noProof/>
          <w:sz w:val="24"/>
          <w:szCs w:val="24"/>
        </w:rPr>
      </w:pPr>
    </w:p>
    <w:p w:rsidR="00085231" w:rsidRPr="00085231" w:rsidRDefault="00085231" w:rsidP="00876C3D">
      <w:pPr>
        <w:keepNext/>
        <w:suppressAutoHyphens/>
        <w:ind w:left="851"/>
        <w:rPr>
          <w:bCs/>
          <w:noProof/>
          <w:sz w:val="24"/>
          <w:szCs w:val="24"/>
          <w:u w:val="single"/>
        </w:rPr>
      </w:pPr>
      <w:r w:rsidRPr="00085231">
        <w:rPr>
          <w:bCs/>
          <w:noProof/>
          <w:sz w:val="24"/>
          <w:szCs w:val="24"/>
          <w:u w:val="single"/>
        </w:rPr>
        <w:t>Virkningsmekanisme</w:t>
      </w:r>
    </w:p>
    <w:p w:rsidR="00DF19D5" w:rsidRPr="001E7D4D" w:rsidRDefault="00DF19D5" w:rsidP="00DF19D5">
      <w:pPr>
        <w:suppressAutoHyphens/>
        <w:ind w:left="851"/>
        <w:rPr>
          <w:bCs/>
          <w:noProof/>
          <w:sz w:val="24"/>
          <w:szCs w:val="24"/>
        </w:rPr>
      </w:pPr>
      <w:r w:rsidRPr="001E7D4D">
        <w:rPr>
          <w:bCs/>
          <w:noProof/>
          <w:sz w:val="24"/>
          <w:szCs w:val="24"/>
        </w:rPr>
        <w:t xml:space="preserve">Lenalidomid binder direkte til cereblon, en komponent af et cullin-ring E3 ubiquitinligase enzymkompleks, der omfatter deoxyribonukleinsyre (DNA) </w:t>
      </w:r>
      <w:r w:rsidRPr="001E7D4D">
        <w:rPr>
          <w:bCs/>
          <w:i/>
          <w:iCs/>
          <w:noProof/>
          <w:sz w:val="24"/>
          <w:szCs w:val="24"/>
        </w:rPr>
        <w:t>damage-binding</w:t>
      </w:r>
      <w:r w:rsidRPr="001E7D4D">
        <w:rPr>
          <w:bCs/>
          <w:noProof/>
          <w:sz w:val="24"/>
          <w:szCs w:val="24"/>
        </w:rPr>
        <w:t>-protein 1(DDB1), cullin 4 (CUL4) og regulator for cullin 1 (Roc1). I hæmatopoietiske celler rekrutterer lenalidomids binding til cereblon substratproteinerne Aiolos og Ikaros, lymfoide transkriptionsfaktorer, og fører til deres ubiquitinering og efterfølgende nedbrydning med direkte cytotoksiske og immunmodulerende virkninger som resultat.</w:t>
      </w:r>
    </w:p>
    <w:p w:rsidR="00DF19D5" w:rsidRPr="001E7D4D" w:rsidRDefault="00DF19D5" w:rsidP="00DF19D5">
      <w:pPr>
        <w:suppressAutoHyphens/>
        <w:ind w:left="851"/>
        <w:rPr>
          <w:bCs/>
          <w:noProof/>
          <w:sz w:val="24"/>
          <w:szCs w:val="24"/>
        </w:rPr>
      </w:pPr>
    </w:p>
    <w:p w:rsidR="00DF19D5" w:rsidRPr="001E7D4D" w:rsidRDefault="00DF19D5" w:rsidP="00DF19D5">
      <w:pPr>
        <w:autoSpaceDE w:val="0"/>
        <w:autoSpaceDN w:val="0"/>
        <w:adjustRightInd w:val="0"/>
        <w:ind w:left="851"/>
        <w:rPr>
          <w:bCs/>
          <w:noProof/>
          <w:sz w:val="24"/>
          <w:szCs w:val="24"/>
        </w:rPr>
      </w:pPr>
      <w:r w:rsidRPr="001E7D4D">
        <w:rPr>
          <w:bCs/>
          <w:noProof/>
          <w:sz w:val="24"/>
          <w:szCs w:val="24"/>
        </w:rPr>
        <w:t xml:space="preserve">Lenalidomid hæmmer specifikt proliferation og forstærker apoptose af bestemte hæmatopoietiske tumorceller (inklusive MM-plasmatumorceller, tumorceller ved follikulært lymfom samt celler med deletioner i kromosom 5), øger T-celle- og Natural Killer-(NK)-cellemedieret immunitet og antallet af NK-, T- og NKT-celler. </w:t>
      </w:r>
      <w:r w:rsidRPr="005524AB">
        <w:rPr>
          <w:sz w:val="24"/>
          <w:szCs w:val="24"/>
          <w:lang w:eastAsia="da-DK"/>
        </w:rPr>
        <w:t>Ved MDS Del (5q) hæmmer lenalidomid den unormale klon selektivt ved at</w:t>
      </w:r>
      <w:r>
        <w:rPr>
          <w:sz w:val="24"/>
          <w:szCs w:val="24"/>
          <w:lang w:eastAsia="da-DK"/>
        </w:rPr>
        <w:t xml:space="preserve"> </w:t>
      </w:r>
      <w:r w:rsidRPr="005524AB">
        <w:rPr>
          <w:sz w:val="24"/>
          <w:szCs w:val="24"/>
          <w:lang w:eastAsia="da-DK"/>
        </w:rPr>
        <w:t>øge apoptose af Del (5q)-celler.</w:t>
      </w:r>
    </w:p>
    <w:p w:rsidR="00DF19D5" w:rsidRPr="001E7D4D" w:rsidRDefault="00DF19D5" w:rsidP="00DF19D5">
      <w:pPr>
        <w:suppressAutoHyphens/>
        <w:ind w:left="851"/>
        <w:rPr>
          <w:bCs/>
          <w:noProof/>
          <w:sz w:val="24"/>
          <w:szCs w:val="24"/>
        </w:rPr>
      </w:pPr>
      <w:r w:rsidRPr="001E7D4D">
        <w:rPr>
          <w:bCs/>
          <w:noProof/>
          <w:sz w:val="24"/>
          <w:szCs w:val="24"/>
        </w:rPr>
        <w:t xml:space="preserve"> </w:t>
      </w:r>
    </w:p>
    <w:p w:rsidR="00DF19D5" w:rsidRPr="001E7D4D" w:rsidRDefault="00DF19D5" w:rsidP="00DF19D5">
      <w:pPr>
        <w:suppressAutoHyphens/>
        <w:ind w:left="851"/>
        <w:rPr>
          <w:bCs/>
          <w:noProof/>
          <w:sz w:val="24"/>
          <w:szCs w:val="24"/>
        </w:rPr>
      </w:pPr>
      <w:r w:rsidRPr="001E7D4D">
        <w:rPr>
          <w:bCs/>
          <w:noProof/>
          <w:sz w:val="24"/>
          <w:szCs w:val="24"/>
        </w:rPr>
        <w:t xml:space="preserve">Kombinationen af lenalidomid og rituximab øger ADCC og direkte tumorapoptose i follikulære lymfomceller. </w:t>
      </w:r>
    </w:p>
    <w:p w:rsidR="00DF19D5" w:rsidRPr="001E7D4D" w:rsidRDefault="00DF19D5" w:rsidP="00DF19D5">
      <w:pPr>
        <w:suppressAutoHyphens/>
        <w:ind w:left="851"/>
        <w:rPr>
          <w:bCs/>
          <w:noProof/>
          <w:sz w:val="24"/>
          <w:szCs w:val="24"/>
        </w:rPr>
      </w:pPr>
    </w:p>
    <w:p w:rsidR="00DF19D5" w:rsidRPr="001E7D4D" w:rsidRDefault="00DF19D5" w:rsidP="00DF19D5">
      <w:pPr>
        <w:suppressAutoHyphens/>
        <w:ind w:left="851"/>
        <w:rPr>
          <w:bCs/>
          <w:noProof/>
          <w:sz w:val="24"/>
          <w:szCs w:val="24"/>
        </w:rPr>
      </w:pPr>
      <w:r w:rsidRPr="001E7D4D">
        <w:rPr>
          <w:bCs/>
          <w:noProof/>
          <w:sz w:val="24"/>
          <w:szCs w:val="24"/>
        </w:rPr>
        <w:t>Lenalidomids virkningsmekanisme inkluderer også yderligere aktiviteter, såsom anti-angiogene og pro-erytropoietiske egenskaber. Lenalidomid hæmmer angiogenese ved at blokere migrering og adhæsionen af endotelceller og dannelsen af mikrokar, øger føtal hæmoglobin-produktion af CD34+ hæmatopoietiske stamceller og hæmmer monocytters produktionen af proinflammatoriske cytokiner (f.eks. TNF-α og IL-6).</w:t>
      </w:r>
    </w:p>
    <w:p w:rsidR="001E7D4D" w:rsidRPr="001E7D4D" w:rsidRDefault="001E7D4D" w:rsidP="001E7D4D">
      <w:pPr>
        <w:suppressAutoHyphens/>
        <w:ind w:left="851"/>
        <w:rPr>
          <w:bCs/>
          <w:noProof/>
          <w:sz w:val="24"/>
          <w:szCs w:val="24"/>
        </w:rPr>
      </w:pPr>
    </w:p>
    <w:p w:rsidR="001E7D4D" w:rsidRPr="001E7D4D" w:rsidRDefault="001E7D4D" w:rsidP="001E7D4D">
      <w:pPr>
        <w:suppressAutoHyphens/>
        <w:ind w:left="851"/>
        <w:rPr>
          <w:bCs/>
          <w:noProof/>
          <w:sz w:val="24"/>
          <w:szCs w:val="24"/>
          <w:u w:val="single"/>
        </w:rPr>
      </w:pPr>
      <w:r w:rsidRPr="001E7D4D">
        <w:rPr>
          <w:bCs/>
          <w:noProof/>
          <w:sz w:val="24"/>
          <w:szCs w:val="24"/>
          <w:u w:val="single"/>
        </w:rPr>
        <w:t>Klinisk virkning og sikkerhed</w:t>
      </w:r>
    </w:p>
    <w:p w:rsidR="00DF19D5" w:rsidRPr="001E7D4D" w:rsidRDefault="00DF19D5" w:rsidP="00DF19D5">
      <w:pPr>
        <w:suppressAutoHyphens/>
        <w:ind w:left="851"/>
        <w:rPr>
          <w:bCs/>
          <w:noProof/>
          <w:sz w:val="24"/>
          <w:szCs w:val="24"/>
        </w:rPr>
      </w:pPr>
      <w:r w:rsidRPr="001E7D4D">
        <w:rPr>
          <w:bCs/>
          <w:noProof/>
          <w:sz w:val="24"/>
          <w:szCs w:val="24"/>
        </w:rPr>
        <w:t>Lenalidomids virkning og sikkerhed er blevet evalueret i seks fase III</w:t>
      </w:r>
      <w:r w:rsidRPr="001E7D4D">
        <w:rPr>
          <w:bCs/>
          <w:noProof/>
          <w:sz w:val="24"/>
          <w:szCs w:val="24"/>
        </w:rPr>
        <w:noBreakHyphen/>
        <w:t>studier af nydiagnosticeret myelomatose, i to fase III</w:t>
      </w:r>
      <w:r w:rsidRPr="001E7D4D">
        <w:rPr>
          <w:bCs/>
          <w:noProof/>
          <w:sz w:val="24"/>
          <w:szCs w:val="24"/>
        </w:rPr>
        <w:noBreakHyphen/>
        <w:t xml:space="preserve">studier af recidiverende refraktær myelomatose, </w:t>
      </w:r>
      <w:r w:rsidRPr="005524AB">
        <w:rPr>
          <w:sz w:val="22"/>
          <w:szCs w:val="22"/>
          <w:lang w:eastAsia="da-DK"/>
        </w:rPr>
        <w:t xml:space="preserve">ét fase 3-studie og ét fase 2-studie af myelodysplastisk syndrom og ét fase-2 </w:t>
      </w:r>
      <w:r>
        <w:rPr>
          <w:sz w:val="22"/>
          <w:szCs w:val="22"/>
          <w:lang w:eastAsia="da-DK"/>
        </w:rPr>
        <w:t xml:space="preserve">studie </w:t>
      </w:r>
      <w:r w:rsidRPr="005524AB">
        <w:rPr>
          <w:sz w:val="22"/>
          <w:szCs w:val="22"/>
          <w:lang w:eastAsia="da-DK"/>
        </w:rPr>
        <w:t>af mantle celle lymfom og ét fase 3- og ét fase 3b</w:t>
      </w:r>
      <w:r>
        <w:rPr>
          <w:sz w:val="22"/>
          <w:szCs w:val="22"/>
          <w:lang w:eastAsia="da-DK"/>
        </w:rPr>
        <w:t xml:space="preserve"> </w:t>
      </w:r>
      <w:r w:rsidRPr="005524AB">
        <w:rPr>
          <w:sz w:val="22"/>
          <w:szCs w:val="22"/>
          <w:lang w:eastAsia="da-DK"/>
        </w:rPr>
        <w:t>studie</w:t>
      </w:r>
      <w:r>
        <w:rPr>
          <w:sz w:val="22"/>
          <w:szCs w:val="22"/>
          <w:lang w:eastAsia="da-DK"/>
        </w:rPr>
        <w:t xml:space="preserve"> </w:t>
      </w:r>
      <w:r w:rsidRPr="005524AB">
        <w:rPr>
          <w:sz w:val="22"/>
          <w:szCs w:val="22"/>
          <w:lang w:eastAsia="da-DK"/>
        </w:rPr>
        <w:t>af iNHL,</w:t>
      </w:r>
      <w:r>
        <w:rPr>
          <w:sz w:val="22"/>
          <w:szCs w:val="22"/>
          <w:lang w:eastAsia="da-DK"/>
        </w:rPr>
        <w:t xml:space="preserve"> </w:t>
      </w:r>
      <w:r w:rsidRPr="001E7D4D">
        <w:rPr>
          <w:bCs/>
          <w:noProof/>
          <w:sz w:val="24"/>
          <w:szCs w:val="24"/>
        </w:rPr>
        <w:t>som beskrevet nedenfor.</w:t>
      </w:r>
    </w:p>
    <w:p w:rsidR="00085231" w:rsidRPr="00085231" w:rsidRDefault="00085231" w:rsidP="00085231">
      <w:pPr>
        <w:suppressAutoHyphens/>
        <w:ind w:left="851"/>
        <w:rPr>
          <w:bCs/>
          <w:noProof/>
          <w:sz w:val="24"/>
          <w:szCs w:val="24"/>
        </w:rPr>
      </w:pPr>
    </w:p>
    <w:p w:rsidR="00085231" w:rsidRPr="00085231" w:rsidRDefault="00085231" w:rsidP="00085231">
      <w:pPr>
        <w:suppressAutoHyphens/>
        <w:ind w:left="851"/>
        <w:rPr>
          <w:bCs/>
          <w:i/>
          <w:noProof/>
          <w:sz w:val="24"/>
          <w:szCs w:val="24"/>
        </w:rPr>
      </w:pPr>
      <w:r w:rsidRPr="00085231">
        <w:rPr>
          <w:bCs/>
          <w:i/>
          <w:noProof/>
          <w:sz w:val="24"/>
          <w:szCs w:val="24"/>
        </w:rPr>
        <w:t>Nydiagnosticeret myelomatose</w:t>
      </w:r>
    </w:p>
    <w:p w:rsidR="00085231" w:rsidRPr="00085231" w:rsidRDefault="00085231" w:rsidP="002E0398">
      <w:pPr>
        <w:numPr>
          <w:ilvl w:val="0"/>
          <w:numId w:val="6"/>
        </w:numPr>
        <w:ind w:left="1134" w:hanging="283"/>
        <w:rPr>
          <w:i/>
          <w:iCs/>
          <w:noProof/>
          <w:sz w:val="24"/>
          <w:szCs w:val="24"/>
        </w:rPr>
      </w:pPr>
      <w:r w:rsidRPr="00085231">
        <w:rPr>
          <w:i/>
          <w:iCs/>
          <w:noProof/>
          <w:sz w:val="24"/>
          <w:szCs w:val="24"/>
        </w:rPr>
        <w:t>Vedligeholdelsesbehandling med lenalidomid hos patienter, der har gennemgået ASCT</w:t>
      </w:r>
    </w:p>
    <w:p w:rsidR="00085231" w:rsidRPr="00085231" w:rsidRDefault="00085231" w:rsidP="00085231">
      <w:pPr>
        <w:ind w:left="851"/>
        <w:rPr>
          <w:i/>
          <w:iCs/>
          <w:noProof/>
          <w:sz w:val="24"/>
          <w:szCs w:val="24"/>
        </w:rPr>
      </w:pPr>
      <w:r w:rsidRPr="00085231">
        <w:rPr>
          <w:bCs/>
          <w:noProof/>
          <w:sz w:val="24"/>
          <w:szCs w:val="24"/>
        </w:rPr>
        <w:t>Virkning og sikkerhed ved lenalidomid som vedligeholdelsesbehandling blev vurderet i 2 randomiserede, dobbeltblinde, placebokontrollerede fase III</w:t>
      </w:r>
      <w:r w:rsidRPr="00085231">
        <w:rPr>
          <w:bCs/>
          <w:noProof/>
          <w:sz w:val="24"/>
          <w:szCs w:val="24"/>
        </w:rPr>
        <w:noBreakHyphen/>
        <w:t>multicenterstudier med parallelle grupper og to arme: CALGB 100104 og IFM 2005-02.</w:t>
      </w:r>
    </w:p>
    <w:p w:rsidR="00085231" w:rsidRPr="00085231" w:rsidRDefault="00085231" w:rsidP="00085231">
      <w:pPr>
        <w:suppressAutoHyphens/>
        <w:ind w:left="851"/>
        <w:rPr>
          <w:bCs/>
          <w:noProof/>
          <w:sz w:val="24"/>
          <w:szCs w:val="24"/>
        </w:rPr>
      </w:pPr>
    </w:p>
    <w:p w:rsidR="00085231" w:rsidRPr="00085231" w:rsidRDefault="00085231" w:rsidP="00085231">
      <w:pPr>
        <w:suppressAutoHyphens/>
        <w:ind w:left="851"/>
        <w:rPr>
          <w:bCs/>
          <w:i/>
          <w:iCs/>
          <w:noProof/>
          <w:sz w:val="24"/>
          <w:szCs w:val="24"/>
        </w:rPr>
      </w:pPr>
      <w:r w:rsidRPr="00085231">
        <w:rPr>
          <w:bCs/>
          <w:i/>
          <w:iCs/>
          <w:noProof/>
          <w:sz w:val="24"/>
          <w:szCs w:val="24"/>
        </w:rPr>
        <w:t>CALGB 100104</w:t>
      </w:r>
    </w:p>
    <w:p w:rsidR="00085231" w:rsidRPr="00085231" w:rsidRDefault="00085231" w:rsidP="00085231">
      <w:pPr>
        <w:suppressAutoHyphens/>
        <w:ind w:left="851"/>
        <w:rPr>
          <w:bCs/>
          <w:noProof/>
          <w:sz w:val="24"/>
          <w:szCs w:val="24"/>
        </w:rPr>
      </w:pPr>
      <w:r w:rsidRPr="00085231">
        <w:rPr>
          <w:bCs/>
          <w:noProof/>
          <w:sz w:val="24"/>
          <w:szCs w:val="24"/>
        </w:rPr>
        <w:t>Patienter mellem 18 og 70 år med aktiv behandlingskrævende MM og uden tidligere progression efter initial behandling kunne indgå.</w:t>
      </w:r>
    </w:p>
    <w:p w:rsidR="00085231" w:rsidRPr="00085231" w:rsidRDefault="00085231" w:rsidP="00085231">
      <w:pPr>
        <w:suppressAutoHyphens/>
        <w:ind w:left="851"/>
        <w:rPr>
          <w:bCs/>
          <w:noProof/>
          <w:sz w:val="24"/>
          <w:szCs w:val="24"/>
        </w:rPr>
      </w:pPr>
    </w:p>
    <w:p w:rsidR="00085231" w:rsidRPr="00085231" w:rsidRDefault="00085231" w:rsidP="00085231">
      <w:pPr>
        <w:suppressAutoHyphens/>
        <w:ind w:left="851"/>
        <w:rPr>
          <w:bCs/>
          <w:noProof/>
          <w:sz w:val="24"/>
          <w:szCs w:val="24"/>
        </w:rPr>
      </w:pPr>
      <w:r w:rsidRPr="00085231">
        <w:rPr>
          <w:bCs/>
          <w:noProof/>
          <w:sz w:val="24"/>
          <w:szCs w:val="24"/>
        </w:rPr>
        <w:t>Patienterne blev inden for 90-100 dage efter ASCT randomiseret 1:1 til at få vedligeholdelsesbehandling med enten lenalidomid eller placebo. Vedligeholdelsesdosis var 10 mg en gang daglig dag 1-28 i gentagne cyklusser af 28 dage (øget til højst 15 mg en gang daglig efter 3 måneder i fravær af dosisbegrænsende toksicitet), og behandlingen blev fortsat indtil sygdomsprogression.</w:t>
      </w:r>
    </w:p>
    <w:p w:rsidR="00085231" w:rsidRPr="00085231" w:rsidRDefault="00085231" w:rsidP="00085231">
      <w:pPr>
        <w:suppressAutoHyphens/>
        <w:ind w:left="851"/>
        <w:rPr>
          <w:bCs/>
          <w:noProof/>
          <w:sz w:val="24"/>
          <w:szCs w:val="24"/>
        </w:rPr>
      </w:pPr>
    </w:p>
    <w:p w:rsidR="00085231" w:rsidRPr="00085231" w:rsidRDefault="00085231" w:rsidP="00085231">
      <w:pPr>
        <w:suppressAutoHyphens/>
        <w:ind w:left="851"/>
        <w:rPr>
          <w:bCs/>
          <w:noProof/>
          <w:sz w:val="24"/>
          <w:szCs w:val="24"/>
        </w:rPr>
      </w:pPr>
      <w:r w:rsidRPr="00085231">
        <w:rPr>
          <w:bCs/>
          <w:noProof/>
          <w:sz w:val="24"/>
          <w:szCs w:val="24"/>
        </w:rPr>
        <w:t>Studiets primære virkningsendepunkt var progressionsfri overlevelse (PFS) fra randomisering til datoen for progression eller død afhængigt af, hvad der indtraf først. Studiet havde ikke tilstrækkelig styrke til endepunktet samlet overlevelse (OS). I alt 460 patienter blev randomiseret: 231 patienter til lenalidomid og 229 patienter til placebo. Demografiske og sygdomsrelaterede karakteristika var velafbalancerede mellem de 2 arme.</w:t>
      </w:r>
    </w:p>
    <w:p w:rsidR="00085231" w:rsidRPr="00085231" w:rsidRDefault="00085231" w:rsidP="00085231">
      <w:pPr>
        <w:suppressAutoHyphens/>
        <w:ind w:left="851"/>
        <w:rPr>
          <w:bCs/>
          <w:noProof/>
          <w:sz w:val="24"/>
          <w:szCs w:val="24"/>
        </w:rPr>
      </w:pPr>
    </w:p>
    <w:p w:rsidR="00085231" w:rsidRPr="00085231" w:rsidRDefault="00085231" w:rsidP="00085231">
      <w:pPr>
        <w:suppressAutoHyphens/>
        <w:ind w:left="851"/>
        <w:rPr>
          <w:bCs/>
          <w:noProof/>
          <w:sz w:val="24"/>
          <w:szCs w:val="24"/>
        </w:rPr>
      </w:pPr>
      <w:r w:rsidRPr="00085231">
        <w:rPr>
          <w:bCs/>
          <w:noProof/>
          <w:sz w:val="24"/>
          <w:szCs w:val="24"/>
        </w:rPr>
        <w:t>Studiet blev afblindet efter anbefaling fra datamonitoreringskomitéen efter overskridelse af tærsklen for en forud planlagt interimanalyse af PFS. Efter afblinding kunne patienter i placebo-armen skifte over til at få lenalidomid inden sygdomsprogression.</w:t>
      </w:r>
    </w:p>
    <w:p w:rsidR="00085231" w:rsidRPr="00085231" w:rsidRDefault="00085231" w:rsidP="00085231">
      <w:pPr>
        <w:suppressAutoHyphens/>
        <w:ind w:left="851"/>
        <w:rPr>
          <w:bCs/>
          <w:noProof/>
          <w:sz w:val="24"/>
          <w:szCs w:val="24"/>
        </w:rPr>
      </w:pPr>
    </w:p>
    <w:p w:rsidR="00085231" w:rsidRPr="00085231" w:rsidRDefault="00085231" w:rsidP="00085231">
      <w:pPr>
        <w:suppressAutoHyphens/>
        <w:ind w:left="851"/>
        <w:rPr>
          <w:bCs/>
          <w:noProof/>
          <w:sz w:val="24"/>
          <w:szCs w:val="24"/>
        </w:rPr>
      </w:pPr>
      <w:r w:rsidRPr="00085231">
        <w:rPr>
          <w:bCs/>
          <w:noProof/>
          <w:sz w:val="24"/>
          <w:szCs w:val="24"/>
        </w:rPr>
        <w:t xml:space="preserve">Resultaterne for PFS ved afblinding i henhold til en forud planlagt interimanalyse med 17. december 2009 som skæringsdato (15,5 måneders opfølgning) viste et fald på 62 % i </w:t>
      </w:r>
      <w:r w:rsidRPr="00085231">
        <w:rPr>
          <w:bCs/>
          <w:noProof/>
          <w:sz w:val="24"/>
          <w:szCs w:val="24"/>
        </w:rPr>
        <w:lastRenderedPageBreak/>
        <w:t xml:space="preserve">risiko for sygdomsprogression eller død til fordel for lenalidomid (HR = 0,38; 95 % CI 0,27-0,54; p &lt; 0,001). Den mediane samlede PFS var 33,9 måneder (95 % CI NE; NE) i lenalidomid-armen </w:t>
      </w:r>
      <w:r w:rsidRPr="00085231">
        <w:rPr>
          <w:bCs/>
          <w:i/>
          <w:iCs/>
          <w:noProof/>
          <w:sz w:val="24"/>
          <w:szCs w:val="24"/>
        </w:rPr>
        <w:t>vs.</w:t>
      </w:r>
      <w:r w:rsidRPr="00085231">
        <w:rPr>
          <w:bCs/>
          <w:noProof/>
          <w:sz w:val="24"/>
          <w:szCs w:val="24"/>
        </w:rPr>
        <w:t xml:space="preserve"> 19,0 måneder (95 % CI 16,2-25,6) i placebo-armen.</w:t>
      </w:r>
    </w:p>
    <w:p w:rsidR="00085231" w:rsidRPr="00085231" w:rsidRDefault="00085231" w:rsidP="00085231">
      <w:pPr>
        <w:suppressAutoHyphens/>
        <w:ind w:left="851"/>
        <w:rPr>
          <w:bCs/>
          <w:noProof/>
          <w:sz w:val="24"/>
          <w:szCs w:val="24"/>
        </w:rPr>
      </w:pPr>
    </w:p>
    <w:p w:rsidR="00085231" w:rsidRPr="00085231" w:rsidRDefault="00085231" w:rsidP="00085231">
      <w:pPr>
        <w:suppressAutoHyphens/>
        <w:ind w:left="851"/>
        <w:rPr>
          <w:bCs/>
          <w:noProof/>
          <w:sz w:val="24"/>
          <w:szCs w:val="24"/>
        </w:rPr>
      </w:pPr>
      <w:r w:rsidRPr="00085231">
        <w:rPr>
          <w:bCs/>
          <w:noProof/>
          <w:sz w:val="24"/>
          <w:szCs w:val="24"/>
        </w:rPr>
        <w:t>Den bedre PFS blev observeret både i undergruppen af patienter med komplet respons (CR) og i undergruppen af patienter, som ikke havde opnået CR.</w:t>
      </w:r>
    </w:p>
    <w:p w:rsidR="00085231" w:rsidRPr="00085231" w:rsidRDefault="00085231" w:rsidP="00085231">
      <w:pPr>
        <w:suppressAutoHyphens/>
        <w:ind w:left="851"/>
        <w:rPr>
          <w:bCs/>
          <w:noProof/>
          <w:sz w:val="24"/>
          <w:szCs w:val="24"/>
        </w:rPr>
      </w:pPr>
    </w:p>
    <w:p w:rsidR="00085231" w:rsidRPr="00085231" w:rsidRDefault="00085231" w:rsidP="00085231">
      <w:pPr>
        <w:suppressAutoHyphens/>
        <w:ind w:left="851"/>
        <w:rPr>
          <w:b/>
          <w:bCs/>
          <w:noProof/>
          <w:sz w:val="24"/>
          <w:szCs w:val="24"/>
        </w:rPr>
      </w:pPr>
      <w:r w:rsidRPr="00085231">
        <w:rPr>
          <w:bCs/>
          <w:noProof/>
          <w:sz w:val="24"/>
          <w:szCs w:val="24"/>
        </w:rPr>
        <w:t>Resultatet af studiet, hvor man bruger 1. februar 2016 som skærringsdato, kan ses i tabel </w:t>
      </w:r>
      <w:r w:rsidR="00DF19D5">
        <w:rPr>
          <w:bCs/>
          <w:noProof/>
          <w:sz w:val="24"/>
          <w:szCs w:val="24"/>
        </w:rPr>
        <w:t>7</w:t>
      </w:r>
      <w:r w:rsidRPr="00085231">
        <w:rPr>
          <w:bCs/>
          <w:noProof/>
          <w:sz w:val="24"/>
          <w:szCs w:val="24"/>
        </w:rPr>
        <w:t>.</w:t>
      </w:r>
    </w:p>
    <w:p w:rsidR="00085231" w:rsidRPr="00085231" w:rsidRDefault="00085231" w:rsidP="00085231">
      <w:pPr>
        <w:suppressAutoHyphens/>
        <w:ind w:left="851"/>
        <w:rPr>
          <w:b/>
          <w:bCs/>
          <w:noProof/>
          <w:sz w:val="24"/>
          <w:szCs w:val="24"/>
        </w:rPr>
      </w:pPr>
    </w:p>
    <w:p w:rsidR="00085231" w:rsidRDefault="00085231" w:rsidP="00085231">
      <w:pPr>
        <w:suppressAutoHyphens/>
        <w:ind w:left="851"/>
        <w:rPr>
          <w:b/>
          <w:bCs/>
          <w:noProof/>
          <w:sz w:val="24"/>
          <w:szCs w:val="24"/>
        </w:rPr>
      </w:pPr>
      <w:r w:rsidRPr="00085231">
        <w:rPr>
          <w:b/>
          <w:bCs/>
          <w:noProof/>
          <w:sz w:val="24"/>
          <w:szCs w:val="24"/>
        </w:rPr>
        <w:t>Tabel </w:t>
      </w:r>
      <w:r w:rsidR="00DF19D5">
        <w:rPr>
          <w:b/>
          <w:bCs/>
          <w:noProof/>
          <w:sz w:val="24"/>
          <w:szCs w:val="24"/>
        </w:rPr>
        <w:t>7</w:t>
      </w:r>
      <w:r w:rsidRPr="00085231">
        <w:rPr>
          <w:b/>
          <w:bCs/>
          <w:noProof/>
          <w:sz w:val="24"/>
          <w:szCs w:val="24"/>
        </w:rPr>
        <w:t>: Oversigt over samlede data for virkning</w:t>
      </w:r>
    </w:p>
    <w:p w:rsidR="002E0398" w:rsidRPr="00085231" w:rsidRDefault="002E0398" w:rsidP="00085231">
      <w:pPr>
        <w:suppressAutoHyphens/>
        <w:ind w:left="851"/>
        <w:rPr>
          <w:b/>
          <w:bCs/>
          <w:noProof/>
          <w:sz w:val="24"/>
          <w:szCs w:val="24"/>
        </w:rPr>
      </w:pPr>
    </w:p>
    <w:tbl>
      <w:tblPr>
        <w:tblW w:w="8931"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5"/>
        <w:gridCol w:w="2268"/>
        <w:gridCol w:w="2268"/>
      </w:tblGrid>
      <w:tr w:rsidR="00085231" w:rsidTr="002E0398">
        <w:trPr>
          <w:trHeight w:val="506"/>
        </w:trPr>
        <w:tc>
          <w:tcPr>
            <w:tcW w:w="4395" w:type="dxa"/>
            <w:tcBorders>
              <w:top w:val="single" w:sz="4" w:space="0" w:color="000000"/>
              <w:left w:val="single" w:sz="4" w:space="0" w:color="000000"/>
              <w:bottom w:val="single" w:sz="4" w:space="0" w:color="000000"/>
              <w:right w:val="single" w:sz="4" w:space="0" w:color="000000"/>
            </w:tcBorders>
          </w:tcPr>
          <w:p w:rsidR="00085231" w:rsidRPr="00085231" w:rsidRDefault="00085231">
            <w:pPr>
              <w:suppressAutoHyphens/>
              <w:rPr>
                <w:iCs/>
                <w:noProof/>
                <w:szCs w:val="22"/>
              </w:rPr>
            </w:pP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rPr>
                <w:bCs/>
                <w:noProof/>
                <w:szCs w:val="22"/>
                <w:lang w:val="en-GB"/>
              </w:rPr>
            </w:pPr>
            <w:r>
              <w:rPr>
                <w:bCs/>
                <w:noProof/>
                <w:szCs w:val="22"/>
                <w:lang w:val="en-GB"/>
              </w:rPr>
              <w:t>Lenalidomid (N = 231)</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rPr>
                <w:bCs/>
                <w:noProof/>
                <w:szCs w:val="22"/>
                <w:lang w:val="en-GB"/>
              </w:rPr>
            </w:pPr>
            <w:r>
              <w:rPr>
                <w:bCs/>
                <w:noProof/>
                <w:szCs w:val="22"/>
                <w:lang w:val="en-GB"/>
              </w:rPr>
              <w:t>Placebo (N = 229)</w:t>
            </w:r>
          </w:p>
        </w:tc>
      </w:tr>
      <w:tr w:rsidR="00085231" w:rsidTr="002E0398">
        <w:trPr>
          <w:trHeight w:val="249"/>
        </w:trPr>
        <w:tc>
          <w:tcPr>
            <w:tcW w:w="4395"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rPr>
                <w:b/>
                <w:bCs/>
                <w:noProof/>
                <w:szCs w:val="22"/>
                <w:lang w:val="en-GB"/>
              </w:rPr>
            </w:pPr>
            <w:r>
              <w:rPr>
                <w:b/>
                <w:bCs/>
                <w:noProof/>
                <w:szCs w:val="22"/>
                <w:lang w:val="en-GB"/>
              </w:rPr>
              <w:t>Investigatorvurderet PFS</w:t>
            </w:r>
          </w:p>
        </w:tc>
        <w:tc>
          <w:tcPr>
            <w:tcW w:w="2268" w:type="dxa"/>
            <w:tcBorders>
              <w:top w:val="single" w:sz="4" w:space="0" w:color="000000"/>
              <w:left w:val="single" w:sz="4" w:space="0" w:color="000000"/>
              <w:bottom w:val="single" w:sz="4" w:space="0" w:color="000000"/>
              <w:right w:val="single" w:sz="4" w:space="0" w:color="000000"/>
            </w:tcBorders>
          </w:tcPr>
          <w:p w:rsidR="00085231" w:rsidRDefault="00085231">
            <w:pPr>
              <w:suppressAutoHyphens/>
              <w:jc w:val="center"/>
              <w:rPr>
                <w:bCs/>
                <w:noProof/>
                <w:szCs w:val="22"/>
                <w:lang w:val="en-GB"/>
              </w:rPr>
            </w:pPr>
          </w:p>
        </w:tc>
        <w:tc>
          <w:tcPr>
            <w:tcW w:w="2268" w:type="dxa"/>
            <w:tcBorders>
              <w:top w:val="single" w:sz="4" w:space="0" w:color="000000"/>
              <w:left w:val="single" w:sz="4" w:space="0" w:color="000000"/>
              <w:bottom w:val="single" w:sz="4" w:space="0" w:color="000000"/>
              <w:right w:val="single" w:sz="4" w:space="0" w:color="000000"/>
            </w:tcBorders>
          </w:tcPr>
          <w:p w:rsidR="00085231" w:rsidRDefault="00085231">
            <w:pPr>
              <w:suppressAutoHyphens/>
              <w:jc w:val="center"/>
              <w:rPr>
                <w:bCs/>
                <w:noProof/>
                <w:szCs w:val="22"/>
                <w:lang w:val="en-GB"/>
              </w:rPr>
            </w:pPr>
          </w:p>
        </w:tc>
      </w:tr>
      <w:tr w:rsidR="00085231" w:rsidTr="002E0398">
        <w:trPr>
          <w:trHeight w:val="252"/>
        </w:trPr>
        <w:tc>
          <w:tcPr>
            <w:tcW w:w="4395" w:type="dxa"/>
            <w:tcBorders>
              <w:top w:val="single" w:sz="4" w:space="0" w:color="000000"/>
              <w:left w:val="single" w:sz="4" w:space="0" w:color="000000"/>
              <w:bottom w:val="single" w:sz="4" w:space="0" w:color="000000"/>
              <w:right w:val="single" w:sz="4" w:space="0" w:color="000000"/>
            </w:tcBorders>
            <w:hideMark/>
          </w:tcPr>
          <w:p w:rsidR="00085231" w:rsidRPr="00085231" w:rsidRDefault="00085231">
            <w:pPr>
              <w:suppressAutoHyphens/>
              <w:rPr>
                <w:bCs/>
                <w:noProof/>
                <w:szCs w:val="22"/>
              </w:rPr>
            </w:pPr>
            <w:r w:rsidRPr="00085231">
              <w:rPr>
                <w:bCs/>
                <w:noProof/>
                <w:szCs w:val="22"/>
              </w:rPr>
              <w:t>Median</w:t>
            </w:r>
            <w:r w:rsidRPr="00085231">
              <w:rPr>
                <w:bCs/>
                <w:noProof/>
                <w:szCs w:val="22"/>
                <w:vertAlign w:val="superscript"/>
              </w:rPr>
              <w:t>a</w:t>
            </w:r>
            <w:r w:rsidRPr="00085231">
              <w:rPr>
                <w:bCs/>
                <w:noProof/>
                <w:szCs w:val="22"/>
              </w:rPr>
              <w:t xml:space="preserve"> PFS-tid, måneder (95 % CI)</w:t>
            </w:r>
            <w:r w:rsidRPr="00085231">
              <w:rPr>
                <w:bCs/>
                <w:noProof/>
                <w:szCs w:val="22"/>
                <w:vertAlign w:val="superscript"/>
              </w:rPr>
              <w:t>b</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56,9 </w:t>
            </w:r>
            <w:r>
              <w:rPr>
                <w:bCs/>
                <w:noProof/>
                <w:szCs w:val="22"/>
                <w:lang w:val="en-GB"/>
              </w:rPr>
              <w:t>(41,9; 71,7)</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29,4 </w:t>
            </w:r>
            <w:r>
              <w:rPr>
                <w:bCs/>
                <w:noProof/>
                <w:szCs w:val="22"/>
                <w:lang w:val="en-GB"/>
              </w:rPr>
              <w:t>(20,7; 35,5)</w:t>
            </w:r>
          </w:p>
        </w:tc>
      </w:tr>
      <w:tr w:rsidR="00085231" w:rsidTr="002E0398">
        <w:trPr>
          <w:trHeight w:val="252"/>
        </w:trPr>
        <w:tc>
          <w:tcPr>
            <w:tcW w:w="4395" w:type="dxa"/>
            <w:tcBorders>
              <w:top w:val="single" w:sz="4" w:space="0" w:color="000000"/>
              <w:left w:val="single" w:sz="4" w:space="0" w:color="000000"/>
              <w:bottom w:val="single" w:sz="4" w:space="0" w:color="000000"/>
              <w:right w:val="single" w:sz="4" w:space="0" w:color="000000"/>
            </w:tcBorders>
            <w:hideMark/>
          </w:tcPr>
          <w:p w:rsidR="00085231" w:rsidRPr="00085231" w:rsidRDefault="00085231">
            <w:pPr>
              <w:suppressAutoHyphens/>
              <w:rPr>
                <w:bCs/>
                <w:noProof/>
                <w:szCs w:val="22"/>
              </w:rPr>
            </w:pPr>
            <w:r w:rsidRPr="00085231">
              <w:rPr>
                <w:bCs/>
                <w:noProof/>
                <w:szCs w:val="22"/>
              </w:rPr>
              <w:t>HR [95 % CI]</w:t>
            </w:r>
            <w:r w:rsidRPr="00085231">
              <w:rPr>
                <w:bCs/>
                <w:noProof/>
                <w:szCs w:val="22"/>
                <w:vertAlign w:val="superscript"/>
              </w:rPr>
              <w:t>c</w:t>
            </w:r>
            <w:r w:rsidRPr="00085231">
              <w:rPr>
                <w:bCs/>
                <w:noProof/>
                <w:szCs w:val="22"/>
              </w:rPr>
              <w:t>; p-værdi</w:t>
            </w:r>
            <w:r w:rsidRPr="00085231">
              <w:rPr>
                <w:bCs/>
                <w:noProof/>
                <w:szCs w:val="22"/>
                <w:vertAlign w:val="superscript"/>
              </w:rPr>
              <w:t>d</w:t>
            </w:r>
          </w:p>
        </w:tc>
        <w:tc>
          <w:tcPr>
            <w:tcW w:w="4536" w:type="dxa"/>
            <w:gridSpan w:val="2"/>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0,61 </w:t>
            </w:r>
            <w:r>
              <w:rPr>
                <w:bCs/>
                <w:noProof/>
                <w:szCs w:val="22"/>
                <w:lang w:val="en-GB"/>
              </w:rPr>
              <w:t>(0,48; 0,76); &lt;0,001</w:t>
            </w:r>
          </w:p>
        </w:tc>
      </w:tr>
      <w:tr w:rsidR="00085231" w:rsidTr="002E0398">
        <w:trPr>
          <w:trHeight w:val="254"/>
        </w:trPr>
        <w:tc>
          <w:tcPr>
            <w:tcW w:w="4395"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rPr>
                <w:b/>
                <w:bCs/>
                <w:noProof/>
                <w:szCs w:val="22"/>
                <w:lang w:val="en-GB"/>
              </w:rPr>
            </w:pPr>
            <w:r>
              <w:rPr>
                <w:b/>
                <w:bCs/>
                <w:noProof/>
                <w:szCs w:val="22"/>
                <w:lang w:val="en-GB"/>
              </w:rPr>
              <w:t>PFS2</w:t>
            </w:r>
            <w:r>
              <w:rPr>
                <w:b/>
                <w:bCs/>
                <w:noProof/>
                <w:szCs w:val="22"/>
                <w:vertAlign w:val="superscript"/>
                <w:lang w:val="en-GB"/>
              </w:rPr>
              <w:t>e</w:t>
            </w:r>
          </w:p>
        </w:tc>
        <w:tc>
          <w:tcPr>
            <w:tcW w:w="4536" w:type="dxa"/>
            <w:gridSpan w:val="2"/>
            <w:tcBorders>
              <w:top w:val="single" w:sz="4" w:space="0" w:color="000000"/>
              <w:left w:val="single" w:sz="4" w:space="0" w:color="000000"/>
              <w:bottom w:val="single" w:sz="4" w:space="0" w:color="000000"/>
              <w:right w:val="single" w:sz="4" w:space="0" w:color="000000"/>
            </w:tcBorders>
          </w:tcPr>
          <w:p w:rsidR="00085231" w:rsidRDefault="00085231">
            <w:pPr>
              <w:suppressAutoHyphens/>
              <w:jc w:val="center"/>
              <w:rPr>
                <w:bCs/>
                <w:noProof/>
                <w:szCs w:val="22"/>
                <w:lang w:val="en-GB"/>
              </w:rPr>
            </w:pPr>
          </w:p>
        </w:tc>
      </w:tr>
      <w:tr w:rsidR="00085231" w:rsidTr="002E0398">
        <w:trPr>
          <w:trHeight w:val="252"/>
        </w:trPr>
        <w:tc>
          <w:tcPr>
            <w:tcW w:w="4395" w:type="dxa"/>
            <w:tcBorders>
              <w:top w:val="single" w:sz="4" w:space="0" w:color="000000"/>
              <w:left w:val="single" w:sz="4" w:space="0" w:color="000000"/>
              <w:bottom w:val="single" w:sz="4" w:space="0" w:color="000000"/>
              <w:right w:val="single" w:sz="4" w:space="0" w:color="000000"/>
            </w:tcBorders>
            <w:hideMark/>
          </w:tcPr>
          <w:p w:rsidR="00085231" w:rsidRPr="00085231" w:rsidRDefault="00085231">
            <w:pPr>
              <w:suppressAutoHyphens/>
              <w:rPr>
                <w:bCs/>
                <w:noProof/>
                <w:szCs w:val="22"/>
              </w:rPr>
            </w:pPr>
            <w:r w:rsidRPr="00085231">
              <w:rPr>
                <w:bCs/>
                <w:noProof/>
                <w:szCs w:val="22"/>
              </w:rPr>
              <w:t>Median</w:t>
            </w:r>
            <w:r w:rsidRPr="00085231">
              <w:rPr>
                <w:bCs/>
                <w:noProof/>
                <w:szCs w:val="22"/>
                <w:vertAlign w:val="superscript"/>
              </w:rPr>
              <w:t>a</w:t>
            </w:r>
            <w:r w:rsidRPr="00085231">
              <w:rPr>
                <w:bCs/>
                <w:noProof/>
                <w:szCs w:val="22"/>
              </w:rPr>
              <w:t xml:space="preserve"> PFS2-tid, måneder (95 % CI)</w:t>
            </w:r>
            <w:r w:rsidRPr="00085231">
              <w:rPr>
                <w:bCs/>
                <w:noProof/>
                <w:szCs w:val="22"/>
                <w:vertAlign w:val="superscript"/>
              </w:rPr>
              <w:t>b</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80,2 </w:t>
            </w:r>
            <w:r>
              <w:rPr>
                <w:bCs/>
                <w:noProof/>
                <w:szCs w:val="22"/>
                <w:lang w:val="en-GB"/>
              </w:rPr>
              <w:t>(63,3; 101,8)</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52,8 </w:t>
            </w:r>
            <w:r>
              <w:rPr>
                <w:bCs/>
                <w:noProof/>
                <w:szCs w:val="22"/>
                <w:lang w:val="en-GB"/>
              </w:rPr>
              <w:t>(41,3; 64,0)</w:t>
            </w:r>
          </w:p>
        </w:tc>
      </w:tr>
      <w:tr w:rsidR="00085231" w:rsidTr="002E0398">
        <w:trPr>
          <w:trHeight w:val="252"/>
        </w:trPr>
        <w:tc>
          <w:tcPr>
            <w:tcW w:w="4395" w:type="dxa"/>
            <w:tcBorders>
              <w:top w:val="single" w:sz="4" w:space="0" w:color="000000"/>
              <w:left w:val="single" w:sz="4" w:space="0" w:color="000000"/>
              <w:bottom w:val="single" w:sz="4" w:space="0" w:color="000000"/>
              <w:right w:val="single" w:sz="4" w:space="0" w:color="000000"/>
            </w:tcBorders>
            <w:hideMark/>
          </w:tcPr>
          <w:p w:rsidR="00085231" w:rsidRPr="00085231" w:rsidRDefault="00085231">
            <w:pPr>
              <w:suppressAutoHyphens/>
              <w:rPr>
                <w:bCs/>
                <w:noProof/>
                <w:szCs w:val="22"/>
              </w:rPr>
            </w:pPr>
            <w:r w:rsidRPr="00085231">
              <w:rPr>
                <w:bCs/>
                <w:noProof/>
                <w:szCs w:val="22"/>
              </w:rPr>
              <w:t>HR [95 % CI]</w:t>
            </w:r>
            <w:r w:rsidRPr="00085231">
              <w:rPr>
                <w:bCs/>
                <w:noProof/>
                <w:szCs w:val="22"/>
                <w:vertAlign w:val="superscript"/>
              </w:rPr>
              <w:t>c</w:t>
            </w:r>
            <w:r w:rsidRPr="00085231">
              <w:rPr>
                <w:bCs/>
                <w:noProof/>
                <w:szCs w:val="22"/>
              </w:rPr>
              <w:t>; p-værdi</w:t>
            </w:r>
            <w:r w:rsidRPr="00085231">
              <w:rPr>
                <w:bCs/>
                <w:noProof/>
                <w:szCs w:val="22"/>
                <w:vertAlign w:val="superscript"/>
              </w:rPr>
              <w:t>d</w:t>
            </w:r>
          </w:p>
        </w:tc>
        <w:tc>
          <w:tcPr>
            <w:tcW w:w="4536" w:type="dxa"/>
            <w:gridSpan w:val="2"/>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0,61 </w:t>
            </w:r>
            <w:r>
              <w:rPr>
                <w:bCs/>
                <w:noProof/>
                <w:szCs w:val="22"/>
                <w:lang w:val="en-GB"/>
              </w:rPr>
              <w:t>(0,48; 0,78); &lt;0,001</w:t>
            </w:r>
          </w:p>
        </w:tc>
      </w:tr>
      <w:tr w:rsidR="00085231" w:rsidTr="002E0398">
        <w:trPr>
          <w:trHeight w:val="252"/>
        </w:trPr>
        <w:tc>
          <w:tcPr>
            <w:tcW w:w="4395"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rPr>
                <w:b/>
                <w:bCs/>
                <w:noProof/>
                <w:szCs w:val="22"/>
                <w:lang w:val="en-GB"/>
              </w:rPr>
            </w:pPr>
            <w:r>
              <w:rPr>
                <w:b/>
                <w:bCs/>
                <w:noProof/>
                <w:szCs w:val="22"/>
                <w:lang w:val="en-GB"/>
              </w:rPr>
              <w:t>Samlet overlevelse</w:t>
            </w:r>
          </w:p>
        </w:tc>
        <w:tc>
          <w:tcPr>
            <w:tcW w:w="2268" w:type="dxa"/>
            <w:tcBorders>
              <w:top w:val="single" w:sz="4" w:space="0" w:color="000000"/>
              <w:left w:val="single" w:sz="4" w:space="0" w:color="000000"/>
              <w:bottom w:val="single" w:sz="4" w:space="0" w:color="000000"/>
              <w:right w:val="single" w:sz="4" w:space="0" w:color="000000"/>
            </w:tcBorders>
          </w:tcPr>
          <w:p w:rsidR="00085231" w:rsidRDefault="00085231">
            <w:pPr>
              <w:suppressAutoHyphens/>
              <w:jc w:val="center"/>
              <w:rPr>
                <w:bCs/>
                <w:noProof/>
                <w:szCs w:val="22"/>
                <w:lang w:val="en-GB"/>
              </w:rPr>
            </w:pPr>
          </w:p>
        </w:tc>
        <w:tc>
          <w:tcPr>
            <w:tcW w:w="2268" w:type="dxa"/>
            <w:tcBorders>
              <w:top w:val="single" w:sz="4" w:space="0" w:color="000000"/>
              <w:left w:val="single" w:sz="4" w:space="0" w:color="000000"/>
              <w:bottom w:val="single" w:sz="4" w:space="0" w:color="000000"/>
              <w:right w:val="single" w:sz="4" w:space="0" w:color="000000"/>
            </w:tcBorders>
          </w:tcPr>
          <w:p w:rsidR="00085231" w:rsidRDefault="00085231">
            <w:pPr>
              <w:suppressAutoHyphens/>
              <w:jc w:val="center"/>
              <w:rPr>
                <w:bCs/>
                <w:noProof/>
                <w:szCs w:val="22"/>
                <w:lang w:val="en-GB"/>
              </w:rPr>
            </w:pPr>
          </w:p>
        </w:tc>
      </w:tr>
      <w:tr w:rsidR="00085231" w:rsidTr="002E0398">
        <w:trPr>
          <w:trHeight w:val="216"/>
        </w:trPr>
        <w:tc>
          <w:tcPr>
            <w:tcW w:w="4395" w:type="dxa"/>
            <w:tcBorders>
              <w:top w:val="single" w:sz="4" w:space="0" w:color="000000"/>
              <w:left w:val="single" w:sz="4" w:space="0" w:color="000000"/>
              <w:bottom w:val="single" w:sz="4" w:space="0" w:color="000000"/>
              <w:right w:val="single" w:sz="4" w:space="0" w:color="000000"/>
            </w:tcBorders>
            <w:hideMark/>
          </w:tcPr>
          <w:p w:rsidR="00085231" w:rsidRPr="00085231" w:rsidRDefault="00085231">
            <w:pPr>
              <w:suppressAutoHyphens/>
              <w:rPr>
                <w:bCs/>
                <w:noProof/>
                <w:szCs w:val="22"/>
              </w:rPr>
            </w:pPr>
            <w:r w:rsidRPr="00085231">
              <w:rPr>
                <w:bCs/>
                <w:noProof/>
                <w:szCs w:val="22"/>
              </w:rPr>
              <w:t>Median</w:t>
            </w:r>
            <w:r w:rsidRPr="00085231">
              <w:rPr>
                <w:bCs/>
                <w:noProof/>
                <w:szCs w:val="22"/>
                <w:vertAlign w:val="superscript"/>
              </w:rPr>
              <w:t>a</w:t>
            </w:r>
            <w:r w:rsidRPr="00085231">
              <w:rPr>
                <w:bCs/>
                <w:noProof/>
                <w:szCs w:val="22"/>
              </w:rPr>
              <w:t xml:space="preserve"> OS-tid, måneder (95 % CI)</w:t>
            </w:r>
            <w:r w:rsidRPr="00085231">
              <w:rPr>
                <w:bCs/>
                <w:noProof/>
                <w:szCs w:val="22"/>
                <w:vertAlign w:val="superscript"/>
              </w:rPr>
              <w:t>b</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111,0 </w:t>
            </w:r>
            <w:r>
              <w:rPr>
                <w:bCs/>
                <w:noProof/>
                <w:szCs w:val="22"/>
                <w:lang w:val="en-GB"/>
              </w:rPr>
              <w:t>(101,8; NE)</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84,2 </w:t>
            </w:r>
            <w:r>
              <w:rPr>
                <w:bCs/>
                <w:noProof/>
                <w:szCs w:val="22"/>
                <w:lang w:val="en-GB"/>
              </w:rPr>
              <w:t>(71,0; 102,7)</w:t>
            </w:r>
          </w:p>
        </w:tc>
      </w:tr>
      <w:tr w:rsidR="00085231" w:rsidTr="002E0398">
        <w:trPr>
          <w:trHeight w:val="249"/>
        </w:trPr>
        <w:tc>
          <w:tcPr>
            <w:tcW w:w="4395"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rPr>
                <w:bCs/>
                <w:noProof/>
                <w:szCs w:val="22"/>
                <w:lang w:val="en-GB"/>
              </w:rPr>
            </w:pPr>
            <w:r>
              <w:rPr>
                <w:bCs/>
                <w:noProof/>
                <w:szCs w:val="22"/>
                <w:lang w:val="en-GB"/>
              </w:rPr>
              <w:t>8-års-overlevelsesrate, % (SE)</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Cs/>
                <w:noProof/>
                <w:szCs w:val="22"/>
                <w:lang w:val="en-GB"/>
              </w:rPr>
              <w:t>60,9 (3,78)</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Cs/>
                <w:noProof/>
                <w:szCs w:val="22"/>
                <w:lang w:val="en-GB"/>
              </w:rPr>
              <w:t>44,6 (3,98)</w:t>
            </w:r>
          </w:p>
        </w:tc>
      </w:tr>
      <w:tr w:rsidR="00085231" w:rsidTr="002E0398">
        <w:trPr>
          <w:trHeight w:val="252"/>
        </w:trPr>
        <w:tc>
          <w:tcPr>
            <w:tcW w:w="4395" w:type="dxa"/>
            <w:tcBorders>
              <w:top w:val="single" w:sz="4" w:space="0" w:color="000000"/>
              <w:left w:val="single" w:sz="4" w:space="0" w:color="000000"/>
              <w:bottom w:val="single" w:sz="4" w:space="0" w:color="000000"/>
              <w:right w:val="single" w:sz="4" w:space="0" w:color="000000"/>
            </w:tcBorders>
            <w:hideMark/>
          </w:tcPr>
          <w:p w:rsidR="00085231" w:rsidRPr="00085231" w:rsidRDefault="00085231">
            <w:pPr>
              <w:suppressAutoHyphens/>
              <w:rPr>
                <w:bCs/>
                <w:noProof/>
                <w:szCs w:val="22"/>
              </w:rPr>
            </w:pPr>
            <w:r w:rsidRPr="00085231">
              <w:rPr>
                <w:bCs/>
                <w:noProof/>
                <w:szCs w:val="22"/>
              </w:rPr>
              <w:t>HR [95 % CI]</w:t>
            </w:r>
            <w:r w:rsidRPr="00085231">
              <w:rPr>
                <w:bCs/>
                <w:noProof/>
                <w:szCs w:val="22"/>
                <w:vertAlign w:val="superscript"/>
              </w:rPr>
              <w:t>c</w:t>
            </w:r>
            <w:r w:rsidRPr="00085231">
              <w:rPr>
                <w:bCs/>
                <w:noProof/>
                <w:szCs w:val="22"/>
              </w:rPr>
              <w:t>; p-værdi</w:t>
            </w:r>
            <w:r w:rsidRPr="00085231">
              <w:rPr>
                <w:bCs/>
                <w:noProof/>
                <w:szCs w:val="22"/>
                <w:vertAlign w:val="superscript"/>
              </w:rPr>
              <w:t>d</w:t>
            </w:r>
          </w:p>
        </w:tc>
        <w:tc>
          <w:tcPr>
            <w:tcW w:w="4536" w:type="dxa"/>
            <w:gridSpan w:val="2"/>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0,61 </w:t>
            </w:r>
            <w:r>
              <w:rPr>
                <w:bCs/>
                <w:noProof/>
                <w:szCs w:val="22"/>
                <w:lang w:val="en-GB"/>
              </w:rPr>
              <w:t>(0,46; 0,81); &lt;0,001</w:t>
            </w:r>
          </w:p>
        </w:tc>
      </w:tr>
      <w:tr w:rsidR="00085231" w:rsidTr="002E0398">
        <w:trPr>
          <w:trHeight w:val="252"/>
        </w:trPr>
        <w:tc>
          <w:tcPr>
            <w:tcW w:w="4395"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rPr>
                <w:b/>
                <w:bCs/>
                <w:noProof/>
                <w:szCs w:val="22"/>
                <w:lang w:val="en-GB"/>
              </w:rPr>
            </w:pPr>
            <w:r>
              <w:rPr>
                <w:b/>
                <w:bCs/>
                <w:noProof/>
                <w:szCs w:val="22"/>
                <w:lang w:val="en-GB"/>
              </w:rPr>
              <w:t>Opfølgning</w:t>
            </w:r>
          </w:p>
        </w:tc>
        <w:tc>
          <w:tcPr>
            <w:tcW w:w="2268" w:type="dxa"/>
            <w:tcBorders>
              <w:top w:val="single" w:sz="4" w:space="0" w:color="000000"/>
              <w:left w:val="single" w:sz="4" w:space="0" w:color="000000"/>
              <w:bottom w:val="single" w:sz="4" w:space="0" w:color="000000"/>
              <w:right w:val="single" w:sz="4" w:space="0" w:color="000000"/>
            </w:tcBorders>
          </w:tcPr>
          <w:p w:rsidR="00085231" w:rsidRDefault="00085231">
            <w:pPr>
              <w:suppressAutoHyphens/>
              <w:jc w:val="center"/>
              <w:rPr>
                <w:bCs/>
                <w:noProof/>
                <w:szCs w:val="22"/>
                <w:lang w:val="en-GB"/>
              </w:rPr>
            </w:pPr>
          </w:p>
        </w:tc>
        <w:tc>
          <w:tcPr>
            <w:tcW w:w="2268" w:type="dxa"/>
            <w:tcBorders>
              <w:top w:val="single" w:sz="4" w:space="0" w:color="000000"/>
              <w:left w:val="single" w:sz="4" w:space="0" w:color="000000"/>
              <w:bottom w:val="single" w:sz="4" w:space="0" w:color="000000"/>
              <w:right w:val="single" w:sz="4" w:space="0" w:color="000000"/>
            </w:tcBorders>
          </w:tcPr>
          <w:p w:rsidR="00085231" w:rsidRDefault="00085231">
            <w:pPr>
              <w:suppressAutoHyphens/>
              <w:jc w:val="center"/>
              <w:rPr>
                <w:bCs/>
                <w:noProof/>
                <w:szCs w:val="22"/>
                <w:lang w:val="en-GB"/>
              </w:rPr>
            </w:pPr>
          </w:p>
        </w:tc>
      </w:tr>
      <w:tr w:rsidR="00085231" w:rsidTr="002E0398">
        <w:trPr>
          <w:trHeight w:val="507"/>
        </w:trPr>
        <w:tc>
          <w:tcPr>
            <w:tcW w:w="4395" w:type="dxa"/>
            <w:tcBorders>
              <w:top w:val="single" w:sz="4" w:space="0" w:color="000000"/>
              <w:left w:val="single" w:sz="4" w:space="0" w:color="000000"/>
              <w:bottom w:val="single" w:sz="4" w:space="0" w:color="000000"/>
              <w:right w:val="single" w:sz="4" w:space="0" w:color="000000"/>
            </w:tcBorders>
            <w:hideMark/>
          </w:tcPr>
          <w:p w:rsidR="00085231" w:rsidRPr="00085231" w:rsidRDefault="00085231">
            <w:pPr>
              <w:suppressAutoHyphens/>
              <w:rPr>
                <w:bCs/>
                <w:noProof/>
                <w:szCs w:val="22"/>
              </w:rPr>
            </w:pPr>
            <w:r w:rsidRPr="00085231">
              <w:rPr>
                <w:bCs/>
                <w:noProof/>
                <w:szCs w:val="22"/>
              </w:rPr>
              <w:t>Median</w:t>
            </w:r>
            <w:r w:rsidRPr="00085231">
              <w:rPr>
                <w:bCs/>
                <w:noProof/>
                <w:szCs w:val="22"/>
                <w:vertAlign w:val="superscript"/>
              </w:rPr>
              <w:t>f</w:t>
            </w:r>
            <w:r w:rsidRPr="00085231">
              <w:rPr>
                <w:bCs/>
                <w:noProof/>
                <w:szCs w:val="22"/>
              </w:rPr>
              <w:t xml:space="preserve"> (min., maks.), måneder: alle overlevende patienter</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81,9 </w:t>
            </w:r>
            <w:r>
              <w:rPr>
                <w:bCs/>
                <w:noProof/>
                <w:szCs w:val="22"/>
                <w:lang w:val="en-GB"/>
              </w:rPr>
              <w:t>(0,0; 119,8)</w:t>
            </w:r>
          </w:p>
        </w:tc>
        <w:tc>
          <w:tcPr>
            <w:tcW w:w="2268" w:type="dxa"/>
            <w:tcBorders>
              <w:top w:val="single" w:sz="4" w:space="0" w:color="000000"/>
              <w:left w:val="single" w:sz="4" w:space="0" w:color="000000"/>
              <w:bottom w:val="single" w:sz="4" w:space="0" w:color="000000"/>
              <w:right w:val="single" w:sz="4" w:space="0" w:color="000000"/>
            </w:tcBorders>
            <w:hideMark/>
          </w:tcPr>
          <w:p w:rsidR="00085231" w:rsidRDefault="00085231">
            <w:pPr>
              <w:suppressAutoHyphens/>
              <w:jc w:val="center"/>
              <w:rPr>
                <w:bCs/>
                <w:noProof/>
                <w:szCs w:val="22"/>
                <w:lang w:val="en-GB"/>
              </w:rPr>
            </w:pPr>
            <w:r>
              <w:rPr>
                <w:b/>
                <w:bCs/>
                <w:noProof/>
                <w:szCs w:val="22"/>
                <w:lang w:val="en-GB"/>
              </w:rPr>
              <w:t xml:space="preserve">81,0 </w:t>
            </w:r>
            <w:r>
              <w:rPr>
                <w:bCs/>
                <w:noProof/>
                <w:szCs w:val="22"/>
                <w:lang w:val="en-GB"/>
              </w:rPr>
              <w:t>(4,1; 119,5)</w:t>
            </w:r>
          </w:p>
        </w:tc>
      </w:tr>
    </w:tbl>
    <w:p w:rsidR="00085231" w:rsidRDefault="00085231" w:rsidP="002E0398">
      <w:pPr>
        <w:suppressAutoHyphens/>
        <w:ind w:left="851"/>
        <w:rPr>
          <w:bCs/>
          <w:noProof/>
          <w:sz w:val="16"/>
          <w:szCs w:val="16"/>
        </w:rPr>
      </w:pPr>
      <w:r>
        <w:rPr>
          <w:bCs/>
          <w:noProof/>
          <w:sz w:val="16"/>
          <w:szCs w:val="16"/>
        </w:rPr>
        <w:t xml:space="preserve">CI = konfidensinterval, HR = </w:t>
      </w:r>
      <w:r>
        <w:rPr>
          <w:bCs/>
          <w:i/>
          <w:noProof/>
          <w:sz w:val="16"/>
          <w:szCs w:val="16"/>
        </w:rPr>
        <w:t>hazard ratio</w:t>
      </w:r>
      <w:r>
        <w:rPr>
          <w:bCs/>
          <w:noProof/>
          <w:sz w:val="16"/>
          <w:szCs w:val="16"/>
        </w:rPr>
        <w:t>, max = maksimum, min = minimum, NE = kan ikke estimeres, OS = samlet overlevelse, PFS = progressionsfri overlevelse;</w:t>
      </w:r>
    </w:p>
    <w:p w:rsidR="00085231" w:rsidRDefault="00085231" w:rsidP="002E0398">
      <w:pPr>
        <w:suppressAutoHyphens/>
        <w:ind w:left="851"/>
        <w:rPr>
          <w:bCs/>
          <w:noProof/>
          <w:sz w:val="16"/>
          <w:szCs w:val="16"/>
        </w:rPr>
      </w:pPr>
      <w:r>
        <w:rPr>
          <w:bCs/>
          <w:noProof/>
          <w:sz w:val="16"/>
          <w:szCs w:val="16"/>
          <w:vertAlign w:val="superscript"/>
        </w:rPr>
        <w:t>a</w:t>
      </w:r>
      <w:r>
        <w:rPr>
          <w:bCs/>
          <w:noProof/>
          <w:sz w:val="16"/>
          <w:szCs w:val="16"/>
        </w:rPr>
        <w:t>Medianen er baseret på Kaplan-Meier-estimatet.</w:t>
      </w:r>
    </w:p>
    <w:p w:rsidR="00085231" w:rsidRDefault="00085231" w:rsidP="002E0398">
      <w:pPr>
        <w:suppressAutoHyphens/>
        <w:ind w:left="851"/>
        <w:rPr>
          <w:bCs/>
          <w:noProof/>
          <w:sz w:val="16"/>
          <w:szCs w:val="16"/>
        </w:rPr>
      </w:pPr>
      <w:r>
        <w:rPr>
          <w:bCs/>
          <w:noProof/>
          <w:sz w:val="16"/>
          <w:szCs w:val="16"/>
          <w:vertAlign w:val="superscript"/>
        </w:rPr>
        <w:t>b</w:t>
      </w:r>
      <w:r>
        <w:rPr>
          <w:bCs/>
          <w:noProof/>
          <w:sz w:val="16"/>
          <w:szCs w:val="16"/>
        </w:rPr>
        <w:t>95 % CI omkring medianen.</w:t>
      </w:r>
    </w:p>
    <w:p w:rsidR="00085231" w:rsidRDefault="00085231" w:rsidP="002E0398">
      <w:pPr>
        <w:suppressAutoHyphens/>
        <w:ind w:left="851"/>
        <w:rPr>
          <w:bCs/>
          <w:noProof/>
          <w:sz w:val="16"/>
          <w:szCs w:val="16"/>
        </w:rPr>
      </w:pPr>
      <w:r>
        <w:rPr>
          <w:bCs/>
          <w:noProof/>
          <w:sz w:val="16"/>
          <w:szCs w:val="16"/>
          <w:vertAlign w:val="superscript"/>
        </w:rPr>
        <w:t>c</w:t>
      </w:r>
      <w:r>
        <w:rPr>
          <w:bCs/>
          <w:noProof/>
          <w:sz w:val="16"/>
          <w:szCs w:val="16"/>
        </w:rPr>
        <w:t>Baseret på Cox proportionale risikomodel, der sammenligner risikofunktioner associeret med de indikerede behandlingsarme.</w:t>
      </w:r>
    </w:p>
    <w:p w:rsidR="00085231" w:rsidRDefault="00085231" w:rsidP="002E0398">
      <w:pPr>
        <w:suppressAutoHyphens/>
        <w:ind w:left="851"/>
        <w:rPr>
          <w:bCs/>
          <w:noProof/>
          <w:sz w:val="16"/>
          <w:szCs w:val="16"/>
        </w:rPr>
      </w:pPr>
      <w:r>
        <w:rPr>
          <w:bCs/>
          <w:noProof/>
          <w:sz w:val="16"/>
          <w:szCs w:val="16"/>
          <w:vertAlign w:val="superscript"/>
        </w:rPr>
        <w:t>d</w:t>
      </w:r>
      <w:r>
        <w:rPr>
          <w:bCs/>
          <w:noProof/>
          <w:sz w:val="16"/>
          <w:szCs w:val="16"/>
        </w:rPr>
        <w:t>p-værdien er baseret på den ikke-stratificerede log-rank-test af forskelle i Kaplan-Meier-kurverne for de indikerede behandlingsarme.</w:t>
      </w:r>
    </w:p>
    <w:p w:rsidR="00085231" w:rsidRDefault="00085231" w:rsidP="002E0398">
      <w:pPr>
        <w:suppressAutoHyphens/>
        <w:ind w:left="851"/>
        <w:rPr>
          <w:bCs/>
          <w:noProof/>
          <w:sz w:val="16"/>
          <w:szCs w:val="16"/>
        </w:rPr>
      </w:pPr>
      <w:r>
        <w:rPr>
          <w:bCs/>
          <w:noProof/>
          <w:sz w:val="16"/>
          <w:szCs w:val="16"/>
          <w:vertAlign w:val="superscript"/>
        </w:rPr>
        <w:t>e</w:t>
      </w:r>
      <w:r>
        <w:rPr>
          <w:bCs/>
          <w:noProof/>
          <w:sz w:val="16"/>
          <w:szCs w:val="16"/>
        </w:rPr>
        <w:t>Eksplorativt endepunkt (PFS2). Lenalidomid givet til patienter i placebo-armen, som skiftede over inden progressiv sygdom (PD) efter afblinding af studiet, blev ikke betragtet som andenvalgsbehandling.</w:t>
      </w:r>
    </w:p>
    <w:p w:rsidR="00085231" w:rsidRDefault="00085231" w:rsidP="002E0398">
      <w:pPr>
        <w:suppressAutoHyphens/>
        <w:ind w:left="851"/>
        <w:rPr>
          <w:bCs/>
          <w:noProof/>
          <w:sz w:val="16"/>
          <w:szCs w:val="16"/>
        </w:rPr>
      </w:pPr>
      <w:r>
        <w:rPr>
          <w:bCs/>
          <w:noProof/>
          <w:sz w:val="16"/>
          <w:szCs w:val="16"/>
          <w:vertAlign w:val="superscript"/>
        </w:rPr>
        <w:t>f</w:t>
      </w:r>
      <w:r>
        <w:rPr>
          <w:bCs/>
          <w:noProof/>
          <w:sz w:val="16"/>
          <w:szCs w:val="16"/>
        </w:rPr>
        <w:t>Median opfølgning efter ASCT for alle overlevende patienter.</w:t>
      </w:r>
    </w:p>
    <w:p w:rsidR="00085231" w:rsidRDefault="00085231" w:rsidP="002E0398">
      <w:pPr>
        <w:suppressAutoHyphens/>
        <w:ind w:left="851"/>
        <w:rPr>
          <w:bCs/>
          <w:noProof/>
          <w:sz w:val="16"/>
          <w:szCs w:val="16"/>
        </w:rPr>
      </w:pPr>
      <w:r>
        <w:rPr>
          <w:b/>
          <w:bCs/>
          <w:noProof/>
          <w:sz w:val="16"/>
          <w:szCs w:val="16"/>
        </w:rPr>
        <w:t xml:space="preserve">Datoer for dataskæring: </w:t>
      </w:r>
      <w:r>
        <w:rPr>
          <w:bCs/>
          <w:noProof/>
          <w:sz w:val="16"/>
          <w:szCs w:val="16"/>
        </w:rPr>
        <w:t>17. december 2009 og 1. februar 2016</w:t>
      </w:r>
    </w:p>
    <w:p w:rsidR="00085231" w:rsidRPr="002E0398" w:rsidRDefault="00085231" w:rsidP="002E0398">
      <w:pPr>
        <w:suppressAutoHyphens/>
        <w:ind w:left="851"/>
        <w:rPr>
          <w:bCs/>
          <w:noProof/>
          <w:sz w:val="24"/>
          <w:szCs w:val="24"/>
        </w:rPr>
      </w:pPr>
    </w:p>
    <w:p w:rsidR="00085231" w:rsidRPr="002E0398" w:rsidRDefault="00085231" w:rsidP="002E0398">
      <w:pPr>
        <w:suppressAutoHyphens/>
        <w:ind w:left="851"/>
        <w:rPr>
          <w:bCs/>
          <w:i/>
          <w:noProof/>
          <w:sz w:val="24"/>
          <w:szCs w:val="24"/>
        </w:rPr>
      </w:pPr>
      <w:r w:rsidRPr="002E0398">
        <w:rPr>
          <w:bCs/>
          <w:i/>
          <w:noProof/>
          <w:sz w:val="24"/>
          <w:szCs w:val="24"/>
        </w:rPr>
        <w:t>IFM 2005-02</w:t>
      </w:r>
    </w:p>
    <w:p w:rsidR="00085231" w:rsidRPr="002E0398" w:rsidRDefault="00085231" w:rsidP="002E0398">
      <w:pPr>
        <w:suppressAutoHyphens/>
        <w:ind w:left="851"/>
        <w:rPr>
          <w:bCs/>
          <w:noProof/>
          <w:sz w:val="24"/>
          <w:szCs w:val="24"/>
        </w:rPr>
      </w:pPr>
      <w:r w:rsidRPr="002E0398">
        <w:rPr>
          <w:bCs/>
          <w:noProof/>
          <w:sz w:val="24"/>
          <w:szCs w:val="24"/>
        </w:rPr>
        <w:t>Patienter &lt; 65 år ved diagnosticering, der havde gennemgået ASCT og opnået en mindst stabil sygdomsrespons på tidspunktet for hæmatologisk restitution, kunne indgå. Patienterne blev randomiseret i forholdet 1:1 til at få vedligeholdelsesbehandling med enten lenalidomid eller placebo (10 mg/dag på dag 1-28 i gentagne 28-dages cyklusser og øget til højst 15 mg en gang daglig efter 3 måneder i fravær af dosisbegrænsende toksicitet) efter 2 forløb med lenalidomid-konsolidering (25 mg/dag, dag 1-21 i en 28-dages cyklus). Behandlingen skulle fortsætte indtil sygdomsprogression.</w:t>
      </w:r>
    </w:p>
    <w:p w:rsidR="00085231" w:rsidRPr="002E0398" w:rsidRDefault="00085231" w:rsidP="002E0398">
      <w:pPr>
        <w:suppressAutoHyphens/>
        <w:ind w:left="851"/>
        <w:rPr>
          <w:bCs/>
          <w:noProof/>
          <w:sz w:val="24"/>
          <w:szCs w:val="24"/>
        </w:rPr>
      </w:pPr>
    </w:p>
    <w:p w:rsidR="00085231" w:rsidRPr="002E0398" w:rsidRDefault="00085231" w:rsidP="002E0398">
      <w:pPr>
        <w:suppressAutoHyphens/>
        <w:ind w:left="851"/>
        <w:rPr>
          <w:bCs/>
          <w:noProof/>
          <w:sz w:val="24"/>
          <w:szCs w:val="24"/>
        </w:rPr>
      </w:pPr>
      <w:r w:rsidRPr="002E0398">
        <w:rPr>
          <w:bCs/>
          <w:noProof/>
          <w:sz w:val="24"/>
          <w:szCs w:val="24"/>
        </w:rPr>
        <w:t>Det primære endepunkt var PFS defineret fra randomisering til datoen for progression eller død afhængigt af, hvad der indtraf først. Studiet havde ikke tiltrækkelig styrke til endepunktet samlet overlevelse. I alt 614 patienter blev randomiseret: 307 patienter til lenalidomid og 307 patienter til placebo.</w:t>
      </w:r>
    </w:p>
    <w:p w:rsidR="00085231" w:rsidRPr="002E0398" w:rsidRDefault="00085231" w:rsidP="002E0398">
      <w:pPr>
        <w:suppressAutoHyphens/>
        <w:ind w:left="851"/>
        <w:rPr>
          <w:bCs/>
          <w:noProof/>
          <w:sz w:val="24"/>
          <w:szCs w:val="24"/>
        </w:rPr>
      </w:pPr>
    </w:p>
    <w:p w:rsidR="00085231" w:rsidRPr="002E0398" w:rsidRDefault="00085231" w:rsidP="002E0398">
      <w:pPr>
        <w:suppressAutoHyphens/>
        <w:ind w:left="851"/>
        <w:rPr>
          <w:bCs/>
          <w:noProof/>
          <w:sz w:val="24"/>
          <w:szCs w:val="24"/>
        </w:rPr>
      </w:pPr>
      <w:r w:rsidRPr="002E0398">
        <w:rPr>
          <w:bCs/>
          <w:noProof/>
          <w:sz w:val="24"/>
          <w:szCs w:val="24"/>
        </w:rPr>
        <w:t xml:space="preserve">Studiet blev afblindet efter anbefaling fra datamonitoreringskomitéen efter overskridelse af tærsklen for en forud planlagt interimanalyse af PFS. Efter afblinding blev patienter, som fik placebo, ikke skiftet over til lenalidomid inden progressiv sygdom. Lenalidomid-armen </w:t>
      </w:r>
      <w:r w:rsidRPr="002E0398">
        <w:rPr>
          <w:bCs/>
          <w:noProof/>
          <w:sz w:val="24"/>
          <w:szCs w:val="24"/>
        </w:rPr>
        <w:lastRenderedPageBreak/>
        <w:t>blev stoppet som en proaktiv sikkerhedsforanstaltning efter observation af en ubalance i SPM’er (se pkt. 4.4).</w:t>
      </w:r>
    </w:p>
    <w:p w:rsidR="00085231" w:rsidRPr="002E0398" w:rsidRDefault="00085231" w:rsidP="002E0398">
      <w:pPr>
        <w:suppressAutoHyphens/>
        <w:ind w:left="851"/>
        <w:rPr>
          <w:bCs/>
          <w:noProof/>
          <w:sz w:val="24"/>
          <w:szCs w:val="24"/>
        </w:rPr>
      </w:pPr>
    </w:p>
    <w:p w:rsidR="00085231" w:rsidRPr="002E0398" w:rsidRDefault="00085231" w:rsidP="002E0398">
      <w:pPr>
        <w:suppressAutoHyphens/>
        <w:ind w:left="851"/>
        <w:rPr>
          <w:bCs/>
          <w:noProof/>
          <w:sz w:val="24"/>
          <w:szCs w:val="24"/>
        </w:rPr>
      </w:pPr>
      <w:r w:rsidRPr="002E0398">
        <w:rPr>
          <w:bCs/>
          <w:noProof/>
          <w:sz w:val="24"/>
          <w:szCs w:val="24"/>
        </w:rPr>
        <w:t>Resultaterne af PFS ved afblinding i henhold til en forud planlagt interimanalyse med 7. juli 2010 som skæringsdato (31,4 måneders opfølgning) viste et fald på 48 % i risiko for sygdomsprogression eller død til fordel for lenalidomid (HR = 0,52; 95 % CI 0,41-0,66; p &lt;0,001). Den mediane samlede PFS var 40,1 måneder (95 % CI 35,7-42,4) i lenalidomid-armen sammenlignet med 22,8 måneder (95 % CI 20,7-27,4) i placebo-armen.</w:t>
      </w:r>
    </w:p>
    <w:p w:rsidR="00085231" w:rsidRPr="002E0398" w:rsidRDefault="00085231" w:rsidP="002E0398">
      <w:pPr>
        <w:suppressAutoHyphens/>
        <w:ind w:left="851"/>
        <w:rPr>
          <w:bCs/>
          <w:noProof/>
          <w:sz w:val="24"/>
          <w:szCs w:val="24"/>
        </w:rPr>
      </w:pPr>
    </w:p>
    <w:p w:rsidR="00085231" w:rsidRPr="002E0398" w:rsidRDefault="00085231" w:rsidP="002E0398">
      <w:pPr>
        <w:suppressAutoHyphens/>
        <w:ind w:left="851"/>
        <w:rPr>
          <w:bCs/>
          <w:noProof/>
          <w:sz w:val="24"/>
          <w:szCs w:val="24"/>
        </w:rPr>
      </w:pPr>
      <w:r w:rsidRPr="002E0398">
        <w:rPr>
          <w:bCs/>
          <w:noProof/>
          <w:sz w:val="24"/>
          <w:szCs w:val="24"/>
        </w:rPr>
        <w:t>PFS-fordelen var mindre i undergruppen af patienter med CR end i undergruppen af patienter, som ikke havde opnået CR.</w:t>
      </w:r>
    </w:p>
    <w:p w:rsidR="00085231" w:rsidRPr="002E0398" w:rsidRDefault="00085231" w:rsidP="002E0398">
      <w:pPr>
        <w:suppressAutoHyphens/>
        <w:ind w:left="851"/>
        <w:rPr>
          <w:bCs/>
          <w:noProof/>
          <w:sz w:val="24"/>
          <w:szCs w:val="24"/>
        </w:rPr>
      </w:pPr>
    </w:p>
    <w:p w:rsidR="00085231" w:rsidRDefault="00085231" w:rsidP="002E0398">
      <w:pPr>
        <w:suppressAutoHyphens/>
        <w:ind w:left="851"/>
        <w:rPr>
          <w:bCs/>
          <w:noProof/>
          <w:sz w:val="24"/>
          <w:szCs w:val="24"/>
        </w:rPr>
      </w:pPr>
      <w:r w:rsidRPr="002E0398">
        <w:rPr>
          <w:bCs/>
          <w:noProof/>
          <w:sz w:val="24"/>
          <w:szCs w:val="24"/>
        </w:rPr>
        <w:t xml:space="preserve">Opdatering af PFS med 1. februar 2016 som skæringsdato (96,7 måneders opfølgning) viste fortsat en PFS-fordel: HR = 0,57 (95 % CI 0,47-0,68; p &lt; 0,001). Den mediane samlede PFS var 44,4 måneder (39,6-52,0) i lenalidomid-armen </w:t>
      </w:r>
      <w:r w:rsidRPr="002E0398">
        <w:rPr>
          <w:bCs/>
          <w:i/>
          <w:noProof/>
          <w:sz w:val="24"/>
          <w:szCs w:val="24"/>
        </w:rPr>
        <w:t xml:space="preserve">versus </w:t>
      </w:r>
      <w:r w:rsidRPr="002E0398">
        <w:rPr>
          <w:bCs/>
          <w:noProof/>
          <w:sz w:val="24"/>
          <w:szCs w:val="24"/>
        </w:rPr>
        <w:t xml:space="preserve">23,8 måneder (95 % CI 21,2-27,3) i placebo-armen. For PFS2 var den observerede HR 0,80 (95 % CI 0,66-0,98; p = 0,026) for lenalidomid </w:t>
      </w:r>
      <w:r w:rsidRPr="002E0398">
        <w:rPr>
          <w:bCs/>
          <w:i/>
          <w:noProof/>
          <w:sz w:val="24"/>
          <w:szCs w:val="24"/>
        </w:rPr>
        <w:t xml:space="preserve">versus </w:t>
      </w:r>
      <w:r w:rsidRPr="002E0398">
        <w:rPr>
          <w:bCs/>
          <w:noProof/>
          <w:sz w:val="24"/>
          <w:szCs w:val="24"/>
        </w:rPr>
        <w:t xml:space="preserve">placebo. Den mediane samlede PFS2 var 69,9 måneder (95 % CI 58,1-80,0) i lenalidomid-armen </w:t>
      </w:r>
      <w:r w:rsidRPr="002E0398">
        <w:rPr>
          <w:bCs/>
          <w:i/>
          <w:noProof/>
          <w:sz w:val="24"/>
          <w:szCs w:val="24"/>
        </w:rPr>
        <w:t xml:space="preserve">versus </w:t>
      </w:r>
      <w:r w:rsidRPr="002E0398">
        <w:rPr>
          <w:bCs/>
          <w:noProof/>
          <w:sz w:val="24"/>
          <w:szCs w:val="24"/>
        </w:rPr>
        <w:t xml:space="preserve">58,4 måneder (95 % CI 51,1-65,0) i placebo-armen. For OS var den observerede HR 0,90 (95 % CI 0,72- 1,13; p = 0,355) for lenalidomid </w:t>
      </w:r>
      <w:r w:rsidRPr="002E0398">
        <w:rPr>
          <w:bCs/>
          <w:i/>
          <w:noProof/>
          <w:sz w:val="24"/>
          <w:szCs w:val="24"/>
        </w:rPr>
        <w:t xml:space="preserve">versus </w:t>
      </w:r>
      <w:r w:rsidRPr="002E0398">
        <w:rPr>
          <w:bCs/>
          <w:noProof/>
          <w:sz w:val="24"/>
          <w:szCs w:val="24"/>
        </w:rPr>
        <w:t xml:space="preserve">placebo. Den mediane samlede overlevelsestid var 105,9 måneder (95 % CI 88,8; NE) i lenalidomid-armen </w:t>
      </w:r>
      <w:r w:rsidRPr="002E0398">
        <w:rPr>
          <w:bCs/>
          <w:i/>
          <w:noProof/>
          <w:sz w:val="24"/>
          <w:szCs w:val="24"/>
        </w:rPr>
        <w:t xml:space="preserve">versus </w:t>
      </w:r>
      <w:r w:rsidRPr="002E0398">
        <w:rPr>
          <w:bCs/>
          <w:noProof/>
          <w:sz w:val="24"/>
          <w:szCs w:val="24"/>
        </w:rPr>
        <w:t>88,1 måneder (95 % CI 80,7-108,4) i placebo-armen.</w:t>
      </w:r>
    </w:p>
    <w:p w:rsidR="00AB6D47" w:rsidRDefault="00AB6D47" w:rsidP="002E0398">
      <w:pPr>
        <w:suppressAutoHyphens/>
        <w:ind w:left="851"/>
        <w:rPr>
          <w:bCs/>
          <w:noProof/>
          <w:sz w:val="24"/>
          <w:szCs w:val="24"/>
        </w:rPr>
      </w:pPr>
    </w:p>
    <w:p w:rsidR="00AB6D47" w:rsidRPr="00AB6D47" w:rsidRDefault="00AB6D47" w:rsidP="00AB6D47">
      <w:pPr>
        <w:suppressAutoHyphens/>
        <w:ind w:left="1418" w:hanging="284"/>
        <w:rPr>
          <w:bCs/>
          <w:noProof/>
          <w:sz w:val="24"/>
          <w:szCs w:val="24"/>
        </w:rPr>
      </w:pPr>
      <w:r w:rsidRPr="00AB6D47">
        <w:rPr>
          <w:bCs/>
          <w:noProof/>
          <w:sz w:val="24"/>
          <w:szCs w:val="24"/>
        </w:rPr>
        <w:t xml:space="preserve">• </w:t>
      </w:r>
      <w:r w:rsidRPr="00AB6D47">
        <w:rPr>
          <w:bCs/>
          <w:noProof/>
          <w:sz w:val="24"/>
          <w:szCs w:val="24"/>
        </w:rPr>
        <w:tab/>
      </w:r>
      <w:r w:rsidRPr="00AB6D47">
        <w:rPr>
          <w:bCs/>
          <w:i/>
          <w:noProof/>
          <w:sz w:val="24"/>
          <w:szCs w:val="24"/>
        </w:rPr>
        <w:t xml:space="preserve">Lenalidomid i kombination med bortezomib og dexamethason hos patienter, som ikke er egnede til stamcelletransplantation </w:t>
      </w:r>
    </w:p>
    <w:p w:rsidR="00AB6D47" w:rsidRPr="00AB6D47" w:rsidRDefault="00AB6D47" w:rsidP="00AB6D47">
      <w:pPr>
        <w:suppressAutoHyphens/>
        <w:ind w:left="851"/>
        <w:rPr>
          <w:bCs/>
          <w:noProof/>
          <w:sz w:val="24"/>
          <w:szCs w:val="24"/>
        </w:rPr>
      </w:pPr>
      <w:r w:rsidRPr="00AB6D47">
        <w:rPr>
          <w:bCs/>
          <w:noProof/>
          <w:sz w:val="24"/>
          <w:szCs w:val="24"/>
        </w:rPr>
        <w:t xml:space="preserve">SWOG S0777-studiet evaluerede tilføjelsen af bortezomib til en basis af lenalidomid og dexamethason som indledende behandling, efterfulgt af fortsat Rd indtil sygdomsprogression, hos patienter med tidligere ubehandlet myelomatose, som enten ikke var egnede til en transplantation eller egnede til transplantation uden umiddelbare planer om at gennemgå en transplantation. </w:t>
      </w:r>
    </w:p>
    <w:p w:rsidR="00AB6D47" w:rsidRPr="00AB6D47" w:rsidRDefault="00AB6D47" w:rsidP="00AB6D47">
      <w:pPr>
        <w:suppressAutoHyphens/>
        <w:ind w:left="851"/>
        <w:rPr>
          <w:bCs/>
          <w:noProof/>
          <w:sz w:val="24"/>
          <w:szCs w:val="24"/>
        </w:rPr>
      </w:pPr>
      <w:r w:rsidRPr="00AB6D47">
        <w:rPr>
          <w:bCs/>
          <w:noProof/>
          <w:sz w:val="24"/>
          <w:szCs w:val="24"/>
        </w:rPr>
        <w:t xml:space="preserve"> </w:t>
      </w:r>
    </w:p>
    <w:p w:rsidR="00AB6D47" w:rsidRPr="00AB6D47" w:rsidRDefault="00AB6D47" w:rsidP="00AB6D47">
      <w:pPr>
        <w:suppressAutoHyphens/>
        <w:ind w:left="851"/>
        <w:rPr>
          <w:bCs/>
          <w:noProof/>
          <w:sz w:val="24"/>
          <w:szCs w:val="24"/>
        </w:rPr>
      </w:pPr>
      <w:r w:rsidRPr="00AB6D47">
        <w:rPr>
          <w:bCs/>
          <w:noProof/>
          <w:sz w:val="24"/>
          <w:szCs w:val="24"/>
        </w:rPr>
        <w:t xml:space="preserve">Patienterne i armen med lenalidomid, bortezomib og dexamethason (RVd) fik lenalidomid 25 mg/dag oralt på dag 1-14, intravenøst bortezomib 1,3 mg/m2 på dag 1, 4, 8 og 11 og dexamethason 20 mg/dag oralt på dag 1, 2, 4, 5, 8, 9, 11 og 12 i gentagne 21-dages cyklusser i op til otte 21-dages cyklusser (24 uger). Patienterne i armen med lenalidomid og dexamethason (Rd) fik lenalidomid 25 mg/dag oralt på dag 1-21 og dexamethason 40 mg/dag oralt på dag 1, 8, 15 og 22 af gentagne 28-dages cyklusser i op til seks 28-dages cyklusser (24 uger). Patienterne i begge arme tog fortsat Rd: lenalidomid 25 mg/dag oralt på dag 1-21 og dexamethason 40 mg/dag oralt på dag 1, 8, 15 og 22 af gentagne 28-dages cyklusser. Behandlingen blev fortsat indtil sygdomsprogression. </w:t>
      </w:r>
    </w:p>
    <w:p w:rsidR="00AB6D47" w:rsidRPr="00AB6D47" w:rsidRDefault="00AB6D47" w:rsidP="00AB6D47">
      <w:pPr>
        <w:suppressAutoHyphens/>
        <w:ind w:left="851"/>
        <w:rPr>
          <w:bCs/>
          <w:noProof/>
          <w:sz w:val="24"/>
          <w:szCs w:val="24"/>
        </w:rPr>
      </w:pPr>
      <w:r w:rsidRPr="00AB6D47">
        <w:rPr>
          <w:bCs/>
          <w:noProof/>
          <w:sz w:val="24"/>
          <w:szCs w:val="24"/>
        </w:rPr>
        <w:t xml:space="preserve"> </w:t>
      </w:r>
    </w:p>
    <w:p w:rsidR="00AB6D47" w:rsidRPr="00AB6D47" w:rsidRDefault="00AB6D47" w:rsidP="00AB6D47">
      <w:pPr>
        <w:suppressAutoHyphens/>
        <w:ind w:left="851"/>
        <w:rPr>
          <w:bCs/>
          <w:noProof/>
          <w:sz w:val="24"/>
          <w:szCs w:val="24"/>
        </w:rPr>
      </w:pPr>
      <w:r w:rsidRPr="00AB6D47">
        <w:rPr>
          <w:bCs/>
          <w:noProof/>
          <w:sz w:val="24"/>
          <w:szCs w:val="24"/>
        </w:rPr>
        <w:t xml:space="preserve">Det primære endepunkt for virkning i studiet var progressionsfri overlevelse (PFS). I alt indgik 523 patienter i studiet, hvoraf 263 patienter blev randomiseret til RVd og 260 patienter blev randomiseret til Rd. Demografiske og sygdomsrelaterede baselinekarakteristika for patienterne var velafbalancerede mellem armene. </w:t>
      </w:r>
    </w:p>
    <w:p w:rsidR="00AB6D47" w:rsidRPr="00AB6D47" w:rsidRDefault="00AB6D47" w:rsidP="00AB6D47">
      <w:pPr>
        <w:suppressAutoHyphens/>
        <w:ind w:left="851"/>
        <w:rPr>
          <w:bCs/>
          <w:noProof/>
          <w:sz w:val="24"/>
          <w:szCs w:val="24"/>
        </w:rPr>
      </w:pPr>
      <w:r w:rsidRPr="00AB6D47">
        <w:rPr>
          <w:bCs/>
          <w:noProof/>
          <w:sz w:val="24"/>
          <w:szCs w:val="24"/>
        </w:rPr>
        <w:t xml:space="preserve"> </w:t>
      </w:r>
    </w:p>
    <w:p w:rsidR="00AB6D47" w:rsidRPr="00AB6D47" w:rsidRDefault="00AB6D47" w:rsidP="00AB6D47">
      <w:pPr>
        <w:suppressAutoHyphens/>
        <w:ind w:left="851"/>
        <w:rPr>
          <w:bCs/>
          <w:noProof/>
          <w:sz w:val="24"/>
          <w:szCs w:val="24"/>
        </w:rPr>
      </w:pPr>
      <w:r w:rsidRPr="00AB6D47">
        <w:rPr>
          <w:bCs/>
          <w:noProof/>
          <w:sz w:val="24"/>
          <w:szCs w:val="24"/>
        </w:rPr>
        <w:t xml:space="preserve">Resultaterne af PFS, bedømt af IRAC, på tidspunktet for den primære analyse, med den 5. november 2015 som cut-off (50,6 måneders opfølgning) viste en 24 % reduktion i risikoen for sygdomsprogression eller død, der favoriserede RVd (HR = 0,76, 95 % CI 0,61; 0,94, p = 0,010). Den mediane samlede PFS var 42,5 måneder (95 % CI 34,0; 54,8) i RVd-armen </w:t>
      </w:r>
      <w:r w:rsidRPr="00AB6D47">
        <w:rPr>
          <w:bCs/>
          <w:noProof/>
          <w:sz w:val="24"/>
          <w:szCs w:val="24"/>
        </w:rPr>
        <w:lastRenderedPageBreak/>
        <w:t xml:space="preserve">versus 29,9 måneder (95 % CI 25,6; 38,2) i Rd-armen. Fordelen blev observeret, uanset egnetheden til en stamcelletransplantation. </w:t>
      </w:r>
    </w:p>
    <w:p w:rsidR="00AB6D47" w:rsidRPr="00AB6D47" w:rsidRDefault="00AB6D47" w:rsidP="00AB6D47">
      <w:pPr>
        <w:suppressAutoHyphens/>
        <w:ind w:left="851"/>
        <w:rPr>
          <w:bCs/>
          <w:noProof/>
          <w:sz w:val="24"/>
          <w:szCs w:val="24"/>
        </w:rPr>
      </w:pPr>
      <w:r w:rsidRPr="00AB6D47">
        <w:rPr>
          <w:bCs/>
          <w:noProof/>
          <w:sz w:val="24"/>
          <w:szCs w:val="24"/>
        </w:rPr>
        <w:t xml:space="preserve"> </w:t>
      </w:r>
    </w:p>
    <w:p w:rsidR="00AB6D47" w:rsidRPr="00AB6D47" w:rsidRDefault="00AB6D47" w:rsidP="00AB6D47">
      <w:pPr>
        <w:suppressAutoHyphens/>
        <w:ind w:left="851"/>
        <w:rPr>
          <w:bCs/>
          <w:noProof/>
          <w:sz w:val="24"/>
          <w:szCs w:val="24"/>
        </w:rPr>
      </w:pPr>
      <w:r w:rsidRPr="00AB6D47">
        <w:rPr>
          <w:bCs/>
          <w:noProof/>
          <w:sz w:val="24"/>
          <w:szCs w:val="24"/>
        </w:rPr>
        <w:t xml:space="preserve">Resultaterne for studiet, med data cut-off den 1. december 2016, hvor den mediane opfølgningstid for alle overlevende personer var 69,0 måneder, vises i tabel 8. Der blev observeret en fordel, der favoriserede RVd, uansat egnetheden til en stamcelletransplantation. </w:t>
      </w:r>
    </w:p>
    <w:p w:rsidR="00AB6D47" w:rsidRPr="00AB6D47" w:rsidRDefault="00AB6D47" w:rsidP="00AB6D47">
      <w:pPr>
        <w:suppressAutoHyphens/>
        <w:ind w:left="851"/>
        <w:rPr>
          <w:bCs/>
          <w:noProof/>
          <w:sz w:val="24"/>
          <w:szCs w:val="24"/>
        </w:rPr>
      </w:pPr>
    </w:p>
    <w:p w:rsidR="00493BBA" w:rsidRDefault="00493BBA" w:rsidP="00493BBA">
      <w:pPr>
        <w:shd w:val="clear" w:color="auto" w:fill="FFFFFF"/>
        <w:spacing w:after="143"/>
        <w:ind w:left="851"/>
        <w:rPr>
          <w:color w:val="000000"/>
          <w:sz w:val="22"/>
          <w:lang w:val="en-US" w:eastAsia="en-IN"/>
        </w:rPr>
      </w:pPr>
      <w:r>
        <w:rPr>
          <w:b/>
          <w:bCs/>
          <w:color w:val="000000"/>
          <w:lang w:val="en-US" w:eastAsia="en-IN"/>
        </w:rPr>
        <w:t xml:space="preserve">Table </w:t>
      </w:r>
      <w:r w:rsidR="00DF19D5">
        <w:rPr>
          <w:b/>
          <w:bCs/>
          <w:color w:val="000000"/>
          <w:lang w:val="en-US" w:eastAsia="en-IN"/>
        </w:rPr>
        <w:t>8</w:t>
      </w:r>
      <w:r>
        <w:rPr>
          <w:b/>
          <w:bCs/>
          <w:color w:val="000000"/>
          <w:lang w:val="en-US" w:eastAsia="en-IN"/>
        </w:rPr>
        <w:t>. Summary of overall efficacy data</w:t>
      </w:r>
    </w:p>
    <w:tbl>
      <w:tblPr>
        <w:tblW w:w="5000" w:type="pct"/>
        <w:tblInd w:w="418" w:type="dxa"/>
        <w:tblBorders>
          <w:top w:val="outset" w:sz="6" w:space="0" w:color="7B7B7B"/>
          <w:left w:val="outset" w:sz="6" w:space="0" w:color="7B7B7B"/>
          <w:bottom w:val="outset" w:sz="6" w:space="0" w:color="7B7B7B"/>
          <w:right w:val="outset" w:sz="6" w:space="0" w:color="7B7B7B"/>
        </w:tblBorders>
        <w:tblCellMar>
          <w:top w:w="30" w:type="dxa"/>
          <w:left w:w="30" w:type="dxa"/>
          <w:bottom w:w="30" w:type="dxa"/>
          <w:right w:w="30" w:type="dxa"/>
        </w:tblCellMar>
        <w:tblLook w:val="04A0" w:firstRow="1" w:lastRow="0" w:firstColumn="1" w:lastColumn="0" w:noHBand="0" w:noVBand="1"/>
      </w:tblPr>
      <w:tblGrid>
        <w:gridCol w:w="5196"/>
        <w:gridCol w:w="2213"/>
        <w:gridCol w:w="2213"/>
      </w:tblGrid>
      <w:tr w:rsidR="00493BBA" w:rsidTr="00493BBA">
        <w:tc>
          <w:tcPr>
            <w:tcW w:w="2700" w:type="pct"/>
            <w:vMerge w:val="restart"/>
            <w:tcBorders>
              <w:top w:val="outset" w:sz="6" w:space="0" w:color="7B7B7B"/>
              <w:left w:val="outset" w:sz="6" w:space="0" w:color="7B7B7B"/>
              <w:bottom w:val="outset" w:sz="6" w:space="0" w:color="7B7B7B"/>
              <w:right w:val="outset" w:sz="6" w:space="0" w:color="7B7B7B"/>
            </w:tcBorders>
            <w:hideMark/>
          </w:tcPr>
          <w:p w:rsidR="00493BBA" w:rsidRDefault="00493BBA">
            <w:pPr>
              <w:rPr>
                <w:color w:val="000000"/>
                <w:lang w:val="en-US" w:eastAsia="en-IN"/>
              </w:rPr>
            </w:pPr>
          </w:p>
        </w:tc>
        <w:tc>
          <w:tcPr>
            <w:tcW w:w="2300" w:type="pct"/>
            <w:gridSpan w:val="2"/>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sz w:val="22"/>
                <w:lang w:eastAsia="en-IN"/>
              </w:rPr>
            </w:pPr>
            <w:r>
              <w:rPr>
                <w:b/>
                <w:bCs/>
                <w:lang w:eastAsia="en-IN"/>
              </w:rPr>
              <w:t>Indledende behandling</w:t>
            </w:r>
          </w:p>
        </w:tc>
      </w:tr>
      <w:tr w:rsidR="00493BBA" w:rsidTr="00493BBA">
        <w:tc>
          <w:tcPr>
            <w:tcW w:w="0" w:type="auto"/>
            <w:vMerge/>
            <w:tcBorders>
              <w:top w:val="outset" w:sz="6" w:space="0" w:color="7B7B7B"/>
              <w:left w:val="outset" w:sz="6" w:space="0" w:color="7B7B7B"/>
              <w:bottom w:val="outset" w:sz="6" w:space="0" w:color="7B7B7B"/>
              <w:right w:val="outset" w:sz="6" w:space="0" w:color="7B7B7B"/>
            </w:tcBorders>
            <w:vAlign w:val="center"/>
            <w:hideMark/>
          </w:tcPr>
          <w:p w:rsidR="00493BBA" w:rsidRDefault="00493BBA">
            <w:pPr>
              <w:rPr>
                <w:color w:val="000000"/>
                <w:sz w:val="22"/>
                <w:lang w:val="en-US" w:eastAsia="en-IN"/>
              </w:rPr>
            </w:pPr>
          </w:p>
        </w:tc>
        <w:tc>
          <w:tcPr>
            <w:tcW w:w="1150"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b/>
                <w:bCs/>
                <w:lang w:eastAsia="en-IN"/>
              </w:rPr>
            </w:pPr>
            <w:r>
              <w:rPr>
                <w:b/>
                <w:bCs/>
                <w:lang w:eastAsia="en-IN"/>
              </w:rPr>
              <w:t xml:space="preserve">RVd </w:t>
            </w:r>
          </w:p>
          <w:p w:rsidR="00493BBA" w:rsidRDefault="00493BBA">
            <w:pPr>
              <w:jc w:val="center"/>
              <w:rPr>
                <w:b/>
                <w:bCs/>
                <w:lang w:eastAsia="en-IN"/>
              </w:rPr>
            </w:pPr>
            <w:r>
              <w:rPr>
                <w:b/>
                <w:bCs/>
                <w:lang w:eastAsia="en-IN"/>
              </w:rPr>
              <w:t xml:space="preserve">(3-ugers cyklusser </w:t>
            </w:r>
          </w:p>
          <w:p w:rsidR="00493BBA" w:rsidRDefault="00493BBA">
            <w:pPr>
              <w:jc w:val="center"/>
              <w:rPr>
                <w:b/>
                <w:bCs/>
                <w:lang w:eastAsia="en-IN"/>
              </w:rPr>
            </w:pPr>
            <w:r>
              <w:rPr>
                <w:b/>
                <w:bCs/>
                <w:lang w:eastAsia="en-IN"/>
              </w:rPr>
              <w:t xml:space="preserve">x 8) </w:t>
            </w:r>
          </w:p>
          <w:p w:rsidR="00493BBA" w:rsidRDefault="00493BBA">
            <w:pPr>
              <w:jc w:val="center"/>
              <w:rPr>
                <w:lang w:eastAsia="en-IN"/>
              </w:rPr>
            </w:pPr>
            <w:r>
              <w:rPr>
                <w:b/>
                <w:bCs/>
                <w:lang w:eastAsia="en-IN"/>
              </w:rPr>
              <w:t>(N = 263)</w:t>
            </w:r>
          </w:p>
        </w:tc>
        <w:tc>
          <w:tcPr>
            <w:tcW w:w="1150"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b/>
                <w:bCs/>
                <w:lang w:eastAsia="en-IN"/>
              </w:rPr>
            </w:pPr>
            <w:r>
              <w:rPr>
                <w:b/>
                <w:bCs/>
                <w:lang w:eastAsia="en-IN"/>
              </w:rPr>
              <w:t xml:space="preserve">Rd </w:t>
            </w:r>
          </w:p>
          <w:p w:rsidR="00493BBA" w:rsidRDefault="00493BBA">
            <w:pPr>
              <w:jc w:val="center"/>
              <w:rPr>
                <w:b/>
                <w:bCs/>
                <w:lang w:eastAsia="en-IN"/>
              </w:rPr>
            </w:pPr>
            <w:r>
              <w:rPr>
                <w:b/>
                <w:bCs/>
                <w:lang w:eastAsia="en-IN"/>
              </w:rPr>
              <w:t xml:space="preserve">(4-ugers cyklusser </w:t>
            </w:r>
          </w:p>
          <w:p w:rsidR="00493BBA" w:rsidRDefault="00493BBA">
            <w:pPr>
              <w:jc w:val="center"/>
              <w:rPr>
                <w:b/>
                <w:bCs/>
                <w:lang w:eastAsia="en-IN"/>
              </w:rPr>
            </w:pPr>
            <w:r>
              <w:rPr>
                <w:b/>
                <w:bCs/>
                <w:lang w:eastAsia="en-IN"/>
              </w:rPr>
              <w:t xml:space="preserve">x 6) </w:t>
            </w:r>
          </w:p>
          <w:p w:rsidR="00493BBA" w:rsidRDefault="00493BBA">
            <w:pPr>
              <w:jc w:val="center"/>
              <w:rPr>
                <w:lang w:eastAsia="en-IN"/>
              </w:rPr>
            </w:pPr>
            <w:r>
              <w:rPr>
                <w:b/>
                <w:bCs/>
                <w:lang w:eastAsia="en-IN"/>
              </w:rPr>
              <w:t>(N = 260)</w:t>
            </w:r>
          </w:p>
        </w:tc>
      </w:tr>
      <w:tr w:rsidR="00493BBA" w:rsidTr="00493BBA">
        <w:tc>
          <w:tcPr>
            <w:tcW w:w="5000" w:type="pct"/>
            <w:gridSpan w:val="3"/>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IRAC-vurderet PFS (måneder)</w:t>
            </w:r>
          </w:p>
        </w:tc>
      </w:tr>
      <w:tr w:rsidR="00493BBA" w:rsidTr="00493BBA">
        <w:tc>
          <w:tcPr>
            <w:tcW w:w="2700" w:type="pct"/>
            <w:tcBorders>
              <w:top w:val="outset" w:sz="6" w:space="0" w:color="7B7B7B"/>
              <w:left w:val="outset" w:sz="6" w:space="0" w:color="7B7B7B"/>
              <w:bottom w:val="outset" w:sz="6" w:space="0" w:color="7B7B7B"/>
              <w:right w:val="outset" w:sz="6" w:space="0" w:color="7B7B7B"/>
            </w:tcBorders>
            <w:hideMark/>
          </w:tcPr>
          <w:p w:rsidR="00493BBA" w:rsidRDefault="00493BBA">
            <w:pPr>
              <w:ind w:left="322"/>
              <w:rPr>
                <w:lang w:eastAsia="en-IN"/>
              </w:rPr>
            </w:pPr>
            <w:r>
              <w:rPr>
                <w:lang w:eastAsia="en-IN"/>
              </w:rPr>
              <w:t>Mediana PFS-tid, måneder (95 % CI)</w:t>
            </w:r>
            <w:r>
              <w:rPr>
                <w:vertAlign w:val="superscript"/>
                <w:lang w:eastAsia="en-IN"/>
              </w:rPr>
              <w:t>b</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 xml:space="preserve">41,7 </w:t>
            </w:r>
            <w:r>
              <w:rPr>
                <w:bCs/>
                <w:lang w:eastAsia="en-IN"/>
              </w:rPr>
              <w:t>(33,1; 51,5)</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 xml:space="preserve">29,7 </w:t>
            </w:r>
            <w:r>
              <w:rPr>
                <w:bCs/>
                <w:lang w:eastAsia="en-IN"/>
              </w:rPr>
              <w:t>(24,2; 37,8</w:t>
            </w:r>
            <w:r>
              <w:rPr>
                <w:lang w:eastAsia="en-IN"/>
              </w:rPr>
              <w:t>)</w:t>
            </w:r>
          </w:p>
        </w:tc>
      </w:tr>
      <w:tr w:rsidR="00493BBA" w:rsidTr="00493BBA">
        <w:tc>
          <w:tcPr>
            <w:tcW w:w="2700" w:type="pct"/>
            <w:tcBorders>
              <w:top w:val="outset" w:sz="6" w:space="0" w:color="7B7B7B"/>
              <w:left w:val="outset" w:sz="6" w:space="0" w:color="7B7B7B"/>
              <w:bottom w:val="outset" w:sz="6" w:space="0" w:color="7B7B7B"/>
              <w:right w:val="outset" w:sz="6" w:space="0" w:color="7B7B7B"/>
            </w:tcBorders>
            <w:hideMark/>
          </w:tcPr>
          <w:p w:rsidR="00493BBA" w:rsidRDefault="00493BBA">
            <w:pPr>
              <w:ind w:left="322"/>
              <w:rPr>
                <w:lang w:eastAsia="en-IN"/>
              </w:rPr>
            </w:pPr>
            <w:r>
              <w:rPr>
                <w:lang w:eastAsia="en-IN"/>
              </w:rPr>
              <w:t>HR [95 % CI]</w:t>
            </w:r>
            <w:r>
              <w:rPr>
                <w:vertAlign w:val="superscript"/>
                <w:lang w:eastAsia="en-IN"/>
              </w:rPr>
              <w:t>c</w:t>
            </w:r>
            <w:r>
              <w:rPr>
                <w:lang w:eastAsia="en-IN"/>
              </w:rPr>
              <w:t>, p-værdi</w:t>
            </w:r>
            <w:r>
              <w:rPr>
                <w:vertAlign w:val="superscript"/>
                <w:lang w:eastAsia="en-IN"/>
              </w:rPr>
              <w:t>d</w:t>
            </w:r>
          </w:p>
        </w:tc>
        <w:tc>
          <w:tcPr>
            <w:tcW w:w="2300" w:type="pct"/>
            <w:gridSpan w:val="2"/>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 xml:space="preserve">0,76 </w:t>
            </w:r>
            <w:r>
              <w:rPr>
                <w:bCs/>
                <w:lang w:eastAsia="en-IN"/>
              </w:rPr>
              <w:t>(0,62; 0,94), 0,010</w:t>
            </w:r>
          </w:p>
        </w:tc>
      </w:tr>
      <w:tr w:rsidR="00493BBA" w:rsidTr="00493BBA">
        <w:tc>
          <w:tcPr>
            <w:tcW w:w="5000" w:type="pct"/>
            <w:gridSpan w:val="3"/>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Samlet overlevelse (måneder)</w:t>
            </w:r>
          </w:p>
        </w:tc>
      </w:tr>
      <w:tr w:rsidR="00493BBA" w:rsidTr="00493BBA">
        <w:tc>
          <w:tcPr>
            <w:tcW w:w="2700" w:type="pct"/>
            <w:tcBorders>
              <w:top w:val="outset" w:sz="6" w:space="0" w:color="7B7B7B"/>
              <w:left w:val="outset" w:sz="6" w:space="0" w:color="7B7B7B"/>
              <w:bottom w:val="outset" w:sz="6" w:space="0" w:color="7B7B7B"/>
              <w:right w:val="outset" w:sz="6" w:space="0" w:color="7B7B7B"/>
            </w:tcBorders>
            <w:hideMark/>
          </w:tcPr>
          <w:p w:rsidR="00493BBA" w:rsidRDefault="00493BBA">
            <w:pPr>
              <w:ind w:left="322"/>
              <w:rPr>
                <w:lang w:eastAsia="en-IN"/>
              </w:rPr>
            </w:pPr>
            <w:r>
              <w:rPr>
                <w:lang w:eastAsia="en-IN"/>
              </w:rPr>
              <w:t>Mediana OS-tid, måneder (95 % CI)</w:t>
            </w:r>
            <w:r>
              <w:rPr>
                <w:vertAlign w:val="superscript"/>
                <w:lang w:eastAsia="en-IN"/>
              </w:rPr>
              <w:t>b</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 xml:space="preserve">89,1 </w:t>
            </w:r>
            <w:r>
              <w:rPr>
                <w:bCs/>
                <w:lang w:eastAsia="en-IN"/>
              </w:rPr>
              <w:t>(76,1; NE)</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 xml:space="preserve">67,2 </w:t>
            </w:r>
            <w:r>
              <w:rPr>
                <w:bCs/>
                <w:lang w:eastAsia="en-IN"/>
              </w:rPr>
              <w:t>(58,4; 90,8)</w:t>
            </w:r>
          </w:p>
        </w:tc>
      </w:tr>
      <w:tr w:rsidR="00493BBA" w:rsidTr="00493BBA">
        <w:tc>
          <w:tcPr>
            <w:tcW w:w="2700" w:type="pct"/>
            <w:tcBorders>
              <w:top w:val="outset" w:sz="6" w:space="0" w:color="7B7B7B"/>
              <w:left w:val="outset" w:sz="6" w:space="0" w:color="7B7B7B"/>
              <w:bottom w:val="outset" w:sz="6" w:space="0" w:color="7B7B7B"/>
              <w:right w:val="outset" w:sz="6" w:space="0" w:color="7B7B7B"/>
            </w:tcBorders>
            <w:hideMark/>
          </w:tcPr>
          <w:p w:rsidR="00493BBA" w:rsidRDefault="00493BBA">
            <w:pPr>
              <w:ind w:left="322"/>
              <w:rPr>
                <w:lang w:eastAsia="en-IN"/>
              </w:rPr>
            </w:pPr>
            <w:r>
              <w:rPr>
                <w:lang w:eastAsia="en-IN"/>
              </w:rPr>
              <w:t>HR [95 % CI]</w:t>
            </w:r>
            <w:r>
              <w:rPr>
                <w:vertAlign w:val="superscript"/>
                <w:lang w:eastAsia="en-IN"/>
              </w:rPr>
              <w:t>c;</w:t>
            </w:r>
            <w:r>
              <w:rPr>
                <w:lang w:eastAsia="en-IN"/>
              </w:rPr>
              <w:t xml:space="preserve"> p-værdi</w:t>
            </w:r>
            <w:r>
              <w:rPr>
                <w:vertAlign w:val="superscript"/>
                <w:lang w:eastAsia="en-IN"/>
              </w:rPr>
              <w:t>d</w:t>
            </w:r>
          </w:p>
        </w:tc>
        <w:tc>
          <w:tcPr>
            <w:tcW w:w="2300" w:type="pct"/>
            <w:gridSpan w:val="2"/>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 xml:space="preserve">0,72 </w:t>
            </w:r>
            <w:r>
              <w:rPr>
                <w:bCs/>
                <w:lang w:eastAsia="en-IN"/>
              </w:rPr>
              <w:t>(0,56; 0,94), 0,013</w:t>
            </w:r>
          </w:p>
        </w:tc>
      </w:tr>
      <w:tr w:rsidR="00493BBA" w:rsidTr="00493BBA">
        <w:tc>
          <w:tcPr>
            <w:tcW w:w="5000" w:type="pct"/>
            <w:gridSpan w:val="3"/>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Respons – n (%)</w:t>
            </w:r>
          </w:p>
        </w:tc>
      </w:tr>
      <w:tr w:rsidR="00493BBA" w:rsidTr="00493BBA">
        <w:tc>
          <w:tcPr>
            <w:tcW w:w="2700" w:type="pct"/>
            <w:tcBorders>
              <w:top w:val="outset" w:sz="6" w:space="0" w:color="7B7B7B"/>
              <w:left w:val="outset" w:sz="6" w:space="0" w:color="7B7B7B"/>
              <w:bottom w:val="outset" w:sz="6" w:space="0" w:color="7B7B7B"/>
              <w:right w:val="outset" w:sz="6" w:space="0" w:color="7B7B7B"/>
            </w:tcBorders>
            <w:hideMark/>
          </w:tcPr>
          <w:p w:rsidR="00493BBA" w:rsidRDefault="00493BBA">
            <w:pPr>
              <w:ind w:left="322"/>
              <w:rPr>
                <w:lang w:eastAsia="en-IN"/>
              </w:rPr>
            </w:pPr>
            <w:r>
              <w:rPr>
                <w:lang w:eastAsia="en-IN"/>
              </w:rPr>
              <w:t>Samlet respons: CR, VGPR eller PR</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199 (75,7)</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170 (65,4)</w:t>
            </w:r>
          </w:p>
        </w:tc>
      </w:tr>
      <w:tr w:rsidR="00493BBA" w:rsidTr="00493BBA">
        <w:tc>
          <w:tcPr>
            <w:tcW w:w="2700" w:type="pct"/>
            <w:tcBorders>
              <w:top w:val="outset" w:sz="6" w:space="0" w:color="7B7B7B"/>
              <w:left w:val="outset" w:sz="6" w:space="0" w:color="7B7B7B"/>
              <w:bottom w:val="outset" w:sz="6" w:space="0" w:color="7B7B7B"/>
              <w:right w:val="outset" w:sz="6" w:space="0" w:color="7B7B7B"/>
            </w:tcBorders>
            <w:hideMark/>
          </w:tcPr>
          <w:p w:rsidR="00493BBA" w:rsidRDefault="00493BBA">
            <w:pPr>
              <w:ind w:left="322"/>
              <w:rPr>
                <w:lang w:eastAsia="en-IN"/>
              </w:rPr>
            </w:pPr>
            <w:r>
              <w:rPr>
                <w:lang w:eastAsia="en-IN"/>
              </w:rPr>
              <w:t>≥ VGPR</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153 (58,2)</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83 (31,9)</w:t>
            </w:r>
          </w:p>
        </w:tc>
      </w:tr>
      <w:tr w:rsidR="00493BBA" w:rsidTr="00493BBA">
        <w:tc>
          <w:tcPr>
            <w:tcW w:w="5000" w:type="pct"/>
            <w:gridSpan w:val="3"/>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Opfølgning (måneder)</w:t>
            </w:r>
          </w:p>
        </w:tc>
      </w:tr>
      <w:tr w:rsidR="00493BBA" w:rsidTr="00493BBA">
        <w:tc>
          <w:tcPr>
            <w:tcW w:w="2700" w:type="pct"/>
            <w:tcBorders>
              <w:top w:val="outset" w:sz="6" w:space="0" w:color="7B7B7B"/>
              <w:left w:val="outset" w:sz="6" w:space="0" w:color="7B7B7B"/>
              <w:bottom w:val="outset" w:sz="6" w:space="0" w:color="7B7B7B"/>
              <w:right w:val="outset" w:sz="6" w:space="0" w:color="7B7B7B"/>
            </w:tcBorders>
            <w:hideMark/>
          </w:tcPr>
          <w:p w:rsidR="00493BBA" w:rsidRDefault="00493BBA">
            <w:pPr>
              <w:ind w:left="322"/>
              <w:rPr>
                <w:lang w:eastAsia="en-IN"/>
              </w:rPr>
            </w:pPr>
            <w:r>
              <w:rPr>
                <w:lang w:eastAsia="en-IN"/>
              </w:rPr>
              <w:t>Median</w:t>
            </w:r>
            <w:r>
              <w:rPr>
                <w:vertAlign w:val="superscript"/>
                <w:lang w:eastAsia="en-IN"/>
              </w:rPr>
              <w:t>e</w:t>
            </w:r>
            <w:r>
              <w:rPr>
                <w:lang w:eastAsia="en-IN"/>
              </w:rPr>
              <w:t xml:space="preserve"> (min; maks): alle patienter</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61,6 (0,2; 99,4)</w:t>
            </w:r>
          </w:p>
        </w:tc>
        <w:tc>
          <w:tcPr>
            <w:tcW w:w="11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59,4 (0,4; 99,1)</w:t>
            </w:r>
          </w:p>
        </w:tc>
      </w:tr>
    </w:tbl>
    <w:p w:rsidR="00493BBA" w:rsidRDefault="00493BBA" w:rsidP="00493BBA">
      <w:pPr>
        <w:suppressAutoHyphens/>
        <w:ind w:left="851"/>
        <w:rPr>
          <w:bCs/>
          <w:noProof/>
          <w:sz w:val="16"/>
          <w:szCs w:val="16"/>
        </w:rPr>
      </w:pPr>
      <w:r>
        <w:rPr>
          <w:bCs/>
          <w:noProof/>
          <w:sz w:val="16"/>
          <w:szCs w:val="16"/>
        </w:rPr>
        <w:t xml:space="preserve">CI = konfidensinterval, HR = hazard ratio, maks = maksimum, min = minimum, NE = kan ikke estimeres, OS = samlet overlevelse, </w:t>
      </w:r>
    </w:p>
    <w:p w:rsidR="00493BBA" w:rsidRDefault="00493BBA" w:rsidP="00493BBA">
      <w:pPr>
        <w:suppressAutoHyphens/>
        <w:ind w:left="851"/>
        <w:rPr>
          <w:bCs/>
          <w:noProof/>
          <w:sz w:val="16"/>
          <w:szCs w:val="16"/>
        </w:rPr>
      </w:pPr>
      <w:r>
        <w:rPr>
          <w:bCs/>
          <w:noProof/>
          <w:sz w:val="16"/>
          <w:szCs w:val="16"/>
        </w:rPr>
        <w:t xml:space="preserve">PFS = progressionsfri overlevelse. a Medianen er baseret på Kaplan-Meier-estimat. </w:t>
      </w:r>
    </w:p>
    <w:p w:rsidR="00493BBA" w:rsidRDefault="00493BBA" w:rsidP="00493BBA">
      <w:pPr>
        <w:suppressAutoHyphens/>
        <w:ind w:left="851"/>
        <w:rPr>
          <w:bCs/>
          <w:noProof/>
          <w:sz w:val="16"/>
          <w:szCs w:val="16"/>
        </w:rPr>
      </w:pPr>
      <w:r>
        <w:rPr>
          <w:bCs/>
          <w:noProof/>
          <w:sz w:val="16"/>
          <w:szCs w:val="16"/>
          <w:vertAlign w:val="superscript"/>
        </w:rPr>
        <w:t>b</w:t>
      </w:r>
      <w:r>
        <w:rPr>
          <w:bCs/>
          <w:noProof/>
          <w:sz w:val="16"/>
          <w:szCs w:val="16"/>
        </w:rPr>
        <w:t xml:space="preserve"> Tosidet 95 % CI omkring mediantiden. </w:t>
      </w:r>
    </w:p>
    <w:p w:rsidR="00493BBA" w:rsidRDefault="00493BBA" w:rsidP="00493BBA">
      <w:pPr>
        <w:suppressAutoHyphens/>
        <w:ind w:left="851"/>
        <w:rPr>
          <w:bCs/>
          <w:noProof/>
          <w:sz w:val="16"/>
          <w:szCs w:val="16"/>
        </w:rPr>
      </w:pPr>
      <w:r>
        <w:rPr>
          <w:bCs/>
          <w:noProof/>
          <w:sz w:val="16"/>
          <w:szCs w:val="16"/>
          <w:vertAlign w:val="superscript"/>
        </w:rPr>
        <w:t xml:space="preserve">c </w:t>
      </w:r>
      <w:r>
        <w:rPr>
          <w:bCs/>
          <w:noProof/>
          <w:sz w:val="16"/>
          <w:szCs w:val="16"/>
        </w:rPr>
        <w:t xml:space="preserve">Baseret på ustratificeret Cox-proportional hazards-model, der sammenlignede hazardfunktioner forbundet med behandlingsarmene (RVd:Rd). </w:t>
      </w:r>
    </w:p>
    <w:p w:rsidR="00493BBA" w:rsidRDefault="00493BBA" w:rsidP="00493BBA">
      <w:pPr>
        <w:suppressAutoHyphens/>
        <w:ind w:left="851"/>
        <w:rPr>
          <w:bCs/>
          <w:noProof/>
          <w:sz w:val="16"/>
          <w:szCs w:val="16"/>
        </w:rPr>
      </w:pPr>
      <w:r>
        <w:rPr>
          <w:bCs/>
          <w:noProof/>
          <w:sz w:val="16"/>
          <w:szCs w:val="16"/>
          <w:vertAlign w:val="superscript"/>
        </w:rPr>
        <w:t>d</w:t>
      </w:r>
      <w:r>
        <w:rPr>
          <w:bCs/>
          <w:noProof/>
          <w:sz w:val="16"/>
          <w:szCs w:val="16"/>
        </w:rPr>
        <w:t xml:space="preserve"> P-værdien er baseret på en ustratificeret log-rank-test. </w:t>
      </w:r>
    </w:p>
    <w:p w:rsidR="00493BBA" w:rsidRDefault="00493BBA" w:rsidP="00493BBA">
      <w:pPr>
        <w:suppressAutoHyphens/>
        <w:ind w:left="851"/>
        <w:rPr>
          <w:bCs/>
          <w:noProof/>
          <w:sz w:val="16"/>
          <w:szCs w:val="16"/>
        </w:rPr>
      </w:pPr>
      <w:r>
        <w:rPr>
          <w:bCs/>
          <w:noProof/>
          <w:sz w:val="16"/>
          <w:szCs w:val="16"/>
          <w:vertAlign w:val="superscript"/>
        </w:rPr>
        <w:t xml:space="preserve">e </w:t>
      </w:r>
      <w:r>
        <w:rPr>
          <w:bCs/>
          <w:noProof/>
          <w:sz w:val="16"/>
          <w:szCs w:val="16"/>
        </w:rPr>
        <w:t xml:space="preserve">Median opfølgning blev beregnet fra randomiseringsdatoen. </w:t>
      </w:r>
    </w:p>
    <w:p w:rsidR="00493BBA" w:rsidRDefault="00493BBA" w:rsidP="00493BBA">
      <w:pPr>
        <w:suppressAutoHyphens/>
        <w:ind w:left="851"/>
        <w:rPr>
          <w:bCs/>
          <w:noProof/>
          <w:sz w:val="16"/>
          <w:szCs w:val="16"/>
          <w:lang w:val="en-US"/>
        </w:rPr>
      </w:pPr>
      <w:r>
        <w:rPr>
          <w:bCs/>
          <w:noProof/>
          <w:sz w:val="16"/>
          <w:szCs w:val="16"/>
          <w:lang w:val="en-US"/>
        </w:rPr>
        <w:t>Dato for data cut-off = 1. dec. 2016.</w:t>
      </w:r>
    </w:p>
    <w:p w:rsidR="00493BBA" w:rsidRDefault="00493BBA" w:rsidP="00493BBA">
      <w:pPr>
        <w:suppressAutoHyphens/>
        <w:ind w:left="851"/>
        <w:rPr>
          <w:bCs/>
          <w:noProof/>
          <w:sz w:val="16"/>
          <w:szCs w:val="16"/>
          <w:lang w:val="en-US"/>
        </w:rPr>
      </w:pPr>
    </w:p>
    <w:p w:rsidR="00493BBA" w:rsidRPr="00493BBA" w:rsidRDefault="00493BBA" w:rsidP="00493BBA">
      <w:pPr>
        <w:suppressAutoHyphens/>
        <w:ind w:left="851"/>
        <w:rPr>
          <w:bCs/>
          <w:noProof/>
          <w:sz w:val="24"/>
          <w:szCs w:val="24"/>
        </w:rPr>
      </w:pPr>
      <w:r w:rsidRPr="00493BBA">
        <w:rPr>
          <w:bCs/>
          <w:noProof/>
          <w:sz w:val="24"/>
          <w:szCs w:val="24"/>
        </w:rPr>
        <w:t>Opdaterede OS-resultater, med afskæringsdato den 1. maj 2018 (84,2 måneders median opfølgning for overlevende personer) fortsætter med et vise en OS-fordel, der favoriserer RVd: HR = 0,73 (95 % CI 0,57; 0,94, p = 0,014). Andelen af forsøgspersoner, der var i live efter 7 år, var 54,7 % i RVd-armen versus 44,7 % i Rd-armen.</w:t>
      </w:r>
    </w:p>
    <w:p w:rsidR="00493BBA" w:rsidRPr="00493BBA" w:rsidRDefault="00493BBA" w:rsidP="00493BBA">
      <w:pPr>
        <w:suppressAutoHyphens/>
        <w:ind w:left="851"/>
        <w:rPr>
          <w:bCs/>
          <w:noProof/>
          <w:sz w:val="24"/>
          <w:szCs w:val="24"/>
        </w:rPr>
      </w:pPr>
    </w:p>
    <w:p w:rsidR="00493BBA" w:rsidRPr="00493BBA" w:rsidRDefault="00493BBA" w:rsidP="00493BBA">
      <w:pPr>
        <w:numPr>
          <w:ilvl w:val="0"/>
          <w:numId w:val="12"/>
        </w:numPr>
        <w:ind w:left="1418" w:hanging="284"/>
        <w:rPr>
          <w:i/>
          <w:iCs/>
          <w:noProof/>
          <w:sz w:val="24"/>
          <w:szCs w:val="24"/>
        </w:rPr>
      </w:pPr>
      <w:r w:rsidRPr="00493BBA">
        <w:rPr>
          <w:i/>
          <w:iCs/>
          <w:noProof/>
          <w:sz w:val="24"/>
          <w:szCs w:val="24"/>
        </w:rPr>
        <w:t>Lenalidomid i kombination med dexamethason hos patienter, som ikke er egnede til stamcelletransplantation</w:t>
      </w:r>
    </w:p>
    <w:p w:rsidR="00493BBA" w:rsidRPr="00493BBA" w:rsidRDefault="00493BBA" w:rsidP="00493BBA">
      <w:pPr>
        <w:suppressAutoHyphens/>
        <w:ind w:left="851"/>
        <w:rPr>
          <w:bCs/>
          <w:noProof/>
          <w:sz w:val="24"/>
          <w:szCs w:val="24"/>
        </w:rPr>
      </w:pPr>
      <w:r w:rsidRPr="00493BBA">
        <w:rPr>
          <w:bCs/>
          <w:noProof/>
          <w:sz w:val="24"/>
          <w:szCs w:val="24"/>
        </w:rPr>
        <w:t xml:space="preserve">Lenalidomids sikkerhed og virkning blev vurderet i et fase III, multicenter, randomiseret, open-label, studie (MM-020) med tre arme hos patienter, der var mindst 65 år eller ældre eller, hvis de var yngre end 65 år, ikke var kandidater til stamcelletransplantation, da de afslog at gennemgå en stamcelletransplantation, eller stamcelletransplantationen ikke var tilgængelig for patienten på grund af omkostninger eller andre årsager. Studiet (MM-020) sammenlignede lenalidomid og dexamethason (Rd), der blev givet i 2 forskellige behandlingsvarigheder (dvs. indtil sygdomsprogression [arm Rd] eller i op til atten 28-dages cyklusser [72 uger, arm Rd18]) med melphalan, prednison og thalidomid (MPT) i maksimalt tolv 42-dages cyklusser (72 uger). Patienterne blev randomiseret i forholdet </w:t>
      </w:r>
      <w:r w:rsidRPr="00493BBA">
        <w:rPr>
          <w:bCs/>
          <w:noProof/>
          <w:sz w:val="24"/>
          <w:szCs w:val="24"/>
        </w:rPr>
        <w:lastRenderedPageBreak/>
        <w:t xml:space="preserve">(1:1:1) til 1 ud af 3 behandlingsarme. Patienterne blev stratificeret ved randomisering i henhold til alder (≤ 75 </w:t>
      </w:r>
      <w:r w:rsidRPr="00493BBA">
        <w:rPr>
          <w:bCs/>
          <w:i/>
          <w:noProof/>
          <w:sz w:val="24"/>
          <w:szCs w:val="24"/>
        </w:rPr>
        <w:t xml:space="preserve">versus </w:t>
      </w:r>
      <w:r w:rsidRPr="00493BBA">
        <w:rPr>
          <w:bCs/>
          <w:noProof/>
          <w:sz w:val="24"/>
          <w:szCs w:val="24"/>
        </w:rPr>
        <w:t xml:space="preserve">&gt; 75 år), trin (ISS trin I og II </w:t>
      </w:r>
      <w:r w:rsidRPr="00493BBA">
        <w:rPr>
          <w:bCs/>
          <w:i/>
          <w:noProof/>
          <w:sz w:val="24"/>
          <w:szCs w:val="24"/>
        </w:rPr>
        <w:t xml:space="preserve">versus </w:t>
      </w:r>
      <w:r w:rsidRPr="00493BBA">
        <w:rPr>
          <w:bCs/>
          <w:noProof/>
          <w:sz w:val="24"/>
          <w:szCs w:val="24"/>
        </w:rPr>
        <w:t>trin III) og land.</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Patienterne i Rd- og Rd18-armene tog lenalidomid 25 mg én gang dagligt på dag 1 til 21 af 28-dages cyklusser, i henhold til protokollens arm. Dexamethason 40 mg blev doseret én gang dagligt på dag 1, 8, 15 og 22 i hver 28-dages cyklus. Indledende dosis og program for Rd og Rd18 blev justeret i henhold til alder og nyrefunktion (se pkt. 4.2). Patienter &gt; 75 år fik en dosis dexamethason på 20 mg én gang dagligt på dag 1, 8, 15 og 22 i hver 28-dages cyklus. Alle patienterne fik profylaktisk antikoagulation (lavmolekylært heparin, warfarin, heparin, lavdosis aspirin) i løbet af studiet.</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 xml:space="preserve">Det primære endepunkt for virkning i studiet var progressionsfri overlevelse (progression free survival, PFS). I alt 1.623 patienter indgik i studiet, hvoraf 535 patienter blev randomiseret til Rd, 541 patienter blev randomiseret til Rd18, og 547 patienter blev randomiseret til MPT. Demografi og sygdomsrelaterede </w:t>
      </w:r>
      <w:r w:rsidRPr="00493BBA">
        <w:rPr>
          <w:bCs/>
          <w:i/>
          <w:iCs/>
          <w:noProof/>
          <w:sz w:val="24"/>
          <w:szCs w:val="24"/>
        </w:rPr>
        <w:t>baseline-</w:t>
      </w:r>
      <w:r w:rsidRPr="00493BBA">
        <w:rPr>
          <w:bCs/>
          <w:noProof/>
          <w:sz w:val="24"/>
          <w:szCs w:val="24"/>
        </w:rPr>
        <w:t>karakteristika for patienterne var velafbalancerede i alle 3 arme. Generelt havde studiepersonerne sygdom i et fremskredent stadie: ud af hele studiepopulationen havde 41 %</w:t>
      </w:r>
      <w:r w:rsidRPr="00493BBA">
        <w:rPr>
          <w:sz w:val="24"/>
          <w:szCs w:val="24"/>
        </w:rPr>
        <w:t xml:space="preserve"> </w:t>
      </w:r>
      <w:r w:rsidRPr="00493BBA">
        <w:rPr>
          <w:bCs/>
          <w:noProof/>
          <w:sz w:val="24"/>
          <w:szCs w:val="24"/>
        </w:rPr>
        <w:t>ISS trin III, 9 % havde svært nedsat nyrefunktion (kreatininclearance [CrCl] &lt; 30 ml/min). Medianalderen var 73 i de 3 arme.</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I en opdateret analyse af PFS, PFS2 og OS med 3. marts 2014 som afskæringsdato, hvor den mediane opfølgningstid for alle overlevende personer var 45,5 måneder, vises resultaterne af studiet i tabel </w:t>
      </w:r>
      <w:r w:rsidR="00DF19D5">
        <w:rPr>
          <w:bCs/>
          <w:noProof/>
          <w:sz w:val="24"/>
          <w:szCs w:val="24"/>
        </w:rPr>
        <w:t>9</w:t>
      </w:r>
      <w:r w:rsidRPr="00493BBA">
        <w:rPr>
          <w:bCs/>
          <w:noProof/>
          <w:sz w:val="24"/>
          <w:szCs w:val="24"/>
        </w:rPr>
        <w:t>:</w:t>
      </w:r>
    </w:p>
    <w:p w:rsidR="00493BBA" w:rsidRPr="00493BBA" w:rsidRDefault="00493BBA" w:rsidP="00493BBA">
      <w:pPr>
        <w:suppressAutoHyphens/>
        <w:ind w:left="851"/>
        <w:rPr>
          <w:bCs/>
          <w:noProof/>
          <w:sz w:val="24"/>
          <w:szCs w:val="24"/>
        </w:rPr>
      </w:pPr>
    </w:p>
    <w:p w:rsidR="00493BBA" w:rsidRDefault="00493BBA" w:rsidP="00493BBA">
      <w:pPr>
        <w:suppressAutoHyphens/>
        <w:ind w:left="851"/>
        <w:rPr>
          <w:b/>
          <w:bCs/>
          <w:noProof/>
          <w:szCs w:val="22"/>
        </w:rPr>
      </w:pPr>
      <w:r>
        <w:rPr>
          <w:b/>
          <w:bCs/>
          <w:noProof/>
          <w:szCs w:val="22"/>
        </w:rPr>
        <w:t>Tabel </w:t>
      </w:r>
      <w:r w:rsidR="00DF19D5">
        <w:rPr>
          <w:b/>
          <w:bCs/>
          <w:noProof/>
          <w:szCs w:val="22"/>
        </w:rPr>
        <w:t>9</w:t>
      </w:r>
      <w:r>
        <w:rPr>
          <w:b/>
          <w:bCs/>
          <w:noProof/>
          <w:szCs w:val="22"/>
        </w:rPr>
        <w:t>: Oversigt over samlede data for virkning</w:t>
      </w:r>
    </w:p>
    <w:tbl>
      <w:tblPr>
        <w:tblW w:w="8925" w:type="dxa"/>
        <w:tblInd w:w="84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3683"/>
        <w:gridCol w:w="1747"/>
        <w:gridCol w:w="1747"/>
        <w:gridCol w:w="1748"/>
      </w:tblGrid>
      <w:tr w:rsidR="00493BBA" w:rsidTr="00493BBA">
        <w:trPr>
          <w:trHeight w:val="505"/>
        </w:trPr>
        <w:tc>
          <w:tcPr>
            <w:tcW w:w="3683" w:type="dxa"/>
            <w:tcBorders>
              <w:top w:val="single" w:sz="12" w:space="0" w:color="000000"/>
              <w:left w:val="single" w:sz="8" w:space="0" w:color="000000"/>
              <w:bottom w:val="single" w:sz="12" w:space="0" w:color="000000"/>
              <w:right w:val="single" w:sz="8" w:space="0" w:color="000000"/>
            </w:tcBorders>
          </w:tcPr>
          <w:p w:rsidR="00493BBA" w:rsidRDefault="00493BBA">
            <w:pPr>
              <w:suppressAutoHyphens/>
              <w:rPr>
                <w:bCs/>
                <w:noProof/>
                <w:szCs w:val="22"/>
              </w:rPr>
            </w:pPr>
          </w:p>
        </w:tc>
        <w:tc>
          <w:tcPr>
            <w:tcW w:w="1747" w:type="dxa"/>
            <w:tcBorders>
              <w:top w:val="single" w:sz="12" w:space="0" w:color="000000"/>
              <w:left w:val="single" w:sz="8" w:space="0" w:color="000000"/>
              <w:bottom w:val="single" w:sz="12" w:space="0" w:color="000000"/>
              <w:right w:val="single" w:sz="8" w:space="0" w:color="000000"/>
            </w:tcBorders>
            <w:hideMark/>
          </w:tcPr>
          <w:p w:rsidR="00493BBA" w:rsidRDefault="00493BBA">
            <w:pPr>
              <w:suppressAutoHyphens/>
              <w:jc w:val="center"/>
              <w:rPr>
                <w:b/>
                <w:bCs/>
                <w:noProof/>
                <w:szCs w:val="22"/>
              </w:rPr>
            </w:pPr>
            <w:r>
              <w:rPr>
                <w:b/>
                <w:bCs/>
                <w:noProof/>
                <w:szCs w:val="22"/>
              </w:rPr>
              <w:t>Rd</w:t>
            </w:r>
          </w:p>
          <w:p w:rsidR="00493BBA" w:rsidRDefault="00493BBA">
            <w:pPr>
              <w:suppressAutoHyphens/>
              <w:jc w:val="center"/>
              <w:rPr>
                <w:b/>
                <w:bCs/>
                <w:noProof/>
                <w:szCs w:val="22"/>
              </w:rPr>
            </w:pPr>
            <w:r>
              <w:rPr>
                <w:b/>
                <w:bCs/>
                <w:noProof/>
                <w:szCs w:val="22"/>
              </w:rPr>
              <w:t>(N = 535)</w:t>
            </w:r>
          </w:p>
        </w:tc>
        <w:tc>
          <w:tcPr>
            <w:tcW w:w="1747" w:type="dxa"/>
            <w:tcBorders>
              <w:top w:val="single" w:sz="12" w:space="0" w:color="000000"/>
              <w:left w:val="single" w:sz="8" w:space="0" w:color="000000"/>
              <w:bottom w:val="single" w:sz="12" w:space="0" w:color="000000"/>
              <w:right w:val="single" w:sz="8" w:space="0" w:color="000000"/>
            </w:tcBorders>
            <w:hideMark/>
          </w:tcPr>
          <w:p w:rsidR="00493BBA" w:rsidRDefault="00493BBA">
            <w:pPr>
              <w:suppressAutoHyphens/>
              <w:jc w:val="center"/>
              <w:rPr>
                <w:b/>
                <w:bCs/>
                <w:noProof/>
                <w:szCs w:val="22"/>
              </w:rPr>
            </w:pPr>
            <w:r>
              <w:rPr>
                <w:b/>
                <w:bCs/>
                <w:noProof/>
                <w:szCs w:val="22"/>
              </w:rPr>
              <w:t>Rd18</w:t>
            </w:r>
          </w:p>
          <w:p w:rsidR="00493BBA" w:rsidRDefault="00493BBA">
            <w:pPr>
              <w:suppressAutoHyphens/>
              <w:jc w:val="center"/>
              <w:rPr>
                <w:b/>
                <w:bCs/>
                <w:noProof/>
                <w:szCs w:val="22"/>
              </w:rPr>
            </w:pPr>
            <w:r>
              <w:rPr>
                <w:b/>
                <w:bCs/>
                <w:noProof/>
                <w:szCs w:val="22"/>
              </w:rPr>
              <w:t>(N = 541)</w:t>
            </w:r>
          </w:p>
        </w:tc>
        <w:tc>
          <w:tcPr>
            <w:tcW w:w="1748" w:type="dxa"/>
            <w:tcBorders>
              <w:top w:val="single" w:sz="12" w:space="0" w:color="000000"/>
              <w:left w:val="single" w:sz="8" w:space="0" w:color="000000"/>
              <w:bottom w:val="single" w:sz="12" w:space="0" w:color="000000"/>
              <w:right w:val="single" w:sz="8" w:space="0" w:color="000000"/>
            </w:tcBorders>
            <w:hideMark/>
          </w:tcPr>
          <w:p w:rsidR="00493BBA" w:rsidRDefault="00493BBA">
            <w:pPr>
              <w:suppressAutoHyphens/>
              <w:jc w:val="center"/>
              <w:rPr>
                <w:b/>
                <w:bCs/>
                <w:noProof/>
                <w:szCs w:val="22"/>
              </w:rPr>
            </w:pPr>
            <w:r>
              <w:rPr>
                <w:b/>
                <w:bCs/>
                <w:noProof/>
                <w:szCs w:val="22"/>
              </w:rPr>
              <w:t>MPT</w:t>
            </w:r>
          </w:p>
          <w:p w:rsidR="00493BBA" w:rsidRDefault="00493BBA">
            <w:pPr>
              <w:suppressAutoHyphens/>
              <w:jc w:val="center"/>
              <w:rPr>
                <w:b/>
                <w:bCs/>
                <w:noProof/>
                <w:szCs w:val="22"/>
              </w:rPr>
            </w:pPr>
            <w:r>
              <w:rPr>
                <w:b/>
                <w:bCs/>
                <w:noProof/>
                <w:szCs w:val="22"/>
              </w:rPr>
              <w:t>(N = 547)</w:t>
            </w:r>
          </w:p>
        </w:tc>
      </w:tr>
      <w:tr w:rsidR="00493BBA" w:rsidTr="00493BBA">
        <w:trPr>
          <w:trHeight w:val="273"/>
        </w:trPr>
        <w:tc>
          <w:tcPr>
            <w:tcW w:w="3683" w:type="dxa"/>
            <w:tcBorders>
              <w:top w:val="single" w:sz="12" w:space="0" w:color="000000"/>
              <w:left w:val="single" w:sz="8" w:space="0" w:color="000000"/>
              <w:bottom w:val="single" w:sz="8" w:space="0" w:color="000000"/>
              <w:right w:val="single" w:sz="8" w:space="0" w:color="000000"/>
            </w:tcBorders>
            <w:hideMark/>
          </w:tcPr>
          <w:p w:rsidR="00493BBA" w:rsidRDefault="00493BBA">
            <w:pPr>
              <w:suppressAutoHyphens/>
              <w:rPr>
                <w:b/>
                <w:bCs/>
                <w:noProof/>
                <w:szCs w:val="22"/>
              </w:rPr>
            </w:pPr>
            <w:r>
              <w:rPr>
                <w:b/>
                <w:bCs/>
                <w:noProof/>
                <w:szCs w:val="22"/>
              </w:rPr>
              <w:t>Investigator-vurderet PFS - (måneder)</w:t>
            </w:r>
          </w:p>
        </w:tc>
        <w:tc>
          <w:tcPr>
            <w:tcW w:w="1747" w:type="dxa"/>
            <w:tcBorders>
              <w:top w:val="single" w:sz="12"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12"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12"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Median</w:t>
            </w:r>
            <w:r>
              <w:rPr>
                <w:bCs/>
                <w:noProof/>
                <w:szCs w:val="22"/>
                <w:vertAlign w:val="superscript"/>
              </w:rPr>
              <w:t>a</w:t>
            </w:r>
            <w:r>
              <w:rPr>
                <w:bCs/>
                <w:noProof/>
                <w:szCs w:val="22"/>
              </w:rPr>
              <w:t xml:space="preserve"> PFS-tid, måneder (95 % CI)</w:t>
            </w:r>
            <w:r>
              <w:rPr>
                <w:bCs/>
                <w:noProof/>
                <w:szCs w:val="22"/>
                <w:vertAlign w:val="superscript"/>
              </w:rPr>
              <w:t>b</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26,0 (20,7; 29,7)</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21,0 (19,7; 22,4)</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21,9 (19,8; 23,9)</w:t>
            </w:r>
          </w:p>
        </w:tc>
      </w:tr>
      <w:tr w:rsidR="00493BBA" w:rsidTr="00493BBA">
        <w:trPr>
          <w:trHeight w:val="275"/>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HR [95 % CI]</w:t>
            </w:r>
            <w:r>
              <w:rPr>
                <w:bCs/>
                <w:noProof/>
                <w:szCs w:val="22"/>
                <w:vertAlign w:val="superscript"/>
              </w:rPr>
              <w:t>c</w:t>
            </w:r>
            <w:r>
              <w:rPr>
                <w:bCs/>
                <w:noProof/>
                <w:szCs w:val="22"/>
              </w:rPr>
              <w:t>, p-værdi</w:t>
            </w:r>
            <w:r>
              <w:rPr>
                <w:bCs/>
                <w:noProof/>
                <w:szCs w:val="22"/>
                <w:vertAlign w:val="superscript"/>
              </w:rPr>
              <w:t>d</w:t>
            </w: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bCs/>
                <w:noProof/>
                <w:szCs w:val="22"/>
              </w:rPr>
            </w:pPr>
            <w:r>
              <w:rPr>
                <w:szCs w:val="22"/>
              </w:rPr>
              <w:t xml:space="preserve">Rd </w:t>
            </w:r>
            <w:r>
              <w:rPr>
                <w:i/>
                <w:iCs/>
                <w:szCs w:val="22"/>
              </w:rPr>
              <w:t>vs.</w:t>
            </w:r>
            <w:r>
              <w:rPr>
                <w:szCs w:val="22"/>
              </w:rPr>
              <w:t xml:space="preserve"> MPT</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0,69 (0,59; 0,80), &lt;0,001</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bCs/>
                <w:noProof/>
                <w:szCs w:val="22"/>
              </w:rPr>
            </w:pPr>
            <w:r>
              <w:rPr>
                <w:szCs w:val="22"/>
              </w:rPr>
              <w:t xml:space="preserve">Rd </w:t>
            </w:r>
            <w:r>
              <w:rPr>
                <w:i/>
                <w:iCs/>
                <w:szCs w:val="22"/>
              </w:rPr>
              <w:t>vs.</w:t>
            </w:r>
            <w:r>
              <w:rPr>
                <w:szCs w:val="22"/>
              </w:rPr>
              <w:t xml:space="preserve"> Rd18</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0,71 (0,61; 0,83), &lt;0,001</w:t>
            </w: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bCs/>
                <w:noProof/>
                <w:szCs w:val="22"/>
              </w:rPr>
            </w:pPr>
            <w:r>
              <w:rPr>
                <w:szCs w:val="22"/>
              </w:rPr>
              <w:t xml:space="preserve">Rd18 </w:t>
            </w:r>
            <w:r>
              <w:rPr>
                <w:i/>
                <w:iCs/>
                <w:szCs w:val="22"/>
              </w:rPr>
              <w:t>vs.</w:t>
            </w:r>
            <w:r>
              <w:rPr>
                <w:szCs w:val="22"/>
              </w:rPr>
              <w:t xml:space="preserve"> MPT</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0,99 (0,86; 1,14), 0,866</w:t>
            </w:r>
          </w:p>
        </w:tc>
      </w:tr>
      <w:tr w:rsidR="00493BBA" w:rsidTr="00493BBA">
        <w:trPr>
          <w:trHeight w:val="276"/>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
                <w:bCs/>
                <w:noProof/>
                <w:szCs w:val="22"/>
              </w:rPr>
            </w:pPr>
            <w:r>
              <w:rPr>
                <w:b/>
                <w:bCs/>
                <w:noProof/>
                <w:szCs w:val="22"/>
              </w:rPr>
              <w:t>PFS2</w:t>
            </w:r>
            <w:r>
              <w:rPr>
                <w:b/>
                <w:bCs/>
                <w:noProof/>
                <w:szCs w:val="22"/>
                <w:vertAlign w:val="superscript"/>
              </w:rPr>
              <w:t>e</w:t>
            </w:r>
            <w:r>
              <w:rPr>
                <w:b/>
                <w:bCs/>
                <w:noProof/>
                <w:szCs w:val="22"/>
              </w:rPr>
              <w:t xml:space="preserve"> - (måneder)</w:t>
            </w: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Median</w:t>
            </w:r>
            <w:r>
              <w:rPr>
                <w:bCs/>
                <w:noProof/>
                <w:szCs w:val="22"/>
                <w:vertAlign w:val="superscript"/>
              </w:rPr>
              <w:t>a</w:t>
            </w:r>
            <w:r>
              <w:rPr>
                <w:bCs/>
                <w:noProof/>
                <w:szCs w:val="22"/>
              </w:rPr>
              <w:t xml:space="preserve"> PFS2-tid, måneder (95 % CI)</w:t>
            </w:r>
            <w:r>
              <w:rPr>
                <w:bCs/>
                <w:noProof/>
                <w:szCs w:val="22"/>
                <w:vertAlign w:val="superscript"/>
              </w:rPr>
              <w:t>b</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42,9 (38,1; 47,4)</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40,0 (36,2; 44,2)</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35,0 (30,4; 37,8)</w:t>
            </w:r>
          </w:p>
        </w:tc>
      </w:tr>
      <w:tr w:rsidR="00493BBA" w:rsidTr="00493BBA">
        <w:trPr>
          <w:trHeight w:val="276"/>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HR [95 % CI]</w:t>
            </w:r>
            <w:r>
              <w:rPr>
                <w:bCs/>
                <w:noProof/>
                <w:szCs w:val="22"/>
                <w:vertAlign w:val="superscript"/>
              </w:rPr>
              <w:t>c</w:t>
            </w:r>
            <w:r>
              <w:rPr>
                <w:bCs/>
                <w:noProof/>
                <w:szCs w:val="22"/>
              </w:rPr>
              <w:t>; p-værdi</w:t>
            </w:r>
            <w:r>
              <w:rPr>
                <w:bCs/>
                <w:noProof/>
                <w:szCs w:val="22"/>
                <w:vertAlign w:val="superscript"/>
              </w:rPr>
              <w:t>d</w:t>
            </w: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bCs/>
                <w:noProof/>
                <w:szCs w:val="22"/>
              </w:rPr>
            </w:pPr>
            <w:r>
              <w:rPr>
                <w:szCs w:val="22"/>
              </w:rPr>
              <w:t xml:space="preserve">Rd </w:t>
            </w:r>
            <w:r>
              <w:rPr>
                <w:i/>
                <w:iCs/>
                <w:szCs w:val="22"/>
              </w:rPr>
              <w:t>vs.</w:t>
            </w:r>
            <w:r>
              <w:rPr>
                <w:szCs w:val="22"/>
              </w:rPr>
              <w:t xml:space="preserve"> MPT</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0,74 (0,63; 0,86), &lt; 0,001</w:t>
            </w: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 xml:space="preserve">Rd </w:t>
            </w:r>
            <w:r>
              <w:rPr>
                <w:i/>
                <w:iCs/>
                <w:szCs w:val="22"/>
              </w:rPr>
              <w:t>vs.</w:t>
            </w:r>
            <w:r>
              <w:rPr>
                <w:szCs w:val="22"/>
              </w:rPr>
              <w:t xml:space="preserve"> Rd18</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0,92 (0,78; 1,08), 0,316</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 xml:space="preserve">Rd18 </w:t>
            </w:r>
            <w:r>
              <w:rPr>
                <w:i/>
                <w:iCs/>
                <w:szCs w:val="22"/>
              </w:rPr>
              <w:t>vs.</w:t>
            </w:r>
            <w:r>
              <w:rPr>
                <w:szCs w:val="22"/>
              </w:rPr>
              <w:t xml:space="preserve"> MPT</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0,80 (0,69; 0,93), 0,004</w:t>
            </w:r>
          </w:p>
        </w:tc>
      </w:tr>
      <w:tr w:rsidR="00493BBA" w:rsidTr="00493BBA">
        <w:trPr>
          <w:trHeight w:val="276"/>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
                <w:bCs/>
                <w:noProof/>
                <w:szCs w:val="22"/>
              </w:rPr>
            </w:pPr>
            <w:r>
              <w:rPr>
                <w:b/>
                <w:bCs/>
                <w:noProof/>
                <w:szCs w:val="22"/>
              </w:rPr>
              <w:t>Samlet overlevelse (måneder)</w:t>
            </w: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Median</w:t>
            </w:r>
            <w:r>
              <w:rPr>
                <w:bCs/>
                <w:noProof/>
                <w:szCs w:val="22"/>
                <w:vertAlign w:val="superscript"/>
              </w:rPr>
              <w:t>a</w:t>
            </w:r>
            <w:r>
              <w:rPr>
                <w:bCs/>
                <w:noProof/>
                <w:szCs w:val="22"/>
              </w:rPr>
              <w:t xml:space="preserve"> OS-tid, måneder (95 % CI)</w:t>
            </w:r>
            <w:r>
              <w:rPr>
                <w:bCs/>
                <w:noProof/>
                <w:szCs w:val="22"/>
                <w:vertAlign w:val="superscript"/>
              </w:rPr>
              <w:t>b</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58,9 (56,0; NE)</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56,7 (50,1; NE)</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48,5 (44,2; 52,0)</w:t>
            </w:r>
          </w:p>
        </w:tc>
      </w:tr>
      <w:tr w:rsidR="00493BBA" w:rsidTr="00493BBA">
        <w:trPr>
          <w:trHeight w:val="276"/>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HR [95 % CI]</w:t>
            </w:r>
            <w:r>
              <w:rPr>
                <w:bCs/>
                <w:noProof/>
                <w:szCs w:val="22"/>
                <w:vertAlign w:val="superscript"/>
              </w:rPr>
              <w:t>c</w:t>
            </w:r>
            <w:r>
              <w:rPr>
                <w:bCs/>
                <w:noProof/>
                <w:szCs w:val="22"/>
              </w:rPr>
              <w:t>, p-værdi</w:t>
            </w:r>
            <w:r>
              <w:rPr>
                <w:bCs/>
                <w:noProof/>
                <w:szCs w:val="22"/>
                <w:vertAlign w:val="superscript"/>
              </w:rPr>
              <w:t>d</w:t>
            </w: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 xml:space="preserve">Rd </w:t>
            </w:r>
            <w:r>
              <w:rPr>
                <w:i/>
                <w:iCs/>
                <w:szCs w:val="22"/>
              </w:rPr>
              <w:t>vs.</w:t>
            </w:r>
            <w:r>
              <w:rPr>
                <w:szCs w:val="22"/>
              </w:rPr>
              <w:t xml:space="preserve"> MPT</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0,75 (0,62; 0,90), 0,002</w:t>
            </w: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 xml:space="preserve">Rd </w:t>
            </w:r>
            <w:r>
              <w:rPr>
                <w:i/>
                <w:iCs/>
                <w:szCs w:val="22"/>
              </w:rPr>
              <w:t>vs.</w:t>
            </w:r>
            <w:r>
              <w:rPr>
                <w:szCs w:val="22"/>
              </w:rPr>
              <w:t xml:space="preserve"> Rd18</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0,91 (0,75; 1,09), 0,305</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 xml:space="preserve">Rd18 </w:t>
            </w:r>
            <w:r>
              <w:rPr>
                <w:i/>
                <w:iCs/>
                <w:szCs w:val="22"/>
              </w:rPr>
              <w:t>vs.</w:t>
            </w:r>
            <w:r>
              <w:rPr>
                <w:szCs w:val="22"/>
              </w:rPr>
              <w:t xml:space="preserve"> MPT</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0,83 (0,69; 0,99), 0,034</w:t>
            </w:r>
          </w:p>
        </w:tc>
      </w:tr>
      <w:tr w:rsidR="00493BBA" w:rsidTr="00493BBA">
        <w:trPr>
          <w:trHeight w:val="276"/>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Opfølgning (måneder)</w:t>
            </w: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lastRenderedPageBreak/>
              <w:t>Median</w:t>
            </w:r>
            <w:r>
              <w:rPr>
                <w:bCs/>
                <w:noProof/>
                <w:szCs w:val="22"/>
                <w:vertAlign w:val="superscript"/>
              </w:rPr>
              <w:t>f</w:t>
            </w:r>
            <w:r>
              <w:rPr>
                <w:bCs/>
                <w:noProof/>
                <w:szCs w:val="22"/>
              </w:rPr>
              <w:t xml:space="preserve"> (min; maks): alle patienter</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40,8 (0,0; 65,9)</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40,1 (0,4; 65,7)</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38,7 (0,0; 64,2)</w:t>
            </w:r>
          </w:p>
        </w:tc>
      </w:tr>
      <w:tr w:rsidR="00493BBA" w:rsidTr="00493BBA">
        <w:trPr>
          <w:trHeight w:val="276"/>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
                <w:bCs/>
                <w:noProof/>
                <w:szCs w:val="22"/>
              </w:rPr>
            </w:pPr>
            <w:r>
              <w:rPr>
                <w:b/>
                <w:bCs/>
                <w:noProof/>
                <w:szCs w:val="22"/>
              </w:rPr>
              <w:t>Myeloma-respons</w:t>
            </w:r>
            <w:r>
              <w:rPr>
                <w:bCs/>
                <w:noProof/>
                <w:szCs w:val="22"/>
                <w:vertAlign w:val="superscript"/>
              </w:rPr>
              <w:t>g</w:t>
            </w:r>
            <w:r>
              <w:rPr>
                <w:bCs/>
                <w:noProof/>
                <w:szCs w:val="22"/>
              </w:rPr>
              <w:t xml:space="preserve"> </w:t>
            </w:r>
            <w:r>
              <w:rPr>
                <w:b/>
                <w:bCs/>
                <w:noProof/>
                <w:szCs w:val="22"/>
              </w:rPr>
              <w:t>n (%)</w:t>
            </w: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CR</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81 (15,1)</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77 (14,2)</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51 (9,3)</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VGPR</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152 (28,4)</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154 (28,5)</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103 (18,8)</w:t>
            </w: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PR</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169 (31,6)</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166 (30,7)</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187 (34,2)</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Samlet respons: CR, VGPR eller PR</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402 (75,1)</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397 (73,4)</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341 (62,3)</w:t>
            </w:r>
          </w:p>
        </w:tc>
      </w:tr>
      <w:tr w:rsidR="00493BBA" w:rsidTr="00493BBA">
        <w:trPr>
          <w:trHeight w:val="276"/>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
                <w:bCs/>
                <w:noProof/>
                <w:szCs w:val="22"/>
              </w:rPr>
            </w:pPr>
            <w:r>
              <w:rPr>
                <w:b/>
                <w:bCs/>
                <w:noProof/>
                <w:szCs w:val="22"/>
              </w:rPr>
              <w:t>Varighed af respons - (måneder)</w:t>
            </w:r>
            <w:r>
              <w:rPr>
                <w:b/>
                <w:bCs/>
                <w:noProof/>
                <w:szCs w:val="22"/>
                <w:vertAlign w:val="superscript"/>
              </w:rPr>
              <w:t>h</w:t>
            </w: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Median</w:t>
            </w:r>
            <w:r>
              <w:rPr>
                <w:bCs/>
                <w:noProof/>
                <w:szCs w:val="22"/>
                <w:vertAlign w:val="superscript"/>
              </w:rPr>
              <w:t>a</w:t>
            </w:r>
            <w:r>
              <w:rPr>
                <w:bCs/>
                <w:noProof/>
                <w:szCs w:val="22"/>
              </w:rPr>
              <w:t xml:space="preserve"> (95 % CI)</w:t>
            </w:r>
            <w:r>
              <w:rPr>
                <w:bCs/>
                <w:noProof/>
                <w:szCs w:val="22"/>
                <w:vertAlign w:val="superscript"/>
              </w:rPr>
              <w:t>b</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35,0 (27,9; 43,4)</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22,1 (20,3; 24,0)</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22,3 (20,2; 24,9)</w:t>
            </w:r>
          </w:p>
        </w:tc>
      </w:tr>
    </w:tbl>
    <w:p w:rsidR="00493BBA" w:rsidRDefault="00493BBA" w:rsidP="00493BBA">
      <w:pPr>
        <w:suppressAutoHyphens/>
        <w:ind w:left="851"/>
        <w:rPr>
          <w:bCs/>
          <w:noProof/>
          <w:sz w:val="16"/>
          <w:szCs w:val="16"/>
        </w:rPr>
      </w:pPr>
      <w:r>
        <w:rPr>
          <w:bCs/>
          <w:noProof/>
          <w:sz w:val="16"/>
          <w:szCs w:val="16"/>
        </w:rPr>
        <w:t xml:space="preserve">AMT = antimyelom-behandling, CI = konfidensinterval, CR = komplet respons, d = lavdosis dexamethason, HR = </w:t>
      </w:r>
      <w:r>
        <w:rPr>
          <w:bCs/>
          <w:i/>
          <w:noProof/>
          <w:sz w:val="16"/>
          <w:szCs w:val="16"/>
        </w:rPr>
        <w:t xml:space="preserve">hazard </w:t>
      </w:r>
      <w:r>
        <w:rPr>
          <w:bCs/>
          <w:noProof/>
          <w:sz w:val="16"/>
          <w:szCs w:val="16"/>
        </w:rPr>
        <w:t xml:space="preserve">ratio, IMWG = International Myeloma Working Group, IRAC = Independent Response Adjudication Committee, M = melphalan: maks = maksimum, min = minimum, NE = kan ikke estimeres, OS = samlet overlevelse, P = prednison, PFS = progressionsfri overlevelse, PR = delvist respons; R = lenalidomid, Rd = Rd, der gives indtil dokumentation for sygdomsprogression, Rd18 = Rd, der gives i ≤ 18 cyklusser, SE = standardfejl, T = thalidomid, VGPR = meget godt delvist respons, </w:t>
      </w:r>
      <w:r>
        <w:rPr>
          <w:bCs/>
          <w:i/>
          <w:iCs/>
          <w:noProof/>
          <w:sz w:val="16"/>
          <w:szCs w:val="16"/>
        </w:rPr>
        <w:t>vs.</w:t>
      </w:r>
      <w:r>
        <w:rPr>
          <w:bCs/>
          <w:noProof/>
          <w:sz w:val="16"/>
          <w:szCs w:val="16"/>
        </w:rPr>
        <w:t xml:space="preserve"> = </w:t>
      </w:r>
      <w:r>
        <w:rPr>
          <w:bCs/>
          <w:i/>
          <w:noProof/>
          <w:sz w:val="16"/>
          <w:szCs w:val="16"/>
        </w:rPr>
        <w:t>versus</w:t>
      </w:r>
      <w:r>
        <w:rPr>
          <w:bCs/>
          <w:noProof/>
          <w:sz w:val="16"/>
          <w:szCs w:val="16"/>
        </w:rPr>
        <w:t>.</w:t>
      </w:r>
    </w:p>
    <w:p w:rsidR="00493BBA" w:rsidRDefault="00493BBA" w:rsidP="00493BBA">
      <w:pPr>
        <w:suppressAutoHyphens/>
        <w:ind w:left="851"/>
        <w:rPr>
          <w:bCs/>
          <w:noProof/>
          <w:sz w:val="16"/>
          <w:szCs w:val="16"/>
        </w:rPr>
      </w:pPr>
      <w:r>
        <w:rPr>
          <w:bCs/>
          <w:noProof/>
          <w:sz w:val="16"/>
          <w:szCs w:val="16"/>
          <w:vertAlign w:val="superscript"/>
        </w:rPr>
        <w:t>a</w:t>
      </w:r>
      <w:r>
        <w:rPr>
          <w:bCs/>
          <w:noProof/>
          <w:sz w:val="16"/>
          <w:szCs w:val="16"/>
        </w:rPr>
        <w:t>Medianen er baseret på Kaplan-Meier-estimatet.</w:t>
      </w:r>
    </w:p>
    <w:p w:rsidR="00493BBA" w:rsidRDefault="00493BBA" w:rsidP="00493BBA">
      <w:pPr>
        <w:suppressAutoHyphens/>
        <w:ind w:left="851"/>
        <w:rPr>
          <w:bCs/>
          <w:noProof/>
          <w:sz w:val="16"/>
          <w:szCs w:val="16"/>
        </w:rPr>
      </w:pPr>
      <w:r>
        <w:rPr>
          <w:bCs/>
          <w:noProof/>
          <w:sz w:val="16"/>
          <w:szCs w:val="16"/>
          <w:vertAlign w:val="superscript"/>
        </w:rPr>
        <w:t>b</w:t>
      </w:r>
      <w:r>
        <w:rPr>
          <w:bCs/>
          <w:noProof/>
          <w:sz w:val="16"/>
          <w:szCs w:val="16"/>
        </w:rPr>
        <w:t>95 % CI om medianen.</w:t>
      </w:r>
    </w:p>
    <w:p w:rsidR="00493BBA" w:rsidRDefault="00493BBA" w:rsidP="00493BBA">
      <w:pPr>
        <w:suppressAutoHyphens/>
        <w:ind w:left="851"/>
        <w:rPr>
          <w:bCs/>
          <w:noProof/>
          <w:sz w:val="16"/>
          <w:szCs w:val="16"/>
        </w:rPr>
      </w:pPr>
      <w:r>
        <w:rPr>
          <w:bCs/>
          <w:noProof/>
          <w:sz w:val="16"/>
          <w:szCs w:val="16"/>
          <w:vertAlign w:val="superscript"/>
        </w:rPr>
        <w:t>c</w:t>
      </w:r>
      <w:r>
        <w:rPr>
          <w:bCs/>
          <w:noProof/>
          <w:sz w:val="16"/>
          <w:szCs w:val="16"/>
        </w:rPr>
        <w:t>Baseret på Cox proportional hazards model, der sammenligner farefunktioner associeret med de indikerede behandlingsarme.</w:t>
      </w:r>
    </w:p>
    <w:p w:rsidR="00493BBA" w:rsidRDefault="00493BBA" w:rsidP="00493BBA">
      <w:pPr>
        <w:suppressAutoHyphens/>
        <w:ind w:left="851"/>
        <w:rPr>
          <w:bCs/>
          <w:noProof/>
          <w:sz w:val="16"/>
          <w:szCs w:val="16"/>
        </w:rPr>
      </w:pPr>
      <w:r>
        <w:rPr>
          <w:bCs/>
          <w:noProof/>
          <w:sz w:val="16"/>
          <w:szCs w:val="16"/>
          <w:vertAlign w:val="superscript"/>
        </w:rPr>
        <w:t>d</w:t>
      </w:r>
      <w:r>
        <w:rPr>
          <w:bCs/>
          <w:noProof/>
          <w:sz w:val="16"/>
          <w:szCs w:val="16"/>
        </w:rPr>
        <w:t>P-værdien er baseret på den ikke stratificerede log-rank-test af forskelle i Kaplan-Meier-kurver mellem de indikerede behandlingsarme.</w:t>
      </w:r>
    </w:p>
    <w:p w:rsidR="00493BBA" w:rsidRDefault="00493BBA" w:rsidP="00493BBA">
      <w:pPr>
        <w:suppressAutoHyphens/>
        <w:ind w:left="851"/>
        <w:rPr>
          <w:bCs/>
          <w:noProof/>
          <w:sz w:val="16"/>
          <w:szCs w:val="16"/>
        </w:rPr>
      </w:pPr>
      <w:r>
        <w:rPr>
          <w:bCs/>
          <w:noProof/>
          <w:sz w:val="16"/>
          <w:szCs w:val="16"/>
          <w:vertAlign w:val="superscript"/>
        </w:rPr>
        <w:t>e</w:t>
      </w:r>
      <w:r>
        <w:rPr>
          <w:bCs/>
          <w:noProof/>
          <w:sz w:val="16"/>
          <w:szCs w:val="16"/>
        </w:rPr>
        <w:t>Eksplorativt endepunkt (PFS2)</w:t>
      </w:r>
    </w:p>
    <w:p w:rsidR="00493BBA" w:rsidRDefault="00493BBA" w:rsidP="00493BBA">
      <w:pPr>
        <w:suppressAutoHyphens/>
        <w:ind w:left="851"/>
        <w:rPr>
          <w:bCs/>
          <w:noProof/>
          <w:sz w:val="16"/>
          <w:szCs w:val="16"/>
        </w:rPr>
      </w:pPr>
      <w:r>
        <w:rPr>
          <w:bCs/>
          <w:noProof/>
          <w:sz w:val="16"/>
          <w:szCs w:val="16"/>
          <w:vertAlign w:val="superscript"/>
        </w:rPr>
        <w:t>f</w:t>
      </w:r>
      <w:r>
        <w:rPr>
          <w:bCs/>
          <w:noProof/>
          <w:sz w:val="16"/>
          <w:szCs w:val="16"/>
        </w:rPr>
        <w:t>Medianen er den univariate statistik uden justering for censurering.</w:t>
      </w:r>
    </w:p>
    <w:p w:rsidR="00493BBA" w:rsidRDefault="00493BBA" w:rsidP="00493BBA">
      <w:pPr>
        <w:suppressAutoHyphens/>
        <w:ind w:left="851"/>
        <w:rPr>
          <w:bCs/>
          <w:noProof/>
          <w:sz w:val="16"/>
          <w:szCs w:val="16"/>
        </w:rPr>
      </w:pPr>
      <w:r>
        <w:rPr>
          <w:bCs/>
          <w:noProof/>
          <w:sz w:val="16"/>
          <w:szCs w:val="16"/>
          <w:vertAlign w:val="superscript"/>
        </w:rPr>
        <w:t>g</w:t>
      </w:r>
      <w:r>
        <w:rPr>
          <w:bCs/>
          <w:noProof/>
          <w:sz w:val="16"/>
          <w:szCs w:val="16"/>
        </w:rPr>
        <w:t>Bedste vurdering af adjudikeret respons i løbet af behandlingsfasen af studiet (for definitioner på hver responskategori), dataafskæring 24. maj 2013.</w:t>
      </w:r>
    </w:p>
    <w:p w:rsidR="00493BBA" w:rsidRDefault="00493BBA" w:rsidP="00493BBA">
      <w:pPr>
        <w:suppressAutoHyphens/>
        <w:ind w:left="851"/>
        <w:rPr>
          <w:bCs/>
          <w:noProof/>
          <w:sz w:val="16"/>
          <w:szCs w:val="16"/>
        </w:rPr>
      </w:pPr>
      <w:r>
        <w:rPr>
          <w:bCs/>
          <w:noProof/>
          <w:sz w:val="16"/>
          <w:szCs w:val="16"/>
          <w:vertAlign w:val="superscript"/>
        </w:rPr>
        <w:t>h</w:t>
      </w:r>
      <w:r>
        <w:rPr>
          <w:bCs/>
          <w:noProof/>
          <w:sz w:val="16"/>
          <w:szCs w:val="16"/>
        </w:rPr>
        <w:t>Dato for dataskæring 24. maj 2013</w:t>
      </w:r>
    </w:p>
    <w:p w:rsidR="00493BBA" w:rsidRDefault="00493BBA" w:rsidP="00493BBA">
      <w:pPr>
        <w:suppressAutoHyphens/>
        <w:ind w:left="851"/>
        <w:rPr>
          <w:bCs/>
          <w:noProof/>
          <w:sz w:val="22"/>
          <w:szCs w:val="22"/>
        </w:rPr>
      </w:pPr>
    </w:p>
    <w:p w:rsidR="00493BBA" w:rsidRDefault="00493BBA" w:rsidP="00493BBA">
      <w:pPr>
        <w:numPr>
          <w:ilvl w:val="0"/>
          <w:numId w:val="12"/>
        </w:numPr>
        <w:ind w:left="1418" w:hanging="284"/>
        <w:rPr>
          <w:i/>
          <w:iCs/>
          <w:noProof/>
          <w:szCs w:val="22"/>
        </w:rPr>
      </w:pPr>
      <w:r>
        <w:rPr>
          <w:i/>
          <w:iCs/>
          <w:noProof/>
          <w:szCs w:val="22"/>
        </w:rPr>
        <w:t>Lenalidomid i kombination med melphalan og prednison efterfulgt af vedligeholdelsesbehandling hos patienter, der ikke er egnede til transplantation</w:t>
      </w:r>
    </w:p>
    <w:p w:rsidR="00493BBA" w:rsidRDefault="00493BBA" w:rsidP="00493BBA">
      <w:pPr>
        <w:suppressAutoHyphens/>
        <w:ind w:left="851"/>
        <w:rPr>
          <w:bCs/>
          <w:noProof/>
          <w:szCs w:val="22"/>
        </w:rPr>
      </w:pPr>
      <w:r>
        <w:rPr>
          <w:bCs/>
          <w:noProof/>
          <w:szCs w:val="22"/>
        </w:rPr>
        <w:t>Lenalidomids sikkerhed og virkning blev vurderet i et fase III randomiseret, dobbeltblindet multicenterstudie med tre arme (MM-015) hos patienter i alderen 65 år eller ældre, der havde serumkreatinin &lt; 2,5 mg/dl. Studiet sammenlignede lenalidomid i kombination med melphalan og prednison (MPR) med eller uden vedligeholdelsesbehandling med lenalidomid indtil sygdomsprogression, med melphalan og prednison i maks. 9 cyklusser. Patienterne blev randomiseret til 1 ud af 3 behandlingsarme i et forhold på 1:1:1: Patienterne blev stratificeret i forhold til alder ved randomisering (</w:t>
      </w:r>
      <w:r>
        <w:rPr>
          <w:bCs/>
          <w:noProof/>
          <w:szCs w:val="22"/>
          <w:lang w:bidi="en-US"/>
        </w:rPr>
        <w:t>≤ </w:t>
      </w:r>
      <w:r>
        <w:rPr>
          <w:bCs/>
          <w:noProof/>
          <w:szCs w:val="22"/>
        </w:rPr>
        <w:t xml:space="preserve">75 </w:t>
      </w:r>
      <w:r>
        <w:rPr>
          <w:bCs/>
          <w:i/>
          <w:noProof/>
          <w:szCs w:val="22"/>
        </w:rPr>
        <w:t xml:space="preserve">vs. </w:t>
      </w:r>
      <w:r>
        <w:rPr>
          <w:bCs/>
          <w:noProof/>
          <w:szCs w:val="22"/>
        </w:rPr>
        <w:t xml:space="preserve">&gt; 75 år) og trin (ISS, trin I og II </w:t>
      </w:r>
      <w:r>
        <w:rPr>
          <w:bCs/>
          <w:i/>
          <w:noProof/>
          <w:szCs w:val="22"/>
        </w:rPr>
        <w:t xml:space="preserve">vs. </w:t>
      </w:r>
      <w:r>
        <w:rPr>
          <w:bCs/>
          <w:noProof/>
          <w:szCs w:val="22"/>
        </w:rPr>
        <w:t>trin III).</w:t>
      </w:r>
    </w:p>
    <w:p w:rsidR="00493BBA" w:rsidRDefault="00493BBA" w:rsidP="00493BBA">
      <w:pPr>
        <w:suppressAutoHyphens/>
        <w:ind w:left="851"/>
        <w:rPr>
          <w:bCs/>
          <w:noProof/>
          <w:szCs w:val="22"/>
        </w:rPr>
      </w:pPr>
    </w:p>
    <w:p w:rsidR="00493BBA" w:rsidRDefault="00493BBA" w:rsidP="00493BBA">
      <w:pPr>
        <w:suppressAutoHyphens/>
        <w:ind w:left="851"/>
        <w:rPr>
          <w:bCs/>
          <w:noProof/>
          <w:szCs w:val="22"/>
        </w:rPr>
      </w:pPr>
      <w:r>
        <w:rPr>
          <w:bCs/>
          <w:noProof/>
          <w:szCs w:val="22"/>
        </w:rPr>
        <w:t>Dette studie undersøgte anvendelsen af kombinationsbehandling med MPR (melphalan 0,18 mg/kg oralt på dag 1 til 4 af gentagne 28-dages cyklusser, prednison 2 mg/kg oralt på dag 1 til 4 af gentagne 28-dages cyklusser og lenalidomid 10 mg/dag oralt på dag 1 til 21 af gentagne 28-dages cyklusser) til induktionsbehandling, op til 9 cyklusser. Patienter, der gennemførte 9 cyklusser, eller som ikke var i stand til at gennemføre de 9 cyklusser på grund af intolerans, overgik til vedligeholdelsesbehandling med enkeltstof, startende med lenalidomid 10 mg/dag oralt på dag 1 til 21 af gentagne 28-dages cyklusser indtil sygdomsprogression.</w:t>
      </w:r>
    </w:p>
    <w:p w:rsidR="00493BBA" w:rsidRDefault="00493BBA" w:rsidP="00493BBA">
      <w:pPr>
        <w:suppressAutoHyphens/>
        <w:ind w:left="851"/>
        <w:rPr>
          <w:bCs/>
          <w:noProof/>
          <w:szCs w:val="22"/>
        </w:rPr>
      </w:pPr>
    </w:p>
    <w:p w:rsidR="00493BBA" w:rsidRDefault="00493BBA" w:rsidP="00493BBA">
      <w:pPr>
        <w:suppressAutoHyphens/>
        <w:ind w:left="851"/>
        <w:rPr>
          <w:bCs/>
          <w:noProof/>
          <w:szCs w:val="22"/>
        </w:rPr>
      </w:pPr>
      <w:r>
        <w:rPr>
          <w:bCs/>
          <w:noProof/>
          <w:szCs w:val="22"/>
        </w:rPr>
        <w:t>Det primære endepunkt for virkning i studiet var progressionsfri overlevelse (</w:t>
      </w:r>
      <w:r>
        <w:rPr>
          <w:bCs/>
          <w:i/>
          <w:iCs/>
          <w:noProof/>
          <w:szCs w:val="22"/>
        </w:rPr>
        <w:t>progression free survival</w:t>
      </w:r>
      <w:r>
        <w:rPr>
          <w:bCs/>
          <w:noProof/>
          <w:szCs w:val="22"/>
        </w:rPr>
        <w:t xml:space="preserve">, PFS). I alt indgik 459 patienter i studiet, hvor 152 patienter blev randomiseret til MPR+R, 153 patienter blev randomiseret til MPR+p, og 154 patienter blev randomiseret til MPp+p. Demografi og sygdomsrelaterede </w:t>
      </w:r>
      <w:r>
        <w:rPr>
          <w:bCs/>
          <w:i/>
          <w:noProof/>
          <w:szCs w:val="22"/>
        </w:rPr>
        <w:t>baseline-</w:t>
      </w:r>
      <w:r>
        <w:rPr>
          <w:bCs/>
          <w:noProof/>
          <w:szCs w:val="22"/>
        </w:rPr>
        <w:t>karakteristika for patienterne var velafbalancerede i alle 3 arme. Især havde ca. 50 % af patienter, der indgik i hver arm, de følgende karakteristika: ISS trin III og kreatininclearance &lt; 60 ml/min. Medianalderen var 71 i MPR+R- og MPR+p-armene, og 72 i MPp+p</w:t>
      </w:r>
      <w:r>
        <w:rPr>
          <w:bCs/>
          <w:noProof/>
          <w:szCs w:val="22"/>
        </w:rPr>
        <w:noBreakHyphen/>
        <w:t>armen.</w:t>
      </w:r>
    </w:p>
    <w:p w:rsidR="00493BBA" w:rsidRDefault="00493BBA" w:rsidP="00493BBA">
      <w:pPr>
        <w:suppressAutoHyphens/>
        <w:ind w:left="851"/>
        <w:rPr>
          <w:bCs/>
          <w:noProof/>
          <w:szCs w:val="22"/>
        </w:rPr>
      </w:pPr>
    </w:p>
    <w:p w:rsidR="00493BBA" w:rsidRDefault="00493BBA" w:rsidP="00493BBA">
      <w:pPr>
        <w:suppressAutoHyphens/>
        <w:ind w:left="851"/>
        <w:rPr>
          <w:bCs/>
          <w:noProof/>
          <w:szCs w:val="22"/>
        </w:rPr>
      </w:pPr>
      <w:r>
        <w:rPr>
          <w:bCs/>
          <w:noProof/>
          <w:szCs w:val="22"/>
        </w:rPr>
        <w:t>I en analyse af PFS, PFS2, OS ved anvendelse af en afskæringsdato i april 2013, hvor den mediane opfølgningstid for alle overlevende personer var 62,4 måneder, vises resultaterne af studiet i tabel </w:t>
      </w:r>
      <w:r w:rsidR="00DF19D5">
        <w:rPr>
          <w:bCs/>
          <w:noProof/>
          <w:szCs w:val="22"/>
        </w:rPr>
        <w:t>10</w:t>
      </w:r>
      <w:r>
        <w:rPr>
          <w:bCs/>
          <w:noProof/>
          <w:szCs w:val="22"/>
        </w:rPr>
        <w:t>:</w:t>
      </w:r>
    </w:p>
    <w:p w:rsidR="00493BBA" w:rsidRDefault="00493BBA" w:rsidP="00493BBA">
      <w:pPr>
        <w:suppressAutoHyphens/>
        <w:ind w:left="851"/>
        <w:rPr>
          <w:bCs/>
          <w:noProof/>
          <w:szCs w:val="22"/>
        </w:rPr>
      </w:pPr>
    </w:p>
    <w:p w:rsidR="00493BBA" w:rsidRDefault="00493BBA" w:rsidP="007366DD">
      <w:pPr>
        <w:keepNext/>
        <w:suppressAutoHyphens/>
        <w:ind w:left="851"/>
        <w:rPr>
          <w:b/>
          <w:bCs/>
          <w:noProof/>
          <w:szCs w:val="22"/>
        </w:rPr>
      </w:pPr>
      <w:r>
        <w:rPr>
          <w:b/>
          <w:bCs/>
          <w:noProof/>
          <w:szCs w:val="22"/>
        </w:rPr>
        <w:lastRenderedPageBreak/>
        <w:t>Tabel </w:t>
      </w:r>
      <w:r w:rsidR="00DF19D5">
        <w:rPr>
          <w:b/>
          <w:bCs/>
          <w:noProof/>
          <w:szCs w:val="22"/>
        </w:rPr>
        <w:t>10</w:t>
      </w:r>
      <w:r>
        <w:rPr>
          <w:b/>
          <w:bCs/>
          <w:noProof/>
          <w:szCs w:val="22"/>
        </w:rPr>
        <w:t>. Oversigt over samlede data for virkning</w:t>
      </w:r>
    </w:p>
    <w:tbl>
      <w:tblPr>
        <w:tblW w:w="8925" w:type="dxa"/>
        <w:tblInd w:w="84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3683"/>
        <w:gridCol w:w="1747"/>
        <w:gridCol w:w="1747"/>
        <w:gridCol w:w="1748"/>
      </w:tblGrid>
      <w:tr w:rsidR="00493BBA" w:rsidTr="00493BBA">
        <w:trPr>
          <w:trHeight w:val="625"/>
        </w:trPr>
        <w:tc>
          <w:tcPr>
            <w:tcW w:w="3683" w:type="dxa"/>
            <w:tcBorders>
              <w:top w:val="single" w:sz="12" w:space="0" w:color="000000"/>
              <w:left w:val="single" w:sz="8" w:space="0" w:color="000000"/>
              <w:bottom w:val="single" w:sz="12" w:space="0" w:color="000000"/>
              <w:right w:val="single" w:sz="8" w:space="0" w:color="000000"/>
            </w:tcBorders>
          </w:tcPr>
          <w:p w:rsidR="00493BBA" w:rsidRDefault="00493BBA" w:rsidP="007366DD">
            <w:pPr>
              <w:keepNext/>
              <w:suppressAutoHyphens/>
              <w:rPr>
                <w:bCs/>
                <w:noProof/>
                <w:szCs w:val="22"/>
              </w:rPr>
            </w:pPr>
          </w:p>
        </w:tc>
        <w:tc>
          <w:tcPr>
            <w:tcW w:w="1747" w:type="dxa"/>
            <w:tcBorders>
              <w:top w:val="single" w:sz="12" w:space="0" w:color="000000"/>
              <w:left w:val="single" w:sz="8" w:space="0" w:color="000000"/>
              <w:bottom w:val="single" w:sz="12" w:space="0" w:color="000000"/>
              <w:right w:val="single" w:sz="8" w:space="0" w:color="000000"/>
            </w:tcBorders>
            <w:hideMark/>
          </w:tcPr>
          <w:p w:rsidR="00493BBA" w:rsidRDefault="00493BBA" w:rsidP="007366DD">
            <w:pPr>
              <w:keepNext/>
              <w:suppressAutoHyphens/>
              <w:jc w:val="center"/>
              <w:rPr>
                <w:b/>
                <w:noProof/>
                <w:szCs w:val="22"/>
              </w:rPr>
            </w:pPr>
            <w:r>
              <w:rPr>
                <w:b/>
                <w:noProof/>
                <w:szCs w:val="22"/>
              </w:rPr>
              <w:t>MPR+R</w:t>
            </w:r>
          </w:p>
          <w:p w:rsidR="00493BBA" w:rsidRDefault="00493BBA" w:rsidP="007366DD">
            <w:pPr>
              <w:keepNext/>
              <w:suppressAutoHyphens/>
              <w:jc w:val="center"/>
              <w:rPr>
                <w:b/>
                <w:noProof/>
                <w:szCs w:val="22"/>
              </w:rPr>
            </w:pPr>
            <w:r>
              <w:rPr>
                <w:b/>
                <w:noProof/>
                <w:szCs w:val="22"/>
              </w:rPr>
              <w:t>(N = 152)</w:t>
            </w:r>
          </w:p>
        </w:tc>
        <w:tc>
          <w:tcPr>
            <w:tcW w:w="1747" w:type="dxa"/>
            <w:tcBorders>
              <w:top w:val="single" w:sz="12" w:space="0" w:color="000000"/>
              <w:left w:val="single" w:sz="8" w:space="0" w:color="000000"/>
              <w:bottom w:val="single" w:sz="12" w:space="0" w:color="000000"/>
              <w:right w:val="single" w:sz="8" w:space="0" w:color="000000"/>
            </w:tcBorders>
            <w:hideMark/>
          </w:tcPr>
          <w:p w:rsidR="00493BBA" w:rsidRDefault="00493BBA" w:rsidP="007366DD">
            <w:pPr>
              <w:keepNext/>
              <w:suppressAutoHyphens/>
              <w:jc w:val="center"/>
              <w:rPr>
                <w:b/>
                <w:noProof/>
                <w:szCs w:val="22"/>
              </w:rPr>
            </w:pPr>
            <w:r>
              <w:rPr>
                <w:b/>
                <w:noProof/>
                <w:szCs w:val="22"/>
              </w:rPr>
              <w:t>MPR+p</w:t>
            </w:r>
          </w:p>
          <w:p w:rsidR="00493BBA" w:rsidRDefault="00493BBA" w:rsidP="007366DD">
            <w:pPr>
              <w:keepNext/>
              <w:suppressAutoHyphens/>
              <w:jc w:val="center"/>
              <w:rPr>
                <w:b/>
                <w:noProof/>
                <w:szCs w:val="22"/>
              </w:rPr>
            </w:pPr>
            <w:r>
              <w:rPr>
                <w:b/>
                <w:noProof/>
                <w:szCs w:val="22"/>
              </w:rPr>
              <w:t>(N = 153)</w:t>
            </w:r>
          </w:p>
        </w:tc>
        <w:tc>
          <w:tcPr>
            <w:tcW w:w="1748" w:type="dxa"/>
            <w:tcBorders>
              <w:top w:val="single" w:sz="12" w:space="0" w:color="000000"/>
              <w:left w:val="single" w:sz="8" w:space="0" w:color="000000"/>
              <w:bottom w:val="single" w:sz="12" w:space="0" w:color="000000"/>
              <w:right w:val="single" w:sz="8" w:space="0" w:color="000000"/>
            </w:tcBorders>
            <w:hideMark/>
          </w:tcPr>
          <w:p w:rsidR="00493BBA" w:rsidRDefault="00493BBA" w:rsidP="007366DD">
            <w:pPr>
              <w:keepNext/>
              <w:suppressAutoHyphens/>
              <w:jc w:val="center"/>
              <w:rPr>
                <w:b/>
                <w:noProof/>
                <w:szCs w:val="22"/>
              </w:rPr>
            </w:pPr>
            <w:r>
              <w:rPr>
                <w:b/>
                <w:noProof/>
                <w:szCs w:val="22"/>
              </w:rPr>
              <w:t>MPp +p</w:t>
            </w:r>
          </w:p>
          <w:p w:rsidR="00493BBA" w:rsidRDefault="00493BBA" w:rsidP="007366DD">
            <w:pPr>
              <w:keepNext/>
              <w:suppressAutoHyphens/>
              <w:jc w:val="center"/>
              <w:rPr>
                <w:b/>
                <w:noProof/>
                <w:szCs w:val="22"/>
              </w:rPr>
            </w:pPr>
            <w:r>
              <w:rPr>
                <w:b/>
                <w:noProof/>
                <w:szCs w:val="22"/>
              </w:rPr>
              <w:t>(N = 154)</w:t>
            </w:r>
          </w:p>
        </w:tc>
      </w:tr>
      <w:tr w:rsidR="00493BBA" w:rsidTr="00493BBA">
        <w:trPr>
          <w:trHeight w:val="269"/>
        </w:trPr>
        <w:tc>
          <w:tcPr>
            <w:tcW w:w="3683" w:type="dxa"/>
            <w:tcBorders>
              <w:top w:val="single" w:sz="12" w:space="0" w:color="000000"/>
              <w:left w:val="single" w:sz="8" w:space="0" w:color="000000"/>
              <w:bottom w:val="single" w:sz="8" w:space="0" w:color="000000"/>
              <w:right w:val="single" w:sz="8" w:space="0" w:color="000000"/>
            </w:tcBorders>
            <w:hideMark/>
          </w:tcPr>
          <w:p w:rsidR="00493BBA" w:rsidRDefault="00493BBA" w:rsidP="007366DD">
            <w:pPr>
              <w:keepNext/>
              <w:suppressAutoHyphens/>
              <w:rPr>
                <w:b/>
                <w:bCs/>
                <w:noProof/>
                <w:szCs w:val="22"/>
              </w:rPr>
            </w:pPr>
            <w:r>
              <w:rPr>
                <w:b/>
                <w:bCs/>
                <w:noProof/>
                <w:szCs w:val="22"/>
              </w:rPr>
              <w:t>Investigator-vurderet PFS - (måneder)</w:t>
            </w:r>
          </w:p>
        </w:tc>
        <w:tc>
          <w:tcPr>
            <w:tcW w:w="5242" w:type="dxa"/>
            <w:gridSpan w:val="3"/>
            <w:tcBorders>
              <w:top w:val="single" w:sz="12" w:space="0" w:color="000000"/>
              <w:left w:val="single" w:sz="8" w:space="0" w:color="000000"/>
              <w:bottom w:val="single" w:sz="8" w:space="0" w:color="000000"/>
              <w:right w:val="single" w:sz="8" w:space="0" w:color="000000"/>
            </w:tcBorders>
          </w:tcPr>
          <w:p w:rsidR="00493BBA" w:rsidRDefault="00493BBA" w:rsidP="007366DD">
            <w:pPr>
              <w:keepNext/>
              <w:suppressAutoHyphens/>
              <w:jc w:val="center"/>
              <w:rPr>
                <w:bCs/>
                <w:noProof/>
                <w:szCs w:val="22"/>
              </w:rPr>
            </w:pP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rsidP="007366DD">
            <w:pPr>
              <w:keepNext/>
              <w:suppressAutoHyphens/>
              <w:rPr>
                <w:bCs/>
                <w:noProof/>
                <w:szCs w:val="22"/>
              </w:rPr>
            </w:pPr>
            <w:r>
              <w:rPr>
                <w:bCs/>
                <w:noProof/>
                <w:szCs w:val="22"/>
              </w:rPr>
              <w:t>Median</w:t>
            </w:r>
            <w:r>
              <w:rPr>
                <w:bCs/>
                <w:noProof/>
                <w:szCs w:val="22"/>
                <w:vertAlign w:val="superscript"/>
              </w:rPr>
              <w:t>a</w:t>
            </w:r>
            <w:r>
              <w:rPr>
                <w:bCs/>
                <w:noProof/>
                <w:szCs w:val="22"/>
              </w:rPr>
              <w:t xml:space="preserve"> PFS-tid, måneder (95 % CI)</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rsidP="007366DD">
            <w:pPr>
              <w:keepNext/>
              <w:suppressAutoHyphens/>
              <w:jc w:val="center"/>
              <w:rPr>
                <w:bCs/>
                <w:noProof/>
                <w:szCs w:val="22"/>
              </w:rPr>
            </w:pPr>
            <w:r>
              <w:rPr>
                <w:bCs/>
                <w:noProof/>
                <w:szCs w:val="22"/>
              </w:rPr>
              <w:t>27,4 (21,3; 35,0)</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rsidP="007366DD">
            <w:pPr>
              <w:keepNext/>
              <w:suppressAutoHyphens/>
              <w:jc w:val="center"/>
              <w:rPr>
                <w:bCs/>
                <w:noProof/>
                <w:szCs w:val="22"/>
              </w:rPr>
            </w:pPr>
            <w:r>
              <w:rPr>
                <w:bCs/>
                <w:noProof/>
                <w:szCs w:val="22"/>
              </w:rPr>
              <w:t>14,3 (13,2; 15,7)</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rsidP="007366DD">
            <w:pPr>
              <w:keepNext/>
              <w:suppressAutoHyphens/>
              <w:jc w:val="center"/>
              <w:rPr>
                <w:bCs/>
                <w:noProof/>
                <w:szCs w:val="22"/>
              </w:rPr>
            </w:pPr>
            <w:r>
              <w:rPr>
                <w:bCs/>
                <w:noProof/>
                <w:szCs w:val="22"/>
              </w:rPr>
              <w:t>13,1 (12,0; 14,8)</w:t>
            </w: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HR [95 % CI], p-værdi</w:t>
            </w:r>
          </w:p>
        </w:tc>
        <w:tc>
          <w:tcPr>
            <w:tcW w:w="5242" w:type="dxa"/>
            <w:gridSpan w:val="3"/>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Pr="00493BBA" w:rsidRDefault="00493BBA">
            <w:pPr>
              <w:widowControl w:val="0"/>
              <w:autoSpaceDE w:val="0"/>
              <w:autoSpaceDN w:val="0"/>
              <w:adjustRightInd w:val="0"/>
              <w:ind w:left="331" w:right="-20"/>
              <w:rPr>
                <w:szCs w:val="22"/>
                <w:lang w:val="sv-SE"/>
              </w:rPr>
            </w:pPr>
            <w:r w:rsidRPr="00493BBA">
              <w:rPr>
                <w:szCs w:val="22"/>
                <w:lang w:val="sv-SE"/>
              </w:rPr>
              <w:t xml:space="preserve">MPR+R </w:t>
            </w:r>
            <w:r w:rsidRPr="00493BBA">
              <w:rPr>
                <w:i/>
                <w:iCs/>
                <w:szCs w:val="22"/>
                <w:lang w:val="sv-SE"/>
              </w:rPr>
              <w:t>vs.</w:t>
            </w:r>
            <w:r w:rsidRPr="00493BBA">
              <w:rPr>
                <w:szCs w:val="22"/>
                <w:lang w:val="sv-SE"/>
              </w:rPr>
              <w:t xml:space="preserve"> MPp+p</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0,37 (0,27; 0,50), &lt;0,001</w:t>
            </w: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 xml:space="preserve">MPR+R </w:t>
            </w:r>
            <w:r>
              <w:rPr>
                <w:i/>
                <w:iCs/>
                <w:szCs w:val="22"/>
              </w:rPr>
              <w:t>vs.</w:t>
            </w:r>
            <w:r>
              <w:rPr>
                <w:szCs w:val="22"/>
              </w:rPr>
              <w:t xml:space="preserve"> MPR+p</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0,47 (0,35; 0,65), &lt;0,001</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Pr="00493BBA" w:rsidRDefault="00493BBA">
            <w:pPr>
              <w:widowControl w:val="0"/>
              <w:autoSpaceDE w:val="0"/>
              <w:autoSpaceDN w:val="0"/>
              <w:adjustRightInd w:val="0"/>
              <w:ind w:left="331" w:right="-20"/>
              <w:rPr>
                <w:szCs w:val="22"/>
                <w:lang w:val="sv-SE"/>
              </w:rPr>
            </w:pPr>
            <w:r w:rsidRPr="00493BBA">
              <w:rPr>
                <w:szCs w:val="22"/>
                <w:lang w:val="sv-SE"/>
              </w:rPr>
              <w:t xml:space="preserve">MPR+p </w:t>
            </w:r>
            <w:r w:rsidRPr="00493BBA">
              <w:rPr>
                <w:i/>
                <w:iCs/>
                <w:szCs w:val="22"/>
                <w:lang w:val="sv-SE"/>
              </w:rPr>
              <w:t>vs.</w:t>
            </w:r>
            <w:r w:rsidRPr="00493BBA">
              <w:rPr>
                <w:szCs w:val="22"/>
                <w:lang w:val="sv-SE"/>
              </w:rPr>
              <w:t xml:space="preserve"> MPp+p</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0,78 (0,60; 1,01), 0,059</w:t>
            </w:r>
          </w:p>
        </w:tc>
      </w:tr>
      <w:tr w:rsidR="00493BBA" w:rsidTr="00493BBA">
        <w:trPr>
          <w:trHeight w:val="269"/>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
                <w:bCs/>
                <w:noProof/>
                <w:szCs w:val="22"/>
              </w:rPr>
              <w:t>PFS2 - (måneder)</w:t>
            </w:r>
          </w:p>
        </w:tc>
        <w:tc>
          <w:tcPr>
            <w:tcW w:w="5242" w:type="dxa"/>
            <w:gridSpan w:val="3"/>
            <w:tcBorders>
              <w:top w:val="single" w:sz="8" w:space="0" w:color="000000"/>
              <w:left w:val="single" w:sz="8" w:space="0" w:color="000000"/>
              <w:bottom w:val="single" w:sz="4" w:space="0" w:color="000000"/>
              <w:right w:val="single" w:sz="8" w:space="0" w:color="000000"/>
            </w:tcBorders>
          </w:tcPr>
          <w:p w:rsidR="00493BBA" w:rsidRDefault="00493BBA">
            <w:pPr>
              <w:suppressAutoHyphens/>
              <w:jc w:val="center"/>
              <w:rPr>
                <w:bCs/>
                <w:noProof/>
                <w:szCs w:val="22"/>
              </w:rPr>
            </w:pPr>
          </w:p>
        </w:tc>
      </w:tr>
      <w:tr w:rsidR="00493BBA" w:rsidTr="00493BBA">
        <w:trPr>
          <w:trHeight w:val="253"/>
        </w:trPr>
        <w:tc>
          <w:tcPr>
            <w:tcW w:w="3683" w:type="dxa"/>
            <w:tcBorders>
              <w:top w:val="single" w:sz="8" w:space="0" w:color="000000"/>
              <w:left w:val="single" w:sz="8" w:space="0" w:color="000000"/>
              <w:bottom w:val="single" w:sz="8" w:space="0" w:color="000000"/>
              <w:right w:val="single" w:sz="4" w:space="0" w:color="000000"/>
            </w:tcBorders>
            <w:hideMark/>
          </w:tcPr>
          <w:p w:rsidR="00493BBA" w:rsidRDefault="00493BBA">
            <w:pPr>
              <w:suppressAutoHyphens/>
              <w:rPr>
                <w:bCs/>
                <w:noProof/>
                <w:szCs w:val="22"/>
              </w:rPr>
            </w:pPr>
            <w:r>
              <w:rPr>
                <w:bCs/>
                <w:noProof/>
                <w:szCs w:val="22"/>
              </w:rPr>
              <w:t>Median</w:t>
            </w:r>
            <w:r>
              <w:rPr>
                <w:bCs/>
                <w:noProof/>
                <w:szCs w:val="22"/>
                <w:vertAlign w:val="superscript"/>
              </w:rPr>
              <w:t>a</w:t>
            </w:r>
            <w:r>
              <w:rPr>
                <w:bCs/>
                <w:noProof/>
                <w:szCs w:val="22"/>
              </w:rPr>
              <w:t xml:space="preserve"> PFS2-tid, måneder (95 % CI)</w:t>
            </w:r>
          </w:p>
        </w:tc>
        <w:tc>
          <w:tcPr>
            <w:tcW w:w="1747" w:type="dxa"/>
            <w:tcBorders>
              <w:top w:val="single" w:sz="4" w:space="0" w:color="000000"/>
              <w:left w:val="single" w:sz="4" w:space="0" w:color="000000"/>
              <w:bottom w:val="single" w:sz="4" w:space="0" w:color="000000"/>
              <w:right w:val="single" w:sz="4" w:space="0" w:color="000000"/>
            </w:tcBorders>
            <w:hideMark/>
          </w:tcPr>
          <w:p w:rsidR="00493BBA" w:rsidRDefault="00493BBA">
            <w:pPr>
              <w:suppressAutoHyphens/>
              <w:jc w:val="center"/>
              <w:rPr>
                <w:bCs/>
                <w:noProof/>
                <w:szCs w:val="22"/>
              </w:rPr>
            </w:pPr>
            <w:r>
              <w:rPr>
                <w:bCs/>
                <w:noProof/>
                <w:szCs w:val="22"/>
              </w:rPr>
              <w:t>39,7 (29,2; 48,4)</w:t>
            </w:r>
          </w:p>
        </w:tc>
        <w:tc>
          <w:tcPr>
            <w:tcW w:w="1747" w:type="dxa"/>
            <w:tcBorders>
              <w:top w:val="single" w:sz="4" w:space="0" w:color="000000"/>
              <w:left w:val="single" w:sz="4" w:space="0" w:color="000000"/>
              <w:bottom w:val="single" w:sz="4" w:space="0" w:color="000000"/>
              <w:right w:val="single" w:sz="4" w:space="0" w:color="000000"/>
            </w:tcBorders>
            <w:hideMark/>
          </w:tcPr>
          <w:p w:rsidR="00493BBA" w:rsidRDefault="00493BBA">
            <w:pPr>
              <w:suppressAutoHyphens/>
              <w:jc w:val="center"/>
              <w:rPr>
                <w:bCs/>
                <w:noProof/>
                <w:szCs w:val="22"/>
              </w:rPr>
            </w:pPr>
            <w:r>
              <w:rPr>
                <w:bCs/>
                <w:noProof/>
                <w:szCs w:val="22"/>
              </w:rPr>
              <w:t>27,8 (23,1; 33,1)</w:t>
            </w:r>
          </w:p>
        </w:tc>
        <w:tc>
          <w:tcPr>
            <w:tcW w:w="1748" w:type="dxa"/>
            <w:tcBorders>
              <w:top w:val="single" w:sz="4" w:space="0" w:color="000000"/>
              <w:left w:val="single" w:sz="4" w:space="0" w:color="000000"/>
              <w:bottom w:val="single" w:sz="4" w:space="0" w:color="000000"/>
              <w:right w:val="single" w:sz="4" w:space="0" w:color="000000"/>
            </w:tcBorders>
            <w:hideMark/>
          </w:tcPr>
          <w:p w:rsidR="00493BBA" w:rsidRDefault="00493BBA">
            <w:pPr>
              <w:suppressAutoHyphens/>
              <w:jc w:val="center"/>
              <w:rPr>
                <w:bCs/>
                <w:noProof/>
                <w:szCs w:val="22"/>
              </w:rPr>
            </w:pPr>
            <w:r>
              <w:rPr>
                <w:bCs/>
                <w:noProof/>
                <w:szCs w:val="22"/>
              </w:rPr>
              <w:t>28,8 (24,3; 33,8)</w:t>
            </w:r>
          </w:p>
        </w:tc>
      </w:tr>
      <w:tr w:rsidR="00493BBA" w:rsidTr="00493BBA">
        <w:trPr>
          <w:trHeight w:val="252"/>
        </w:trPr>
        <w:tc>
          <w:tcPr>
            <w:tcW w:w="3683" w:type="dxa"/>
            <w:tcBorders>
              <w:top w:val="single" w:sz="8" w:space="0" w:color="000000"/>
              <w:left w:val="single" w:sz="8" w:space="0" w:color="000000"/>
              <w:bottom w:val="single" w:sz="8" w:space="0" w:color="000000"/>
              <w:right w:val="single" w:sz="4" w:space="0" w:color="000000"/>
            </w:tcBorders>
            <w:hideMark/>
          </w:tcPr>
          <w:p w:rsidR="00493BBA" w:rsidRDefault="00493BBA">
            <w:pPr>
              <w:suppressAutoHyphens/>
              <w:rPr>
                <w:bCs/>
                <w:noProof/>
                <w:szCs w:val="22"/>
              </w:rPr>
            </w:pPr>
            <w:r>
              <w:rPr>
                <w:bCs/>
                <w:noProof/>
                <w:szCs w:val="22"/>
              </w:rPr>
              <w:t>HR [95 % CI], p-værdi</w:t>
            </w:r>
          </w:p>
        </w:tc>
        <w:tc>
          <w:tcPr>
            <w:tcW w:w="5242" w:type="dxa"/>
            <w:gridSpan w:val="3"/>
            <w:tcBorders>
              <w:top w:val="single" w:sz="4" w:space="0" w:color="000000"/>
              <w:left w:val="single" w:sz="4" w:space="0" w:color="000000"/>
              <w:bottom w:val="single" w:sz="4" w:space="0" w:color="000000"/>
              <w:right w:val="single" w:sz="4" w:space="0" w:color="000000"/>
            </w:tcBorders>
          </w:tcPr>
          <w:p w:rsidR="00493BBA" w:rsidRDefault="00493BBA">
            <w:pPr>
              <w:suppressAutoHyphens/>
              <w:jc w:val="center"/>
              <w:rPr>
                <w:bCs/>
                <w:noProof/>
                <w:szCs w:val="22"/>
              </w:rPr>
            </w:pP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Pr="00493BBA" w:rsidRDefault="00493BBA">
            <w:pPr>
              <w:widowControl w:val="0"/>
              <w:autoSpaceDE w:val="0"/>
              <w:autoSpaceDN w:val="0"/>
              <w:adjustRightInd w:val="0"/>
              <w:ind w:left="331" w:right="-20"/>
              <w:rPr>
                <w:szCs w:val="22"/>
                <w:lang w:val="sv-SE"/>
              </w:rPr>
            </w:pPr>
            <w:r w:rsidRPr="00493BBA">
              <w:rPr>
                <w:szCs w:val="22"/>
                <w:lang w:val="sv-SE"/>
              </w:rPr>
              <w:t xml:space="preserve">MPR+R </w:t>
            </w:r>
            <w:r w:rsidRPr="00493BBA">
              <w:rPr>
                <w:i/>
                <w:iCs/>
                <w:szCs w:val="22"/>
                <w:lang w:val="sv-SE"/>
              </w:rPr>
              <w:t>vs.</w:t>
            </w:r>
            <w:r w:rsidRPr="00493BBA">
              <w:rPr>
                <w:szCs w:val="22"/>
                <w:lang w:val="sv-SE"/>
              </w:rPr>
              <w:t xml:space="preserve"> MPp+p</w:t>
            </w:r>
          </w:p>
        </w:tc>
        <w:tc>
          <w:tcPr>
            <w:tcW w:w="5242" w:type="dxa"/>
            <w:gridSpan w:val="3"/>
            <w:tcBorders>
              <w:top w:val="single" w:sz="4"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0,70 (0,54; 0,92), 0,009</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 xml:space="preserve">MPR+R </w:t>
            </w:r>
            <w:r>
              <w:rPr>
                <w:i/>
                <w:iCs/>
                <w:szCs w:val="22"/>
              </w:rPr>
              <w:t>vs.</w:t>
            </w:r>
            <w:r>
              <w:rPr>
                <w:szCs w:val="22"/>
              </w:rPr>
              <w:t xml:space="preserve"> MPR+p</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0,77 (0,59; 1,02), 0,065</w:t>
            </w: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Pr="00493BBA" w:rsidRDefault="00493BBA">
            <w:pPr>
              <w:widowControl w:val="0"/>
              <w:autoSpaceDE w:val="0"/>
              <w:autoSpaceDN w:val="0"/>
              <w:adjustRightInd w:val="0"/>
              <w:ind w:left="331" w:right="-20"/>
              <w:rPr>
                <w:szCs w:val="22"/>
                <w:lang w:val="sv-SE"/>
              </w:rPr>
            </w:pPr>
            <w:r w:rsidRPr="00493BBA">
              <w:rPr>
                <w:szCs w:val="22"/>
                <w:lang w:val="sv-SE"/>
              </w:rPr>
              <w:t xml:space="preserve">MPR+p </w:t>
            </w:r>
            <w:r w:rsidRPr="00493BBA">
              <w:rPr>
                <w:i/>
                <w:iCs/>
                <w:szCs w:val="22"/>
                <w:lang w:val="sv-SE"/>
              </w:rPr>
              <w:t>vs.</w:t>
            </w:r>
            <w:r w:rsidRPr="00493BBA">
              <w:rPr>
                <w:szCs w:val="22"/>
                <w:lang w:val="sv-SE"/>
              </w:rPr>
              <w:t xml:space="preserve"> MPp+p</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0,92 (0,71; 1,19), 0,051</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
                <w:bCs/>
                <w:noProof/>
                <w:szCs w:val="22"/>
              </w:rPr>
            </w:pPr>
            <w:r>
              <w:rPr>
                <w:b/>
                <w:bCs/>
                <w:noProof/>
                <w:szCs w:val="22"/>
              </w:rPr>
              <w:t>Samlet overlevelse (måneder)</w:t>
            </w:r>
          </w:p>
        </w:tc>
        <w:tc>
          <w:tcPr>
            <w:tcW w:w="5242" w:type="dxa"/>
            <w:gridSpan w:val="3"/>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Median</w:t>
            </w:r>
            <w:r>
              <w:rPr>
                <w:bCs/>
                <w:noProof/>
                <w:szCs w:val="22"/>
                <w:vertAlign w:val="superscript"/>
              </w:rPr>
              <w:t>a</w:t>
            </w:r>
            <w:r>
              <w:rPr>
                <w:bCs/>
                <w:noProof/>
                <w:szCs w:val="22"/>
              </w:rPr>
              <w:t xml:space="preserve"> OS-tid, måneder (95 % CI)</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55,9 (49,1; 67,5)</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51,9 (43,1; 60,6)</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53,9 (47,3; 64,2)</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HR [95 % CI], p-værdi</w:t>
            </w:r>
          </w:p>
        </w:tc>
        <w:tc>
          <w:tcPr>
            <w:tcW w:w="5242" w:type="dxa"/>
            <w:gridSpan w:val="3"/>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Pr="00493BBA" w:rsidRDefault="00493BBA">
            <w:pPr>
              <w:widowControl w:val="0"/>
              <w:autoSpaceDE w:val="0"/>
              <w:autoSpaceDN w:val="0"/>
              <w:adjustRightInd w:val="0"/>
              <w:ind w:left="331" w:right="-20"/>
              <w:rPr>
                <w:szCs w:val="22"/>
                <w:lang w:val="sv-SE"/>
              </w:rPr>
            </w:pPr>
            <w:r w:rsidRPr="00493BBA">
              <w:rPr>
                <w:szCs w:val="22"/>
                <w:lang w:val="sv-SE"/>
              </w:rPr>
              <w:t xml:space="preserve">MPR+R </w:t>
            </w:r>
            <w:r w:rsidRPr="00493BBA">
              <w:rPr>
                <w:i/>
                <w:iCs/>
                <w:szCs w:val="22"/>
                <w:lang w:val="sv-SE"/>
              </w:rPr>
              <w:t>vs.</w:t>
            </w:r>
            <w:r w:rsidRPr="00493BBA">
              <w:rPr>
                <w:szCs w:val="22"/>
                <w:lang w:val="sv-SE"/>
              </w:rPr>
              <w:t xml:space="preserve"> MPp+p</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0,95 (0,70; 1,29), 0,736</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widowControl w:val="0"/>
              <w:autoSpaceDE w:val="0"/>
              <w:autoSpaceDN w:val="0"/>
              <w:adjustRightInd w:val="0"/>
              <w:ind w:left="331" w:right="-20"/>
              <w:rPr>
                <w:szCs w:val="22"/>
              </w:rPr>
            </w:pPr>
            <w:r>
              <w:rPr>
                <w:szCs w:val="22"/>
              </w:rPr>
              <w:t xml:space="preserve">MPR+R </w:t>
            </w:r>
            <w:r>
              <w:rPr>
                <w:i/>
                <w:iCs/>
                <w:szCs w:val="22"/>
              </w:rPr>
              <w:t>vs.</w:t>
            </w:r>
            <w:r>
              <w:rPr>
                <w:szCs w:val="22"/>
              </w:rPr>
              <w:t xml:space="preserve"> MPR+p</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0,88 (0,65; 1,20), 0,43</w:t>
            </w: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Pr="00493BBA" w:rsidRDefault="00493BBA">
            <w:pPr>
              <w:widowControl w:val="0"/>
              <w:autoSpaceDE w:val="0"/>
              <w:autoSpaceDN w:val="0"/>
              <w:adjustRightInd w:val="0"/>
              <w:ind w:left="331" w:right="-20"/>
              <w:rPr>
                <w:szCs w:val="22"/>
                <w:lang w:val="sv-SE"/>
              </w:rPr>
            </w:pPr>
            <w:r w:rsidRPr="00493BBA">
              <w:rPr>
                <w:szCs w:val="22"/>
                <w:lang w:val="sv-SE"/>
              </w:rPr>
              <w:t xml:space="preserve">MPR+p </w:t>
            </w:r>
            <w:r w:rsidRPr="00493BBA">
              <w:rPr>
                <w:i/>
                <w:iCs/>
                <w:szCs w:val="22"/>
                <w:lang w:val="sv-SE"/>
              </w:rPr>
              <w:t>vs.</w:t>
            </w:r>
            <w:r w:rsidRPr="00493BBA">
              <w:rPr>
                <w:szCs w:val="22"/>
                <w:lang w:val="sv-SE"/>
              </w:rPr>
              <w:t xml:space="preserve"> MPp+p</w:t>
            </w:r>
          </w:p>
        </w:tc>
        <w:tc>
          <w:tcPr>
            <w:tcW w:w="5242" w:type="dxa"/>
            <w:gridSpan w:val="3"/>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1,07 (0,79; 1,45), 0,67</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Opfølgning (måneder)</w:t>
            </w:r>
          </w:p>
        </w:tc>
        <w:tc>
          <w:tcPr>
            <w:tcW w:w="5242" w:type="dxa"/>
            <w:gridSpan w:val="3"/>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Median (min; maks): alle patienter</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48,4 (0,8; 73,8)</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46,3 (0,5; 71,9)</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50,4 (0,5; 73,3)</w:t>
            </w:r>
          </w:p>
        </w:tc>
      </w:tr>
      <w:tr w:rsidR="00493BBA" w:rsidTr="00493BBA">
        <w:trPr>
          <w:trHeight w:val="505"/>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
                <w:bCs/>
                <w:noProof/>
                <w:szCs w:val="22"/>
              </w:rPr>
            </w:pPr>
            <w:r>
              <w:rPr>
                <w:b/>
                <w:bCs/>
                <w:noProof/>
                <w:szCs w:val="22"/>
              </w:rPr>
              <w:t>Investigator-vurderet myeloma-respons n (%)</w:t>
            </w:r>
          </w:p>
        </w:tc>
        <w:tc>
          <w:tcPr>
            <w:tcW w:w="5242" w:type="dxa"/>
            <w:gridSpan w:val="3"/>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49"/>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CR</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30 (19,7)</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17 (11,1)</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9 (5,8)</w:t>
            </w:r>
          </w:p>
        </w:tc>
      </w:tr>
      <w:tr w:rsidR="00493BBA" w:rsidTr="00493BBA">
        <w:trPr>
          <w:trHeight w:val="253"/>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PR</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90 (59,2)</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99 (64,7)</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75 (48,7)</w:t>
            </w:r>
          </w:p>
        </w:tc>
      </w:tr>
      <w:tr w:rsidR="00493BBA" w:rsidTr="00493BBA">
        <w:trPr>
          <w:trHeight w:val="25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Stabil sygdom (stable disease, SD)</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24 (15,8)</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31 (20,3)</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63 (40,9)</w:t>
            </w:r>
          </w:p>
        </w:tc>
      </w:tr>
      <w:tr w:rsidR="00493BBA" w:rsidTr="00493BBA">
        <w:trPr>
          <w:trHeight w:val="506"/>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Cs/>
                <w:noProof/>
                <w:szCs w:val="22"/>
              </w:rPr>
            </w:pPr>
            <w:r>
              <w:rPr>
                <w:bCs/>
                <w:noProof/>
                <w:szCs w:val="22"/>
              </w:rPr>
              <w:t>Respons kan ikke evalueres (not evaluable, NE)</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8 (5,3)</w:t>
            </w:r>
          </w:p>
        </w:tc>
        <w:tc>
          <w:tcPr>
            <w:tcW w:w="1747"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4 (2,6)</w:t>
            </w:r>
          </w:p>
        </w:tc>
        <w:tc>
          <w:tcPr>
            <w:tcW w:w="1748"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rPr>
                <w:bCs/>
                <w:noProof/>
                <w:szCs w:val="22"/>
              </w:rPr>
              <w:t>7 (4,5)</w:t>
            </w:r>
          </w:p>
        </w:tc>
      </w:tr>
      <w:tr w:rsidR="00493BBA" w:rsidTr="00493BBA">
        <w:trPr>
          <w:trHeight w:val="522"/>
        </w:trPr>
        <w:tc>
          <w:tcPr>
            <w:tcW w:w="3683" w:type="dxa"/>
            <w:tcBorders>
              <w:top w:val="single" w:sz="8" w:space="0" w:color="000000"/>
              <w:left w:val="single" w:sz="8" w:space="0" w:color="000000"/>
              <w:bottom w:val="single" w:sz="8" w:space="0" w:color="000000"/>
              <w:right w:val="single" w:sz="8" w:space="0" w:color="000000"/>
            </w:tcBorders>
            <w:hideMark/>
          </w:tcPr>
          <w:p w:rsidR="00493BBA" w:rsidRDefault="00493BBA">
            <w:pPr>
              <w:suppressAutoHyphens/>
              <w:rPr>
                <w:b/>
                <w:bCs/>
                <w:noProof/>
                <w:szCs w:val="22"/>
              </w:rPr>
            </w:pPr>
            <w:r>
              <w:rPr>
                <w:b/>
                <w:bCs/>
                <w:noProof/>
                <w:szCs w:val="22"/>
              </w:rPr>
              <w:t>Investigator-vurderet varighed af respons (CR+PR) - (måneder)</w:t>
            </w: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7"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c>
          <w:tcPr>
            <w:tcW w:w="1748" w:type="dxa"/>
            <w:tcBorders>
              <w:top w:val="single" w:sz="8" w:space="0" w:color="000000"/>
              <w:left w:val="single" w:sz="8" w:space="0" w:color="000000"/>
              <w:bottom w:val="single" w:sz="8" w:space="0" w:color="000000"/>
              <w:right w:val="single" w:sz="8" w:space="0" w:color="000000"/>
            </w:tcBorders>
          </w:tcPr>
          <w:p w:rsidR="00493BBA" w:rsidRDefault="00493BBA">
            <w:pPr>
              <w:suppressAutoHyphens/>
              <w:jc w:val="center"/>
              <w:rPr>
                <w:bCs/>
                <w:noProof/>
                <w:szCs w:val="22"/>
              </w:rPr>
            </w:pPr>
          </w:p>
        </w:tc>
      </w:tr>
      <w:tr w:rsidR="00493BBA" w:rsidTr="00493BBA">
        <w:trPr>
          <w:trHeight w:val="283"/>
        </w:trPr>
        <w:tc>
          <w:tcPr>
            <w:tcW w:w="3683" w:type="dxa"/>
            <w:tcBorders>
              <w:top w:val="single" w:sz="12" w:space="0" w:color="000000"/>
              <w:left w:val="single" w:sz="8" w:space="0" w:color="000000"/>
              <w:bottom w:val="single" w:sz="8" w:space="0" w:color="000000"/>
              <w:right w:val="single" w:sz="8" w:space="0" w:color="000000"/>
            </w:tcBorders>
            <w:hideMark/>
          </w:tcPr>
          <w:p w:rsidR="00493BBA" w:rsidRDefault="00493BBA">
            <w:pPr>
              <w:suppressAutoHyphens/>
              <w:rPr>
                <w:b/>
                <w:bCs/>
                <w:noProof/>
                <w:szCs w:val="22"/>
              </w:rPr>
            </w:pPr>
            <w:r>
              <w:t>Median</w:t>
            </w:r>
            <w:r>
              <w:rPr>
                <w:vertAlign w:val="superscript"/>
              </w:rPr>
              <w:t>a</w:t>
            </w:r>
            <w:r>
              <w:t xml:space="preserve"> (95 % CI)</w:t>
            </w:r>
          </w:p>
        </w:tc>
        <w:tc>
          <w:tcPr>
            <w:tcW w:w="1747" w:type="dxa"/>
            <w:tcBorders>
              <w:top w:val="single" w:sz="12"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t>26,5 (19,4; 35,8)</w:t>
            </w:r>
          </w:p>
        </w:tc>
        <w:tc>
          <w:tcPr>
            <w:tcW w:w="1747" w:type="dxa"/>
            <w:tcBorders>
              <w:top w:val="single" w:sz="12"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t>12,4 (11,2; 13,9)</w:t>
            </w:r>
          </w:p>
        </w:tc>
        <w:tc>
          <w:tcPr>
            <w:tcW w:w="1748" w:type="dxa"/>
            <w:tcBorders>
              <w:top w:val="single" w:sz="12" w:space="0" w:color="000000"/>
              <w:left w:val="single" w:sz="8" w:space="0" w:color="000000"/>
              <w:bottom w:val="single" w:sz="8" w:space="0" w:color="000000"/>
              <w:right w:val="single" w:sz="8" w:space="0" w:color="000000"/>
            </w:tcBorders>
            <w:hideMark/>
          </w:tcPr>
          <w:p w:rsidR="00493BBA" w:rsidRDefault="00493BBA">
            <w:pPr>
              <w:suppressAutoHyphens/>
              <w:jc w:val="center"/>
              <w:rPr>
                <w:bCs/>
                <w:noProof/>
                <w:szCs w:val="22"/>
              </w:rPr>
            </w:pPr>
            <w:r>
              <w:t>12,0 (9,4; 14,5)</w:t>
            </w:r>
          </w:p>
        </w:tc>
      </w:tr>
    </w:tbl>
    <w:p w:rsidR="00493BBA" w:rsidRDefault="00493BBA" w:rsidP="00493BBA">
      <w:pPr>
        <w:suppressAutoHyphens/>
        <w:ind w:left="851"/>
        <w:rPr>
          <w:bCs/>
          <w:noProof/>
          <w:sz w:val="16"/>
          <w:szCs w:val="16"/>
        </w:rPr>
      </w:pPr>
      <w:r>
        <w:rPr>
          <w:bCs/>
          <w:noProof/>
          <w:sz w:val="16"/>
          <w:szCs w:val="16"/>
        </w:rPr>
        <w:t xml:space="preserve">CI = konfidensinterval, CR = komplet respons, HR = </w:t>
      </w:r>
      <w:r>
        <w:rPr>
          <w:bCs/>
          <w:i/>
          <w:noProof/>
          <w:sz w:val="16"/>
          <w:szCs w:val="16"/>
        </w:rPr>
        <w:t>hazard</w:t>
      </w:r>
      <w:r>
        <w:rPr>
          <w:bCs/>
          <w:i/>
          <w:iCs/>
          <w:noProof/>
          <w:sz w:val="16"/>
          <w:szCs w:val="16"/>
        </w:rPr>
        <w:t xml:space="preserve"> rate</w:t>
      </w:r>
      <w:r>
        <w:rPr>
          <w:bCs/>
          <w:noProof/>
          <w:sz w:val="16"/>
          <w:szCs w:val="16"/>
        </w:rPr>
        <w:t>, M = melphalan, NE = kan ikke estimeres, OS = samlet overlevelse, p = placebo, P = prednison,</w:t>
      </w:r>
    </w:p>
    <w:p w:rsidR="00493BBA" w:rsidRDefault="00493BBA" w:rsidP="00493BBA">
      <w:pPr>
        <w:suppressAutoHyphens/>
        <w:ind w:left="851"/>
        <w:rPr>
          <w:bCs/>
          <w:noProof/>
          <w:sz w:val="16"/>
          <w:szCs w:val="16"/>
        </w:rPr>
      </w:pPr>
      <w:r>
        <w:rPr>
          <w:bCs/>
          <w:noProof/>
          <w:sz w:val="16"/>
          <w:szCs w:val="16"/>
        </w:rPr>
        <w:t>PD = progressiv sygdom, PR = delvist respons, R = lenalidomid, SD = stabil sygdom, VGPR = meget godt delvist respons.</w:t>
      </w:r>
    </w:p>
    <w:p w:rsidR="00493BBA" w:rsidRDefault="00493BBA" w:rsidP="00493BBA">
      <w:pPr>
        <w:suppressAutoHyphens/>
        <w:ind w:left="851"/>
        <w:rPr>
          <w:bCs/>
          <w:noProof/>
          <w:sz w:val="16"/>
          <w:szCs w:val="16"/>
        </w:rPr>
      </w:pPr>
      <w:r>
        <w:rPr>
          <w:bCs/>
          <w:noProof/>
          <w:sz w:val="16"/>
          <w:szCs w:val="16"/>
        </w:rPr>
        <w:t>ªMedianen er baseret på Kaplan-Meier-estimatet</w:t>
      </w:r>
    </w:p>
    <w:p w:rsidR="00493BBA" w:rsidRDefault="00493BBA" w:rsidP="00493BBA">
      <w:pPr>
        <w:suppressAutoHyphens/>
        <w:ind w:left="851"/>
        <w:rPr>
          <w:bCs/>
          <w:noProof/>
          <w:sz w:val="16"/>
          <w:szCs w:val="16"/>
        </w:rPr>
      </w:pPr>
      <w:r>
        <w:rPr>
          <w:bCs/>
          <w:noProof/>
          <w:sz w:val="16"/>
          <w:szCs w:val="16"/>
          <w:vertAlign w:val="superscript"/>
        </w:rPr>
        <w:t>¤</w:t>
      </w:r>
      <w:r>
        <w:rPr>
          <w:bCs/>
          <w:noProof/>
          <w:sz w:val="16"/>
          <w:szCs w:val="16"/>
        </w:rPr>
        <w:t>PFS2 (et eksploratorisk endepunkt) blev for alle patienter (ITT) defineret som tidspunktet fra randomisering til start på tredjevalgs antimyelomabehandlingen (antimyeloma therapy, AMT) eller dødsfald for alle randomiserede patienter</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i/>
          <w:noProof/>
          <w:sz w:val="24"/>
          <w:szCs w:val="24"/>
        </w:rPr>
      </w:pPr>
      <w:r w:rsidRPr="00493BBA">
        <w:rPr>
          <w:bCs/>
          <w:i/>
          <w:noProof/>
          <w:sz w:val="24"/>
          <w:szCs w:val="24"/>
        </w:rPr>
        <w:t>Understøttende studier af nydiagnosticeret myelomatose</w:t>
      </w:r>
    </w:p>
    <w:p w:rsidR="00493BBA" w:rsidRPr="00493BBA" w:rsidRDefault="00493BBA" w:rsidP="00493BBA">
      <w:pPr>
        <w:suppressAutoHyphens/>
        <w:ind w:left="851"/>
        <w:rPr>
          <w:bCs/>
          <w:noProof/>
          <w:sz w:val="24"/>
          <w:szCs w:val="24"/>
        </w:rPr>
      </w:pPr>
      <w:r w:rsidRPr="00493BBA">
        <w:rPr>
          <w:bCs/>
          <w:noProof/>
          <w:sz w:val="24"/>
          <w:szCs w:val="24"/>
        </w:rPr>
        <w:t xml:space="preserve">Et open-label, randomiseret, fase III multicenterstudie (ECOG E4A03) blev udført hos 445 patienter med nydiagnosticeret myelomatose. 222 patienter blev randomiseret til armen med lenalidomid/lavdosis dexamethason, og 223 blev randomiseret til armen med lenalidomid/standarddosis dexamethason. Patienter randomiseret til armen med lenalidomid/standarddosis dexamethason fik lenalidomid 25 mg/dag, dag 1 til 21, cyklus på 28 dage plus dexamethason 40 mg/dag på dag 1 til 4, 9 til 12 og 17 til 20, cyklus på </w:t>
      </w:r>
      <w:r w:rsidRPr="00493BBA">
        <w:rPr>
          <w:bCs/>
          <w:noProof/>
          <w:sz w:val="24"/>
          <w:szCs w:val="24"/>
        </w:rPr>
        <w:lastRenderedPageBreak/>
        <w:t>28 dage i de første fire cyklusser. Patienter randomiseret til armen med lenalidomid/lavdosis dexamethason fik lenalidomid 25 mg/dag, dag 1 til 21, cyklus på 28 dage plus lavdosis dexamethason – 40 mg/dag på dag 1, 8, 15 og 22, cyklus på 28 dage. I gruppen med lenalidomid/lavdosis dexamethason gennemgik 20 patienter (9,1 %) mindst én dosisafbrydelse, sammenlignet med 65 patienter (29,3 %) i armen med lenalidomid/standarddosis dexamethason.</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 xml:space="preserve">I en </w:t>
      </w:r>
      <w:r w:rsidRPr="00493BBA">
        <w:rPr>
          <w:bCs/>
          <w:i/>
          <w:iCs/>
          <w:noProof/>
          <w:sz w:val="24"/>
          <w:szCs w:val="24"/>
        </w:rPr>
        <w:t>post-hoc</w:t>
      </w:r>
      <w:r w:rsidRPr="00493BBA">
        <w:rPr>
          <w:bCs/>
          <w:noProof/>
          <w:sz w:val="24"/>
          <w:szCs w:val="24"/>
        </w:rPr>
        <w:t>-analyse blev der observeret en lavere mortalitet i armen med lenalidomid/lavdosis dexamethason 6,8 % (15/220), sammenlignet med armen med lenalidomid/standarddosis dexamethason 19,3 % (43/223) i patientpopulation med nydiagnosticeret myelomatose, med en median opfølgning på op til 72,3 uger.</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Med en længere opfølgning har forskellen i samlet overlevelse, der favoriserer lenalidomid/lavdosis dexamethason, imidlertid en tendens til at falde.</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i/>
          <w:noProof/>
          <w:sz w:val="24"/>
          <w:szCs w:val="24"/>
        </w:rPr>
      </w:pPr>
      <w:r w:rsidRPr="00493BBA">
        <w:rPr>
          <w:bCs/>
          <w:i/>
          <w:noProof/>
          <w:sz w:val="24"/>
          <w:szCs w:val="24"/>
          <w:u w:val="single"/>
        </w:rPr>
        <w:t>Myelomatose med mindst én tidligere behandling</w:t>
      </w:r>
    </w:p>
    <w:p w:rsidR="00493BBA" w:rsidRPr="00493BBA" w:rsidRDefault="00493BBA" w:rsidP="00493BBA">
      <w:pPr>
        <w:suppressAutoHyphens/>
        <w:ind w:left="851"/>
        <w:rPr>
          <w:bCs/>
          <w:noProof/>
          <w:sz w:val="24"/>
          <w:szCs w:val="24"/>
        </w:rPr>
      </w:pPr>
      <w:r w:rsidRPr="00493BBA">
        <w:rPr>
          <w:bCs/>
          <w:noProof/>
          <w:sz w:val="24"/>
          <w:szCs w:val="24"/>
        </w:rPr>
        <w:t>Virkningen og sikkerheden af lenalidomid blev vurderet i to randomiserede, dobbeltblinde, placebo- og parallel-gruppe-kontrollerede, multicenter, fase III</w:t>
      </w:r>
      <w:r w:rsidRPr="00493BBA">
        <w:rPr>
          <w:bCs/>
          <w:noProof/>
          <w:sz w:val="24"/>
          <w:szCs w:val="24"/>
        </w:rPr>
        <w:noBreakHyphen/>
        <w:t>studier (MM-009 og MM-010). I disse studier blev behandling med lenalidomid plus dexamethason sammenlignet med behandling med dexamethason alene hos patienter med multipelt myelom, som tidligere havde fået behandling. Af de 353 patienter i MM-009- og MM-010-studierne, som fik lenalidomid/dexamethason, var 45,6 % i alderen 65 år og derover. Af de 704 patienter, som blev vurderet i MM-009- og MM-010-studierne, var 44,6 % i alderen 65 år og derover.</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I begge studier tog patienterne i lenalidomid/dexamethason-(len/dex)-gruppen 25 mg lenalidomid oralt, én gang dagligt på dag 1 til 21 og en tilsvarende placebokapsel én gang dagligt på dag 22 til 28 i hver 28</w:t>
      </w:r>
      <w:r w:rsidRPr="00493BBA">
        <w:rPr>
          <w:bCs/>
          <w:noProof/>
          <w:sz w:val="24"/>
          <w:szCs w:val="24"/>
        </w:rPr>
        <w:noBreakHyphen/>
        <w:t>dages cyklus. Patienter i placebo/dexamethason-(placebo/dex)-gruppen tog 1 placebokapsel på dag 1 til 28 i hver 28</w:t>
      </w:r>
      <w:r w:rsidRPr="00493BBA">
        <w:rPr>
          <w:bCs/>
          <w:noProof/>
          <w:sz w:val="24"/>
          <w:szCs w:val="24"/>
        </w:rPr>
        <w:noBreakHyphen/>
        <w:t>dages cyklus. Patienter i begge behandlingsgrupper tog 40 mg dexamethason oralt én gang dagligt på dag 1 til 4, 9 til 12 og 17 til 20 i hver 28-dages cyklus i de første 4 cyklusser af behandlingen. Dosis af dexamethason blev reduceret til 40 mg oralt, én gang dagligt på dag 1 til 4 i hver 28</w:t>
      </w:r>
      <w:r w:rsidRPr="00493BBA">
        <w:rPr>
          <w:bCs/>
          <w:noProof/>
          <w:sz w:val="24"/>
          <w:szCs w:val="24"/>
        </w:rPr>
        <w:noBreakHyphen/>
        <w:t>dages cyklus efter de første 4 cyklusser af behandlingen. I begge studier skulle behandlingen fortsætte indtil sygdomsprogression. I begge studier var dosisjusteringer baseret på kliniske og laboratoriemæssige parametre tilladt.</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Det primære endepunkt i begge studier var tid til progression (</w:t>
      </w:r>
      <w:r w:rsidRPr="00493BBA">
        <w:rPr>
          <w:bCs/>
          <w:i/>
          <w:iCs/>
          <w:noProof/>
          <w:sz w:val="24"/>
          <w:szCs w:val="24"/>
        </w:rPr>
        <w:t>Time To Progression</w:t>
      </w:r>
      <w:r w:rsidRPr="00493BBA">
        <w:rPr>
          <w:bCs/>
          <w:noProof/>
          <w:sz w:val="24"/>
          <w:szCs w:val="24"/>
        </w:rPr>
        <w:t>, TTP). I alt 353 patienter blev evalueret i MM-009</w:t>
      </w:r>
      <w:r w:rsidRPr="00493BBA">
        <w:rPr>
          <w:bCs/>
          <w:noProof/>
          <w:sz w:val="24"/>
          <w:szCs w:val="24"/>
        </w:rPr>
        <w:noBreakHyphen/>
        <w:t>studiet; heraf 177 i len/dex-gruppen og 176 i placebo/dex-gruppen. I alt 351 patienter blev evalueret i MM-010-studiet; heraf 176 i len/dex-gruppen og 175 i placebo/dex-gruppen.</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 xml:space="preserve">I begge studier blev </w:t>
      </w:r>
      <w:r w:rsidRPr="00493BBA">
        <w:rPr>
          <w:bCs/>
          <w:i/>
          <w:noProof/>
          <w:sz w:val="24"/>
          <w:szCs w:val="24"/>
        </w:rPr>
        <w:t>baseline</w:t>
      </w:r>
      <w:r w:rsidRPr="00493BBA">
        <w:rPr>
          <w:bCs/>
          <w:noProof/>
          <w:sz w:val="24"/>
          <w:szCs w:val="24"/>
        </w:rPr>
        <w:t>-demografiske og sygdomsrelaterede karakteristika sammenlignet mellem len/dex-og placebo/dex-grupperne. Begge patientpopulationer havde en gennemsnitsalder på 63 år, og der var lige fordeling mellem mænd og kvinder. ECOG-(</w:t>
      </w:r>
      <w:r w:rsidRPr="00493BBA">
        <w:rPr>
          <w:bCs/>
          <w:i/>
          <w:noProof/>
          <w:sz w:val="24"/>
          <w:szCs w:val="24"/>
        </w:rPr>
        <w:t>Eastern Cooperative Oncology Group</w:t>
      </w:r>
      <w:r w:rsidRPr="00493BBA">
        <w:rPr>
          <w:bCs/>
          <w:noProof/>
          <w:sz w:val="24"/>
          <w:szCs w:val="24"/>
        </w:rPr>
        <w:t>)-performance-status var næsten ens for begge grupper, hvilket også gjaldt for antallet og typen af tidligere behandlinger.</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 xml:space="preserve">Forud planlagte interrimanalyser af begge studier viste, at len/dex statistisk var væsentligt bedre (p&lt;0,00001) end dexamethason alene til at nå det primære endepunkt, TTP (median opfølgningsvarighed på 98,0 uger). Frekvenserne for fuldstændig respons og samlet respons i len/dex-armen var væsentligt højere end i placebo/dex-armen i begge studier. </w:t>
      </w:r>
      <w:r w:rsidRPr="00493BBA">
        <w:rPr>
          <w:bCs/>
          <w:noProof/>
          <w:sz w:val="24"/>
          <w:szCs w:val="24"/>
        </w:rPr>
        <w:lastRenderedPageBreak/>
        <w:t>Resultaterne fra disse analyser førte derefter til en afblinding i begge studier for at gøre det muligt for patienter i placebo/dex-gruppen at modtage behandling med len/dex-kombinationen.</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En udvidet opfølgningsanalyse af effekten blev gennemført med en median opfølgning på 130,7 uger. Tabel </w:t>
      </w:r>
      <w:r w:rsidR="00DF19D5">
        <w:rPr>
          <w:bCs/>
          <w:noProof/>
          <w:sz w:val="24"/>
          <w:szCs w:val="24"/>
        </w:rPr>
        <w:t>10</w:t>
      </w:r>
      <w:r w:rsidRPr="00493BBA">
        <w:rPr>
          <w:bCs/>
          <w:noProof/>
          <w:sz w:val="24"/>
          <w:szCs w:val="24"/>
        </w:rPr>
        <w:t xml:space="preserve"> giver en oversigt over de poolede resultater af opfølgningsanalyserne af effekten for MM-009- og MM-010-studierne.</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 xml:space="preserve">I denne poolede, forlængede opfølgningsanalyse var den mediane TTP 60,1 uger (95 % CI: 44,3; 73,1) hos de patienter, der fik behandling med len/dex (N = 353), mens gennemsnitstiden for TTP var 20,1 uger (95 % CI: 17,7; 20,3) i placebo/dex- patientgruppen (N = 351). Medianen for progressionsfri overlevelse var 48,1 uger (95 % CI: 36,4; 62,1) hos de patienter, der fik behandling med len/dex, mens den var på 20,0 uger (95 % CI: 16,1; 20,1) i placebo/dex-patientgruppen. Den mediane behandlingsvarighed var 44,0 uger (min: 0,1; max: 254,9) for len/dex og 23,1 uger (min: 0,3; max: 238,1) for placebo/dex. Frekvenserne for fuldstændig respons (CR, </w:t>
      </w:r>
      <w:r w:rsidRPr="00493BBA">
        <w:rPr>
          <w:bCs/>
          <w:i/>
          <w:noProof/>
          <w:sz w:val="24"/>
          <w:szCs w:val="24"/>
        </w:rPr>
        <w:t>Complete Response</w:t>
      </w:r>
      <w:r w:rsidRPr="00493BBA">
        <w:rPr>
          <w:bCs/>
          <w:noProof/>
          <w:sz w:val="24"/>
          <w:szCs w:val="24"/>
        </w:rPr>
        <w:t xml:space="preserve">), delvis respons (PR, </w:t>
      </w:r>
      <w:r w:rsidRPr="00493BBA">
        <w:rPr>
          <w:bCs/>
          <w:i/>
          <w:noProof/>
          <w:sz w:val="24"/>
          <w:szCs w:val="24"/>
        </w:rPr>
        <w:t>Partial Response</w:t>
      </w:r>
      <w:r w:rsidRPr="00493BBA">
        <w:rPr>
          <w:bCs/>
          <w:noProof/>
          <w:sz w:val="24"/>
          <w:szCs w:val="24"/>
        </w:rPr>
        <w:t xml:space="preserve">) og samlet respons (CR+PR) i len/dex-armen forbliver væsentligt højere end i placebo/dex-armen i begge studier. Den mediane samlede overlevelse i den forlængede opfølgningsanalyse af de poolede resultater er 164,3 uger (95 % CI: 145,1; 192,6) hos patienter behandlet med len/dex </w:t>
      </w:r>
      <w:r w:rsidRPr="00493BBA">
        <w:rPr>
          <w:bCs/>
          <w:i/>
          <w:noProof/>
          <w:sz w:val="24"/>
          <w:szCs w:val="24"/>
        </w:rPr>
        <w:t xml:space="preserve">versus </w:t>
      </w:r>
      <w:r w:rsidRPr="00493BBA">
        <w:rPr>
          <w:bCs/>
          <w:noProof/>
          <w:sz w:val="24"/>
          <w:szCs w:val="24"/>
        </w:rPr>
        <w:t>136,4 uger (95 % CI: 113,1; 161,7) hos patienter behandlet med placebo/dex. Selvom 170 ud af 351 patienter, som blev randomiseret til placebo/dex, fik behandling med lenalidomid, efter at sygdommen progredierede, eller efter at studierne var blevet afblindet, viste den poolede analyse af den samlede overlevelse en statistisk signifikant forbedret overlevelse for len/dex sammenlignet med placebo/dex (HR = 0,833, 95 % CI = [0,687; 1,009], p = 0,045).</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
          <w:bCs/>
          <w:noProof/>
          <w:sz w:val="24"/>
          <w:szCs w:val="24"/>
        </w:rPr>
      </w:pPr>
      <w:r w:rsidRPr="00493BBA">
        <w:rPr>
          <w:b/>
          <w:bCs/>
          <w:noProof/>
          <w:sz w:val="24"/>
          <w:szCs w:val="24"/>
        </w:rPr>
        <w:t>Tabel </w:t>
      </w:r>
      <w:r w:rsidR="00DF19D5">
        <w:rPr>
          <w:b/>
          <w:bCs/>
          <w:noProof/>
          <w:sz w:val="24"/>
          <w:szCs w:val="24"/>
        </w:rPr>
        <w:t>11</w:t>
      </w:r>
      <w:r w:rsidRPr="00493BBA">
        <w:rPr>
          <w:b/>
          <w:bCs/>
          <w:noProof/>
          <w:sz w:val="24"/>
          <w:szCs w:val="24"/>
        </w:rPr>
        <w:t>. Oversigt over resultater for effektanalyser på skæringsdatoen for den forlængede opfølgning – Poolede MM-009- og MM-010-studier (skæringsdatoer hhv. den 23. juli 2008 og 2. marts 2008)</w:t>
      </w:r>
    </w:p>
    <w:tbl>
      <w:tblPr>
        <w:tblW w:w="8925" w:type="dxa"/>
        <w:tblInd w:w="8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833"/>
        <w:gridCol w:w="1700"/>
        <w:gridCol w:w="1842"/>
        <w:gridCol w:w="2550"/>
      </w:tblGrid>
      <w:tr w:rsidR="00493BBA" w:rsidTr="00493BBA">
        <w:trPr>
          <w:trHeight w:val="505"/>
        </w:trPr>
        <w:tc>
          <w:tcPr>
            <w:tcW w:w="2833"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
                <w:bCs/>
                <w:noProof/>
                <w:szCs w:val="22"/>
              </w:rPr>
            </w:pPr>
            <w:r>
              <w:rPr>
                <w:b/>
                <w:bCs/>
                <w:noProof/>
                <w:szCs w:val="22"/>
              </w:rPr>
              <w:t>Endepunkt</w:t>
            </w:r>
          </w:p>
        </w:tc>
        <w:tc>
          <w:tcPr>
            <w:tcW w:w="170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
                <w:bCs/>
                <w:noProof/>
                <w:szCs w:val="22"/>
              </w:rPr>
            </w:pPr>
            <w:r>
              <w:rPr>
                <w:b/>
                <w:bCs/>
                <w:noProof/>
                <w:szCs w:val="22"/>
              </w:rPr>
              <w:t>len/dex</w:t>
            </w:r>
          </w:p>
          <w:p w:rsidR="00493BBA" w:rsidRDefault="00493BBA">
            <w:pPr>
              <w:suppressAutoHyphens/>
              <w:jc w:val="center"/>
              <w:rPr>
                <w:b/>
                <w:bCs/>
                <w:noProof/>
                <w:szCs w:val="22"/>
              </w:rPr>
            </w:pPr>
            <w:r>
              <w:rPr>
                <w:b/>
                <w:bCs/>
                <w:noProof/>
                <w:szCs w:val="22"/>
              </w:rPr>
              <w:t>(N = 353)</w:t>
            </w:r>
          </w:p>
        </w:tc>
        <w:tc>
          <w:tcPr>
            <w:tcW w:w="1842"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
                <w:bCs/>
                <w:noProof/>
                <w:szCs w:val="22"/>
              </w:rPr>
            </w:pPr>
            <w:r>
              <w:rPr>
                <w:b/>
                <w:bCs/>
                <w:noProof/>
                <w:szCs w:val="22"/>
              </w:rPr>
              <w:t>placebo/dex</w:t>
            </w:r>
          </w:p>
          <w:p w:rsidR="00493BBA" w:rsidRDefault="00493BBA">
            <w:pPr>
              <w:suppressAutoHyphens/>
              <w:jc w:val="center"/>
              <w:rPr>
                <w:b/>
                <w:bCs/>
                <w:noProof/>
                <w:szCs w:val="22"/>
              </w:rPr>
            </w:pPr>
            <w:r>
              <w:rPr>
                <w:b/>
                <w:bCs/>
                <w:noProof/>
                <w:szCs w:val="22"/>
              </w:rPr>
              <w:t>(N = 351)</w:t>
            </w:r>
          </w:p>
        </w:tc>
        <w:tc>
          <w:tcPr>
            <w:tcW w:w="2550" w:type="dxa"/>
            <w:tcBorders>
              <w:top w:val="single" w:sz="6" w:space="0" w:color="000000"/>
              <w:left w:val="single" w:sz="6" w:space="0" w:color="000000"/>
              <w:bottom w:val="single" w:sz="6" w:space="0" w:color="000000"/>
              <w:right w:val="single" w:sz="6" w:space="0" w:color="000000"/>
            </w:tcBorders>
          </w:tcPr>
          <w:p w:rsidR="00493BBA" w:rsidRDefault="00493BBA">
            <w:pPr>
              <w:suppressAutoHyphens/>
              <w:rPr>
                <w:bCs/>
                <w:noProof/>
                <w:szCs w:val="22"/>
              </w:rPr>
            </w:pPr>
          </w:p>
        </w:tc>
      </w:tr>
      <w:tr w:rsidR="00493BBA" w:rsidTr="00493BBA">
        <w:trPr>
          <w:trHeight w:val="376"/>
        </w:trPr>
        <w:tc>
          <w:tcPr>
            <w:tcW w:w="2833"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
                <w:bCs/>
                <w:noProof/>
                <w:szCs w:val="22"/>
              </w:rPr>
            </w:pPr>
            <w:r>
              <w:rPr>
                <w:b/>
                <w:bCs/>
                <w:noProof/>
                <w:szCs w:val="22"/>
              </w:rPr>
              <w:t>Tid til hændelse</w:t>
            </w:r>
          </w:p>
        </w:tc>
        <w:tc>
          <w:tcPr>
            <w:tcW w:w="1700" w:type="dxa"/>
            <w:tcBorders>
              <w:top w:val="single" w:sz="6" w:space="0" w:color="000000"/>
              <w:left w:val="single" w:sz="6" w:space="0" w:color="000000"/>
              <w:bottom w:val="single" w:sz="6" w:space="0" w:color="000000"/>
              <w:right w:val="single" w:sz="6" w:space="0" w:color="000000"/>
            </w:tcBorders>
          </w:tcPr>
          <w:p w:rsidR="00493BBA" w:rsidRDefault="00493BBA">
            <w:pPr>
              <w:suppressAutoHyphens/>
              <w:jc w:val="center"/>
              <w:rPr>
                <w:bCs/>
                <w:noProof/>
                <w:szCs w:val="22"/>
              </w:rPr>
            </w:pPr>
          </w:p>
        </w:tc>
        <w:tc>
          <w:tcPr>
            <w:tcW w:w="1842" w:type="dxa"/>
            <w:tcBorders>
              <w:top w:val="single" w:sz="6" w:space="0" w:color="000000"/>
              <w:left w:val="single" w:sz="6" w:space="0" w:color="000000"/>
              <w:bottom w:val="single" w:sz="6" w:space="0" w:color="000000"/>
              <w:right w:val="single" w:sz="6" w:space="0" w:color="000000"/>
            </w:tcBorders>
          </w:tcPr>
          <w:p w:rsidR="00493BBA" w:rsidRDefault="00493BBA">
            <w:pPr>
              <w:suppressAutoHyphens/>
              <w:jc w:val="center"/>
              <w:rPr>
                <w:bCs/>
                <w:noProof/>
                <w:szCs w:val="22"/>
              </w:rPr>
            </w:pPr>
          </w:p>
        </w:tc>
        <w:tc>
          <w:tcPr>
            <w:tcW w:w="255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
                <w:bCs/>
                <w:noProof/>
                <w:szCs w:val="22"/>
              </w:rPr>
            </w:pPr>
            <w:r>
              <w:rPr>
                <w:b/>
                <w:bCs/>
                <w:noProof/>
                <w:szCs w:val="22"/>
              </w:rPr>
              <w:t>HR, [95 % CI], p-værdi</w:t>
            </w:r>
            <w:r>
              <w:rPr>
                <w:b/>
                <w:bCs/>
                <w:noProof/>
                <w:szCs w:val="22"/>
                <w:vertAlign w:val="superscript"/>
              </w:rPr>
              <w:t>a</w:t>
            </w:r>
          </w:p>
        </w:tc>
      </w:tr>
      <w:tr w:rsidR="00493BBA" w:rsidTr="00493BBA">
        <w:trPr>
          <w:trHeight w:val="664"/>
        </w:trPr>
        <w:tc>
          <w:tcPr>
            <w:tcW w:w="2833"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Tid til progression</w:t>
            </w:r>
          </w:p>
          <w:p w:rsidR="00493BBA" w:rsidRDefault="00493BBA">
            <w:pPr>
              <w:suppressAutoHyphens/>
              <w:jc w:val="center"/>
              <w:rPr>
                <w:bCs/>
                <w:noProof/>
                <w:szCs w:val="22"/>
              </w:rPr>
            </w:pPr>
            <w:r>
              <w:rPr>
                <w:bCs/>
                <w:noProof/>
                <w:szCs w:val="22"/>
              </w:rPr>
              <w:t>Median [95 % CI], uger</w:t>
            </w:r>
          </w:p>
        </w:tc>
        <w:tc>
          <w:tcPr>
            <w:tcW w:w="170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60,1</w:t>
            </w:r>
          </w:p>
          <w:p w:rsidR="00493BBA" w:rsidRDefault="00493BBA">
            <w:pPr>
              <w:suppressAutoHyphens/>
              <w:jc w:val="center"/>
              <w:rPr>
                <w:bCs/>
                <w:noProof/>
                <w:szCs w:val="22"/>
              </w:rPr>
            </w:pPr>
            <w:r>
              <w:rPr>
                <w:bCs/>
                <w:noProof/>
                <w:szCs w:val="22"/>
              </w:rPr>
              <w:t>[44,3; 73,1]</w:t>
            </w:r>
          </w:p>
        </w:tc>
        <w:tc>
          <w:tcPr>
            <w:tcW w:w="1842"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20,1</w:t>
            </w:r>
          </w:p>
          <w:p w:rsidR="00493BBA" w:rsidRDefault="00493BBA">
            <w:pPr>
              <w:suppressAutoHyphens/>
              <w:jc w:val="center"/>
              <w:rPr>
                <w:bCs/>
                <w:noProof/>
                <w:szCs w:val="22"/>
              </w:rPr>
            </w:pPr>
            <w:r>
              <w:rPr>
                <w:bCs/>
                <w:noProof/>
                <w:szCs w:val="22"/>
              </w:rPr>
              <w:t>[17,7; 20,3]</w:t>
            </w:r>
          </w:p>
        </w:tc>
        <w:tc>
          <w:tcPr>
            <w:tcW w:w="255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0,350 [0,287; 0,426],</w:t>
            </w:r>
          </w:p>
          <w:p w:rsidR="00493BBA" w:rsidRDefault="00493BBA">
            <w:pPr>
              <w:suppressAutoHyphens/>
              <w:jc w:val="center"/>
              <w:rPr>
                <w:bCs/>
                <w:noProof/>
                <w:szCs w:val="22"/>
              </w:rPr>
            </w:pPr>
            <w:r>
              <w:rPr>
                <w:bCs/>
                <w:noProof/>
                <w:szCs w:val="22"/>
              </w:rPr>
              <w:t>p &lt;0,001</w:t>
            </w:r>
          </w:p>
        </w:tc>
      </w:tr>
      <w:tr w:rsidR="00493BBA" w:rsidTr="00493BBA">
        <w:trPr>
          <w:trHeight w:val="571"/>
        </w:trPr>
        <w:tc>
          <w:tcPr>
            <w:tcW w:w="2833"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Progressionsfri overlevelse</w:t>
            </w:r>
          </w:p>
          <w:p w:rsidR="00493BBA" w:rsidRDefault="00493BBA">
            <w:pPr>
              <w:suppressAutoHyphens/>
              <w:jc w:val="center"/>
              <w:rPr>
                <w:bCs/>
                <w:noProof/>
                <w:szCs w:val="22"/>
              </w:rPr>
            </w:pPr>
            <w:r>
              <w:rPr>
                <w:bCs/>
                <w:noProof/>
                <w:szCs w:val="22"/>
              </w:rPr>
              <w:t>Median [95 % CI], uger</w:t>
            </w:r>
          </w:p>
        </w:tc>
        <w:tc>
          <w:tcPr>
            <w:tcW w:w="170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48,1</w:t>
            </w:r>
          </w:p>
          <w:p w:rsidR="00493BBA" w:rsidRDefault="00493BBA">
            <w:pPr>
              <w:suppressAutoHyphens/>
              <w:jc w:val="center"/>
              <w:rPr>
                <w:bCs/>
                <w:noProof/>
                <w:szCs w:val="22"/>
              </w:rPr>
            </w:pPr>
            <w:r>
              <w:rPr>
                <w:bCs/>
                <w:noProof/>
                <w:szCs w:val="22"/>
              </w:rPr>
              <w:t>[36,4; 62,1]</w:t>
            </w:r>
          </w:p>
        </w:tc>
        <w:tc>
          <w:tcPr>
            <w:tcW w:w="1842"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20,0</w:t>
            </w:r>
          </w:p>
          <w:p w:rsidR="00493BBA" w:rsidRDefault="00493BBA">
            <w:pPr>
              <w:suppressAutoHyphens/>
              <w:jc w:val="center"/>
              <w:rPr>
                <w:bCs/>
                <w:noProof/>
                <w:szCs w:val="22"/>
              </w:rPr>
            </w:pPr>
            <w:r>
              <w:rPr>
                <w:bCs/>
                <w:noProof/>
                <w:szCs w:val="22"/>
              </w:rPr>
              <w:t>[16,1; 20,1]</w:t>
            </w:r>
          </w:p>
        </w:tc>
        <w:tc>
          <w:tcPr>
            <w:tcW w:w="255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0,393 [0,326; 0,473],</w:t>
            </w:r>
          </w:p>
          <w:p w:rsidR="00493BBA" w:rsidRDefault="00493BBA">
            <w:pPr>
              <w:suppressAutoHyphens/>
              <w:jc w:val="center"/>
              <w:rPr>
                <w:bCs/>
                <w:noProof/>
                <w:szCs w:val="22"/>
              </w:rPr>
            </w:pPr>
            <w:r>
              <w:rPr>
                <w:bCs/>
                <w:noProof/>
                <w:szCs w:val="22"/>
              </w:rPr>
              <w:t>p &lt;0,001</w:t>
            </w:r>
          </w:p>
        </w:tc>
      </w:tr>
      <w:tr w:rsidR="00493BBA" w:rsidTr="00493BBA">
        <w:trPr>
          <w:trHeight w:val="835"/>
        </w:trPr>
        <w:tc>
          <w:tcPr>
            <w:tcW w:w="2833"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Samlet overlevelse</w:t>
            </w:r>
          </w:p>
          <w:p w:rsidR="00493BBA" w:rsidRDefault="00493BBA">
            <w:pPr>
              <w:suppressAutoHyphens/>
              <w:jc w:val="center"/>
              <w:rPr>
                <w:bCs/>
                <w:noProof/>
                <w:szCs w:val="22"/>
              </w:rPr>
            </w:pPr>
            <w:r>
              <w:rPr>
                <w:bCs/>
                <w:noProof/>
                <w:szCs w:val="22"/>
              </w:rPr>
              <w:t>Median [95 % CI], uger</w:t>
            </w:r>
          </w:p>
          <w:p w:rsidR="00493BBA" w:rsidRDefault="00493BBA">
            <w:pPr>
              <w:suppressAutoHyphens/>
              <w:jc w:val="center"/>
              <w:rPr>
                <w:bCs/>
                <w:noProof/>
                <w:szCs w:val="22"/>
              </w:rPr>
            </w:pPr>
            <w:r>
              <w:rPr>
                <w:bCs/>
                <w:noProof/>
                <w:szCs w:val="22"/>
              </w:rPr>
              <w:t>1</w:t>
            </w:r>
            <w:r>
              <w:rPr>
                <w:bCs/>
                <w:noProof/>
                <w:szCs w:val="22"/>
              </w:rPr>
              <w:noBreakHyphen/>
              <w:t>års samlet overlevelse</w:t>
            </w:r>
          </w:p>
        </w:tc>
        <w:tc>
          <w:tcPr>
            <w:tcW w:w="170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164,3</w:t>
            </w:r>
          </w:p>
          <w:p w:rsidR="00493BBA" w:rsidRDefault="00493BBA">
            <w:pPr>
              <w:suppressAutoHyphens/>
              <w:jc w:val="center"/>
              <w:rPr>
                <w:bCs/>
                <w:noProof/>
                <w:szCs w:val="22"/>
              </w:rPr>
            </w:pPr>
            <w:r>
              <w:rPr>
                <w:bCs/>
                <w:noProof/>
                <w:szCs w:val="22"/>
              </w:rPr>
              <w:t>[145,1; 192,6]</w:t>
            </w:r>
          </w:p>
          <w:p w:rsidR="00493BBA" w:rsidRDefault="00493BBA">
            <w:pPr>
              <w:suppressAutoHyphens/>
              <w:jc w:val="center"/>
              <w:rPr>
                <w:bCs/>
                <w:noProof/>
                <w:szCs w:val="22"/>
              </w:rPr>
            </w:pPr>
            <w:r>
              <w:rPr>
                <w:bCs/>
                <w:noProof/>
                <w:szCs w:val="22"/>
              </w:rPr>
              <w:t>82 %</w:t>
            </w:r>
          </w:p>
        </w:tc>
        <w:tc>
          <w:tcPr>
            <w:tcW w:w="1842"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136,4</w:t>
            </w:r>
          </w:p>
          <w:p w:rsidR="00493BBA" w:rsidRDefault="00493BBA">
            <w:pPr>
              <w:suppressAutoHyphens/>
              <w:jc w:val="center"/>
              <w:rPr>
                <w:bCs/>
                <w:noProof/>
                <w:szCs w:val="22"/>
              </w:rPr>
            </w:pPr>
            <w:r>
              <w:rPr>
                <w:bCs/>
                <w:noProof/>
                <w:szCs w:val="22"/>
              </w:rPr>
              <w:t>[113,1; 161,7]</w:t>
            </w:r>
          </w:p>
          <w:p w:rsidR="00493BBA" w:rsidRDefault="00493BBA">
            <w:pPr>
              <w:suppressAutoHyphens/>
              <w:jc w:val="center"/>
              <w:rPr>
                <w:bCs/>
                <w:noProof/>
                <w:szCs w:val="22"/>
              </w:rPr>
            </w:pPr>
            <w:r>
              <w:rPr>
                <w:bCs/>
                <w:noProof/>
                <w:szCs w:val="22"/>
              </w:rPr>
              <w:t>75 %</w:t>
            </w:r>
          </w:p>
        </w:tc>
        <w:tc>
          <w:tcPr>
            <w:tcW w:w="255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0,833 [0,687; 1,009],</w:t>
            </w:r>
          </w:p>
          <w:p w:rsidR="00493BBA" w:rsidRDefault="00493BBA">
            <w:pPr>
              <w:suppressAutoHyphens/>
              <w:jc w:val="center"/>
              <w:rPr>
                <w:bCs/>
                <w:noProof/>
                <w:szCs w:val="22"/>
              </w:rPr>
            </w:pPr>
            <w:r>
              <w:rPr>
                <w:bCs/>
                <w:noProof/>
                <w:szCs w:val="22"/>
              </w:rPr>
              <w:t>p = 0,045</w:t>
            </w:r>
          </w:p>
        </w:tc>
      </w:tr>
      <w:tr w:rsidR="00493BBA" w:rsidTr="00493BBA">
        <w:trPr>
          <w:trHeight w:val="551"/>
        </w:trPr>
        <w:tc>
          <w:tcPr>
            <w:tcW w:w="2833"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
                <w:bCs/>
                <w:noProof/>
                <w:szCs w:val="22"/>
              </w:rPr>
            </w:pPr>
            <w:r>
              <w:rPr>
                <w:b/>
                <w:bCs/>
                <w:noProof/>
                <w:szCs w:val="22"/>
              </w:rPr>
              <w:t>Responsfrekvens</w:t>
            </w:r>
          </w:p>
        </w:tc>
        <w:tc>
          <w:tcPr>
            <w:tcW w:w="1700" w:type="dxa"/>
            <w:tcBorders>
              <w:top w:val="single" w:sz="6" w:space="0" w:color="000000"/>
              <w:left w:val="single" w:sz="6" w:space="0" w:color="000000"/>
              <w:bottom w:val="single" w:sz="6" w:space="0" w:color="000000"/>
              <w:right w:val="single" w:sz="6" w:space="0" w:color="000000"/>
            </w:tcBorders>
          </w:tcPr>
          <w:p w:rsidR="00493BBA" w:rsidRDefault="00493BBA">
            <w:pPr>
              <w:suppressAutoHyphens/>
              <w:jc w:val="center"/>
              <w:rPr>
                <w:bCs/>
                <w:noProof/>
                <w:szCs w:val="22"/>
              </w:rPr>
            </w:pPr>
          </w:p>
        </w:tc>
        <w:tc>
          <w:tcPr>
            <w:tcW w:w="1842" w:type="dxa"/>
            <w:tcBorders>
              <w:top w:val="single" w:sz="6" w:space="0" w:color="000000"/>
              <w:left w:val="single" w:sz="6" w:space="0" w:color="000000"/>
              <w:bottom w:val="single" w:sz="6" w:space="0" w:color="000000"/>
              <w:right w:val="single" w:sz="6" w:space="0" w:color="000000"/>
            </w:tcBorders>
          </w:tcPr>
          <w:p w:rsidR="00493BBA" w:rsidRDefault="00493BBA">
            <w:pPr>
              <w:suppressAutoHyphens/>
              <w:jc w:val="center"/>
              <w:rPr>
                <w:bCs/>
                <w:noProof/>
                <w:szCs w:val="22"/>
              </w:rPr>
            </w:pPr>
          </w:p>
        </w:tc>
        <w:tc>
          <w:tcPr>
            <w:tcW w:w="255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
                <w:bCs/>
                <w:noProof/>
                <w:szCs w:val="22"/>
              </w:rPr>
            </w:pPr>
            <w:r>
              <w:rPr>
                <w:b/>
                <w:bCs/>
                <w:noProof/>
                <w:szCs w:val="22"/>
              </w:rPr>
              <w:t>Odds ratio</w:t>
            </w:r>
          </w:p>
          <w:p w:rsidR="00493BBA" w:rsidRDefault="00493BBA">
            <w:pPr>
              <w:suppressAutoHyphens/>
              <w:jc w:val="center"/>
              <w:rPr>
                <w:b/>
                <w:bCs/>
                <w:noProof/>
                <w:szCs w:val="22"/>
              </w:rPr>
            </w:pPr>
            <w:r>
              <w:rPr>
                <w:b/>
                <w:bCs/>
                <w:noProof/>
                <w:szCs w:val="22"/>
              </w:rPr>
              <w:t>[95 % CI], p-værdi</w:t>
            </w:r>
            <w:r>
              <w:rPr>
                <w:b/>
                <w:bCs/>
                <w:noProof/>
                <w:szCs w:val="22"/>
                <w:vertAlign w:val="superscript"/>
              </w:rPr>
              <w:t>b</w:t>
            </w:r>
          </w:p>
        </w:tc>
      </w:tr>
      <w:tr w:rsidR="00493BBA" w:rsidTr="00493BBA">
        <w:trPr>
          <w:trHeight w:val="1113"/>
        </w:trPr>
        <w:tc>
          <w:tcPr>
            <w:tcW w:w="2833" w:type="dxa"/>
            <w:tcBorders>
              <w:top w:val="single" w:sz="6" w:space="0" w:color="000000"/>
              <w:left w:val="single" w:sz="6" w:space="0" w:color="000000"/>
              <w:bottom w:val="single" w:sz="6" w:space="0" w:color="000000"/>
              <w:right w:val="single" w:sz="6" w:space="0" w:color="000000"/>
            </w:tcBorders>
          </w:tcPr>
          <w:p w:rsidR="00493BBA" w:rsidRDefault="00493BBA">
            <w:pPr>
              <w:suppressAutoHyphens/>
              <w:jc w:val="center"/>
              <w:rPr>
                <w:bCs/>
                <w:noProof/>
                <w:szCs w:val="22"/>
              </w:rPr>
            </w:pPr>
            <w:r>
              <w:rPr>
                <w:bCs/>
                <w:noProof/>
                <w:szCs w:val="22"/>
              </w:rPr>
              <w:t>Samlet respons [N, %]</w:t>
            </w:r>
          </w:p>
          <w:p w:rsidR="00493BBA" w:rsidRDefault="00493BBA">
            <w:pPr>
              <w:suppressAutoHyphens/>
              <w:jc w:val="center"/>
              <w:rPr>
                <w:bCs/>
                <w:noProof/>
                <w:szCs w:val="22"/>
              </w:rPr>
            </w:pPr>
          </w:p>
          <w:p w:rsidR="00493BBA" w:rsidRDefault="00493BBA">
            <w:pPr>
              <w:suppressAutoHyphens/>
              <w:jc w:val="center"/>
              <w:rPr>
                <w:bCs/>
                <w:noProof/>
                <w:szCs w:val="22"/>
              </w:rPr>
            </w:pPr>
            <w:r>
              <w:rPr>
                <w:bCs/>
                <w:noProof/>
                <w:szCs w:val="22"/>
              </w:rPr>
              <w:t>Fuldstændig respons [N, %]</w:t>
            </w:r>
          </w:p>
        </w:tc>
        <w:tc>
          <w:tcPr>
            <w:tcW w:w="1700" w:type="dxa"/>
            <w:tcBorders>
              <w:top w:val="single" w:sz="6" w:space="0" w:color="000000"/>
              <w:left w:val="single" w:sz="6" w:space="0" w:color="000000"/>
              <w:bottom w:val="single" w:sz="6" w:space="0" w:color="000000"/>
              <w:right w:val="single" w:sz="6" w:space="0" w:color="000000"/>
            </w:tcBorders>
          </w:tcPr>
          <w:p w:rsidR="00493BBA" w:rsidRDefault="00493BBA">
            <w:pPr>
              <w:suppressAutoHyphens/>
              <w:jc w:val="center"/>
              <w:rPr>
                <w:bCs/>
                <w:noProof/>
                <w:szCs w:val="22"/>
              </w:rPr>
            </w:pPr>
            <w:r>
              <w:rPr>
                <w:bCs/>
                <w:noProof/>
                <w:szCs w:val="22"/>
              </w:rPr>
              <w:t>212 (60,1)</w:t>
            </w:r>
          </w:p>
          <w:p w:rsidR="00493BBA" w:rsidRDefault="00493BBA">
            <w:pPr>
              <w:suppressAutoHyphens/>
              <w:jc w:val="center"/>
              <w:rPr>
                <w:bCs/>
                <w:noProof/>
                <w:szCs w:val="22"/>
              </w:rPr>
            </w:pPr>
          </w:p>
          <w:p w:rsidR="00493BBA" w:rsidRDefault="00493BBA">
            <w:pPr>
              <w:suppressAutoHyphens/>
              <w:jc w:val="center"/>
              <w:rPr>
                <w:bCs/>
                <w:noProof/>
                <w:szCs w:val="22"/>
              </w:rPr>
            </w:pPr>
            <w:r>
              <w:rPr>
                <w:bCs/>
                <w:noProof/>
                <w:szCs w:val="22"/>
              </w:rPr>
              <w:t>58 (16,4)</w:t>
            </w:r>
          </w:p>
        </w:tc>
        <w:tc>
          <w:tcPr>
            <w:tcW w:w="1842" w:type="dxa"/>
            <w:tcBorders>
              <w:top w:val="single" w:sz="6" w:space="0" w:color="000000"/>
              <w:left w:val="single" w:sz="6" w:space="0" w:color="000000"/>
              <w:bottom w:val="single" w:sz="6" w:space="0" w:color="000000"/>
              <w:right w:val="single" w:sz="6" w:space="0" w:color="000000"/>
            </w:tcBorders>
          </w:tcPr>
          <w:p w:rsidR="00493BBA" w:rsidRDefault="00493BBA">
            <w:pPr>
              <w:suppressAutoHyphens/>
              <w:jc w:val="center"/>
              <w:rPr>
                <w:bCs/>
                <w:noProof/>
                <w:szCs w:val="22"/>
              </w:rPr>
            </w:pPr>
            <w:r>
              <w:rPr>
                <w:bCs/>
                <w:noProof/>
                <w:szCs w:val="22"/>
              </w:rPr>
              <w:t>75 (21,4)</w:t>
            </w:r>
          </w:p>
          <w:p w:rsidR="00493BBA" w:rsidRDefault="00493BBA">
            <w:pPr>
              <w:suppressAutoHyphens/>
              <w:jc w:val="center"/>
              <w:rPr>
                <w:bCs/>
                <w:noProof/>
                <w:szCs w:val="22"/>
              </w:rPr>
            </w:pPr>
          </w:p>
          <w:p w:rsidR="00493BBA" w:rsidRDefault="00493BBA">
            <w:pPr>
              <w:suppressAutoHyphens/>
              <w:jc w:val="center"/>
              <w:rPr>
                <w:bCs/>
                <w:noProof/>
                <w:szCs w:val="22"/>
              </w:rPr>
            </w:pPr>
            <w:r>
              <w:rPr>
                <w:bCs/>
                <w:noProof/>
                <w:szCs w:val="22"/>
              </w:rPr>
              <w:t>11 (3,1)</w:t>
            </w:r>
          </w:p>
        </w:tc>
        <w:tc>
          <w:tcPr>
            <w:tcW w:w="2550" w:type="dxa"/>
            <w:tcBorders>
              <w:top w:val="single" w:sz="6" w:space="0" w:color="000000"/>
              <w:left w:val="single" w:sz="6" w:space="0" w:color="000000"/>
              <w:bottom w:val="single" w:sz="6" w:space="0" w:color="000000"/>
              <w:right w:val="single" w:sz="6" w:space="0" w:color="000000"/>
            </w:tcBorders>
            <w:hideMark/>
          </w:tcPr>
          <w:p w:rsidR="00493BBA" w:rsidRDefault="00493BBA">
            <w:pPr>
              <w:suppressAutoHyphens/>
              <w:jc w:val="center"/>
              <w:rPr>
                <w:bCs/>
                <w:noProof/>
                <w:szCs w:val="22"/>
              </w:rPr>
            </w:pPr>
            <w:r>
              <w:rPr>
                <w:bCs/>
                <w:noProof/>
                <w:szCs w:val="22"/>
              </w:rPr>
              <w:t>5,53 [3,97; 7,71],</w:t>
            </w:r>
          </w:p>
          <w:p w:rsidR="00493BBA" w:rsidRDefault="00493BBA">
            <w:pPr>
              <w:suppressAutoHyphens/>
              <w:jc w:val="center"/>
              <w:rPr>
                <w:bCs/>
                <w:noProof/>
                <w:szCs w:val="22"/>
              </w:rPr>
            </w:pPr>
            <w:r>
              <w:rPr>
                <w:bCs/>
                <w:noProof/>
                <w:szCs w:val="22"/>
              </w:rPr>
              <w:t>p &lt;0,001</w:t>
            </w:r>
          </w:p>
          <w:p w:rsidR="00493BBA" w:rsidRDefault="00493BBA">
            <w:pPr>
              <w:suppressAutoHyphens/>
              <w:jc w:val="center"/>
              <w:rPr>
                <w:bCs/>
                <w:noProof/>
                <w:szCs w:val="22"/>
              </w:rPr>
            </w:pPr>
            <w:r>
              <w:rPr>
                <w:bCs/>
                <w:noProof/>
                <w:szCs w:val="22"/>
              </w:rPr>
              <w:t>6,08 [3,13; 11,80],</w:t>
            </w:r>
          </w:p>
          <w:p w:rsidR="00493BBA" w:rsidRDefault="00493BBA">
            <w:pPr>
              <w:suppressAutoHyphens/>
              <w:jc w:val="center"/>
              <w:rPr>
                <w:bCs/>
                <w:noProof/>
                <w:szCs w:val="22"/>
              </w:rPr>
            </w:pPr>
            <w:r>
              <w:rPr>
                <w:bCs/>
                <w:noProof/>
                <w:szCs w:val="22"/>
              </w:rPr>
              <w:t>p &lt;0,001</w:t>
            </w:r>
          </w:p>
        </w:tc>
      </w:tr>
    </w:tbl>
    <w:p w:rsidR="00493BBA" w:rsidRDefault="00493BBA" w:rsidP="00493BBA">
      <w:pPr>
        <w:suppressAutoHyphens/>
        <w:ind w:left="851"/>
        <w:rPr>
          <w:bCs/>
          <w:noProof/>
          <w:sz w:val="16"/>
          <w:szCs w:val="16"/>
        </w:rPr>
      </w:pPr>
      <w:r>
        <w:rPr>
          <w:bCs/>
          <w:i/>
          <w:iCs/>
          <w:noProof/>
          <w:sz w:val="16"/>
          <w:szCs w:val="16"/>
          <w:vertAlign w:val="superscript"/>
        </w:rPr>
        <w:t>a</w:t>
      </w:r>
      <w:r>
        <w:rPr>
          <w:bCs/>
          <w:i/>
          <w:iCs/>
          <w:noProof/>
          <w:sz w:val="16"/>
          <w:szCs w:val="16"/>
        </w:rPr>
        <w:t>Two-tailed log rank test</w:t>
      </w:r>
      <w:r>
        <w:rPr>
          <w:bCs/>
          <w:noProof/>
          <w:sz w:val="16"/>
          <w:szCs w:val="16"/>
        </w:rPr>
        <w:t xml:space="preserve"> med sammenligning af overlevelseskurverne mellem behandlingsgrupperne.</w:t>
      </w:r>
    </w:p>
    <w:p w:rsidR="00493BBA" w:rsidRDefault="00493BBA" w:rsidP="00493BBA">
      <w:pPr>
        <w:suppressAutoHyphens/>
        <w:ind w:left="851"/>
        <w:rPr>
          <w:bCs/>
          <w:noProof/>
          <w:sz w:val="16"/>
          <w:szCs w:val="16"/>
        </w:rPr>
      </w:pPr>
      <w:r>
        <w:rPr>
          <w:bCs/>
          <w:noProof/>
          <w:sz w:val="16"/>
          <w:szCs w:val="16"/>
          <w:vertAlign w:val="superscript"/>
        </w:rPr>
        <w:t>b</w:t>
      </w:r>
      <w:r>
        <w:rPr>
          <w:bCs/>
          <w:i/>
          <w:iCs/>
          <w:noProof/>
          <w:sz w:val="16"/>
          <w:szCs w:val="16"/>
        </w:rPr>
        <w:t xml:space="preserve">Two-tailed </w:t>
      </w:r>
      <w:r>
        <w:rPr>
          <w:bCs/>
          <w:noProof/>
          <w:sz w:val="16"/>
          <w:szCs w:val="16"/>
        </w:rPr>
        <w:t>kontinuitetskorrigeret chi i anden test.</w:t>
      </w:r>
    </w:p>
    <w:p w:rsidR="00493BBA" w:rsidRDefault="00493BBA" w:rsidP="00493BBA">
      <w:pPr>
        <w:suppressAutoHyphens/>
        <w:ind w:left="851"/>
        <w:rPr>
          <w:bCs/>
          <w:noProof/>
          <w:sz w:val="22"/>
          <w:szCs w:val="22"/>
        </w:rPr>
      </w:pPr>
    </w:p>
    <w:p w:rsidR="00DF19D5" w:rsidRPr="005524AB" w:rsidRDefault="00DF19D5" w:rsidP="00F15870">
      <w:pPr>
        <w:keepNext/>
        <w:autoSpaceDE w:val="0"/>
        <w:autoSpaceDN w:val="0"/>
        <w:adjustRightInd w:val="0"/>
        <w:ind w:left="850"/>
        <w:rPr>
          <w:i/>
          <w:iCs/>
          <w:sz w:val="24"/>
          <w:szCs w:val="24"/>
          <w:lang w:eastAsia="da-DK"/>
        </w:rPr>
      </w:pPr>
      <w:r w:rsidRPr="005524AB">
        <w:rPr>
          <w:i/>
          <w:iCs/>
          <w:sz w:val="24"/>
          <w:szCs w:val="24"/>
          <w:lang w:eastAsia="da-DK"/>
        </w:rPr>
        <w:lastRenderedPageBreak/>
        <w:t>Myelodysplastisk syndrom</w:t>
      </w: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Lenalidomids sikkerhed og virkning blev evalueret hos patienter med transfusionsafhængig anæmi,</w:t>
      </w:r>
      <w:r>
        <w:rPr>
          <w:sz w:val="24"/>
          <w:szCs w:val="24"/>
          <w:lang w:eastAsia="da-DK"/>
        </w:rPr>
        <w:t xml:space="preserve"> </w:t>
      </w:r>
      <w:r w:rsidRPr="005524AB">
        <w:rPr>
          <w:sz w:val="24"/>
          <w:szCs w:val="24"/>
          <w:lang w:eastAsia="da-DK"/>
        </w:rPr>
        <w:t>der skyldes lav- eller intermediær 1-risiko myelodysplastisk syndrom med en deletion 5q cytogenisk</w:t>
      </w:r>
      <w:r>
        <w:rPr>
          <w:sz w:val="24"/>
          <w:szCs w:val="24"/>
          <w:lang w:eastAsia="da-DK"/>
        </w:rPr>
        <w:t xml:space="preserve"> </w:t>
      </w:r>
      <w:r w:rsidRPr="005524AB">
        <w:rPr>
          <w:sz w:val="24"/>
          <w:szCs w:val="24"/>
          <w:lang w:eastAsia="da-DK"/>
        </w:rPr>
        <w:t>anomali, med eller uden yderligere cytogeniske anomalier i to primære studier: et multicenter,</w:t>
      </w:r>
      <w:r>
        <w:rPr>
          <w:sz w:val="24"/>
          <w:szCs w:val="24"/>
          <w:lang w:eastAsia="da-DK"/>
        </w:rPr>
        <w:t xml:space="preserve"> </w:t>
      </w:r>
      <w:r w:rsidRPr="005524AB">
        <w:rPr>
          <w:sz w:val="24"/>
          <w:szCs w:val="24"/>
          <w:lang w:eastAsia="da-DK"/>
        </w:rPr>
        <w:t>randomiseret, dobbeltblindt, placebokontrolleret 3-arms fase 3-studie af to doser af oral lenalidomid</w:t>
      </w:r>
      <w:r>
        <w:rPr>
          <w:sz w:val="24"/>
          <w:szCs w:val="24"/>
          <w:lang w:eastAsia="da-DK"/>
        </w:rPr>
        <w:t xml:space="preserve"> </w:t>
      </w:r>
      <w:r w:rsidRPr="005524AB">
        <w:rPr>
          <w:sz w:val="24"/>
          <w:szCs w:val="24"/>
          <w:lang w:eastAsia="da-DK"/>
        </w:rPr>
        <w:t xml:space="preserve">(10 mg og 5 mg) </w:t>
      </w:r>
      <w:r w:rsidRPr="005524AB">
        <w:rPr>
          <w:i/>
          <w:iCs/>
          <w:sz w:val="24"/>
          <w:szCs w:val="24"/>
          <w:lang w:eastAsia="da-DK"/>
        </w:rPr>
        <w:t xml:space="preserve">versus </w:t>
      </w:r>
      <w:r w:rsidRPr="005524AB">
        <w:rPr>
          <w:sz w:val="24"/>
          <w:szCs w:val="24"/>
          <w:lang w:eastAsia="da-DK"/>
        </w:rPr>
        <w:t>placebo (MDS-004) og et multicenter, enkeltarms, open-label fase 2-studie af</w:t>
      </w:r>
      <w:r>
        <w:rPr>
          <w:sz w:val="24"/>
          <w:szCs w:val="24"/>
          <w:lang w:eastAsia="da-DK"/>
        </w:rPr>
        <w:t xml:space="preserve"> </w:t>
      </w:r>
      <w:r w:rsidRPr="005524AB">
        <w:rPr>
          <w:sz w:val="24"/>
          <w:szCs w:val="24"/>
          <w:lang w:eastAsia="da-DK"/>
        </w:rPr>
        <w:t>lenalidomid (10 mg) (MDS-003).</w:t>
      </w:r>
    </w:p>
    <w:p w:rsidR="00DF19D5" w:rsidRDefault="00DF19D5" w:rsidP="00DF19D5">
      <w:pPr>
        <w:autoSpaceDE w:val="0"/>
        <w:autoSpaceDN w:val="0"/>
        <w:adjustRightInd w:val="0"/>
        <w:ind w:left="850"/>
        <w:rPr>
          <w:sz w:val="24"/>
          <w:szCs w:val="24"/>
          <w:lang w:eastAsia="da-DK"/>
        </w:rPr>
      </w:pPr>
    </w:p>
    <w:p w:rsidR="00DF19D5" w:rsidRDefault="00DF19D5" w:rsidP="00DF19D5">
      <w:pPr>
        <w:autoSpaceDE w:val="0"/>
        <w:autoSpaceDN w:val="0"/>
        <w:adjustRightInd w:val="0"/>
        <w:ind w:left="850"/>
        <w:rPr>
          <w:sz w:val="24"/>
          <w:szCs w:val="24"/>
          <w:lang w:eastAsia="da-DK"/>
        </w:rPr>
      </w:pPr>
      <w:r w:rsidRPr="005524AB">
        <w:rPr>
          <w:sz w:val="24"/>
          <w:szCs w:val="24"/>
          <w:lang w:eastAsia="da-DK"/>
        </w:rPr>
        <w:t xml:space="preserve">Resultaterne nedenfor repræsenterer </w:t>
      </w:r>
      <w:r w:rsidRPr="005524AB">
        <w:rPr>
          <w:i/>
          <w:iCs/>
          <w:sz w:val="24"/>
          <w:szCs w:val="24"/>
          <w:lang w:eastAsia="da-DK"/>
        </w:rPr>
        <w:t>intention-to-treat</w:t>
      </w:r>
      <w:r w:rsidRPr="005524AB">
        <w:rPr>
          <w:sz w:val="24"/>
          <w:szCs w:val="24"/>
          <w:lang w:eastAsia="da-DK"/>
        </w:rPr>
        <w:t>-populationen i MDS-003 og MDS-004, og</w:t>
      </w:r>
      <w:r>
        <w:rPr>
          <w:sz w:val="24"/>
          <w:szCs w:val="24"/>
          <w:lang w:eastAsia="da-DK"/>
        </w:rPr>
        <w:t xml:space="preserve"> </w:t>
      </w:r>
      <w:r w:rsidRPr="005524AB">
        <w:rPr>
          <w:sz w:val="24"/>
          <w:szCs w:val="24"/>
          <w:lang w:eastAsia="da-DK"/>
        </w:rPr>
        <w:t>resultaterne for den isolerede Del (5q)-delpopulation er også vist separat.</w:t>
      </w:r>
      <w:r>
        <w:rPr>
          <w:sz w:val="24"/>
          <w:szCs w:val="24"/>
          <w:lang w:eastAsia="da-DK"/>
        </w:rPr>
        <w:t xml:space="preserve"> </w:t>
      </w:r>
    </w:p>
    <w:p w:rsidR="00DF19D5" w:rsidRDefault="00DF19D5" w:rsidP="00DF19D5">
      <w:pPr>
        <w:autoSpaceDE w:val="0"/>
        <w:autoSpaceDN w:val="0"/>
        <w:adjustRightInd w:val="0"/>
        <w:ind w:left="850"/>
        <w:rPr>
          <w:sz w:val="24"/>
          <w:szCs w:val="24"/>
          <w:lang w:eastAsia="da-DK"/>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I studie MDS-004, hvor 205 patienter blev randomiseret ligeligt til at få enten lenalidomid 10 mg, 5</w:t>
      </w:r>
      <w:r>
        <w:rPr>
          <w:sz w:val="24"/>
          <w:szCs w:val="24"/>
          <w:lang w:eastAsia="da-DK"/>
        </w:rPr>
        <w:t xml:space="preserve"> </w:t>
      </w:r>
      <w:r w:rsidRPr="005524AB">
        <w:rPr>
          <w:sz w:val="24"/>
          <w:szCs w:val="24"/>
          <w:lang w:eastAsia="da-DK"/>
        </w:rPr>
        <w:t>mg eller placebo, bestod den primære effektanalyse af en sammenligning af de</w:t>
      </w:r>
      <w:r>
        <w:rPr>
          <w:sz w:val="24"/>
          <w:szCs w:val="24"/>
          <w:lang w:eastAsia="da-DK"/>
        </w:rPr>
        <w:t xml:space="preserve"> </w:t>
      </w:r>
      <w:r w:rsidRPr="005524AB">
        <w:rPr>
          <w:sz w:val="24"/>
          <w:szCs w:val="24"/>
          <w:lang w:eastAsia="da-DK"/>
        </w:rPr>
        <w:t xml:space="preserve">transfusionsuafhængige responsrater af armene med 10 mg og 5 mg lenalidomid </w:t>
      </w:r>
      <w:r w:rsidRPr="005524AB">
        <w:rPr>
          <w:i/>
          <w:iCs/>
          <w:sz w:val="24"/>
          <w:szCs w:val="24"/>
          <w:lang w:eastAsia="da-DK"/>
        </w:rPr>
        <w:t xml:space="preserve">versus </w:t>
      </w:r>
      <w:r w:rsidRPr="005524AB">
        <w:rPr>
          <w:sz w:val="24"/>
          <w:szCs w:val="24"/>
          <w:lang w:eastAsia="da-DK"/>
        </w:rPr>
        <w:t>placeboarmen</w:t>
      </w:r>
      <w:r>
        <w:rPr>
          <w:sz w:val="24"/>
          <w:szCs w:val="24"/>
          <w:lang w:eastAsia="da-DK"/>
        </w:rPr>
        <w:t xml:space="preserve"> </w:t>
      </w:r>
      <w:r w:rsidRPr="005524AB">
        <w:rPr>
          <w:sz w:val="24"/>
          <w:szCs w:val="24"/>
          <w:lang w:eastAsia="da-DK"/>
        </w:rPr>
        <w:t>(dobbeltblindet fase 16 til 52 uger og open-label op til i alt 156 uger). Patienterne, som ikke havde</w:t>
      </w:r>
      <w:r>
        <w:rPr>
          <w:sz w:val="24"/>
          <w:szCs w:val="24"/>
          <w:lang w:eastAsia="da-DK"/>
        </w:rPr>
        <w:t xml:space="preserve"> </w:t>
      </w:r>
      <w:r w:rsidRPr="005524AB">
        <w:rPr>
          <w:sz w:val="24"/>
          <w:szCs w:val="24"/>
          <w:lang w:eastAsia="da-DK"/>
        </w:rPr>
        <w:t>evidens for mindst et mindre erytroid respons efter 16 uger, ville få stoppet behandlingen</w:t>
      </w:r>
      <w:r>
        <w:rPr>
          <w:sz w:val="24"/>
          <w:szCs w:val="24"/>
          <w:lang w:eastAsia="da-DK"/>
        </w:rPr>
        <w:t>.</w:t>
      </w:r>
      <w:r w:rsidRPr="005524AB">
        <w:rPr>
          <w:sz w:val="24"/>
          <w:szCs w:val="24"/>
          <w:lang w:eastAsia="da-DK"/>
        </w:rPr>
        <w:t xml:space="preserve"> </w:t>
      </w:r>
      <w:r>
        <w:rPr>
          <w:sz w:val="24"/>
          <w:szCs w:val="24"/>
          <w:lang w:eastAsia="da-DK"/>
        </w:rPr>
        <w:t>P</w:t>
      </w:r>
      <w:r w:rsidRPr="005524AB">
        <w:rPr>
          <w:sz w:val="24"/>
          <w:szCs w:val="24"/>
          <w:lang w:eastAsia="da-DK"/>
        </w:rPr>
        <w:t>atienter,</w:t>
      </w:r>
      <w:r>
        <w:rPr>
          <w:sz w:val="24"/>
          <w:szCs w:val="24"/>
          <w:lang w:eastAsia="da-DK"/>
        </w:rPr>
        <w:t xml:space="preserve"> </w:t>
      </w:r>
      <w:r w:rsidRPr="005524AB">
        <w:rPr>
          <w:sz w:val="24"/>
          <w:szCs w:val="24"/>
          <w:lang w:eastAsia="da-DK"/>
        </w:rPr>
        <w:t>som havde evidens for mindst et mindre erytroid respons, kunne fortsætte behandlingen indtil et</w:t>
      </w:r>
      <w:r>
        <w:rPr>
          <w:sz w:val="24"/>
          <w:szCs w:val="24"/>
          <w:lang w:eastAsia="da-DK"/>
        </w:rPr>
        <w:t xml:space="preserve"> </w:t>
      </w:r>
      <w:r w:rsidRPr="005524AB">
        <w:rPr>
          <w:sz w:val="24"/>
          <w:szCs w:val="24"/>
          <w:lang w:eastAsia="da-DK"/>
        </w:rPr>
        <w:t>erytroid recidiv, sygdomsprogression eller uacceptabel toksicitet. Patienter, som indledningsvist fik</w:t>
      </w:r>
      <w:r>
        <w:rPr>
          <w:sz w:val="24"/>
          <w:szCs w:val="24"/>
          <w:lang w:eastAsia="da-DK"/>
        </w:rPr>
        <w:t xml:space="preserve"> </w:t>
      </w:r>
      <w:r w:rsidRPr="005524AB">
        <w:rPr>
          <w:sz w:val="24"/>
          <w:szCs w:val="24"/>
          <w:lang w:eastAsia="da-DK"/>
        </w:rPr>
        <w:t>placebo eller 5 mg lenalidomid og ikke opnåede mindst et mindre erytroid respons efter 16 ugers</w:t>
      </w:r>
      <w:r>
        <w:rPr>
          <w:sz w:val="24"/>
          <w:szCs w:val="24"/>
          <w:lang w:eastAsia="da-DK"/>
        </w:rPr>
        <w:t xml:space="preserve"> </w:t>
      </w:r>
      <w:r w:rsidRPr="005524AB">
        <w:rPr>
          <w:sz w:val="24"/>
          <w:szCs w:val="24"/>
          <w:lang w:eastAsia="da-DK"/>
        </w:rPr>
        <w:t>behandling, kunne skifte fra placebo til 5 mg lenalidomid, eller de kunne fortsætte med</w:t>
      </w:r>
      <w:r>
        <w:rPr>
          <w:sz w:val="24"/>
          <w:szCs w:val="24"/>
          <w:lang w:eastAsia="da-DK"/>
        </w:rPr>
        <w:t xml:space="preserve"> </w:t>
      </w:r>
      <w:r w:rsidRPr="005524AB">
        <w:rPr>
          <w:sz w:val="24"/>
          <w:szCs w:val="24"/>
          <w:lang w:eastAsia="da-DK"/>
        </w:rPr>
        <w:t>lenalidomidbehandlingen ved en højere dosis (5 mg til 10 mg).</w:t>
      </w:r>
    </w:p>
    <w:p w:rsidR="00DF19D5" w:rsidRDefault="00DF19D5" w:rsidP="00DF19D5">
      <w:pPr>
        <w:autoSpaceDE w:val="0"/>
        <w:autoSpaceDN w:val="0"/>
        <w:adjustRightInd w:val="0"/>
        <w:ind w:left="850"/>
        <w:rPr>
          <w:sz w:val="24"/>
          <w:szCs w:val="24"/>
          <w:lang w:eastAsia="da-DK"/>
        </w:rPr>
      </w:pPr>
    </w:p>
    <w:p w:rsidR="00DF19D5" w:rsidRDefault="00DF19D5" w:rsidP="00DF19D5">
      <w:pPr>
        <w:autoSpaceDE w:val="0"/>
        <w:autoSpaceDN w:val="0"/>
        <w:adjustRightInd w:val="0"/>
        <w:ind w:left="850"/>
        <w:rPr>
          <w:sz w:val="24"/>
          <w:szCs w:val="24"/>
          <w:lang w:eastAsia="da-DK"/>
        </w:rPr>
      </w:pPr>
      <w:r w:rsidRPr="005524AB">
        <w:rPr>
          <w:sz w:val="24"/>
          <w:szCs w:val="24"/>
          <w:lang w:eastAsia="da-DK"/>
        </w:rPr>
        <w:t>I studie MDS-003, hvor 148 patienter fik lenalidomid ved en dosis på 10 mg, bestod den primære</w:t>
      </w:r>
      <w:r>
        <w:rPr>
          <w:sz w:val="24"/>
          <w:szCs w:val="24"/>
          <w:lang w:eastAsia="da-DK"/>
        </w:rPr>
        <w:t xml:space="preserve"> </w:t>
      </w:r>
      <w:r w:rsidRPr="005524AB">
        <w:rPr>
          <w:sz w:val="24"/>
          <w:szCs w:val="24"/>
          <w:lang w:eastAsia="da-DK"/>
        </w:rPr>
        <w:t>effektanalyse af en evaluering af lenalidomid-behandlingens indvirkning på at opnå hæmatopoietisk</w:t>
      </w:r>
      <w:r>
        <w:rPr>
          <w:sz w:val="24"/>
          <w:szCs w:val="24"/>
          <w:lang w:eastAsia="da-DK"/>
        </w:rPr>
        <w:t xml:space="preserve"> </w:t>
      </w:r>
      <w:r w:rsidRPr="005524AB">
        <w:rPr>
          <w:sz w:val="24"/>
          <w:szCs w:val="24"/>
          <w:lang w:eastAsia="da-DK"/>
        </w:rPr>
        <w:t>forbedring hos personer med lav- eller intermediær-1-risiko myelodysplastisk syndrom.</w:t>
      </w:r>
    </w:p>
    <w:p w:rsidR="00DF19D5" w:rsidRDefault="00DF19D5" w:rsidP="00DF19D5">
      <w:pPr>
        <w:autoSpaceDE w:val="0"/>
        <w:autoSpaceDN w:val="0"/>
        <w:adjustRightInd w:val="0"/>
        <w:ind w:left="850"/>
        <w:rPr>
          <w:sz w:val="24"/>
          <w:szCs w:val="24"/>
          <w:lang w:eastAsia="da-DK"/>
        </w:rPr>
      </w:pPr>
    </w:p>
    <w:p w:rsidR="00DF19D5" w:rsidRPr="005524AB" w:rsidRDefault="00DF19D5" w:rsidP="00DF19D5">
      <w:pPr>
        <w:autoSpaceDE w:val="0"/>
        <w:autoSpaceDN w:val="0"/>
        <w:adjustRightInd w:val="0"/>
        <w:ind w:left="850"/>
        <w:rPr>
          <w:sz w:val="24"/>
          <w:szCs w:val="24"/>
        </w:rPr>
      </w:pPr>
      <w:r w:rsidRPr="005524AB">
        <w:rPr>
          <w:b/>
          <w:bCs/>
          <w:sz w:val="24"/>
          <w:szCs w:val="24"/>
          <w:lang w:eastAsia="da-DK"/>
        </w:rPr>
        <w:t>Tabel 12. Oversigt over resultater for virkning – studie MDS-004 (dobbeltblind fase) og MDS-003 intention-to-treat-populationen</w:t>
      </w:r>
    </w:p>
    <w:tbl>
      <w:tblPr>
        <w:tblW w:w="9473" w:type="dxa"/>
        <w:tblCellSpacing w:w="0" w:type="dxa"/>
        <w:tblInd w:w="892"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2943"/>
        <w:gridCol w:w="1556"/>
        <w:gridCol w:w="1555"/>
        <w:gridCol w:w="1555"/>
        <w:gridCol w:w="1864"/>
      </w:tblGrid>
      <w:tr w:rsidR="00DF19D5" w:rsidRPr="009774D0" w:rsidTr="000F2B51">
        <w:trPr>
          <w:tblCellSpacing w:w="0" w:type="dxa"/>
        </w:trPr>
        <w:tc>
          <w:tcPr>
            <w:tcW w:w="1553" w:type="pct"/>
            <w:vMerge w:val="restart"/>
            <w:tcBorders>
              <w:top w:val="outset" w:sz="6" w:space="0" w:color="auto"/>
              <w:left w:val="outset" w:sz="6" w:space="0" w:color="auto"/>
              <w:bottom w:val="outset" w:sz="6" w:space="0" w:color="auto"/>
              <w:right w:val="outset" w:sz="6" w:space="0" w:color="auto"/>
            </w:tcBorders>
            <w:hideMark/>
          </w:tcPr>
          <w:p w:rsidR="00DF19D5" w:rsidRPr="000A3112" w:rsidRDefault="00DF19D5" w:rsidP="000F2B51">
            <w:pPr>
              <w:rPr>
                <w:color w:val="000000"/>
                <w:sz w:val="24"/>
                <w:szCs w:val="24"/>
              </w:rPr>
            </w:pPr>
            <w:r w:rsidRPr="000F2B51">
              <w:rPr>
                <w:b/>
                <w:bCs/>
                <w:sz w:val="24"/>
                <w:szCs w:val="24"/>
                <w:lang w:eastAsia="da-DK"/>
              </w:rPr>
              <w:t>Endepunkt</w:t>
            </w:r>
          </w:p>
        </w:tc>
        <w:tc>
          <w:tcPr>
            <w:tcW w:w="2463" w:type="pct"/>
            <w:gridSpan w:val="3"/>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b/>
                <w:bCs/>
                <w:sz w:val="24"/>
                <w:szCs w:val="24"/>
              </w:rPr>
              <w:t>MDS-004</w:t>
            </w:r>
            <w:r w:rsidRPr="005524AB">
              <w:rPr>
                <w:sz w:val="24"/>
                <w:szCs w:val="24"/>
              </w:rPr>
              <w:t xml:space="preserve"> </w:t>
            </w:r>
          </w:p>
          <w:p w:rsidR="00DF19D5" w:rsidRPr="005524AB" w:rsidRDefault="00DF19D5" w:rsidP="000F2B51">
            <w:pPr>
              <w:pStyle w:val="NormalWeb"/>
              <w:jc w:val="center"/>
              <w:rPr>
                <w:sz w:val="24"/>
                <w:szCs w:val="24"/>
              </w:rPr>
            </w:pPr>
            <w:r w:rsidRPr="005524AB">
              <w:rPr>
                <w:b/>
                <w:bCs/>
                <w:sz w:val="24"/>
                <w:szCs w:val="24"/>
              </w:rPr>
              <w:t>N = 205</w:t>
            </w:r>
            <w:r w:rsidRPr="005524AB">
              <w:rPr>
                <w:sz w:val="24"/>
                <w:szCs w:val="24"/>
              </w:rPr>
              <w:t xml:space="preserve"> </w:t>
            </w:r>
          </w:p>
        </w:tc>
        <w:tc>
          <w:tcPr>
            <w:tcW w:w="984"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b/>
                <w:bCs/>
                <w:sz w:val="24"/>
                <w:szCs w:val="24"/>
              </w:rPr>
              <w:t>MDS-003</w:t>
            </w:r>
            <w:r w:rsidRPr="005524AB">
              <w:rPr>
                <w:sz w:val="24"/>
                <w:szCs w:val="24"/>
              </w:rPr>
              <w:t xml:space="preserve"> </w:t>
            </w:r>
          </w:p>
          <w:p w:rsidR="00DF19D5" w:rsidRPr="005524AB" w:rsidRDefault="00DF19D5" w:rsidP="000F2B51">
            <w:pPr>
              <w:pStyle w:val="NormalWeb"/>
              <w:jc w:val="center"/>
              <w:rPr>
                <w:sz w:val="24"/>
                <w:szCs w:val="24"/>
              </w:rPr>
            </w:pPr>
            <w:r w:rsidRPr="005524AB">
              <w:rPr>
                <w:b/>
                <w:bCs/>
                <w:sz w:val="24"/>
                <w:szCs w:val="24"/>
              </w:rPr>
              <w:t>N = 148</w:t>
            </w:r>
            <w:r w:rsidRPr="005524AB">
              <w:rPr>
                <w:sz w:val="24"/>
                <w:szCs w:val="24"/>
              </w:rPr>
              <w:t xml:space="preserve"> </w:t>
            </w:r>
          </w:p>
        </w:tc>
      </w:tr>
      <w:tr w:rsidR="00DF19D5" w:rsidRPr="009774D0" w:rsidTr="000F2B51">
        <w:trPr>
          <w:tblCellSpacing w:w="0" w:type="dxa"/>
        </w:trPr>
        <w:tc>
          <w:tcPr>
            <w:tcW w:w="1553" w:type="pct"/>
            <w:vMerge/>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rPr>
                <w:color w:val="000000"/>
                <w:sz w:val="24"/>
                <w:szCs w:val="24"/>
              </w:rPr>
            </w:pP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b/>
                <w:bCs/>
                <w:sz w:val="24"/>
                <w:szCs w:val="24"/>
              </w:rPr>
              <w:t>10 mg</w:t>
            </w:r>
            <w:r w:rsidRPr="005524AB">
              <w:rPr>
                <w:b/>
                <w:bCs/>
                <w:sz w:val="24"/>
                <w:szCs w:val="24"/>
                <w:vertAlign w:val="superscript"/>
              </w:rPr>
              <w:t>†</w:t>
            </w:r>
            <w:r w:rsidRPr="005524AB">
              <w:rPr>
                <w:sz w:val="24"/>
                <w:szCs w:val="24"/>
              </w:rPr>
              <w:t xml:space="preserve"> </w:t>
            </w:r>
          </w:p>
          <w:p w:rsidR="00DF19D5" w:rsidRPr="005524AB" w:rsidRDefault="00DF19D5" w:rsidP="000F2B51">
            <w:pPr>
              <w:pStyle w:val="NormalWeb"/>
              <w:jc w:val="center"/>
              <w:rPr>
                <w:sz w:val="24"/>
                <w:szCs w:val="24"/>
              </w:rPr>
            </w:pPr>
            <w:r w:rsidRPr="005524AB">
              <w:rPr>
                <w:b/>
                <w:bCs/>
                <w:sz w:val="24"/>
                <w:szCs w:val="24"/>
              </w:rPr>
              <w:t>N = 69</w:t>
            </w:r>
            <w:r w:rsidRPr="005524AB">
              <w:rPr>
                <w:sz w:val="24"/>
                <w:szCs w:val="24"/>
              </w:rPr>
              <w:t xml:space="preserve"> </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b/>
                <w:bCs/>
                <w:sz w:val="24"/>
                <w:szCs w:val="24"/>
              </w:rPr>
              <w:t>5 mg</w:t>
            </w:r>
            <w:r w:rsidRPr="005524AB">
              <w:rPr>
                <w:b/>
                <w:bCs/>
                <w:sz w:val="24"/>
                <w:szCs w:val="24"/>
                <w:vertAlign w:val="superscript"/>
              </w:rPr>
              <w:t>††</w:t>
            </w:r>
            <w:r w:rsidRPr="005524AB">
              <w:rPr>
                <w:sz w:val="24"/>
                <w:szCs w:val="24"/>
              </w:rPr>
              <w:t xml:space="preserve"> </w:t>
            </w:r>
          </w:p>
          <w:p w:rsidR="00DF19D5" w:rsidRPr="005524AB" w:rsidRDefault="00DF19D5" w:rsidP="000F2B51">
            <w:pPr>
              <w:pStyle w:val="NormalWeb"/>
              <w:jc w:val="center"/>
              <w:rPr>
                <w:sz w:val="24"/>
                <w:szCs w:val="24"/>
              </w:rPr>
            </w:pPr>
            <w:r w:rsidRPr="005524AB">
              <w:rPr>
                <w:b/>
                <w:bCs/>
                <w:sz w:val="24"/>
                <w:szCs w:val="24"/>
              </w:rPr>
              <w:t>N = 69</w:t>
            </w:r>
            <w:r w:rsidRPr="005524AB">
              <w:rPr>
                <w:sz w:val="24"/>
                <w:szCs w:val="24"/>
              </w:rPr>
              <w:t xml:space="preserve"> </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b/>
                <w:bCs/>
                <w:sz w:val="24"/>
                <w:szCs w:val="24"/>
              </w:rPr>
              <w:t>Placebo*</w:t>
            </w:r>
            <w:r w:rsidRPr="005524AB">
              <w:rPr>
                <w:sz w:val="24"/>
                <w:szCs w:val="24"/>
              </w:rPr>
              <w:t xml:space="preserve"> </w:t>
            </w:r>
          </w:p>
          <w:p w:rsidR="00DF19D5" w:rsidRPr="005524AB" w:rsidRDefault="00DF19D5" w:rsidP="000F2B51">
            <w:pPr>
              <w:pStyle w:val="NormalWeb"/>
              <w:jc w:val="center"/>
              <w:rPr>
                <w:sz w:val="24"/>
                <w:szCs w:val="24"/>
              </w:rPr>
            </w:pPr>
            <w:r w:rsidRPr="005524AB">
              <w:rPr>
                <w:b/>
                <w:bCs/>
                <w:sz w:val="24"/>
                <w:szCs w:val="24"/>
              </w:rPr>
              <w:t>N = 67</w:t>
            </w:r>
            <w:r w:rsidRPr="005524AB">
              <w:rPr>
                <w:sz w:val="24"/>
                <w:szCs w:val="24"/>
              </w:rPr>
              <w:t xml:space="preserve"> </w:t>
            </w:r>
          </w:p>
        </w:tc>
        <w:tc>
          <w:tcPr>
            <w:tcW w:w="984"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b/>
                <w:bCs/>
                <w:sz w:val="24"/>
                <w:szCs w:val="24"/>
              </w:rPr>
              <w:t>10 mg</w:t>
            </w:r>
            <w:r w:rsidRPr="005524AB">
              <w:rPr>
                <w:sz w:val="24"/>
                <w:szCs w:val="24"/>
              </w:rPr>
              <w:t xml:space="preserve"> </w:t>
            </w:r>
          </w:p>
          <w:p w:rsidR="00DF19D5" w:rsidRPr="005524AB" w:rsidRDefault="00DF19D5" w:rsidP="000F2B51">
            <w:pPr>
              <w:pStyle w:val="NormalWeb"/>
              <w:jc w:val="center"/>
              <w:rPr>
                <w:sz w:val="24"/>
                <w:szCs w:val="24"/>
              </w:rPr>
            </w:pPr>
            <w:r w:rsidRPr="005524AB">
              <w:rPr>
                <w:b/>
                <w:bCs/>
                <w:sz w:val="24"/>
                <w:szCs w:val="24"/>
              </w:rPr>
              <w:t>N = 148</w:t>
            </w:r>
            <w:r w:rsidRPr="005524AB">
              <w:rPr>
                <w:sz w:val="24"/>
                <w:szCs w:val="24"/>
              </w:rPr>
              <w:t xml:space="preserve"> </w:t>
            </w:r>
          </w:p>
        </w:tc>
      </w:tr>
      <w:tr w:rsidR="00DF19D5" w:rsidRPr="009774D0" w:rsidTr="000F2B51">
        <w:trPr>
          <w:tblCellSpacing w:w="0" w:type="dxa"/>
        </w:trPr>
        <w:tc>
          <w:tcPr>
            <w:tcW w:w="1553"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autoSpaceDE w:val="0"/>
              <w:autoSpaceDN w:val="0"/>
              <w:adjustRightInd w:val="0"/>
              <w:rPr>
                <w:sz w:val="24"/>
                <w:szCs w:val="24"/>
                <w:lang w:eastAsia="da-DK"/>
              </w:rPr>
            </w:pPr>
            <w:r w:rsidRPr="000F2B51">
              <w:rPr>
                <w:sz w:val="24"/>
                <w:szCs w:val="24"/>
                <w:lang w:eastAsia="da-DK"/>
              </w:rPr>
              <w:t>Transfusionsuafhængighed</w:t>
            </w:r>
          </w:p>
          <w:p w:rsidR="00DF19D5" w:rsidRPr="000F2B51" w:rsidRDefault="00DF19D5" w:rsidP="000F2B51">
            <w:pPr>
              <w:pStyle w:val="NormalWeb"/>
              <w:rPr>
                <w:sz w:val="24"/>
                <w:szCs w:val="24"/>
                <w:lang w:val="da-DK"/>
              </w:rPr>
            </w:pPr>
            <w:r w:rsidRPr="000F2B51">
              <w:rPr>
                <w:sz w:val="24"/>
                <w:szCs w:val="24"/>
                <w:lang w:val="da-DK" w:eastAsia="da-DK"/>
              </w:rPr>
              <w:t>(</w:t>
            </w:r>
            <w:r w:rsidRPr="000F2B51">
              <w:rPr>
                <w:rFonts w:eastAsia="TimesNewRomanPSMT"/>
                <w:sz w:val="24"/>
                <w:szCs w:val="24"/>
                <w:lang w:val="da-DK" w:eastAsia="da-DK"/>
              </w:rPr>
              <w:t xml:space="preserve">≥ </w:t>
            </w:r>
            <w:r w:rsidRPr="000F2B51">
              <w:rPr>
                <w:sz w:val="24"/>
                <w:szCs w:val="24"/>
                <w:lang w:val="da-DK" w:eastAsia="da-DK"/>
              </w:rPr>
              <w:t xml:space="preserve">182 dage) </w:t>
            </w:r>
            <w:r w:rsidRPr="000F2B51">
              <w:rPr>
                <w:sz w:val="24"/>
                <w:szCs w:val="24"/>
                <w:vertAlign w:val="superscript"/>
                <w:lang w:val="da-DK"/>
              </w:rPr>
              <w:t>#</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lang w:eastAsia="da-DK"/>
              </w:rPr>
              <w:t>38 (55,1 %)</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lang w:eastAsia="da-DK"/>
              </w:rPr>
              <w:t>24 (34,8 %)</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lang w:eastAsia="da-DK"/>
              </w:rPr>
              <w:t>4 (6,0 %)</w:t>
            </w:r>
          </w:p>
        </w:tc>
        <w:tc>
          <w:tcPr>
            <w:tcW w:w="984"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lang w:eastAsia="da-DK"/>
              </w:rPr>
              <w:t>86 (58,1 %)</w:t>
            </w:r>
          </w:p>
        </w:tc>
      </w:tr>
      <w:tr w:rsidR="00DF19D5" w:rsidRPr="009774D0" w:rsidTr="000F2B51">
        <w:trPr>
          <w:tblCellSpacing w:w="0" w:type="dxa"/>
        </w:trPr>
        <w:tc>
          <w:tcPr>
            <w:tcW w:w="1553"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autoSpaceDE w:val="0"/>
              <w:autoSpaceDN w:val="0"/>
              <w:adjustRightInd w:val="0"/>
              <w:rPr>
                <w:sz w:val="24"/>
                <w:szCs w:val="24"/>
                <w:lang w:eastAsia="da-DK"/>
              </w:rPr>
            </w:pPr>
            <w:r w:rsidRPr="000F2B51">
              <w:rPr>
                <w:sz w:val="24"/>
                <w:szCs w:val="24"/>
                <w:lang w:eastAsia="da-DK"/>
              </w:rPr>
              <w:t>Transfusionsuafhængighed</w:t>
            </w:r>
          </w:p>
          <w:p w:rsidR="00DF19D5" w:rsidRPr="000F2B51" w:rsidRDefault="00DF19D5" w:rsidP="000F2B51">
            <w:pPr>
              <w:pStyle w:val="NormalWeb"/>
              <w:rPr>
                <w:sz w:val="24"/>
                <w:szCs w:val="24"/>
                <w:lang w:val="da-DK"/>
              </w:rPr>
            </w:pPr>
            <w:r w:rsidRPr="000F2B51">
              <w:rPr>
                <w:sz w:val="24"/>
                <w:szCs w:val="24"/>
                <w:lang w:val="da-DK" w:eastAsia="da-DK"/>
              </w:rPr>
              <w:t>(</w:t>
            </w:r>
            <w:r w:rsidRPr="000F2B51">
              <w:rPr>
                <w:rFonts w:eastAsia="TimesNewRomanPSMT"/>
                <w:sz w:val="24"/>
                <w:szCs w:val="24"/>
                <w:lang w:val="da-DK" w:eastAsia="da-DK"/>
              </w:rPr>
              <w:t xml:space="preserve">≥ </w:t>
            </w:r>
            <w:r w:rsidRPr="000F2B51">
              <w:rPr>
                <w:sz w:val="24"/>
                <w:szCs w:val="24"/>
                <w:lang w:val="da-DK" w:eastAsia="da-DK"/>
              </w:rPr>
              <w:t>56 dage)</w:t>
            </w:r>
            <w:r w:rsidRPr="000F2B51">
              <w:rPr>
                <w:sz w:val="24"/>
                <w:szCs w:val="24"/>
                <w:vertAlign w:val="superscript"/>
                <w:lang w:val="da-DK"/>
              </w:rPr>
              <w:t>#</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lang w:eastAsia="da-DK"/>
              </w:rPr>
              <w:t>42 (60,9 %)</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lang w:eastAsia="da-DK"/>
              </w:rPr>
              <w:t>33 (47,8 %)</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lang w:eastAsia="da-DK"/>
              </w:rPr>
              <w:t>5 (7,5 %)</w:t>
            </w:r>
          </w:p>
        </w:tc>
        <w:tc>
          <w:tcPr>
            <w:tcW w:w="984"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lang w:eastAsia="da-DK"/>
              </w:rPr>
              <w:t>97 (65,5 %)</w:t>
            </w:r>
          </w:p>
        </w:tc>
      </w:tr>
      <w:tr w:rsidR="00DF19D5" w:rsidRPr="009774D0" w:rsidTr="000F2B51">
        <w:trPr>
          <w:tblCellSpacing w:w="0" w:type="dxa"/>
        </w:trPr>
        <w:tc>
          <w:tcPr>
            <w:tcW w:w="1553" w:type="pct"/>
            <w:tcBorders>
              <w:top w:val="outset" w:sz="6" w:space="0" w:color="auto"/>
              <w:left w:val="outset" w:sz="6" w:space="0" w:color="auto"/>
              <w:bottom w:val="outset" w:sz="6" w:space="0" w:color="auto"/>
              <w:right w:val="outset" w:sz="6" w:space="0" w:color="auto"/>
            </w:tcBorders>
            <w:hideMark/>
          </w:tcPr>
          <w:p w:rsidR="00DF19D5" w:rsidRPr="000A3112" w:rsidRDefault="00DF19D5" w:rsidP="000F2B51">
            <w:pPr>
              <w:autoSpaceDE w:val="0"/>
              <w:autoSpaceDN w:val="0"/>
              <w:adjustRightInd w:val="0"/>
              <w:rPr>
                <w:sz w:val="24"/>
                <w:szCs w:val="24"/>
                <w:lang w:eastAsia="da-DK"/>
              </w:rPr>
            </w:pPr>
            <w:r w:rsidRPr="000A3112">
              <w:rPr>
                <w:sz w:val="24"/>
                <w:szCs w:val="24"/>
                <w:lang w:eastAsia="da-DK"/>
              </w:rPr>
              <w:t>Median</w:t>
            </w:r>
            <w:r>
              <w:rPr>
                <w:sz w:val="24"/>
                <w:szCs w:val="24"/>
                <w:lang w:eastAsia="da-DK"/>
              </w:rPr>
              <w:t>tid</w:t>
            </w:r>
            <w:r w:rsidRPr="000A3112">
              <w:rPr>
                <w:sz w:val="24"/>
                <w:szCs w:val="24"/>
                <w:lang w:eastAsia="da-DK"/>
              </w:rPr>
              <w:t xml:space="preserve"> af</w:t>
            </w:r>
          </w:p>
          <w:p w:rsidR="00DF19D5" w:rsidRPr="000A3112" w:rsidRDefault="00DF19D5" w:rsidP="000F2B51">
            <w:pPr>
              <w:pStyle w:val="NormalWeb"/>
              <w:rPr>
                <w:sz w:val="24"/>
                <w:szCs w:val="24"/>
                <w:lang w:val="da-DK"/>
              </w:rPr>
            </w:pPr>
            <w:r w:rsidRPr="000A3112">
              <w:rPr>
                <w:sz w:val="24"/>
                <w:szCs w:val="24"/>
                <w:lang w:val="da-DK" w:eastAsia="da-DK"/>
              </w:rPr>
              <w:t>transfusionsuafhængighed (uger)</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4,6</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4,1</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0,3</w:t>
            </w:r>
          </w:p>
        </w:tc>
        <w:tc>
          <w:tcPr>
            <w:tcW w:w="984"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4,1</w:t>
            </w:r>
          </w:p>
        </w:tc>
      </w:tr>
      <w:tr w:rsidR="00DF19D5" w:rsidRPr="009774D0" w:rsidTr="000F2B51">
        <w:trPr>
          <w:tblCellSpacing w:w="0" w:type="dxa"/>
        </w:trPr>
        <w:tc>
          <w:tcPr>
            <w:tcW w:w="1553" w:type="pct"/>
            <w:tcBorders>
              <w:top w:val="outset" w:sz="6" w:space="0" w:color="auto"/>
              <w:left w:val="outset" w:sz="6" w:space="0" w:color="auto"/>
              <w:bottom w:val="outset" w:sz="6" w:space="0" w:color="auto"/>
              <w:right w:val="outset" w:sz="6" w:space="0" w:color="auto"/>
            </w:tcBorders>
            <w:hideMark/>
          </w:tcPr>
          <w:p w:rsidR="00DF19D5" w:rsidRPr="000A3112" w:rsidRDefault="00DF19D5" w:rsidP="000F2B51">
            <w:pPr>
              <w:autoSpaceDE w:val="0"/>
              <w:autoSpaceDN w:val="0"/>
              <w:adjustRightInd w:val="0"/>
              <w:rPr>
                <w:sz w:val="24"/>
                <w:szCs w:val="24"/>
                <w:lang w:eastAsia="da-DK"/>
              </w:rPr>
            </w:pPr>
            <w:r w:rsidRPr="000A3112">
              <w:rPr>
                <w:sz w:val="24"/>
                <w:szCs w:val="24"/>
                <w:lang w:eastAsia="da-DK"/>
              </w:rPr>
              <w:t>Median varighed af</w:t>
            </w:r>
          </w:p>
          <w:p w:rsidR="00DF19D5" w:rsidRPr="000A3112" w:rsidRDefault="00DF19D5" w:rsidP="000F2B51">
            <w:pPr>
              <w:pStyle w:val="NormalWeb"/>
              <w:rPr>
                <w:sz w:val="24"/>
                <w:szCs w:val="24"/>
                <w:lang w:val="da-DK"/>
              </w:rPr>
            </w:pPr>
            <w:r w:rsidRPr="000A3112">
              <w:rPr>
                <w:sz w:val="24"/>
                <w:szCs w:val="24"/>
                <w:lang w:val="da-DK" w:eastAsia="da-DK"/>
              </w:rPr>
              <w:lastRenderedPageBreak/>
              <w:t>transfusionsuafhængighed (uger)</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lastRenderedPageBreak/>
              <w:t>NR</w:t>
            </w:r>
            <w:r w:rsidRPr="005524AB">
              <w:rPr>
                <w:sz w:val="24"/>
                <w:szCs w:val="24"/>
                <w:vertAlign w:val="superscript"/>
              </w:rPr>
              <w:t>∞</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NR</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NR</w:t>
            </w:r>
          </w:p>
        </w:tc>
        <w:tc>
          <w:tcPr>
            <w:tcW w:w="984"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114,4</w:t>
            </w:r>
          </w:p>
        </w:tc>
      </w:tr>
      <w:tr w:rsidR="00DF19D5" w:rsidRPr="009774D0" w:rsidTr="000F2B51">
        <w:trPr>
          <w:tblCellSpacing w:w="0" w:type="dxa"/>
        </w:trPr>
        <w:tc>
          <w:tcPr>
            <w:tcW w:w="1553"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autoSpaceDE w:val="0"/>
              <w:autoSpaceDN w:val="0"/>
              <w:adjustRightInd w:val="0"/>
              <w:rPr>
                <w:sz w:val="24"/>
                <w:szCs w:val="24"/>
                <w:lang w:eastAsia="da-DK"/>
              </w:rPr>
            </w:pPr>
            <w:r w:rsidRPr="000F2B51">
              <w:rPr>
                <w:sz w:val="24"/>
                <w:szCs w:val="24"/>
                <w:lang w:eastAsia="da-DK"/>
              </w:rPr>
              <w:t>Median stigning i Hgb, g/dl</w:t>
            </w:r>
          </w:p>
          <w:p w:rsidR="00DF19D5" w:rsidRPr="000F2B51" w:rsidRDefault="00DF19D5" w:rsidP="000F2B51">
            <w:pPr>
              <w:pStyle w:val="NormalWeb"/>
              <w:rPr>
                <w:sz w:val="24"/>
                <w:szCs w:val="24"/>
                <w:lang w:val="da-DK"/>
              </w:rPr>
            </w:pPr>
            <w:r w:rsidRPr="000F2B51">
              <w:rPr>
                <w:sz w:val="24"/>
                <w:szCs w:val="24"/>
                <w:lang w:val="da-DK" w:eastAsia="da-DK"/>
              </w:rPr>
              <w:t>(mmol/l)</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6,4</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5,3</w:t>
            </w:r>
          </w:p>
        </w:tc>
        <w:tc>
          <w:tcPr>
            <w:tcW w:w="821"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2,6</w:t>
            </w:r>
          </w:p>
        </w:tc>
        <w:tc>
          <w:tcPr>
            <w:tcW w:w="984" w:type="pct"/>
            <w:tcBorders>
              <w:top w:val="outset" w:sz="6" w:space="0" w:color="auto"/>
              <w:left w:val="outset" w:sz="6" w:space="0" w:color="auto"/>
              <w:bottom w:val="outset" w:sz="6" w:space="0" w:color="auto"/>
              <w:right w:val="outset" w:sz="6" w:space="0" w:color="auto"/>
            </w:tcBorders>
            <w:hideMark/>
          </w:tcPr>
          <w:p w:rsidR="00DF19D5" w:rsidRPr="005524AB" w:rsidRDefault="00DF19D5" w:rsidP="000F2B51">
            <w:pPr>
              <w:pStyle w:val="NormalWeb"/>
              <w:jc w:val="center"/>
              <w:rPr>
                <w:sz w:val="24"/>
                <w:szCs w:val="24"/>
              </w:rPr>
            </w:pPr>
            <w:r w:rsidRPr="005524AB">
              <w:rPr>
                <w:sz w:val="24"/>
                <w:szCs w:val="24"/>
              </w:rPr>
              <w:t>5,6</w:t>
            </w:r>
          </w:p>
        </w:tc>
      </w:tr>
    </w:tbl>
    <w:p w:rsidR="00DF19D5" w:rsidRPr="005524AB" w:rsidRDefault="00DF19D5" w:rsidP="00DF19D5">
      <w:pPr>
        <w:autoSpaceDE w:val="0"/>
        <w:autoSpaceDN w:val="0"/>
        <w:adjustRightInd w:val="0"/>
        <w:ind w:left="850"/>
        <w:rPr>
          <w:sz w:val="20"/>
          <w:lang w:eastAsia="da-DK"/>
        </w:rPr>
      </w:pPr>
      <w:r w:rsidRPr="005524AB">
        <w:rPr>
          <w:sz w:val="20"/>
          <w:lang w:eastAsia="da-DK"/>
        </w:rPr>
        <w:t>† Personer i behandling med lenalidomid 10 mg i 21 dage af 28-dages cyklusser</w:t>
      </w:r>
    </w:p>
    <w:p w:rsidR="00DF19D5" w:rsidRPr="005524AB" w:rsidRDefault="00DF19D5" w:rsidP="00DF19D5">
      <w:pPr>
        <w:autoSpaceDE w:val="0"/>
        <w:autoSpaceDN w:val="0"/>
        <w:adjustRightInd w:val="0"/>
        <w:ind w:left="850"/>
        <w:rPr>
          <w:sz w:val="20"/>
          <w:lang w:eastAsia="da-DK"/>
        </w:rPr>
      </w:pPr>
      <w:r w:rsidRPr="005524AB">
        <w:rPr>
          <w:sz w:val="20"/>
          <w:lang w:eastAsia="da-DK"/>
        </w:rPr>
        <w:t>†† Personer i behandling med lenalidomid 5 mg i 28 dage af 28-dages cyklusser</w:t>
      </w:r>
    </w:p>
    <w:p w:rsidR="00DF19D5" w:rsidRPr="005524AB" w:rsidRDefault="00DF19D5" w:rsidP="00DF19D5">
      <w:pPr>
        <w:autoSpaceDE w:val="0"/>
        <w:autoSpaceDN w:val="0"/>
        <w:adjustRightInd w:val="0"/>
        <w:ind w:left="850"/>
        <w:rPr>
          <w:sz w:val="20"/>
          <w:lang w:eastAsia="da-DK"/>
        </w:rPr>
      </w:pPr>
      <w:r w:rsidRPr="005524AB">
        <w:rPr>
          <w:sz w:val="20"/>
          <w:lang w:eastAsia="da-DK"/>
        </w:rPr>
        <w:t>* Hovedparten af patienterne på placebo seponerede den dobbeltblinde behandling grundet manglende virkning efter 16 ugers behandling,</w:t>
      </w:r>
    </w:p>
    <w:p w:rsidR="00DF19D5" w:rsidRPr="005524AB" w:rsidRDefault="00DF19D5" w:rsidP="00DF19D5">
      <w:pPr>
        <w:autoSpaceDE w:val="0"/>
        <w:autoSpaceDN w:val="0"/>
        <w:adjustRightInd w:val="0"/>
        <w:ind w:left="850"/>
        <w:rPr>
          <w:sz w:val="20"/>
          <w:lang w:eastAsia="da-DK"/>
        </w:rPr>
      </w:pPr>
      <w:r w:rsidRPr="005524AB">
        <w:rPr>
          <w:sz w:val="20"/>
          <w:lang w:eastAsia="da-DK"/>
        </w:rPr>
        <w:t>før de indgik i den åbne fase</w:t>
      </w:r>
    </w:p>
    <w:p w:rsidR="00DF19D5" w:rsidRPr="005524AB" w:rsidRDefault="00DF19D5" w:rsidP="00DF19D5">
      <w:pPr>
        <w:autoSpaceDE w:val="0"/>
        <w:autoSpaceDN w:val="0"/>
        <w:adjustRightInd w:val="0"/>
        <w:ind w:left="850"/>
        <w:rPr>
          <w:rFonts w:eastAsia="TimesNewRomanPSMT"/>
          <w:sz w:val="20"/>
          <w:lang w:eastAsia="da-DK"/>
        </w:rPr>
      </w:pPr>
      <w:r w:rsidRPr="005524AB">
        <w:rPr>
          <w:sz w:val="20"/>
          <w:lang w:eastAsia="da-DK"/>
        </w:rPr>
        <w:t>#</w:t>
      </w:r>
      <w:r w:rsidRPr="005524AB">
        <w:rPr>
          <w:rFonts w:eastAsia="TimesNewRomanPSMT"/>
          <w:sz w:val="20"/>
          <w:lang w:eastAsia="da-DK"/>
        </w:rPr>
        <w:t>Forbundet med en stigning i Hgb på ≥ 1 g/dl (0,62 mmol/l)</w:t>
      </w:r>
    </w:p>
    <w:p w:rsidR="00DF19D5" w:rsidRPr="005524AB" w:rsidRDefault="00DF19D5" w:rsidP="00DF19D5">
      <w:pPr>
        <w:autoSpaceDE w:val="0"/>
        <w:autoSpaceDN w:val="0"/>
        <w:adjustRightInd w:val="0"/>
        <w:ind w:left="850"/>
        <w:rPr>
          <w:rFonts w:eastAsia="TimesNewRomanPSMT"/>
          <w:sz w:val="20"/>
          <w:lang w:eastAsia="da-DK"/>
        </w:rPr>
      </w:pPr>
      <w:r w:rsidRPr="005524AB">
        <w:rPr>
          <w:rFonts w:eastAsia="TimesNewRomanPSMT" w:hint="eastAsia"/>
          <w:sz w:val="20"/>
          <w:lang w:eastAsia="da-DK"/>
        </w:rPr>
        <w:t>∞</w:t>
      </w:r>
      <w:r w:rsidRPr="005524AB">
        <w:rPr>
          <w:rFonts w:eastAsia="TimesNewRomanPSMT"/>
          <w:sz w:val="20"/>
          <w:lang w:eastAsia="da-DK"/>
        </w:rPr>
        <w:t xml:space="preserve"> Ikke nået (Not Reached) (dvs. medianen blev ikke nået)</w:t>
      </w:r>
    </w:p>
    <w:p w:rsidR="00DF19D5" w:rsidRPr="005524AB" w:rsidRDefault="00DF19D5" w:rsidP="00DF19D5">
      <w:pPr>
        <w:autoSpaceDE w:val="0"/>
        <w:autoSpaceDN w:val="0"/>
        <w:adjustRightInd w:val="0"/>
        <w:ind w:left="850"/>
        <w:rPr>
          <w:rFonts w:eastAsia="TimesNewRomanPSMT"/>
          <w:sz w:val="24"/>
          <w:szCs w:val="24"/>
          <w:lang w:eastAsia="da-DK"/>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I MDS-004 opnåede en signifikant større andel af patienterne med myelodysplastisk syndrom det</w:t>
      </w:r>
      <w:r>
        <w:rPr>
          <w:sz w:val="24"/>
          <w:szCs w:val="24"/>
          <w:lang w:eastAsia="da-DK"/>
        </w:rPr>
        <w:t xml:space="preserve"> </w:t>
      </w:r>
      <w:r w:rsidRPr="005524AB">
        <w:rPr>
          <w:sz w:val="24"/>
          <w:szCs w:val="24"/>
          <w:lang w:eastAsia="da-DK"/>
        </w:rPr>
        <w:t>primære endepunkt, transfusionsuafhængighed (&gt; 182 dage) med lenalidomid 10 mg sammenlignet</w:t>
      </w:r>
      <w:r>
        <w:rPr>
          <w:sz w:val="24"/>
          <w:szCs w:val="24"/>
          <w:lang w:eastAsia="da-DK"/>
        </w:rPr>
        <w:t xml:space="preserve"> </w:t>
      </w:r>
      <w:r w:rsidRPr="005524AB">
        <w:rPr>
          <w:sz w:val="24"/>
          <w:szCs w:val="24"/>
          <w:lang w:eastAsia="da-DK"/>
        </w:rPr>
        <w:t xml:space="preserve">med placebo (55,1 % </w:t>
      </w:r>
      <w:r w:rsidRPr="005524AB">
        <w:rPr>
          <w:i/>
          <w:iCs/>
          <w:sz w:val="24"/>
          <w:szCs w:val="24"/>
          <w:lang w:eastAsia="da-DK"/>
        </w:rPr>
        <w:t xml:space="preserve">vs. </w:t>
      </w:r>
      <w:r w:rsidRPr="005524AB">
        <w:rPr>
          <w:sz w:val="24"/>
          <w:szCs w:val="24"/>
          <w:lang w:eastAsia="da-DK"/>
        </w:rPr>
        <w:t>6,0 %). Blandt de 47 patienter med en isoleret Del (5q) cytogenetisk anomali</w:t>
      </w:r>
      <w:r>
        <w:rPr>
          <w:sz w:val="24"/>
          <w:szCs w:val="24"/>
          <w:lang w:eastAsia="da-DK"/>
        </w:rPr>
        <w:t xml:space="preserve"> </w:t>
      </w:r>
      <w:r w:rsidRPr="005524AB">
        <w:rPr>
          <w:sz w:val="24"/>
          <w:szCs w:val="24"/>
          <w:lang w:eastAsia="da-DK"/>
        </w:rPr>
        <w:t>og behandlet med lenalidomid 10 mg opnåede 27 patienter (57,4 %) uafhængighed af transfusion af</w:t>
      </w:r>
      <w:r>
        <w:rPr>
          <w:sz w:val="24"/>
          <w:szCs w:val="24"/>
          <w:lang w:eastAsia="da-DK"/>
        </w:rPr>
        <w:t xml:space="preserve"> </w:t>
      </w:r>
      <w:r w:rsidRPr="005524AB">
        <w:rPr>
          <w:sz w:val="24"/>
          <w:szCs w:val="24"/>
          <w:lang w:eastAsia="da-DK"/>
        </w:rPr>
        <w:t>røde blodlegemer.</w:t>
      </w:r>
    </w:p>
    <w:p w:rsidR="00DF19D5" w:rsidRDefault="00DF19D5" w:rsidP="00DF19D5">
      <w:pPr>
        <w:autoSpaceDE w:val="0"/>
        <w:autoSpaceDN w:val="0"/>
        <w:adjustRightInd w:val="0"/>
        <w:ind w:left="850"/>
        <w:rPr>
          <w:sz w:val="24"/>
          <w:szCs w:val="24"/>
          <w:lang w:eastAsia="da-DK"/>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Mediantiden til transfusionsuafhængighed i armen med lenalidomid 10 mg var 4,6 uger. Den mediane</w:t>
      </w:r>
      <w:r>
        <w:rPr>
          <w:sz w:val="24"/>
          <w:szCs w:val="24"/>
          <w:lang w:eastAsia="da-DK"/>
        </w:rPr>
        <w:t xml:space="preserve"> </w:t>
      </w:r>
      <w:r w:rsidRPr="005524AB">
        <w:rPr>
          <w:sz w:val="24"/>
          <w:szCs w:val="24"/>
          <w:lang w:eastAsia="da-DK"/>
        </w:rPr>
        <w:t>varighed af transfusionsuafhængighed blev ikke nået i nogen af</w:t>
      </w:r>
      <w:r>
        <w:rPr>
          <w:sz w:val="24"/>
          <w:szCs w:val="24"/>
          <w:lang w:eastAsia="da-DK"/>
        </w:rPr>
        <w:t xml:space="preserve"> </w:t>
      </w:r>
      <w:r w:rsidRPr="005524AB">
        <w:rPr>
          <w:sz w:val="24"/>
          <w:szCs w:val="24"/>
          <w:lang w:eastAsia="da-DK"/>
        </w:rPr>
        <w:t>behandlingsarmene, men den burde</w:t>
      </w:r>
      <w:r>
        <w:rPr>
          <w:sz w:val="24"/>
          <w:szCs w:val="24"/>
          <w:lang w:eastAsia="da-DK"/>
        </w:rPr>
        <w:t xml:space="preserve"> </w:t>
      </w:r>
      <w:r w:rsidRPr="005524AB">
        <w:rPr>
          <w:sz w:val="24"/>
          <w:szCs w:val="24"/>
          <w:lang w:eastAsia="da-DK"/>
        </w:rPr>
        <w:t>overstige 2 år for lenalidomidbehandlede personer. Den mediane stigning i hæmoglobin (Hgb) fra</w:t>
      </w:r>
      <w:r>
        <w:rPr>
          <w:sz w:val="24"/>
          <w:szCs w:val="24"/>
          <w:lang w:eastAsia="da-DK"/>
        </w:rPr>
        <w:t xml:space="preserve"> </w:t>
      </w:r>
      <w:r w:rsidRPr="005524AB">
        <w:rPr>
          <w:i/>
          <w:iCs/>
          <w:sz w:val="24"/>
          <w:szCs w:val="24"/>
          <w:lang w:eastAsia="da-DK"/>
        </w:rPr>
        <w:t xml:space="preserve">baseline </w:t>
      </w:r>
      <w:r w:rsidRPr="005524AB">
        <w:rPr>
          <w:sz w:val="24"/>
          <w:szCs w:val="24"/>
          <w:lang w:eastAsia="da-DK"/>
        </w:rPr>
        <w:t>i armen med 10 mg var 6,4 g/dl (4,0 mmol/l).</w:t>
      </w:r>
    </w:p>
    <w:p w:rsidR="00DF19D5" w:rsidRPr="005524AB" w:rsidRDefault="00DF19D5" w:rsidP="00DF19D5">
      <w:pPr>
        <w:autoSpaceDE w:val="0"/>
        <w:autoSpaceDN w:val="0"/>
        <w:adjustRightInd w:val="0"/>
        <w:ind w:left="850"/>
        <w:rPr>
          <w:bCs/>
          <w:noProof/>
          <w:sz w:val="24"/>
          <w:szCs w:val="24"/>
          <w:u w:val="single"/>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Yderligere endepunkter for studiet omfattede cytogenetisk respons (i armen med 10 mg blev der</w:t>
      </w:r>
      <w:r>
        <w:rPr>
          <w:sz w:val="24"/>
          <w:szCs w:val="24"/>
          <w:lang w:eastAsia="da-DK"/>
        </w:rPr>
        <w:t xml:space="preserve"> </w:t>
      </w:r>
      <w:r w:rsidRPr="005524AB">
        <w:rPr>
          <w:sz w:val="24"/>
          <w:szCs w:val="24"/>
          <w:lang w:eastAsia="da-DK"/>
        </w:rPr>
        <w:t>observeret et større og mindre cytogenetisk respons hos hhv. 30,0 % og 24,0 % af patienterne),</w:t>
      </w:r>
      <w:r>
        <w:rPr>
          <w:sz w:val="24"/>
          <w:szCs w:val="24"/>
          <w:lang w:eastAsia="da-DK"/>
        </w:rPr>
        <w:t xml:space="preserve"> </w:t>
      </w:r>
      <w:r w:rsidRPr="005524AB">
        <w:rPr>
          <w:sz w:val="24"/>
          <w:szCs w:val="24"/>
          <w:lang w:eastAsia="da-DK"/>
        </w:rPr>
        <w:t>bedømmelse af helbredsrelateret livskvalitet (HRQoL) og progression til akut myeloid leukæmi.</w:t>
      </w:r>
      <w:r>
        <w:rPr>
          <w:sz w:val="24"/>
          <w:szCs w:val="24"/>
          <w:lang w:eastAsia="da-DK"/>
        </w:rPr>
        <w:t xml:space="preserve"> </w:t>
      </w:r>
      <w:r w:rsidRPr="005524AB">
        <w:rPr>
          <w:sz w:val="24"/>
          <w:szCs w:val="24"/>
          <w:lang w:eastAsia="da-DK"/>
        </w:rPr>
        <w:t>Resultaterne for cytogenetisk respons og HRQoL stemte overens med fundene fra det primære</w:t>
      </w:r>
      <w:r>
        <w:rPr>
          <w:sz w:val="24"/>
          <w:szCs w:val="24"/>
          <w:lang w:eastAsia="da-DK"/>
        </w:rPr>
        <w:t xml:space="preserve"> </w:t>
      </w:r>
      <w:r w:rsidRPr="005524AB">
        <w:rPr>
          <w:sz w:val="24"/>
          <w:szCs w:val="24"/>
          <w:lang w:eastAsia="da-DK"/>
        </w:rPr>
        <w:t>endepunkt og favoriserede behandling med lenalidomid sammenlignet med placebo.</w:t>
      </w:r>
    </w:p>
    <w:p w:rsidR="00DF19D5" w:rsidRDefault="00DF19D5" w:rsidP="00DF19D5">
      <w:pPr>
        <w:autoSpaceDE w:val="0"/>
        <w:autoSpaceDN w:val="0"/>
        <w:adjustRightInd w:val="0"/>
        <w:ind w:left="850"/>
        <w:rPr>
          <w:sz w:val="24"/>
          <w:szCs w:val="24"/>
          <w:lang w:eastAsia="da-DK"/>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I MDS-003 opnåede en stor andel af patienterne med myelodysplastisk syndrom</w:t>
      </w:r>
      <w:r>
        <w:rPr>
          <w:sz w:val="24"/>
          <w:szCs w:val="24"/>
          <w:lang w:eastAsia="da-DK"/>
        </w:rPr>
        <w:t xml:space="preserve"> </w:t>
      </w:r>
      <w:r w:rsidRPr="005524AB">
        <w:rPr>
          <w:sz w:val="24"/>
          <w:szCs w:val="24"/>
          <w:lang w:eastAsia="da-DK"/>
        </w:rPr>
        <w:t>transfusionsuafhængighed (&gt; 182 dage) på lenalidomid 10 mg (58,1 %). Mediantiden til</w:t>
      </w:r>
      <w:r>
        <w:rPr>
          <w:sz w:val="24"/>
          <w:szCs w:val="24"/>
          <w:lang w:eastAsia="da-DK"/>
        </w:rPr>
        <w:t xml:space="preserve"> </w:t>
      </w:r>
      <w:r w:rsidRPr="005524AB">
        <w:rPr>
          <w:sz w:val="24"/>
          <w:szCs w:val="24"/>
          <w:lang w:eastAsia="da-DK"/>
        </w:rPr>
        <w:t>transfusionsuafhængighed var 4,1 uger. Den mediane varighed af</w:t>
      </w:r>
      <w:r>
        <w:rPr>
          <w:sz w:val="24"/>
          <w:szCs w:val="24"/>
          <w:lang w:eastAsia="da-DK"/>
        </w:rPr>
        <w:t xml:space="preserve"> </w:t>
      </w:r>
      <w:r w:rsidRPr="005524AB">
        <w:rPr>
          <w:sz w:val="24"/>
          <w:szCs w:val="24"/>
          <w:lang w:eastAsia="da-DK"/>
        </w:rPr>
        <w:t>transfusionsuafhængigheden var</w:t>
      </w:r>
      <w:r>
        <w:rPr>
          <w:sz w:val="24"/>
          <w:szCs w:val="24"/>
          <w:lang w:eastAsia="da-DK"/>
        </w:rPr>
        <w:t xml:space="preserve"> </w:t>
      </w:r>
      <w:r w:rsidRPr="005524AB">
        <w:rPr>
          <w:sz w:val="24"/>
          <w:szCs w:val="24"/>
          <w:lang w:eastAsia="da-DK"/>
        </w:rPr>
        <w:t>114,4 uger. Den mediane stigning i hæmoglobin (Hgb) var 5,6 g/dl (3,5 mmol/l). Større og mindre</w:t>
      </w:r>
      <w:r>
        <w:rPr>
          <w:sz w:val="24"/>
          <w:szCs w:val="24"/>
          <w:lang w:eastAsia="da-DK"/>
        </w:rPr>
        <w:t xml:space="preserve"> </w:t>
      </w:r>
      <w:r w:rsidRPr="005524AB">
        <w:rPr>
          <w:sz w:val="24"/>
          <w:szCs w:val="24"/>
          <w:lang w:eastAsia="da-DK"/>
        </w:rPr>
        <w:t>cytogenetisk respons blev observeret hos hhv. 40,9 % og 30,7 % af personerne.</w:t>
      </w:r>
    </w:p>
    <w:p w:rsidR="00DF19D5" w:rsidRDefault="00DF19D5" w:rsidP="00DF19D5">
      <w:pPr>
        <w:autoSpaceDE w:val="0"/>
        <w:autoSpaceDN w:val="0"/>
        <w:adjustRightInd w:val="0"/>
        <w:ind w:left="850"/>
        <w:rPr>
          <w:sz w:val="24"/>
          <w:szCs w:val="24"/>
          <w:lang w:eastAsia="da-DK"/>
        </w:rPr>
      </w:pPr>
    </w:p>
    <w:p w:rsidR="00DF19D5" w:rsidRPr="00473978" w:rsidRDefault="00DF19D5" w:rsidP="00DF19D5">
      <w:pPr>
        <w:autoSpaceDE w:val="0"/>
        <w:autoSpaceDN w:val="0"/>
        <w:adjustRightInd w:val="0"/>
        <w:ind w:left="850"/>
        <w:rPr>
          <w:bCs/>
          <w:noProof/>
          <w:sz w:val="24"/>
          <w:szCs w:val="24"/>
          <w:u w:val="single"/>
          <w:lang w:val="nb-NO"/>
        </w:rPr>
      </w:pPr>
      <w:r w:rsidRPr="005524AB">
        <w:rPr>
          <w:sz w:val="24"/>
          <w:szCs w:val="24"/>
          <w:lang w:eastAsia="da-DK"/>
        </w:rPr>
        <w:t>En stor andel af personer inkluderet i MDS-003 (72,9 %) og MDS-004 (52,7 %) havde tidligere fået</w:t>
      </w:r>
      <w:r>
        <w:rPr>
          <w:sz w:val="24"/>
          <w:szCs w:val="24"/>
          <w:lang w:eastAsia="da-DK"/>
        </w:rPr>
        <w:t xml:space="preserve"> </w:t>
      </w:r>
      <w:r w:rsidRPr="005524AB">
        <w:rPr>
          <w:sz w:val="24"/>
          <w:szCs w:val="24"/>
          <w:lang w:eastAsia="da-DK"/>
        </w:rPr>
        <w:t>erytropoiese-stimulerende stoffer.</w:t>
      </w:r>
    </w:p>
    <w:p w:rsidR="00DF19D5" w:rsidRPr="00473978" w:rsidRDefault="00DF19D5" w:rsidP="00DF19D5">
      <w:pPr>
        <w:autoSpaceDE w:val="0"/>
        <w:autoSpaceDN w:val="0"/>
        <w:adjustRightInd w:val="0"/>
        <w:ind w:left="850"/>
        <w:rPr>
          <w:bCs/>
          <w:noProof/>
          <w:sz w:val="24"/>
          <w:szCs w:val="24"/>
          <w:u w:val="single"/>
          <w:lang w:val="nb-NO"/>
        </w:rPr>
      </w:pPr>
    </w:p>
    <w:p w:rsidR="00DF19D5" w:rsidRPr="005524AB" w:rsidRDefault="00DF19D5" w:rsidP="00DF19D5">
      <w:pPr>
        <w:autoSpaceDE w:val="0"/>
        <w:autoSpaceDN w:val="0"/>
        <w:adjustRightInd w:val="0"/>
        <w:ind w:left="850"/>
        <w:rPr>
          <w:i/>
          <w:iCs/>
          <w:sz w:val="24"/>
          <w:szCs w:val="24"/>
          <w:lang w:eastAsia="da-DK"/>
        </w:rPr>
      </w:pPr>
      <w:r w:rsidRPr="005524AB">
        <w:rPr>
          <w:i/>
          <w:iCs/>
          <w:sz w:val="24"/>
          <w:szCs w:val="24"/>
          <w:lang w:eastAsia="da-DK"/>
        </w:rPr>
        <w:t>Mantle celle lymfom</w:t>
      </w: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Lenalidomids virkning og sikkerhed blev evalueret hos patienter med mantle celle lymfom i et</w:t>
      </w:r>
      <w:r>
        <w:rPr>
          <w:sz w:val="24"/>
          <w:szCs w:val="24"/>
          <w:lang w:eastAsia="da-DK"/>
        </w:rPr>
        <w:t xml:space="preserve"> </w:t>
      </w:r>
      <w:r w:rsidRPr="005524AB">
        <w:rPr>
          <w:sz w:val="24"/>
          <w:szCs w:val="24"/>
          <w:lang w:eastAsia="da-DK"/>
        </w:rPr>
        <w:t xml:space="preserve">randomiseret, åbent fase 2-multicenterstudie </w:t>
      </w:r>
      <w:r w:rsidRPr="005524AB">
        <w:rPr>
          <w:i/>
          <w:iCs/>
          <w:sz w:val="24"/>
          <w:szCs w:val="24"/>
          <w:lang w:eastAsia="da-DK"/>
        </w:rPr>
        <w:t xml:space="preserve">versus </w:t>
      </w:r>
      <w:r w:rsidRPr="005524AB">
        <w:rPr>
          <w:sz w:val="24"/>
          <w:szCs w:val="24"/>
          <w:lang w:eastAsia="da-DK"/>
        </w:rPr>
        <w:t>investigators valg af enkeltstof hos patienter, som</w:t>
      </w:r>
      <w:r>
        <w:rPr>
          <w:sz w:val="24"/>
          <w:szCs w:val="24"/>
          <w:lang w:eastAsia="da-DK"/>
        </w:rPr>
        <w:t xml:space="preserve"> </w:t>
      </w:r>
      <w:r w:rsidRPr="005524AB">
        <w:rPr>
          <w:sz w:val="24"/>
          <w:szCs w:val="24"/>
          <w:lang w:eastAsia="da-DK"/>
        </w:rPr>
        <w:t>var refraktære over for deres sidste behandlingsregime, eller som havde recidiveret en til tre gange</w:t>
      </w:r>
      <w:r>
        <w:rPr>
          <w:sz w:val="24"/>
          <w:szCs w:val="24"/>
          <w:lang w:eastAsia="da-DK"/>
        </w:rPr>
        <w:t xml:space="preserve"> </w:t>
      </w:r>
      <w:r w:rsidRPr="005524AB">
        <w:rPr>
          <w:sz w:val="24"/>
          <w:szCs w:val="24"/>
          <w:lang w:eastAsia="da-DK"/>
        </w:rPr>
        <w:t>(studie MCL-002).</w:t>
      </w:r>
    </w:p>
    <w:p w:rsidR="00DF19D5" w:rsidRDefault="00DF19D5" w:rsidP="00DF19D5">
      <w:pPr>
        <w:autoSpaceDE w:val="0"/>
        <w:autoSpaceDN w:val="0"/>
        <w:adjustRightInd w:val="0"/>
        <w:ind w:left="850"/>
        <w:rPr>
          <w:sz w:val="24"/>
          <w:szCs w:val="24"/>
          <w:lang w:eastAsia="da-DK"/>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Patienter i alderen 18 år og derover med histologisk verificeret mantle celle lymfom og CT-målbar</w:t>
      </w:r>
      <w:r>
        <w:rPr>
          <w:sz w:val="24"/>
          <w:szCs w:val="24"/>
          <w:lang w:eastAsia="da-DK"/>
        </w:rPr>
        <w:t xml:space="preserve"> </w:t>
      </w:r>
      <w:r w:rsidRPr="005524AB">
        <w:rPr>
          <w:sz w:val="24"/>
          <w:szCs w:val="24"/>
          <w:lang w:eastAsia="da-DK"/>
        </w:rPr>
        <w:t>sygdom indgik. Det var et krav, at patienterne tidligere havde fået passende behandling med mindst et</w:t>
      </w:r>
      <w:r>
        <w:rPr>
          <w:sz w:val="24"/>
          <w:szCs w:val="24"/>
          <w:lang w:eastAsia="da-DK"/>
        </w:rPr>
        <w:t xml:space="preserve"> </w:t>
      </w:r>
      <w:r w:rsidRPr="005524AB">
        <w:rPr>
          <w:sz w:val="24"/>
          <w:szCs w:val="24"/>
          <w:lang w:eastAsia="da-DK"/>
        </w:rPr>
        <w:t xml:space="preserve">tidligere program med kemoterapi af kombinationstypen. </w:t>
      </w:r>
      <w:r w:rsidRPr="005524AB">
        <w:rPr>
          <w:sz w:val="24"/>
          <w:szCs w:val="24"/>
          <w:lang w:eastAsia="da-DK"/>
        </w:rPr>
        <w:lastRenderedPageBreak/>
        <w:t>Patienterne skulle også være uegnede til</w:t>
      </w:r>
      <w:r>
        <w:rPr>
          <w:sz w:val="24"/>
          <w:szCs w:val="24"/>
          <w:lang w:eastAsia="da-DK"/>
        </w:rPr>
        <w:t xml:space="preserve"> </w:t>
      </w:r>
      <w:r w:rsidRPr="005524AB">
        <w:rPr>
          <w:sz w:val="24"/>
          <w:szCs w:val="24"/>
          <w:lang w:eastAsia="da-DK"/>
        </w:rPr>
        <w:t>intensiv kemoterapi og/eller transplantation på tidspunktet for inklusion i studiet. Patienterne blev</w:t>
      </w:r>
      <w:r>
        <w:rPr>
          <w:sz w:val="24"/>
          <w:szCs w:val="24"/>
          <w:lang w:eastAsia="da-DK"/>
        </w:rPr>
        <w:t xml:space="preserve"> </w:t>
      </w:r>
      <w:r w:rsidRPr="005524AB">
        <w:rPr>
          <w:sz w:val="24"/>
          <w:szCs w:val="24"/>
          <w:lang w:eastAsia="da-DK"/>
        </w:rPr>
        <w:t>randomiseret i forholdet 2:1 til lenalidomid eller kontrol. Investigators behandling blev valgt før</w:t>
      </w:r>
      <w:r>
        <w:rPr>
          <w:sz w:val="24"/>
          <w:szCs w:val="24"/>
          <w:lang w:eastAsia="da-DK"/>
        </w:rPr>
        <w:t xml:space="preserve"> </w:t>
      </w:r>
      <w:r w:rsidRPr="005524AB">
        <w:rPr>
          <w:sz w:val="24"/>
          <w:szCs w:val="24"/>
          <w:lang w:eastAsia="da-DK"/>
        </w:rPr>
        <w:t>randomisering og bestod af monoterapi med enten chlorambucil, cytarabin, rituximab, fludarabin eller</w:t>
      </w:r>
      <w:r>
        <w:rPr>
          <w:sz w:val="24"/>
          <w:szCs w:val="24"/>
          <w:lang w:eastAsia="da-DK"/>
        </w:rPr>
        <w:t xml:space="preserve"> </w:t>
      </w:r>
      <w:r w:rsidRPr="005524AB">
        <w:rPr>
          <w:sz w:val="24"/>
          <w:szCs w:val="24"/>
          <w:lang w:eastAsia="da-DK"/>
        </w:rPr>
        <w:t>gemcitabin.</w:t>
      </w:r>
    </w:p>
    <w:p w:rsidR="00DF19D5" w:rsidRPr="005524AB" w:rsidRDefault="00DF19D5" w:rsidP="00DF19D5">
      <w:pPr>
        <w:autoSpaceDE w:val="0"/>
        <w:autoSpaceDN w:val="0"/>
        <w:adjustRightInd w:val="0"/>
        <w:ind w:left="850"/>
        <w:rPr>
          <w:sz w:val="24"/>
          <w:szCs w:val="24"/>
          <w:lang w:eastAsia="da-DK"/>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Lenalidomid blev administreret oralt 25 mg én gang dagligt de første 21 dage (D1 til D21) af gentagne</w:t>
      </w:r>
      <w:r>
        <w:rPr>
          <w:sz w:val="24"/>
          <w:szCs w:val="24"/>
          <w:lang w:eastAsia="da-DK"/>
        </w:rPr>
        <w:t xml:space="preserve"> </w:t>
      </w:r>
      <w:r w:rsidRPr="005524AB">
        <w:rPr>
          <w:sz w:val="24"/>
          <w:szCs w:val="24"/>
          <w:lang w:eastAsia="da-DK"/>
        </w:rPr>
        <w:t>28-dages cyklusser indtil progression eller uacceptabel toksicitet. Patienter med moderat nedsat</w:t>
      </w:r>
      <w:r>
        <w:rPr>
          <w:sz w:val="24"/>
          <w:szCs w:val="24"/>
          <w:lang w:eastAsia="da-DK"/>
        </w:rPr>
        <w:t xml:space="preserve"> </w:t>
      </w:r>
      <w:r w:rsidRPr="005524AB">
        <w:rPr>
          <w:sz w:val="24"/>
          <w:szCs w:val="24"/>
          <w:lang w:eastAsia="da-DK"/>
        </w:rPr>
        <w:t>nyrefunktion skulle have en lavere startdosis af lenalidomid på 10 mg dagligt med det samme skema.</w:t>
      </w:r>
    </w:p>
    <w:p w:rsidR="00DF19D5" w:rsidRDefault="00DF19D5" w:rsidP="00DF19D5">
      <w:pPr>
        <w:autoSpaceDE w:val="0"/>
        <w:autoSpaceDN w:val="0"/>
        <w:adjustRightInd w:val="0"/>
        <w:ind w:left="850"/>
        <w:rPr>
          <w:i/>
          <w:iCs/>
          <w:sz w:val="24"/>
          <w:szCs w:val="24"/>
          <w:lang w:eastAsia="da-DK"/>
        </w:rPr>
      </w:pPr>
    </w:p>
    <w:p w:rsidR="00DF19D5" w:rsidRDefault="00DF19D5" w:rsidP="00DF19D5">
      <w:pPr>
        <w:autoSpaceDE w:val="0"/>
        <w:autoSpaceDN w:val="0"/>
        <w:adjustRightInd w:val="0"/>
        <w:ind w:left="850"/>
        <w:rPr>
          <w:sz w:val="24"/>
          <w:szCs w:val="24"/>
          <w:lang w:eastAsia="da-DK"/>
        </w:rPr>
      </w:pPr>
      <w:r w:rsidRPr="005524AB">
        <w:rPr>
          <w:i/>
          <w:iCs/>
          <w:sz w:val="24"/>
          <w:szCs w:val="24"/>
          <w:lang w:eastAsia="da-DK"/>
        </w:rPr>
        <w:t>Baseline-</w:t>
      </w:r>
      <w:r w:rsidRPr="005524AB">
        <w:rPr>
          <w:sz w:val="24"/>
          <w:szCs w:val="24"/>
          <w:lang w:eastAsia="da-DK"/>
        </w:rPr>
        <w:t>demografien var sammenlignelig mellem lenalidomidarmen og kontrolarmen. Begge</w:t>
      </w:r>
      <w:r>
        <w:rPr>
          <w:sz w:val="24"/>
          <w:szCs w:val="24"/>
          <w:lang w:eastAsia="da-DK"/>
        </w:rPr>
        <w:t xml:space="preserve"> </w:t>
      </w:r>
      <w:r w:rsidRPr="005524AB">
        <w:rPr>
          <w:sz w:val="24"/>
          <w:szCs w:val="24"/>
          <w:lang w:eastAsia="da-DK"/>
        </w:rPr>
        <w:t>patientpopulationer havde en medianalder på 68,5 år og samme forhold mellem mænd og kvinder.</w:t>
      </w:r>
      <w:r>
        <w:rPr>
          <w:sz w:val="24"/>
          <w:szCs w:val="24"/>
          <w:lang w:eastAsia="da-DK"/>
        </w:rPr>
        <w:t xml:space="preserve"> </w:t>
      </w:r>
      <w:r w:rsidRPr="005524AB">
        <w:rPr>
          <w:sz w:val="24"/>
          <w:szCs w:val="24"/>
          <w:lang w:eastAsia="da-DK"/>
        </w:rPr>
        <w:t>ECOG-performancestatus var sammenlignelig mellem de 2 arme, og det var antallet af tidligere</w:t>
      </w:r>
      <w:r>
        <w:rPr>
          <w:sz w:val="24"/>
          <w:szCs w:val="24"/>
          <w:lang w:eastAsia="da-DK"/>
        </w:rPr>
        <w:t xml:space="preserve"> </w:t>
      </w:r>
      <w:r w:rsidRPr="005524AB">
        <w:rPr>
          <w:sz w:val="24"/>
          <w:szCs w:val="24"/>
          <w:lang w:eastAsia="da-DK"/>
        </w:rPr>
        <w:t>behandlinger også.</w:t>
      </w:r>
      <w:r>
        <w:rPr>
          <w:sz w:val="24"/>
          <w:szCs w:val="24"/>
          <w:lang w:eastAsia="da-DK"/>
        </w:rPr>
        <w:t xml:space="preserve"> </w:t>
      </w:r>
    </w:p>
    <w:p w:rsidR="00DF19D5" w:rsidRDefault="00DF19D5" w:rsidP="00DF19D5">
      <w:pPr>
        <w:autoSpaceDE w:val="0"/>
        <w:autoSpaceDN w:val="0"/>
        <w:adjustRightInd w:val="0"/>
        <w:ind w:left="850"/>
        <w:rPr>
          <w:sz w:val="24"/>
          <w:szCs w:val="24"/>
          <w:lang w:eastAsia="da-DK"/>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Det primære virkningsendepunkt i studie MCL-002 var progressionsfri overlevelse (PFS).</w:t>
      </w:r>
      <w:r>
        <w:rPr>
          <w:sz w:val="24"/>
          <w:szCs w:val="24"/>
          <w:lang w:eastAsia="da-DK"/>
        </w:rPr>
        <w:t xml:space="preserve"> </w:t>
      </w:r>
    </w:p>
    <w:p w:rsidR="00DF19D5" w:rsidRDefault="00DF19D5" w:rsidP="00DF19D5">
      <w:pPr>
        <w:autoSpaceDE w:val="0"/>
        <w:autoSpaceDN w:val="0"/>
        <w:adjustRightInd w:val="0"/>
        <w:ind w:left="850"/>
        <w:rPr>
          <w:sz w:val="24"/>
          <w:szCs w:val="24"/>
          <w:lang w:eastAsia="da-DK"/>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 xml:space="preserve">Virkningsresultaterne for </w:t>
      </w:r>
      <w:r w:rsidRPr="005524AB">
        <w:rPr>
          <w:i/>
          <w:iCs/>
          <w:sz w:val="24"/>
          <w:szCs w:val="24"/>
          <w:lang w:eastAsia="da-DK"/>
        </w:rPr>
        <w:t xml:space="preserve">intention-to-treat </w:t>
      </w:r>
      <w:r w:rsidRPr="005524AB">
        <w:rPr>
          <w:sz w:val="24"/>
          <w:szCs w:val="24"/>
          <w:lang w:eastAsia="da-DK"/>
        </w:rPr>
        <w:t>(ITT)-populationen blev vurderet af en uafhængig</w:t>
      </w:r>
      <w:r>
        <w:rPr>
          <w:sz w:val="24"/>
          <w:szCs w:val="24"/>
          <w:lang w:eastAsia="da-DK"/>
        </w:rPr>
        <w:t xml:space="preserve"> </w:t>
      </w:r>
      <w:r w:rsidRPr="005524AB">
        <w:rPr>
          <w:sz w:val="24"/>
          <w:szCs w:val="24"/>
          <w:lang w:eastAsia="da-DK"/>
        </w:rPr>
        <w:t>bedømmelseskomité (</w:t>
      </w:r>
      <w:r w:rsidRPr="005524AB">
        <w:rPr>
          <w:i/>
          <w:iCs/>
          <w:sz w:val="24"/>
          <w:szCs w:val="24"/>
          <w:lang w:eastAsia="da-DK"/>
        </w:rPr>
        <w:t>independent review committee</w:t>
      </w:r>
      <w:r w:rsidRPr="005524AB">
        <w:rPr>
          <w:sz w:val="24"/>
          <w:szCs w:val="24"/>
          <w:lang w:eastAsia="da-DK"/>
        </w:rPr>
        <w:t>, IRC) og ses i tabellen nedenfor.</w:t>
      </w:r>
    </w:p>
    <w:p w:rsidR="00DF19D5" w:rsidRPr="007C711F" w:rsidRDefault="00DF19D5" w:rsidP="00DF19D5">
      <w:pPr>
        <w:autoSpaceDE w:val="0"/>
        <w:autoSpaceDN w:val="0"/>
        <w:adjustRightInd w:val="0"/>
        <w:ind w:left="850"/>
        <w:rPr>
          <w:bCs/>
          <w:noProof/>
          <w:sz w:val="24"/>
          <w:szCs w:val="24"/>
          <w:u w:val="single"/>
        </w:rPr>
      </w:pPr>
    </w:p>
    <w:p w:rsidR="00DF19D5" w:rsidRPr="000F2B51" w:rsidRDefault="00DF19D5" w:rsidP="00DF19D5">
      <w:pPr>
        <w:pStyle w:val="NormalWeb"/>
        <w:ind w:left="850"/>
        <w:rPr>
          <w:sz w:val="24"/>
          <w:szCs w:val="24"/>
          <w:lang w:val="da-DK"/>
        </w:rPr>
      </w:pPr>
      <w:r w:rsidRPr="000F2B51">
        <w:rPr>
          <w:b/>
          <w:bCs/>
          <w:sz w:val="24"/>
          <w:szCs w:val="24"/>
          <w:lang w:val="da-DK"/>
        </w:rPr>
        <w:t xml:space="preserve">Tabel 13. </w:t>
      </w:r>
      <w:r w:rsidRPr="000F2B51">
        <w:rPr>
          <w:b/>
          <w:bCs/>
          <w:sz w:val="24"/>
          <w:szCs w:val="24"/>
          <w:lang w:val="da-DK" w:eastAsia="da-DK"/>
        </w:rPr>
        <w:t xml:space="preserve">Resumé af virkningsresultaterne - studie MCL-002, </w:t>
      </w:r>
      <w:r w:rsidRPr="000F2B51">
        <w:rPr>
          <w:b/>
          <w:bCs/>
          <w:i/>
          <w:iCs/>
          <w:sz w:val="24"/>
          <w:szCs w:val="24"/>
          <w:lang w:val="da-DK" w:eastAsia="da-DK"/>
        </w:rPr>
        <w:t>intention-to-treat</w:t>
      </w:r>
      <w:r w:rsidRPr="000F2B51">
        <w:rPr>
          <w:b/>
          <w:bCs/>
          <w:sz w:val="24"/>
          <w:szCs w:val="24"/>
          <w:lang w:val="da-DK" w:eastAsia="da-DK"/>
        </w:rPr>
        <w:t>-population</w:t>
      </w:r>
    </w:p>
    <w:tbl>
      <w:tblPr>
        <w:tblW w:w="9773" w:type="dxa"/>
        <w:tblCellSpacing w:w="0" w:type="dxa"/>
        <w:tblInd w:w="802"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4669"/>
        <w:gridCol w:w="2553"/>
        <w:gridCol w:w="2551"/>
      </w:tblGrid>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spacing w:line="264" w:lineRule="auto"/>
              <w:rPr>
                <w:color w:val="000000"/>
                <w:sz w:val="24"/>
                <w:szCs w:val="24"/>
              </w:rPr>
            </w:pPr>
          </w:p>
        </w:tc>
        <w:tc>
          <w:tcPr>
            <w:tcW w:w="1306"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b/>
                <w:bCs/>
                <w:sz w:val="24"/>
                <w:szCs w:val="24"/>
                <w:lang w:val="da-DK" w:eastAsia="da-DK"/>
              </w:rPr>
              <w:t>Lenalidomidarm</w:t>
            </w:r>
          </w:p>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N = 170</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b/>
                <w:bCs/>
                <w:sz w:val="24"/>
                <w:szCs w:val="24"/>
                <w:lang w:val="da-DK" w:eastAsia="da-DK"/>
              </w:rPr>
              <w:t>Kontrolarm</w:t>
            </w:r>
            <w:r w:rsidRPr="000F2B51">
              <w:rPr>
                <w:sz w:val="24"/>
                <w:szCs w:val="24"/>
                <w:lang w:val="da-DK"/>
              </w:rPr>
              <w:t xml:space="preserve"> </w:t>
            </w:r>
          </w:p>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N = 84</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b/>
                <w:bCs/>
                <w:sz w:val="24"/>
                <w:szCs w:val="24"/>
                <w:lang w:val="da-DK"/>
              </w:rPr>
              <w:t>PFS</w:t>
            </w:r>
            <w:r w:rsidRPr="000F2B51">
              <w:rPr>
                <w:sz w:val="24"/>
                <w:szCs w:val="24"/>
                <w:lang w:val="da-DK"/>
              </w:rPr>
              <w:t xml:space="preserve"> </w:t>
            </w:r>
          </w:p>
          <w:p w:rsidR="00DF19D5" w:rsidRPr="000A3112" w:rsidRDefault="00DF19D5" w:rsidP="000F2B51">
            <w:pPr>
              <w:pStyle w:val="NormalWeb"/>
              <w:spacing w:after="0" w:line="264" w:lineRule="auto"/>
              <w:rPr>
                <w:sz w:val="24"/>
                <w:szCs w:val="24"/>
                <w:lang w:val="da-DK"/>
              </w:rPr>
            </w:pPr>
            <w:r w:rsidRPr="000A3112">
              <w:rPr>
                <w:b/>
                <w:bCs/>
                <w:sz w:val="24"/>
                <w:szCs w:val="24"/>
                <w:lang w:val="da-DK"/>
              </w:rPr>
              <w:t>PFS,</w:t>
            </w:r>
            <w:r w:rsidRPr="000A3112">
              <w:rPr>
                <w:sz w:val="24"/>
                <w:szCs w:val="24"/>
                <w:lang w:val="da-DK"/>
              </w:rPr>
              <w:t xml:space="preserve"> </w:t>
            </w:r>
            <w:r w:rsidRPr="000A3112">
              <w:rPr>
                <w:b/>
                <w:bCs/>
                <w:sz w:val="24"/>
                <w:szCs w:val="24"/>
                <w:lang w:val="da-DK"/>
              </w:rPr>
              <w:t>median</w:t>
            </w:r>
            <w:r w:rsidRPr="000A3112">
              <w:rPr>
                <w:sz w:val="24"/>
                <w:szCs w:val="24"/>
                <w:vertAlign w:val="superscript"/>
                <w:lang w:val="da-DK"/>
              </w:rPr>
              <w:t>a</w:t>
            </w:r>
            <w:r w:rsidRPr="000A3112">
              <w:rPr>
                <w:sz w:val="24"/>
                <w:szCs w:val="24"/>
                <w:lang w:val="da-DK"/>
              </w:rPr>
              <w:t xml:space="preserve"> [95% CI]</w:t>
            </w:r>
            <w:r w:rsidRPr="000A3112">
              <w:rPr>
                <w:sz w:val="24"/>
                <w:szCs w:val="24"/>
                <w:vertAlign w:val="superscript"/>
                <w:lang w:val="da-DK"/>
              </w:rPr>
              <w:t>b</w:t>
            </w:r>
            <w:r w:rsidRPr="000A3112">
              <w:rPr>
                <w:sz w:val="24"/>
                <w:szCs w:val="24"/>
                <w:lang w:val="da-DK"/>
              </w:rPr>
              <w:t xml:space="preserve"> (uger)</w:t>
            </w:r>
          </w:p>
        </w:tc>
        <w:tc>
          <w:tcPr>
            <w:tcW w:w="1306" w:type="pct"/>
            <w:tcBorders>
              <w:top w:val="outset" w:sz="6" w:space="0" w:color="auto"/>
              <w:left w:val="outset" w:sz="6" w:space="0" w:color="auto"/>
              <w:bottom w:val="outset" w:sz="6" w:space="0" w:color="auto"/>
              <w:right w:val="outset" w:sz="6" w:space="0" w:color="auto"/>
            </w:tcBorders>
            <w:hideMark/>
          </w:tcPr>
          <w:p w:rsidR="00DF19D5" w:rsidRPr="000A3112" w:rsidRDefault="00DF19D5" w:rsidP="000F2B51">
            <w:pPr>
              <w:pStyle w:val="NormalWeb"/>
              <w:spacing w:after="0" w:line="264" w:lineRule="auto"/>
              <w:rPr>
                <w:sz w:val="24"/>
                <w:szCs w:val="24"/>
                <w:lang w:val="da-DK"/>
              </w:rPr>
            </w:pPr>
            <w:r w:rsidRPr="000A3112">
              <w:rPr>
                <w:sz w:val="24"/>
                <w:szCs w:val="24"/>
                <w:lang w:val="da-DK"/>
              </w:rPr>
              <w:t> </w:t>
            </w:r>
          </w:p>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37,6 [24,0; 52,6]</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sz w:val="24"/>
                <w:szCs w:val="24"/>
                <w:lang w:val="da-DK"/>
              </w:rPr>
              <w:t> </w:t>
            </w:r>
          </w:p>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22,7 [15,9; 30,1]</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b/>
                <w:bCs/>
                <w:sz w:val="24"/>
                <w:szCs w:val="24"/>
                <w:lang w:val="da-DK" w:eastAsia="da-DK"/>
              </w:rPr>
              <w:t>Sekventiel</w:t>
            </w:r>
            <w:r w:rsidRPr="000F2B51">
              <w:rPr>
                <w:b/>
                <w:bCs/>
                <w:sz w:val="24"/>
                <w:szCs w:val="24"/>
                <w:lang w:val="da-DK"/>
              </w:rPr>
              <w:t xml:space="preserve"> HR</w:t>
            </w:r>
            <w:r w:rsidRPr="000F2B51">
              <w:rPr>
                <w:sz w:val="24"/>
                <w:szCs w:val="24"/>
                <w:lang w:val="da-DK"/>
              </w:rPr>
              <w:t xml:space="preserve"> [95% CI]</w:t>
            </w:r>
            <w:r w:rsidRPr="000F2B51">
              <w:rPr>
                <w:sz w:val="24"/>
                <w:szCs w:val="24"/>
                <w:vertAlign w:val="superscript"/>
                <w:lang w:val="da-DK"/>
              </w:rPr>
              <w:t>e</w:t>
            </w:r>
          </w:p>
        </w:tc>
        <w:tc>
          <w:tcPr>
            <w:tcW w:w="2611" w:type="pct"/>
            <w:gridSpan w:val="2"/>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0,61 [0,44; 0,84]</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A3112" w:rsidRDefault="00DF19D5" w:rsidP="000F2B51">
            <w:pPr>
              <w:pStyle w:val="NormalWeb"/>
              <w:spacing w:after="0" w:line="264" w:lineRule="auto"/>
              <w:rPr>
                <w:sz w:val="24"/>
                <w:szCs w:val="24"/>
                <w:lang w:val="da-DK"/>
              </w:rPr>
            </w:pPr>
            <w:r w:rsidRPr="000A3112">
              <w:rPr>
                <w:sz w:val="24"/>
                <w:szCs w:val="24"/>
                <w:lang w:val="da-DK" w:eastAsia="da-DK"/>
              </w:rPr>
              <w:t>Sekventiel log-rank-test, p-værdi</w:t>
            </w:r>
            <w:r w:rsidRPr="000A3112">
              <w:rPr>
                <w:sz w:val="24"/>
                <w:szCs w:val="24"/>
                <w:vertAlign w:val="superscript"/>
                <w:lang w:val="da-DK"/>
              </w:rPr>
              <w:t xml:space="preserve"> e</w:t>
            </w:r>
          </w:p>
        </w:tc>
        <w:tc>
          <w:tcPr>
            <w:tcW w:w="2611" w:type="pct"/>
            <w:gridSpan w:val="2"/>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0,004</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b/>
                <w:bCs/>
                <w:sz w:val="24"/>
                <w:szCs w:val="24"/>
                <w:lang w:val="da-DK"/>
              </w:rPr>
              <w:t>Respons</w:t>
            </w:r>
            <w:r w:rsidRPr="000F2B51">
              <w:rPr>
                <w:sz w:val="24"/>
                <w:szCs w:val="24"/>
                <w:vertAlign w:val="superscript"/>
                <w:lang w:val="da-DK"/>
              </w:rPr>
              <w:t>a</w:t>
            </w:r>
            <w:r w:rsidRPr="000F2B51">
              <w:rPr>
                <w:sz w:val="24"/>
                <w:szCs w:val="24"/>
                <w:lang w:val="da-DK"/>
              </w:rPr>
              <w:t>, n (%)</w:t>
            </w:r>
          </w:p>
        </w:tc>
        <w:tc>
          <w:tcPr>
            <w:tcW w:w="1306" w:type="pct"/>
            <w:tcBorders>
              <w:top w:val="outset" w:sz="6" w:space="0" w:color="auto"/>
              <w:left w:val="outset" w:sz="6" w:space="0" w:color="auto"/>
              <w:bottom w:val="outset" w:sz="6" w:space="0" w:color="auto"/>
              <w:right w:val="outset" w:sz="6" w:space="0" w:color="auto"/>
            </w:tcBorders>
            <w:hideMark/>
          </w:tcPr>
          <w:p w:rsidR="00DF19D5" w:rsidRPr="000A3112" w:rsidRDefault="00DF19D5" w:rsidP="000F2B51">
            <w:pPr>
              <w:spacing w:line="264" w:lineRule="auto"/>
              <w:rPr>
                <w:color w:val="000000"/>
                <w:sz w:val="24"/>
                <w:szCs w:val="24"/>
              </w:rPr>
            </w:pPr>
          </w:p>
        </w:tc>
        <w:tc>
          <w:tcPr>
            <w:tcW w:w="1305" w:type="pct"/>
            <w:tcBorders>
              <w:top w:val="outset" w:sz="6" w:space="0" w:color="auto"/>
              <w:left w:val="outset" w:sz="6" w:space="0" w:color="auto"/>
              <w:bottom w:val="outset" w:sz="6" w:space="0" w:color="auto"/>
              <w:right w:val="outset" w:sz="6" w:space="0" w:color="auto"/>
            </w:tcBorders>
            <w:hideMark/>
          </w:tcPr>
          <w:p w:rsidR="00DF19D5" w:rsidRPr="000A3112" w:rsidRDefault="00DF19D5" w:rsidP="000F2B51">
            <w:pPr>
              <w:spacing w:line="264" w:lineRule="auto"/>
              <w:rPr>
                <w:sz w:val="24"/>
                <w:szCs w:val="24"/>
              </w:rPr>
            </w:pP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sz w:val="24"/>
                <w:szCs w:val="24"/>
                <w:lang w:val="da-DK" w:eastAsia="da-DK"/>
              </w:rPr>
              <w:t>Fuldstændigt respons</w:t>
            </w:r>
            <w:r w:rsidRPr="000F2B51">
              <w:rPr>
                <w:sz w:val="24"/>
                <w:szCs w:val="24"/>
                <w:lang w:val="da-DK"/>
              </w:rPr>
              <w:t xml:space="preserve"> (CR)</w:t>
            </w:r>
          </w:p>
        </w:tc>
        <w:tc>
          <w:tcPr>
            <w:tcW w:w="1306"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8 (4,7)</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0 (0,0)</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sz w:val="24"/>
                <w:szCs w:val="24"/>
                <w:lang w:val="da-DK" w:eastAsia="da-DK"/>
              </w:rPr>
              <w:t>Delvist respons</w:t>
            </w:r>
            <w:r w:rsidRPr="000F2B51">
              <w:rPr>
                <w:sz w:val="24"/>
                <w:szCs w:val="24"/>
                <w:lang w:val="da-DK"/>
              </w:rPr>
              <w:t xml:space="preserve"> (PR)</w:t>
            </w:r>
          </w:p>
        </w:tc>
        <w:tc>
          <w:tcPr>
            <w:tcW w:w="1306"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60 (35,3)</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9 (10,7)</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sz w:val="24"/>
                <w:szCs w:val="24"/>
                <w:lang w:val="da-DK" w:eastAsia="da-DK"/>
              </w:rPr>
              <w:t>Stabil sygdom</w:t>
            </w:r>
            <w:r w:rsidRPr="000F2B51">
              <w:rPr>
                <w:sz w:val="24"/>
                <w:szCs w:val="24"/>
                <w:lang w:val="da-DK"/>
              </w:rPr>
              <w:t xml:space="preserve"> (SD)</w:t>
            </w:r>
            <w:r w:rsidRPr="000F2B51">
              <w:rPr>
                <w:sz w:val="24"/>
                <w:szCs w:val="24"/>
                <w:vertAlign w:val="superscript"/>
                <w:lang w:val="da-DK"/>
              </w:rPr>
              <w:t>b</w:t>
            </w:r>
          </w:p>
        </w:tc>
        <w:tc>
          <w:tcPr>
            <w:tcW w:w="1306"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50 (29,4)</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44 (52,4)</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sz w:val="24"/>
                <w:szCs w:val="24"/>
                <w:lang w:val="da-DK" w:eastAsia="da-DK"/>
              </w:rPr>
              <w:t>Progressiv sygdom</w:t>
            </w:r>
            <w:r w:rsidRPr="000F2B51">
              <w:rPr>
                <w:sz w:val="24"/>
                <w:szCs w:val="24"/>
                <w:lang w:val="da-DK"/>
              </w:rPr>
              <w:t xml:space="preserve"> (PD)</w:t>
            </w:r>
          </w:p>
        </w:tc>
        <w:tc>
          <w:tcPr>
            <w:tcW w:w="1306"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34 (20,0)</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26 (31,0)</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sz w:val="24"/>
                <w:szCs w:val="24"/>
                <w:lang w:val="da-DK" w:eastAsia="da-DK"/>
              </w:rPr>
              <w:t>Ikke udført/mangler</w:t>
            </w:r>
          </w:p>
        </w:tc>
        <w:tc>
          <w:tcPr>
            <w:tcW w:w="1306"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18 (10,6)</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5 (6,0)</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FE7A5C" w:rsidRDefault="00DF19D5" w:rsidP="000F2B51">
            <w:pPr>
              <w:pStyle w:val="NormalWeb"/>
              <w:spacing w:after="0" w:line="264" w:lineRule="auto"/>
              <w:rPr>
                <w:sz w:val="24"/>
                <w:szCs w:val="24"/>
              </w:rPr>
            </w:pPr>
            <w:r w:rsidRPr="00FE7A5C">
              <w:rPr>
                <w:b/>
                <w:bCs/>
                <w:sz w:val="24"/>
                <w:szCs w:val="24"/>
              </w:rPr>
              <w:t>ORR (CR, CRu, PR)</w:t>
            </w:r>
            <w:r w:rsidRPr="00FE7A5C">
              <w:rPr>
                <w:sz w:val="24"/>
                <w:szCs w:val="24"/>
              </w:rPr>
              <w:t>, n (%) [95% CI]</w:t>
            </w:r>
            <w:r w:rsidRPr="00E3300F">
              <w:rPr>
                <w:sz w:val="24"/>
                <w:szCs w:val="24"/>
                <w:vertAlign w:val="superscript"/>
              </w:rPr>
              <w:t>c</w:t>
            </w:r>
          </w:p>
        </w:tc>
        <w:tc>
          <w:tcPr>
            <w:tcW w:w="1306"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68 (40,0) [32,58; 47,78]</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9 (10,7)</w:t>
            </w:r>
            <w:r w:rsidRPr="000F2B51">
              <w:rPr>
                <w:sz w:val="24"/>
                <w:szCs w:val="24"/>
                <w:vertAlign w:val="superscript"/>
                <w:lang w:val="da-DK"/>
              </w:rPr>
              <w:t>d</w:t>
            </w:r>
            <w:r w:rsidRPr="000F2B51">
              <w:rPr>
                <w:sz w:val="24"/>
                <w:szCs w:val="24"/>
                <w:lang w:val="da-DK"/>
              </w:rPr>
              <w:t xml:space="preserve"> [5,02; 19,37]</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ind w:left="225"/>
              <w:rPr>
                <w:sz w:val="24"/>
                <w:szCs w:val="24"/>
                <w:lang w:val="da-DK"/>
              </w:rPr>
            </w:pPr>
            <w:r w:rsidRPr="000F2B51">
              <w:rPr>
                <w:sz w:val="24"/>
                <w:szCs w:val="24"/>
                <w:lang w:val="da-DK" w:eastAsia="da-DK"/>
              </w:rPr>
              <w:t>p-værdi</w:t>
            </w:r>
            <w:r w:rsidRPr="000F2B51">
              <w:rPr>
                <w:sz w:val="24"/>
                <w:szCs w:val="24"/>
                <w:vertAlign w:val="superscript"/>
                <w:lang w:val="da-DK"/>
              </w:rPr>
              <w:t xml:space="preserve"> e</w:t>
            </w:r>
          </w:p>
        </w:tc>
        <w:tc>
          <w:tcPr>
            <w:tcW w:w="2611" w:type="pct"/>
            <w:gridSpan w:val="2"/>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&lt; 0,001</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FE7A5C" w:rsidRDefault="00DF19D5" w:rsidP="000F2B51">
            <w:pPr>
              <w:pStyle w:val="NormalWeb"/>
              <w:spacing w:after="0" w:line="264" w:lineRule="auto"/>
              <w:rPr>
                <w:sz w:val="24"/>
                <w:szCs w:val="24"/>
              </w:rPr>
            </w:pPr>
            <w:r w:rsidRPr="00FE7A5C">
              <w:rPr>
                <w:b/>
                <w:bCs/>
                <w:sz w:val="24"/>
                <w:szCs w:val="24"/>
              </w:rPr>
              <w:t>CRR (CR, CRu)</w:t>
            </w:r>
            <w:r w:rsidRPr="00FE7A5C">
              <w:rPr>
                <w:sz w:val="24"/>
                <w:szCs w:val="24"/>
              </w:rPr>
              <w:t>, n (%) [95% CI]</w:t>
            </w:r>
            <w:r w:rsidRPr="00E3300F">
              <w:rPr>
                <w:sz w:val="24"/>
                <w:szCs w:val="24"/>
                <w:vertAlign w:val="superscript"/>
              </w:rPr>
              <w:t>c</w:t>
            </w:r>
          </w:p>
        </w:tc>
        <w:tc>
          <w:tcPr>
            <w:tcW w:w="1306"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8 (4,7) [2,05; 9,06]</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0 (0,0) [95,70; 100,00]</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ind w:left="225"/>
              <w:rPr>
                <w:sz w:val="24"/>
                <w:szCs w:val="24"/>
                <w:lang w:val="da-DK"/>
              </w:rPr>
            </w:pPr>
            <w:r w:rsidRPr="000F2B51">
              <w:rPr>
                <w:sz w:val="24"/>
                <w:szCs w:val="24"/>
                <w:lang w:val="da-DK" w:eastAsia="da-DK"/>
              </w:rPr>
              <w:t>p-værdi</w:t>
            </w:r>
            <w:r w:rsidRPr="000F2B51">
              <w:rPr>
                <w:sz w:val="24"/>
                <w:szCs w:val="24"/>
                <w:vertAlign w:val="superscript"/>
                <w:lang w:val="da-DK"/>
              </w:rPr>
              <w:t xml:space="preserve"> e</w:t>
            </w:r>
          </w:p>
        </w:tc>
        <w:tc>
          <w:tcPr>
            <w:tcW w:w="2611" w:type="pct"/>
            <w:gridSpan w:val="2"/>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0,043</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b/>
                <w:bCs/>
                <w:sz w:val="24"/>
                <w:szCs w:val="24"/>
                <w:lang w:val="da-DK" w:eastAsia="da-DK"/>
              </w:rPr>
              <w:t>Responsvarighed, median</w:t>
            </w:r>
            <w:r w:rsidRPr="000F2B51">
              <w:rPr>
                <w:sz w:val="24"/>
                <w:szCs w:val="24"/>
                <w:vertAlign w:val="superscript"/>
                <w:lang w:val="da-DK"/>
              </w:rPr>
              <w:t xml:space="preserve"> a</w:t>
            </w:r>
            <w:r w:rsidRPr="000F2B51">
              <w:rPr>
                <w:sz w:val="24"/>
                <w:szCs w:val="24"/>
                <w:lang w:val="da-DK"/>
              </w:rPr>
              <w:t xml:space="preserve"> [95% CI] (uger)</w:t>
            </w:r>
          </w:p>
        </w:tc>
        <w:tc>
          <w:tcPr>
            <w:tcW w:w="1306"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69,6 [41,1; 86,7]</w:t>
            </w:r>
          </w:p>
        </w:tc>
        <w:tc>
          <w:tcPr>
            <w:tcW w:w="1305"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45,1 [36,3; 80,9]</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b/>
                <w:bCs/>
                <w:sz w:val="24"/>
                <w:szCs w:val="24"/>
                <w:lang w:val="da-DK" w:eastAsia="da-DK"/>
              </w:rPr>
              <w:t>Samlet overlevelse</w:t>
            </w:r>
          </w:p>
        </w:tc>
        <w:tc>
          <w:tcPr>
            <w:tcW w:w="1306" w:type="pct"/>
            <w:tcBorders>
              <w:top w:val="outset" w:sz="6" w:space="0" w:color="auto"/>
              <w:left w:val="outset" w:sz="6" w:space="0" w:color="auto"/>
              <w:bottom w:val="outset" w:sz="6" w:space="0" w:color="auto"/>
              <w:right w:val="outset" w:sz="6" w:space="0" w:color="auto"/>
            </w:tcBorders>
            <w:hideMark/>
          </w:tcPr>
          <w:p w:rsidR="00DF19D5" w:rsidRPr="000A3112" w:rsidRDefault="00DF19D5" w:rsidP="000F2B51">
            <w:pPr>
              <w:spacing w:line="264" w:lineRule="auto"/>
              <w:rPr>
                <w:color w:val="000000"/>
                <w:sz w:val="24"/>
                <w:szCs w:val="24"/>
              </w:rPr>
            </w:pPr>
          </w:p>
        </w:tc>
        <w:tc>
          <w:tcPr>
            <w:tcW w:w="1305" w:type="pct"/>
            <w:tcBorders>
              <w:top w:val="outset" w:sz="6" w:space="0" w:color="auto"/>
              <w:left w:val="outset" w:sz="6" w:space="0" w:color="auto"/>
              <w:bottom w:val="outset" w:sz="6" w:space="0" w:color="auto"/>
              <w:right w:val="outset" w:sz="6" w:space="0" w:color="auto"/>
            </w:tcBorders>
            <w:hideMark/>
          </w:tcPr>
          <w:p w:rsidR="00DF19D5" w:rsidRPr="000A3112" w:rsidRDefault="00DF19D5" w:rsidP="000F2B51">
            <w:pPr>
              <w:spacing w:line="264" w:lineRule="auto"/>
              <w:rPr>
                <w:sz w:val="24"/>
                <w:szCs w:val="24"/>
              </w:rPr>
            </w:pP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b/>
                <w:bCs/>
                <w:sz w:val="24"/>
                <w:szCs w:val="24"/>
                <w:lang w:val="da-DK"/>
              </w:rPr>
              <w:t>HR</w:t>
            </w:r>
            <w:r w:rsidRPr="000F2B51">
              <w:rPr>
                <w:sz w:val="24"/>
                <w:szCs w:val="24"/>
                <w:lang w:val="da-DK"/>
              </w:rPr>
              <w:t xml:space="preserve"> [95% CI]</w:t>
            </w:r>
            <w:r w:rsidRPr="000F2B51">
              <w:rPr>
                <w:sz w:val="24"/>
                <w:szCs w:val="24"/>
                <w:vertAlign w:val="superscript"/>
                <w:lang w:val="da-DK"/>
              </w:rPr>
              <w:t>c</w:t>
            </w:r>
          </w:p>
        </w:tc>
        <w:tc>
          <w:tcPr>
            <w:tcW w:w="2611" w:type="pct"/>
            <w:gridSpan w:val="2"/>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0,89 [0,62; 1,28]</w:t>
            </w:r>
          </w:p>
        </w:tc>
      </w:tr>
      <w:tr w:rsidR="00DF19D5" w:rsidRPr="000A3112" w:rsidTr="000F2B51">
        <w:trPr>
          <w:tblCellSpacing w:w="0" w:type="dxa"/>
        </w:trPr>
        <w:tc>
          <w:tcPr>
            <w:tcW w:w="2389" w:type="pct"/>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rPr>
                <w:sz w:val="24"/>
                <w:szCs w:val="24"/>
                <w:lang w:val="da-DK"/>
              </w:rPr>
            </w:pPr>
            <w:r w:rsidRPr="000F2B51">
              <w:rPr>
                <w:sz w:val="24"/>
                <w:szCs w:val="24"/>
                <w:lang w:val="da-DK" w:eastAsia="da-DK"/>
              </w:rPr>
              <w:lastRenderedPageBreak/>
              <w:t>Log-rank-test, p-værdi</w:t>
            </w:r>
          </w:p>
        </w:tc>
        <w:tc>
          <w:tcPr>
            <w:tcW w:w="2611" w:type="pct"/>
            <w:gridSpan w:val="2"/>
            <w:tcBorders>
              <w:top w:val="outset" w:sz="6" w:space="0" w:color="auto"/>
              <w:left w:val="outset" w:sz="6" w:space="0" w:color="auto"/>
              <w:bottom w:val="outset" w:sz="6" w:space="0" w:color="auto"/>
              <w:right w:val="outset" w:sz="6" w:space="0" w:color="auto"/>
            </w:tcBorders>
            <w:hideMark/>
          </w:tcPr>
          <w:p w:rsidR="00DF19D5" w:rsidRPr="000F2B51" w:rsidRDefault="00DF19D5" w:rsidP="000F2B51">
            <w:pPr>
              <w:pStyle w:val="NormalWeb"/>
              <w:spacing w:after="0" w:line="264" w:lineRule="auto"/>
              <w:jc w:val="center"/>
              <w:rPr>
                <w:sz w:val="24"/>
                <w:szCs w:val="24"/>
                <w:lang w:val="da-DK"/>
              </w:rPr>
            </w:pPr>
            <w:r w:rsidRPr="000F2B51">
              <w:rPr>
                <w:sz w:val="24"/>
                <w:szCs w:val="24"/>
                <w:lang w:val="da-DK"/>
              </w:rPr>
              <w:t>0,520</w:t>
            </w:r>
          </w:p>
        </w:tc>
      </w:tr>
    </w:tbl>
    <w:p w:rsidR="00DF19D5" w:rsidRPr="000A3112" w:rsidRDefault="00DF19D5" w:rsidP="00DF19D5">
      <w:pPr>
        <w:autoSpaceDE w:val="0"/>
        <w:autoSpaceDN w:val="0"/>
        <w:adjustRightInd w:val="0"/>
        <w:ind w:left="850"/>
        <w:rPr>
          <w:sz w:val="20"/>
          <w:lang w:eastAsia="da-DK"/>
        </w:rPr>
      </w:pPr>
      <w:r w:rsidRPr="000A3112">
        <w:rPr>
          <w:sz w:val="20"/>
          <w:lang w:eastAsia="da-DK"/>
        </w:rPr>
        <w:t>CI = konfidensinterval, CRR = rate for fuldstændigt respons, CR = fuldstændigt respons, CRu = fuldstændigt respons ikke bekræftet,</w:t>
      </w:r>
    </w:p>
    <w:p w:rsidR="00DF19D5" w:rsidRPr="005524AB" w:rsidRDefault="00DF19D5" w:rsidP="00DF19D5">
      <w:pPr>
        <w:autoSpaceDE w:val="0"/>
        <w:autoSpaceDN w:val="0"/>
        <w:adjustRightInd w:val="0"/>
        <w:ind w:left="850"/>
        <w:rPr>
          <w:i/>
          <w:iCs/>
          <w:sz w:val="20"/>
          <w:lang w:val="en-US" w:eastAsia="da-DK"/>
        </w:rPr>
      </w:pPr>
      <w:r w:rsidRPr="005524AB">
        <w:rPr>
          <w:sz w:val="20"/>
          <w:lang w:val="en-US" w:eastAsia="da-DK"/>
        </w:rPr>
        <w:t xml:space="preserve">DMC = </w:t>
      </w:r>
      <w:r w:rsidRPr="005524AB">
        <w:rPr>
          <w:i/>
          <w:iCs/>
          <w:sz w:val="20"/>
          <w:lang w:val="en-US" w:eastAsia="da-DK"/>
        </w:rPr>
        <w:t>Data Monitoring Committee</w:t>
      </w:r>
      <w:r w:rsidRPr="005524AB">
        <w:rPr>
          <w:sz w:val="20"/>
          <w:lang w:val="en-US" w:eastAsia="da-DK"/>
        </w:rPr>
        <w:t xml:space="preserve">, ITT = </w:t>
      </w:r>
      <w:r w:rsidRPr="005524AB">
        <w:rPr>
          <w:i/>
          <w:iCs/>
          <w:sz w:val="20"/>
          <w:lang w:val="en-US" w:eastAsia="da-DK"/>
        </w:rPr>
        <w:t>intention-to-treat</w:t>
      </w:r>
      <w:r w:rsidRPr="005524AB">
        <w:rPr>
          <w:sz w:val="20"/>
          <w:lang w:val="en-US" w:eastAsia="da-DK"/>
        </w:rPr>
        <w:t xml:space="preserve">, HR = </w:t>
      </w:r>
      <w:r w:rsidRPr="005524AB">
        <w:rPr>
          <w:i/>
          <w:iCs/>
          <w:sz w:val="20"/>
          <w:lang w:val="en-US" w:eastAsia="da-DK"/>
        </w:rPr>
        <w:t xml:space="preserve">hazard </w:t>
      </w:r>
      <w:r w:rsidRPr="005524AB">
        <w:rPr>
          <w:sz w:val="20"/>
          <w:lang w:val="en-US" w:eastAsia="da-DK"/>
        </w:rPr>
        <w:t xml:space="preserve">ratio, KM = Kaplan-Meier, MIPI = </w:t>
      </w:r>
      <w:r w:rsidRPr="005524AB">
        <w:rPr>
          <w:i/>
          <w:iCs/>
          <w:sz w:val="20"/>
          <w:lang w:val="en-US" w:eastAsia="da-DK"/>
        </w:rPr>
        <w:t>Mantle Cell Lymphoma</w:t>
      </w:r>
    </w:p>
    <w:p w:rsidR="00DF19D5" w:rsidRPr="005524AB" w:rsidRDefault="00DF19D5" w:rsidP="00DF19D5">
      <w:pPr>
        <w:autoSpaceDE w:val="0"/>
        <w:autoSpaceDN w:val="0"/>
        <w:adjustRightInd w:val="0"/>
        <w:ind w:left="850"/>
        <w:rPr>
          <w:sz w:val="20"/>
          <w:lang w:eastAsia="da-DK"/>
        </w:rPr>
      </w:pPr>
      <w:r w:rsidRPr="005524AB">
        <w:rPr>
          <w:i/>
          <w:iCs/>
          <w:sz w:val="20"/>
          <w:lang w:eastAsia="da-DK"/>
        </w:rPr>
        <w:t>International Prognostic Index</w:t>
      </w:r>
      <w:r w:rsidRPr="005524AB">
        <w:rPr>
          <w:sz w:val="20"/>
          <w:lang w:eastAsia="da-DK"/>
        </w:rPr>
        <w:t>, NA = ikke relevant, ORR = samlet responsrate, PD = progressiv sygdom, PFS = progressionsfri overlevelse,</w:t>
      </w:r>
    </w:p>
    <w:p w:rsidR="00DF19D5" w:rsidRPr="005524AB" w:rsidRDefault="00DF19D5" w:rsidP="00DF19D5">
      <w:pPr>
        <w:autoSpaceDE w:val="0"/>
        <w:autoSpaceDN w:val="0"/>
        <w:adjustRightInd w:val="0"/>
        <w:ind w:left="850"/>
        <w:rPr>
          <w:sz w:val="20"/>
          <w:lang w:eastAsia="da-DK"/>
        </w:rPr>
      </w:pPr>
      <w:r w:rsidRPr="005524AB">
        <w:rPr>
          <w:sz w:val="20"/>
          <w:lang w:eastAsia="da-DK"/>
        </w:rPr>
        <w:t>PR = delvist respons, SCT = stamcelletransplantation, SD: stabil sygdom, SE = standardfejl.</w:t>
      </w:r>
    </w:p>
    <w:p w:rsidR="00DF19D5" w:rsidRPr="005524AB" w:rsidRDefault="00DF19D5" w:rsidP="00DF19D5">
      <w:pPr>
        <w:autoSpaceDE w:val="0"/>
        <w:autoSpaceDN w:val="0"/>
        <w:adjustRightInd w:val="0"/>
        <w:ind w:left="850"/>
        <w:rPr>
          <w:sz w:val="20"/>
          <w:lang w:eastAsia="da-DK"/>
        </w:rPr>
      </w:pPr>
      <w:r w:rsidRPr="005524AB">
        <w:rPr>
          <w:sz w:val="20"/>
          <w:lang w:eastAsia="da-DK"/>
        </w:rPr>
        <w:t>a Medianen er baseret på KM-estimatet.</w:t>
      </w:r>
    </w:p>
    <w:p w:rsidR="00DF19D5" w:rsidRPr="005524AB" w:rsidRDefault="00DF19D5" w:rsidP="00DF19D5">
      <w:pPr>
        <w:autoSpaceDE w:val="0"/>
        <w:autoSpaceDN w:val="0"/>
        <w:adjustRightInd w:val="0"/>
        <w:ind w:left="850"/>
        <w:rPr>
          <w:sz w:val="20"/>
          <w:lang w:eastAsia="da-DK"/>
        </w:rPr>
      </w:pPr>
      <w:r w:rsidRPr="005524AB">
        <w:rPr>
          <w:sz w:val="20"/>
          <w:lang w:eastAsia="da-DK"/>
        </w:rPr>
        <w:t>b Intervallet blev beregnet som 95 % CI'er omkring den mediane overlevelsestid.</w:t>
      </w:r>
    </w:p>
    <w:p w:rsidR="00DF19D5" w:rsidRPr="005524AB" w:rsidRDefault="00DF19D5" w:rsidP="00DF19D5">
      <w:pPr>
        <w:autoSpaceDE w:val="0"/>
        <w:autoSpaceDN w:val="0"/>
        <w:adjustRightInd w:val="0"/>
        <w:ind w:left="850"/>
        <w:rPr>
          <w:sz w:val="20"/>
          <w:lang w:eastAsia="da-DK"/>
        </w:rPr>
      </w:pPr>
      <w:r w:rsidRPr="005524AB">
        <w:rPr>
          <w:sz w:val="20"/>
          <w:lang w:eastAsia="da-DK"/>
        </w:rPr>
        <w:t>c Ved beregning af gennemsnit og median er anvendt univariat statistik uden justering for censurering.</w:t>
      </w:r>
    </w:p>
    <w:p w:rsidR="00DF19D5" w:rsidRPr="005524AB" w:rsidRDefault="00DF19D5" w:rsidP="00DF19D5">
      <w:pPr>
        <w:autoSpaceDE w:val="0"/>
        <w:autoSpaceDN w:val="0"/>
        <w:adjustRightInd w:val="0"/>
        <w:ind w:left="850"/>
        <w:rPr>
          <w:rFonts w:eastAsia="TimesNewRomanPSMT"/>
          <w:sz w:val="20"/>
          <w:lang w:eastAsia="da-DK"/>
        </w:rPr>
      </w:pPr>
      <w:r w:rsidRPr="005524AB">
        <w:rPr>
          <w:sz w:val="20"/>
          <w:lang w:eastAsia="da-DK"/>
        </w:rPr>
        <w:t xml:space="preserve">d </w:t>
      </w:r>
      <w:r w:rsidRPr="005524AB">
        <w:rPr>
          <w:rFonts w:eastAsia="TimesNewRomanPSMT"/>
          <w:sz w:val="20"/>
          <w:lang w:eastAsia="da-DK"/>
        </w:rPr>
        <w:t>Stratifikationsvariable inkluderede tid fra diagnostisering til første dosis (&lt; 3 år og ≥ 3 år), tid fra sidste tidligere systemiske</w:t>
      </w:r>
    </w:p>
    <w:p w:rsidR="00DF19D5" w:rsidRPr="005524AB" w:rsidRDefault="00DF19D5" w:rsidP="00DF19D5">
      <w:pPr>
        <w:autoSpaceDE w:val="0"/>
        <w:autoSpaceDN w:val="0"/>
        <w:adjustRightInd w:val="0"/>
        <w:ind w:left="850"/>
        <w:rPr>
          <w:sz w:val="20"/>
          <w:lang w:eastAsia="da-DK"/>
        </w:rPr>
      </w:pPr>
      <w:r w:rsidRPr="005524AB">
        <w:rPr>
          <w:rFonts w:eastAsia="TimesNewRomanPSMT"/>
          <w:sz w:val="20"/>
          <w:lang w:eastAsia="da-DK"/>
        </w:rPr>
        <w:t xml:space="preserve">anti-lymfombehandling til første dosis (&lt; 6 måneder og ≥ 6 måneder), tidligere SCT (ja eller nej) og MIPI ved </w:t>
      </w:r>
      <w:r w:rsidRPr="005524AB">
        <w:rPr>
          <w:i/>
          <w:iCs/>
          <w:sz w:val="20"/>
          <w:lang w:eastAsia="da-DK"/>
        </w:rPr>
        <w:t xml:space="preserve">baseline </w:t>
      </w:r>
      <w:r w:rsidRPr="005524AB">
        <w:rPr>
          <w:sz w:val="20"/>
          <w:lang w:eastAsia="da-DK"/>
        </w:rPr>
        <w:t>(lav, intermediær og</w:t>
      </w:r>
    </w:p>
    <w:p w:rsidR="00DF19D5" w:rsidRPr="005524AB" w:rsidRDefault="00DF19D5" w:rsidP="00DF19D5">
      <w:pPr>
        <w:autoSpaceDE w:val="0"/>
        <w:autoSpaceDN w:val="0"/>
        <w:adjustRightInd w:val="0"/>
        <w:ind w:left="850"/>
        <w:rPr>
          <w:sz w:val="20"/>
          <w:lang w:eastAsia="da-DK"/>
        </w:rPr>
      </w:pPr>
      <w:r w:rsidRPr="005524AB">
        <w:rPr>
          <w:sz w:val="20"/>
          <w:lang w:eastAsia="da-DK"/>
        </w:rPr>
        <w:t>høj risiko).</w:t>
      </w:r>
    </w:p>
    <w:p w:rsidR="00DF19D5" w:rsidRPr="005524AB" w:rsidRDefault="00DF19D5" w:rsidP="00DF19D5">
      <w:pPr>
        <w:autoSpaceDE w:val="0"/>
        <w:autoSpaceDN w:val="0"/>
        <w:adjustRightInd w:val="0"/>
        <w:ind w:left="850"/>
        <w:rPr>
          <w:sz w:val="20"/>
          <w:lang w:eastAsia="da-DK"/>
        </w:rPr>
      </w:pPr>
      <w:r w:rsidRPr="005524AB">
        <w:rPr>
          <w:sz w:val="20"/>
          <w:lang w:eastAsia="da-DK"/>
        </w:rPr>
        <w:t>e Sekventiel test var baseret på et vægtet gennemsnit af en log-rank-teststatistik ved hjælp af den ustratificerede log-rank-test for øget</w:t>
      </w:r>
    </w:p>
    <w:p w:rsidR="00DF19D5" w:rsidRPr="005524AB" w:rsidRDefault="00DF19D5" w:rsidP="00DF19D5">
      <w:pPr>
        <w:autoSpaceDE w:val="0"/>
        <w:autoSpaceDN w:val="0"/>
        <w:adjustRightInd w:val="0"/>
        <w:ind w:left="850"/>
        <w:rPr>
          <w:sz w:val="20"/>
          <w:lang w:eastAsia="da-DK"/>
        </w:rPr>
      </w:pPr>
      <w:r w:rsidRPr="005524AB">
        <w:rPr>
          <w:sz w:val="20"/>
          <w:lang w:eastAsia="da-DK"/>
        </w:rPr>
        <w:t>prøvestørrelse og den ustratificerede long-rank-test for den primære analyse. Vægtningerne er baseret på observerede hændelser på</w:t>
      </w:r>
    </w:p>
    <w:p w:rsidR="00DF19D5" w:rsidRPr="005524AB" w:rsidRDefault="00DF19D5" w:rsidP="00DF19D5">
      <w:pPr>
        <w:autoSpaceDE w:val="0"/>
        <w:autoSpaceDN w:val="0"/>
        <w:adjustRightInd w:val="0"/>
        <w:ind w:left="850"/>
        <w:rPr>
          <w:sz w:val="20"/>
          <w:lang w:eastAsia="da-DK"/>
        </w:rPr>
      </w:pPr>
      <w:r w:rsidRPr="005524AB">
        <w:rPr>
          <w:sz w:val="20"/>
          <w:lang w:eastAsia="da-DK"/>
        </w:rPr>
        <w:t>tidspunktet for det tredje DMC-møde og baseret på forskellen mellem observerede og forventede hændelser på tidspunktet for den primære</w:t>
      </w:r>
    </w:p>
    <w:p w:rsidR="00DF19D5" w:rsidRPr="005524AB" w:rsidRDefault="00DF19D5" w:rsidP="00DF19D5">
      <w:pPr>
        <w:autoSpaceDE w:val="0"/>
        <w:autoSpaceDN w:val="0"/>
        <w:adjustRightInd w:val="0"/>
        <w:ind w:left="850"/>
        <w:rPr>
          <w:bCs/>
          <w:noProof/>
          <w:sz w:val="20"/>
          <w:u w:val="single"/>
        </w:rPr>
      </w:pPr>
      <w:r w:rsidRPr="005524AB">
        <w:rPr>
          <w:sz w:val="20"/>
          <w:lang w:eastAsia="da-DK"/>
        </w:rPr>
        <w:t>analyse. Den forbundne sekventielle HR og det korresponderende 95 % CI vises.</w:t>
      </w:r>
    </w:p>
    <w:p w:rsidR="00DF19D5" w:rsidRPr="005524AB" w:rsidRDefault="00DF19D5" w:rsidP="00DF19D5">
      <w:pPr>
        <w:autoSpaceDE w:val="0"/>
        <w:autoSpaceDN w:val="0"/>
        <w:adjustRightInd w:val="0"/>
        <w:ind w:left="850"/>
        <w:rPr>
          <w:bCs/>
          <w:noProof/>
          <w:sz w:val="24"/>
          <w:szCs w:val="24"/>
          <w:u w:val="single"/>
        </w:rPr>
      </w:pP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I ITT-populationen i studie MCL-002 var der samlet en tilsyneladende stigning i antal dødsfald inden</w:t>
      </w:r>
    </w:p>
    <w:p w:rsidR="00DF19D5" w:rsidRPr="005524AB" w:rsidRDefault="00DF19D5" w:rsidP="00DF19D5">
      <w:pPr>
        <w:autoSpaceDE w:val="0"/>
        <w:autoSpaceDN w:val="0"/>
        <w:adjustRightInd w:val="0"/>
        <w:ind w:left="850"/>
        <w:rPr>
          <w:sz w:val="24"/>
          <w:szCs w:val="24"/>
          <w:lang w:eastAsia="da-DK"/>
        </w:rPr>
      </w:pPr>
      <w:r w:rsidRPr="005524AB">
        <w:rPr>
          <w:sz w:val="24"/>
          <w:szCs w:val="24"/>
          <w:lang w:eastAsia="da-DK"/>
        </w:rPr>
        <w:t xml:space="preserve">for 20 uger med 22/170 (13 %) i lenalidomidarmen </w:t>
      </w:r>
      <w:r w:rsidRPr="005524AB">
        <w:rPr>
          <w:i/>
          <w:iCs/>
          <w:sz w:val="24"/>
          <w:szCs w:val="24"/>
          <w:lang w:eastAsia="da-DK"/>
        </w:rPr>
        <w:t xml:space="preserve">versus </w:t>
      </w:r>
      <w:r w:rsidRPr="005524AB">
        <w:rPr>
          <w:sz w:val="24"/>
          <w:szCs w:val="24"/>
          <w:lang w:eastAsia="da-DK"/>
        </w:rPr>
        <w:t>6/84 (7 %) i kontrolarmen. Hos patienter</w:t>
      </w:r>
    </w:p>
    <w:p w:rsidR="00DF19D5" w:rsidRPr="00EC2603" w:rsidRDefault="00DF19D5" w:rsidP="00DF19D5">
      <w:pPr>
        <w:autoSpaceDE w:val="0"/>
        <w:autoSpaceDN w:val="0"/>
        <w:adjustRightInd w:val="0"/>
        <w:ind w:left="850"/>
        <w:rPr>
          <w:bCs/>
          <w:noProof/>
          <w:sz w:val="24"/>
          <w:szCs w:val="24"/>
          <w:u w:val="single"/>
          <w:lang w:val="nb-NO"/>
        </w:rPr>
      </w:pPr>
      <w:r w:rsidRPr="005524AB">
        <w:rPr>
          <w:sz w:val="24"/>
          <w:szCs w:val="24"/>
          <w:lang w:eastAsia="da-DK"/>
        </w:rPr>
        <w:t>med stor tumorbyrde var de tilsvarende tal 16/81 (20 %) og 2/28 (7 %) (se pkt. 4.4).</w:t>
      </w:r>
      <w:r w:rsidRPr="00EC2603">
        <w:rPr>
          <w:bCs/>
          <w:noProof/>
          <w:sz w:val="24"/>
          <w:szCs w:val="24"/>
          <w:u w:val="single"/>
          <w:lang w:val="nb-NO"/>
        </w:rPr>
        <w:t xml:space="preserve"> </w:t>
      </w:r>
    </w:p>
    <w:p w:rsidR="00DF19D5" w:rsidRDefault="00DF19D5" w:rsidP="007366DD">
      <w:pPr>
        <w:keepNext/>
        <w:suppressAutoHyphens/>
        <w:ind w:left="851"/>
        <w:rPr>
          <w:bCs/>
          <w:noProof/>
          <w:szCs w:val="22"/>
          <w:u w:val="single"/>
        </w:rPr>
      </w:pPr>
    </w:p>
    <w:p w:rsidR="00493BBA" w:rsidRDefault="00493BBA" w:rsidP="007366DD">
      <w:pPr>
        <w:keepNext/>
        <w:suppressAutoHyphens/>
        <w:ind w:left="851"/>
        <w:rPr>
          <w:bCs/>
          <w:noProof/>
          <w:szCs w:val="22"/>
          <w:u w:val="single"/>
        </w:rPr>
      </w:pPr>
      <w:r>
        <w:rPr>
          <w:bCs/>
          <w:noProof/>
          <w:szCs w:val="22"/>
          <w:u w:val="single"/>
        </w:rPr>
        <w:t xml:space="preserve">Follikulært lymfom  </w:t>
      </w:r>
    </w:p>
    <w:p w:rsidR="00493BBA" w:rsidRDefault="00493BBA" w:rsidP="00493BBA">
      <w:pPr>
        <w:suppressAutoHyphens/>
        <w:ind w:left="851"/>
        <w:rPr>
          <w:bCs/>
          <w:noProof/>
          <w:szCs w:val="22"/>
        </w:rPr>
      </w:pPr>
    </w:p>
    <w:p w:rsidR="00493BBA" w:rsidRDefault="00493BBA" w:rsidP="00493BBA">
      <w:pPr>
        <w:suppressAutoHyphens/>
        <w:ind w:left="851"/>
        <w:rPr>
          <w:bCs/>
          <w:noProof/>
          <w:szCs w:val="22"/>
        </w:rPr>
      </w:pPr>
      <w:r>
        <w:rPr>
          <w:bCs/>
          <w:noProof/>
          <w:szCs w:val="22"/>
        </w:rPr>
        <w:t xml:space="preserve">AUGMENT - CC-5013-NHL-007  </w:t>
      </w:r>
    </w:p>
    <w:p w:rsidR="00493BBA" w:rsidRDefault="00493BBA" w:rsidP="00493BBA">
      <w:pPr>
        <w:suppressAutoHyphens/>
        <w:ind w:left="851"/>
        <w:rPr>
          <w:bCs/>
          <w:noProof/>
          <w:szCs w:val="22"/>
        </w:rPr>
      </w:pPr>
    </w:p>
    <w:p w:rsidR="00493BBA" w:rsidRDefault="00493BBA" w:rsidP="00493BBA">
      <w:pPr>
        <w:suppressAutoHyphens/>
        <w:ind w:left="851"/>
        <w:rPr>
          <w:bCs/>
          <w:noProof/>
          <w:szCs w:val="22"/>
        </w:rPr>
      </w:pPr>
      <w:r>
        <w:rPr>
          <w:bCs/>
          <w:noProof/>
          <w:szCs w:val="22"/>
        </w:rPr>
        <w:t xml:space="preserve">Lenalidomids virkning og sikkerhed i kombination med rituximab versus rituximab plus placebo blev evalueret hos patienter med recidiveret/refraktært iNHL, herunder FL, i et fase 3, randomiseret, dobbeltblindet, kontrolleret multicenterstudie (CC-5013-NHL-007 [AUGMENT]). </w:t>
      </w:r>
    </w:p>
    <w:p w:rsidR="00493BBA" w:rsidRDefault="00493BBA" w:rsidP="00493BBA">
      <w:pPr>
        <w:suppressAutoHyphens/>
        <w:ind w:left="851"/>
        <w:rPr>
          <w:bCs/>
          <w:noProof/>
          <w:szCs w:val="22"/>
        </w:rPr>
      </w:pPr>
      <w:r>
        <w:rPr>
          <w:bCs/>
          <w:noProof/>
          <w:szCs w:val="22"/>
        </w:rPr>
        <w:t xml:space="preserve"> </w:t>
      </w:r>
    </w:p>
    <w:p w:rsidR="00493BBA" w:rsidRDefault="00493BBA" w:rsidP="00493BBA">
      <w:pPr>
        <w:suppressAutoHyphens/>
        <w:ind w:left="851"/>
        <w:rPr>
          <w:bCs/>
          <w:noProof/>
          <w:szCs w:val="22"/>
        </w:rPr>
      </w:pPr>
      <w:r>
        <w:rPr>
          <w:bCs/>
          <w:noProof/>
          <w:szCs w:val="22"/>
        </w:rPr>
        <w:t xml:space="preserve">I alt 358 patienter, som var mindst 18 år med histologisk bekræftet MZL eller grad 1, 2 eller 3a FL (CD20+ ved flowcytometri eller histokemi) vurderet af investigatoren eller en lokal patolog, blev randomiseret i forholdet 1:1. Personerne var tidligere blevet behandlet med mindst én tidligere systemisk kemoterapi, immunterapi eller kemoimmunterapi. </w:t>
      </w:r>
    </w:p>
    <w:p w:rsidR="00493BBA" w:rsidRDefault="00493BBA" w:rsidP="00493BBA">
      <w:pPr>
        <w:suppressAutoHyphens/>
        <w:ind w:left="851"/>
        <w:rPr>
          <w:bCs/>
          <w:noProof/>
          <w:szCs w:val="22"/>
        </w:rPr>
      </w:pPr>
      <w:r>
        <w:rPr>
          <w:bCs/>
          <w:noProof/>
          <w:szCs w:val="22"/>
        </w:rPr>
        <w:t xml:space="preserve"> </w:t>
      </w:r>
    </w:p>
    <w:p w:rsidR="00493BBA" w:rsidRDefault="00493BBA" w:rsidP="00493BBA">
      <w:pPr>
        <w:suppressAutoHyphens/>
        <w:ind w:left="851"/>
        <w:rPr>
          <w:bCs/>
          <w:noProof/>
          <w:szCs w:val="22"/>
        </w:rPr>
      </w:pPr>
      <w:r>
        <w:rPr>
          <w:bCs/>
          <w:noProof/>
          <w:szCs w:val="22"/>
        </w:rPr>
        <w:t xml:space="preserve">Lenalidomid blev administreret oralt 20 mg én gang dagligt i løbet af de første 21 dage af gentagne 28-dages cyklusser i 12 cyklusser eller indtil uacceptabel toksicitet. Dosis af rituximab var 375 mg/m2 hver uge i cyklus 1 (dag 1, 8, 15 og 22) og på dag 1 af hver 28-dages cyklus fra cyklus 2 til og med 5. Alle doseringsberegninger for rituximab var baseret på patientens legemsoverfladeareal (body surface area, BSA) ved at bruge patientens aktuelle vægt. </w:t>
      </w:r>
    </w:p>
    <w:p w:rsidR="00493BBA" w:rsidRDefault="00493BBA" w:rsidP="00493BBA">
      <w:pPr>
        <w:suppressAutoHyphens/>
        <w:ind w:left="851"/>
        <w:rPr>
          <w:bCs/>
          <w:noProof/>
          <w:szCs w:val="22"/>
        </w:rPr>
      </w:pPr>
      <w:r>
        <w:rPr>
          <w:bCs/>
          <w:noProof/>
          <w:szCs w:val="22"/>
        </w:rPr>
        <w:t xml:space="preserve"> </w:t>
      </w:r>
    </w:p>
    <w:p w:rsidR="00493BBA" w:rsidRDefault="00493BBA" w:rsidP="00493BBA">
      <w:pPr>
        <w:suppressAutoHyphens/>
        <w:ind w:left="851"/>
        <w:rPr>
          <w:bCs/>
          <w:noProof/>
          <w:szCs w:val="22"/>
        </w:rPr>
      </w:pPr>
      <w:r>
        <w:rPr>
          <w:bCs/>
          <w:noProof/>
          <w:szCs w:val="22"/>
        </w:rPr>
        <w:t xml:space="preserve">Demografi og sygdomsrelaterede baseline-karakteristika var sammenlignelige for de 2 behandlingsgrupper. </w:t>
      </w:r>
    </w:p>
    <w:p w:rsidR="00493BBA" w:rsidRDefault="00493BBA" w:rsidP="00493BBA">
      <w:pPr>
        <w:suppressAutoHyphens/>
        <w:ind w:left="851"/>
        <w:rPr>
          <w:bCs/>
          <w:noProof/>
          <w:szCs w:val="22"/>
        </w:rPr>
      </w:pPr>
      <w:r>
        <w:rPr>
          <w:bCs/>
          <w:noProof/>
          <w:szCs w:val="22"/>
        </w:rPr>
        <w:t xml:space="preserve"> </w:t>
      </w:r>
    </w:p>
    <w:p w:rsidR="00493BBA" w:rsidRDefault="00493BBA" w:rsidP="00493BBA">
      <w:pPr>
        <w:suppressAutoHyphens/>
        <w:ind w:left="851"/>
        <w:rPr>
          <w:bCs/>
          <w:noProof/>
          <w:szCs w:val="22"/>
        </w:rPr>
      </w:pPr>
      <w:r>
        <w:rPr>
          <w:bCs/>
          <w:noProof/>
          <w:szCs w:val="22"/>
        </w:rPr>
        <w:t xml:space="preserve">Det primære formål med studiet var at sammenligne virkningen af lenalidomid i kombination med rituximab med rituximab plus placebo hos personer med recidiveret/refraktært FL grad 1, </w:t>
      </w:r>
      <w:r>
        <w:rPr>
          <w:bCs/>
          <w:noProof/>
          <w:szCs w:val="22"/>
        </w:rPr>
        <w:lastRenderedPageBreak/>
        <w:t xml:space="preserve">2 eller 3a eller MZL. Bestemmelse af virkning var baseret på PFS som det primære endepunkt vurderet ved IRC ved hjælp af kriterierne fra 2007 International Working Group (IWG), men uden positronsemissionstomografi (PET).  </w:t>
      </w:r>
    </w:p>
    <w:p w:rsidR="00493BBA" w:rsidRDefault="00493BBA" w:rsidP="00493BBA">
      <w:pPr>
        <w:suppressAutoHyphens/>
        <w:ind w:left="851"/>
        <w:rPr>
          <w:bCs/>
          <w:noProof/>
          <w:szCs w:val="22"/>
        </w:rPr>
      </w:pPr>
      <w:r>
        <w:rPr>
          <w:bCs/>
          <w:noProof/>
          <w:szCs w:val="22"/>
        </w:rPr>
        <w:t xml:space="preserve"> </w:t>
      </w:r>
    </w:p>
    <w:p w:rsidR="00493BBA" w:rsidRDefault="00493BBA" w:rsidP="00493BBA">
      <w:pPr>
        <w:suppressAutoHyphens/>
        <w:ind w:left="851"/>
        <w:rPr>
          <w:bCs/>
          <w:noProof/>
          <w:szCs w:val="22"/>
        </w:rPr>
      </w:pPr>
      <w:r>
        <w:rPr>
          <w:bCs/>
          <w:noProof/>
          <w:szCs w:val="22"/>
        </w:rPr>
        <w:t xml:space="preserve">Studiets sekundære formål var at sammenligne sikkerheden af lenalidomid i kombination med rituximab versus rituximab plus placebo. Yderligere sekundære formål var at sammenligne virkningen af rituximab plus lenalidomid versus rituximab plus placebo ved hjælp af de følgende andre virkningsparametre: </w:t>
      </w:r>
    </w:p>
    <w:p w:rsidR="00493BBA" w:rsidRDefault="00493BBA" w:rsidP="00493BBA">
      <w:pPr>
        <w:suppressAutoHyphens/>
        <w:ind w:left="851"/>
        <w:rPr>
          <w:bCs/>
          <w:noProof/>
          <w:szCs w:val="22"/>
        </w:rPr>
      </w:pPr>
    </w:p>
    <w:p w:rsidR="00493BBA" w:rsidRDefault="00493BBA" w:rsidP="00493BBA">
      <w:pPr>
        <w:suppressAutoHyphens/>
        <w:ind w:left="851"/>
        <w:rPr>
          <w:bCs/>
          <w:noProof/>
          <w:szCs w:val="22"/>
        </w:rPr>
      </w:pPr>
      <w:r>
        <w:rPr>
          <w:bCs/>
          <w:noProof/>
          <w:szCs w:val="22"/>
        </w:rPr>
        <w:t xml:space="preserve">Samlet responsrate (ORR), CR-rate og varighed af respons (DoR) ved hjælp af IWG 2007 uden PET og OS. </w:t>
      </w:r>
    </w:p>
    <w:p w:rsidR="00493BBA" w:rsidRDefault="00493BBA" w:rsidP="00493BBA">
      <w:pPr>
        <w:suppressAutoHyphens/>
        <w:ind w:left="851"/>
        <w:rPr>
          <w:bCs/>
          <w:noProof/>
          <w:szCs w:val="22"/>
        </w:rPr>
      </w:pPr>
      <w:r>
        <w:rPr>
          <w:bCs/>
          <w:noProof/>
          <w:szCs w:val="22"/>
        </w:rPr>
        <w:t xml:space="preserve"> </w:t>
      </w:r>
    </w:p>
    <w:p w:rsidR="00493BBA" w:rsidRDefault="00493BBA" w:rsidP="00493BBA">
      <w:pPr>
        <w:suppressAutoHyphens/>
        <w:ind w:left="851"/>
        <w:rPr>
          <w:bCs/>
          <w:noProof/>
          <w:szCs w:val="22"/>
        </w:rPr>
      </w:pPr>
      <w:r>
        <w:rPr>
          <w:bCs/>
          <w:noProof/>
          <w:szCs w:val="22"/>
        </w:rPr>
        <w:t>Resultaterne fra den samlede population, inklusive FL og MZL, viste, at studiet ved en median opfølgning på 28,3 måneder opfyldte det primære endepunkt, PFS, med en hazard ratio (HR) (95 % konfidensinterval [CI]) på 0,45 (0,33; 0,61) p-værdi &lt; 0,0001. Virkningsresultaterne fra populationen med follikulært lymfom er vist i tabel 1</w:t>
      </w:r>
      <w:r w:rsidR="00DF19D5">
        <w:rPr>
          <w:bCs/>
          <w:noProof/>
          <w:szCs w:val="22"/>
        </w:rPr>
        <w:t>4</w:t>
      </w:r>
      <w:r>
        <w:rPr>
          <w:bCs/>
          <w:noProof/>
          <w:szCs w:val="22"/>
        </w:rPr>
        <w:t>.</w:t>
      </w:r>
    </w:p>
    <w:p w:rsidR="00493BBA" w:rsidRDefault="00493BBA" w:rsidP="00493BBA">
      <w:pPr>
        <w:suppressAutoHyphens/>
        <w:ind w:left="851"/>
        <w:rPr>
          <w:bCs/>
          <w:noProof/>
          <w:szCs w:val="22"/>
        </w:rPr>
      </w:pPr>
    </w:p>
    <w:p w:rsidR="00493BBA" w:rsidRDefault="00493BBA" w:rsidP="00493BBA">
      <w:pPr>
        <w:shd w:val="clear" w:color="auto" w:fill="FFFFFF"/>
        <w:spacing w:after="143"/>
        <w:ind w:left="851"/>
        <w:rPr>
          <w:color w:val="000000"/>
          <w:lang w:eastAsia="en-IN"/>
        </w:rPr>
      </w:pPr>
      <w:r>
        <w:rPr>
          <w:b/>
          <w:bCs/>
          <w:color w:val="000000"/>
          <w:lang w:eastAsia="en-IN"/>
        </w:rPr>
        <w:t>Table 1</w:t>
      </w:r>
      <w:r w:rsidR="00DF19D5">
        <w:rPr>
          <w:b/>
          <w:bCs/>
          <w:color w:val="000000"/>
          <w:lang w:eastAsia="en-IN"/>
        </w:rPr>
        <w:t>4</w:t>
      </w:r>
      <w:r>
        <w:rPr>
          <w:b/>
          <w:bCs/>
          <w:color w:val="000000"/>
          <w:lang w:eastAsia="en-IN"/>
        </w:rPr>
        <w:t>: Resumé af virkningsdata for follikulært lymfom - studie CC-5013-NHL-007</w:t>
      </w:r>
    </w:p>
    <w:tbl>
      <w:tblPr>
        <w:tblW w:w="5000" w:type="pct"/>
        <w:tblInd w:w="418" w:type="dxa"/>
        <w:tblBorders>
          <w:top w:val="outset" w:sz="6" w:space="0" w:color="7B7B7B"/>
          <w:left w:val="outset" w:sz="6" w:space="0" w:color="7B7B7B"/>
          <w:bottom w:val="outset" w:sz="6" w:space="0" w:color="7B7B7B"/>
          <w:right w:val="outset" w:sz="6" w:space="0" w:color="7B7B7B"/>
        </w:tblBorders>
        <w:tblCellMar>
          <w:top w:w="30" w:type="dxa"/>
          <w:left w:w="30" w:type="dxa"/>
          <w:bottom w:w="30" w:type="dxa"/>
          <w:right w:w="30" w:type="dxa"/>
        </w:tblCellMar>
        <w:tblLook w:val="04A0" w:firstRow="1" w:lastRow="0" w:firstColumn="1" w:lastColumn="0" w:noHBand="0" w:noVBand="1"/>
      </w:tblPr>
      <w:tblGrid>
        <w:gridCol w:w="3656"/>
        <w:gridCol w:w="2983"/>
        <w:gridCol w:w="2983"/>
      </w:tblGrid>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color w:val="000000"/>
                <w:lang w:eastAsia="en-IN"/>
              </w:rPr>
            </w:pPr>
          </w:p>
        </w:tc>
        <w:tc>
          <w:tcPr>
            <w:tcW w:w="3100" w:type="pct"/>
            <w:gridSpan w:val="2"/>
            <w:tcBorders>
              <w:top w:val="outset" w:sz="6" w:space="0" w:color="7B7B7B"/>
              <w:left w:val="outset" w:sz="6" w:space="0" w:color="7B7B7B"/>
              <w:bottom w:val="outset" w:sz="6" w:space="0" w:color="7B7B7B"/>
              <w:right w:val="outset" w:sz="6" w:space="0" w:color="7B7B7B"/>
            </w:tcBorders>
            <w:hideMark/>
          </w:tcPr>
          <w:p w:rsidR="00493BBA" w:rsidRDefault="00493BBA">
            <w:pPr>
              <w:jc w:val="center"/>
              <w:rPr>
                <w:sz w:val="22"/>
                <w:lang w:eastAsia="en-IN"/>
              </w:rPr>
            </w:pPr>
            <w:r>
              <w:rPr>
                <w:lang w:eastAsia="en-IN"/>
              </w:rPr>
              <w:t>FL</w:t>
            </w:r>
          </w:p>
          <w:p w:rsidR="00493BBA" w:rsidRDefault="00493BBA">
            <w:pPr>
              <w:jc w:val="center"/>
              <w:rPr>
                <w:lang w:eastAsia="en-IN"/>
              </w:rPr>
            </w:pPr>
            <w:r>
              <w:rPr>
                <w:lang w:eastAsia="en-IN"/>
              </w:rPr>
              <w:t>(N = 295)</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p>
        </w:tc>
        <w:tc>
          <w:tcPr>
            <w:tcW w:w="1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sz w:val="22"/>
                <w:lang w:eastAsia="en-IN"/>
              </w:rPr>
            </w:pPr>
            <w:r>
              <w:rPr>
                <w:lang w:eastAsia="en-IN"/>
              </w:rPr>
              <w:t xml:space="preserve">Lenalidomid og Rituximab </w:t>
            </w:r>
          </w:p>
          <w:p w:rsidR="00493BBA" w:rsidRDefault="00493BBA">
            <w:pPr>
              <w:jc w:val="center"/>
              <w:rPr>
                <w:lang w:eastAsia="en-IN"/>
              </w:rPr>
            </w:pPr>
            <w:r>
              <w:rPr>
                <w:lang w:eastAsia="en-IN"/>
              </w:rPr>
              <w:t>(N = 147)</w:t>
            </w:r>
          </w:p>
        </w:tc>
        <w:tc>
          <w:tcPr>
            <w:tcW w:w="1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 xml:space="preserve">Placebo og Rituximab </w:t>
            </w:r>
          </w:p>
          <w:p w:rsidR="00493BBA" w:rsidRDefault="00493BBA">
            <w:pPr>
              <w:jc w:val="center"/>
              <w:rPr>
                <w:lang w:eastAsia="en-IN"/>
              </w:rPr>
            </w:pPr>
            <w:r>
              <w:rPr>
                <w:lang w:eastAsia="en-IN"/>
              </w:rPr>
              <w:t>(N = 148)</w:t>
            </w:r>
          </w:p>
        </w:tc>
      </w:tr>
      <w:tr w:rsidR="00493BBA" w:rsidTr="00493BBA">
        <w:tc>
          <w:tcPr>
            <w:tcW w:w="5000" w:type="pct"/>
            <w:gridSpan w:val="3"/>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Progressionsfri overlevelse (PFS) (EMA-censureringsregler)</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lang w:eastAsia="en-IN"/>
              </w:rPr>
              <w:t>Median PFS </w:t>
            </w:r>
            <w:r>
              <w:rPr>
                <w:vertAlign w:val="superscript"/>
                <w:lang w:eastAsia="en-IN"/>
              </w:rPr>
              <w:t>a</w:t>
            </w:r>
            <w:r>
              <w:rPr>
                <w:lang w:eastAsia="en-IN"/>
              </w:rPr>
              <w:t> (95% CI) (</w:t>
            </w:r>
            <w:r>
              <w:rPr>
                <w:lang w:val="en-US" w:eastAsia="en-IN"/>
              </w:rPr>
              <w:t>måneder</w:t>
            </w:r>
            <w:r>
              <w:rPr>
                <w:lang w:eastAsia="en-IN"/>
              </w:rPr>
              <w:t>)</w:t>
            </w:r>
          </w:p>
        </w:tc>
        <w:tc>
          <w:tcPr>
            <w:tcW w:w="1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 xml:space="preserve">39,4  </w:t>
            </w:r>
          </w:p>
          <w:p w:rsidR="00493BBA" w:rsidRDefault="00493BBA">
            <w:pPr>
              <w:jc w:val="center"/>
              <w:rPr>
                <w:lang w:eastAsia="en-IN"/>
              </w:rPr>
            </w:pPr>
            <w:r>
              <w:rPr>
                <w:lang w:eastAsia="en-IN"/>
              </w:rPr>
              <w:t>(25,1; NE)</w:t>
            </w:r>
          </w:p>
        </w:tc>
        <w:tc>
          <w:tcPr>
            <w:tcW w:w="1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13.8</w:t>
            </w:r>
          </w:p>
          <w:p w:rsidR="00493BBA" w:rsidRDefault="00493BBA">
            <w:pPr>
              <w:jc w:val="center"/>
              <w:rPr>
                <w:lang w:eastAsia="en-IN"/>
              </w:rPr>
            </w:pPr>
            <w:r>
              <w:rPr>
                <w:lang w:eastAsia="en-IN"/>
              </w:rPr>
              <w:t>(11.2, 16.0)</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lang w:eastAsia="en-IN"/>
              </w:rPr>
              <w:t>HR [95% CI]</w:t>
            </w:r>
          </w:p>
        </w:tc>
        <w:tc>
          <w:tcPr>
            <w:tcW w:w="3100" w:type="pct"/>
            <w:gridSpan w:val="2"/>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0,40 (0,29; 0,55)</w:t>
            </w:r>
            <w:r>
              <w:rPr>
                <w:vertAlign w:val="superscript"/>
                <w:lang w:eastAsia="en-IN"/>
              </w:rPr>
              <w:t>b</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lang w:eastAsia="en-IN"/>
              </w:rPr>
              <w:t>p-</w:t>
            </w:r>
            <w:r>
              <w:t xml:space="preserve"> </w:t>
            </w:r>
            <w:r>
              <w:rPr>
                <w:lang w:eastAsia="en-IN"/>
              </w:rPr>
              <w:t>værdi</w:t>
            </w:r>
          </w:p>
        </w:tc>
        <w:tc>
          <w:tcPr>
            <w:tcW w:w="3100" w:type="pct"/>
            <w:gridSpan w:val="2"/>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&lt; 0,0001</w:t>
            </w:r>
            <w:r>
              <w:rPr>
                <w:vertAlign w:val="superscript"/>
                <w:lang w:eastAsia="en-IN"/>
              </w:rPr>
              <w:t>c</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b/>
                <w:bCs/>
                <w:lang w:val="nb-NO" w:eastAsia="en-IN"/>
              </w:rPr>
            </w:pPr>
            <w:r>
              <w:rPr>
                <w:b/>
                <w:bCs/>
                <w:lang w:val="nb-NO" w:eastAsia="en-IN"/>
              </w:rPr>
              <w:t>Objektivt respons</w:t>
            </w:r>
            <w:r>
              <w:rPr>
                <w:b/>
                <w:bCs/>
                <w:vertAlign w:val="superscript"/>
                <w:lang w:val="nb-NO" w:eastAsia="en-IN"/>
              </w:rPr>
              <w:t>d</w:t>
            </w:r>
            <w:r>
              <w:rPr>
                <w:b/>
                <w:bCs/>
                <w:lang w:val="nb-NO" w:eastAsia="en-IN"/>
              </w:rPr>
              <w:t xml:space="preserve"> (CR +PR), n (%)  </w:t>
            </w:r>
          </w:p>
          <w:p w:rsidR="00493BBA" w:rsidRDefault="00493BBA">
            <w:pPr>
              <w:rPr>
                <w:bCs/>
                <w:u w:val="single"/>
                <w:lang w:eastAsia="en-IN"/>
              </w:rPr>
            </w:pPr>
            <w:r>
              <w:rPr>
                <w:bCs/>
                <w:u w:val="single"/>
                <w:lang w:eastAsia="en-IN"/>
              </w:rPr>
              <w:t xml:space="preserve">(IRC, 2007 IWGRC) </w:t>
            </w:r>
          </w:p>
          <w:p w:rsidR="00493BBA" w:rsidRDefault="00493BBA">
            <w:pPr>
              <w:rPr>
                <w:lang w:eastAsia="en-IN"/>
              </w:rPr>
            </w:pPr>
            <w:r>
              <w:rPr>
                <w:bCs/>
                <w:lang w:eastAsia="en-IN"/>
              </w:rPr>
              <w:t>95 % CI</w:t>
            </w:r>
            <w:r>
              <w:rPr>
                <w:bCs/>
                <w:vertAlign w:val="superscript"/>
                <w:lang w:eastAsia="en-IN"/>
              </w:rPr>
              <w:t>f</w:t>
            </w:r>
          </w:p>
        </w:tc>
        <w:tc>
          <w:tcPr>
            <w:tcW w:w="1550" w:type="pct"/>
            <w:tcBorders>
              <w:top w:val="outset" w:sz="6" w:space="0" w:color="7B7B7B"/>
              <w:left w:val="outset" w:sz="6" w:space="0" w:color="7B7B7B"/>
              <w:bottom w:val="outset" w:sz="6" w:space="0" w:color="7B7B7B"/>
              <w:right w:val="outset" w:sz="6" w:space="0" w:color="7B7B7B"/>
            </w:tcBorders>
            <w:vAlign w:val="center"/>
            <w:hideMark/>
          </w:tcPr>
          <w:p w:rsidR="00493BBA" w:rsidRDefault="00493BBA">
            <w:pPr>
              <w:jc w:val="center"/>
              <w:rPr>
                <w:lang w:eastAsia="en-IN"/>
              </w:rPr>
            </w:pPr>
            <w:r>
              <w:rPr>
                <w:lang w:eastAsia="en-IN"/>
              </w:rPr>
              <w:t xml:space="preserve">118 (80,3) </w:t>
            </w:r>
          </w:p>
          <w:p w:rsidR="00493BBA" w:rsidRDefault="00493BBA">
            <w:pPr>
              <w:jc w:val="center"/>
              <w:rPr>
                <w:lang w:eastAsia="en-IN"/>
              </w:rPr>
            </w:pPr>
            <w:r>
              <w:rPr>
                <w:lang w:eastAsia="en-IN"/>
              </w:rPr>
              <w:t>(72,9; 86,4)</w:t>
            </w:r>
          </w:p>
        </w:tc>
        <w:tc>
          <w:tcPr>
            <w:tcW w:w="1550" w:type="pct"/>
            <w:tcBorders>
              <w:top w:val="outset" w:sz="6" w:space="0" w:color="7B7B7B"/>
              <w:left w:val="outset" w:sz="6" w:space="0" w:color="7B7B7B"/>
              <w:bottom w:val="outset" w:sz="6" w:space="0" w:color="7B7B7B"/>
              <w:right w:val="outset" w:sz="6" w:space="0" w:color="7B7B7B"/>
            </w:tcBorders>
            <w:vAlign w:val="center"/>
            <w:hideMark/>
          </w:tcPr>
          <w:p w:rsidR="00493BBA" w:rsidRDefault="00493BBA">
            <w:pPr>
              <w:jc w:val="center"/>
              <w:rPr>
                <w:lang w:eastAsia="en-IN"/>
              </w:rPr>
            </w:pPr>
            <w:r>
              <w:rPr>
                <w:lang w:eastAsia="en-IN"/>
              </w:rPr>
              <w:t xml:space="preserve">82 (55,4) </w:t>
            </w:r>
          </w:p>
          <w:p w:rsidR="00493BBA" w:rsidRDefault="00493BBA">
            <w:pPr>
              <w:jc w:val="center"/>
              <w:rPr>
                <w:lang w:eastAsia="en-IN"/>
              </w:rPr>
            </w:pPr>
            <w:r>
              <w:rPr>
                <w:lang w:eastAsia="en-IN"/>
              </w:rPr>
              <w:t>(47,0; 63,6)</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bCs/>
                <w:lang w:eastAsia="en-IN"/>
              </w:rPr>
            </w:pPr>
            <w:r>
              <w:rPr>
                <w:b/>
                <w:bCs/>
                <w:lang w:eastAsia="en-IN"/>
              </w:rPr>
              <w:t>Fuldstændigt respons</w:t>
            </w:r>
            <w:r>
              <w:rPr>
                <w:b/>
                <w:bCs/>
                <w:vertAlign w:val="superscript"/>
                <w:lang w:eastAsia="en-IN"/>
              </w:rPr>
              <w:t>d</w:t>
            </w:r>
            <w:r>
              <w:rPr>
                <w:b/>
                <w:bCs/>
                <w:lang w:eastAsia="en-IN"/>
              </w:rPr>
              <w:t xml:space="preserve">, n (%)  </w:t>
            </w:r>
            <w:r>
              <w:rPr>
                <w:bCs/>
                <w:lang w:eastAsia="en-IN"/>
              </w:rPr>
              <w:t xml:space="preserve">(IRC, </w:t>
            </w:r>
            <w:r>
              <w:rPr>
                <w:bCs/>
                <w:u w:val="single"/>
                <w:lang w:eastAsia="en-IN"/>
              </w:rPr>
              <w:t>2007 IWGRC)</w:t>
            </w:r>
            <w:r>
              <w:rPr>
                <w:bCs/>
                <w:lang w:eastAsia="en-IN"/>
              </w:rPr>
              <w:t xml:space="preserve"> </w:t>
            </w:r>
          </w:p>
          <w:p w:rsidR="00493BBA" w:rsidRDefault="00493BBA">
            <w:pPr>
              <w:rPr>
                <w:lang w:eastAsia="en-IN"/>
              </w:rPr>
            </w:pPr>
            <w:r>
              <w:rPr>
                <w:bCs/>
                <w:lang w:eastAsia="en-IN"/>
              </w:rPr>
              <w:t>95 % CI</w:t>
            </w:r>
            <w:r>
              <w:rPr>
                <w:bCs/>
                <w:vertAlign w:val="superscript"/>
                <w:lang w:eastAsia="en-IN"/>
              </w:rPr>
              <w:t>f</w:t>
            </w:r>
          </w:p>
        </w:tc>
        <w:tc>
          <w:tcPr>
            <w:tcW w:w="1550" w:type="pct"/>
            <w:tcBorders>
              <w:top w:val="outset" w:sz="6" w:space="0" w:color="7B7B7B"/>
              <w:left w:val="outset" w:sz="6" w:space="0" w:color="7B7B7B"/>
              <w:bottom w:val="outset" w:sz="6" w:space="0" w:color="7B7B7B"/>
              <w:right w:val="outset" w:sz="6" w:space="0" w:color="7B7B7B"/>
            </w:tcBorders>
            <w:vAlign w:val="center"/>
            <w:hideMark/>
          </w:tcPr>
          <w:p w:rsidR="00493BBA" w:rsidRDefault="00493BBA">
            <w:pPr>
              <w:jc w:val="center"/>
              <w:rPr>
                <w:lang w:eastAsia="en-IN"/>
              </w:rPr>
            </w:pPr>
            <w:r>
              <w:rPr>
                <w:lang w:eastAsia="en-IN"/>
              </w:rPr>
              <w:t xml:space="preserve">51 (34,7) </w:t>
            </w:r>
          </w:p>
          <w:p w:rsidR="00493BBA" w:rsidRDefault="00493BBA">
            <w:pPr>
              <w:jc w:val="center"/>
              <w:rPr>
                <w:lang w:eastAsia="en-IN"/>
              </w:rPr>
            </w:pPr>
            <w:r>
              <w:rPr>
                <w:lang w:eastAsia="en-IN"/>
              </w:rPr>
              <w:t>(27,0; 43,0)</w:t>
            </w:r>
          </w:p>
        </w:tc>
        <w:tc>
          <w:tcPr>
            <w:tcW w:w="1550" w:type="pct"/>
            <w:tcBorders>
              <w:top w:val="outset" w:sz="6" w:space="0" w:color="7B7B7B"/>
              <w:left w:val="outset" w:sz="6" w:space="0" w:color="7B7B7B"/>
              <w:bottom w:val="outset" w:sz="6" w:space="0" w:color="7B7B7B"/>
              <w:right w:val="outset" w:sz="6" w:space="0" w:color="7B7B7B"/>
            </w:tcBorders>
            <w:vAlign w:val="center"/>
            <w:hideMark/>
          </w:tcPr>
          <w:p w:rsidR="00493BBA" w:rsidRDefault="00493BBA">
            <w:pPr>
              <w:jc w:val="center"/>
              <w:rPr>
                <w:lang w:eastAsia="en-IN"/>
              </w:rPr>
            </w:pPr>
            <w:r>
              <w:rPr>
                <w:lang w:eastAsia="en-IN"/>
              </w:rPr>
              <w:t xml:space="preserve">29 (19,6) </w:t>
            </w:r>
          </w:p>
          <w:p w:rsidR="00493BBA" w:rsidRDefault="00493BBA">
            <w:pPr>
              <w:jc w:val="center"/>
              <w:rPr>
                <w:lang w:eastAsia="en-IN"/>
              </w:rPr>
            </w:pPr>
            <w:r>
              <w:rPr>
                <w:lang w:eastAsia="en-IN"/>
              </w:rPr>
              <w:t>(13,5; 26,9)</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b/>
                <w:bCs/>
                <w:lang w:eastAsia="en-IN"/>
              </w:rPr>
            </w:pPr>
            <w:r>
              <w:rPr>
                <w:b/>
                <w:bCs/>
                <w:lang w:eastAsia="en-IN"/>
              </w:rPr>
              <w:t>Varighed af respons</w:t>
            </w:r>
            <w:r>
              <w:rPr>
                <w:b/>
                <w:bCs/>
                <w:vertAlign w:val="superscript"/>
                <w:lang w:eastAsia="en-IN"/>
              </w:rPr>
              <w:t>d</w:t>
            </w:r>
            <w:r>
              <w:rPr>
                <w:b/>
                <w:bCs/>
                <w:lang w:eastAsia="en-IN"/>
              </w:rPr>
              <w:t xml:space="preserve"> (median) (måneder) </w:t>
            </w:r>
          </w:p>
          <w:p w:rsidR="00493BBA" w:rsidRDefault="00493BBA">
            <w:pPr>
              <w:rPr>
                <w:lang w:eastAsia="en-IN"/>
              </w:rPr>
            </w:pPr>
            <w:r>
              <w:rPr>
                <w:bCs/>
                <w:lang w:eastAsia="en-IN"/>
              </w:rPr>
              <w:t>95 % CI a</w:t>
            </w:r>
          </w:p>
        </w:tc>
        <w:tc>
          <w:tcPr>
            <w:tcW w:w="1550" w:type="pct"/>
            <w:tcBorders>
              <w:top w:val="outset" w:sz="6" w:space="0" w:color="7B7B7B"/>
              <w:left w:val="outset" w:sz="6" w:space="0" w:color="7B7B7B"/>
              <w:bottom w:val="outset" w:sz="6" w:space="0" w:color="7B7B7B"/>
              <w:right w:val="outset" w:sz="6" w:space="0" w:color="7B7B7B"/>
            </w:tcBorders>
            <w:vAlign w:val="center"/>
            <w:hideMark/>
          </w:tcPr>
          <w:p w:rsidR="00493BBA" w:rsidRDefault="00493BBA">
            <w:pPr>
              <w:jc w:val="center"/>
              <w:rPr>
                <w:lang w:eastAsia="en-IN"/>
              </w:rPr>
            </w:pPr>
            <w:r>
              <w:rPr>
                <w:lang w:eastAsia="en-IN"/>
              </w:rPr>
              <w:t xml:space="preserve">36,6  </w:t>
            </w:r>
          </w:p>
          <w:p w:rsidR="00493BBA" w:rsidRDefault="00493BBA">
            <w:pPr>
              <w:jc w:val="center"/>
              <w:rPr>
                <w:lang w:eastAsia="en-IN"/>
              </w:rPr>
            </w:pPr>
            <w:r>
              <w:rPr>
                <w:lang w:eastAsia="en-IN"/>
              </w:rPr>
              <w:t>(24,9; NE)</w:t>
            </w:r>
          </w:p>
        </w:tc>
        <w:tc>
          <w:tcPr>
            <w:tcW w:w="1550" w:type="pct"/>
            <w:tcBorders>
              <w:top w:val="outset" w:sz="6" w:space="0" w:color="7B7B7B"/>
              <w:left w:val="outset" w:sz="6" w:space="0" w:color="7B7B7B"/>
              <w:bottom w:val="outset" w:sz="6" w:space="0" w:color="7B7B7B"/>
              <w:right w:val="outset" w:sz="6" w:space="0" w:color="7B7B7B"/>
            </w:tcBorders>
            <w:vAlign w:val="center"/>
            <w:hideMark/>
          </w:tcPr>
          <w:p w:rsidR="00493BBA" w:rsidRDefault="00493BBA">
            <w:pPr>
              <w:jc w:val="center"/>
              <w:rPr>
                <w:lang w:eastAsia="en-IN"/>
              </w:rPr>
            </w:pPr>
            <w:r>
              <w:rPr>
                <w:lang w:eastAsia="en-IN"/>
              </w:rPr>
              <w:t xml:space="preserve">15,5 </w:t>
            </w:r>
          </w:p>
          <w:p w:rsidR="00493BBA" w:rsidRDefault="00493BBA">
            <w:pPr>
              <w:jc w:val="center"/>
              <w:rPr>
                <w:lang w:eastAsia="en-IN"/>
              </w:rPr>
            </w:pPr>
            <w:r>
              <w:rPr>
                <w:lang w:eastAsia="en-IN"/>
              </w:rPr>
              <w:t>(11,2; 25,0)</w:t>
            </w:r>
          </w:p>
        </w:tc>
      </w:tr>
      <w:tr w:rsidR="00493BBA" w:rsidTr="00493BBA">
        <w:tc>
          <w:tcPr>
            <w:tcW w:w="5000" w:type="pct"/>
            <w:gridSpan w:val="3"/>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Samlet overlevelse</w:t>
            </w:r>
            <w:r>
              <w:rPr>
                <w:b/>
                <w:bCs/>
                <w:vertAlign w:val="superscript"/>
                <w:lang w:eastAsia="en-IN"/>
              </w:rPr>
              <w:t xml:space="preserve">d,e </w:t>
            </w:r>
            <w:r>
              <w:rPr>
                <w:b/>
                <w:bCs/>
                <w:lang w:eastAsia="en-IN"/>
              </w:rPr>
              <w:t>(OS)</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lang w:eastAsia="en-IN"/>
              </w:rPr>
              <w:t>OS-rate efter 2 år %</w:t>
            </w:r>
          </w:p>
        </w:tc>
        <w:tc>
          <w:tcPr>
            <w:tcW w:w="1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 xml:space="preserve">139 (94,8) </w:t>
            </w:r>
          </w:p>
          <w:p w:rsidR="00493BBA" w:rsidRDefault="00493BBA">
            <w:pPr>
              <w:jc w:val="center"/>
              <w:rPr>
                <w:lang w:eastAsia="en-IN"/>
              </w:rPr>
            </w:pPr>
            <w:r>
              <w:rPr>
                <w:lang w:eastAsia="en-IN"/>
              </w:rPr>
              <w:t>(89,5; 97,5)</w:t>
            </w:r>
          </w:p>
        </w:tc>
        <w:tc>
          <w:tcPr>
            <w:tcW w:w="1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 xml:space="preserve">127 (85,8) </w:t>
            </w:r>
          </w:p>
          <w:p w:rsidR="00493BBA" w:rsidRDefault="00493BBA">
            <w:pPr>
              <w:jc w:val="center"/>
              <w:rPr>
                <w:lang w:eastAsia="en-IN"/>
              </w:rPr>
            </w:pPr>
            <w:r>
              <w:rPr>
                <w:lang w:eastAsia="en-IN"/>
              </w:rPr>
              <w:t>(78,5; 90,7)</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lang w:eastAsia="en-IN"/>
              </w:rPr>
              <w:t>HR [95% CI]</w:t>
            </w:r>
          </w:p>
        </w:tc>
        <w:tc>
          <w:tcPr>
            <w:tcW w:w="3100" w:type="pct"/>
            <w:gridSpan w:val="2"/>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0,45 (0,22; 0,92)</w:t>
            </w:r>
            <w:r>
              <w:rPr>
                <w:vertAlign w:val="superscript"/>
                <w:lang w:eastAsia="en-IN"/>
              </w:rPr>
              <w:t>b</w:t>
            </w: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Opfølgnin</w:t>
            </w:r>
          </w:p>
        </w:tc>
        <w:tc>
          <w:tcPr>
            <w:tcW w:w="1550"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p>
        </w:tc>
        <w:tc>
          <w:tcPr>
            <w:tcW w:w="1550" w:type="pct"/>
            <w:tcBorders>
              <w:top w:val="outset" w:sz="6" w:space="0" w:color="7B7B7B"/>
              <w:left w:val="outset" w:sz="6" w:space="0" w:color="7B7B7B"/>
              <w:bottom w:val="outset" w:sz="6" w:space="0" w:color="7B7B7B"/>
              <w:right w:val="outset" w:sz="6" w:space="0" w:color="7B7B7B"/>
            </w:tcBorders>
            <w:hideMark/>
          </w:tcPr>
          <w:p w:rsidR="00493BBA" w:rsidRDefault="00493BBA">
            <w:pPr>
              <w:rPr>
                <w:sz w:val="20"/>
                <w:lang w:eastAsia="da-DK"/>
              </w:rPr>
            </w:pPr>
          </w:p>
        </w:tc>
      </w:tr>
      <w:tr w:rsidR="00493BBA" w:rsidTr="00493BBA">
        <w:tc>
          <w:tcPr>
            <w:tcW w:w="1900" w:type="pct"/>
            <w:tcBorders>
              <w:top w:val="outset" w:sz="6" w:space="0" w:color="7B7B7B"/>
              <w:left w:val="outset" w:sz="6" w:space="0" w:color="7B7B7B"/>
              <w:bottom w:val="outset" w:sz="6" w:space="0" w:color="7B7B7B"/>
              <w:right w:val="outset" w:sz="6" w:space="0" w:color="7B7B7B"/>
            </w:tcBorders>
            <w:hideMark/>
          </w:tcPr>
          <w:p w:rsidR="00493BBA" w:rsidRDefault="00493BBA">
            <w:pPr>
              <w:rPr>
                <w:sz w:val="22"/>
                <w:lang w:eastAsia="en-IN"/>
              </w:rPr>
            </w:pPr>
            <w:r>
              <w:rPr>
                <w:lang w:eastAsia="en-IN"/>
              </w:rPr>
              <w:t>Median varighed af opfølgning (min; maks) (måneder)</w:t>
            </w:r>
          </w:p>
        </w:tc>
        <w:tc>
          <w:tcPr>
            <w:tcW w:w="1550" w:type="pct"/>
            <w:tcBorders>
              <w:top w:val="outset" w:sz="6" w:space="0" w:color="7B7B7B"/>
              <w:left w:val="outset" w:sz="6" w:space="0" w:color="7B7B7B"/>
              <w:bottom w:val="outset" w:sz="6" w:space="0" w:color="7B7B7B"/>
              <w:right w:val="outset" w:sz="6" w:space="0" w:color="7B7B7B"/>
            </w:tcBorders>
            <w:vAlign w:val="center"/>
            <w:hideMark/>
          </w:tcPr>
          <w:p w:rsidR="00493BBA" w:rsidRDefault="00493BBA">
            <w:pPr>
              <w:jc w:val="center"/>
              <w:rPr>
                <w:lang w:eastAsia="en-IN"/>
              </w:rPr>
            </w:pPr>
            <w:r>
              <w:rPr>
                <w:lang w:eastAsia="en-IN"/>
              </w:rPr>
              <w:t xml:space="preserve">29,2 </w:t>
            </w:r>
          </w:p>
          <w:p w:rsidR="00493BBA" w:rsidRDefault="00493BBA">
            <w:pPr>
              <w:jc w:val="center"/>
              <w:rPr>
                <w:lang w:eastAsia="en-IN"/>
              </w:rPr>
            </w:pPr>
            <w:r>
              <w:rPr>
                <w:lang w:eastAsia="en-IN"/>
              </w:rPr>
              <w:t>(0,5; 50,9)</w:t>
            </w:r>
          </w:p>
        </w:tc>
        <w:tc>
          <w:tcPr>
            <w:tcW w:w="1550" w:type="pct"/>
            <w:tcBorders>
              <w:top w:val="outset" w:sz="6" w:space="0" w:color="7B7B7B"/>
              <w:left w:val="outset" w:sz="6" w:space="0" w:color="7B7B7B"/>
              <w:bottom w:val="outset" w:sz="6" w:space="0" w:color="7B7B7B"/>
              <w:right w:val="outset" w:sz="6" w:space="0" w:color="7B7B7B"/>
            </w:tcBorders>
            <w:vAlign w:val="center"/>
            <w:hideMark/>
          </w:tcPr>
          <w:p w:rsidR="00493BBA" w:rsidRDefault="00493BBA">
            <w:pPr>
              <w:jc w:val="center"/>
              <w:rPr>
                <w:lang w:eastAsia="en-IN"/>
              </w:rPr>
            </w:pPr>
            <w:r>
              <w:rPr>
                <w:lang w:eastAsia="en-IN"/>
              </w:rPr>
              <w:t xml:space="preserve">27,9 </w:t>
            </w:r>
          </w:p>
          <w:p w:rsidR="00493BBA" w:rsidRDefault="00493BBA">
            <w:pPr>
              <w:jc w:val="center"/>
              <w:rPr>
                <w:lang w:eastAsia="en-IN"/>
              </w:rPr>
            </w:pPr>
            <w:r>
              <w:rPr>
                <w:lang w:eastAsia="en-IN"/>
              </w:rPr>
              <w:t>(0,6; 50,9)</w:t>
            </w:r>
          </w:p>
        </w:tc>
      </w:tr>
    </w:tbl>
    <w:p w:rsidR="00493BBA" w:rsidRDefault="00493BBA" w:rsidP="00493BBA">
      <w:pPr>
        <w:ind w:left="851"/>
        <w:rPr>
          <w:bCs/>
          <w:noProof/>
          <w:sz w:val="16"/>
          <w:szCs w:val="16"/>
          <w:lang w:val="nb-NO"/>
        </w:rPr>
      </w:pPr>
      <w:r>
        <w:rPr>
          <w:bCs/>
          <w:noProof/>
          <w:sz w:val="16"/>
          <w:szCs w:val="16"/>
          <w:lang w:val="nb-NO"/>
        </w:rPr>
        <w:t xml:space="preserve">ª Medianestimat fra Kaplan-Meier-analyse  </w:t>
      </w:r>
    </w:p>
    <w:p w:rsidR="00493BBA" w:rsidRDefault="00493BBA" w:rsidP="00493BBA">
      <w:pPr>
        <w:ind w:left="851"/>
        <w:rPr>
          <w:bCs/>
          <w:noProof/>
          <w:sz w:val="16"/>
          <w:szCs w:val="16"/>
        </w:rPr>
      </w:pPr>
      <w:r>
        <w:rPr>
          <w:bCs/>
          <w:noProof/>
          <w:sz w:val="16"/>
          <w:szCs w:val="16"/>
          <w:vertAlign w:val="superscript"/>
        </w:rPr>
        <w:t>b</w:t>
      </w:r>
      <w:r>
        <w:rPr>
          <w:bCs/>
          <w:noProof/>
          <w:sz w:val="16"/>
          <w:szCs w:val="16"/>
        </w:rPr>
        <w:t xml:space="preserve"> Hazard ratio og dets konfidensinterval blev estimeret fra ustratificeret Cox proportional hazard-model. </w:t>
      </w:r>
    </w:p>
    <w:p w:rsidR="00493BBA" w:rsidRDefault="00493BBA" w:rsidP="00493BBA">
      <w:pPr>
        <w:ind w:left="851"/>
        <w:rPr>
          <w:bCs/>
          <w:noProof/>
          <w:sz w:val="16"/>
          <w:szCs w:val="16"/>
        </w:rPr>
      </w:pPr>
      <w:r>
        <w:rPr>
          <w:bCs/>
          <w:noProof/>
          <w:sz w:val="16"/>
          <w:szCs w:val="16"/>
          <w:vertAlign w:val="superscript"/>
        </w:rPr>
        <w:t>c</w:t>
      </w:r>
      <w:r>
        <w:rPr>
          <w:bCs/>
          <w:noProof/>
          <w:sz w:val="16"/>
          <w:szCs w:val="16"/>
        </w:rPr>
        <w:t xml:space="preserve"> P-værdi fra log-rank-test  </w:t>
      </w:r>
    </w:p>
    <w:p w:rsidR="00493BBA" w:rsidRDefault="00493BBA" w:rsidP="00493BBA">
      <w:pPr>
        <w:ind w:left="851"/>
        <w:rPr>
          <w:bCs/>
          <w:noProof/>
          <w:sz w:val="16"/>
          <w:szCs w:val="16"/>
        </w:rPr>
      </w:pPr>
      <w:r>
        <w:rPr>
          <w:bCs/>
          <w:noProof/>
          <w:sz w:val="16"/>
          <w:szCs w:val="16"/>
          <w:vertAlign w:val="superscript"/>
        </w:rPr>
        <w:t>d</w:t>
      </w:r>
      <w:r>
        <w:rPr>
          <w:bCs/>
          <w:noProof/>
          <w:sz w:val="16"/>
          <w:szCs w:val="16"/>
        </w:rPr>
        <w:t xml:space="preserve"> Sekundære og udforskende endepunkter er ikke α-kontrollerede </w:t>
      </w:r>
    </w:p>
    <w:p w:rsidR="00493BBA" w:rsidRDefault="00493BBA" w:rsidP="00493BBA">
      <w:pPr>
        <w:ind w:left="851"/>
        <w:rPr>
          <w:bCs/>
          <w:noProof/>
          <w:sz w:val="16"/>
          <w:szCs w:val="16"/>
        </w:rPr>
      </w:pPr>
      <w:r>
        <w:rPr>
          <w:bCs/>
          <w:noProof/>
          <w:sz w:val="16"/>
          <w:szCs w:val="16"/>
          <w:vertAlign w:val="superscript"/>
        </w:rPr>
        <w:t xml:space="preserve">e </w:t>
      </w:r>
      <w:r>
        <w:rPr>
          <w:bCs/>
          <w:noProof/>
          <w:sz w:val="16"/>
          <w:szCs w:val="16"/>
        </w:rPr>
        <w:t xml:space="preserve">Med en median opfølgning på 28,6 måneder var der 11 dødsfald i R2-armen og 24 dødsfald i kontrolarmen. </w:t>
      </w:r>
    </w:p>
    <w:p w:rsidR="00493BBA" w:rsidRDefault="00493BBA" w:rsidP="00493BBA">
      <w:pPr>
        <w:ind w:left="851"/>
        <w:rPr>
          <w:bCs/>
          <w:noProof/>
          <w:sz w:val="16"/>
          <w:szCs w:val="16"/>
        </w:rPr>
      </w:pPr>
      <w:r>
        <w:rPr>
          <w:bCs/>
          <w:noProof/>
          <w:sz w:val="16"/>
          <w:szCs w:val="16"/>
          <w:vertAlign w:val="superscript"/>
        </w:rPr>
        <w:t xml:space="preserve">f </w:t>
      </w:r>
      <w:r>
        <w:rPr>
          <w:bCs/>
          <w:noProof/>
          <w:sz w:val="16"/>
          <w:szCs w:val="16"/>
        </w:rPr>
        <w:t xml:space="preserve">Præcist konfidensinterval for binomialfordeling. </w:t>
      </w:r>
    </w:p>
    <w:p w:rsidR="00493BBA" w:rsidRPr="00493BBA" w:rsidRDefault="00493BBA" w:rsidP="00493BBA">
      <w:pPr>
        <w:suppressAutoHyphens/>
        <w:ind w:left="851"/>
        <w:rPr>
          <w:bCs/>
          <w:noProof/>
          <w:sz w:val="24"/>
          <w:szCs w:val="24"/>
          <w:u w:val="single"/>
        </w:rPr>
      </w:pPr>
    </w:p>
    <w:p w:rsidR="00493BBA" w:rsidRPr="00493BBA" w:rsidRDefault="00493BBA" w:rsidP="00F15870">
      <w:pPr>
        <w:keepNext/>
        <w:suppressAutoHyphens/>
        <w:ind w:left="851"/>
        <w:rPr>
          <w:bCs/>
          <w:i/>
          <w:noProof/>
          <w:sz w:val="24"/>
          <w:szCs w:val="24"/>
          <w:u w:val="single"/>
        </w:rPr>
      </w:pPr>
      <w:r w:rsidRPr="00493BBA">
        <w:rPr>
          <w:bCs/>
          <w:i/>
          <w:noProof/>
          <w:sz w:val="24"/>
          <w:szCs w:val="24"/>
          <w:u w:val="single"/>
        </w:rPr>
        <w:lastRenderedPageBreak/>
        <w:t xml:space="preserve">Follikulært lymfom for patienter, der er refraktære over for rituximab </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 xml:space="preserve">MAGNIFY - CC-5013-NHL-008  </w:t>
      </w:r>
    </w:p>
    <w:p w:rsidR="00493BBA" w:rsidRPr="00493BBA" w:rsidRDefault="00493BBA" w:rsidP="00493BBA">
      <w:pPr>
        <w:suppressAutoHyphens/>
        <w:ind w:left="851"/>
        <w:rPr>
          <w:bCs/>
          <w:noProof/>
          <w:sz w:val="24"/>
          <w:szCs w:val="24"/>
        </w:rPr>
      </w:pPr>
    </w:p>
    <w:p w:rsidR="00493BBA" w:rsidRPr="00493BBA" w:rsidRDefault="00493BBA" w:rsidP="00493BBA">
      <w:pPr>
        <w:suppressAutoHyphens/>
        <w:ind w:left="851"/>
        <w:rPr>
          <w:bCs/>
          <w:noProof/>
          <w:sz w:val="24"/>
          <w:szCs w:val="24"/>
        </w:rPr>
      </w:pPr>
      <w:r w:rsidRPr="00493BBA">
        <w:rPr>
          <w:bCs/>
          <w:noProof/>
          <w:sz w:val="24"/>
          <w:szCs w:val="24"/>
        </w:rPr>
        <w:t xml:space="preserve">I alt 232 personer, som var mindst 18 år med histologisk bekræftet FL (grad 1, 2, 3a eller MZL) vurderet af investigatoren eller en lokal patolog, indgik i den indledende behandlingsperiode med 12 cyklusser med lenalidomid plus rituximab. Personer, der opnåede CR/CRu, PR eller SD ved slutningen af perioden med induktionsbehandling, blev randomiseret til at indgå i perioden med vedligeholdelsesbehandling. Alle personer, der indgik, skulle tidligere være behandlet med mindst én systemisk antilymfombehandling. I modsætning til studie NHL-007 inkluderede NHL-008-studiet patienter, som var refraktære over for rituximab (intet respons eller recidiv inden for 6 måneder efter behandlingen med rituximab, eller som var dobbelt refraktære over for rituximab og kemoterapi). </w:t>
      </w:r>
    </w:p>
    <w:p w:rsidR="00493BBA" w:rsidRPr="00493BBA" w:rsidRDefault="00493BBA" w:rsidP="00493BBA">
      <w:pPr>
        <w:suppressAutoHyphens/>
        <w:ind w:left="851"/>
        <w:rPr>
          <w:bCs/>
          <w:noProof/>
          <w:sz w:val="24"/>
          <w:szCs w:val="24"/>
        </w:rPr>
      </w:pPr>
      <w:r w:rsidRPr="00493BBA">
        <w:rPr>
          <w:bCs/>
          <w:noProof/>
          <w:sz w:val="24"/>
          <w:szCs w:val="24"/>
        </w:rPr>
        <w:t xml:space="preserve"> </w:t>
      </w:r>
    </w:p>
    <w:p w:rsidR="00493BBA" w:rsidRPr="00493BBA" w:rsidRDefault="00493BBA" w:rsidP="00493BBA">
      <w:pPr>
        <w:suppressAutoHyphens/>
        <w:ind w:left="851"/>
        <w:rPr>
          <w:bCs/>
          <w:noProof/>
          <w:sz w:val="24"/>
          <w:szCs w:val="24"/>
        </w:rPr>
      </w:pPr>
      <w:r w:rsidRPr="00493BBA">
        <w:rPr>
          <w:bCs/>
          <w:noProof/>
          <w:sz w:val="24"/>
          <w:szCs w:val="24"/>
        </w:rPr>
        <w:t xml:space="preserve">I løbet af perioden med induktionsbehandling blev lenalidomid 20 mg givet på dag 1-21 af gentagne 28-dages cyklusser i op til 12 cyklusser eller indtil uacceptabel toksicitet eller tilbagetrækning af samtykket eller sygdomsprogression. Dosis af rituximab var 375 mg/m2 hver uge i cyklus 1 (dag 1, 8, 15 og 22) og på dag 1 af hver anden 28-dages cyklus (cyklus 3, 5, 7, 9 og 11) op til behandling i 12 cyklusser. Alle doseringsberegninger for rituximab var baseret på patientens legemsoverfladeareal (body surface area, BSA) og aktuelle vægt. </w:t>
      </w:r>
    </w:p>
    <w:p w:rsidR="00493BBA" w:rsidRPr="00493BBA" w:rsidRDefault="00493BBA" w:rsidP="00493BBA">
      <w:pPr>
        <w:suppressAutoHyphens/>
        <w:ind w:left="851"/>
        <w:rPr>
          <w:bCs/>
          <w:noProof/>
          <w:sz w:val="24"/>
          <w:szCs w:val="24"/>
        </w:rPr>
      </w:pPr>
      <w:r w:rsidRPr="00493BBA">
        <w:rPr>
          <w:bCs/>
          <w:noProof/>
          <w:sz w:val="24"/>
          <w:szCs w:val="24"/>
        </w:rPr>
        <w:t xml:space="preserve"> </w:t>
      </w:r>
    </w:p>
    <w:p w:rsidR="00493BBA" w:rsidRPr="00493BBA" w:rsidRDefault="00493BBA" w:rsidP="00493BBA">
      <w:pPr>
        <w:suppressAutoHyphens/>
        <w:ind w:left="851"/>
        <w:rPr>
          <w:bCs/>
          <w:noProof/>
          <w:sz w:val="24"/>
          <w:szCs w:val="24"/>
        </w:rPr>
      </w:pPr>
      <w:r w:rsidRPr="00493BBA">
        <w:rPr>
          <w:bCs/>
          <w:noProof/>
          <w:sz w:val="24"/>
          <w:szCs w:val="24"/>
        </w:rPr>
        <w:t xml:space="preserve">De viste data er baseret på en interimanalyse, der fokuserede på perioden med induktionsbehandling med en enkelt arm. Bestemmelsen af virkning er baseret på ORR med bedste respons som primære endepunkt ved hjælp af en modifikation fra 1999 International Working Group Response Criteria (IWGRC). Det sekundære formål var at evaluere andre parametre for virkning, såsom DoR. </w:t>
      </w:r>
    </w:p>
    <w:p w:rsidR="00493BBA" w:rsidRPr="00493BBA" w:rsidRDefault="00493BBA" w:rsidP="00493BBA">
      <w:pPr>
        <w:suppressAutoHyphens/>
        <w:ind w:left="851"/>
        <w:rPr>
          <w:bCs/>
          <w:noProof/>
          <w:sz w:val="24"/>
          <w:szCs w:val="24"/>
        </w:rPr>
      </w:pPr>
    </w:p>
    <w:p w:rsidR="00493BBA" w:rsidRPr="00493BBA" w:rsidRDefault="00493BBA" w:rsidP="00493BBA">
      <w:pPr>
        <w:shd w:val="clear" w:color="auto" w:fill="FFFFFF"/>
        <w:spacing w:after="143"/>
        <w:ind w:left="851"/>
        <w:rPr>
          <w:color w:val="000000"/>
          <w:sz w:val="24"/>
          <w:szCs w:val="24"/>
          <w:lang w:val="en-US" w:eastAsia="en-IN"/>
        </w:rPr>
      </w:pPr>
      <w:r w:rsidRPr="00493BBA">
        <w:rPr>
          <w:b/>
          <w:bCs/>
          <w:color w:val="000000"/>
          <w:sz w:val="24"/>
          <w:szCs w:val="24"/>
          <w:lang w:val="en-US" w:eastAsia="en-IN"/>
        </w:rPr>
        <w:t>Table 1</w:t>
      </w:r>
      <w:r w:rsidR="00DF19D5">
        <w:rPr>
          <w:b/>
          <w:bCs/>
          <w:color w:val="000000"/>
          <w:sz w:val="24"/>
          <w:szCs w:val="24"/>
          <w:lang w:val="en-US" w:eastAsia="en-IN"/>
        </w:rPr>
        <w:t>5</w:t>
      </w:r>
      <w:r w:rsidRPr="00493BBA">
        <w:rPr>
          <w:b/>
          <w:bCs/>
          <w:color w:val="000000"/>
          <w:sz w:val="24"/>
          <w:szCs w:val="24"/>
          <w:lang w:val="en-US" w:eastAsia="en-IN"/>
        </w:rPr>
        <w:t>: Summary of overall efficacy data (InductionTreatment Period) - Study CC-5013-NHL-008</w:t>
      </w:r>
    </w:p>
    <w:tbl>
      <w:tblPr>
        <w:tblW w:w="5000" w:type="pct"/>
        <w:tblInd w:w="418" w:type="dxa"/>
        <w:tblBorders>
          <w:top w:val="outset" w:sz="6" w:space="0" w:color="7B7B7B"/>
          <w:left w:val="outset" w:sz="6" w:space="0" w:color="7B7B7B"/>
          <w:bottom w:val="outset" w:sz="6" w:space="0" w:color="7B7B7B"/>
          <w:right w:val="outset" w:sz="6" w:space="0" w:color="7B7B7B"/>
        </w:tblBorders>
        <w:tblCellMar>
          <w:top w:w="30" w:type="dxa"/>
          <w:left w:w="30" w:type="dxa"/>
          <w:bottom w:w="30" w:type="dxa"/>
          <w:right w:w="30" w:type="dxa"/>
        </w:tblCellMar>
        <w:tblLook w:val="04A0" w:firstRow="1" w:lastRow="0" w:firstColumn="1" w:lastColumn="0" w:noHBand="0" w:noVBand="1"/>
      </w:tblPr>
      <w:tblGrid>
        <w:gridCol w:w="2505"/>
        <w:gridCol w:w="1251"/>
        <w:gridCol w:w="1155"/>
        <w:gridCol w:w="1251"/>
        <w:gridCol w:w="1058"/>
        <w:gridCol w:w="1251"/>
        <w:gridCol w:w="1151"/>
      </w:tblGrid>
      <w:tr w:rsidR="00493BBA" w:rsidTr="00493BBA">
        <w:tc>
          <w:tcPr>
            <w:tcW w:w="1302"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rPr>
                <w:color w:val="000000"/>
                <w:lang w:val="en-US" w:eastAsia="en-IN"/>
              </w:rPr>
            </w:pPr>
          </w:p>
        </w:tc>
        <w:tc>
          <w:tcPr>
            <w:tcW w:w="1900" w:type="pct"/>
            <w:gridSpan w:val="3"/>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sz w:val="22"/>
                <w:lang w:eastAsia="en-IN"/>
              </w:rPr>
            </w:pPr>
            <w:r>
              <w:rPr>
                <w:lang w:eastAsia="en-IN"/>
              </w:rPr>
              <w:t>Alle personer</w:t>
            </w:r>
          </w:p>
        </w:tc>
        <w:tc>
          <w:tcPr>
            <w:tcW w:w="1798" w:type="pct"/>
            <w:gridSpan w:val="3"/>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lang w:eastAsia="en-IN"/>
              </w:rPr>
            </w:pPr>
            <w:r>
              <w:rPr>
                <w:lang w:eastAsia="en-IN"/>
              </w:rPr>
              <w:t>FL-personer</w:t>
            </w:r>
          </w:p>
        </w:tc>
      </w:tr>
      <w:tr w:rsidR="00493BBA" w:rsidTr="00493BBA">
        <w:tc>
          <w:tcPr>
            <w:tcW w:w="1302"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rPr>
                <w:lang w:eastAsia="en-IN"/>
              </w:rPr>
            </w:pPr>
          </w:p>
        </w:tc>
        <w:tc>
          <w:tcPr>
            <w:tcW w:w="650"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sz w:val="22"/>
                <w:lang w:eastAsia="en-IN"/>
              </w:rPr>
            </w:pPr>
            <w:r>
              <w:rPr>
                <w:lang w:eastAsia="en-IN"/>
              </w:rPr>
              <w:t>I alt</w:t>
            </w:r>
          </w:p>
          <w:p w:rsidR="00493BBA" w:rsidRDefault="00493BBA">
            <w:pPr>
              <w:jc w:val="center"/>
              <w:rPr>
                <w:lang w:eastAsia="en-IN"/>
              </w:rPr>
            </w:pPr>
            <w:r>
              <w:rPr>
                <w:lang w:eastAsia="en-IN"/>
              </w:rPr>
              <w:t>N=187 </w:t>
            </w:r>
            <w:r>
              <w:rPr>
                <w:vertAlign w:val="superscript"/>
                <w:lang w:eastAsia="en-IN"/>
              </w:rPr>
              <w:t>a</w:t>
            </w:r>
          </w:p>
        </w:tc>
        <w:tc>
          <w:tcPr>
            <w:tcW w:w="600"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lang w:eastAsia="en-IN"/>
              </w:rPr>
            </w:pPr>
            <w:r>
              <w:rPr>
                <w:lang w:eastAsia="en-IN"/>
              </w:rPr>
              <w:t>Rituximab refraktær: Ja</w:t>
            </w:r>
          </w:p>
          <w:p w:rsidR="00493BBA" w:rsidRDefault="00493BBA">
            <w:pPr>
              <w:jc w:val="center"/>
              <w:rPr>
                <w:lang w:eastAsia="en-IN"/>
              </w:rPr>
            </w:pPr>
            <w:r>
              <w:rPr>
                <w:lang w:eastAsia="en-IN"/>
              </w:rPr>
              <w:t>N=77</w:t>
            </w:r>
          </w:p>
        </w:tc>
        <w:tc>
          <w:tcPr>
            <w:tcW w:w="650"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lang w:eastAsia="en-IN"/>
              </w:rPr>
            </w:pPr>
            <w:r>
              <w:rPr>
                <w:lang w:eastAsia="en-IN"/>
              </w:rPr>
              <w:t>Rituximab refraktær: Nej</w:t>
            </w:r>
          </w:p>
          <w:p w:rsidR="00493BBA" w:rsidRDefault="00493BBA">
            <w:pPr>
              <w:jc w:val="center"/>
              <w:rPr>
                <w:lang w:eastAsia="en-IN"/>
              </w:rPr>
            </w:pPr>
            <w:r>
              <w:rPr>
                <w:lang w:eastAsia="en-IN"/>
              </w:rPr>
              <w:t>N=110</w:t>
            </w:r>
          </w:p>
        </w:tc>
        <w:tc>
          <w:tcPr>
            <w:tcW w:w="550"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lang w:eastAsia="en-IN"/>
              </w:rPr>
            </w:pPr>
            <w:r>
              <w:rPr>
                <w:lang w:eastAsia="en-IN"/>
              </w:rPr>
              <w:t>I alt N=148</w:t>
            </w:r>
          </w:p>
        </w:tc>
        <w:tc>
          <w:tcPr>
            <w:tcW w:w="650"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lang w:eastAsia="en-IN"/>
              </w:rPr>
            </w:pPr>
            <w:r>
              <w:rPr>
                <w:lang w:eastAsia="en-IN"/>
              </w:rPr>
              <w:t xml:space="preserve">Rituximab refraktær: </w:t>
            </w:r>
          </w:p>
          <w:p w:rsidR="00493BBA" w:rsidRDefault="00493BBA">
            <w:pPr>
              <w:jc w:val="center"/>
              <w:rPr>
                <w:lang w:eastAsia="en-IN"/>
              </w:rPr>
            </w:pPr>
            <w:r>
              <w:rPr>
                <w:lang w:eastAsia="en-IN"/>
              </w:rPr>
              <w:t>Ja</w:t>
            </w:r>
          </w:p>
          <w:p w:rsidR="00493BBA" w:rsidRDefault="00493BBA">
            <w:pPr>
              <w:jc w:val="center"/>
              <w:rPr>
                <w:lang w:eastAsia="en-IN"/>
              </w:rPr>
            </w:pPr>
            <w:r>
              <w:rPr>
                <w:lang w:eastAsia="en-IN"/>
              </w:rPr>
              <w:t>N=60</w:t>
            </w:r>
          </w:p>
        </w:tc>
        <w:tc>
          <w:tcPr>
            <w:tcW w:w="598" w:type="pct"/>
            <w:tcBorders>
              <w:top w:val="outset" w:sz="6" w:space="0" w:color="7B7B7B"/>
              <w:left w:val="outset" w:sz="6" w:space="0" w:color="7B7B7B"/>
              <w:bottom w:val="outset" w:sz="6" w:space="0" w:color="7B7B7B"/>
              <w:right w:val="outset" w:sz="6" w:space="0" w:color="7B7B7B"/>
            </w:tcBorders>
            <w:vAlign w:val="bottom"/>
            <w:hideMark/>
          </w:tcPr>
          <w:p w:rsidR="00493BBA" w:rsidRDefault="00493BBA">
            <w:pPr>
              <w:jc w:val="center"/>
              <w:rPr>
                <w:lang w:eastAsia="en-IN"/>
              </w:rPr>
            </w:pPr>
            <w:r>
              <w:rPr>
                <w:lang w:eastAsia="en-IN"/>
              </w:rPr>
              <w:t>Rituximab refraktær: Nej</w:t>
            </w:r>
          </w:p>
          <w:p w:rsidR="00493BBA" w:rsidRDefault="00493BBA">
            <w:pPr>
              <w:jc w:val="center"/>
              <w:rPr>
                <w:lang w:eastAsia="en-IN"/>
              </w:rPr>
            </w:pPr>
            <w:r>
              <w:rPr>
                <w:lang w:eastAsia="en-IN"/>
              </w:rPr>
              <w:t>N=88</w:t>
            </w:r>
          </w:p>
        </w:tc>
      </w:tr>
      <w:tr w:rsidR="00493BBA" w:rsidTr="00493BBA">
        <w:tc>
          <w:tcPr>
            <w:tcW w:w="1302" w:type="pct"/>
            <w:tcBorders>
              <w:top w:val="outset" w:sz="6" w:space="0" w:color="7B7B7B"/>
              <w:left w:val="outset" w:sz="6" w:space="0" w:color="7B7B7B"/>
              <w:bottom w:val="outset" w:sz="6" w:space="0" w:color="7B7B7B"/>
              <w:right w:val="outset" w:sz="6" w:space="0" w:color="7B7B7B"/>
            </w:tcBorders>
            <w:hideMark/>
          </w:tcPr>
          <w:p w:rsidR="00493BBA" w:rsidRPr="00493BBA" w:rsidRDefault="00493BBA">
            <w:pPr>
              <w:rPr>
                <w:lang w:val="es-ES" w:eastAsia="en-IN"/>
              </w:rPr>
            </w:pPr>
            <w:r w:rsidRPr="00493BBA">
              <w:rPr>
                <w:lang w:val="es-ES" w:eastAsia="en-IN"/>
              </w:rPr>
              <w:t>ORR, n (%)</w:t>
            </w:r>
          </w:p>
          <w:p w:rsidR="00493BBA" w:rsidRPr="00493BBA" w:rsidRDefault="00493BBA">
            <w:pPr>
              <w:rPr>
                <w:lang w:val="es-ES" w:eastAsia="en-IN"/>
              </w:rPr>
            </w:pPr>
            <w:r w:rsidRPr="00493BBA">
              <w:rPr>
                <w:lang w:val="es-ES" w:eastAsia="en-IN"/>
              </w:rPr>
              <w:t>(CR+CRu+PR)</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127 (67,9)</w:t>
            </w:r>
          </w:p>
        </w:tc>
        <w:tc>
          <w:tcPr>
            <w:tcW w:w="60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45 (58,4)</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82 (75,2)</w:t>
            </w:r>
          </w:p>
        </w:tc>
        <w:tc>
          <w:tcPr>
            <w:tcW w:w="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104 (70,3)</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35 (58,3)</w:t>
            </w:r>
          </w:p>
        </w:tc>
        <w:tc>
          <w:tcPr>
            <w:tcW w:w="598"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69 (79,3)</w:t>
            </w:r>
          </w:p>
        </w:tc>
      </w:tr>
      <w:tr w:rsidR="00493BBA" w:rsidTr="00493BBA">
        <w:tc>
          <w:tcPr>
            <w:tcW w:w="1302"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lang w:eastAsia="en-IN"/>
              </w:rPr>
              <w:t>CRR, n (%)</w:t>
            </w:r>
          </w:p>
          <w:p w:rsidR="00493BBA" w:rsidRDefault="00493BBA">
            <w:pPr>
              <w:rPr>
                <w:lang w:eastAsia="en-IN"/>
              </w:rPr>
            </w:pPr>
            <w:r>
              <w:rPr>
                <w:lang w:eastAsia="en-IN"/>
              </w:rPr>
              <w:t>(CR+Cru)</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79 (42,2)</w:t>
            </w:r>
          </w:p>
        </w:tc>
        <w:tc>
          <w:tcPr>
            <w:tcW w:w="60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27 (35,1)</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52 (47,7)</w:t>
            </w:r>
          </w:p>
        </w:tc>
        <w:tc>
          <w:tcPr>
            <w:tcW w:w="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62 (41,9)</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20 (33,3)</w:t>
            </w:r>
          </w:p>
        </w:tc>
        <w:tc>
          <w:tcPr>
            <w:tcW w:w="598"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lang w:eastAsia="en-IN"/>
              </w:rPr>
              <w:t>42 (48,3)</w:t>
            </w:r>
          </w:p>
        </w:tc>
      </w:tr>
      <w:tr w:rsidR="00493BBA" w:rsidTr="00493BBA">
        <w:tc>
          <w:tcPr>
            <w:tcW w:w="1302"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Antal responderende</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N=127</w:t>
            </w:r>
          </w:p>
        </w:tc>
        <w:tc>
          <w:tcPr>
            <w:tcW w:w="60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N=45</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N=82</w:t>
            </w:r>
          </w:p>
        </w:tc>
        <w:tc>
          <w:tcPr>
            <w:tcW w:w="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N=104</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N=35</w:t>
            </w:r>
          </w:p>
        </w:tc>
        <w:tc>
          <w:tcPr>
            <w:tcW w:w="598"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N=69</w:t>
            </w:r>
          </w:p>
        </w:tc>
      </w:tr>
      <w:tr w:rsidR="00493BBA" w:rsidTr="00493BBA">
        <w:tc>
          <w:tcPr>
            <w:tcW w:w="1302"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 personer med DoR</w:t>
            </w:r>
            <w:r>
              <w:rPr>
                <w:lang w:eastAsia="en-IN"/>
              </w:rPr>
              <w:t> </w:t>
            </w:r>
            <w:r>
              <w:rPr>
                <w:b/>
                <w:bCs/>
                <w:vertAlign w:val="superscript"/>
                <w:lang w:eastAsia="en-IN"/>
              </w:rPr>
              <w:t>b</w:t>
            </w:r>
          </w:p>
          <w:p w:rsidR="00493BBA" w:rsidRDefault="00493BBA">
            <w:pPr>
              <w:rPr>
                <w:lang w:eastAsia="en-IN"/>
              </w:rPr>
            </w:pPr>
            <w:r>
              <w:rPr>
                <w:b/>
                <w:bCs/>
                <w:lang w:eastAsia="en-IN"/>
              </w:rPr>
              <w:t>≥ 6 måneder (95% CI)</w:t>
            </w:r>
            <w:r>
              <w:rPr>
                <w:lang w:eastAsia="en-IN"/>
              </w:rPr>
              <w:t> </w:t>
            </w:r>
            <w:r>
              <w:rPr>
                <w:b/>
                <w:bCs/>
                <w:vertAlign w:val="superscript"/>
                <w:lang w:eastAsia="en-IN"/>
              </w:rPr>
              <w:t>c</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93,0</w:t>
            </w:r>
          </w:p>
          <w:p w:rsidR="00493BBA" w:rsidRDefault="00493BBA">
            <w:pPr>
              <w:jc w:val="center"/>
              <w:rPr>
                <w:lang w:eastAsia="en-IN"/>
              </w:rPr>
            </w:pPr>
            <w:r>
              <w:rPr>
                <w:b/>
                <w:bCs/>
                <w:lang w:eastAsia="en-IN"/>
              </w:rPr>
              <w:t>(85,1; 96,8)</w:t>
            </w:r>
          </w:p>
        </w:tc>
        <w:tc>
          <w:tcPr>
            <w:tcW w:w="60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90,4</w:t>
            </w:r>
          </w:p>
          <w:p w:rsidR="00493BBA" w:rsidRDefault="00493BBA">
            <w:pPr>
              <w:jc w:val="center"/>
              <w:rPr>
                <w:lang w:eastAsia="en-IN"/>
              </w:rPr>
            </w:pPr>
            <w:r>
              <w:rPr>
                <w:b/>
                <w:bCs/>
                <w:lang w:eastAsia="en-IN"/>
              </w:rPr>
              <w:t>(73,0; 96,8)</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94,5</w:t>
            </w:r>
          </w:p>
          <w:p w:rsidR="00493BBA" w:rsidRDefault="00493BBA">
            <w:pPr>
              <w:jc w:val="center"/>
              <w:rPr>
                <w:lang w:eastAsia="en-IN"/>
              </w:rPr>
            </w:pPr>
            <w:r>
              <w:rPr>
                <w:b/>
                <w:bCs/>
                <w:lang w:eastAsia="en-IN"/>
              </w:rPr>
              <w:t>(83,9; 98,2)</w:t>
            </w:r>
          </w:p>
        </w:tc>
        <w:tc>
          <w:tcPr>
            <w:tcW w:w="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94,3</w:t>
            </w:r>
          </w:p>
          <w:p w:rsidR="00493BBA" w:rsidRDefault="00493BBA">
            <w:pPr>
              <w:jc w:val="center"/>
              <w:rPr>
                <w:lang w:eastAsia="en-IN"/>
              </w:rPr>
            </w:pPr>
            <w:r>
              <w:rPr>
                <w:b/>
                <w:bCs/>
                <w:lang w:eastAsia="en-IN"/>
              </w:rPr>
              <w:t>(85,5; 97,9)</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96,0</w:t>
            </w:r>
          </w:p>
          <w:p w:rsidR="00493BBA" w:rsidRDefault="00493BBA">
            <w:pPr>
              <w:jc w:val="center"/>
              <w:rPr>
                <w:lang w:eastAsia="en-IN"/>
              </w:rPr>
            </w:pPr>
            <w:r>
              <w:rPr>
                <w:b/>
                <w:bCs/>
                <w:lang w:eastAsia="en-IN"/>
              </w:rPr>
              <w:t>(74,8; 99,4)</w:t>
            </w:r>
          </w:p>
        </w:tc>
        <w:tc>
          <w:tcPr>
            <w:tcW w:w="598"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93.5</w:t>
            </w:r>
          </w:p>
          <w:p w:rsidR="00493BBA" w:rsidRDefault="00493BBA">
            <w:pPr>
              <w:jc w:val="center"/>
              <w:rPr>
                <w:lang w:eastAsia="en-IN"/>
              </w:rPr>
            </w:pPr>
            <w:r>
              <w:rPr>
                <w:b/>
                <w:bCs/>
                <w:lang w:eastAsia="en-IN"/>
              </w:rPr>
              <w:t>(81,0; 97,9)</w:t>
            </w:r>
          </w:p>
        </w:tc>
      </w:tr>
      <w:tr w:rsidR="00493BBA" w:rsidTr="00493BBA">
        <w:tc>
          <w:tcPr>
            <w:tcW w:w="1302" w:type="pct"/>
            <w:tcBorders>
              <w:top w:val="outset" w:sz="6" w:space="0" w:color="7B7B7B"/>
              <w:left w:val="outset" w:sz="6" w:space="0" w:color="7B7B7B"/>
              <w:bottom w:val="outset" w:sz="6" w:space="0" w:color="7B7B7B"/>
              <w:right w:val="outset" w:sz="6" w:space="0" w:color="7B7B7B"/>
            </w:tcBorders>
            <w:hideMark/>
          </w:tcPr>
          <w:p w:rsidR="00493BBA" w:rsidRDefault="00493BBA">
            <w:pPr>
              <w:rPr>
                <w:lang w:eastAsia="en-IN"/>
              </w:rPr>
            </w:pPr>
            <w:r>
              <w:rPr>
                <w:b/>
                <w:bCs/>
                <w:lang w:eastAsia="en-IN"/>
              </w:rPr>
              <w:t>% personer med DoR</w:t>
            </w:r>
            <w:r>
              <w:rPr>
                <w:lang w:eastAsia="en-IN"/>
              </w:rPr>
              <w:t> </w:t>
            </w:r>
            <w:r>
              <w:rPr>
                <w:b/>
                <w:bCs/>
                <w:vertAlign w:val="superscript"/>
                <w:lang w:eastAsia="en-IN"/>
              </w:rPr>
              <w:t>b</w:t>
            </w:r>
          </w:p>
          <w:p w:rsidR="00493BBA" w:rsidRDefault="00493BBA">
            <w:pPr>
              <w:rPr>
                <w:lang w:eastAsia="en-IN"/>
              </w:rPr>
            </w:pPr>
            <w:r>
              <w:rPr>
                <w:b/>
                <w:bCs/>
                <w:lang w:eastAsia="en-IN"/>
              </w:rPr>
              <w:t>≥ 12 måneder (95% CI)</w:t>
            </w:r>
            <w:r>
              <w:rPr>
                <w:lang w:eastAsia="en-IN"/>
              </w:rPr>
              <w:t> </w:t>
            </w:r>
            <w:r>
              <w:rPr>
                <w:b/>
                <w:bCs/>
                <w:vertAlign w:val="superscript"/>
                <w:lang w:eastAsia="en-IN"/>
              </w:rPr>
              <w:t>c</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79,1</w:t>
            </w:r>
          </w:p>
          <w:p w:rsidR="00493BBA" w:rsidRDefault="00493BBA">
            <w:pPr>
              <w:jc w:val="center"/>
              <w:rPr>
                <w:lang w:eastAsia="en-IN"/>
              </w:rPr>
            </w:pPr>
            <w:r>
              <w:rPr>
                <w:b/>
                <w:bCs/>
                <w:lang w:eastAsia="en-IN"/>
              </w:rPr>
              <w:t>(67,4; 87,0)</w:t>
            </w:r>
          </w:p>
        </w:tc>
        <w:tc>
          <w:tcPr>
            <w:tcW w:w="60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73,3</w:t>
            </w:r>
          </w:p>
          <w:p w:rsidR="00493BBA" w:rsidRDefault="00493BBA">
            <w:pPr>
              <w:jc w:val="center"/>
              <w:rPr>
                <w:lang w:eastAsia="en-IN"/>
              </w:rPr>
            </w:pPr>
            <w:r>
              <w:rPr>
                <w:b/>
                <w:bCs/>
                <w:lang w:eastAsia="en-IN"/>
              </w:rPr>
              <w:t>(51,2; 86,6)</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82,4</w:t>
            </w:r>
          </w:p>
          <w:p w:rsidR="00493BBA" w:rsidRDefault="00493BBA">
            <w:pPr>
              <w:jc w:val="center"/>
              <w:rPr>
                <w:lang w:eastAsia="en-IN"/>
              </w:rPr>
            </w:pPr>
            <w:r>
              <w:rPr>
                <w:b/>
                <w:bCs/>
                <w:lang w:eastAsia="en-IN"/>
              </w:rPr>
              <w:t>(67,5; 90,9)</w:t>
            </w:r>
          </w:p>
        </w:tc>
        <w:tc>
          <w:tcPr>
            <w:tcW w:w="5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79,5</w:t>
            </w:r>
          </w:p>
          <w:p w:rsidR="00493BBA" w:rsidRDefault="00493BBA">
            <w:pPr>
              <w:jc w:val="center"/>
              <w:rPr>
                <w:lang w:eastAsia="en-IN"/>
              </w:rPr>
            </w:pPr>
            <w:r>
              <w:rPr>
                <w:b/>
                <w:bCs/>
                <w:lang w:eastAsia="en-IN"/>
              </w:rPr>
              <w:t>(65,5; 88,3)</w:t>
            </w:r>
          </w:p>
        </w:tc>
        <w:tc>
          <w:tcPr>
            <w:tcW w:w="650"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73,9</w:t>
            </w:r>
          </w:p>
          <w:p w:rsidR="00493BBA" w:rsidRDefault="00493BBA">
            <w:pPr>
              <w:jc w:val="center"/>
              <w:rPr>
                <w:lang w:eastAsia="en-IN"/>
              </w:rPr>
            </w:pPr>
            <w:r>
              <w:rPr>
                <w:b/>
                <w:bCs/>
                <w:lang w:eastAsia="en-IN"/>
              </w:rPr>
              <w:t>(43,0; 89,8)</w:t>
            </w:r>
          </w:p>
        </w:tc>
        <w:tc>
          <w:tcPr>
            <w:tcW w:w="598" w:type="pct"/>
            <w:tcBorders>
              <w:top w:val="outset" w:sz="6" w:space="0" w:color="7B7B7B"/>
              <w:left w:val="outset" w:sz="6" w:space="0" w:color="7B7B7B"/>
              <w:bottom w:val="outset" w:sz="6" w:space="0" w:color="7B7B7B"/>
              <w:right w:val="outset" w:sz="6" w:space="0" w:color="7B7B7B"/>
            </w:tcBorders>
            <w:hideMark/>
          </w:tcPr>
          <w:p w:rsidR="00493BBA" w:rsidRDefault="00493BBA">
            <w:pPr>
              <w:jc w:val="center"/>
              <w:rPr>
                <w:lang w:eastAsia="en-IN"/>
              </w:rPr>
            </w:pPr>
            <w:r>
              <w:rPr>
                <w:b/>
                <w:bCs/>
                <w:lang w:eastAsia="en-IN"/>
              </w:rPr>
              <w:t>81,7</w:t>
            </w:r>
          </w:p>
          <w:p w:rsidR="00493BBA" w:rsidRDefault="00493BBA">
            <w:pPr>
              <w:jc w:val="center"/>
              <w:rPr>
                <w:lang w:eastAsia="en-IN"/>
              </w:rPr>
            </w:pPr>
            <w:r>
              <w:rPr>
                <w:b/>
                <w:bCs/>
                <w:lang w:eastAsia="en-IN"/>
              </w:rPr>
              <w:t>(64,8; 91,0)</w:t>
            </w:r>
          </w:p>
        </w:tc>
      </w:tr>
    </w:tbl>
    <w:p w:rsidR="00493BBA" w:rsidRDefault="00493BBA" w:rsidP="00493BBA">
      <w:pPr>
        <w:suppressAutoHyphens/>
        <w:ind w:left="851"/>
        <w:rPr>
          <w:bCs/>
          <w:noProof/>
          <w:sz w:val="16"/>
          <w:szCs w:val="16"/>
          <w:u w:val="single"/>
        </w:rPr>
      </w:pPr>
      <w:r>
        <w:rPr>
          <w:bCs/>
          <w:noProof/>
          <w:sz w:val="16"/>
          <w:szCs w:val="16"/>
          <w:u w:val="single"/>
        </w:rPr>
        <w:t xml:space="preserve">CI = konfidensinterval, DOR = varighed af respons (duration of response), FL = follikulært lymfom </w:t>
      </w:r>
    </w:p>
    <w:p w:rsidR="00493BBA" w:rsidRDefault="00493BBA" w:rsidP="00493BBA">
      <w:pPr>
        <w:suppressAutoHyphens/>
        <w:ind w:left="851"/>
        <w:rPr>
          <w:bCs/>
          <w:noProof/>
          <w:sz w:val="16"/>
          <w:szCs w:val="16"/>
          <w:u w:val="single"/>
        </w:rPr>
      </w:pPr>
      <w:r>
        <w:rPr>
          <w:bCs/>
          <w:noProof/>
          <w:sz w:val="16"/>
          <w:szCs w:val="16"/>
          <w:u w:val="single"/>
          <w:vertAlign w:val="superscript"/>
        </w:rPr>
        <w:t>a</w:t>
      </w:r>
      <w:r>
        <w:rPr>
          <w:bCs/>
          <w:noProof/>
          <w:sz w:val="16"/>
          <w:szCs w:val="16"/>
          <w:u w:val="single"/>
        </w:rPr>
        <w:t xml:space="preserve"> Primær analysepopulation for dette studie er den induktionsvirkningsevaluerbare (induction efficacy evaluable, IEE)-population  </w:t>
      </w:r>
    </w:p>
    <w:p w:rsidR="00493BBA" w:rsidRDefault="00493BBA" w:rsidP="00493BBA">
      <w:pPr>
        <w:suppressAutoHyphens/>
        <w:ind w:left="851"/>
        <w:rPr>
          <w:bCs/>
          <w:noProof/>
          <w:sz w:val="16"/>
          <w:szCs w:val="16"/>
          <w:u w:val="single"/>
        </w:rPr>
      </w:pPr>
      <w:r>
        <w:rPr>
          <w:bCs/>
          <w:noProof/>
          <w:sz w:val="16"/>
          <w:szCs w:val="16"/>
          <w:u w:val="single"/>
          <w:vertAlign w:val="superscript"/>
        </w:rPr>
        <w:t>b</w:t>
      </w:r>
      <w:r>
        <w:rPr>
          <w:bCs/>
          <w:noProof/>
          <w:sz w:val="16"/>
          <w:szCs w:val="16"/>
          <w:u w:val="single"/>
        </w:rPr>
        <w:t xml:space="preserve"> Varighed af respons er defineret som tiden (måneder) fra det indledende respons (mindst PR) til dokumenteret sygdomsprogression eller dødsfald, alt efter hvad der forekommer først. </w:t>
      </w:r>
    </w:p>
    <w:p w:rsidR="00493BBA" w:rsidRDefault="00493BBA" w:rsidP="00493BBA">
      <w:pPr>
        <w:suppressAutoHyphens/>
        <w:ind w:left="851"/>
        <w:rPr>
          <w:bCs/>
          <w:noProof/>
          <w:sz w:val="16"/>
          <w:szCs w:val="16"/>
          <w:u w:val="single"/>
        </w:rPr>
      </w:pPr>
      <w:r>
        <w:rPr>
          <w:bCs/>
          <w:noProof/>
          <w:sz w:val="16"/>
          <w:szCs w:val="16"/>
          <w:u w:val="single"/>
          <w:vertAlign w:val="superscript"/>
        </w:rPr>
        <w:t>c</w:t>
      </w:r>
      <w:r>
        <w:rPr>
          <w:bCs/>
          <w:noProof/>
          <w:sz w:val="16"/>
          <w:szCs w:val="16"/>
          <w:u w:val="single"/>
        </w:rPr>
        <w:t xml:space="preserve"> Statistik opnået fra Kaplan-Meier-metoden. 95 % CI er baseret på Greenwood-formlen.</w:t>
      </w:r>
    </w:p>
    <w:p w:rsidR="00493BBA" w:rsidRPr="00493BBA" w:rsidRDefault="00493BBA" w:rsidP="00493BBA">
      <w:pPr>
        <w:suppressAutoHyphens/>
        <w:ind w:left="851"/>
        <w:rPr>
          <w:bCs/>
          <w:noProof/>
          <w:sz w:val="24"/>
          <w:szCs w:val="24"/>
          <w:u w:val="single"/>
        </w:rPr>
      </w:pPr>
    </w:p>
    <w:p w:rsidR="00493BBA" w:rsidRPr="00493BBA" w:rsidRDefault="00493BBA" w:rsidP="00493BBA">
      <w:pPr>
        <w:suppressAutoHyphens/>
        <w:ind w:left="851"/>
        <w:rPr>
          <w:bCs/>
          <w:noProof/>
          <w:sz w:val="24"/>
          <w:szCs w:val="24"/>
        </w:rPr>
      </w:pPr>
      <w:r w:rsidRPr="00493BBA">
        <w:rPr>
          <w:bCs/>
          <w:noProof/>
          <w:sz w:val="24"/>
          <w:szCs w:val="24"/>
        </w:rPr>
        <w:t>Bemærkninger: Analysen blev kun udført for personer, som havde opnået PR eller bedre efter den første doseringsdato for induktionsbehandlingen og før enhver periode med vedligeholdelsesbehandling og enhver efterfølgende anti-lymfombehandling i induktionsperioden. Procentdelen er baseret på det totale antal responderende.</w:t>
      </w:r>
    </w:p>
    <w:p w:rsidR="00493BBA" w:rsidRPr="00493BBA" w:rsidRDefault="00493BBA" w:rsidP="00493BBA">
      <w:pPr>
        <w:suppressAutoHyphens/>
        <w:ind w:left="851"/>
        <w:rPr>
          <w:bCs/>
          <w:noProof/>
          <w:sz w:val="24"/>
          <w:szCs w:val="24"/>
          <w:u w:val="single"/>
        </w:rPr>
      </w:pPr>
    </w:p>
    <w:p w:rsidR="00876C3D" w:rsidRPr="00493BBA" w:rsidRDefault="00876C3D" w:rsidP="00876C3D">
      <w:pPr>
        <w:suppressAutoHyphens/>
        <w:ind w:left="851"/>
        <w:rPr>
          <w:noProof/>
          <w:sz w:val="24"/>
          <w:szCs w:val="24"/>
          <w:u w:val="single"/>
        </w:rPr>
      </w:pPr>
      <w:r w:rsidRPr="00493BBA">
        <w:rPr>
          <w:bCs/>
          <w:noProof/>
          <w:sz w:val="24"/>
          <w:szCs w:val="24"/>
          <w:u w:val="single"/>
        </w:rPr>
        <w:t>Pædiatrisk population</w:t>
      </w:r>
    </w:p>
    <w:p w:rsidR="00876C3D" w:rsidRDefault="00876C3D" w:rsidP="00876C3D">
      <w:pPr>
        <w:ind w:left="851"/>
        <w:rPr>
          <w:noProof/>
          <w:sz w:val="24"/>
          <w:szCs w:val="24"/>
        </w:rPr>
      </w:pPr>
      <w:r w:rsidRPr="004B7018">
        <w:rPr>
          <w:noProof/>
          <w:sz w:val="24"/>
          <w:szCs w:val="24"/>
        </w:rPr>
        <w:t>Det Europæiske Lægemiddelagentur</w:t>
      </w:r>
      <w:r>
        <w:rPr>
          <w:noProof/>
          <w:sz w:val="24"/>
          <w:szCs w:val="24"/>
        </w:rPr>
        <w:t xml:space="preserve"> (EMA)</w:t>
      </w:r>
      <w:r w:rsidRPr="004B7018">
        <w:rPr>
          <w:noProof/>
          <w:sz w:val="24"/>
          <w:szCs w:val="24"/>
        </w:rPr>
        <w:t xml:space="preserve"> har </w:t>
      </w:r>
      <w:r w:rsidRPr="00E441F0">
        <w:rPr>
          <w:sz w:val="24"/>
          <w:szCs w:val="24"/>
        </w:rPr>
        <w:t>godkendt en præparatspecifik dispensation for</w:t>
      </w:r>
      <w:r>
        <w:rPr>
          <w:sz w:val="24"/>
          <w:szCs w:val="24"/>
        </w:rPr>
        <w:t xml:space="preserve"> lenalidomide</w:t>
      </w:r>
      <w:r w:rsidRPr="004B7018">
        <w:rPr>
          <w:noProof/>
          <w:sz w:val="24"/>
          <w:szCs w:val="24"/>
        </w:rPr>
        <w:t xml:space="preserve">, </w:t>
      </w:r>
      <w:r>
        <w:rPr>
          <w:noProof/>
          <w:sz w:val="24"/>
          <w:szCs w:val="24"/>
        </w:rPr>
        <w:t>der gælder for</w:t>
      </w:r>
      <w:r w:rsidRPr="004B7018">
        <w:rPr>
          <w:noProof/>
          <w:sz w:val="24"/>
          <w:szCs w:val="24"/>
        </w:rPr>
        <w:t xml:space="preserve"> alle undergrupper af den pædiatriske population ved</w:t>
      </w:r>
      <w:r>
        <w:rPr>
          <w:noProof/>
          <w:sz w:val="24"/>
          <w:szCs w:val="24"/>
        </w:rPr>
        <w:t xml:space="preserve"> tilstande med modne B-celle-neoplasmer</w:t>
      </w:r>
      <w:r w:rsidRPr="004B7018">
        <w:rPr>
          <w:noProof/>
          <w:sz w:val="24"/>
          <w:szCs w:val="24"/>
        </w:rPr>
        <w:t xml:space="preserve"> (se pkt. 4.2 for oplysninger om pædiatrisk anvendelse).</w:t>
      </w:r>
    </w:p>
    <w:p w:rsidR="009260DE" w:rsidRPr="00493BBA" w:rsidRDefault="009260DE" w:rsidP="00493BBA">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t>Farmakokinetiske egenskaber</w:t>
      </w:r>
    </w:p>
    <w:p w:rsidR="00840CEA" w:rsidRPr="00840CEA" w:rsidRDefault="00840CEA" w:rsidP="00840CEA">
      <w:pPr>
        <w:tabs>
          <w:tab w:val="left" w:pos="851"/>
        </w:tabs>
        <w:ind w:left="851"/>
        <w:rPr>
          <w:sz w:val="24"/>
          <w:szCs w:val="24"/>
        </w:rPr>
      </w:pPr>
      <w:r w:rsidRPr="00840CEA">
        <w:rPr>
          <w:sz w:val="24"/>
          <w:szCs w:val="24"/>
        </w:rPr>
        <w:t>Lenalidomid har et asymmetrisk kulstofatom og kan derfor eksistere som de optisk aktive former S(-) and R(+). Lenalidomid produceres som en racemisk blanding. Lenalidomid er generelt mere opløselig i organiske opløsningsmidler, men udviser den største opløselighed i 0,1N HCl-buffer.</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sz w:val="24"/>
          <w:szCs w:val="24"/>
          <w:u w:val="single"/>
        </w:rPr>
        <w:t>Absorption</w:t>
      </w:r>
    </w:p>
    <w:p w:rsidR="00840CEA" w:rsidRPr="00840CEA" w:rsidRDefault="00840CEA" w:rsidP="00840CEA">
      <w:pPr>
        <w:tabs>
          <w:tab w:val="left" w:pos="851"/>
        </w:tabs>
        <w:ind w:left="851"/>
        <w:rPr>
          <w:sz w:val="24"/>
          <w:szCs w:val="24"/>
        </w:rPr>
      </w:pPr>
      <w:r w:rsidRPr="00840CEA">
        <w:rPr>
          <w:sz w:val="24"/>
          <w:szCs w:val="24"/>
        </w:rPr>
        <w:t>Lenalidomid absorberes hurtigt efter oral administration hos raske frivillige under faste, med maksimale plasmakoncentrationer mellem 0,5 og 2 timer efter indtagelse. Såvel hos patienter som hos raske frivillige øges den maksimale koncentration (C</w:t>
      </w:r>
      <w:r w:rsidRPr="00840CEA">
        <w:rPr>
          <w:sz w:val="24"/>
          <w:szCs w:val="24"/>
          <w:vertAlign w:val="subscript"/>
        </w:rPr>
        <w:t>max</w:t>
      </w:r>
      <w:r w:rsidRPr="00840CEA">
        <w:rPr>
          <w:sz w:val="24"/>
          <w:szCs w:val="24"/>
        </w:rPr>
        <w:t xml:space="preserve">) og arealet under kurven (AUC) for koncentration </w:t>
      </w:r>
      <w:r w:rsidRPr="00840CEA">
        <w:rPr>
          <w:i/>
          <w:sz w:val="24"/>
          <w:szCs w:val="24"/>
        </w:rPr>
        <w:t xml:space="preserve">versus </w:t>
      </w:r>
      <w:r w:rsidRPr="00840CEA">
        <w:rPr>
          <w:sz w:val="24"/>
          <w:szCs w:val="24"/>
        </w:rPr>
        <w:t>tid proportionalt med stigende dosis. Gentagne doseringer forårsager ingen udpræget akkumulering af lægemidlet. Den relative eksponering af lenalidomids S- og R-enantiomerer i plasma er ca. henholdsvis 56 % og 44 %.</w:t>
      </w:r>
    </w:p>
    <w:p w:rsidR="00840CEA" w:rsidRPr="00840CEA" w:rsidRDefault="00840CEA" w:rsidP="00840CEA">
      <w:pPr>
        <w:tabs>
          <w:tab w:val="left" w:pos="851"/>
        </w:tabs>
        <w:ind w:left="851"/>
        <w:rPr>
          <w:sz w:val="24"/>
          <w:szCs w:val="24"/>
        </w:rPr>
      </w:pPr>
    </w:p>
    <w:p w:rsidR="00DF19D5" w:rsidRPr="00840CEA" w:rsidRDefault="00DF19D5" w:rsidP="00DF19D5">
      <w:pPr>
        <w:tabs>
          <w:tab w:val="left" w:pos="851"/>
        </w:tabs>
        <w:ind w:left="851"/>
        <w:rPr>
          <w:sz w:val="24"/>
          <w:szCs w:val="24"/>
        </w:rPr>
      </w:pPr>
      <w:r w:rsidRPr="00840CEA">
        <w:rPr>
          <w:sz w:val="24"/>
          <w:szCs w:val="24"/>
        </w:rPr>
        <w:t xml:space="preserve">Administration samtidig med kalorierige måltider med højt fedtindhold hos raske frivillige reducerer absorptionsgraden, hvilket resulterer i ca. 20 % reduktion i arealet under kurven (AUC) for koncentration </w:t>
      </w:r>
      <w:r w:rsidRPr="00840CEA">
        <w:rPr>
          <w:i/>
          <w:sz w:val="24"/>
          <w:szCs w:val="24"/>
        </w:rPr>
        <w:t xml:space="preserve">versus </w:t>
      </w:r>
      <w:r w:rsidRPr="00840CEA">
        <w:rPr>
          <w:sz w:val="24"/>
          <w:szCs w:val="24"/>
        </w:rPr>
        <w:t>tid og 50 % reduktion af plasma-C</w:t>
      </w:r>
      <w:r w:rsidRPr="00840CEA">
        <w:rPr>
          <w:sz w:val="24"/>
          <w:szCs w:val="24"/>
          <w:vertAlign w:val="subscript"/>
        </w:rPr>
        <w:t>max</w:t>
      </w:r>
      <w:r w:rsidRPr="00840CEA">
        <w:rPr>
          <w:sz w:val="24"/>
          <w:szCs w:val="24"/>
        </w:rPr>
        <w:t>. I de primære registreringsstudier af myelomatose</w:t>
      </w:r>
      <w:r w:rsidRPr="00514F3D">
        <w:rPr>
          <w:sz w:val="24"/>
          <w:szCs w:val="24"/>
          <w:lang w:eastAsia="da-DK"/>
        </w:rPr>
        <w:t xml:space="preserve"> </w:t>
      </w:r>
      <w:r w:rsidRPr="005524AB">
        <w:rPr>
          <w:sz w:val="24"/>
          <w:szCs w:val="24"/>
          <w:lang w:eastAsia="da-DK"/>
        </w:rPr>
        <w:t>og myelodysplastisk syndrom</w:t>
      </w:r>
      <w:r w:rsidRPr="00840CEA">
        <w:rPr>
          <w:sz w:val="24"/>
          <w:szCs w:val="24"/>
        </w:rPr>
        <w:t>, hvor sikkerhed og virkning blev klarlagt for lenalidomid, blev lægemidlet imidlertid indgivet uden hensyntagen til fødeindtagelse. Derfor kan lenalidomid indgives sammen med eller uden mad.</w:t>
      </w:r>
    </w:p>
    <w:p w:rsidR="00DF19D5" w:rsidRDefault="00DF19D5" w:rsidP="00DF19D5">
      <w:pPr>
        <w:tabs>
          <w:tab w:val="left" w:pos="851"/>
        </w:tabs>
        <w:ind w:left="851"/>
        <w:rPr>
          <w:sz w:val="24"/>
          <w:szCs w:val="24"/>
        </w:rPr>
      </w:pPr>
    </w:p>
    <w:p w:rsidR="00DF19D5" w:rsidRPr="005524AB" w:rsidRDefault="00DF19D5" w:rsidP="00DF19D5">
      <w:pPr>
        <w:autoSpaceDE w:val="0"/>
        <w:autoSpaceDN w:val="0"/>
        <w:adjustRightInd w:val="0"/>
        <w:ind w:left="851"/>
        <w:rPr>
          <w:sz w:val="24"/>
          <w:szCs w:val="24"/>
          <w:lang w:eastAsia="da-DK"/>
        </w:rPr>
      </w:pPr>
      <w:r w:rsidRPr="005524AB">
        <w:rPr>
          <w:sz w:val="24"/>
          <w:szCs w:val="24"/>
          <w:lang w:eastAsia="da-DK"/>
        </w:rPr>
        <w:t>Farmakokinetiske populationsanalyser indikerer, at absorptionshastigheden af oral lenalidomid er</w:t>
      </w:r>
      <w:r>
        <w:rPr>
          <w:sz w:val="24"/>
          <w:szCs w:val="24"/>
          <w:lang w:eastAsia="da-DK"/>
        </w:rPr>
        <w:t xml:space="preserve"> </w:t>
      </w:r>
      <w:r w:rsidRPr="005524AB">
        <w:rPr>
          <w:sz w:val="24"/>
          <w:szCs w:val="24"/>
          <w:lang w:eastAsia="da-DK"/>
        </w:rPr>
        <w:t>sammenlignelig mellem MM-, MDS- og MCL-patienter.</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sz w:val="24"/>
          <w:szCs w:val="24"/>
          <w:u w:val="single"/>
        </w:rPr>
        <w:t>Fordeling</w:t>
      </w:r>
    </w:p>
    <w:p w:rsidR="00840CEA" w:rsidRPr="00840CEA" w:rsidRDefault="00840CEA" w:rsidP="00840CEA">
      <w:pPr>
        <w:tabs>
          <w:tab w:val="left" w:pos="851"/>
        </w:tabs>
        <w:ind w:left="851"/>
        <w:rPr>
          <w:sz w:val="24"/>
          <w:szCs w:val="24"/>
        </w:rPr>
      </w:pPr>
      <w:r w:rsidRPr="00840CEA">
        <w:rPr>
          <w:sz w:val="24"/>
          <w:szCs w:val="24"/>
        </w:rPr>
        <w:t>(</w:t>
      </w:r>
      <w:r w:rsidRPr="00840CEA">
        <w:rPr>
          <w:sz w:val="24"/>
          <w:szCs w:val="24"/>
          <w:vertAlign w:val="superscript"/>
        </w:rPr>
        <w:t>14</w:t>
      </w:r>
      <w:r w:rsidRPr="00840CEA">
        <w:rPr>
          <w:sz w:val="24"/>
          <w:szCs w:val="24"/>
        </w:rPr>
        <w:t xml:space="preserve">C)-lenalidomids binding til plasmaproteiner </w:t>
      </w:r>
      <w:r w:rsidRPr="00840CEA">
        <w:rPr>
          <w:i/>
          <w:sz w:val="24"/>
          <w:szCs w:val="24"/>
        </w:rPr>
        <w:t xml:space="preserve">in vitro </w:t>
      </w:r>
      <w:r w:rsidRPr="00840CEA">
        <w:rPr>
          <w:sz w:val="24"/>
          <w:szCs w:val="24"/>
        </w:rPr>
        <w:t>var lav med gennemsnitlig plasmaproteinbinding på 23 % og 29 % hos henholdsvis patienter med myelomatose og raske forsøgspersoner.</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sz w:val="24"/>
          <w:szCs w:val="24"/>
        </w:rPr>
        <w:t>Lenalidomid er til stede i human sæd (&lt; 0,01 % af dosis) efter indgift af 25 mg/dag, og stoffet kan ikke påvises i sæden hos raske forsøgspersoner 3 dage efter seponering (se pkt. 4.4).</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sz w:val="24"/>
          <w:szCs w:val="24"/>
          <w:u w:val="single"/>
        </w:rPr>
        <w:t>Biotransformation og elimination</w:t>
      </w:r>
    </w:p>
    <w:p w:rsidR="00840CEA" w:rsidRPr="00840CEA" w:rsidRDefault="00840CEA" w:rsidP="00840CEA">
      <w:pPr>
        <w:tabs>
          <w:tab w:val="left" w:pos="851"/>
        </w:tabs>
        <w:ind w:left="851"/>
        <w:rPr>
          <w:sz w:val="24"/>
          <w:szCs w:val="24"/>
        </w:rPr>
      </w:pPr>
      <w:r w:rsidRPr="00840CEA">
        <w:rPr>
          <w:sz w:val="24"/>
          <w:szCs w:val="24"/>
        </w:rPr>
        <w:t xml:space="preserve">Resultater fra humane </w:t>
      </w:r>
      <w:r w:rsidRPr="00840CEA">
        <w:rPr>
          <w:i/>
          <w:sz w:val="24"/>
          <w:szCs w:val="24"/>
        </w:rPr>
        <w:t xml:space="preserve">in vitro </w:t>
      </w:r>
      <w:r w:rsidRPr="00840CEA">
        <w:rPr>
          <w:sz w:val="24"/>
          <w:szCs w:val="24"/>
        </w:rPr>
        <w:t>metaboliseringsstudier tyder på, at lenalidomid ikke metaboliseres af CYP</w:t>
      </w:r>
      <w:r w:rsidRPr="00840CEA">
        <w:rPr>
          <w:sz w:val="24"/>
          <w:szCs w:val="24"/>
        </w:rPr>
        <w:noBreakHyphen/>
        <w:t>enzymer, hvilket indikerer, at administration af lenalidomid sammen med lægemidler, som hæmmer CYP</w:t>
      </w:r>
      <w:r w:rsidRPr="00840CEA">
        <w:rPr>
          <w:sz w:val="24"/>
          <w:szCs w:val="24"/>
        </w:rPr>
        <w:noBreakHyphen/>
        <w:t xml:space="preserve">enzymer, formentlig ikke medfører metaboliske </w:t>
      </w:r>
      <w:r w:rsidRPr="00840CEA">
        <w:rPr>
          <w:sz w:val="24"/>
          <w:szCs w:val="24"/>
        </w:rPr>
        <w:lastRenderedPageBreak/>
        <w:t xml:space="preserve">lægemiddelinteraktioner hos mennesker. </w:t>
      </w:r>
      <w:r w:rsidRPr="00840CEA">
        <w:rPr>
          <w:i/>
          <w:sz w:val="24"/>
          <w:szCs w:val="24"/>
        </w:rPr>
        <w:t>In vitro</w:t>
      </w:r>
      <w:r w:rsidRPr="00840CEA">
        <w:rPr>
          <w:sz w:val="24"/>
          <w:szCs w:val="24"/>
        </w:rPr>
        <w:t>-studier tyder på, at lenalidomid ikke har nogen hæmmende virkning på CYP1A2, CYP2C9, CYP2C19, CYP2D6, CYP2E1, CYP3A eller UGT1A1. Det er derfor ikke sandsynligt, at lenalidomid forårsager klinisk relevante lægemiddelinteraktioner, når det administreres sammen med substrater for disse enzymer.</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i/>
          <w:sz w:val="24"/>
          <w:szCs w:val="24"/>
        </w:rPr>
        <w:t>In vitro</w:t>
      </w:r>
      <w:r w:rsidRPr="00840CEA">
        <w:rPr>
          <w:sz w:val="24"/>
          <w:szCs w:val="24"/>
        </w:rPr>
        <w:t xml:space="preserve">-studier indikerer, at lenalidomid ikke er et substrat for humant brystcancer-resistensprotein (BCRP), multidrug-resistensprotein (MRP)-transporter MRP1, MRP2 eller MRP3, organisk aniontransporter (OAT) OAT1 og OAT3, organisk aniontransporterende polypeptid 1B1 (OATP1B1), organisk kationtransporter (OCT) OCT1 og OCT2, </w:t>
      </w:r>
      <w:r w:rsidRPr="00840CEA">
        <w:rPr>
          <w:i/>
          <w:sz w:val="24"/>
          <w:szCs w:val="24"/>
        </w:rPr>
        <w:t xml:space="preserve">multidrug and toxin extrusion transport protein </w:t>
      </w:r>
      <w:r w:rsidRPr="00840CEA">
        <w:rPr>
          <w:sz w:val="24"/>
          <w:szCs w:val="24"/>
        </w:rPr>
        <w:t>(MATE) MATE1 eller organisk kationtransporter novel (OCTN) OCTN1 og OCTN2.</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i/>
          <w:sz w:val="24"/>
          <w:szCs w:val="24"/>
        </w:rPr>
        <w:t>In vitro</w:t>
      </w:r>
      <w:r w:rsidRPr="00840CEA">
        <w:rPr>
          <w:sz w:val="24"/>
          <w:szCs w:val="24"/>
        </w:rPr>
        <w:t>-studier indikerer, at lenalidomid ikke har en hæmmende virkning på human galdesalt-eksportpumpen (BSEP), BCRP, MRP2, OAT1, OAT3, OATP1B1, OATP1B3 og OCT2.</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sz w:val="24"/>
          <w:szCs w:val="24"/>
        </w:rPr>
        <w:t>Størstedelen af lenalidomid udskilles via nyrerne. Hos patienter med normal nyrefunktion udgjorde den andel, som blev udskilt via nyrerne, 90 % af den samlede clearance, og 4 % blev udskilt i fæces.</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sz w:val="24"/>
          <w:szCs w:val="24"/>
        </w:rPr>
        <w:t>Lenalidomid metaboliseres i ringe grad, da 82 % af dosis udskilles uændret i urinen. Hydroxy-lenalidomid og N</w:t>
      </w:r>
      <w:r w:rsidRPr="00840CEA">
        <w:rPr>
          <w:sz w:val="24"/>
          <w:szCs w:val="24"/>
        </w:rPr>
        <w:noBreakHyphen/>
        <w:t>acetyl-lenalidomid udgør hhv. 4,59 % og 1,83 % af den udskilte dosis. Den renale clearance af lenalidomid overskrider den glomerulære filtrationshastighed, og lenalidomid secerneres derfor i det mindste i nogen grad aktivt.</w:t>
      </w:r>
    </w:p>
    <w:p w:rsidR="00840CEA" w:rsidRPr="00840CEA" w:rsidRDefault="00840CEA" w:rsidP="00840CEA">
      <w:pPr>
        <w:tabs>
          <w:tab w:val="left" w:pos="851"/>
        </w:tabs>
        <w:ind w:left="851"/>
        <w:rPr>
          <w:sz w:val="24"/>
          <w:szCs w:val="24"/>
        </w:rPr>
      </w:pPr>
    </w:p>
    <w:p w:rsidR="00DF19D5" w:rsidRPr="00840CEA" w:rsidRDefault="00DF19D5" w:rsidP="00DF19D5">
      <w:pPr>
        <w:tabs>
          <w:tab w:val="left" w:pos="851"/>
        </w:tabs>
        <w:ind w:left="851"/>
        <w:rPr>
          <w:sz w:val="24"/>
          <w:szCs w:val="24"/>
        </w:rPr>
      </w:pPr>
      <w:r w:rsidRPr="00840CEA">
        <w:rPr>
          <w:sz w:val="24"/>
          <w:szCs w:val="24"/>
        </w:rPr>
        <w:t>Ved doser på 5-25 mg/dag er halveringstiden i plasma ca. 3 timer hos raske frivillige og varierer fra 3 til 5 timer hos patienter med myelomatose</w:t>
      </w:r>
      <w:r>
        <w:rPr>
          <w:sz w:val="24"/>
          <w:szCs w:val="24"/>
        </w:rPr>
        <w:t xml:space="preserve">, </w:t>
      </w:r>
      <w:r w:rsidRPr="005524AB">
        <w:rPr>
          <w:sz w:val="24"/>
          <w:szCs w:val="24"/>
          <w:lang w:eastAsia="da-DK"/>
        </w:rPr>
        <w:t>myelodysplastisk syndrom eller mantle celle lymfom</w:t>
      </w:r>
      <w:r w:rsidRPr="00840CEA">
        <w:rPr>
          <w:sz w:val="24"/>
          <w:szCs w:val="24"/>
        </w:rPr>
        <w:t>.</w:t>
      </w:r>
    </w:p>
    <w:p w:rsidR="00840CEA" w:rsidRPr="00840CEA" w:rsidRDefault="00840CEA" w:rsidP="00840CEA">
      <w:pPr>
        <w:tabs>
          <w:tab w:val="left" w:pos="851"/>
        </w:tabs>
        <w:ind w:left="851"/>
        <w:rPr>
          <w:sz w:val="24"/>
          <w:szCs w:val="24"/>
        </w:rPr>
      </w:pPr>
    </w:p>
    <w:p w:rsidR="00840CEA" w:rsidRPr="00840CEA" w:rsidRDefault="00840CEA" w:rsidP="007366DD">
      <w:pPr>
        <w:keepNext/>
        <w:tabs>
          <w:tab w:val="left" w:pos="851"/>
        </w:tabs>
        <w:ind w:left="851"/>
        <w:rPr>
          <w:sz w:val="24"/>
          <w:szCs w:val="24"/>
        </w:rPr>
      </w:pPr>
      <w:r w:rsidRPr="00840CEA">
        <w:rPr>
          <w:sz w:val="24"/>
          <w:szCs w:val="24"/>
          <w:u w:val="single"/>
        </w:rPr>
        <w:t>Ældre</w:t>
      </w:r>
    </w:p>
    <w:p w:rsidR="00840CEA" w:rsidRPr="00840CEA" w:rsidRDefault="00840CEA" w:rsidP="00840CEA">
      <w:pPr>
        <w:tabs>
          <w:tab w:val="left" w:pos="851"/>
        </w:tabs>
        <w:ind w:left="851"/>
        <w:rPr>
          <w:sz w:val="24"/>
          <w:szCs w:val="24"/>
        </w:rPr>
      </w:pPr>
      <w:r w:rsidRPr="00840CEA">
        <w:rPr>
          <w:sz w:val="24"/>
          <w:szCs w:val="24"/>
        </w:rPr>
        <w:t>Der er ikke udført specifikke kliniske studier til evaluering af lenalidomids farmakokinetik hos ældre. Populationsfarmakokinetiske analyser omfattede patienter i alderen fra 39 til 85 år og indikerede, at alder ikke påvirker lenalidomids clearance (eksponering i plasma). Da ældre patienter hyppigere har nedsat nyrefunktion, skal dosis vælges med omhu, og det tilrådes at monitorere nyrefunktionen.</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sz w:val="24"/>
          <w:szCs w:val="24"/>
          <w:u w:val="single"/>
        </w:rPr>
        <w:t>Nedsat nyrefunktion</w:t>
      </w:r>
    </w:p>
    <w:p w:rsidR="00840CEA" w:rsidRPr="00840CEA" w:rsidRDefault="00840CEA" w:rsidP="00840CEA">
      <w:pPr>
        <w:tabs>
          <w:tab w:val="left" w:pos="851"/>
        </w:tabs>
        <w:ind w:left="851"/>
        <w:rPr>
          <w:sz w:val="24"/>
          <w:szCs w:val="24"/>
        </w:rPr>
      </w:pPr>
      <w:r w:rsidRPr="00840CEA">
        <w:rPr>
          <w:sz w:val="24"/>
          <w:szCs w:val="24"/>
        </w:rPr>
        <w:t>Lenalidomids farmakokinetik blev undersøgt hos personer med nedsat nyrefunktion, der skyldes ikke</w:t>
      </w:r>
      <w:r w:rsidRPr="00840CEA">
        <w:rPr>
          <w:sz w:val="24"/>
          <w:szCs w:val="24"/>
        </w:rPr>
        <w:noBreakHyphen/>
        <w:t>maligne sygdomme. I dette studie blev der anvendt to metoder til at klassificere nyrefunktionen: kreatininclearance i urinen målt over 24 timer, og den kreatininclearance, der blev estimeret ud fra Cockcroft-Gault-ligningen. Resultaterne antyder, at den samlede lenalidomid-clearance falder proportionelt med faldende nyrefunktion (&lt; 50 ml/min), hvilket medfører en stigning i AUC. AUC var ca. 2,5, 4 og 5 gange større hos personer med henholdsvis moderat nedsat nyrefunktion, svært nedsat nyrefunktion og nyresygdom i slutstadie, sammenlignet med en gruppe, der omfatter personer med normal nyrefunktion og personer med let nedsat nyrefunktion. Lenalidomids halveringstid stiger fra ca. 3,5 timer hos forsøgspersoner med kreatininclearance &gt; 50 ml/min til mere end 9 timer hos forsøgspersoner med nedsat nyrefunktion &lt; 50 ml/min. Den nedsatte nyrefunktion ændrede dog ikke den orale optagelse af lenalidomid. C</w:t>
      </w:r>
      <w:r w:rsidRPr="00840CEA">
        <w:rPr>
          <w:sz w:val="24"/>
          <w:szCs w:val="24"/>
          <w:vertAlign w:val="subscript"/>
        </w:rPr>
        <w:t>max</w:t>
      </w:r>
      <w:r w:rsidRPr="00840CEA">
        <w:rPr>
          <w:sz w:val="24"/>
          <w:szCs w:val="24"/>
        </w:rPr>
        <w:t xml:space="preserve"> var ens mellem raske forsøgspersoner og patienter med nedsat </w:t>
      </w:r>
      <w:r w:rsidRPr="00840CEA">
        <w:rPr>
          <w:sz w:val="24"/>
          <w:szCs w:val="24"/>
        </w:rPr>
        <w:lastRenderedPageBreak/>
        <w:t>nyrefunktion. Ca. 30 % af lægemidlet i kroppen blev elimineret under en enkelt 4</w:t>
      </w:r>
      <w:r w:rsidRPr="00840CEA">
        <w:rPr>
          <w:sz w:val="24"/>
          <w:szCs w:val="24"/>
        </w:rPr>
        <w:noBreakHyphen/>
        <w:t>timers dialysesession. Anbefalede dosisjusteringer hos patienter med nedsat nyrefunktion er beskrevet i pkt. 4.2.</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sz w:val="24"/>
          <w:szCs w:val="24"/>
          <w:u w:val="single"/>
        </w:rPr>
        <w:t>Nedsat leverfunktion</w:t>
      </w:r>
    </w:p>
    <w:p w:rsidR="00840CEA" w:rsidRPr="00840CEA" w:rsidRDefault="00840CEA" w:rsidP="00840CEA">
      <w:pPr>
        <w:tabs>
          <w:tab w:val="left" w:pos="851"/>
        </w:tabs>
        <w:ind w:left="851"/>
        <w:rPr>
          <w:sz w:val="24"/>
          <w:szCs w:val="24"/>
        </w:rPr>
      </w:pPr>
      <w:r w:rsidRPr="00840CEA">
        <w:rPr>
          <w:sz w:val="24"/>
          <w:szCs w:val="24"/>
        </w:rPr>
        <w:t>Populationsfarmakokinetiske analyser omfattede patienter med let nedsat leverfunktion (N = 16, total bilirubin &gt; 1 til ≤ 1,5 x ULN eller ASAT &gt; ULN) og indikerede, at let nedsat leverfunktion ikke påvirker lenalidomids clearance (eksponering i plasma). Der foreligger ingen data for patienter med moderat til svært nedsat leverfunktion.</w:t>
      </w:r>
    </w:p>
    <w:p w:rsidR="00840CEA" w:rsidRPr="00840CEA" w:rsidRDefault="00840CEA" w:rsidP="00840CEA">
      <w:pPr>
        <w:tabs>
          <w:tab w:val="left" w:pos="851"/>
        </w:tabs>
        <w:ind w:left="851"/>
        <w:rPr>
          <w:sz w:val="24"/>
          <w:szCs w:val="24"/>
        </w:rPr>
      </w:pPr>
    </w:p>
    <w:p w:rsidR="00840CEA" w:rsidRPr="00840CEA" w:rsidRDefault="00840CEA" w:rsidP="00840CEA">
      <w:pPr>
        <w:tabs>
          <w:tab w:val="left" w:pos="851"/>
        </w:tabs>
        <w:ind w:left="851"/>
        <w:rPr>
          <w:sz w:val="24"/>
          <w:szCs w:val="24"/>
        </w:rPr>
      </w:pPr>
      <w:r w:rsidRPr="00840CEA">
        <w:rPr>
          <w:sz w:val="24"/>
          <w:szCs w:val="24"/>
          <w:u w:val="single"/>
        </w:rPr>
        <w:t>Andre intrinsiske faktorer</w:t>
      </w:r>
    </w:p>
    <w:p w:rsidR="00DF19D5" w:rsidRPr="00840CEA" w:rsidRDefault="00DF19D5" w:rsidP="00DF19D5">
      <w:pPr>
        <w:tabs>
          <w:tab w:val="left" w:pos="851"/>
        </w:tabs>
        <w:ind w:left="851"/>
        <w:rPr>
          <w:sz w:val="24"/>
          <w:szCs w:val="24"/>
        </w:rPr>
      </w:pPr>
      <w:r w:rsidRPr="00840CEA">
        <w:rPr>
          <w:sz w:val="24"/>
          <w:szCs w:val="24"/>
        </w:rPr>
        <w:t>Populationsfarmakokinetiske analyser indikerer, at kropsvægt (33-135 kg), køn, race og typen af hæmatologisk malignitet (MM</w:t>
      </w:r>
      <w:r>
        <w:rPr>
          <w:sz w:val="24"/>
          <w:szCs w:val="24"/>
        </w:rPr>
        <w:t>, MDS eller MCL</w:t>
      </w:r>
      <w:r w:rsidRPr="00840CEA">
        <w:rPr>
          <w:sz w:val="24"/>
          <w:szCs w:val="24"/>
        </w:rPr>
        <w:t>) ikke har nogen klinisk relevant virkning på lenalidomids clearance hos voksne patienter.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876C3D">
        <w:rPr>
          <w:b/>
          <w:sz w:val="24"/>
          <w:szCs w:val="24"/>
        </w:rPr>
        <w:t>Non-</w:t>
      </w:r>
      <w:r w:rsidRPr="00C84483">
        <w:rPr>
          <w:b/>
          <w:sz w:val="24"/>
          <w:szCs w:val="24"/>
        </w:rPr>
        <w:t>kliniske sikkerhedsdata</w:t>
      </w:r>
    </w:p>
    <w:p w:rsidR="007F1C0B" w:rsidRPr="007F1C0B" w:rsidRDefault="007F1C0B" w:rsidP="007F1C0B">
      <w:pPr>
        <w:tabs>
          <w:tab w:val="left" w:pos="851"/>
        </w:tabs>
        <w:ind w:left="851"/>
        <w:rPr>
          <w:sz w:val="24"/>
          <w:szCs w:val="24"/>
        </w:rPr>
      </w:pPr>
      <w:r w:rsidRPr="007F1C0B">
        <w:rPr>
          <w:sz w:val="24"/>
          <w:szCs w:val="24"/>
        </w:rPr>
        <w:t>Der er blevet udført et studie angående embryoføtal udvikling hos aber, som fik lenalidomid i doser fra 0,5 og op til 4 mg/kg/dag. Fund fra dette studie tyder på, at lenalidomid forårsager ydre misdannelser, herunder ikke-åben anus og misdannede øvre og nedre ekstremiteter (bøjede, forkortede, vanskabte, forkert drejede og/eller manglende dele af ekstremiteter, oligo- og/eller polydaktyli) hos afkom af hunaber, som har fået det aktive stof under graviditeten.</w:t>
      </w:r>
    </w:p>
    <w:p w:rsidR="007F1C0B" w:rsidRPr="007F1C0B" w:rsidRDefault="007F1C0B" w:rsidP="007F1C0B">
      <w:pPr>
        <w:tabs>
          <w:tab w:val="left" w:pos="851"/>
        </w:tabs>
        <w:ind w:left="851"/>
        <w:rPr>
          <w:sz w:val="24"/>
          <w:szCs w:val="24"/>
        </w:rPr>
      </w:pPr>
    </w:p>
    <w:p w:rsidR="007F1C0B" w:rsidRPr="007F1C0B" w:rsidRDefault="007F1C0B" w:rsidP="007F1C0B">
      <w:pPr>
        <w:tabs>
          <w:tab w:val="left" w:pos="851"/>
        </w:tabs>
        <w:ind w:left="851"/>
        <w:rPr>
          <w:sz w:val="24"/>
          <w:szCs w:val="24"/>
        </w:rPr>
      </w:pPr>
      <w:r w:rsidRPr="007F1C0B">
        <w:rPr>
          <w:sz w:val="24"/>
          <w:szCs w:val="24"/>
        </w:rPr>
        <w:t>Hos enkelt-fostre blev der også observeret adskillige virkninger på de indre organer (misfarvning, røde foci på forskellige organer, lille farveløs masse over atrioventrikulærklappen, lille galdeblære, misdannet diafragma).</w:t>
      </w:r>
    </w:p>
    <w:p w:rsidR="007F1C0B" w:rsidRPr="007F1C0B" w:rsidRDefault="007F1C0B" w:rsidP="007F1C0B">
      <w:pPr>
        <w:tabs>
          <w:tab w:val="left" w:pos="851"/>
        </w:tabs>
        <w:ind w:left="851"/>
        <w:rPr>
          <w:sz w:val="24"/>
          <w:szCs w:val="24"/>
        </w:rPr>
      </w:pPr>
    </w:p>
    <w:p w:rsidR="007F1C0B" w:rsidRPr="007F1C0B" w:rsidRDefault="007F1C0B" w:rsidP="007F1C0B">
      <w:pPr>
        <w:tabs>
          <w:tab w:val="left" w:pos="851"/>
        </w:tabs>
        <w:ind w:left="851"/>
        <w:rPr>
          <w:sz w:val="24"/>
          <w:szCs w:val="24"/>
        </w:rPr>
      </w:pPr>
      <w:r w:rsidRPr="007F1C0B">
        <w:rPr>
          <w:sz w:val="24"/>
          <w:szCs w:val="24"/>
        </w:rPr>
        <w:t>Lenalidomid har akut toksicitetspotentiale. De dødelige minimumsdoser efter oral administration var &gt; 2.000 mg/kg/dag hos gnavere. Gentagen oral administration af 75, 150 og 300 mg/kg/dag til rotter i op til 26 uger gav en reversibel behandlingsrelateret stigning i nyre-bækken-mineralisering ved alle 3 doser, navnlig hos hunnerne. Niveauet uden observerede negative effekter (</w:t>
      </w:r>
      <w:r w:rsidRPr="007F1C0B">
        <w:rPr>
          <w:i/>
          <w:sz w:val="24"/>
          <w:szCs w:val="24"/>
        </w:rPr>
        <w:t>No observed adverse effect level</w:t>
      </w:r>
      <w:r w:rsidRPr="007F1C0B">
        <w:rPr>
          <w:sz w:val="24"/>
          <w:szCs w:val="24"/>
        </w:rPr>
        <w:t>, NOAEL) blev vurderet til at være mindre end 75 mg/kg/dag og er cirka 25 gange større end den humane, daglige eksponering baseret på AUC-eksponeringen. Gentagen oral administration af 4 og 6 mg/kg/dag til aber i op til 20 uger forårsagede dødelighed og væsentlig toksicitet (udpræget vægttab, reduktion af røde og hvide blodlegemer og trombocyttal, blødning fra flere organer, inflammation af mavetarmkanalen, lymfom- og knoglemarvsatrofi). Gentagen oral administration af 1 og 2 mg/kg/dag til aber i op til 1 år fremkaldte reversible ændringer i knoglemarvens cellularitet, et let fald i forholdet mellem myeloide/erytroide celler og thymusatrofi. Der blev observeret en svag suppression af antallet af hvide blodlegemer ved 1 mg/kg/dag, hvilket nogenlunde svarer til dosis hos mennesker på basis af AUC-sammenligninger.</w:t>
      </w:r>
    </w:p>
    <w:p w:rsidR="007F1C0B" w:rsidRPr="007F1C0B" w:rsidRDefault="007F1C0B" w:rsidP="007F1C0B">
      <w:pPr>
        <w:tabs>
          <w:tab w:val="left" w:pos="851"/>
        </w:tabs>
        <w:ind w:left="851"/>
        <w:rPr>
          <w:sz w:val="24"/>
          <w:szCs w:val="24"/>
        </w:rPr>
      </w:pPr>
    </w:p>
    <w:p w:rsidR="007F1C0B" w:rsidRPr="007F1C0B" w:rsidRDefault="007F1C0B" w:rsidP="007F1C0B">
      <w:pPr>
        <w:tabs>
          <w:tab w:val="left" w:pos="851"/>
        </w:tabs>
        <w:ind w:left="851"/>
        <w:rPr>
          <w:sz w:val="24"/>
          <w:szCs w:val="24"/>
        </w:rPr>
      </w:pPr>
      <w:r w:rsidRPr="007F1C0B">
        <w:rPr>
          <w:sz w:val="24"/>
          <w:szCs w:val="24"/>
        </w:rPr>
        <w:t xml:space="preserve">Mutagenicitets-studier </w:t>
      </w:r>
      <w:r w:rsidRPr="007F1C0B">
        <w:rPr>
          <w:i/>
          <w:sz w:val="24"/>
          <w:szCs w:val="24"/>
        </w:rPr>
        <w:t xml:space="preserve">in vitro </w:t>
      </w:r>
      <w:r w:rsidRPr="007F1C0B">
        <w:rPr>
          <w:sz w:val="24"/>
          <w:szCs w:val="24"/>
        </w:rPr>
        <w:t xml:space="preserve">(bakteriel mutation, humane lymfocytter, muselymfomer, syrisk hamster-fostercelle-transformation) og </w:t>
      </w:r>
      <w:r w:rsidRPr="007F1C0B">
        <w:rPr>
          <w:i/>
          <w:sz w:val="24"/>
          <w:szCs w:val="24"/>
        </w:rPr>
        <w:t xml:space="preserve">in vivo </w:t>
      </w:r>
      <w:r w:rsidRPr="007F1C0B">
        <w:rPr>
          <w:sz w:val="24"/>
          <w:szCs w:val="24"/>
        </w:rPr>
        <w:t>(mikronukleustest i rotter) viste ingen lægemiddelrelaterede virkninger på hverken gen- eller kromosom-niveau. Der er ikke udført karcinogenicitetsstudier med lenalidomid.</w:t>
      </w:r>
    </w:p>
    <w:p w:rsidR="007F1C0B" w:rsidRPr="007F1C0B" w:rsidRDefault="007F1C0B" w:rsidP="007F1C0B">
      <w:pPr>
        <w:tabs>
          <w:tab w:val="left" w:pos="851"/>
        </w:tabs>
        <w:ind w:left="851"/>
        <w:rPr>
          <w:sz w:val="24"/>
          <w:szCs w:val="24"/>
        </w:rPr>
      </w:pPr>
    </w:p>
    <w:p w:rsidR="007F1C0B" w:rsidRPr="007F1C0B" w:rsidRDefault="007F1C0B" w:rsidP="007F1C0B">
      <w:pPr>
        <w:tabs>
          <w:tab w:val="left" w:pos="851"/>
        </w:tabs>
        <w:ind w:left="851"/>
        <w:rPr>
          <w:sz w:val="24"/>
          <w:szCs w:val="24"/>
        </w:rPr>
      </w:pPr>
      <w:r w:rsidRPr="007F1C0B">
        <w:rPr>
          <w:sz w:val="24"/>
          <w:szCs w:val="24"/>
        </w:rPr>
        <w:t xml:space="preserve">Der er tidligere blevet gennemført udviklingsmæssige toksicitetsstudier med kaniner. I disse studier fik kaninerne lenalidomid oralt i doser på 3, 10 og 20 mg/kg/dag. En manglende mellemlap i lungerne blev observeret ved 10 og 20 mg/kg/dag afhængig af </w:t>
      </w:r>
      <w:r w:rsidRPr="007F1C0B">
        <w:rPr>
          <w:sz w:val="24"/>
          <w:szCs w:val="24"/>
        </w:rPr>
        <w:lastRenderedPageBreak/>
        <w:t>dosis, og fejlplacerede nyrer blev observeret ved 20 mg/kg/dag. Selvom det blev observeret ved maternotoksiske niveauer, kan det skyldes en direkte effekt. Variationer i bløddele og skeletter hos fostre sås ved 10 og 20 mg/kg/dag.</w:t>
      </w:r>
    </w:p>
    <w:p w:rsidR="007F1C0B" w:rsidRPr="007F1C0B" w:rsidRDefault="007F1C0B" w:rsidP="007F1C0B">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5A41A5" w:rsidRPr="005A41A5" w:rsidRDefault="005A41A5" w:rsidP="005A41A5">
      <w:pPr>
        <w:tabs>
          <w:tab w:val="left" w:pos="851"/>
        </w:tabs>
        <w:ind w:left="851"/>
        <w:rPr>
          <w:sz w:val="24"/>
          <w:szCs w:val="24"/>
        </w:rPr>
      </w:pPr>
    </w:p>
    <w:p w:rsidR="005A41A5" w:rsidRPr="005A41A5" w:rsidRDefault="005A41A5" w:rsidP="005A41A5">
      <w:pPr>
        <w:tabs>
          <w:tab w:val="left" w:pos="851"/>
        </w:tabs>
        <w:ind w:left="851"/>
        <w:rPr>
          <w:sz w:val="24"/>
          <w:szCs w:val="24"/>
          <w:u w:val="single"/>
        </w:rPr>
      </w:pPr>
      <w:bookmarkStart w:id="2" w:name="_Hlk49149987"/>
      <w:r w:rsidRPr="005A41A5">
        <w:rPr>
          <w:sz w:val="24"/>
          <w:szCs w:val="24"/>
          <w:u w:val="single"/>
        </w:rPr>
        <w:t>Kapselindhold</w:t>
      </w:r>
    </w:p>
    <w:p w:rsidR="005A41A5" w:rsidRPr="005A41A5" w:rsidRDefault="005A41A5" w:rsidP="005A41A5">
      <w:pPr>
        <w:tabs>
          <w:tab w:val="left" w:pos="851"/>
        </w:tabs>
        <w:ind w:left="851"/>
        <w:rPr>
          <w:sz w:val="24"/>
          <w:szCs w:val="24"/>
        </w:rPr>
      </w:pPr>
      <w:r w:rsidRPr="005A41A5">
        <w:rPr>
          <w:sz w:val="24"/>
          <w:szCs w:val="24"/>
        </w:rPr>
        <w:t>Lactose</w:t>
      </w:r>
    </w:p>
    <w:p w:rsidR="005A41A5" w:rsidRPr="005A41A5" w:rsidRDefault="005A41A5" w:rsidP="005A41A5">
      <w:pPr>
        <w:tabs>
          <w:tab w:val="left" w:pos="851"/>
        </w:tabs>
        <w:ind w:left="851"/>
        <w:rPr>
          <w:sz w:val="24"/>
          <w:szCs w:val="24"/>
        </w:rPr>
      </w:pPr>
      <w:r w:rsidRPr="005A41A5">
        <w:rPr>
          <w:sz w:val="24"/>
          <w:szCs w:val="24"/>
        </w:rPr>
        <w:t xml:space="preserve">Cellulose, mikrokrystallinsk </w:t>
      </w:r>
      <w:r w:rsidR="006B039D">
        <w:rPr>
          <w:sz w:val="24"/>
          <w:szCs w:val="24"/>
        </w:rPr>
        <w:t>[</w:t>
      </w:r>
      <w:r w:rsidRPr="005A41A5">
        <w:rPr>
          <w:sz w:val="24"/>
          <w:szCs w:val="24"/>
        </w:rPr>
        <w:t>E460 (i)</w:t>
      </w:r>
      <w:r w:rsidR="006B039D">
        <w:rPr>
          <w:sz w:val="24"/>
          <w:szCs w:val="24"/>
        </w:rPr>
        <w:t>]</w:t>
      </w:r>
    </w:p>
    <w:p w:rsidR="005A41A5" w:rsidRPr="00922F52" w:rsidRDefault="005A41A5" w:rsidP="005A41A5">
      <w:pPr>
        <w:tabs>
          <w:tab w:val="left" w:pos="851"/>
        </w:tabs>
        <w:ind w:left="851"/>
        <w:rPr>
          <w:sz w:val="24"/>
          <w:szCs w:val="24"/>
          <w:lang w:val="de-DE"/>
        </w:rPr>
      </w:pPr>
      <w:r w:rsidRPr="00922F52">
        <w:rPr>
          <w:sz w:val="24"/>
          <w:szCs w:val="24"/>
          <w:lang w:val="de-DE"/>
        </w:rPr>
        <w:t>Croscarmellosenatrium (E468)</w:t>
      </w:r>
    </w:p>
    <w:p w:rsidR="005A41A5" w:rsidRPr="00922F52" w:rsidRDefault="005A41A5" w:rsidP="005A41A5">
      <w:pPr>
        <w:tabs>
          <w:tab w:val="left" w:pos="851"/>
        </w:tabs>
        <w:ind w:left="851"/>
        <w:rPr>
          <w:sz w:val="24"/>
          <w:szCs w:val="24"/>
          <w:lang w:val="de-DE"/>
        </w:rPr>
      </w:pPr>
      <w:r w:rsidRPr="00922F52">
        <w:rPr>
          <w:sz w:val="24"/>
          <w:szCs w:val="24"/>
          <w:lang w:val="de-DE"/>
        </w:rPr>
        <w:t>Magnesiumstearat (E470b)</w:t>
      </w:r>
    </w:p>
    <w:p w:rsidR="005A41A5" w:rsidRPr="00922F52" w:rsidRDefault="005A41A5" w:rsidP="005A41A5">
      <w:pPr>
        <w:tabs>
          <w:tab w:val="left" w:pos="851"/>
        </w:tabs>
        <w:ind w:left="851"/>
        <w:rPr>
          <w:sz w:val="24"/>
          <w:szCs w:val="24"/>
          <w:lang w:val="de-DE"/>
        </w:rPr>
      </w:pPr>
    </w:p>
    <w:p w:rsidR="005A41A5" w:rsidRPr="00922F52" w:rsidRDefault="005A41A5" w:rsidP="005A41A5">
      <w:pPr>
        <w:tabs>
          <w:tab w:val="left" w:pos="851"/>
        </w:tabs>
        <w:ind w:left="851"/>
        <w:rPr>
          <w:sz w:val="24"/>
          <w:szCs w:val="24"/>
          <w:u w:val="single"/>
          <w:lang w:val="de-DE"/>
        </w:rPr>
      </w:pPr>
      <w:r w:rsidRPr="00922F52">
        <w:rPr>
          <w:sz w:val="24"/>
          <w:szCs w:val="24"/>
          <w:u w:val="single"/>
          <w:lang w:val="de-DE"/>
        </w:rPr>
        <w:t>Kapselskal</w:t>
      </w:r>
    </w:p>
    <w:p w:rsidR="005A41A5" w:rsidRPr="00922F52" w:rsidRDefault="005A41A5" w:rsidP="005A41A5">
      <w:pPr>
        <w:tabs>
          <w:tab w:val="left" w:pos="851"/>
        </w:tabs>
        <w:ind w:left="851"/>
        <w:rPr>
          <w:sz w:val="24"/>
          <w:szCs w:val="24"/>
          <w:lang w:val="de-DE"/>
        </w:rPr>
      </w:pPr>
      <w:r w:rsidRPr="00922F52">
        <w:rPr>
          <w:sz w:val="24"/>
          <w:szCs w:val="24"/>
          <w:lang w:val="de-DE"/>
        </w:rPr>
        <w:t>Gelatine</w:t>
      </w:r>
    </w:p>
    <w:p w:rsidR="005A41A5" w:rsidRPr="00922F52" w:rsidRDefault="005A41A5" w:rsidP="005A41A5">
      <w:pPr>
        <w:tabs>
          <w:tab w:val="left" w:pos="851"/>
        </w:tabs>
        <w:ind w:left="851"/>
        <w:rPr>
          <w:sz w:val="24"/>
          <w:szCs w:val="24"/>
          <w:lang w:val="de-DE"/>
        </w:rPr>
      </w:pPr>
      <w:r w:rsidRPr="00922F52">
        <w:rPr>
          <w:sz w:val="24"/>
          <w:szCs w:val="24"/>
          <w:lang w:val="de-DE"/>
        </w:rPr>
        <w:t>Titandioxid (E171)</w:t>
      </w:r>
    </w:p>
    <w:p w:rsidR="005A41A5" w:rsidRPr="00922F52" w:rsidRDefault="005A41A5" w:rsidP="005A41A5">
      <w:pPr>
        <w:tabs>
          <w:tab w:val="left" w:pos="851"/>
        </w:tabs>
        <w:ind w:left="851"/>
        <w:rPr>
          <w:sz w:val="24"/>
          <w:szCs w:val="24"/>
          <w:lang w:val="de-DE"/>
        </w:rPr>
      </w:pPr>
      <w:r w:rsidRPr="00922F52">
        <w:rPr>
          <w:sz w:val="24"/>
          <w:szCs w:val="24"/>
          <w:lang w:val="de-DE"/>
        </w:rPr>
        <w:t>Kun 2,5 mg, 10 mg, 15 mg, 20 mg: Indigocarmin (E132)</w:t>
      </w:r>
    </w:p>
    <w:p w:rsidR="005A41A5" w:rsidRPr="00922F52" w:rsidRDefault="005A41A5" w:rsidP="005A41A5">
      <w:pPr>
        <w:tabs>
          <w:tab w:val="left" w:pos="851"/>
        </w:tabs>
        <w:ind w:left="851"/>
        <w:rPr>
          <w:sz w:val="24"/>
          <w:szCs w:val="24"/>
          <w:lang w:val="de-DE"/>
        </w:rPr>
      </w:pPr>
      <w:r w:rsidRPr="00922F52">
        <w:rPr>
          <w:sz w:val="24"/>
          <w:szCs w:val="24"/>
          <w:lang w:val="de-DE"/>
        </w:rPr>
        <w:t>Kun 2,5 mg, 7,5 mg, 10 mg, 20 mg: Gul jernoxid (E172)</w:t>
      </w:r>
    </w:p>
    <w:p w:rsidR="005A41A5" w:rsidRPr="00922F52" w:rsidRDefault="005A41A5" w:rsidP="005A41A5">
      <w:pPr>
        <w:tabs>
          <w:tab w:val="left" w:pos="851"/>
        </w:tabs>
        <w:ind w:left="851"/>
        <w:rPr>
          <w:sz w:val="24"/>
          <w:szCs w:val="24"/>
          <w:lang w:val="de-DE"/>
        </w:rPr>
      </w:pPr>
    </w:p>
    <w:p w:rsidR="005A41A5" w:rsidRPr="00922F52" w:rsidRDefault="005A41A5" w:rsidP="005A41A5">
      <w:pPr>
        <w:tabs>
          <w:tab w:val="left" w:pos="851"/>
        </w:tabs>
        <w:ind w:left="851"/>
        <w:rPr>
          <w:sz w:val="24"/>
          <w:szCs w:val="24"/>
          <w:u w:val="single"/>
          <w:lang w:val="de-DE"/>
        </w:rPr>
      </w:pPr>
      <w:r w:rsidRPr="00922F52">
        <w:rPr>
          <w:sz w:val="24"/>
          <w:szCs w:val="24"/>
          <w:u w:val="single"/>
          <w:lang w:val="de-DE"/>
        </w:rPr>
        <w:t>Trykfarve</w:t>
      </w:r>
    </w:p>
    <w:p w:rsidR="005A41A5" w:rsidRPr="00922F52" w:rsidRDefault="005A41A5" w:rsidP="005A41A5">
      <w:pPr>
        <w:tabs>
          <w:tab w:val="left" w:pos="851"/>
        </w:tabs>
        <w:ind w:left="851"/>
        <w:rPr>
          <w:sz w:val="24"/>
          <w:szCs w:val="24"/>
          <w:lang w:val="de-DE"/>
        </w:rPr>
      </w:pPr>
      <w:r w:rsidRPr="00922F52">
        <w:rPr>
          <w:sz w:val="24"/>
          <w:szCs w:val="24"/>
          <w:lang w:val="de-DE"/>
        </w:rPr>
        <w:t>Shellac (E904)</w:t>
      </w:r>
    </w:p>
    <w:p w:rsidR="005A41A5" w:rsidRPr="00922F52" w:rsidRDefault="005A41A5" w:rsidP="005A41A5">
      <w:pPr>
        <w:tabs>
          <w:tab w:val="left" w:pos="851"/>
        </w:tabs>
        <w:ind w:left="851"/>
        <w:rPr>
          <w:sz w:val="24"/>
          <w:szCs w:val="24"/>
          <w:lang w:val="de-DE"/>
        </w:rPr>
      </w:pPr>
      <w:r w:rsidRPr="00922F52">
        <w:rPr>
          <w:sz w:val="24"/>
          <w:szCs w:val="24"/>
          <w:lang w:val="de-DE"/>
        </w:rPr>
        <w:t>Propylenglycol (E1520)</w:t>
      </w:r>
    </w:p>
    <w:p w:rsidR="005A41A5" w:rsidRPr="00922F52" w:rsidRDefault="005A41A5" w:rsidP="005A41A5">
      <w:pPr>
        <w:tabs>
          <w:tab w:val="left" w:pos="851"/>
        </w:tabs>
        <w:ind w:left="851"/>
        <w:rPr>
          <w:sz w:val="24"/>
          <w:szCs w:val="24"/>
          <w:lang w:val="de-DE"/>
        </w:rPr>
      </w:pPr>
      <w:r w:rsidRPr="00922F52">
        <w:rPr>
          <w:sz w:val="24"/>
          <w:szCs w:val="24"/>
          <w:lang w:val="de-DE"/>
        </w:rPr>
        <w:t>Sort jernoxid (E172)</w:t>
      </w:r>
    </w:p>
    <w:p w:rsidR="005A41A5" w:rsidRPr="00922F52" w:rsidRDefault="005A41A5" w:rsidP="005A41A5">
      <w:pPr>
        <w:tabs>
          <w:tab w:val="left" w:pos="851"/>
        </w:tabs>
        <w:ind w:left="851"/>
        <w:rPr>
          <w:sz w:val="24"/>
          <w:szCs w:val="24"/>
          <w:lang w:val="de-DE"/>
        </w:rPr>
      </w:pPr>
      <w:r w:rsidRPr="00922F52">
        <w:rPr>
          <w:sz w:val="24"/>
          <w:szCs w:val="24"/>
          <w:lang w:val="de-DE"/>
        </w:rPr>
        <w:t>Kaliumhydroxid (E525)</w:t>
      </w:r>
    </w:p>
    <w:bookmarkEnd w:id="2"/>
    <w:p w:rsidR="005A41A5" w:rsidRPr="00922F52" w:rsidRDefault="005A41A5" w:rsidP="005A41A5">
      <w:pPr>
        <w:tabs>
          <w:tab w:val="left" w:pos="851"/>
        </w:tabs>
        <w:ind w:left="851"/>
        <w:rPr>
          <w:sz w:val="24"/>
          <w:szCs w:val="24"/>
          <w:lang w:val="de-DE"/>
        </w:rPr>
      </w:pPr>
    </w:p>
    <w:p w:rsidR="009260DE" w:rsidRPr="00922F52" w:rsidRDefault="009260DE" w:rsidP="009260DE">
      <w:pPr>
        <w:tabs>
          <w:tab w:val="left" w:pos="851"/>
        </w:tabs>
        <w:ind w:left="851" w:hanging="851"/>
        <w:rPr>
          <w:b/>
          <w:sz w:val="24"/>
          <w:szCs w:val="24"/>
          <w:lang w:val="de-DE"/>
        </w:rPr>
      </w:pPr>
      <w:r w:rsidRPr="00922F52">
        <w:rPr>
          <w:b/>
          <w:sz w:val="24"/>
          <w:szCs w:val="24"/>
          <w:lang w:val="de-DE"/>
        </w:rPr>
        <w:t>6.2</w:t>
      </w:r>
      <w:r w:rsidRPr="00922F52">
        <w:rPr>
          <w:b/>
          <w:sz w:val="24"/>
          <w:szCs w:val="24"/>
          <w:lang w:val="de-DE"/>
        </w:rPr>
        <w:tab/>
        <w:t>Uforligeligheder</w:t>
      </w:r>
    </w:p>
    <w:p w:rsidR="009260DE" w:rsidRPr="00C84483" w:rsidRDefault="00621604" w:rsidP="009260DE">
      <w:pPr>
        <w:tabs>
          <w:tab w:val="left" w:pos="851"/>
        </w:tabs>
        <w:ind w:left="851"/>
        <w:rPr>
          <w:sz w:val="24"/>
          <w:szCs w:val="24"/>
        </w:rPr>
      </w:pPr>
      <w:r>
        <w:rPr>
          <w:sz w:val="24"/>
          <w:szCs w:val="24"/>
        </w:rPr>
        <w:t>Ikke relevant.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9260DE" w:rsidRPr="00C84483" w:rsidRDefault="009260DE" w:rsidP="009260DE">
      <w:pPr>
        <w:tabs>
          <w:tab w:val="left" w:pos="851"/>
        </w:tabs>
        <w:ind w:left="851" w:hanging="851"/>
        <w:rPr>
          <w:sz w:val="24"/>
          <w:szCs w:val="24"/>
        </w:rPr>
      </w:pPr>
      <w:r w:rsidRPr="00C84483">
        <w:rPr>
          <w:sz w:val="24"/>
          <w:szCs w:val="24"/>
        </w:rPr>
        <w:tab/>
      </w:r>
      <w:r w:rsidR="00621604">
        <w:rPr>
          <w:sz w:val="24"/>
          <w:szCs w:val="24"/>
        </w:rPr>
        <w:t>3 år.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621604" w:rsidRPr="00621604" w:rsidRDefault="00621604" w:rsidP="00621604">
      <w:pPr>
        <w:tabs>
          <w:tab w:val="left" w:pos="851"/>
        </w:tabs>
        <w:ind w:left="851"/>
        <w:rPr>
          <w:sz w:val="24"/>
          <w:szCs w:val="24"/>
        </w:rPr>
      </w:pPr>
      <w:r w:rsidRPr="00621604">
        <w:rPr>
          <w:sz w:val="24"/>
          <w:szCs w:val="24"/>
        </w:rPr>
        <w:t>Dette lægemiddel kræver ingen særlige opbevaringsbetingelser.</w:t>
      </w:r>
    </w:p>
    <w:p w:rsidR="009260DE" w:rsidRPr="00C84483" w:rsidRDefault="009260DE" w:rsidP="009260DE">
      <w:pPr>
        <w:tabs>
          <w:tab w:val="left" w:pos="851"/>
        </w:tabs>
        <w:ind w:left="851"/>
        <w:rPr>
          <w:sz w:val="24"/>
          <w:szCs w:val="24"/>
        </w:rPr>
      </w:pPr>
    </w:p>
    <w:p w:rsidR="009260DE" w:rsidRPr="00C84483" w:rsidRDefault="009260DE" w:rsidP="000C6D15">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621604" w:rsidRPr="00621604" w:rsidRDefault="00621604" w:rsidP="000C6D15">
      <w:pPr>
        <w:tabs>
          <w:tab w:val="left" w:pos="851"/>
        </w:tabs>
        <w:ind w:left="851"/>
        <w:rPr>
          <w:sz w:val="24"/>
          <w:szCs w:val="24"/>
        </w:rPr>
      </w:pPr>
      <w:r w:rsidRPr="00621604">
        <w:rPr>
          <w:sz w:val="24"/>
          <w:szCs w:val="24"/>
        </w:rPr>
        <w:t>OPA/Al/PVC/Al-blister</w:t>
      </w:r>
      <w:r>
        <w:rPr>
          <w:sz w:val="24"/>
          <w:szCs w:val="24"/>
        </w:rPr>
        <w:t>, i karton.</w:t>
      </w:r>
    </w:p>
    <w:p w:rsidR="00621604" w:rsidRPr="00621604" w:rsidRDefault="00621604" w:rsidP="000C6D15">
      <w:pPr>
        <w:tabs>
          <w:tab w:val="left" w:pos="851"/>
        </w:tabs>
        <w:ind w:left="851"/>
        <w:rPr>
          <w:sz w:val="24"/>
          <w:szCs w:val="24"/>
        </w:rPr>
      </w:pPr>
    </w:p>
    <w:p w:rsidR="00621604" w:rsidRPr="00621604" w:rsidRDefault="00621604" w:rsidP="000C6D15">
      <w:pPr>
        <w:tabs>
          <w:tab w:val="left" w:pos="851"/>
        </w:tabs>
        <w:ind w:left="851"/>
        <w:rPr>
          <w:sz w:val="24"/>
          <w:szCs w:val="24"/>
        </w:rPr>
      </w:pPr>
      <w:r>
        <w:rPr>
          <w:sz w:val="24"/>
          <w:szCs w:val="24"/>
        </w:rPr>
        <w:t xml:space="preserve">Pakningsstørrelser: </w:t>
      </w:r>
      <w:r w:rsidRPr="00621604">
        <w:rPr>
          <w:sz w:val="24"/>
          <w:szCs w:val="24"/>
        </w:rPr>
        <w:t xml:space="preserve">7 </w:t>
      </w:r>
      <w:r>
        <w:rPr>
          <w:sz w:val="24"/>
          <w:szCs w:val="24"/>
        </w:rPr>
        <w:t>og</w:t>
      </w:r>
      <w:r w:rsidRPr="00621604">
        <w:rPr>
          <w:sz w:val="24"/>
          <w:szCs w:val="24"/>
        </w:rPr>
        <w:t xml:space="preserve"> 21 kapsler.</w:t>
      </w:r>
    </w:p>
    <w:p w:rsidR="00621604" w:rsidRPr="00621604" w:rsidRDefault="00621604" w:rsidP="000C6D15">
      <w:pPr>
        <w:tabs>
          <w:tab w:val="left" w:pos="851"/>
        </w:tabs>
        <w:ind w:left="851"/>
        <w:rPr>
          <w:sz w:val="24"/>
          <w:szCs w:val="24"/>
        </w:rPr>
      </w:pPr>
      <w:r w:rsidRPr="00621604">
        <w:rPr>
          <w:sz w:val="24"/>
          <w:szCs w:val="24"/>
        </w:rPr>
        <w:t>Ikke alle pakningsstørrelser er nødvendigvis markedsført.</w:t>
      </w:r>
    </w:p>
    <w:p w:rsidR="009260DE" w:rsidRPr="00C84483" w:rsidRDefault="009260DE" w:rsidP="000C6D15">
      <w:pPr>
        <w:tabs>
          <w:tab w:val="left" w:pos="851"/>
        </w:tabs>
        <w:ind w:left="851"/>
        <w:rPr>
          <w:sz w:val="24"/>
          <w:szCs w:val="24"/>
        </w:rPr>
      </w:pPr>
    </w:p>
    <w:p w:rsidR="009260DE" w:rsidRPr="00C84483" w:rsidRDefault="009260DE" w:rsidP="000C6D15">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876C3D">
        <w:rPr>
          <w:b/>
          <w:sz w:val="24"/>
          <w:szCs w:val="24"/>
        </w:rPr>
        <w:t>bortskaffelse</w:t>
      </w:r>
      <w:r w:rsidRPr="00C84483">
        <w:rPr>
          <w:b/>
          <w:sz w:val="24"/>
          <w:szCs w:val="24"/>
        </w:rPr>
        <w:t xml:space="preserve"> og anden håndtering</w:t>
      </w:r>
    </w:p>
    <w:p w:rsidR="000C6D15" w:rsidRDefault="000C6D15" w:rsidP="000C6D15">
      <w:pPr>
        <w:tabs>
          <w:tab w:val="left" w:pos="851"/>
        </w:tabs>
        <w:ind w:left="851"/>
        <w:rPr>
          <w:sz w:val="24"/>
          <w:szCs w:val="24"/>
        </w:rPr>
      </w:pPr>
      <w:r w:rsidRPr="000C6D15">
        <w:rPr>
          <w:sz w:val="24"/>
          <w:szCs w:val="24"/>
        </w:rPr>
        <w:t>Kapslerne må ikke åbnes eller knuses.</w:t>
      </w:r>
    </w:p>
    <w:p w:rsidR="000C6D15" w:rsidRDefault="000C6D15" w:rsidP="000C6D15">
      <w:pPr>
        <w:tabs>
          <w:tab w:val="left" w:pos="851"/>
        </w:tabs>
        <w:ind w:left="851"/>
        <w:rPr>
          <w:sz w:val="24"/>
          <w:szCs w:val="24"/>
        </w:rPr>
      </w:pPr>
      <w:r w:rsidRPr="000C6D15">
        <w:rPr>
          <w:sz w:val="24"/>
          <w:szCs w:val="24"/>
        </w:rPr>
        <w:t>Hvis pulveret med lenalidomid får kontakt med huden, skal huden straks vaskes grundigt med sæbe og vand.</w:t>
      </w:r>
    </w:p>
    <w:p w:rsidR="000C6D15" w:rsidRPr="000C6D15" w:rsidRDefault="000C6D15" w:rsidP="000C6D15">
      <w:pPr>
        <w:tabs>
          <w:tab w:val="left" w:pos="851"/>
        </w:tabs>
        <w:ind w:left="851"/>
        <w:rPr>
          <w:sz w:val="24"/>
          <w:szCs w:val="24"/>
        </w:rPr>
      </w:pPr>
      <w:r w:rsidRPr="000C6D15">
        <w:rPr>
          <w:sz w:val="24"/>
          <w:szCs w:val="24"/>
        </w:rPr>
        <w:t>Hvis lenalidomid får kontakt med slimhinder, skal de skylles grundigt med vand.</w:t>
      </w:r>
    </w:p>
    <w:p w:rsidR="000C6D15" w:rsidRPr="000C6D15" w:rsidRDefault="000C6D15" w:rsidP="000C6D15">
      <w:pPr>
        <w:tabs>
          <w:tab w:val="left" w:pos="851"/>
        </w:tabs>
        <w:ind w:left="851"/>
        <w:rPr>
          <w:sz w:val="24"/>
          <w:szCs w:val="24"/>
        </w:rPr>
      </w:pPr>
    </w:p>
    <w:p w:rsidR="00876C3D" w:rsidRPr="00B17CB8" w:rsidRDefault="00876C3D" w:rsidP="00876C3D">
      <w:pPr>
        <w:tabs>
          <w:tab w:val="left" w:pos="851"/>
        </w:tabs>
        <w:ind w:left="851"/>
        <w:rPr>
          <w:sz w:val="24"/>
          <w:szCs w:val="24"/>
        </w:rPr>
      </w:pPr>
      <w:r w:rsidRPr="00B17CB8">
        <w:rPr>
          <w:sz w:val="24"/>
          <w:szCs w:val="24"/>
        </w:rPr>
        <w:t xml:space="preserve">Sundhedspersonale og omsorgspersoner skal bære engangshandsker, når de håndterer blisterkortet eller kapslen. Handskerne skal derefter tages forsigtigt af for at forhindre eksponering af huden, anbringes i en plastpose af polyethylen, som kan forsegles, og </w:t>
      </w:r>
      <w:r w:rsidRPr="00B17CB8">
        <w:rPr>
          <w:sz w:val="24"/>
          <w:szCs w:val="24"/>
        </w:rPr>
        <w:lastRenderedPageBreak/>
        <w:t xml:space="preserve">bortskaffes i overensstemmelse med de lokale krav. Derefter skal hænderne vaskes grundigt med sæbe og vand. Kvinder, der er gravide, eller tror, de kan være gravide, må ikke håndtere blisterkortet eller kapslen (se pkt. 4.4). </w:t>
      </w:r>
    </w:p>
    <w:p w:rsidR="00876C3D" w:rsidRPr="00B17CB8" w:rsidRDefault="00876C3D" w:rsidP="00876C3D">
      <w:pPr>
        <w:tabs>
          <w:tab w:val="left" w:pos="851"/>
        </w:tabs>
        <w:ind w:left="851"/>
        <w:rPr>
          <w:sz w:val="24"/>
          <w:szCs w:val="24"/>
        </w:rPr>
      </w:pPr>
    </w:p>
    <w:p w:rsidR="00876C3D" w:rsidRPr="000C6D15" w:rsidRDefault="00876C3D" w:rsidP="00876C3D">
      <w:pPr>
        <w:tabs>
          <w:tab w:val="left" w:pos="851"/>
        </w:tabs>
        <w:ind w:left="851"/>
        <w:rPr>
          <w:sz w:val="24"/>
          <w:szCs w:val="24"/>
        </w:rPr>
      </w:pPr>
      <w:r w:rsidRPr="000C6D15">
        <w:rPr>
          <w:sz w:val="24"/>
          <w:szCs w:val="24"/>
        </w:rPr>
        <w:t>Ikke anvendt lægemiddel samt affald heraf skal returneres til apotekspersonalet til sikker bortskaffelse i henhold til lokale retningslinjer.</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0C6D15" w:rsidRPr="000C6D15" w:rsidRDefault="000C6D15" w:rsidP="000C6D15">
      <w:pPr>
        <w:tabs>
          <w:tab w:val="left" w:pos="851"/>
        </w:tabs>
        <w:ind w:left="851"/>
        <w:rPr>
          <w:sz w:val="24"/>
          <w:szCs w:val="24"/>
        </w:rPr>
      </w:pPr>
      <w:r w:rsidRPr="000C6D15">
        <w:rPr>
          <w:sz w:val="24"/>
          <w:szCs w:val="24"/>
        </w:rPr>
        <w:t>Glenmark Arzneimittel GmbH</w:t>
      </w:r>
    </w:p>
    <w:p w:rsidR="000C6D15" w:rsidRPr="00922F52" w:rsidRDefault="000C6D15" w:rsidP="000C6D15">
      <w:pPr>
        <w:tabs>
          <w:tab w:val="left" w:pos="851"/>
        </w:tabs>
        <w:ind w:left="851"/>
        <w:rPr>
          <w:sz w:val="24"/>
          <w:szCs w:val="24"/>
          <w:lang w:val="de-DE"/>
        </w:rPr>
      </w:pPr>
      <w:r w:rsidRPr="00922F52">
        <w:rPr>
          <w:sz w:val="24"/>
          <w:szCs w:val="24"/>
          <w:lang w:val="de-DE"/>
        </w:rPr>
        <w:t>Industriestr. 31</w:t>
      </w:r>
    </w:p>
    <w:p w:rsidR="000C6D15" w:rsidRPr="00922F52" w:rsidRDefault="000C6D15" w:rsidP="000C6D15">
      <w:pPr>
        <w:tabs>
          <w:tab w:val="left" w:pos="851"/>
        </w:tabs>
        <w:ind w:left="851"/>
        <w:rPr>
          <w:sz w:val="24"/>
          <w:szCs w:val="24"/>
          <w:lang w:val="de-DE"/>
        </w:rPr>
      </w:pPr>
      <w:r w:rsidRPr="00922F52">
        <w:rPr>
          <w:sz w:val="24"/>
          <w:szCs w:val="24"/>
          <w:lang w:val="de-DE"/>
        </w:rPr>
        <w:t>82194 Gröbenzell</w:t>
      </w:r>
    </w:p>
    <w:p w:rsidR="000C6D15" w:rsidRPr="00922F52" w:rsidRDefault="000C6D15" w:rsidP="000C6D15">
      <w:pPr>
        <w:tabs>
          <w:tab w:val="left" w:pos="851"/>
        </w:tabs>
        <w:ind w:left="851"/>
        <w:rPr>
          <w:sz w:val="24"/>
          <w:szCs w:val="24"/>
          <w:lang w:val="de-DE"/>
        </w:rPr>
      </w:pPr>
      <w:r w:rsidRPr="00922F52">
        <w:rPr>
          <w:sz w:val="24"/>
          <w:szCs w:val="24"/>
          <w:lang w:val="de-DE"/>
        </w:rPr>
        <w:t>Tyskland</w:t>
      </w:r>
    </w:p>
    <w:p w:rsidR="000C6D15" w:rsidRPr="00922F52" w:rsidRDefault="000C6D15" w:rsidP="000C6D15">
      <w:pPr>
        <w:tabs>
          <w:tab w:val="left" w:pos="851"/>
        </w:tabs>
        <w:ind w:left="851"/>
        <w:rPr>
          <w:sz w:val="24"/>
          <w:szCs w:val="24"/>
          <w:lang w:val="de-DE"/>
        </w:rPr>
      </w:pPr>
    </w:p>
    <w:p w:rsidR="000C6D15" w:rsidRPr="00922F52" w:rsidRDefault="000C6D15" w:rsidP="000C6D15">
      <w:pPr>
        <w:tabs>
          <w:tab w:val="left" w:pos="851"/>
        </w:tabs>
        <w:ind w:left="851"/>
        <w:rPr>
          <w:b/>
          <w:bCs/>
          <w:sz w:val="24"/>
          <w:szCs w:val="24"/>
          <w:lang w:val="de-DE"/>
        </w:rPr>
      </w:pPr>
      <w:r w:rsidRPr="00922F52">
        <w:rPr>
          <w:b/>
          <w:bCs/>
          <w:sz w:val="24"/>
          <w:szCs w:val="24"/>
          <w:lang w:val="de-DE"/>
        </w:rPr>
        <w:t>Repræsentant</w:t>
      </w:r>
    </w:p>
    <w:p w:rsidR="000C6D15" w:rsidRPr="00922F52" w:rsidRDefault="000C6D15" w:rsidP="000C6D15">
      <w:pPr>
        <w:tabs>
          <w:tab w:val="left" w:pos="851"/>
        </w:tabs>
        <w:ind w:left="851"/>
        <w:rPr>
          <w:sz w:val="24"/>
          <w:szCs w:val="24"/>
          <w:lang w:val="de-DE"/>
        </w:rPr>
      </w:pPr>
      <w:r w:rsidRPr="00922F52">
        <w:rPr>
          <w:sz w:val="24"/>
          <w:szCs w:val="24"/>
          <w:lang w:val="de-DE"/>
        </w:rPr>
        <w:t>Glenmark Pharmaceutical</w:t>
      </w:r>
      <w:r w:rsidR="000F6904" w:rsidRPr="00922F52">
        <w:rPr>
          <w:sz w:val="24"/>
          <w:szCs w:val="24"/>
          <w:lang w:val="de-DE"/>
        </w:rPr>
        <w:t>s</w:t>
      </w:r>
      <w:r w:rsidRPr="00922F52">
        <w:rPr>
          <w:sz w:val="24"/>
          <w:szCs w:val="24"/>
          <w:lang w:val="de-DE"/>
        </w:rPr>
        <w:t xml:space="preserve"> Nordic AB</w:t>
      </w:r>
    </w:p>
    <w:p w:rsidR="007936E7" w:rsidRPr="0032044B" w:rsidRDefault="007936E7" w:rsidP="007936E7">
      <w:pPr>
        <w:ind w:left="851"/>
        <w:rPr>
          <w:spacing w:val="-3"/>
          <w:sz w:val="24"/>
          <w:szCs w:val="24"/>
        </w:rPr>
      </w:pPr>
      <w:r w:rsidRPr="0032044B">
        <w:rPr>
          <w:spacing w:val="-3"/>
          <w:sz w:val="24"/>
          <w:szCs w:val="24"/>
        </w:rPr>
        <w:t>Propellergatan 2</w:t>
      </w:r>
    </w:p>
    <w:p w:rsidR="007936E7" w:rsidRPr="0032044B" w:rsidRDefault="007936E7" w:rsidP="007936E7">
      <w:pPr>
        <w:ind w:left="851"/>
        <w:rPr>
          <w:spacing w:val="-3"/>
          <w:sz w:val="24"/>
          <w:szCs w:val="24"/>
        </w:rPr>
      </w:pPr>
      <w:r w:rsidRPr="0032044B">
        <w:rPr>
          <w:spacing w:val="-3"/>
          <w:sz w:val="24"/>
          <w:szCs w:val="24"/>
        </w:rPr>
        <w:t>211 15 Malmö</w:t>
      </w:r>
    </w:p>
    <w:p w:rsidR="000C6D15" w:rsidRPr="000C6D15" w:rsidRDefault="007936E7" w:rsidP="007936E7">
      <w:pPr>
        <w:tabs>
          <w:tab w:val="left" w:pos="851"/>
        </w:tabs>
        <w:ind w:left="851"/>
        <w:rPr>
          <w:sz w:val="24"/>
          <w:szCs w:val="24"/>
        </w:rPr>
      </w:pPr>
      <w:r w:rsidRPr="0032044B">
        <w:rPr>
          <w:spacing w:val="-3"/>
          <w:sz w:val="24"/>
          <w:szCs w:val="24"/>
        </w:rPr>
        <w:t>Sverige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876C3D">
        <w:rPr>
          <w:b/>
          <w:sz w:val="24"/>
          <w:szCs w:val="24"/>
        </w:rPr>
        <w:t>-</w:t>
      </w:r>
      <w:r w:rsidRPr="00C84483">
        <w:rPr>
          <w:b/>
          <w:sz w:val="24"/>
          <w:szCs w:val="24"/>
        </w:rPr>
        <w:t>NUMRE)</w:t>
      </w:r>
    </w:p>
    <w:p w:rsidR="004F5E69" w:rsidRPr="00922F52" w:rsidRDefault="004F5E69" w:rsidP="004F5E69">
      <w:pPr>
        <w:tabs>
          <w:tab w:val="left" w:pos="1560"/>
        </w:tabs>
        <w:ind w:left="851"/>
        <w:jc w:val="both"/>
        <w:rPr>
          <w:sz w:val="24"/>
          <w:szCs w:val="24"/>
        </w:rPr>
      </w:pPr>
      <w:r w:rsidRPr="004F5E69">
        <w:rPr>
          <w:sz w:val="24"/>
          <w:szCs w:val="24"/>
        </w:rPr>
        <w:t>5 mg:</w:t>
      </w:r>
      <w:r>
        <w:rPr>
          <w:sz w:val="24"/>
          <w:szCs w:val="24"/>
        </w:rPr>
        <w:tab/>
      </w:r>
      <w:r w:rsidRPr="004F5E69">
        <w:rPr>
          <w:sz w:val="24"/>
          <w:szCs w:val="24"/>
        </w:rPr>
        <w:t>64253</w:t>
      </w:r>
    </w:p>
    <w:p w:rsidR="004F5E69" w:rsidRPr="004F5E69" w:rsidRDefault="004F5E69" w:rsidP="004F5E69">
      <w:pPr>
        <w:tabs>
          <w:tab w:val="left" w:pos="1560"/>
        </w:tabs>
        <w:ind w:left="851"/>
        <w:jc w:val="both"/>
        <w:rPr>
          <w:sz w:val="24"/>
          <w:szCs w:val="24"/>
        </w:rPr>
      </w:pPr>
      <w:r w:rsidRPr="004F5E69">
        <w:rPr>
          <w:sz w:val="24"/>
          <w:szCs w:val="24"/>
        </w:rPr>
        <w:t>10 mg:</w:t>
      </w:r>
      <w:r>
        <w:rPr>
          <w:sz w:val="24"/>
          <w:szCs w:val="24"/>
        </w:rPr>
        <w:tab/>
      </w:r>
      <w:r w:rsidRPr="004F5E69">
        <w:rPr>
          <w:sz w:val="24"/>
          <w:szCs w:val="24"/>
        </w:rPr>
        <w:t>64254</w:t>
      </w:r>
    </w:p>
    <w:p w:rsidR="004F5E69" w:rsidRPr="004F5E69" w:rsidRDefault="004F5E69" w:rsidP="004F5E69">
      <w:pPr>
        <w:tabs>
          <w:tab w:val="left" w:pos="1560"/>
        </w:tabs>
        <w:ind w:left="851"/>
        <w:jc w:val="both"/>
        <w:rPr>
          <w:sz w:val="24"/>
          <w:szCs w:val="24"/>
        </w:rPr>
      </w:pPr>
      <w:r w:rsidRPr="004F5E69">
        <w:rPr>
          <w:sz w:val="24"/>
          <w:szCs w:val="24"/>
        </w:rPr>
        <w:t>15 mg:</w:t>
      </w:r>
      <w:r>
        <w:rPr>
          <w:sz w:val="24"/>
          <w:szCs w:val="24"/>
        </w:rPr>
        <w:tab/>
      </w:r>
      <w:r w:rsidRPr="004F5E69">
        <w:rPr>
          <w:sz w:val="24"/>
          <w:szCs w:val="24"/>
        </w:rPr>
        <w:t>64255</w:t>
      </w:r>
    </w:p>
    <w:p w:rsidR="004F5E69" w:rsidRPr="004F5E69" w:rsidRDefault="004F5E69" w:rsidP="004F5E69">
      <w:pPr>
        <w:tabs>
          <w:tab w:val="left" w:pos="1560"/>
        </w:tabs>
        <w:ind w:left="851"/>
        <w:jc w:val="both"/>
        <w:rPr>
          <w:sz w:val="24"/>
          <w:szCs w:val="24"/>
        </w:rPr>
      </w:pPr>
      <w:r w:rsidRPr="004F5E69">
        <w:rPr>
          <w:sz w:val="24"/>
          <w:szCs w:val="24"/>
        </w:rPr>
        <w:t>25 mg:</w:t>
      </w:r>
      <w:r>
        <w:rPr>
          <w:sz w:val="24"/>
          <w:szCs w:val="24"/>
        </w:rPr>
        <w:tab/>
      </w:r>
      <w:r w:rsidRPr="004F5E69">
        <w:rPr>
          <w:sz w:val="24"/>
          <w:szCs w:val="24"/>
        </w:rPr>
        <w:t>64256</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B108FB" w:rsidP="009260DE">
      <w:pPr>
        <w:tabs>
          <w:tab w:val="left" w:pos="851"/>
        </w:tabs>
        <w:ind w:left="851"/>
        <w:rPr>
          <w:sz w:val="24"/>
          <w:szCs w:val="24"/>
        </w:rPr>
      </w:pPr>
      <w:r>
        <w:rPr>
          <w:sz w:val="24"/>
          <w:szCs w:val="24"/>
        </w:rPr>
        <w:t>19. maj 2021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7F3447" w:rsidP="00345490">
      <w:pPr>
        <w:tabs>
          <w:tab w:val="left" w:pos="851"/>
        </w:tabs>
        <w:ind w:left="851"/>
        <w:rPr>
          <w:sz w:val="24"/>
          <w:szCs w:val="24"/>
        </w:rPr>
      </w:pPr>
      <w:r>
        <w:rPr>
          <w:sz w:val="24"/>
          <w:szCs w:val="24"/>
        </w:rPr>
        <w:t>6. januar 2025</w:t>
      </w:r>
      <w:bookmarkStart w:id="3" w:name="_GoBack"/>
      <w:bookmarkEnd w:id="3"/>
    </w:p>
    <w:sectPr w:rsidR="009260DE" w:rsidRPr="00C84483"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3C81" w:rsidRDefault="00F33C81">
      <w:r>
        <w:separator/>
      </w:r>
    </w:p>
  </w:endnote>
  <w:endnote w:type="continuationSeparator" w:id="0">
    <w:p w:rsidR="00F33C81" w:rsidRDefault="00F33C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3C81" w:rsidRDefault="00F33C81">
    <w:pPr>
      <w:pStyle w:val="Sidefod"/>
      <w:pBdr>
        <w:bottom w:val="single" w:sz="6" w:space="1" w:color="auto"/>
      </w:pBdr>
    </w:pPr>
  </w:p>
  <w:p w:rsidR="00F33C81" w:rsidRDefault="00F33C81" w:rsidP="00C42586">
    <w:pPr>
      <w:pStyle w:val="Sidefod"/>
      <w:tabs>
        <w:tab w:val="clear" w:pos="4819"/>
        <w:tab w:val="left" w:pos="8505"/>
      </w:tabs>
      <w:rPr>
        <w:i/>
        <w:sz w:val="18"/>
        <w:szCs w:val="18"/>
      </w:rPr>
    </w:pPr>
  </w:p>
  <w:p w:rsidR="00F33C81" w:rsidRPr="00B373D7" w:rsidRDefault="00F33C81"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Lenalidomide Glenmark, hårde kapsler 5 mg, 10 mg, 15 mg og 25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3C81" w:rsidRDefault="00F33C81">
      <w:r>
        <w:separator/>
      </w:r>
    </w:p>
  </w:footnote>
  <w:footnote w:type="continuationSeparator" w:id="0">
    <w:p w:rsidR="00F33C81" w:rsidRDefault="00F33C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F2142D3"/>
    <w:multiLevelType w:val="hybridMultilevel"/>
    <w:tmpl w:val="AEC8B7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4BD03D7D"/>
    <w:multiLevelType w:val="hybridMultilevel"/>
    <w:tmpl w:val="2C503EDE"/>
    <w:lvl w:ilvl="0" w:tplc="F552FEB8">
      <w:start w:val="1"/>
      <w:numFmt w:val="bullet"/>
      <w:lvlText w:val="•"/>
      <w:lvlJc w:val="left"/>
      <w:pPr>
        <w:ind w:left="360" w:hanging="360"/>
      </w:pPr>
      <w:rPr>
        <w:rFonts w:ascii="Times New Roman" w:eastAsia="Times New Roman" w:hAnsi="Times New Roman"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15:restartNumberingAfterBreak="0">
    <w:nsid w:val="51D21C8E"/>
    <w:multiLevelType w:val="hybridMultilevel"/>
    <w:tmpl w:val="5FF26668"/>
    <w:lvl w:ilvl="0" w:tplc="1AF0B9F2">
      <w:numFmt w:val="bullet"/>
      <w:lvlText w:val=""/>
      <w:lvlJc w:val="left"/>
      <w:pPr>
        <w:ind w:left="539" w:hanging="539"/>
      </w:pPr>
      <w:rPr>
        <w:rFonts w:ascii="Symbol" w:eastAsia="Symbol" w:hAnsi="Symbol" w:cs="Symbol" w:hint="default"/>
        <w:w w:val="99"/>
        <w:sz w:val="22"/>
        <w:szCs w:val="22"/>
      </w:rPr>
    </w:lvl>
    <w:lvl w:ilvl="1" w:tplc="2D9C0654">
      <w:numFmt w:val="bullet"/>
      <w:lvlText w:val=""/>
      <w:lvlJc w:val="left"/>
      <w:pPr>
        <w:ind w:left="714" w:hanging="358"/>
      </w:pPr>
      <w:rPr>
        <w:w w:val="99"/>
      </w:rPr>
    </w:lvl>
    <w:lvl w:ilvl="2" w:tplc="3A16C302">
      <w:numFmt w:val="bullet"/>
      <w:lvlText w:val="•"/>
      <w:lvlJc w:val="left"/>
      <w:pPr>
        <w:ind w:left="1733" w:hanging="358"/>
      </w:pPr>
    </w:lvl>
    <w:lvl w:ilvl="3" w:tplc="AC0601E6">
      <w:numFmt w:val="bullet"/>
      <w:lvlText w:val="•"/>
      <w:lvlJc w:val="left"/>
      <w:pPr>
        <w:ind w:left="2744" w:hanging="358"/>
      </w:pPr>
    </w:lvl>
    <w:lvl w:ilvl="4" w:tplc="50DCA1F8">
      <w:numFmt w:val="bullet"/>
      <w:lvlText w:val="•"/>
      <w:lvlJc w:val="left"/>
      <w:pPr>
        <w:ind w:left="3755" w:hanging="358"/>
      </w:pPr>
    </w:lvl>
    <w:lvl w:ilvl="5" w:tplc="38EAD3C4">
      <w:numFmt w:val="bullet"/>
      <w:lvlText w:val="•"/>
      <w:lvlJc w:val="left"/>
      <w:pPr>
        <w:ind w:left="4766" w:hanging="358"/>
      </w:pPr>
    </w:lvl>
    <w:lvl w:ilvl="6" w:tplc="83B2C09A">
      <w:numFmt w:val="bullet"/>
      <w:lvlText w:val="•"/>
      <w:lvlJc w:val="left"/>
      <w:pPr>
        <w:ind w:left="5777" w:hanging="358"/>
      </w:pPr>
    </w:lvl>
    <w:lvl w:ilvl="7" w:tplc="60482904">
      <w:numFmt w:val="bullet"/>
      <w:lvlText w:val="•"/>
      <w:lvlJc w:val="left"/>
      <w:pPr>
        <w:ind w:left="6788" w:hanging="358"/>
      </w:pPr>
    </w:lvl>
    <w:lvl w:ilvl="8" w:tplc="D64A6D86">
      <w:numFmt w:val="bullet"/>
      <w:lvlText w:val="•"/>
      <w:lvlJc w:val="left"/>
      <w:pPr>
        <w:ind w:left="7799" w:hanging="358"/>
      </w:p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70774D70"/>
    <w:multiLevelType w:val="hybridMultilevel"/>
    <w:tmpl w:val="07860D80"/>
    <w:lvl w:ilvl="0" w:tplc="04060001">
      <w:start w:val="1"/>
      <w:numFmt w:val="bullet"/>
      <w:lvlText w:val=""/>
      <w:lvlJc w:val="left"/>
      <w:pPr>
        <w:ind w:left="1854" w:hanging="360"/>
      </w:pPr>
      <w:rPr>
        <w:rFonts w:ascii="Symbol" w:hAnsi="Symbol" w:hint="default"/>
      </w:rPr>
    </w:lvl>
    <w:lvl w:ilvl="1" w:tplc="04060003" w:tentative="1">
      <w:start w:val="1"/>
      <w:numFmt w:val="bullet"/>
      <w:lvlText w:val="o"/>
      <w:lvlJc w:val="left"/>
      <w:pPr>
        <w:ind w:left="2574" w:hanging="360"/>
      </w:pPr>
      <w:rPr>
        <w:rFonts w:ascii="Courier New" w:hAnsi="Courier New" w:cs="Courier New" w:hint="default"/>
      </w:rPr>
    </w:lvl>
    <w:lvl w:ilvl="2" w:tplc="04060005" w:tentative="1">
      <w:start w:val="1"/>
      <w:numFmt w:val="bullet"/>
      <w:lvlText w:val=""/>
      <w:lvlJc w:val="left"/>
      <w:pPr>
        <w:ind w:left="3294" w:hanging="360"/>
      </w:pPr>
      <w:rPr>
        <w:rFonts w:ascii="Wingdings" w:hAnsi="Wingdings" w:hint="default"/>
      </w:rPr>
    </w:lvl>
    <w:lvl w:ilvl="3" w:tplc="04060001" w:tentative="1">
      <w:start w:val="1"/>
      <w:numFmt w:val="bullet"/>
      <w:lvlText w:val=""/>
      <w:lvlJc w:val="left"/>
      <w:pPr>
        <w:ind w:left="4014" w:hanging="360"/>
      </w:pPr>
      <w:rPr>
        <w:rFonts w:ascii="Symbol" w:hAnsi="Symbol" w:hint="default"/>
      </w:rPr>
    </w:lvl>
    <w:lvl w:ilvl="4" w:tplc="04060003" w:tentative="1">
      <w:start w:val="1"/>
      <w:numFmt w:val="bullet"/>
      <w:lvlText w:val="o"/>
      <w:lvlJc w:val="left"/>
      <w:pPr>
        <w:ind w:left="4734" w:hanging="360"/>
      </w:pPr>
      <w:rPr>
        <w:rFonts w:ascii="Courier New" w:hAnsi="Courier New" w:cs="Courier New" w:hint="default"/>
      </w:rPr>
    </w:lvl>
    <w:lvl w:ilvl="5" w:tplc="04060005" w:tentative="1">
      <w:start w:val="1"/>
      <w:numFmt w:val="bullet"/>
      <w:lvlText w:val=""/>
      <w:lvlJc w:val="left"/>
      <w:pPr>
        <w:ind w:left="5454" w:hanging="360"/>
      </w:pPr>
      <w:rPr>
        <w:rFonts w:ascii="Wingdings" w:hAnsi="Wingdings" w:hint="default"/>
      </w:rPr>
    </w:lvl>
    <w:lvl w:ilvl="6" w:tplc="04060001" w:tentative="1">
      <w:start w:val="1"/>
      <w:numFmt w:val="bullet"/>
      <w:lvlText w:val=""/>
      <w:lvlJc w:val="left"/>
      <w:pPr>
        <w:ind w:left="6174" w:hanging="360"/>
      </w:pPr>
      <w:rPr>
        <w:rFonts w:ascii="Symbol" w:hAnsi="Symbol" w:hint="default"/>
      </w:rPr>
    </w:lvl>
    <w:lvl w:ilvl="7" w:tplc="04060003" w:tentative="1">
      <w:start w:val="1"/>
      <w:numFmt w:val="bullet"/>
      <w:lvlText w:val="o"/>
      <w:lvlJc w:val="left"/>
      <w:pPr>
        <w:ind w:left="6894" w:hanging="360"/>
      </w:pPr>
      <w:rPr>
        <w:rFonts w:ascii="Courier New" w:hAnsi="Courier New" w:cs="Courier New" w:hint="default"/>
      </w:rPr>
    </w:lvl>
    <w:lvl w:ilvl="8" w:tplc="04060005" w:tentative="1">
      <w:start w:val="1"/>
      <w:numFmt w:val="bullet"/>
      <w:lvlText w:val=""/>
      <w:lvlJc w:val="left"/>
      <w:pPr>
        <w:ind w:left="7614" w:hanging="360"/>
      </w:pPr>
      <w:rPr>
        <w:rFonts w:ascii="Wingdings" w:hAnsi="Wingdings" w:hint="default"/>
      </w:rPr>
    </w:lvl>
  </w:abstractNum>
  <w:abstractNum w:abstractNumId="9" w15:restartNumberingAfterBreak="0">
    <w:nsid w:val="73652F3A"/>
    <w:multiLevelType w:val="hybridMultilevel"/>
    <w:tmpl w:val="0C94C3CA"/>
    <w:lvl w:ilvl="0" w:tplc="04090001">
      <w:start w:val="1"/>
      <w:numFmt w:val="bullet"/>
      <w:lvlText w:val=""/>
      <w:lvlJc w:val="left"/>
      <w:pPr>
        <w:ind w:left="1353"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0" w15:restartNumberingAfterBreak="0">
    <w:nsid w:val="7B110A9E"/>
    <w:multiLevelType w:val="hybridMultilevel"/>
    <w:tmpl w:val="6888B756"/>
    <w:lvl w:ilvl="0" w:tplc="F552FEB8">
      <w:start w:val="1"/>
      <w:numFmt w:val="bullet"/>
      <w:lvlText w:val="•"/>
      <w:lvlJc w:val="left"/>
      <w:pPr>
        <w:ind w:left="720" w:hanging="360"/>
      </w:pPr>
      <w:rPr>
        <w:rFonts w:ascii="Times New Roman" w:eastAsia="Times New Roma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5"/>
  </w:num>
  <w:num w:numId="8">
    <w:abstractNumId w:val="5"/>
  </w:num>
  <w:num w:numId="9">
    <w:abstractNumId w:val="6"/>
  </w:num>
  <w:num w:numId="10">
    <w:abstractNumId w:val="6"/>
  </w:num>
  <w:num w:numId="11">
    <w:abstractNumId w:val="10"/>
  </w:num>
  <w:num w:numId="12">
    <w:abstractNumId w:val="10"/>
  </w:num>
  <w:num w:numId="13">
    <w:abstractNumId w:val="5"/>
  </w:num>
  <w:num w:numId="14">
    <w:abstractNumId w:val="1"/>
  </w:num>
  <w:num w:numId="15">
    <w:abstractNumId w:val="9"/>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CDE"/>
    <w:rsid w:val="00013419"/>
    <w:rsid w:val="000259B9"/>
    <w:rsid w:val="00027B19"/>
    <w:rsid w:val="00041491"/>
    <w:rsid w:val="00050D16"/>
    <w:rsid w:val="00074F2A"/>
    <w:rsid w:val="00085231"/>
    <w:rsid w:val="00085B4B"/>
    <w:rsid w:val="000A1CA8"/>
    <w:rsid w:val="000A466B"/>
    <w:rsid w:val="000B058C"/>
    <w:rsid w:val="000C6D15"/>
    <w:rsid w:val="000E469C"/>
    <w:rsid w:val="000E4EE6"/>
    <w:rsid w:val="000E6E46"/>
    <w:rsid w:val="000F13AF"/>
    <w:rsid w:val="000F6904"/>
    <w:rsid w:val="001027EE"/>
    <w:rsid w:val="00106AAD"/>
    <w:rsid w:val="00134334"/>
    <w:rsid w:val="001454E2"/>
    <w:rsid w:val="00184184"/>
    <w:rsid w:val="001E7D4D"/>
    <w:rsid w:val="00206CE8"/>
    <w:rsid w:val="0021526C"/>
    <w:rsid w:val="00242532"/>
    <w:rsid w:val="00283A2B"/>
    <w:rsid w:val="002B30AD"/>
    <w:rsid w:val="002B780B"/>
    <w:rsid w:val="002C2C01"/>
    <w:rsid w:val="002E0398"/>
    <w:rsid w:val="002F36EA"/>
    <w:rsid w:val="00343CC9"/>
    <w:rsid w:val="00345490"/>
    <w:rsid w:val="00365906"/>
    <w:rsid w:val="00384BAE"/>
    <w:rsid w:val="00396C7A"/>
    <w:rsid w:val="003A29AE"/>
    <w:rsid w:val="003A32D7"/>
    <w:rsid w:val="003B4074"/>
    <w:rsid w:val="003C769A"/>
    <w:rsid w:val="003C7C5E"/>
    <w:rsid w:val="003F1838"/>
    <w:rsid w:val="0042243E"/>
    <w:rsid w:val="00427DAE"/>
    <w:rsid w:val="0045746C"/>
    <w:rsid w:val="0049104B"/>
    <w:rsid w:val="00493BBA"/>
    <w:rsid w:val="004E3B12"/>
    <w:rsid w:val="004F5E69"/>
    <w:rsid w:val="00504046"/>
    <w:rsid w:val="00532310"/>
    <w:rsid w:val="00562E7E"/>
    <w:rsid w:val="00565F0F"/>
    <w:rsid w:val="00575964"/>
    <w:rsid w:val="00581257"/>
    <w:rsid w:val="00586ED3"/>
    <w:rsid w:val="00594A86"/>
    <w:rsid w:val="00596D86"/>
    <w:rsid w:val="005A41A5"/>
    <w:rsid w:val="005B4285"/>
    <w:rsid w:val="005C3DD3"/>
    <w:rsid w:val="005D4E6C"/>
    <w:rsid w:val="005E6809"/>
    <w:rsid w:val="005F70F3"/>
    <w:rsid w:val="006173D8"/>
    <w:rsid w:val="00621604"/>
    <w:rsid w:val="00622A06"/>
    <w:rsid w:val="006309A5"/>
    <w:rsid w:val="00637F5A"/>
    <w:rsid w:val="00640FAC"/>
    <w:rsid w:val="00644D0F"/>
    <w:rsid w:val="0064526B"/>
    <w:rsid w:val="006560B1"/>
    <w:rsid w:val="006756DD"/>
    <w:rsid w:val="00691245"/>
    <w:rsid w:val="006B039D"/>
    <w:rsid w:val="006E1822"/>
    <w:rsid w:val="00704AE1"/>
    <w:rsid w:val="007327BA"/>
    <w:rsid w:val="00735186"/>
    <w:rsid w:val="007366DD"/>
    <w:rsid w:val="00737275"/>
    <w:rsid w:val="00740EEC"/>
    <w:rsid w:val="00754026"/>
    <w:rsid w:val="00771551"/>
    <w:rsid w:val="0078011A"/>
    <w:rsid w:val="00782AF4"/>
    <w:rsid w:val="0078662F"/>
    <w:rsid w:val="00790EE7"/>
    <w:rsid w:val="007936E7"/>
    <w:rsid w:val="007A59CF"/>
    <w:rsid w:val="007B6649"/>
    <w:rsid w:val="007C033B"/>
    <w:rsid w:val="007E4FD0"/>
    <w:rsid w:val="007F1C0B"/>
    <w:rsid w:val="007F3447"/>
    <w:rsid w:val="00810166"/>
    <w:rsid w:val="00821A9F"/>
    <w:rsid w:val="00824336"/>
    <w:rsid w:val="0082576E"/>
    <w:rsid w:val="008363BB"/>
    <w:rsid w:val="00840A6C"/>
    <w:rsid w:val="00840CEA"/>
    <w:rsid w:val="00876C3D"/>
    <w:rsid w:val="00894B4E"/>
    <w:rsid w:val="008B038C"/>
    <w:rsid w:val="008B3285"/>
    <w:rsid w:val="008B3B15"/>
    <w:rsid w:val="008F5E4D"/>
    <w:rsid w:val="00907F75"/>
    <w:rsid w:val="00922F52"/>
    <w:rsid w:val="009260DE"/>
    <w:rsid w:val="0093258A"/>
    <w:rsid w:val="009352BF"/>
    <w:rsid w:val="009B78B1"/>
    <w:rsid w:val="009C7BA3"/>
    <w:rsid w:val="009D1F5A"/>
    <w:rsid w:val="009F3A71"/>
    <w:rsid w:val="00A05C93"/>
    <w:rsid w:val="00A427EB"/>
    <w:rsid w:val="00A43595"/>
    <w:rsid w:val="00A757D3"/>
    <w:rsid w:val="00AA2F10"/>
    <w:rsid w:val="00AA34AE"/>
    <w:rsid w:val="00AB6D47"/>
    <w:rsid w:val="00AC4940"/>
    <w:rsid w:val="00B003BF"/>
    <w:rsid w:val="00B108FB"/>
    <w:rsid w:val="00B373D7"/>
    <w:rsid w:val="00B448B1"/>
    <w:rsid w:val="00B45B89"/>
    <w:rsid w:val="00B630D3"/>
    <w:rsid w:val="00B85B64"/>
    <w:rsid w:val="00BA6903"/>
    <w:rsid w:val="00BE79DA"/>
    <w:rsid w:val="00C00726"/>
    <w:rsid w:val="00C01387"/>
    <w:rsid w:val="00C06583"/>
    <w:rsid w:val="00C11010"/>
    <w:rsid w:val="00C145F8"/>
    <w:rsid w:val="00C1597D"/>
    <w:rsid w:val="00C21F5E"/>
    <w:rsid w:val="00C35187"/>
    <w:rsid w:val="00C36276"/>
    <w:rsid w:val="00C36A90"/>
    <w:rsid w:val="00C405D2"/>
    <w:rsid w:val="00C42586"/>
    <w:rsid w:val="00C60CCD"/>
    <w:rsid w:val="00C84483"/>
    <w:rsid w:val="00C9090F"/>
    <w:rsid w:val="00C95551"/>
    <w:rsid w:val="00C977A2"/>
    <w:rsid w:val="00CB20D7"/>
    <w:rsid w:val="00CB3380"/>
    <w:rsid w:val="00CC3E4D"/>
    <w:rsid w:val="00CD74A8"/>
    <w:rsid w:val="00D0129C"/>
    <w:rsid w:val="00D020B0"/>
    <w:rsid w:val="00D11748"/>
    <w:rsid w:val="00D366CF"/>
    <w:rsid w:val="00D50669"/>
    <w:rsid w:val="00D778A6"/>
    <w:rsid w:val="00D83032"/>
    <w:rsid w:val="00D93C27"/>
    <w:rsid w:val="00D952B5"/>
    <w:rsid w:val="00DF19D5"/>
    <w:rsid w:val="00E05F3C"/>
    <w:rsid w:val="00E108AA"/>
    <w:rsid w:val="00E11579"/>
    <w:rsid w:val="00E342CC"/>
    <w:rsid w:val="00E3749A"/>
    <w:rsid w:val="00E57CDE"/>
    <w:rsid w:val="00E7437F"/>
    <w:rsid w:val="00E865B8"/>
    <w:rsid w:val="00EC0B9B"/>
    <w:rsid w:val="00ED5E9F"/>
    <w:rsid w:val="00EE3AD4"/>
    <w:rsid w:val="00EF58DC"/>
    <w:rsid w:val="00EF7A6F"/>
    <w:rsid w:val="00F13007"/>
    <w:rsid w:val="00F15870"/>
    <w:rsid w:val="00F23118"/>
    <w:rsid w:val="00F33C81"/>
    <w:rsid w:val="00F61A74"/>
    <w:rsid w:val="00F66D4F"/>
    <w:rsid w:val="00FB6D01"/>
    <w:rsid w:val="00FD1F8D"/>
    <w:rsid w:val="00FF2155"/>
    <w:rsid w:val="00FF3531"/>
    <w:rsid w:val="00FF687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224311"/>
  <w15:chartTrackingRefBased/>
  <w15:docId w15:val="{0C73D881-198E-41CB-B608-7FF36A030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uiPriority="0"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link w:val="Overskrift1Tegn"/>
    <w:qFormat/>
    <w:rsid w:val="00FB6D01"/>
    <w:pPr>
      <w:keepNext/>
      <w:spacing w:before="240" w:after="60"/>
      <w:outlineLvl w:val="0"/>
    </w:pPr>
    <w:rPr>
      <w:rFonts w:ascii="Arial" w:hAnsi="Arial"/>
      <w:b/>
      <w:kern w:val="28"/>
      <w:sz w:val="28"/>
    </w:rPr>
  </w:style>
  <w:style w:type="paragraph" w:styleId="Overskrift2">
    <w:name w:val="heading 2"/>
    <w:basedOn w:val="Normal"/>
    <w:next w:val="Normal"/>
    <w:link w:val="Overskrift2Tegn"/>
    <w:semiHidden/>
    <w:unhideWhenUsed/>
    <w:qFormat/>
    <w:rsid w:val="00D83032"/>
    <w:pPr>
      <w:keepNext/>
      <w:tabs>
        <w:tab w:val="left" w:pos="-720"/>
        <w:tab w:val="left" w:pos="567"/>
      </w:tabs>
      <w:suppressAutoHyphens/>
      <w:ind w:left="567" w:hanging="567"/>
      <w:outlineLvl w:val="1"/>
    </w:pPr>
    <w:rPr>
      <w:b/>
      <w:noProof/>
      <w:sz w:val="22"/>
    </w:rPr>
  </w:style>
  <w:style w:type="paragraph" w:styleId="Overskrift3">
    <w:name w:val="heading 3"/>
    <w:basedOn w:val="Normal"/>
    <w:next w:val="Normal"/>
    <w:link w:val="Overskrift3Tegn"/>
    <w:qFormat/>
    <w:rsid w:val="00FB6D01"/>
    <w:pPr>
      <w:keepNext/>
      <w:spacing w:before="240" w:after="60"/>
      <w:outlineLvl w:val="2"/>
    </w:pPr>
    <w:rPr>
      <w:rFonts w:ascii="Arial" w:hAnsi="Arial"/>
      <w:sz w:val="24"/>
    </w:rPr>
  </w:style>
  <w:style w:type="paragraph" w:styleId="Overskrift4">
    <w:name w:val="heading 4"/>
    <w:basedOn w:val="Normal"/>
    <w:next w:val="Normal"/>
    <w:link w:val="Overskrift4Tegn"/>
    <w:semiHidden/>
    <w:unhideWhenUsed/>
    <w:qFormat/>
    <w:rsid w:val="00D83032"/>
    <w:pPr>
      <w:keepNext/>
      <w:tabs>
        <w:tab w:val="left" w:pos="567"/>
      </w:tabs>
      <w:spacing w:line="260" w:lineRule="exact"/>
      <w:jc w:val="both"/>
      <w:outlineLvl w:val="3"/>
    </w:pPr>
    <w:rPr>
      <w:b/>
      <w:noProof/>
      <w:sz w:val="22"/>
    </w:rPr>
  </w:style>
  <w:style w:type="paragraph" w:styleId="Overskrift5">
    <w:name w:val="heading 5"/>
    <w:basedOn w:val="Normal"/>
    <w:next w:val="Normal"/>
    <w:link w:val="Overskrift5Tegn"/>
    <w:semiHidden/>
    <w:unhideWhenUsed/>
    <w:qFormat/>
    <w:rsid w:val="00D83032"/>
    <w:pPr>
      <w:keepNext/>
      <w:tabs>
        <w:tab w:val="left" w:pos="-720"/>
      </w:tabs>
      <w:suppressAutoHyphens/>
      <w:jc w:val="center"/>
      <w:outlineLvl w:val="4"/>
    </w:pPr>
    <w:rPr>
      <w:b/>
      <w:sz w:val="22"/>
    </w:rPr>
  </w:style>
  <w:style w:type="paragraph" w:styleId="Overskrift6">
    <w:name w:val="heading 6"/>
    <w:basedOn w:val="Normal"/>
    <w:next w:val="Normal"/>
    <w:link w:val="Overskrift6Tegn"/>
    <w:semiHidden/>
    <w:unhideWhenUsed/>
    <w:qFormat/>
    <w:rsid w:val="00D83032"/>
    <w:pPr>
      <w:keepNext/>
      <w:tabs>
        <w:tab w:val="left" w:pos="-720"/>
        <w:tab w:val="left" w:pos="567"/>
        <w:tab w:val="left" w:pos="4536"/>
      </w:tabs>
      <w:suppressAutoHyphens/>
      <w:spacing w:line="260" w:lineRule="exact"/>
      <w:outlineLvl w:val="5"/>
    </w:pPr>
    <w:rPr>
      <w:i/>
      <w:sz w:val="22"/>
      <w:lang w:val="en-GB"/>
    </w:rPr>
  </w:style>
  <w:style w:type="paragraph" w:styleId="Overskrift7">
    <w:name w:val="heading 7"/>
    <w:basedOn w:val="Normal"/>
    <w:next w:val="Normal"/>
    <w:link w:val="Overskrift7Tegn"/>
    <w:semiHidden/>
    <w:unhideWhenUsed/>
    <w:qFormat/>
    <w:rsid w:val="00D83032"/>
    <w:pPr>
      <w:keepNext/>
      <w:tabs>
        <w:tab w:val="left" w:pos="-720"/>
        <w:tab w:val="left" w:pos="567"/>
        <w:tab w:val="left" w:pos="4536"/>
      </w:tabs>
      <w:suppressAutoHyphens/>
      <w:spacing w:line="260" w:lineRule="exact"/>
      <w:jc w:val="both"/>
      <w:outlineLvl w:val="6"/>
    </w:pPr>
    <w:rPr>
      <w:i/>
      <w:sz w:val="22"/>
      <w:lang w:val="en-GB"/>
    </w:rPr>
  </w:style>
  <w:style w:type="paragraph" w:styleId="Overskrift8">
    <w:name w:val="heading 8"/>
    <w:basedOn w:val="Normal"/>
    <w:next w:val="Normal"/>
    <w:link w:val="Overskrift8Tegn"/>
    <w:semiHidden/>
    <w:unhideWhenUsed/>
    <w:qFormat/>
    <w:rsid w:val="00D83032"/>
    <w:pPr>
      <w:keepNext/>
      <w:ind w:left="1701" w:hanging="567"/>
      <w:outlineLvl w:val="7"/>
    </w:pPr>
    <w:rPr>
      <w:b/>
      <w:sz w:val="22"/>
    </w:rPr>
  </w:style>
  <w:style w:type="paragraph" w:styleId="Overskrift9">
    <w:name w:val="heading 9"/>
    <w:basedOn w:val="Normal"/>
    <w:next w:val="Normal"/>
    <w:link w:val="Overskrift9Tegn"/>
    <w:semiHidden/>
    <w:unhideWhenUsed/>
    <w:qFormat/>
    <w:rsid w:val="00D83032"/>
    <w:pPr>
      <w:keepNext/>
      <w:suppressAutoHyphens/>
      <w:outlineLvl w:val="8"/>
    </w:pPr>
    <w:rPr>
      <w:b/>
      <w:sz w:val="2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rsid w:val="00D83032"/>
    <w:rPr>
      <w:rFonts w:ascii="Arial" w:hAnsi="Arial"/>
      <w:b/>
      <w:kern w:val="28"/>
      <w:sz w:val="28"/>
      <w:lang w:eastAsia="en-US"/>
    </w:rPr>
  </w:style>
  <w:style w:type="character" w:customStyle="1" w:styleId="Overskrift3Tegn">
    <w:name w:val="Overskrift 3 Tegn"/>
    <w:basedOn w:val="Standardskrifttypeiafsnit"/>
    <w:link w:val="Overskrift3"/>
    <w:rsid w:val="00D83032"/>
    <w:rPr>
      <w:rFonts w:ascii="Arial" w:hAnsi="Arial"/>
      <w:sz w:val="24"/>
      <w:lang w:eastAsia="en-US"/>
    </w:rPr>
  </w:style>
  <w:style w:type="paragraph" w:styleId="Kommentartekst">
    <w:name w:val="annotation text"/>
    <w:basedOn w:val="Normal"/>
    <w:link w:val="KommentartekstTegn"/>
    <w:semiHidden/>
    <w:rsid w:val="00790EE7"/>
    <w:rPr>
      <w:sz w:val="20"/>
      <w:lang w:eastAsia="da-DK"/>
    </w:rPr>
  </w:style>
  <w:style w:type="character" w:customStyle="1" w:styleId="KommentartekstTegn">
    <w:name w:val="Kommentartekst Tegn"/>
    <w:basedOn w:val="Standardskrifttypeiafsnit"/>
    <w:link w:val="Kommentartekst"/>
    <w:semiHidden/>
    <w:rsid w:val="00B003BF"/>
  </w:style>
  <w:style w:type="paragraph" w:styleId="Sidehoved">
    <w:name w:val="header"/>
    <w:basedOn w:val="Normal"/>
    <w:link w:val="SidehovedTegn"/>
    <w:rsid w:val="00790EE7"/>
    <w:pPr>
      <w:tabs>
        <w:tab w:val="center" w:pos="4819"/>
        <w:tab w:val="right" w:pos="9638"/>
      </w:tabs>
    </w:pPr>
    <w:rPr>
      <w:sz w:val="24"/>
      <w:lang w:eastAsia="da-DK"/>
    </w:rPr>
  </w:style>
  <w:style w:type="character" w:customStyle="1" w:styleId="SidehovedTegn">
    <w:name w:val="Sidehoved Tegn"/>
    <w:link w:val="Sidehoved"/>
    <w:rsid w:val="00B003BF"/>
    <w:rPr>
      <w:sz w:val="24"/>
    </w:rPr>
  </w:style>
  <w:style w:type="paragraph" w:styleId="Titel">
    <w:name w:val="Title"/>
    <w:basedOn w:val="Normal"/>
    <w:link w:val="TitelTegn"/>
    <w:qFormat/>
    <w:rsid w:val="00790EE7"/>
    <w:pPr>
      <w:jc w:val="center"/>
    </w:pPr>
    <w:rPr>
      <w:b/>
      <w:sz w:val="24"/>
      <w:lang w:eastAsia="da-DK"/>
    </w:rPr>
  </w:style>
  <w:style w:type="character" w:customStyle="1" w:styleId="TitelTegn">
    <w:name w:val="Titel Tegn"/>
    <w:link w:val="Titel"/>
    <w:rsid w:val="00B003BF"/>
    <w:rPr>
      <w:b/>
      <w:sz w:val="24"/>
    </w:rPr>
  </w:style>
  <w:style w:type="character" w:styleId="Kommentarhenvisning">
    <w:name w:val="annotation reference"/>
    <w:semiHidden/>
    <w:rsid w:val="00790EE7"/>
    <w:rPr>
      <w:sz w:val="16"/>
      <w:szCs w:val="16"/>
    </w:rPr>
  </w:style>
  <w:style w:type="paragraph" w:styleId="Markeringsbobletekst">
    <w:name w:val="Balloon Text"/>
    <w:basedOn w:val="Normal"/>
    <w:link w:val="MarkeringsbobletekstTegn"/>
    <w:semiHidden/>
    <w:rsid w:val="00790EE7"/>
    <w:rPr>
      <w:rFonts w:ascii="Tahoma" w:hAnsi="Tahoma" w:cs="Tahoma"/>
      <w:sz w:val="16"/>
      <w:szCs w:val="16"/>
    </w:rPr>
  </w:style>
  <w:style w:type="character" w:customStyle="1" w:styleId="MarkeringsbobletekstTegn">
    <w:name w:val="Markeringsbobletekst Tegn"/>
    <w:basedOn w:val="Standardskrifttypeiafsnit"/>
    <w:link w:val="Markeringsbobletekst"/>
    <w:semiHidden/>
    <w:rsid w:val="00D83032"/>
    <w:rPr>
      <w:rFonts w:ascii="Tahoma" w:hAnsi="Tahoma" w:cs="Tahoma"/>
      <w:sz w:val="16"/>
      <w:szCs w:val="16"/>
      <w:lang w:eastAsia="en-US"/>
    </w:rPr>
  </w:style>
  <w:style w:type="paragraph" w:styleId="Sidefod">
    <w:name w:val="footer"/>
    <w:basedOn w:val="Normal"/>
    <w:link w:val="SidefodTegn"/>
    <w:rsid w:val="00C42586"/>
    <w:pPr>
      <w:tabs>
        <w:tab w:val="center" w:pos="4819"/>
        <w:tab w:val="right" w:pos="9638"/>
      </w:tabs>
    </w:pPr>
  </w:style>
  <w:style w:type="character" w:customStyle="1" w:styleId="SidefodTegn">
    <w:name w:val="Sidefod Tegn"/>
    <w:basedOn w:val="Standardskrifttypeiafsnit"/>
    <w:link w:val="Sidefod"/>
    <w:rsid w:val="00D83032"/>
    <w:rPr>
      <w:sz w:val="23"/>
      <w:lang w:eastAsia="en-US"/>
    </w:rPr>
  </w:style>
  <w:style w:type="character" w:styleId="Sidetal">
    <w:name w:val="page number"/>
    <w:basedOn w:val="Standardskrifttypeiafsnit"/>
    <w:rsid w:val="00C42586"/>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semiHidden/>
    <w:rsid w:val="009260DE"/>
    <w:rPr>
      <w:b/>
      <w:bCs/>
      <w:lang w:eastAsia="en-US"/>
    </w:rPr>
  </w:style>
  <w:style w:type="character" w:customStyle="1" w:styleId="Overskrift2Tegn">
    <w:name w:val="Overskrift 2 Tegn"/>
    <w:basedOn w:val="Standardskrifttypeiafsnit"/>
    <w:link w:val="Overskrift2"/>
    <w:semiHidden/>
    <w:rsid w:val="00D83032"/>
    <w:rPr>
      <w:b/>
      <w:noProof/>
      <w:sz w:val="22"/>
      <w:lang w:eastAsia="en-US"/>
    </w:rPr>
  </w:style>
  <w:style w:type="character" w:customStyle="1" w:styleId="Overskrift4Tegn">
    <w:name w:val="Overskrift 4 Tegn"/>
    <w:basedOn w:val="Standardskrifttypeiafsnit"/>
    <w:link w:val="Overskrift4"/>
    <w:semiHidden/>
    <w:rsid w:val="00D83032"/>
    <w:rPr>
      <w:b/>
      <w:noProof/>
      <w:sz w:val="22"/>
      <w:lang w:eastAsia="en-US"/>
    </w:rPr>
  </w:style>
  <w:style w:type="character" w:customStyle="1" w:styleId="Overskrift5Tegn">
    <w:name w:val="Overskrift 5 Tegn"/>
    <w:basedOn w:val="Standardskrifttypeiafsnit"/>
    <w:link w:val="Overskrift5"/>
    <w:semiHidden/>
    <w:rsid w:val="00D83032"/>
    <w:rPr>
      <w:b/>
      <w:sz w:val="22"/>
      <w:lang w:eastAsia="en-US"/>
    </w:rPr>
  </w:style>
  <w:style w:type="character" w:customStyle="1" w:styleId="Overskrift6Tegn">
    <w:name w:val="Overskrift 6 Tegn"/>
    <w:basedOn w:val="Standardskrifttypeiafsnit"/>
    <w:link w:val="Overskrift6"/>
    <w:semiHidden/>
    <w:rsid w:val="00D83032"/>
    <w:rPr>
      <w:i/>
      <w:sz w:val="22"/>
      <w:lang w:val="en-GB" w:eastAsia="en-US"/>
    </w:rPr>
  </w:style>
  <w:style w:type="character" w:customStyle="1" w:styleId="Overskrift7Tegn">
    <w:name w:val="Overskrift 7 Tegn"/>
    <w:basedOn w:val="Standardskrifttypeiafsnit"/>
    <w:link w:val="Overskrift7"/>
    <w:semiHidden/>
    <w:rsid w:val="00D83032"/>
    <w:rPr>
      <w:i/>
      <w:sz w:val="22"/>
      <w:lang w:val="en-GB" w:eastAsia="en-US"/>
    </w:rPr>
  </w:style>
  <w:style w:type="character" w:customStyle="1" w:styleId="Overskrift8Tegn">
    <w:name w:val="Overskrift 8 Tegn"/>
    <w:basedOn w:val="Standardskrifttypeiafsnit"/>
    <w:link w:val="Overskrift8"/>
    <w:semiHidden/>
    <w:rsid w:val="00D83032"/>
    <w:rPr>
      <w:b/>
      <w:sz w:val="22"/>
      <w:lang w:eastAsia="en-US"/>
    </w:rPr>
  </w:style>
  <w:style w:type="character" w:customStyle="1" w:styleId="Overskrift9Tegn">
    <w:name w:val="Overskrift 9 Tegn"/>
    <w:basedOn w:val="Standardskrifttypeiafsnit"/>
    <w:link w:val="Overskrift9"/>
    <w:semiHidden/>
    <w:rsid w:val="00D83032"/>
    <w:rPr>
      <w:b/>
      <w:sz w:val="22"/>
      <w:lang w:eastAsia="en-US"/>
    </w:rPr>
  </w:style>
  <w:style w:type="character" w:styleId="Hyperlink">
    <w:name w:val="Hyperlink"/>
    <w:uiPriority w:val="99"/>
    <w:unhideWhenUsed/>
    <w:rsid w:val="00D83032"/>
    <w:rPr>
      <w:color w:val="0000FF"/>
      <w:u w:val="single"/>
    </w:rPr>
  </w:style>
  <w:style w:type="paragraph" w:customStyle="1" w:styleId="msonormal0">
    <w:name w:val="msonormal"/>
    <w:basedOn w:val="Normal"/>
    <w:rsid w:val="00D83032"/>
    <w:pPr>
      <w:spacing w:before="100" w:beforeAutospacing="1" w:after="100" w:afterAutospacing="1"/>
    </w:pPr>
    <w:rPr>
      <w:sz w:val="24"/>
      <w:szCs w:val="24"/>
      <w:lang w:eastAsia="da-DK"/>
    </w:rPr>
  </w:style>
  <w:style w:type="character" w:customStyle="1" w:styleId="BrdtekstTegn">
    <w:name w:val="Brødtekst Tegn"/>
    <w:basedOn w:val="Standardskrifttypeiafsnit"/>
    <w:link w:val="Brdtekst"/>
    <w:semiHidden/>
    <w:rsid w:val="00D83032"/>
    <w:rPr>
      <w:sz w:val="22"/>
      <w:lang w:eastAsia="en-US"/>
    </w:rPr>
  </w:style>
  <w:style w:type="paragraph" w:styleId="Brdtekst">
    <w:name w:val="Body Text"/>
    <w:basedOn w:val="Normal"/>
    <w:link w:val="BrdtekstTegn"/>
    <w:semiHidden/>
    <w:unhideWhenUsed/>
    <w:rsid w:val="00D83032"/>
    <w:pPr>
      <w:spacing w:after="120"/>
    </w:pPr>
    <w:rPr>
      <w:sz w:val="22"/>
    </w:rPr>
  </w:style>
  <w:style w:type="paragraph" w:styleId="Listeafsnit">
    <w:name w:val="List Paragraph"/>
    <w:basedOn w:val="Normal"/>
    <w:uiPriority w:val="1"/>
    <w:qFormat/>
    <w:rsid w:val="00D83032"/>
    <w:pPr>
      <w:ind w:left="720"/>
      <w:contextualSpacing/>
    </w:pPr>
    <w:rPr>
      <w:sz w:val="22"/>
    </w:rPr>
  </w:style>
  <w:style w:type="paragraph" w:customStyle="1" w:styleId="EMEAEnBodyText">
    <w:name w:val="EMEA En Body Text"/>
    <w:basedOn w:val="Normal"/>
    <w:rsid w:val="00D83032"/>
    <w:pPr>
      <w:spacing w:before="120" w:after="120"/>
      <w:jc w:val="both"/>
    </w:pPr>
    <w:rPr>
      <w:sz w:val="22"/>
      <w:lang w:val="en-US"/>
    </w:rPr>
  </w:style>
  <w:style w:type="paragraph" w:customStyle="1" w:styleId="TableParagraph">
    <w:name w:val="Table Paragraph"/>
    <w:basedOn w:val="Normal"/>
    <w:uiPriority w:val="1"/>
    <w:qFormat/>
    <w:rsid w:val="00D83032"/>
    <w:pPr>
      <w:widowControl w:val="0"/>
      <w:autoSpaceDE w:val="0"/>
      <w:autoSpaceDN w:val="0"/>
      <w:ind w:left="107"/>
    </w:pPr>
    <w:rPr>
      <w:sz w:val="22"/>
      <w:szCs w:val="22"/>
      <w:lang w:val="en-US"/>
    </w:rPr>
  </w:style>
  <w:style w:type="character" w:customStyle="1" w:styleId="Ulstomtale1">
    <w:name w:val="Uløst omtale1"/>
    <w:basedOn w:val="Standardskrifttypeiafsnit"/>
    <w:rsid w:val="00D83032"/>
    <w:rPr>
      <w:color w:val="605E5C"/>
      <w:shd w:val="clear" w:color="auto" w:fill="E1DFDD"/>
    </w:rPr>
  </w:style>
  <w:style w:type="paragraph" w:styleId="NormalWeb">
    <w:name w:val="Normal (Web)"/>
    <w:basedOn w:val="Normal"/>
    <w:uiPriority w:val="99"/>
    <w:unhideWhenUsed/>
    <w:rsid w:val="00EE3AD4"/>
    <w:pPr>
      <w:spacing w:after="240"/>
    </w:pPr>
    <w:rPr>
      <w:rFonts w:eastAsiaTheme="minorEastAsia"/>
      <w:color w:val="000000"/>
      <w:sz w:val="22"/>
      <w:szCs w:val="22"/>
      <w:lang w:val="en-US"/>
    </w:rPr>
  </w:style>
  <w:style w:type="table" w:styleId="Tabel-Gitter">
    <w:name w:val="Table Grid"/>
    <w:basedOn w:val="Tabel-Normal"/>
    <w:rsid w:val="00EE3AD4"/>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lstomtale">
    <w:name w:val="Unresolved Mention"/>
    <w:basedOn w:val="Standardskrifttypeiafsnit"/>
    <w:uiPriority w:val="99"/>
    <w:semiHidden/>
    <w:unhideWhenUsed/>
    <w:rsid w:val="007936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47135">
      <w:bodyDiv w:val="1"/>
      <w:marLeft w:val="0"/>
      <w:marRight w:val="0"/>
      <w:marTop w:val="0"/>
      <w:marBottom w:val="0"/>
      <w:divBdr>
        <w:top w:val="none" w:sz="0" w:space="0" w:color="auto"/>
        <w:left w:val="none" w:sz="0" w:space="0" w:color="auto"/>
        <w:bottom w:val="none" w:sz="0" w:space="0" w:color="auto"/>
        <w:right w:val="none" w:sz="0" w:space="0" w:color="auto"/>
      </w:divBdr>
    </w:div>
    <w:div w:id="27264524">
      <w:bodyDiv w:val="1"/>
      <w:marLeft w:val="0"/>
      <w:marRight w:val="0"/>
      <w:marTop w:val="0"/>
      <w:marBottom w:val="0"/>
      <w:divBdr>
        <w:top w:val="none" w:sz="0" w:space="0" w:color="auto"/>
        <w:left w:val="none" w:sz="0" w:space="0" w:color="auto"/>
        <w:bottom w:val="none" w:sz="0" w:space="0" w:color="auto"/>
        <w:right w:val="none" w:sz="0" w:space="0" w:color="auto"/>
      </w:divBdr>
    </w:div>
    <w:div w:id="65878475">
      <w:bodyDiv w:val="1"/>
      <w:marLeft w:val="0"/>
      <w:marRight w:val="0"/>
      <w:marTop w:val="0"/>
      <w:marBottom w:val="0"/>
      <w:divBdr>
        <w:top w:val="none" w:sz="0" w:space="0" w:color="auto"/>
        <w:left w:val="none" w:sz="0" w:space="0" w:color="auto"/>
        <w:bottom w:val="none" w:sz="0" w:space="0" w:color="auto"/>
        <w:right w:val="none" w:sz="0" w:space="0" w:color="auto"/>
      </w:divBdr>
    </w:div>
    <w:div w:id="71128754">
      <w:bodyDiv w:val="1"/>
      <w:marLeft w:val="0"/>
      <w:marRight w:val="0"/>
      <w:marTop w:val="0"/>
      <w:marBottom w:val="0"/>
      <w:divBdr>
        <w:top w:val="none" w:sz="0" w:space="0" w:color="auto"/>
        <w:left w:val="none" w:sz="0" w:space="0" w:color="auto"/>
        <w:bottom w:val="none" w:sz="0" w:space="0" w:color="auto"/>
        <w:right w:val="none" w:sz="0" w:space="0" w:color="auto"/>
      </w:divBdr>
    </w:div>
    <w:div w:id="95056098">
      <w:bodyDiv w:val="1"/>
      <w:marLeft w:val="0"/>
      <w:marRight w:val="0"/>
      <w:marTop w:val="0"/>
      <w:marBottom w:val="0"/>
      <w:divBdr>
        <w:top w:val="none" w:sz="0" w:space="0" w:color="auto"/>
        <w:left w:val="none" w:sz="0" w:space="0" w:color="auto"/>
        <w:bottom w:val="none" w:sz="0" w:space="0" w:color="auto"/>
        <w:right w:val="none" w:sz="0" w:space="0" w:color="auto"/>
      </w:divBdr>
    </w:div>
    <w:div w:id="110055975">
      <w:bodyDiv w:val="1"/>
      <w:marLeft w:val="0"/>
      <w:marRight w:val="0"/>
      <w:marTop w:val="0"/>
      <w:marBottom w:val="0"/>
      <w:divBdr>
        <w:top w:val="none" w:sz="0" w:space="0" w:color="auto"/>
        <w:left w:val="none" w:sz="0" w:space="0" w:color="auto"/>
        <w:bottom w:val="none" w:sz="0" w:space="0" w:color="auto"/>
        <w:right w:val="none" w:sz="0" w:space="0" w:color="auto"/>
      </w:divBdr>
    </w:div>
    <w:div w:id="126288936">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80958892">
      <w:bodyDiv w:val="1"/>
      <w:marLeft w:val="0"/>
      <w:marRight w:val="0"/>
      <w:marTop w:val="0"/>
      <w:marBottom w:val="0"/>
      <w:divBdr>
        <w:top w:val="none" w:sz="0" w:space="0" w:color="auto"/>
        <w:left w:val="none" w:sz="0" w:space="0" w:color="auto"/>
        <w:bottom w:val="none" w:sz="0" w:space="0" w:color="auto"/>
        <w:right w:val="none" w:sz="0" w:space="0" w:color="auto"/>
      </w:divBdr>
    </w:div>
    <w:div w:id="293607051">
      <w:bodyDiv w:val="1"/>
      <w:marLeft w:val="0"/>
      <w:marRight w:val="0"/>
      <w:marTop w:val="0"/>
      <w:marBottom w:val="0"/>
      <w:divBdr>
        <w:top w:val="none" w:sz="0" w:space="0" w:color="auto"/>
        <w:left w:val="none" w:sz="0" w:space="0" w:color="auto"/>
        <w:bottom w:val="none" w:sz="0" w:space="0" w:color="auto"/>
        <w:right w:val="none" w:sz="0" w:space="0" w:color="auto"/>
      </w:divBdr>
    </w:div>
    <w:div w:id="345209860">
      <w:bodyDiv w:val="1"/>
      <w:marLeft w:val="0"/>
      <w:marRight w:val="0"/>
      <w:marTop w:val="0"/>
      <w:marBottom w:val="0"/>
      <w:divBdr>
        <w:top w:val="none" w:sz="0" w:space="0" w:color="auto"/>
        <w:left w:val="none" w:sz="0" w:space="0" w:color="auto"/>
        <w:bottom w:val="none" w:sz="0" w:space="0" w:color="auto"/>
        <w:right w:val="none" w:sz="0" w:space="0" w:color="auto"/>
      </w:divBdr>
    </w:div>
    <w:div w:id="421490123">
      <w:bodyDiv w:val="1"/>
      <w:marLeft w:val="0"/>
      <w:marRight w:val="0"/>
      <w:marTop w:val="0"/>
      <w:marBottom w:val="0"/>
      <w:divBdr>
        <w:top w:val="none" w:sz="0" w:space="0" w:color="auto"/>
        <w:left w:val="none" w:sz="0" w:space="0" w:color="auto"/>
        <w:bottom w:val="none" w:sz="0" w:space="0" w:color="auto"/>
        <w:right w:val="none" w:sz="0" w:space="0" w:color="auto"/>
      </w:divBdr>
    </w:div>
    <w:div w:id="439843009">
      <w:bodyDiv w:val="1"/>
      <w:marLeft w:val="0"/>
      <w:marRight w:val="0"/>
      <w:marTop w:val="0"/>
      <w:marBottom w:val="0"/>
      <w:divBdr>
        <w:top w:val="none" w:sz="0" w:space="0" w:color="auto"/>
        <w:left w:val="none" w:sz="0" w:space="0" w:color="auto"/>
        <w:bottom w:val="none" w:sz="0" w:space="0" w:color="auto"/>
        <w:right w:val="none" w:sz="0" w:space="0" w:color="auto"/>
      </w:divBdr>
    </w:div>
    <w:div w:id="443771300">
      <w:bodyDiv w:val="1"/>
      <w:marLeft w:val="0"/>
      <w:marRight w:val="0"/>
      <w:marTop w:val="0"/>
      <w:marBottom w:val="0"/>
      <w:divBdr>
        <w:top w:val="none" w:sz="0" w:space="0" w:color="auto"/>
        <w:left w:val="none" w:sz="0" w:space="0" w:color="auto"/>
        <w:bottom w:val="none" w:sz="0" w:space="0" w:color="auto"/>
        <w:right w:val="none" w:sz="0" w:space="0" w:color="auto"/>
      </w:divBdr>
    </w:div>
    <w:div w:id="459811789">
      <w:bodyDiv w:val="1"/>
      <w:marLeft w:val="0"/>
      <w:marRight w:val="0"/>
      <w:marTop w:val="0"/>
      <w:marBottom w:val="0"/>
      <w:divBdr>
        <w:top w:val="none" w:sz="0" w:space="0" w:color="auto"/>
        <w:left w:val="none" w:sz="0" w:space="0" w:color="auto"/>
        <w:bottom w:val="none" w:sz="0" w:space="0" w:color="auto"/>
        <w:right w:val="none" w:sz="0" w:space="0" w:color="auto"/>
      </w:divBdr>
    </w:div>
    <w:div w:id="475150380">
      <w:bodyDiv w:val="1"/>
      <w:marLeft w:val="0"/>
      <w:marRight w:val="0"/>
      <w:marTop w:val="0"/>
      <w:marBottom w:val="0"/>
      <w:divBdr>
        <w:top w:val="none" w:sz="0" w:space="0" w:color="auto"/>
        <w:left w:val="none" w:sz="0" w:space="0" w:color="auto"/>
        <w:bottom w:val="none" w:sz="0" w:space="0" w:color="auto"/>
        <w:right w:val="none" w:sz="0" w:space="0" w:color="auto"/>
      </w:divBdr>
    </w:div>
    <w:div w:id="569468178">
      <w:bodyDiv w:val="1"/>
      <w:marLeft w:val="0"/>
      <w:marRight w:val="0"/>
      <w:marTop w:val="0"/>
      <w:marBottom w:val="0"/>
      <w:divBdr>
        <w:top w:val="none" w:sz="0" w:space="0" w:color="auto"/>
        <w:left w:val="none" w:sz="0" w:space="0" w:color="auto"/>
        <w:bottom w:val="none" w:sz="0" w:space="0" w:color="auto"/>
        <w:right w:val="none" w:sz="0" w:space="0" w:color="auto"/>
      </w:divBdr>
    </w:div>
    <w:div w:id="572934283">
      <w:bodyDiv w:val="1"/>
      <w:marLeft w:val="0"/>
      <w:marRight w:val="0"/>
      <w:marTop w:val="0"/>
      <w:marBottom w:val="0"/>
      <w:divBdr>
        <w:top w:val="none" w:sz="0" w:space="0" w:color="auto"/>
        <w:left w:val="none" w:sz="0" w:space="0" w:color="auto"/>
        <w:bottom w:val="none" w:sz="0" w:space="0" w:color="auto"/>
        <w:right w:val="none" w:sz="0" w:space="0" w:color="auto"/>
      </w:divBdr>
    </w:div>
    <w:div w:id="627277653">
      <w:bodyDiv w:val="1"/>
      <w:marLeft w:val="0"/>
      <w:marRight w:val="0"/>
      <w:marTop w:val="0"/>
      <w:marBottom w:val="0"/>
      <w:divBdr>
        <w:top w:val="none" w:sz="0" w:space="0" w:color="auto"/>
        <w:left w:val="none" w:sz="0" w:space="0" w:color="auto"/>
        <w:bottom w:val="none" w:sz="0" w:space="0" w:color="auto"/>
        <w:right w:val="none" w:sz="0" w:space="0" w:color="auto"/>
      </w:divBdr>
    </w:div>
    <w:div w:id="674265235">
      <w:bodyDiv w:val="1"/>
      <w:marLeft w:val="0"/>
      <w:marRight w:val="0"/>
      <w:marTop w:val="0"/>
      <w:marBottom w:val="0"/>
      <w:divBdr>
        <w:top w:val="none" w:sz="0" w:space="0" w:color="auto"/>
        <w:left w:val="none" w:sz="0" w:space="0" w:color="auto"/>
        <w:bottom w:val="none" w:sz="0" w:space="0" w:color="auto"/>
        <w:right w:val="none" w:sz="0" w:space="0" w:color="auto"/>
      </w:divBdr>
    </w:div>
    <w:div w:id="676157951">
      <w:bodyDiv w:val="1"/>
      <w:marLeft w:val="0"/>
      <w:marRight w:val="0"/>
      <w:marTop w:val="0"/>
      <w:marBottom w:val="0"/>
      <w:divBdr>
        <w:top w:val="none" w:sz="0" w:space="0" w:color="auto"/>
        <w:left w:val="none" w:sz="0" w:space="0" w:color="auto"/>
        <w:bottom w:val="none" w:sz="0" w:space="0" w:color="auto"/>
        <w:right w:val="none" w:sz="0" w:space="0" w:color="auto"/>
      </w:divBdr>
    </w:div>
    <w:div w:id="732897399">
      <w:bodyDiv w:val="1"/>
      <w:marLeft w:val="0"/>
      <w:marRight w:val="0"/>
      <w:marTop w:val="0"/>
      <w:marBottom w:val="0"/>
      <w:divBdr>
        <w:top w:val="none" w:sz="0" w:space="0" w:color="auto"/>
        <w:left w:val="none" w:sz="0" w:space="0" w:color="auto"/>
        <w:bottom w:val="none" w:sz="0" w:space="0" w:color="auto"/>
        <w:right w:val="none" w:sz="0" w:space="0" w:color="auto"/>
      </w:divBdr>
    </w:div>
    <w:div w:id="760879564">
      <w:bodyDiv w:val="1"/>
      <w:marLeft w:val="0"/>
      <w:marRight w:val="0"/>
      <w:marTop w:val="0"/>
      <w:marBottom w:val="0"/>
      <w:divBdr>
        <w:top w:val="none" w:sz="0" w:space="0" w:color="auto"/>
        <w:left w:val="none" w:sz="0" w:space="0" w:color="auto"/>
        <w:bottom w:val="none" w:sz="0" w:space="0" w:color="auto"/>
        <w:right w:val="none" w:sz="0" w:space="0" w:color="auto"/>
      </w:divBdr>
    </w:div>
    <w:div w:id="763843124">
      <w:bodyDiv w:val="1"/>
      <w:marLeft w:val="0"/>
      <w:marRight w:val="0"/>
      <w:marTop w:val="0"/>
      <w:marBottom w:val="0"/>
      <w:divBdr>
        <w:top w:val="none" w:sz="0" w:space="0" w:color="auto"/>
        <w:left w:val="none" w:sz="0" w:space="0" w:color="auto"/>
        <w:bottom w:val="none" w:sz="0" w:space="0" w:color="auto"/>
        <w:right w:val="none" w:sz="0" w:space="0" w:color="auto"/>
      </w:divBdr>
    </w:div>
    <w:div w:id="781459455">
      <w:bodyDiv w:val="1"/>
      <w:marLeft w:val="0"/>
      <w:marRight w:val="0"/>
      <w:marTop w:val="0"/>
      <w:marBottom w:val="0"/>
      <w:divBdr>
        <w:top w:val="none" w:sz="0" w:space="0" w:color="auto"/>
        <w:left w:val="none" w:sz="0" w:space="0" w:color="auto"/>
        <w:bottom w:val="none" w:sz="0" w:space="0" w:color="auto"/>
        <w:right w:val="none" w:sz="0" w:space="0" w:color="auto"/>
      </w:divBdr>
    </w:div>
    <w:div w:id="788014646">
      <w:bodyDiv w:val="1"/>
      <w:marLeft w:val="0"/>
      <w:marRight w:val="0"/>
      <w:marTop w:val="0"/>
      <w:marBottom w:val="0"/>
      <w:divBdr>
        <w:top w:val="none" w:sz="0" w:space="0" w:color="auto"/>
        <w:left w:val="none" w:sz="0" w:space="0" w:color="auto"/>
        <w:bottom w:val="none" w:sz="0" w:space="0" w:color="auto"/>
        <w:right w:val="none" w:sz="0" w:space="0" w:color="auto"/>
      </w:divBdr>
    </w:div>
    <w:div w:id="856193361">
      <w:bodyDiv w:val="1"/>
      <w:marLeft w:val="0"/>
      <w:marRight w:val="0"/>
      <w:marTop w:val="0"/>
      <w:marBottom w:val="0"/>
      <w:divBdr>
        <w:top w:val="none" w:sz="0" w:space="0" w:color="auto"/>
        <w:left w:val="none" w:sz="0" w:space="0" w:color="auto"/>
        <w:bottom w:val="none" w:sz="0" w:space="0" w:color="auto"/>
        <w:right w:val="none" w:sz="0" w:space="0" w:color="auto"/>
      </w:divBdr>
    </w:div>
    <w:div w:id="869607938">
      <w:bodyDiv w:val="1"/>
      <w:marLeft w:val="0"/>
      <w:marRight w:val="0"/>
      <w:marTop w:val="0"/>
      <w:marBottom w:val="0"/>
      <w:divBdr>
        <w:top w:val="none" w:sz="0" w:space="0" w:color="auto"/>
        <w:left w:val="none" w:sz="0" w:space="0" w:color="auto"/>
        <w:bottom w:val="none" w:sz="0" w:space="0" w:color="auto"/>
        <w:right w:val="none" w:sz="0" w:space="0" w:color="auto"/>
      </w:divBdr>
    </w:div>
    <w:div w:id="876624567">
      <w:bodyDiv w:val="1"/>
      <w:marLeft w:val="0"/>
      <w:marRight w:val="0"/>
      <w:marTop w:val="0"/>
      <w:marBottom w:val="0"/>
      <w:divBdr>
        <w:top w:val="none" w:sz="0" w:space="0" w:color="auto"/>
        <w:left w:val="none" w:sz="0" w:space="0" w:color="auto"/>
        <w:bottom w:val="none" w:sz="0" w:space="0" w:color="auto"/>
        <w:right w:val="none" w:sz="0" w:space="0" w:color="auto"/>
      </w:divBdr>
    </w:div>
    <w:div w:id="894004264">
      <w:bodyDiv w:val="1"/>
      <w:marLeft w:val="0"/>
      <w:marRight w:val="0"/>
      <w:marTop w:val="0"/>
      <w:marBottom w:val="0"/>
      <w:divBdr>
        <w:top w:val="none" w:sz="0" w:space="0" w:color="auto"/>
        <w:left w:val="none" w:sz="0" w:space="0" w:color="auto"/>
        <w:bottom w:val="none" w:sz="0" w:space="0" w:color="auto"/>
        <w:right w:val="none" w:sz="0" w:space="0" w:color="auto"/>
      </w:divBdr>
    </w:div>
    <w:div w:id="938296636">
      <w:bodyDiv w:val="1"/>
      <w:marLeft w:val="0"/>
      <w:marRight w:val="0"/>
      <w:marTop w:val="0"/>
      <w:marBottom w:val="0"/>
      <w:divBdr>
        <w:top w:val="none" w:sz="0" w:space="0" w:color="auto"/>
        <w:left w:val="none" w:sz="0" w:space="0" w:color="auto"/>
        <w:bottom w:val="none" w:sz="0" w:space="0" w:color="auto"/>
        <w:right w:val="none" w:sz="0" w:space="0" w:color="auto"/>
      </w:divBdr>
    </w:div>
    <w:div w:id="948044311">
      <w:bodyDiv w:val="1"/>
      <w:marLeft w:val="0"/>
      <w:marRight w:val="0"/>
      <w:marTop w:val="0"/>
      <w:marBottom w:val="0"/>
      <w:divBdr>
        <w:top w:val="none" w:sz="0" w:space="0" w:color="auto"/>
        <w:left w:val="none" w:sz="0" w:space="0" w:color="auto"/>
        <w:bottom w:val="none" w:sz="0" w:space="0" w:color="auto"/>
        <w:right w:val="none" w:sz="0" w:space="0" w:color="auto"/>
      </w:divBdr>
    </w:div>
    <w:div w:id="1010790993">
      <w:bodyDiv w:val="1"/>
      <w:marLeft w:val="0"/>
      <w:marRight w:val="0"/>
      <w:marTop w:val="0"/>
      <w:marBottom w:val="0"/>
      <w:divBdr>
        <w:top w:val="none" w:sz="0" w:space="0" w:color="auto"/>
        <w:left w:val="none" w:sz="0" w:space="0" w:color="auto"/>
        <w:bottom w:val="none" w:sz="0" w:space="0" w:color="auto"/>
        <w:right w:val="none" w:sz="0" w:space="0" w:color="auto"/>
      </w:divBdr>
    </w:div>
    <w:div w:id="1019234393">
      <w:bodyDiv w:val="1"/>
      <w:marLeft w:val="0"/>
      <w:marRight w:val="0"/>
      <w:marTop w:val="0"/>
      <w:marBottom w:val="0"/>
      <w:divBdr>
        <w:top w:val="none" w:sz="0" w:space="0" w:color="auto"/>
        <w:left w:val="none" w:sz="0" w:space="0" w:color="auto"/>
        <w:bottom w:val="none" w:sz="0" w:space="0" w:color="auto"/>
        <w:right w:val="none" w:sz="0" w:space="0" w:color="auto"/>
      </w:divBdr>
    </w:div>
    <w:div w:id="1022363967">
      <w:bodyDiv w:val="1"/>
      <w:marLeft w:val="0"/>
      <w:marRight w:val="0"/>
      <w:marTop w:val="0"/>
      <w:marBottom w:val="0"/>
      <w:divBdr>
        <w:top w:val="none" w:sz="0" w:space="0" w:color="auto"/>
        <w:left w:val="none" w:sz="0" w:space="0" w:color="auto"/>
        <w:bottom w:val="none" w:sz="0" w:space="0" w:color="auto"/>
        <w:right w:val="none" w:sz="0" w:space="0" w:color="auto"/>
      </w:divBdr>
    </w:div>
    <w:div w:id="1077899499">
      <w:bodyDiv w:val="1"/>
      <w:marLeft w:val="0"/>
      <w:marRight w:val="0"/>
      <w:marTop w:val="0"/>
      <w:marBottom w:val="0"/>
      <w:divBdr>
        <w:top w:val="none" w:sz="0" w:space="0" w:color="auto"/>
        <w:left w:val="none" w:sz="0" w:space="0" w:color="auto"/>
        <w:bottom w:val="none" w:sz="0" w:space="0" w:color="auto"/>
        <w:right w:val="none" w:sz="0" w:space="0" w:color="auto"/>
      </w:divBdr>
    </w:div>
    <w:div w:id="1110471683">
      <w:bodyDiv w:val="1"/>
      <w:marLeft w:val="0"/>
      <w:marRight w:val="0"/>
      <w:marTop w:val="0"/>
      <w:marBottom w:val="0"/>
      <w:divBdr>
        <w:top w:val="none" w:sz="0" w:space="0" w:color="auto"/>
        <w:left w:val="none" w:sz="0" w:space="0" w:color="auto"/>
        <w:bottom w:val="none" w:sz="0" w:space="0" w:color="auto"/>
        <w:right w:val="none" w:sz="0" w:space="0" w:color="auto"/>
      </w:divBdr>
    </w:div>
    <w:div w:id="1145585949">
      <w:bodyDiv w:val="1"/>
      <w:marLeft w:val="0"/>
      <w:marRight w:val="0"/>
      <w:marTop w:val="0"/>
      <w:marBottom w:val="0"/>
      <w:divBdr>
        <w:top w:val="none" w:sz="0" w:space="0" w:color="auto"/>
        <w:left w:val="none" w:sz="0" w:space="0" w:color="auto"/>
        <w:bottom w:val="none" w:sz="0" w:space="0" w:color="auto"/>
        <w:right w:val="none" w:sz="0" w:space="0" w:color="auto"/>
      </w:divBdr>
    </w:div>
    <w:div w:id="1171722294">
      <w:bodyDiv w:val="1"/>
      <w:marLeft w:val="0"/>
      <w:marRight w:val="0"/>
      <w:marTop w:val="0"/>
      <w:marBottom w:val="0"/>
      <w:divBdr>
        <w:top w:val="none" w:sz="0" w:space="0" w:color="auto"/>
        <w:left w:val="none" w:sz="0" w:space="0" w:color="auto"/>
        <w:bottom w:val="none" w:sz="0" w:space="0" w:color="auto"/>
        <w:right w:val="none" w:sz="0" w:space="0" w:color="auto"/>
      </w:divBdr>
    </w:div>
    <w:div w:id="1214803635">
      <w:bodyDiv w:val="1"/>
      <w:marLeft w:val="0"/>
      <w:marRight w:val="0"/>
      <w:marTop w:val="0"/>
      <w:marBottom w:val="0"/>
      <w:divBdr>
        <w:top w:val="none" w:sz="0" w:space="0" w:color="auto"/>
        <w:left w:val="none" w:sz="0" w:space="0" w:color="auto"/>
        <w:bottom w:val="none" w:sz="0" w:space="0" w:color="auto"/>
        <w:right w:val="none" w:sz="0" w:space="0" w:color="auto"/>
      </w:divBdr>
    </w:div>
    <w:div w:id="1238125119">
      <w:bodyDiv w:val="1"/>
      <w:marLeft w:val="0"/>
      <w:marRight w:val="0"/>
      <w:marTop w:val="0"/>
      <w:marBottom w:val="0"/>
      <w:divBdr>
        <w:top w:val="none" w:sz="0" w:space="0" w:color="auto"/>
        <w:left w:val="none" w:sz="0" w:space="0" w:color="auto"/>
        <w:bottom w:val="none" w:sz="0" w:space="0" w:color="auto"/>
        <w:right w:val="none" w:sz="0" w:space="0" w:color="auto"/>
      </w:divBdr>
    </w:div>
    <w:div w:id="1268583512">
      <w:bodyDiv w:val="1"/>
      <w:marLeft w:val="0"/>
      <w:marRight w:val="0"/>
      <w:marTop w:val="0"/>
      <w:marBottom w:val="0"/>
      <w:divBdr>
        <w:top w:val="none" w:sz="0" w:space="0" w:color="auto"/>
        <w:left w:val="none" w:sz="0" w:space="0" w:color="auto"/>
        <w:bottom w:val="none" w:sz="0" w:space="0" w:color="auto"/>
        <w:right w:val="none" w:sz="0" w:space="0" w:color="auto"/>
      </w:divBdr>
    </w:div>
    <w:div w:id="1284117536">
      <w:bodyDiv w:val="1"/>
      <w:marLeft w:val="0"/>
      <w:marRight w:val="0"/>
      <w:marTop w:val="0"/>
      <w:marBottom w:val="0"/>
      <w:divBdr>
        <w:top w:val="none" w:sz="0" w:space="0" w:color="auto"/>
        <w:left w:val="none" w:sz="0" w:space="0" w:color="auto"/>
        <w:bottom w:val="none" w:sz="0" w:space="0" w:color="auto"/>
        <w:right w:val="none" w:sz="0" w:space="0" w:color="auto"/>
      </w:divBdr>
    </w:div>
    <w:div w:id="1292975740">
      <w:bodyDiv w:val="1"/>
      <w:marLeft w:val="0"/>
      <w:marRight w:val="0"/>
      <w:marTop w:val="0"/>
      <w:marBottom w:val="0"/>
      <w:divBdr>
        <w:top w:val="none" w:sz="0" w:space="0" w:color="auto"/>
        <w:left w:val="none" w:sz="0" w:space="0" w:color="auto"/>
        <w:bottom w:val="none" w:sz="0" w:space="0" w:color="auto"/>
        <w:right w:val="none" w:sz="0" w:space="0" w:color="auto"/>
      </w:divBdr>
    </w:div>
    <w:div w:id="1308632831">
      <w:bodyDiv w:val="1"/>
      <w:marLeft w:val="0"/>
      <w:marRight w:val="0"/>
      <w:marTop w:val="0"/>
      <w:marBottom w:val="0"/>
      <w:divBdr>
        <w:top w:val="none" w:sz="0" w:space="0" w:color="auto"/>
        <w:left w:val="none" w:sz="0" w:space="0" w:color="auto"/>
        <w:bottom w:val="none" w:sz="0" w:space="0" w:color="auto"/>
        <w:right w:val="none" w:sz="0" w:space="0" w:color="auto"/>
      </w:divBdr>
    </w:div>
    <w:div w:id="1353844684">
      <w:bodyDiv w:val="1"/>
      <w:marLeft w:val="0"/>
      <w:marRight w:val="0"/>
      <w:marTop w:val="0"/>
      <w:marBottom w:val="0"/>
      <w:divBdr>
        <w:top w:val="none" w:sz="0" w:space="0" w:color="auto"/>
        <w:left w:val="none" w:sz="0" w:space="0" w:color="auto"/>
        <w:bottom w:val="none" w:sz="0" w:space="0" w:color="auto"/>
        <w:right w:val="none" w:sz="0" w:space="0" w:color="auto"/>
      </w:divBdr>
    </w:div>
    <w:div w:id="1486627816">
      <w:bodyDiv w:val="1"/>
      <w:marLeft w:val="0"/>
      <w:marRight w:val="0"/>
      <w:marTop w:val="0"/>
      <w:marBottom w:val="0"/>
      <w:divBdr>
        <w:top w:val="none" w:sz="0" w:space="0" w:color="auto"/>
        <w:left w:val="none" w:sz="0" w:space="0" w:color="auto"/>
        <w:bottom w:val="none" w:sz="0" w:space="0" w:color="auto"/>
        <w:right w:val="none" w:sz="0" w:space="0" w:color="auto"/>
      </w:divBdr>
    </w:div>
    <w:div w:id="1578512827">
      <w:bodyDiv w:val="1"/>
      <w:marLeft w:val="0"/>
      <w:marRight w:val="0"/>
      <w:marTop w:val="0"/>
      <w:marBottom w:val="0"/>
      <w:divBdr>
        <w:top w:val="none" w:sz="0" w:space="0" w:color="auto"/>
        <w:left w:val="none" w:sz="0" w:space="0" w:color="auto"/>
        <w:bottom w:val="none" w:sz="0" w:space="0" w:color="auto"/>
        <w:right w:val="none" w:sz="0" w:space="0" w:color="auto"/>
      </w:divBdr>
    </w:div>
    <w:div w:id="1583951218">
      <w:bodyDiv w:val="1"/>
      <w:marLeft w:val="0"/>
      <w:marRight w:val="0"/>
      <w:marTop w:val="0"/>
      <w:marBottom w:val="0"/>
      <w:divBdr>
        <w:top w:val="none" w:sz="0" w:space="0" w:color="auto"/>
        <w:left w:val="none" w:sz="0" w:space="0" w:color="auto"/>
        <w:bottom w:val="none" w:sz="0" w:space="0" w:color="auto"/>
        <w:right w:val="none" w:sz="0" w:space="0" w:color="auto"/>
      </w:divBdr>
    </w:div>
    <w:div w:id="1628051788">
      <w:bodyDiv w:val="1"/>
      <w:marLeft w:val="0"/>
      <w:marRight w:val="0"/>
      <w:marTop w:val="0"/>
      <w:marBottom w:val="0"/>
      <w:divBdr>
        <w:top w:val="none" w:sz="0" w:space="0" w:color="auto"/>
        <w:left w:val="none" w:sz="0" w:space="0" w:color="auto"/>
        <w:bottom w:val="none" w:sz="0" w:space="0" w:color="auto"/>
        <w:right w:val="none" w:sz="0" w:space="0" w:color="auto"/>
      </w:divBdr>
    </w:div>
    <w:div w:id="1638102179">
      <w:bodyDiv w:val="1"/>
      <w:marLeft w:val="0"/>
      <w:marRight w:val="0"/>
      <w:marTop w:val="0"/>
      <w:marBottom w:val="0"/>
      <w:divBdr>
        <w:top w:val="none" w:sz="0" w:space="0" w:color="auto"/>
        <w:left w:val="none" w:sz="0" w:space="0" w:color="auto"/>
        <w:bottom w:val="none" w:sz="0" w:space="0" w:color="auto"/>
        <w:right w:val="none" w:sz="0" w:space="0" w:color="auto"/>
      </w:divBdr>
    </w:div>
    <w:div w:id="1641301898">
      <w:bodyDiv w:val="1"/>
      <w:marLeft w:val="0"/>
      <w:marRight w:val="0"/>
      <w:marTop w:val="0"/>
      <w:marBottom w:val="0"/>
      <w:divBdr>
        <w:top w:val="none" w:sz="0" w:space="0" w:color="auto"/>
        <w:left w:val="none" w:sz="0" w:space="0" w:color="auto"/>
        <w:bottom w:val="none" w:sz="0" w:space="0" w:color="auto"/>
        <w:right w:val="none" w:sz="0" w:space="0" w:color="auto"/>
      </w:divBdr>
    </w:div>
    <w:div w:id="1718775944">
      <w:bodyDiv w:val="1"/>
      <w:marLeft w:val="0"/>
      <w:marRight w:val="0"/>
      <w:marTop w:val="0"/>
      <w:marBottom w:val="0"/>
      <w:divBdr>
        <w:top w:val="none" w:sz="0" w:space="0" w:color="auto"/>
        <w:left w:val="none" w:sz="0" w:space="0" w:color="auto"/>
        <w:bottom w:val="none" w:sz="0" w:space="0" w:color="auto"/>
        <w:right w:val="none" w:sz="0" w:space="0" w:color="auto"/>
      </w:divBdr>
    </w:div>
    <w:div w:id="1754811719">
      <w:bodyDiv w:val="1"/>
      <w:marLeft w:val="0"/>
      <w:marRight w:val="0"/>
      <w:marTop w:val="0"/>
      <w:marBottom w:val="0"/>
      <w:divBdr>
        <w:top w:val="none" w:sz="0" w:space="0" w:color="auto"/>
        <w:left w:val="none" w:sz="0" w:space="0" w:color="auto"/>
        <w:bottom w:val="none" w:sz="0" w:space="0" w:color="auto"/>
        <w:right w:val="none" w:sz="0" w:space="0" w:color="auto"/>
      </w:divBdr>
    </w:div>
    <w:div w:id="1770809703">
      <w:bodyDiv w:val="1"/>
      <w:marLeft w:val="0"/>
      <w:marRight w:val="0"/>
      <w:marTop w:val="0"/>
      <w:marBottom w:val="0"/>
      <w:divBdr>
        <w:top w:val="none" w:sz="0" w:space="0" w:color="auto"/>
        <w:left w:val="none" w:sz="0" w:space="0" w:color="auto"/>
        <w:bottom w:val="none" w:sz="0" w:space="0" w:color="auto"/>
        <w:right w:val="none" w:sz="0" w:space="0" w:color="auto"/>
      </w:divBdr>
    </w:div>
    <w:div w:id="1807157823">
      <w:bodyDiv w:val="1"/>
      <w:marLeft w:val="0"/>
      <w:marRight w:val="0"/>
      <w:marTop w:val="0"/>
      <w:marBottom w:val="0"/>
      <w:divBdr>
        <w:top w:val="none" w:sz="0" w:space="0" w:color="auto"/>
        <w:left w:val="none" w:sz="0" w:space="0" w:color="auto"/>
        <w:bottom w:val="none" w:sz="0" w:space="0" w:color="auto"/>
        <w:right w:val="none" w:sz="0" w:space="0" w:color="auto"/>
      </w:divBdr>
    </w:div>
    <w:div w:id="1808232777">
      <w:bodyDiv w:val="1"/>
      <w:marLeft w:val="0"/>
      <w:marRight w:val="0"/>
      <w:marTop w:val="0"/>
      <w:marBottom w:val="0"/>
      <w:divBdr>
        <w:top w:val="none" w:sz="0" w:space="0" w:color="auto"/>
        <w:left w:val="none" w:sz="0" w:space="0" w:color="auto"/>
        <w:bottom w:val="none" w:sz="0" w:space="0" w:color="auto"/>
        <w:right w:val="none" w:sz="0" w:space="0" w:color="auto"/>
      </w:divBdr>
    </w:div>
    <w:div w:id="1813058172">
      <w:bodyDiv w:val="1"/>
      <w:marLeft w:val="0"/>
      <w:marRight w:val="0"/>
      <w:marTop w:val="0"/>
      <w:marBottom w:val="0"/>
      <w:divBdr>
        <w:top w:val="none" w:sz="0" w:space="0" w:color="auto"/>
        <w:left w:val="none" w:sz="0" w:space="0" w:color="auto"/>
        <w:bottom w:val="none" w:sz="0" w:space="0" w:color="auto"/>
        <w:right w:val="none" w:sz="0" w:space="0" w:color="auto"/>
      </w:divBdr>
    </w:div>
    <w:div w:id="1824929731">
      <w:bodyDiv w:val="1"/>
      <w:marLeft w:val="0"/>
      <w:marRight w:val="0"/>
      <w:marTop w:val="0"/>
      <w:marBottom w:val="0"/>
      <w:divBdr>
        <w:top w:val="none" w:sz="0" w:space="0" w:color="auto"/>
        <w:left w:val="none" w:sz="0" w:space="0" w:color="auto"/>
        <w:bottom w:val="none" w:sz="0" w:space="0" w:color="auto"/>
        <w:right w:val="none" w:sz="0" w:space="0" w:color="auto"/>
      </w:divBdr>
    </w:div>
    <w:div w:id="1839880290">
      <w:bodyDiv w:val="1"/>
      <w:marLeft w:val="0"/>
      <w:marRight w:val="0"/>
      <w:marTop w:val="0"/>
      <w:marBottom w:val="0"/>
      <w:divBdr>
        <w:top w:val="none" w:sz="0" w:space="0" w:color="auto"/>
        <w:left w:val="none" w:sz="0" w:space="0" w:color="auto"/>
        <w:bottom w:val="none" w:sz="0" w:space="0" w:color="auto"/>
        <w:right w:val="none" w:sz="0" w:space="0" w:color="auto"/>
      </w:divBdr>
    </w:div>
    <w:div w:id="1854341356">
      <w:bodyDiv w:val="1"/>
      <w:marLeft w:val="0"/>
      <w:marRight w:val="0"/>
      <w:marTop w:val="0"/>
      <w:marBottom w:val="0"/>
      <w:divBdr>
        <w:top w:val="none" w:sz="0" w:space="0" w:color="auto"/>
        <w:left w:val="none" w:sz="0" w:space="0" w:color="auto"/>
        <w:bottom w:val="none" w:sz="0" w:space="0" w:color="auto"/>
        <w:right w:val="none" w:sz="0" w:space="0" w:color="auto"/>
      </w:divBdr>
    </w:div>
    <w:div w:id="1989942435">
      <w:bodyDiv w:val="1"/>
      <w:marLeft w:val="0"/>
      <w:marRight w:val="0"/>
      <w:marTop w:val="0"/>
      <w:marBottom w:val="0"/>
      <w:divBdr>
        <w:top w:val="none" w:sz="0" w:space="0" w:color="auto"/>
        <w:left w:val="none" w:sz="0" w:space="0" w:color="auto"/>
        <w:bottom w:val="none" w:sz="0" w:space="0" w:color="auto"/>
        <w:right w:val="none" w:sz="0" w:space="0" w:color="auto"/>
      </w:divBdr>
    </w:div>
    <w:div w:id="2002003663">
      <w:bodyDiv w:val="1"/>
      <w:marLeft w:val="0"/>
      <w:marRight w:val="0"/>
      <w:marTop w:val="0"/>
      <w:marBottom w:val="0"/>
      <w:divBdr>
        <w:top w:val="none" w:sz="0" w:space="0" w:color="auto"/>
        <w:left w:val="none" w:sz="0" w:space="0" w:color="auto"/>
        <w:bottom w:val="none" w:sz="0" w:space="0" w:color="auto"/>
        <w:right w:val="none" w:sz="0" w:space="0" w:color="auto"/>
      </w:divBdr>
    </w:div>
    <w:div w:id="2015448946">
      <w:bodyDiv w:val="1"/>
      <w:marLeft w:val="0"/>
      <w:marRight w:val="0"/>
      <w:marTop w:val="0"/>
      <w:marBottom w:val="0"/>
      <w:divBdr>
        <w:top w:val="none" w:sz="0" w:space="0" w:color="auto"/>
        <w:left w:val="none" w:sz="0" w:space="0" w:color="auto"/>
        <w:bottom w:val="none" w:sz="0" w:space="0" w:color="auto"/>
        <w:right w:val="none" w:sz="0" w:space="0" w:color="auto"/>
      </w:divBdr>
    </w:div>
    <w:div w:id="2069062375">
      <w:bodyDiv w:val="1"/>
      <w:marLeft w:val="0"/>
      <w:marRight w:val="0"/>
      <w:marTop w:val="0"/>
      <w:marBottom w:val="0"/>
      <w:divBdr>
        <w:top w:val="none" w:sz="0" w:space="0" w:color="auto"/>
        <w:left w:val="none" w:sz="0" w:space="0" w:color="auto"/>
        <w:bottom w:val="none" w:sz="0" w:space="0" w:color="auto"/>
        <w:right w:val="none" w:sz="0" w:space="0" w:color="auto"/>
      </w:divBdr>
    </w:div>
    <w:div w:id="2106724205">
      <w:bodyDiv w:val="1"/>
      <w:marLeft w:val="0"/>
      <w:marRight w:val="0"/>
      <w:marTop w:val="0"/>
      <w:marBottom w:val="0"/>
      <w:divBdr>
        <w:top w:val="none" w:sz="0" w:space="0" w:color="auto"/>
        <w:left w:val="none" w:sz="0" w:space="0" w:color="auto"/>
        <w:bottom w:val="none" w:sz="0" w:space="0" w:color="auto"/>
        <w:right w:val="none" w:sz="0" w:space="0" w:color="auto"/>
      </w:divBdr>
    </w:div>
    <w:div w:id="2116167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69</Pages>
  <Words>25384</Words>
  <Characters>154846</Characters>
  <Application>Microsoft Office Word</Application>
  <DocSecurity>0</DocSecurity>
  <Lines>1290</Lines>
  <Paragraphs>359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179871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Line Aabo Würtz</dc:creator>
  <cp:keywords/>
  <dc:description>2024044041 - pkt. 4.4, 4.8, </dc:description>
  <cp:lastModifiedBy>Line Aaboe Würtz</cp:lastModifiedBy>
  <cp:revision>4</cp:revision>
  <cp:lastPrinted>2012-08-22T08:53:00Z</cp:lastPrinted>
  <dcterms:created xsi:type="dcterms:W3CDTF">2024-12-20T04:21:00Z</dcterms:created>
  <dcterms:modified xsi:type="dcterms:W3CDTF">2025-01-06T02:08:00Z</dcterms:modified>
</cp:coreProperties>
</file>