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9A117" w14:textId="3DE6C14E" w:rsidR="009260DE" w:rsidRPr="000C059E" w:rsidRDefault="0021526C" w:rsidP="000C059E">
      <w:pPr>
        <w:rPr>
          <w:b/>
          <w:sz w:val="24"/>
          <w:szCs w:val="24"/>
        </w:rPr>
      </w:pPr>
      <w:bookmarkStart w:id="0" w:name="_GoBack"/>
      <w:bookmarkEnd w:id="0"/>
      <w:r w:rsidRPr="000C059E">
        <w:rPr>
          <w:noProof/>
          <w:sz w:val="24"/>
          <w:szCs w:val="24"/>
          <w:lang w:eastAsia="da-DK"/>
        </w:rPr>
        <w:drawing>
          <wp:anchor distT="0" distB="0" distL="114300" distR="114300" simplePos="0" relativeHeight="251658240" behindDoc="0" locked="0" layoutInCell="1" allowOverlap="1" wp14:anchorId="6A1B88AF" wp14:editId="3D57851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C059E">
        <w:rPr>
          <w:sz w:val="24"/>
          <w:szCs w:val="24"/>
        </w:rPr>
        <w:br w:type="textWrapping" w:clear="all"/>
      </w:r>
    </w:p>
    <w:p w14:paraId="65C5A886" w14:textId="543CB532" w:rsidR="009260DE" w:rsidRPr="000C059E" w:rsidRDefault="009260DE" w:rsidP="009260DE">
      <w:pPr>
        <w:pStyle w:val="Titel"/>
        <w:tabs>
          <w:tab w:val="right" w:pos="9356"/>
        </w:tabs>
        <w:jc w:val="left"/>
        <w:rPr>
          <w:b w:val="0"/>
          <w:szCs w:val="24"/>
          <w:lang w:eastAsia="en-US"/>
        </w:rPr>
      </w:pPr>
      <w:r w:rsidRPr="000C059E">
        <w:rPr>
          <w:b w:val="0"/>
          <w:szCs w:val="24"/>
          <w:lang w:eastAsia="en-US"/>
        </w:rPr>
        <w:tab/>
      </w:r>
      <w:r w:rsidR="00DF7CC9">
        <w:rPr>
          <w:szCs w:val="24"/>
        </w:rPr>
        <w:t>31. oktober 2025</w:t>
      </w:r>
    </w:p>
    <w:p w14:paraId="6ADF0D38" w14:textId="77777777" w:rsidR="009260DE" w:rsidRPr="000C059E" w:rsidRDefault="009260DE" w:rsidP="009260DE">
      <w:pPr>
        <w:pStyle w:val="Titel"/>
        <w:tabs>
          <w:tab w:val="left" w:pos="8222"/>
        </w:tabs>
        <w:jc w:val="left"/>
        <w:rPr>
          <w:b w:val="0"/>
          <w:szCs w:val="24"/>
        </w:rPr>
      </w:pPr>
    </w:p>
    <w:p w14:paraId="0A0B16CE" w14:textId="77777777" w:rsidR="009260DE" w:rsidRPr="000C059E" w:rsidRDefault="009260DE" w:rsidP="009260DE">
      <w:pPr>
        <w:pStyle w:val="Titel"/>
        <w:jc w:val="left"/>
        <w:rPr>
          <w:b w:val="0"/>
          <w:szCs w:val="24"/>
        </w:rPr>
      </w:pPr>
    </w:p>
    <w:p w14:paraId="6676A13E" w14:textId="77777777" w:rsidR="009260DE" w:rsidRPr="000C059E" w:rsidRDefault="009260DE" w:rsidP="009260DE">
      <w:pPr>
        <w:pStyle w:val="Titel"/>
        <w:jc w:val="left"/>
        <w:rPr>
          <w:b w:val="0"/>
          <w:szCs w:val="24"/>
        </w:rPr>
      </w:pPr>
    </w:p>
    <w:p w14:paraId="7014C181" w14:textId="77777777" w:rsidR="009260DE" w:rsidRPr="000C059E" w:rsidRDefault="009260DE" w:rsidP="009260DE">
      <w:pPr>
        <w:jc w:val="center"/>
        <w:rPr>
          <w:b/>
          <w:sz w:val="24"/>
          <w:szCs w:val="24"/>
        </w:rPr>
      </w:pPr>
      <w:r w:rsidRPr="000C059E">
        <w:rPr>
          <w:b/>
          <w:sz w:val="24"/>
          <w:szCs w:val="24"/>
        </w:rPr>
        <w:t>PRODUKTRESUMÉ</w:t>
      </w:r>
    </w:p>
    <w:p w14:paraId="675066F9" w14:textId="77777777" w:rsidR="009260DE" w:rsidRPr="000C059E" w:rsidRDefault="009260DE" w:rsidP="009260DE">
      <w:pPr>
        <w:jc w:val="center"/>
        <w:rPr>
          <w:b/>
          <w:sz w:val="24"/>
          <w:szCs w:val="24"/>
        </w:rPr>
      </w:pPr>
    </w:p>
    <w:p w14:paraId="128B5B11" w14:textId="77777777" w:rsidR="009260DE" w:rsidRPr="000C059E" w:rsidRDefault="009260DE" w:rsidP="009260DE">
      <w:pPr>
        <w:jc w:val="center"/>
        <w:rPr>
          <w:b/>
          <w:sz w:val="24"/>
          <w:szCs w:val="24"/>
        </w:rPr>
      </w:pPr>
      <w:r w:rsidRPr="000C059E">
        <w:rPr>
          <w:b/>
          <w:sz w:val="24"/>
          <w:szCs w:val="24"/>
        </w:rPr>
        <w:t>for</w:t>
      </w:r>
    </w:p>
    <w:p w14:paraId="07315147" w14:textId="77777777" w:rsidR="000B058C" w:rsidRPr="000C059E" w:rsidRDefault="000B058C" w:rsidP="009260DE">
      <w:pPr>
        <w:jc w:val="center"/>
        <w:rPr>
          <w:b/>
          <w:sz w:val="24"/>
          <w:szCs w:val="24"/>
        </w:rPr>
      </w:pPr>
    </w:p>
    <w:p w14:paraId="0A07C9D1" w14:textId="78A37428" w:rsidR="009260DE" w:rsidRPr="000C059E" w:rsidRDefault="0052321A" w:rsidP="009260DE">
      <w:pPr>
        <w:jc w:val="center"/>
        <w:rPr>
          <w:b/>
          <w:sz w:val="24"/>
          <w:szCs w:val="24"/>
        </w:rPr>
      </w:pPr>
      <w:r w:rsidRPr="000C059E">
        <w:rPr>
          <w:b/>
          <w:sz w:val="24"/>
          <w:szCs w:val="24"/>
        </w:rPr>
        <w:t xml:space="preserve">Lenvatinib </w:t>
      </w:r>
      <w:r w:rsidR="00E62732">
        <w:rPr>
          <w:b/>
          <w:sz w:val="24"/>
          <w:szCs w:val="24"/>
        </w:rPr>
        <w:t>"</w:t>
      </w:r>
      <w:r w:rsidRPr="000C059E">
        <w:rPr>
          <w:b/>
          <w:sz w:val="24"/>
          <w:szCs w:val="24"/>
        </w:rPr>
        <w:t>Teva</w:t>
      </w:r>
      <w:r w:rsidR="00E62732">
        <w:rPr>
          <w:b/>
          <w:sz w:val="24"/>
          <w:szCs w:val="24"/>
        </w:rPr>
        <w:t>"</w:t>
      </w:r>
      <w:r w:rsidRPr="000C059E">
        <w:rPr>
          <w:b/>
          <w:sz w:val="24"/>
          <w:szCs w:val="24"/>
        </w:rPr>
        <w:t>, hårde kapsler</w:t>
      </w:r>
    </w:p>
    <w:p w14:paraId="67D6132B" w14:textId="77777777" w:rsidR="009260DE" w:rsidRPr="000C059E" w:rsidRDefault="009260DE" w:rsidP="009260DE">
      <w:pPr>
        <w:jc w:val="both"/>
        <w:rPr>
          <w:sz w:val="24"/>
          <w:szCs w:val="24"/>
        </w:rPr>
      </w:pPr>
    </w:p>
    <w:p w14:paraId="1AAA33F6" w14:textId="77777777" w:rsidR="009260DE" w:rsidRPr="000C059E" w:rsidRDefault="009260DE" w:rsidP="009260DE">
      <w:pPr>
        <w:jc w:val="both"/>
        <w:rPr>
          <w:sz w:val="24"/>
          <w:szCs w:val="24"/>
        </w:rPr>
      </w:pPr>
    </w:p>
    <w:p w14:paraId="0E9827F5" w14:textId="77777777" w:rsidR="009260DE" w:rsidRPr="000C059E" w:rsidRDefault="009260DE" w:rsidP="009260DE">
      <w:pPr>
        <w:tabs>
          <w:tab w:val="left" w:pos="851"/>
        </w:tabs>
        <w:ind w:left="851" w:hanging="851"/>
        <w:rPr>
          <w:b/>
          <w:sz w:val="24"/>
          <w:szCs w:val="24"/>
        </w:rPr>
      </w:pPr>
      <w:r w:rsidRPr="000C059E">
        <w:rPr>
          <w:b/>
          <w:sz w:val="24"/>
          <w:szCs w:val="24"/>
        </w:rPr>
        <w:t>0.</w:t>
      </w:r>
      <w:r w:rsidRPr="000C059E">
        <w:rPr>
          <w:b/>
          <w:sz w:val="24"/>
          <w:szCs w:val="24"/>
        </w:rPr>
        <w:tab/>
        <w:t>D.SP.NR.</w:t>
      </w:r>
    </w:p>
    <w:p w14:paraId="7E418F55" w14:textId="6D3D180D" w:rsidR="009260DE" w:rsidRPr="000C059E" w:rsidRDefault="0052321A" w:rsidP="009260DE">
      <w:pPr>
        <w:tabs>
          <w:tab w:val="left" w:pos="851"/>
        </w:tabs>
        <w:ind w:left="851"/>
        <w:rPr>
          <w:sz w:val="24"/>
          <w:szCs w:val="24"/>
        </w:rPr>
      </w:pPr>
      <w:r w:rsidRPr="000C059E">
        <w:rPr>
          <w:sz w:val="24"/>
          <w:szCs w:val="24"/>
        </w:rPr>
        <w:t>34318</w:t>
      </w:r>
    </w:p>
    <w:p w14:paraId="3424ABF6" w14:textId="77777777" w:rsidR="009260DE" w:rsidRPr="000C059E" w:rsidRDefault="009260DE" w:rsidP="009260DE">
      <w:pPr>
        <w:tabs>
          <w:tab w:val="left" w:pos="851"/>
        </w:tabs>
        <w:ind w:left="851"/>
        <w:rPr>
          <w:sz w:val="24"/>
          <w:szCs w:val="24"/>
        </w:rPr>
      </w:pPr>
    </w:p>
    <w:p w14:paraId="7DE5CE69" w14:textId="77777777" w:rsidR="009260DE" w:rsidRPr="000C059E" w:rsidRDefault="009260DE" w:rsidP="009260DE">
      <w:pPr>
        <w:tabs>
          <w:tab w:val="left" w:pos="851"/>
        </w:tabs>
        <w:ind w:left="851" w:hanging="851"/>
        <w:rPr>
          <w:b/>
          <w:sz w:val="24"/>
          <w:szCs w:val="24"/>
        </w:rPr>
      </w:pPr>
      <w:r w:rsidRPr="000C059E">
        <w:rPr>
          <w:b/>
          <w:sz w:val="24"/>
          <w:szCs w:val="24"/>
        </w:rPr>
        <w:t>1.</w:t>
      </w:r>
      <w:r w:rsidRPr="000C059E">
        <w:rPr>
          <w:b/>
          <w:sz w:val="24"/>
          <w:szCs w:val="24"/>
        </w:rPr>
        <w:tab/>
        <w:t>LÆGEMIDLETS NAVN</w:t>
      </w:r>
    </w:p>
    <w:p w14:paraId="742C8E5F" w14:textId="01AE4CC8" w:rsidR="009260DE" w:rsidRPr="000C059E" w:rsidRDefault="0052321A" w:rsidP="009260DE">
      <w:pPr>
        <w:tabs>
          <w:tab w:val="left" w:pos="851"/>
        </w:tabs>
        <w:ind w:left="851"/>
        <w:rPr>
          <w:sz w:val="24"/>
          <w:szCs w:val="24"/>
        </w:rPr>
      </w:pPr>
      <w:r w:rsidRPr="000C059E">
        <w:rPr>
          <w:sz w:val="24"/>
          <w:szCs w:val="24"/>
        </w:rPr>
        <w:t xml:space="preserve">Lenvatinib </w:t>
      </w:r>
      <w:r w:rsidR="00E62732">
        <w:rPr>
          <w:sz w:val="24"/>
          <w:szCs w:val="24"/>
        </w:rPr>
        <w:t>"</w:t>
      </w:r>
      <w:r w:rsidRPr="000C059E">
        <w:rPr>
          <w:sz w:val="24"/>
          <w:szCs w:val="24"/>
        </w:rPr>
        <w:t>Teva</w:t>
      </w:r>
      <w:r w:rsidR="00E62732">
        <w:rPr>
          <w:sz w:val="24"/>
          <w:szCs w:val="24"/>
        </w:rPr>
        <w:t>"</w:t>
      </w:r>
    </w:p>
    <w:p w14:paraId="6C5ED901" w14:textId="77777777" w:rsidR="009260DE" w:rsidRPr="000C059E" w:rsidRDefault="009260DE" w:rsidP="009260DE">
      <w:pPr>
        <w:tabs>
          <w:tab w:val="left" w:pos="851"/>
        </w:tabs>
        <w:ind w:left="851"/>
        <w:rPr>
          <w:sz w:val="24"/>
          <w:szCs w:val="24"/>
        </w:rPr>
      </w:pPr>
    </w:p>
    <w:p w14:paraId="0DB7FD5E" w14:textId="77777777" w:rsidR="009260DE" w:rsidRPr="000C059E" w:rsidRDefault="009260DE" w:rsidP="009260DE">
      <w:pPr>
        <w:tabs>
          <w:tab w:val="left" w:pos="851"/>
        </w:tabs>
        <w:ind w:left="851" w:hanging="851"/>
        <w:rPr>
          <w:b/>
          <w:sz w:val="24"/>
          <w:szCs w:val="24"/>
        </w:rPr>
      </w:pPr>
      <w:r w:rsidRPr="000C059E">
        <w:rPr>
          <w:b/>
          <w:sz w:val="24"/>
          <w:szCs w:val="24"/>
        </w:rPr>
        <w:t>2.</w:t>
      </w:r>
      <w:r w:rsidRPr="000C059E">
        <w:rPr>
          <w:b/>
          <w:sz w:val="24"/>
          <w:szCs w:val="24"/>
        </w:rPr>
        <w:tab/>
        <w:t>KVALITATIV OG KVANTITATIV SAMMENSÆTNING</w:t>
      </w:r>
    </w:p>
    <w:p w14:paraId="48D35679" w14:textId="77777777" w:rsidR="000C059E" w:rsidRDefault="000C059E" w:rsidP="00773EAE">
      <w:pPr>
        <w:ind w:left="851"/>
        <w:rPr>
          <w:sz w:val="24"/>
          <w:szCs w:val="24"/>
        </w:rPr>
      </w:pPr>
    </w:p>
    <w:p w14:paraId="2AE23590" w14:textId="10463304" w:rsidR="00200B99" w:rsidRPr="000C059E" w:rsidRDefault="00200B99" w:rsidP="00773EAE">
      <w:pPr>
        <w:ind w:left="851"/>
        <w:rPr>
          <w:sz w:val="24"/>
          <w:szCs w:val="24"/>
          <w:u w:val="single"/>
        </w:rPr>
      </w:pPr>
      <w:r w:rsidRPr="000C059E">
        <w:rPr>
          <w:sz w:val="24"/>
          <w:szCs w:val="24"/>
          <w:u w:val="single"/>
        </w:rPr>
        <w:t xml:space="preserve">Lenvatinib </w:t>
      </w:r>
      <w:r w:rsidR="00E62732">
        <w:rPr>
          <w:sz w:val="24"/>
          <w:szCs w:val="24"/>
          <w:u w:val="single"/>
        </w:rPr>
        <w:t>"</w:t>
      </w:r>
      <w:r w:rsidRPr="000C059E">
        <w:rPr>
          <w:sz w:val="24"/>
          <w:szCs w:val="24"/>
          <w:u w:val="single"/>
        </w:rPr>
        <w:t>Teva</w:t>
      </w:r>
      <w:r w:rsidR="00E62732">
        <w:rPr>
          <w:sz w:val="24"/>
          <w:szCs w:val="24"/>
          <w:u w:val="single"/>
        </w:rPr>
        <w:t>"</w:t>
      </w:r>
      <w:r w:rsidRPr="000C059E">
        <w:rPr>
          <w:sz w:val="24"/>
          <w:szCs w:val="24"/>
          <w:u w:val="single"/>
        </w:rPr>
        <w:t xml:space="preserve"> 4 mg hårde kapsler</w:t>
      </w:r>
    </w:p>
    <w:p w14:paraId="432D96E0" w14:textId="77777777" w:rsidR="00200B99" w:rsidRPr="000C059E" w:rsidRDefault="00200B99" w:rsidP="00773EAE">
      <w:pPr>
        <w:ind w:left="851"/>
        <w:rPr>
          <w:sz w:val="24"/>
          <w:szCs w:val="24"/>
        </w:rPr>
      </w:pPr>
    </w:p>
    <w:p w14:paraId="4701E6BE" w14:textId="77777777" w:rsidR="00200B99" w:rsidRPr="000C059E" w:rsidRDefault="00200B99" w:rsidP="00773EAE">
      <w:pPr>
        <w:ind w:left="851"/>
        <w:rPr>
          <w:sz w:val="24"/>
          <w:szCs w:val="24"/>
        </w:rPr>
      </w:pPr>
      <w:r w:rsidRPr="000C059E">
        <w:rPr>
          <w:sz w:val="24"/>
          <w:szCs w:val="24"/>
        </w:rPr>
        <w:t xml:space="preserve">Hver hård kapsel indeholder lenvatinibbesilat svarende til 4 mg lenvatinib. </w:t>
      </w:r>
    </w:p>
    <w:p w14:paraId="2EFDD8EC" w14:textId="77777777" w:rsidR="00200B99" w:rsidRPr="000C059E" w:rsidRDefault="00200B99" w:rsidP="00773EAE">
      <w:pPr>
        <w:ind w:left="851"/>
        <w:rPr>
          <w:sz w:val="24"/>
          <w:szCs w:val="24"/>
        </w:rPr>
      </w:pPr>
    </w:p>
    <w:p w14:paraId="5B779DAA" w14:textId="26D3A530" w:rsidR="00200B99" w:rsidRPr="000C059E" w:rsidRDefault="00200B99" w:rsidP="00773EAE">
      <w:pPr>
        <w:ind w:left="851"/>
        <w:rPr>
          <w:sz w:val="24"/>
          <w:szCs w:val="24"/>
          <w:u w:val="single"/>
        </w:rPr>
      </w:pPr>
      <w:r w:rsidRPr="000C059E">
        <w:rPr>
          <w:sz w:val="24"/>
          <w:szCs w:val="24"/>
          <w:u w:val="single"/>
        </w:rPr>
        <w:t xml:space="preserve">Lenvatinib </w:t>
      </w:r>
      <w:r w:rsidR="00E62732">
        <w:rPr>
          <w:sz w:val="24"/>
          <w:szCs w:val="24"/>
          <w:u w:val="single"/>
        </w:rPr>
        <w:t>"</w:t>
      </w:r>
      <w:r w:rsidRPr="000C059E">
        <w:rPr>
          <w:sz w:val="24"/>
          <w:szCs w:val="24"/>
          <w:u w:val="single"/>
        </w:rPr>
        <w:t>Teva</w:t>
      </w:r>
      <w:r w:rsidR="00E62732">
        <w:rPr>
          <w:sz w:val="24"/>
          <w:szCs w:val="24"/>
          <w:u w:val="single"/>
        </w:rPr>
        <w:t>"</w:t>
      </w:r>
      <w:r w:rsidRPr="000C059E">
        <w:rPr>
          <w:sz w:val="24"/>
          <w:szCs w:val="24"/>
          <w:u w:val="single"/>
        </w:rPr>
        <w:t xml:space="preserve"> 10 mg hårde kapsler</w:t>
      </w:r>
    </w:p>
    <w:p w14:paraId="16E86AFC" w14:textId="77777777" w:rsidR="00200B99" w:rsidRPr="000C059E" w:rsidRDefault="00200B99" w:rsidP="00773EAE">
      <w:pPr>
        <w:ind w:left="851"/>
        <w:rPr>
          <w:sz w:val="24"/>
          <w:szCs w:val="24"/>
        </w:rPr>
      </w:pPr>
    </w:p>
    <w:p w14:paraId="6D5D126C" w14:textId="77777777" w:rsidR="00200B99" w:rsidRPr="000C059E" w:rsidRDefault="00200B99" w:rsidP="00773EAE">
      <w:pPr>
        <w:ind w:left="851"/>
        <w:rPr>
          <w:sz w:val="24"/>
          <w:szCs w:val="24"/>
        </w:rPr>
      </w:pPr>
      <w:r w:rsidRPr="000C059E">
        <w:rPr>
          <w:sz w:val="24"/>
          <w:szCs w:val="24"/>
        </w:rPr>
        <w:t xml:space="preserve">Hver hård kapsel indeholder lenvatinibbesilat svarende til 10 mg lenvatinib. </w:t>
      </w:r>
    </w:p>
    <w:p w14:paraId="2698A103" w14:textId="77777777" w:rsidR="00200B99" w:rsidRPr="000C059E" w:rsidRDefault="00200B99" w:rsidP="00773EAE">
      <w:pPr>
        <w:ind w:left="851"/>
        <w:rPr>
          <w:sz w:val="24"/>
          <w:szCs w:val="24"/>
        </w:rPr>
      </w:pPr>
    </w:p>
    <w:p w14:paraId="4865B998" w14:textId="77777777" w:rsidR="00200B99" w:rsidRPr="000C059E" w:rsidRDefault="00200B99" w:rsidP="00773EAE">
      <w:pPr>
        <w:ind w:left="851"/>
        <w:rPr>
          <w:sz w:val="24"/>
          <w:szCs w:val="24"/>
        </w:rPr>
      </w:pPr>
      <w:r w:rsidRPr="000C059E">
        <w:rPr>
          <w:sz w:val="24"/>
          <w:szCs w:val="24"/>
        </w:rPr>
        <w:t>Alle hjælpestoffer er anført under pkt. 6.1.</w:t>
      </w:r>
    </w:p>
    <w:p w14:paraId="4CCEEBF8" w14:textId="77777777" w:rsidR="009260DE" w:rsidRPr="000C059E" w:rsidRDefault="009260DE" w:rsidP="009260DE">
      <w:pPr>
        <w:tabs>
          <w:tab w:val="left" w:pos="851"/>
        </w:tabs>
        <w:ind w:left="851"/>
        <w:rPr>
          <w:sz w:val="24"/>
          <w:szCs w:val="24"/>
        </w:rPr>
      </w:pPr>
    </w:p>
    <w:p w14:paraId="393F5C31" w14:textId="77777777" w:rsidR="009260DE" w:rsidRPr="000C059E" w:rsidRDefault="009260DE" w:rsidP="009260DE">
      <w:pPr>
        <w:tabs>
          <w:tab w:val="left" w:pos="851"/>
        </w:tabs>
        <w:ind w:left="851" w:hanging="851"/>
        <w:rPr>
          <w:b/>
          <w:sz w:val="24"/>
          <w:szCs w:val="24"/>
        </w:rPr>
      </w:pPr>
      <w:r w:rsidRPr="000C059E">
        <w:rPr>
          <w:b/>
          <w:sz w:val="24"/>
          <w:szCs w:val="24"/>
        </w:rPr>
        <w:t>3.</w:t>
      </w:r>
      <w:r w:rsidRPr="000C059E">
        <w:rPr>
          <w:b/>
          <w:sz w:val="24"/>
          <w:szCs w:val="24"/>
        </w:rPr>
        <w:tab/>
        <w:t>LÆGEMIDDELFORM</w:t>
      </w:r>
    </w:p>
    <w:p w14:paraId="7A580C5B" w14:textId="6E97030C" w:rsidR="00200B99" w:rsidRPr="000C059E" w:rsidRDefault="00200B99" w:rsidP="00E62732">
      <w:pPr>
        <w:ind w:left="851"/>
        <w:rPr>
          <w:sz w:val="24"/>
          <w:szCs w:val="24"/>
        </w:rPr>
      </w:pPr>
      <w:r w:rsidRPr="000C059E">
        <w:rPr>
          <w:sz w:val="24"/>
          <w:szCs w:val="24"/>
        </w:rPr>
        <w:t>Hård</w:t>
      </w:r>
      <w:r w:rsidR="00E62732">
        <w:rPr>
          <w:sz w:val="24"/>
          <w:szCs w:val="24"/>
        </w:rPr>
        <w:t>e</w:t>
      </w:r>
      <w:r w:rsidRPr="000C059E">
        <w:rPr>
          <w:sz w:val="24"/>
          <w:szCs w:val="24"/>
        </w:rPr>
        <w:t xml:space="preserve"> kaps</w:t>
      </w:r>
      <w:r w:rsidR="00E62732">
        <w:rPr>
          <w:sz w:val="24"/>
          <w:szCs w:val="24"/>
        </w:rPr>
        <w:t>ler</w:t>
      </w:r>
      <w:r w:rsidRPr="000C059E">
        <w:rPr>
          <w:sz w:val="24"/>
          <w:szCs w:val="24"/>
        </w:rPr>
        <w:t xml:space="preserve"> (kaps</w:t>
      </w:r>
      <w:r w:rsidR="00E62732">
        <w:rPr>
          <w:sz w:val="24"/>
          <w:szCs w:val="24"/>
        </w:rPr>
        <w:t>ler</w:t>
      </w:r>
      <w:r w:rsidRPr="000C059E">
        <w:rPr>
          <w:sz w:val="24"/>
          <w:szCs w:val="24"/>
        </w:rPr>
        <w:t>)</w:t>
      </w:r>
    </w:p>
    <w:p w14:paraId="1EDEEBB5" w14:textId="77777777" w:rsidR="00200B99" w:rsidRPr="000C059E" w:rsidRDefault="00200B99" w:rsidP="00E62732">
      <w:pPr>
        <w:ind w:left="851"/>
        <w:rPr>
          <w:sz w:val="24"/>
          <w:szCs w:val="24"/>
        </w:rPr>
      </w:pPr>
    </w:p>
    <w:p w14:paraId="690540EA" w14:textId="723CAF79" w:rsidR="00200B99" w:rsidRPr="000C059E" w:rsidRDefault="00200B99" w:rsidP="00E62732">
      <w:pPr>
        <w:ind w:left="851"/>
        <w:rPr>
          <w:sz w:val="24"/>
          <w:szCs w:val="24"/>
          <w:u w:val="single"/>
        </w:rPr>
      </w:pPr>
      <w:r w:rsidRPr="000C059E">
        <w:rPr>
          <w:sz w:val="24"/>
          <w:szCs w:val="24"/>
          <w:u w:val="single"/>
        </w:rPr>
        <w:t xml:space="preserve">Lenvatinib </w:t>
      </w:r>
      <w:r w:rsidR="00E62732">
        <w:rPr>
          <w:sz w:val="24"/>
          <w:szCs w:val="24"/>
          <w:u w:val="single"/>
        </w:rPr>
        <w:t>"</w:t>
      </w:r>
      <w:r w:rsidRPr="000C059E">
        <w:rPr>
          <w:sz w:val="24"/>
          <w:szCs w:val="24"/>
          <w:u w:val="single"/>
        </w:rPr>
        <w:t>Teva</w:t>
      </w:r>
      <w:r w:rsidR="00E62732">
        <w:rPr>
          <w:sz w:val="24"/>
          <w:szCs w:val="24"/>
          <w:u w:val="single"/>
        </w:rPr>
        <w:t>"</w:t>
      </w:r>
      <w:r w:rsidRPr="000C059E">
        <w:rPr>
          <w:sz w:val="24"/>
          <w:szCs w:val="24"/>
          <w:u w:val="single"/>
        </w:rPr>
        <w:t xml:space="preserve"> 4 mg hårde kapsler</w:t>
      </w:r>
    </w:p>
    <w:p w14:paraId="099839C3" w14:textId="77777777" w:rsidR="00200B99" w:rsidRPr="000C059E" w:rsidRDefault="00200B99" w:rsidP="00E62732">
      <w:pPr>
        <w:ind w:left="851"/>
        <w:rPr>
          <w:sz w:val="24"/>
          <w:szCs w:val="24"/>
        </w:rPr>
      </w:pPr>
    </w:p>
    <w:p w14:paraId="2FEC9EC5" w14:textId="69DCAD39" w:rsidR="00200B99" w:rsidRPr="000C059E" w:rsidRDefault="00200B99" w:rsidP="00E62732">
      <w:pPr>
        <w:ind w:left="851"/>
        <w:rPr>
          <w:sz w:val="24"/>
          <w:szCs w:val="24"/>
        </w:rPr>
      </w:pPr>
      <w:bookmarkStart w:id="1" w:name="_Hlk199842352"/>
      <w:r w:rsidRPr="000C059E">
        <w:rPr>
          <w:sz w:val="24"/>
          <w:szCs w:val="24"/>
        </w:rPr>
        <w:t xml:space="preserve">Hårde kapsler i str. 4 (ca. 14,3 mm lang) med en karamelfarvet, uigennemsigtig underdel og en karamelfarvet, uigennemsigtig hætte, påtrykt </w:t>
      </w:r>
      <w:r w:rsidR="00E62732">
        <w:rPr>
          <w:sz w:val="24"/>
          <w:szCs w:val="24"/>
        </w:rPr>
        <w:t>"</w:t>
      </w:r>
      <w:r w:rsidRPr="000C059E">
        <w:rPr>
          <w:sz w:val="24"/>
          <w:szCs w:val="24"/>
        </w:rPr>
        <w:t>L7VB</w:t>
      </w:r>
      <w:r w:rsidR="00E62732">
        <w:rPr>
          <w:sz w:val="24"/>
          <w:szCs w:val="24"/>
        </w:rPr>
        <w:t>"</w:t>
      </w:r>
      <w:r w:rsidRPr="000C059E">
        <w:rPr>
          <w:sz w:val="24"/>
          <w:szCs w:val="24"/>
        </w:rPr>
        <w:t xml:space="preserve"> over </w:t>
      </w:r>
      <w:r w:rsidR="00E62732">
        <w:rPr>
          <w:sz w:val="24"/>
          <w:szCs w:val="24"/>
        </w:rPr>
        <w:t>"</w:t>
      </w:r>
      <w:r w:rsidRPr="000C059E">
        <w:rPr>
          <w:sz w:val="24"/>
          <w:szCs w:val="24"/>
        </w:rPr>
        <w:t>4</w:t>
      </w:r>
      <w:r w:rsidR="00E62732">
        <w:rPr>
          <w:sz w:val="24"/>
          <w:szCs w:val="24"/>
        </w:rPr>
        <w:t>"</w:t>
      </w:r>
      <w:r w:rsidRPr="000C059E">
        <w:rPr>
          <w:sz w:val="24"/>
          <w:szCs w:val="24"/>
        </w:rPr>
        <w:t>.</w:t>
      </w:r>
    </w:p>
    <w:p w14:paraId="2393B67F" w14:textId="77777777" w:rsidR="00200B99" w:rsidRPr="000C059E" w:rsidRDefault="00200B99" w:rsidP="00E62732">
      <w:pPr>
        <w:ind w:left="851"/>
        <w:rPr>
          <w:sz w:val="24"/>
          <w:szCs w:val="24"/>
        </w:rPr>
      </w:pPr>
    </w:p>
    <w:p w14:paraId="74CCF230" w14:textId="44ED0CFA" w:rsidR="00200B99" w:rsidRPr="000C059E" w:rsidRDefault="00200B99" w:rsidP="00E62732">
      <w:pPr>
        <w:ind w:left="851"/>
        <w:rPr>
          <w:sz w:val="24"/>
          <w:szCs w:val="24"/>
          <w:u w:val="single"/>
        </w:rPr>
      </w:pPr>
      <w:r w:rsidRPr="000C059E">
        <w:rPr>
          <w:sz w:val="24"/>
          <w:szCs w:val="24"/>
          <w:u w:val="single"/>
        </w:rPr>
        <w:t xml:space="preserve">Lenvatinib </w:t>
      </w:r>
      <w:r w:rsidR="00E62732">
        <w:rPr>
          <w:sz w:val="24"/>
          <w:szCs w:val="24"/>
          <w:u w:val="single"/>
        </w:rPr>
        <w:t>"</w:t>
      </w:r>
      <w:r w:rsidRPr="000C059E">
        <w:rPr>
          <w:sz w:val="24"/>
          <w:szCs w:val="24"/>
          <w:u w:val="single"/>
        </w:rPr>
        <w:t>Teva</w:t>
      </w:r>
      <w:r w:rsidR="00E62732">
        <w:rPr>
          <w:sz w:val="24"/>
          <w:szCs w:val="24"/>
          <w:u w:val="single"/>
        </w:rPr>
        <w:t>"</w:t>
      </w:r>
      <w:r w:rsidRPr="000C059E">
        <w:rPr>
          <w:sz w:val="24"/>
          <w:szCs w:val="24"/>
          <w:u w:val="single"/>
        </w:rPr>
        <w:t xml:space="preserve"> 10 mg hårde kapsler</w:t>
      </w:r>
    </w:p>
    <w:p w14:paraId="75740349" w14:textId="77777777" w:rsidR="00200B99" w:rsidRPr="000C059E" w:rsidRDefault="00200B99" w:rsidP="00E62732">
      <w:pPr>
        <w:ind w:left="851"/>
        <w:rPr>
          <w:sz w:val="24"/>
          <w:szCs w:val="24"/>
        </w:rPr>
      </w:pPr>
    </w:p>
    <w:p w14:paraId="7EAEFE6D" w14:textId="6A5D56EC" w:rsidR="00200B99" w:rsidRPr="000C059E" w:rsidRDefault="00200B99" w:rsidP="00E62732">
      <w:pPr>
        <w:ind w:left="851"/>
        <w:rPr>
          <w:sz w:val="24"/>
          <w:szCs w:val="24"/>
        </w:rPr>
      </w:pPr>
      <w:r w:rsidRPr="000C059E">
        <w:rPr>
          <w:sz w:val="24"/>
          <w:szCs w:val="24"/>
        </w:rPr>
        <w:t xml:space="preserve">Hårde kapsler i str. 4 (ca. 14,3 mm lang) med en varm gul, uigennemsigtig underdel og en karamelfarvet, uigennemsigtig hætte, påtrykt </w:t>
      </w:r>
      <w:r w:rsidR="00E62732">
        <w:rPr>
          <w:sz w:val="24"/>
          <w:szCs w:val="24"/>
        </w:rPr>
        <w:t>"</w:t>
      </w:r>
      <w:r w:rsidRPr="000C059E">
        <w:rPr>
          <w:sz w:val="24"/>
          <w:szCs w:val="24"/>
        </w:rPr>
        <w:t>L7VB</w:t>
      </w:r>
      <w:r w:rsidR="00E62732">
        <w:rPr>
          <w:sz w:val="24"/>
          <w:szCs w:val="24"/>
        </w:rPr>
        <w:t>"</w:t>
      </w:r>
      <w:r w:rsidRPr="000C059E">
        <w:rPr>
          <w:sz w:val="24"/>
          <w:szCs w:val="24"/>
        </w:rPr>
        <w:t xml:space="preserve"> over </w:t>
      </w:r>
      <w:r w:rsidR="00E62732">
        <w:rPr>
          <w:sz w:val="24"/>
          <w:szCs w:val="24"/>
        </w:rPr>
        <w:t>"</w:t>
      </w:r>
      <w:r w:rsidRPr="000C059E">
        <w:rPr>
          <w:sz w:val="24"/>
          <w:szCs w:val="24"/>
        </w:rPr>
        <w:t>10</w:t>
      </w:r>
      <w:r w:rsidR="00E62732">
        <w:rPr>
          <w:sz w:val="24"/>
          <w:szCs w:val="24"/>
        </w:rPr>
        <w:t>"</w:t>
      </w:r>
      <w:r w:rsidRPr="000C059E">
        <w:rPr>
          <w:sz w:val="24"/>
          <w:szCs w:val="24"/>
        </w:rPr>
        <w:t>.</w:t>
      </w:r>
    </w:p>
    <w:bookmarkEnd w:id="1"/>
    <w:p w14:paraId="4B33735E" w14:textId="77777777" w:rsidR="009260DE" w:rsidRPr="000C059E" w:rsidRDefault="009260DE" w:rsidP="00E62732">
      <w:pPr>
        <w:tabs>
          <w:tab w:val="left" w:pos="851"/>
        </w:tabs>
        <w:ind w:left="851"/>
        <w:rPr>
          <w:sz w:val="24"/>
          <w:szCs w:val="24"/>
        </w:rPr>
      </w:pPr>
    </w:p>
    <w:p w14:paraId="0FDDB006" w14:textId="325CCB83" w:rsidR="00E62732" w:rsidRDefault="00E62732">
      <w:pPr>
        <w:rPr>
          <w:sz w:val="24"/>
          <w:szCs w:val="24"/>
        </w:rPr>
      </w:pPr>
      <w:r>
        <w:rPr>
          <w:sz w:val="24"/>
          <w:szCs w:val="24"/>
        </w:rPr>
        <w:br w:type="page"/>
      </w:r>
    </w:p>
    <w:p w14:paraId="2CF826A6" w14:textId="77777777" w:rsidR="009260DE" w:rsidRPr="000C059E" w:rsidRDefault="009260DE" w:rsidP="00E62732">
      <w:pPr>
        <w:tabs>
          <w:tab w:val="left" w:pos="851"/>
        </w:tabs>
        <w:ind w:left="851"/>
        <w:rPr>
          <w:sz w:val="24"/>
          <w:szCs w:val="24"/>
        </w:rPr>
      </w:pPr>
    </w:p>
    <w:p w14:paraId="46B6859C" w14:textId="77777777" w:rsidR="009260DE" w:rsidRPr="000C059E" w:rsidRDefault="009260DE" w:rsidP="009260DE">
      <w:pPr>
        <w:tabs>
          <w:tab w:val="left" w:pos="851"/>
        </w:tabs>
        <w:ind w:left="851" w:hanging="851"/>
        <w:rPr>
          <w:b/>
          <w:sz w:val="24"/>
          <w:szCs w:val="24"/>
        </w:rPr>
      </w:pPr>
      <w:r w:rsidRPr="000C059E">
        <w:rPr>
          <w:b/>
          <w:sz w:val="24"/>
          <w:szCs w:val="24"/>
        </w:rPr>
        <w:t>4.</w:t>
      </w:r>
      <w:r w:rsidRPr="000C059E">
        <w:rPr>
          <w:b/>
          <w:sz w:val="24"/>
          <w:szCs w:val="24"/>
        </w:rPr>
        <w:tab/>
        <w:t>KLINISKE OPLYSNINGER</w:t>
      </w:r>
    </w:p>
    <w:p w14:paraId="63308AAF" w14:textId="77777777" w:rsidR="009260DE" w:rsidRPr="000C059E" w:rsidRDefault="009260DE" w:rsidP="009260DE">
      <w:pPr>
        <w:tabs>
          <w:tab w:val="left" w:pos="851"/>
        </w:tabs>
        <w:ind w:left="851"/>
        <w:rPr>
          <w:b/>
          <w:sz w:val="24"/>
          <w:szCs w:val="24"/>
        </w:rPr>
      </w:pPr>
    </w:p>
    <w:p w14:paraId="584553AF" w14:textId="77777777" w:rsidR="009260DE" w:rsidRPr="000C059E" w:rsidRDefault="009260DE" w:rsidP="009260DE">
      <w:pPr>
        <w:tabs>
          <w:tab w:val="left" w:pos="851"/>
        </w:tabs>
        <w:ind w:left="851" w:hanging="851"/>
        <w:rPr>
          <w:b/>
          <w:sz w:val="24"/>
          <w:szCs w:val="24"/>
          <w:u w:val="single"/>
        </w:rPr>
      </w:pPr>
      <w:r w:rsidRPr="000C059E">
        <w:rPr>
          <w:b/>
          <w:sz w:val="24"/>
          <w:szCs w:val="24"/>
        </w:rPr>
        <w:t>4.1</w:t>
      </w:r>
      <w:r w:rsidRPr="000C059E">
        <w:rPr>
          <w:b/>
          <w:sz w:val="24"/>
          <w:szCs w:val="24"/>
        </w:rPr>
        <w:tab/>
        <w:t>Terapeutiske indikationer</w:t>
      </w:r>
    </w:p>
    <w:p w14:paraId="54B11BDE" w14:textId="77777777" w:rsidR="00200B99" w:rsidRPr="000C059E" w:rsidRDefault="00200B99" w:rsidP="00773EAE">
      <w:pPr>
        <w:ind w:left="851"/>
        <w:rPr>
          <w:sz w:val="24"/>
          <w:szCs w:val="24"/>
          <w:u w:val="single"/>
        </w:rPr>
      </w:pPr>
      <w:r w:rsidRPr="000C059E">
        <w:rPr>
          <w:sz w:val="24"/>
          <w:szCs w:val="24"/>
          <w:u w:val="single"/>
        </w:rPr>
        <w:t>Differentieret thyreoideacancer (DTC)</w:t>
      </w:r>
    </w:p>
    <w:p w14:paraId="2986E3D3" w14:textId="77777777" w:rsidR="00200B99" w:rsidRPr="000C059E" w:rsidRDefault="00200B99" w:rsidP="00773EAE">
      <w:pPr>
        <w:ind w:left="851"/>
        <w:rPr>
          <w:sz w:val="24"/>
          <w:szCs w:val="24"/>
        </w:rPr>
      </w:pPr>
    </w:p>
    <w:p w14:paraId="36DED6C4" w14:textId="6AA5F8F3" w:rsidR="00200B99" w:rsidRPr="000C059E" w:rsidRDefault="00200B99" w:rsidP="00773EAE">
      <w:pPr>
        <w:ind w:left="851"/>
        <w:rPr>
          <w:sz w:val="24"/>
          <w:szCs w:val="24"/>
        </w:rPr>
      </w:pPr>
      <w:r w:rsidRPr="000C059E">
        <w:rPr>
          <w:sz w:val="24"/>
          <w:szCs w:val="24"/>
        </w:rPr>
        <w:t xml:space="preserve">Lenvatinib </w:t>
      </w:r>
      <w:r w:rsidR="00E62732">
        <w:rPr>
          <w:sz w:val="24"/>
          <w:szCs w:val="24"/>
        </w:rPr>
        <w:t>"</w:t>
      </w:r>
      <w:r w:rsidRPr="000C059E">
        <w:rPr>
          <w:sz w:val="24"/>
          <w:szCs w:val="24"/>
        </w:rPr>
        <w:t>Teva</w:t>
      </w:r>
      <w:r w:rsidR="00E62732">
        <w:rPr>
          <w:sz w:val="24"/>
          <w:szCs w:val="24"/>
        </w:rPr>
        <w:t>"</w:t>
      </w:r>
      <w:r w:rsidRPr="000C059E">
        <w:rPr>
          <w:sz w:val="24"/>
          <w:szCs w:val="24"/>
        </w:rPr>
        <w:t xml:space="preserve"> som monoterapi er indiceret til behandling af voksne patienter med progressiv, lokalt fremskreden eller metastatisk, differentieret (papillært/follikulært/Hürthle-celle) thyreoideacancer (DTC), refraktært over for radioaktivt jod (RAI).</w:t>
      </w:r>
    </w:p>
    <w:p w14:paraId="1DE1F120" w14:textId="77777777" w:rsidR="00200B99" w:rsidRPr="000C059E" w:rsidRDefault="00200B99" w:rsidP="00773EAE">
      <w:pPr>
        <w:ind w:left="851"/>
        <w:rPr>
          <w:sz w:val="24"/>
          <w:szCs w:val="24"/>
        </w:rPr>
      </w:pPr>
    </w:p>
    <w:p w14:paraId="7FEC1CE2" w14:textId="77777777" w:rsidR="00200B99" w:rsidRPr="000C059E" w:rsidRDefault="00200B99" w:rsidP="00773EAE">
      <w:pPr>
        <w:ind w:left="851"/>
        <w:rPr>
          <w:sz w:val="24"/>
          <w:szCs w:val="24"/>
          <w:u w:val="single"/>
        </w:rPr>
      </w:pPr>
      <w:r w:rsidRPr="000C059E">
        <w:rPr>
          <w:sz w:val="24"/>
          <w:szCs w:val="24"/>
          <w:u w:val="single"/>
        </w:rPr>
        <w:t>Hepatocellulært karcinom (HCC)</w:t>
      </w:r>
    </w:p>
    <w:p w14:paraId="201CF627" w14:textId="77777777" w:rsidR="00200B99" w:rsidRPr="000C059E" w:rsidRDefault="00200B99" w:rsidP="00773EAE">
      <w:pPr>
        <w:ind w:left="851"/>
        <w:rPr>
          <w:sz w:val="24"/>
          <w:szCs w:val="24"/>
        </w:rPr>
      </w:pPr>
    </w:p>
    <w:p w14:paraId="121BE6F3" w14:textId="679F8908" w:rsidR="00200B99" w:rsidRPr="000C059E" w:rsidRDefault="00200B99" w:rsidP="00773EAE">
      <w:pPr>
        <w:ind w:left="851"/>
        <w:rPr>
          <w:sz w:val="24"/>
          <w:szCs w:val="24"/>
        </w:rPr>
      </w:pPr>
      <w:r w:rsidRPr="000C059E">
        <w:rPr>
          <w:sz w:val="24"/>
          <w:szCs w:val="24"/>
        </w:rPr>
        <w:t xml:space="preserve">Lenvatinib </w:t>
      </w:r>
      <w:r w:rsidR="00E62732">
        <w:rPr>
          <w:sz w:val="24"/>
          <w:szCs w:val="24"/>
        </w:rPr>
        <w:t>"</w:t>
      </w:r>
      <w:r w:rsidRPr="000C059E">
        <w:rPr>
          <w:sz w:val="24"/>
          <w:szCs w:val="24"/>
        </w:rPr>
        <w:t>Teva</w:t>
      </w:r>
      <w:r w:rsidR="00E62732">
        <w:rPr>
          <w:sz w:val="24"/>
          <w:szCs w:val="24"/>
        </w:rPr>
        <w:t>"</w:t>
      </w:r>
      <w:r w:rsidRPr="000C059E">
        <w:rPr>
          <w:sz w:val="24"/>
          <w:szCs w:val="24"/>
        </w:rPr>
        <w:t xml:space="preserve"> som monoterapi er indiceret til behandling af voksne patienter med fremskreden eller ikke-resektabelt hepatocellulært karcinom (HCC), som ikke tidligere har fået systemisk behandling (se pkt. 5.1).</w:t>
      </w:r>
    </w:p>
    <w:p w14:paraId="5377B545" w14:textId="77777777" w:rsidR="00200B99" w:rsidRPr="000C059E" w:rsidRDefault="00200B99" w:rsidP="00773EAE">
      <w:pPr>
        <w:ind w:left="851"/>
        <w:rPr>
          <w:sz w:val="24"/>
          <w:szCs w:val="24"/>
        </w:rPr>
      </w:pPr>
    </w:p>
    <w:p w14:paraId="3271EC5D" w14:textId="77777777" w:rsidR="00200B99" w:rsidRPr="000C059E" w:rsidRDefault="00200B99" w:rsidP="00773EAE">
      <w:pPr>
        <w:ind w:left="851"/>
        <w:rPr>
          <w:sz w:val="24"/>
          <w:szCs w:val="24"/>
          <w:u w:val="single"/>
        </w:rPr>
      </w:pPr>
      <w:r w:rsidRPr="000C059E">
        <w:rPr>
          <w:sz w:val="24"/>
          <w:szCs w:val="24"/>
          <w:u w:val="single"/>
        </w:rPr>
        <w:t>Endometriekarcinom (EC)</w:t>
      </w:r>
    </w:p>
    <w:p w14:paraId="57856C86" w14:textId="77777777" w:rsidR="00200B99" w:rsidRPr="000C059E" w:rsidRDefault="00200B99" w:rsidP="00773EAE">
      <w:pPr>
        <w:ind w:left="851"/>
        <w:rPr>
          <w:sz w:val="24"/>
          <w:szCs w:val="24"/>
        </w:rPr>
      </w:pPr>
    </w:p>
    <w:p w14:paraId="34A1281F" w14:textId="598A1511" w:rsidR="00200B99" w:rsidRPr="000C059E" w:rsidRDefault="00200B99" w:rsidP="00773EAE">
      <w:pPr>
        <w:ind w:left="851"/>
        <w:rPr>
          <w:sz w:val="24"/>
          <w:szCs w:val="24"/>
        </w:rPr>
      </w:pPr>
      <w:r w:rsidRPr="000C059E">
        <w:rPr>
          <w:sz w:val="24"/>
          <w:szCs w:val="24"/>
        </w:rPr>
        <w:t xml:space="preserve">Lenvatinib </w:t>
      </w:r>
      <w:r w:rsidR="00E62732">
        <w:rPr>
          <w:sz w:val="24"/>
          <w:szCs w:val="24"/>
        </w:rPr>
        <w:t>"</w:t>
      </w:r>
      <w:r w:rsidRPr="000C059E">
        <w:rPr>
          <w:sz w:val="24"/>
          <w:szCs w:val="24"/>
        </w:rPr>
        <w:t>Teva</w:t>
      </w:r>
      <w:r w:rsidR="00E62732">
        <w:rPr>
          <w:sz w:val="24"/>
          <w:szCs w:val="24"/>
        </w:rPr>
        <w:t>"</w:t>
      </w:r>
      <w:r w:rsidRPr="000C059E">
        <w:rPr>
          <w:sz w:val="24"/>
          <w:szCs w:val="24"/>
        </w:rPr>
        <w:t xml:space="preserve"> er i kombination med pembrolizumab indiceret til behandling af voksne patienter med fremskreden eller recidiverende endometriekarcinom (EC), som har sygdomsprogression med eller efter tidligere behandling med en hvilken som helst anden behandling, som indeholder platin, og som ikke er kandidater til kurativ operation eller strålebehandling. </w:t>
      </w:r>
    </w:p>
    <w:p w14:paraId="2FCFDAEE" w14:textId="77777777" w:rsidR="009260DE" w:rsidRPr="000C059E" w:rsidRDefault="009260DE" w:rsidP="009260DE">
      <w:pPr>
        <w:tabs>
          <w:tab w:val="left" w:pos="851"/>
        </w:tabs>
        <w:ind w:left="851"/>
        <w:rPr>
          <w:sz w:val="24"/>
          <w:szCs w:val="24"/>
        </w:rPr>
      </w:pPr>
    </w:p>
    <w:p w14:paraId="540EA8AA" w14:textId="77777777" w:rsidR="009260DE" w:rsidRPr="000C059E" w:rsidRDefault="009260DE" w:rsidP="009260DE">
      <w:pPr>
        <w:tabs>
          <w:tab w:val="left" w:pos="851"/>
        </w:tabs>
        <w:ind w:left="851" w:hanging="851"/>
        <w:rPr>
          <w:b/>
          <w:sz w:val="24"/>
          <w:szCs w:val="24"/>
        </w:rPr>
      </w:pPr>
      <w:r w:rsidRPr="000C059E">
        <w:rPr>
          <w:b/>
          <w:sz w:val="24"/>
          <w:szCs w:val="24"/>
        </w:rPr>
        <w:t>4.2</w:t>
      </w:r>
      <w:r w:rsidRPr="000C059E">
        <w:rPr>
          <w:b/>
          <w:sz w:val="24"/>
          <w:szCs w:val="24"/>
        </w:rPr>
        <w:tab/>
        <w:t xml:space="preserve">Dosering og </w:t>
      </w:r>
      <w:r w:rsidR="002C1EC0" w:rsidRPr="000C059E">
        <w:rPr>
          <w:b/>
          <w:sz w:val="24"/>
          <w:szCs w:val="24"/>
        </w:rPr>
        <w:t>administration</w:t>
      </w:r>
    </w:p>
    <w:p w14:paraId="2414EEC7" w14:textId="654B0534" w:rsidR="00200B99" w:rsidRPr="000C059E" w:rsidRDefault="00200B99" w:rsidP="00773EAE">
      <w:pPr>
        <w:ind w:left="851"/>
        <w:rPr>
          <w:sz w:val="24"/>
          <w:szCs w:val="24"/>
        </w:rPr>
      </w:pPr>
      <w:r w:rsidRPr="000C059E">
        <w:rPr>
          <w:sz w:val="24"/>
          <w:szCs w:val="24"/>
        </w:rPr>
        <w:t xml:space="preserve">Behandling med Lenvatinib </w:t>
      </w:r>
      <w:r w:rsidR="00E62732">
        <w:rPr>
          <w:sz w:val="24"/>
          <w:szCs w:val="24"/>
        </w:rPr>
        <w:t>"</w:t>
      </w:r>
      <w:r w:rsidRPr="000C059E">
        <w:rPr>
          <w:sz w:val="24"/>
          <w:szCs w:val="24"/>
        </w:rPr>
        <w:t>Teva</w:t>
      </w:r>
      <w:r w:rsidR="00E62732">
        <w:rPr>
          <w:sz w:val="24"/>
          <w:szCs w:val="24"/>
        </w:rPr>
        <w:t>"</w:t>
      </w:r>
      <w:r w:rsidRPr="000C059E">
        <w:rPr>
          <w:sz w:val="24"/>
          <w:szCs w:val="24"/>
        </w:rPr>
        <w:t xml:space="preserve"> bør påbegyndes og overvåges af sundhedspersonale med erfaring i anvendelsen af anticancer-behandlinger.</w:t>
      </w:r>
    </w:p>
    <w:p w14:paraId="52191B8A" w14:textId="77777777" w:rsidR="00200B99" w:rsidRPr="000C059E" w:rsidRDefault="00200B99" w:rsidP="00773EAE">
      <w:pPr>
        <w:ind w:left="851"/>
        <w:rPr>
          <w:sz w:val="24"/>
          <w:szCs w:val="24"/>
        </w:rPr>
      </w:pPr>
    </w:p>
    <w:p w14:paraId="28424F68" w14:textId="77777777" w:rsidR="00200B99" w:rsidRPr="000C059E" w:rsidRDefault="00200B99" w:rsidP="00773EAE">
      <w:pPr>
        <w:ind w:left="851"/>
        <w:rPr>
          <w:sz w:val="24"/>
          <w:szCs w:val="24"/>
        </w:rPr>
      </w:pPr>
      <w:r w:rsidRPr="000C059E">
        <w:rPr>
          <w:sz w:val="24"/>
          <w:szCs w:val="24"/>
        </w:rPr>
        <w:t>Optimal medicinsk behandling (dvs. behandling eller terapi) af kvalme, opkastning og diarré bør påbegyndes før en afbrydelse eller dosisreduktion af lenvatinib. Mave-tarm-toksicitet bør behandles aktivt for at reducere risikoen for udvikling af nedsat nyrefunktion eller nyresvigt (se pkt. 4.4).</w:t>
      </w:r>
    </w:p>
    <w:p w14:paraId="12ED0D32" w14:textId="77777777" w:rsidR="00200B99" w:rsidRPr="000C059E" w:rsidRDefault="00200B99" w:rsidP="00773EAE">
      <w:pPr>
        <w:ind w:left="851"/>
        <w:rPr>
          <w:sz w:val="24"/>
          <w:szCs w:val="24"/>
        </w:rPr>
      </w:pPr>
    </w:p>
    <w:p w14:paraId="2B1FE46C" w14:textId="77777777" w:rsidR="00200B99" w:rsidRPr="000C059E" w:rsidRDefault="00200B99" w:rsidP="00773EAE">
      <w:pPr>
        <w:ind w:left="851"/>
        <w:rPr>
          <w:sz w:val="24"/>
          <w:szCs w:val="24"/>
        </w:rPr>
      </w:pPr>
      <w:r w:rsidRPr="000C059E">
        <w:rPr>
          <w:sz w:val="24"/>
          <w:szCs w:val="24"/>
          <w:u w:val="single"/>
        </w:rPr>
        <w:t>Dosering</w:t>
      </w:r>
    </w:p>
    <w:p w14:paraId="018AD1FD" w14:textId="77777777" w:rsidR="00200B99" w:rsidRPr="000C059E" w:rsidRDefault="00200B99" w:rsidP="00773EAE">
      <w:pPr>
        <w:ind w:left="851"/>
        <w:rPr>
          <w:sz w:val="24"/>
          <w:szCs w:val="24"/>
        </w:rPr>
      </w:pPr>
    </w:p>
    <w:p w14:paraId="45A686B7" w14:textId="77777777" w:rsidR="00200B99" w:rsidRPr="000C059E" w:rsidRDefault="00200B99" w:rsidP="00773EAE">
      <w:pPr>
        <w:ind w:left="851"/>
        <w:rPr>
          <w:sz w:val="24"/>
          <w:szCs w:val="24"/>
        </w:rPr>
      </w:pPr>
      <w:r w:rsidRPr="000C059E">
        <w:rPr>
          <w:sz w:val="24"/>
          <w:szCs w:val="24"/>
        </w:rPr>
        <w:t xml:space="preserve">Hvis en patient glemmer en dosis, og den ikke kan tages inden for 12 timer, skal den dosis springes over, og den næste dosis skal tages på det normale administrationstidspunkt. </w:t>
      </w:r>
    </w:p>
    <w:p w14:paraId="208AEFFA" w14:textId="77777777" w:rsidR="00200B99" w:rsidRPr="000C059E" w:rsidRDefault="00200B99" w:rsidP="00773EAE">
      <w:pPr>
        <w:ind w:left="851"/>
        <w:rPr>
          <w:sz w:val="24"/>
          <w:szCs w:val="24"/>
        </w:rPr>
      </w:pPr>
      <w:r w:rsidRPr="000C059E">
        <w:rPr>
          <w:sz w:val="24"/>
          <w:szCs w:val="24"/>
        </w:rPr>
        <w:t>Behandlingen bør fortsætte, så længe en klinisk fordel er observeret, eller indtil der opstår en uacceptabel toksicitet.</w:t>
      </w:r>
    </w:p>
    <w:p w14:paraId="0D25126E" w14:textId="77777777" w:rsidR="00200B99" w:rsidRPr="000C059E" w:rsidRDefault="00200B99" w:rsidP="00773EAE">
      <w:pPr>
        <w:ind w:left="851"/>
        <w:rPr>
          <w:sz w:val="24"/>
          <w:szCs w:val="24"/>
        </w:rPr>
      </w:pPr>
    </w:p>
    <w:p w14:paraId="6240B9CF" w14:textId="77777777" w:rsidR="00200B99" w:rsidRPr="000C059E" w:rsidRDefault="00200B99" w:rsidP="00773EAE">
      <w:pPr>
        <w:ind w:left="851"/>
        <w:rPr>
          <w:i/>
          <w:sz w:val="24"/>
          <w:szCs w:val="24"/>
        </w:rPr>
      </w:pPr>
      <w:r w:rsidRPr="000C059E">
        <w:rPr>
          <w:i/>
          <w:sz w:val="24"/>
          <w:szCs w:val="24"/>
          <w:u w:val="single"/>
        </w:rPr>
        <w:t>Differentieret thyreoideacancer (DTC)</w:t>
      </w:r>
    </w:p>
    <w:p w14:paraId="68252EB6" w14:textId="77777777" w:rsidR="00200B99" w:rsidRPr="000C059E" w:rsidRDefault="00200B99" w:rsidP="00773EAE">
      <w:pPr>
        <w:ind w:left="851"/>
        <w:rPr>
          <w:i/>
          <w:sz w:val="24"/>
          <w:szCs w:val="24"/>
        </w:rPr>
      </w:pPr>
    </w:p>
    <w:p w14:paraId="757DE743" w14:textId="46EF81C6" w:rsidR="00200B99" w:rsidRPr="000C059E" w:rsidRDefault="00200B99" w:rsidP="00773EAE">
      <w:pPr>
        <w:ind w:left="851"/>
        <w:rPr>
          <w:sz w:val="24"/>
          <w:szCs w:val="24"/>
        </w:rPr>
      </w:pPr>
      <w:r w:rsidRPr="000C059E">
        <w:rPr>
          <w:sz w:val="24"/>
          <w:szCs w:val="24"/>
        </w:rPr>
        <w:t>Den anbefalede daglige dosis af lenvatinib er 24 mg (to 10 mg kapsler og én 4 mg kapsel) én gang dagligt. Den daglige dosis skal modificeres efter behov i henhold til dosis/toksicitet-behandlingsplanen.</w:t>
      </w:r>
    </w:p>
    <w:p w14:paraId="7A1DEBCC" w14:textId="77777777" w:rsidR="00200B99" w:rsidRPr="000C059E" w:rsidRDefault="00200B99" w:rsidP="00773EAE">
      <w:pPr>
        <w:ind w:left="851"/>
        <w:rPr>
          <w:sz w:val="24"/>
          <w:szCs w:val="24"/>
        </w:rPr>
      </w:pPr>
    </w:p>
    <w:p w14:paraId="68EBF80E" w14:textId="77777777" w:rsidR="00200B99" w:rsidRPr="000C059E" w:rsidRDefault="00200B99" w:rsidP="00773EAE">
      <w:pPr>
        <w:ind w:left="851"/>
        <w:rPr>
          <w:i/>
          <w:sz w:val="24"/>
          <w:szCs w:val="24"/>
        </w:rPr>
      </w:pPr>
      <w:r w:rsidRPr="000C059E">
        <w:rPr>
          <w:i/>
          <w:sz w:val="24"/>
          <w:szCs w:val="24"/>
        </w:rPr>
        <w:t xml:space="preserve">Dosisjusteringer </w:t>
      </w:r>
      <w:r w:rsidRPr="000C059E">
        <w:rPr>
          <w:sz w:val="24"/>
          <w:szCs w:val="24"/>
        </w:rPr>
        <w:t xml:space="preserve">og </w:t>
      </w:r>
      <w:r w:rsidRPr="000C059E">
        <w:rPr>
          <w:i/>
          <w:sz w:val="24"/>
          <w:szCs w:val="24"/>
        </w:rPr>
        <w:t>seponering ved DTC</w:t>
      </w:r>
    </w:p>
    <w:p w14:paraId="3F98102C" w14:textId="77777777" w:rsidR="00200B99" w:rsidRPr="000C059E" w:rsidRDefault="00200B99" w:rsidP="00773EAE">
      <w:pPr>
        <w:ind w:left="851"/>
        <w:rPr>
          <w:i/>
          <w:sz w:val="24"/>
          <w:szCs w:val="24"/>
        </w:rPr>
      </w:pPr>
    </w:p>
    <w:p w14:paraId="47B12EB7" w14:textId="77777777" w:rsidR="00200B99" w:rsidRPr="000C059E" w:rsidRDefault="00200B99" w:rsidP="00773EAE">
      <w:pPr>
        <w:ind w:left="851"/>
        <w:rPr>
          <w:sz w:val="24"/>
          <w:szCs w:val="24"/>
        </w:rPr>
      </w:pPr>
      <w:r w:rsidRPr="000C059E">
        <w:rPr>
          <w:sz w:val="24"/>
          <w:szCs w:val="24"/>
        </w:rPr>
        <w:t xml:space="preserve">Behandling af bivirkninger kan kræve dosisafbrydelse, justering eller seponering af lenvatinib-behandlingen (se pkt. 4.4). Lette til moderate bivirkninger (f.eks. grad 1 eller 2) </w:t>
      </w:r>
      <w:r w:rsidRPr="000C059E">
        <w:rPr>
          <w:sz w:val="24"/>
          <w:szCs w:val="24"/>
        </w:rPr>
        <w:lastRenderedPageBreak/>
        <w:t xml:space="preserve">kræver normalt ikke afbrydelse af lenvatinib, medmindre de ikke kan tolereres af patienten trods optimal behandling. Svære bivirkninger (f.eks. grad 3) eller intolerable bivirkninger kræver afbrydelse af lenvatinib, indtil reaktionerne forbedres til grad 0 til 1 eller </w:t>
      </w:r>
      <w:r w:rsidRPr="000C059E">
        <w:rPr>
          <w:i/>
          <w:iCs/>
          <w:sz w:val="24"/>
          <w:szCs w:val="24"/>
        </w:rPr>
        <w:t>baseline</w:t>
      </w:r>
      <w:r w:rsidRPr="000C059E">
        <w:rPr>
          <w:sz w:val="24"/>
          <w:szCs w:val="24"/>
        </w:rPr>
        <w:t>.</w:t>
      </w:r>
    </w:p>
    <w:p w14:paraId="735A0E4D" w14:textId="77777777" w:rsidR="00200B99" w:rsidRPr="000C059E" w:rsidRDefault="00200B99" w:rsidP="00773EAE">
      <w:pPr>
        <w:ind w:left="851"/>
        <w:rPr>
          <w:sz w:val="24"/>
          <w:szCs w:val="24"/>
        </w:rPr>
      </w:pPr>
    </w:p>
    <w:p w14:paraId="60E3886C" w14:textId="77777777" w:rsidR="00200B99" w:rsidRPr="000C059E" w:rsidRDefault="00200B99" w:rsidP="00773EAE">
      <w:pPr>
        <w:ind w:left="851"/>
        <w:rPr>
          <w:sz w:val="24"/>
          <w:szCs w:val="24"/>
        </w:rPr>
      </w:pPr>
      <w:r w:rsidRPr="000C059E">
        <w:rPr>
          <w:sz w:val="24"/>
          <w:szCs w:val="24"/>
        </w:rPr>
        <w:t xml:space="preserve">For toksiciteter, der er forbundet med lenvatinib (se tabel 4), kan behandlingen genoptages med en reduceret dosis lenvatinib, som foreslået i tabel 1, når en bivirkning har fortaget sig eller er bedret til grad 0 til 1 eller </w:t>
      </w:r>
      <w:r w:rsidRPr="000C059E">
        <w:rPr>
          <w:i/>
          <w:iCs/>
          <w:sz w:val="24"/>
          <w:szCs w:val="24"/>
        </w:rPr>
        <w:t>baseline</w:t>
      </w:r>
      <w:r w:rsidRPr="000C059E">
        <w:rPr>
          <w:sz w:val="24"/>
          <w:szCs w:val="24"/>
        </w:rPr>
        <w:t>.</w:t>
      </w:r>
    </w:p>
    <w:p w14:paraId="13F5792B" w14:textId="77777777" w:rsidR="00200B99" w:rsidRPr="000C059E" w:rsidRDefault="00200B99" w:rsidP="00200B99">
      <w:pPr>
        <w:pStyle w:val="Brdtekst"/>
        <w:rPr>
          <w:sz w:val="24"/>
          <w:szCs w:val="24"/>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6"/>
        <w:gridCol w:w="2904"/>
        <w:gridCol w:w="4198"/>
      </w:tblGrid>
      <w:tr w:rsidR="00200B99" w:rsidRPr="000C059E" w14:paraId="77E707FB" w14:textId="77777777" w:rsidTr="00773EAE">
        <w:trPr>
          <w:trHeight w:val="503"/>
        </w:trPr>
        <w:tc>
          <w:tcPr>
            <w:tcW w:w="5000" w:type="pct"/>
            <w:gridSpan w:val="3"/>
            <w:tcBorders>
              <w:top w:val="single" w:sz="4" w:space="0" w:color="000000"/>
              <w:left w:val="single" w:sz="4" w:space="0" w:color="000000"/>
              <w:bottom w:val="single" w:sz="4" w:space="0" w:color="000000"/>
              <w:right w:val="single" w:sz="4" w:space="0" w:color="000000"/>
            </w:tcBorders>
            <w:hideMark/>
          </w:tcPr>
          <w:p w14:paraId="4B36299B" w14:textId="6EA94914" w:rsidR="00200B99" w:rsidRPr="000C059E" w:rsidRDefault="00200B99">
            <w:pPr>
              <w:pStyle w:val="TableParagraph"/>
              <w:ind w:left="0"/>
              <w:rPr>
                <w:b/>
                <w:lang w:val="da-DK"/>
              </w:rPr>
            </w:pPr>
            <w:r w:rsidRPr="000C059E">
              <w:rPr>
                <w:b/>
                <w:lang w:val="da-DK"/>
              </w:rPr>
              <w:t>Tabel 1</w:t>
            </w:r>
            <w:r w:rsidR="000C059E" w:rsidRPr="000C059E">
              <w:rPr>
                <w:b/>
                <w:lang w:val="da-DK"/>
              </w:rPr>
              <w:t>.</w:t>
            </w:r>
            <w:r w:rsidRPr="000C059E">
              <w:rPr>
                <w:b/>
                <w:lang w:val="da-DK"/>
              </w:rPr>
              <w:t xml:space="preserve"> Dosismodifikationer fra den anbefalede daglige dosis lenvatinib hos DTC-patienter</w:t>
            </w:r>
            <w:r w:rsidRPr="000C059E">
              <w:rPr>
                <w:b/>
                <w:vertAlign w:val="superscript"/>
                <w:lang w:val="da-DK"/>
              </w:rPr>
              <w:t>a</w:t>
            </w:r>
          </w:p>
        </w:tc>
      </w:tr>
      <w:tr w:rsidR="00200B99" w:rsidRPr="000C059E" w14:paraId="5A4D73BA" w14:textId="77777777" w:rsidTr="00773EAE">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752A1EDE" w14:textId="77777777" w:rsidR="00200B99" w:rsidRPr="000C059E" w:rsidRDefault="00200B99">
            <w:pPr>
              <w:pStyle w:val="TableParagraph"/>
              <w:ind w:left="0"/>
              <w:rPr>
                <w:b/>
                <w:lang w:val="da-DK"/>
              </w:rPr>
            </w:pPr>
            <w:r w:rsidRPr="000C059E">
              <w:rPr>
                <w:b/>
                <w:lang w:val="da-DK"/>
              </w:rPr>
              <w:t>Dosisniveau</w:t>
            </w:r>
          </w:p>
        </w:tc>
        <w:tc>
          <w:tcPr>
            <w:tcW w:w="1508" w:type="pct"/>
            <w:tcBorders>
              <w:top w:val="single" w:sz="4" w:space="0" w:color="000000"/>
              <w:left w:val="single" w:sz="4" w:space="0" w:color="000000"/>
              <w:bottom w:val="single" w:sz="4" w:space="0" w:color="000000"/>
              <w:right w:val="single" w:sz="4" w:space="0" w:color="000000"/>
            </w:tcBorders>
            <w:hideMark/>
          </w:tcPr>
          <w:p w14:paraId="6BEF200F" w14:textId="77777777" w:rsidR="00200B99" w:rsidRPr="000C059E" w:rsidRDefault="00200B99">
            <w:pPr>
              <w:pStyle w:val="TableParagraph"/>
              <w:ind w:left="0"/>
              <w:jc w:val="center"/>
              <w:rPr>
                <w:b/>
                <w:lang w:val="da-DK"/>
              </w:rPr>
            </w:pPr>
            <w:r w:rsidRPr="000C059E">
              <w:rPr>
                <w:b/>
                <w:lang w:val="da-DK"/>
              </w:rPr>
              <w:t>Daglig dosis</w:t>
            </w:r>
          </w:p>
        </w:tc>
        <w:tc>
          <w:tcPr>
            <w:tcW w:w="2180" w:type="pct"/>
            <w:tcBorders>
              <w:top w:val="single" w:sz="4" w:space="0" w:color="000000"/>
              <w:left w:val="single" w:sz="4" w:space="0" w:color="000000"/>
              <w:bottom w:val="single" w:sz="4" w:space="0" w:color="000000"/>
              <w:right w:val="single" w:sz="4" w:space="0" w:color="000000"/>
            </w:tcBorders>
            <w:hideMark/>
          </w:tcPr>
          <w:p w14:paraId="4FADD190" w14:textId="77777777" w:rsidR="00200B99" w:rsidRPr="000C059E" w:rsidRDefault="00200B99">
            <w:pPr>
              <w:pStyle w:val="TableParagraph"/>
              <w:ind w:left="0"/>
              <w:rPr>
                <w:b/>
                <w:lang w:val="da-DK"/>
              </w:rPr>
            </w:pPr>
            <w:r w:rsidRPr="000C059E">
              <w:rPr>
                <w:b/>
                <w:lang w:val="da-DK"/>
              </w:rPr>
              <w:t>Antal kapsler</w:t>
            </w:r>
          </w:p>
        </w:tc>
      </w:tr>
      <w:tr w:rsidR="00200B99" w:rsidRPr="000C059E" w14:paraId="179C5B92" w14:textId="77777777" w:rsidTr="00773EAE">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685D8E6B" w14:textId="77777777" w:rsidR="00200B99" w:rsidRPr="000C059E" w:rsidRDefault="00200B99">
            <w:pPr>
              <w:pStyle w:val="TableParagraph"/>
              <w:ind w:left="0"/>
              <w:rPr>
                <w:lang w:val="da-DK"/>
              </w:rPr>
            </w:pPr>
            <w:r w:rsidRPr="000C059E">
              <w:rPr>
                <w:lang w:val="da-DK"/>
              </w:rPr>
              <w:t>Anbefalet daglig dosis</w:t>
            </w:r>
          </w:p>
        </w:tc>
        <w:tc>
          <w:tcPr>
            <w:tcW w:w="1508" w:type="pct"/>
            <w:tcBorders>
              <w:top w:val="single" w:sz="4" w:space="0" w:color="000000"/>
              <w:left w:val="single" w:sz="4" w:space="0" w:color="000000"/>
              <w:bottom w:val="single" w:sz="4" w:space="0" w:color="000000"/>
              <w:right w:val="single" w:sz="4" w:space="0" w:color="000000"/>
            </w:tcBorders>
            <w:hideMark/>
          </w:tcPr>
          <w:p w14:paraId="682D95A1" w14:textId="77777777" w:rsidR="00200B99" w:rsidRPr="000C059E" w:rsidRDefault="00200B99">
            <w:pPr>
              <w:pStyle w:val="TableParagraph"/>
              <w:ind w:left="0"/>
              <w:jc w:val="center"/>
              <w:rPr>
                <w:lang w:val="da-DK"/>
              </w:rPr>
            </w:pPr>
            <w:r w:rsidRPr="000C059E">
              <w:rPr>
                <w:lang w:val="da-DK"/>
              </w:rPr>
              <w:t>24 mg oralt én gang dagligt</w:t>
            </w:r>
          </w:p>
        </w:tc>
        <w:tc>
          <w:tcPr>
            <w:tcW w:w="2180" w:type="pct"/>
            <w:tcBorders>
              <w:top w:val="single" w:sz="4" w:space="0" w:color="000000"/>
              <w:left w:val="single" w:sz="4" w:space="0" w:color="000000"/>
              <w:bottom w:val="single" w:sz="4" w:space="0" w:color="000000"/>
              <w:right w:val="single" w:sz="4" w:space="0" w:color="000000"/>
            </w:tcBorders>
            <w:hideMark/>
          </w:tcPr>
          <w:p w14:paraId="37D23DDF" w14:textId="77777777" w:rsidR="00200B99" w:rsidRPr="000C059E" w:rsidRDefault="00200B99">
            <w:pPr>
              <w:pStyle w:val="TableParagraph"/>
              <w:ind w:left="0"/>
              <w:rPr>
                <w:lang w:val="da-DK"/>
              </w:rPr>
            </w:pPr>
            <w:r w:rsidRPr="000C059E">
              <w:rPr>
                <w:lang w:val="da-DK"/>
              </w:rPr>
              <w:t>To 10 mg kapsler plus én 4 mg kapsel</w:t>
            </w:r>
          </w:p>
        </w:tc>
      </w:tr>
      <w:tr w:rsidR="00200B99" w:rsidRPr="000C059E" w14:paraId="1E2F6DA4" w14:textId="77777777" w:rsidTr="00773EAE">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6471B56C" w14:textId="77777777" w:rsidR="00200B99" w:rsidRPr="000C059E" w:rsidRDefault="00200B99">
            <w:pPr>
              <w:pStyle w:val="TableParagraph"/>
              <w:ind w:left="0"/>
              <w:rPr>
                <w:lang w:val="da-DK"/>
              </w:rPr>
            </w:pPr>
            <w:r w:rsidRPr="000C059E">
              <w:rPr>
                <w:lang w:val="da-DK"/>
              </w:rPr>
              <w:t>Første dosisreduktion</w:t>
            </w:r>
          </w:p>
        </w:tc>
        <w:tc>
          <w:tcPr>
            <w:tcW w:w="1508" w:type="pct"/>
            <w:tcBorders>
              <w:top w:val="single" w:sz="4" w:space="0" w:color="000000"/>
              <w:left w:val="single" w:sz="4" w:space="0" w:color="000000"/>
              <w:bottom w:val="single" w:sz="4" w:space="0" w:color="000000"/>
              <w:right w:val="single" w:sz="4" w:space="0" w:color="000000"/>
            </w:tcBorders>
            <w:hideMark/>
          </w:tcPr>
          <w:p w14:paraId="7949D1B7" w14:textId="77777777" w:rsidR="00200B99" w:rsidRPr="000C059E" w:rsidRDefault="00200B99">
            <w:pPr>
              <w:pStyle w:val="TableParagraph"/>
              <w:ind w:left="0"/>
              <w:jc w:val="center"/>
              <w:rPr>
                <w:lang w:val="da-DK"/>
              </w:rPr>
            </w:pPr>
            <w:r w:rsidRPr="000C059E">
              <w:rPr>
                <w:lang w:val="da-DK"/>
              </w:rPr>
              <w:t>20 mg oralt én gang dagligt</w:t>
            </w:r>
          </w:p>
        </w:tc>
        <w:tc>
          <w:tcPr>
            <w:tcW w:w="2180" w:type="pct"/>
            <w:tcBorders>
              <w:top w:val="single" w:sz="4" w:space="0" w:color="000000"/>
              <w:left w:val="single" w:sz="4" w:space="0" w:color="000000"/>
              <w:bottom w:val="single" w:sz="4" w:space="0" w:color="000000"/>
              <w:right w:val="single" w:sz="4" w:space="0" w:color="000000"/>
            </w:tcBorders>
            <w:hideMark/>
          </w:tcPr>
          <w:p w14:paraId="1FFF3F63" w14:textId="77777777" w:rsidR="00200B99" w:rsidRPr="000C059E" w:rsidRDefault="00200B99">
            <w:pPr>
              <w:pStyle w:val="TableParagraph"/>
              <w:ind w:left="0"/>
              <w:rPr>
                <w:lang w:val="da-DK"/>
              </w:rPr>
            </w:pPr>
            <w:r w:rsidRPr="000C059E">
              <w:rPr>
                <w:lang w:val="da-DK"/>
              </w:rPr>
              <w:t>To 10 mg kapsler</w:t>
            </w:r>
          </w:p>
        </w:tc>
      </w:tr>
      <w:tr w:rsidR="00200B99" w:rsidRPr="000C059E" w14:paraId="225AC3DC" w14:textId="77777777" w:rsidTr="00773EAE">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1C8DFAA8" w14:textId="77777777" w:rsidR="00200B99" w:rsidRPr="000C059E" w:rsidRDefault="00200B99">
            <w:pPr>
              <w:pStyle w:val="TableParagraph"/>
              <w:ind w:left="0"/>
              <w:rPr>
                <w:lang w:val="da-DK"/>
              </w:rPr>
            </w:pPr>
            <w:r w:rsidRPr="000C059E">
              <w:rPr>
                <w:lang w:val="da-DK"/>
              </w:rPr>
              <w:t>Anden dosisreduktion</w:t>
            </w:r>
          </w:p>
        </w:tc>
        <w:tc>
          <w:tcPr>
            <w:tcW w:w="1508" w:type="pct"/>
            <w:tcBorders>
              <w:top w:val="single" w:sz="4" w:space="0" w:color="000000"/>
              <w:left w:val="single" w:sz="4" w:space="0" w:color="000000"/>
              <w:bottom w:val="single" w:sz="4" w:space="0" w:color="000000"/>
              <w:right w:val="single" w:sz="4" w:space="0" w:color="000000"/>
            </w:tcBorders>
            <w:hideMark/>
          </w:tcPr>
          <w:p w14:paraId="0DD5BCDA" w14:textId="77777777" w:rsidR="00200B99" w:rsidRPr="000C059E" w:rsidRDefault="00200B99">
            <w:pPr>
              <w:pStyle w:val="TableParagraph"/>
              <w:ind w:left="0"/>
              <w:jc w:val="center"/>
              <w:rPr>
                <w:lang w:val="da-DK"/>
              </w:rPr>
            </w:pPr>
            <w:r w:rsidRPr="000C059E">
              <w:rPr>
                <w:lang w:val="da-DK"/>
              </w:rPr>
              <w:t>14 mg oralt én gang dagligt</w:t>
            </w:r>
          </w:p>
        </w:tc>
        <w:tc>
          <w:tcPr>
            <w:tcW w:w="2180" w:type="pct"/>
            <w:tcBorders>
              <w:top w:val="single" w:sz="4" w:space="0" w:color="000000"/>
              <w:left w:val="single" w:sz="4" w:space="0" w:color="000000"/>
              <w:bottom w:val="single" w:sz="4" w:space="0" w:color="000000"/>
              <w:right w:val="single" w:sz="4" w:space="0" w:color="000000"/>
            </w:tcBorders>
            <w:hideMark/>
          </w:tcPr>
          <w:p w14:paraId="5BBAA50D" w14:textId="77777777" w:rsidR="00200B99" w:rsidRPr="000C059E" w:rsidRDefault="00200B99">
            <w:pPr>
              <w:pStyle w:val="TableParagraph"/>
              <w:ind w:left="0"/>
              <w:rPr>
                <w:lang w:val="da-DK"/>
              </w:rPr>
            </w:pPr>
            <w:r w:rsidRPr="000C059E">
              <w:rPr>
                <w:lang w:val="da-DK"/>
              </w:rPr>
              <w:t>Én 10 mg kapsel plus én 4 mg kapsel</w:t>
            </w:r>
          </w:p>
        </w:tc>
      </w:tr>
      <w:tr w:rsidR="00200B99" w:rsidRPr="000C059E" w14:paraId="5574AC41" w14:textId="77777777" w:rsidTr="00773EAE">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0F188420" w14:textId="77777777" w:rsidR="00200B99" w:rsidRPr="000C059E" w:rsidRDefault="00200B99">
            <w:pPr>
              <w:pStyle w:val="TableParagraph"/>
              <w:ind w:left="0"/>
              <w:rPr>
                <w:lang w:val="da-DK"/>
              </w:rPr>
            </w:pPr>
            <w:r w:rsidRPr="000C059E">
              <w:rPr>
                <w:lang w:val="da-DK"/>
              </w:rPr>
              <w:t>Tredje dosisreduktion</w:t>
            </w:r>
          </w:p>
        </w:tc>
        <w:tc>
          <w:tcPr>
            <w:tcW w:w="1508" w:type="pct"/>
            <w:tcBorders>
              <w:top w:val="single" w:sz="4" w:space="0" w:color="000000"/>
              <w:left w:val="single" w:sz="4" w:space="0" w:color="000000"/>
              <w:bottom w:val="single" w:sz="4" w:space="0" w:color="000000"/>
              <w:right w:val="single" w:sz="4" w:space="0" w:color="000000"/>
            </w:tcBorders>
            <w:hideMark/>
          </w:tcPr>
          <w:p w14:paraId="3A9171C1" w14:textId="77777777" w:rsidR="00200B99" w:rsidRPr="000C059E" w:rsidRDefault="00200B99">
            <w:pPr>
              <w:pStyle w:val="TableParagraph"/>
              <w:ind w:left="0"/>
              <w:jc w:val="center"/>
              <w:rPr>
                <w:lang w:val="da-DK"/>
              </w:rPr>
            </w:pPr>
            <w:r w:rsidRPr="000C059E">
              <w:rPr>
                <w:lang w:val="da-DK"/>
              </w:rPr>
              <w:t>10 mg oralt én gang dagligt</w:t>
            </w:r>
            <w:r w:rsidRPr="00DF7CC9">
              <w:rPr>
                <w:vertAlign w:val="superscript"/>
                <w:lang w:val="da-DK"/>
              </w:rPr>
              <w:t>a</w:t>
            </w:r>
          </w:p>
        </w:tc>
        <w:tc>
          <w:tcPr>
            <w:tcW w:w="2180" w:type="pct"/>
            <w:tcBorders>
              <w:top w:val="single" w:sz="4" w:space="0" w:color="000000"/>
              <w:left w:val="single" w:sz="4" w:space="0" w:color="000000"/>
              <w:bottom w:val="single" w:sz="4" w:space="0" w:color="000000"/>
              <w:right w:val="single" w:sz="4" w:space="0" w:color="000000"/>
            </w:tcBorders>
            <w:hideMark/>
          </w:tcPr>
          <w:p w14:paraId="78C5C071" w14:textId="77777777" w:rsidR="00200B99" w:rsidRPr="000C059E" w:rsidRDefault="00200B99">
            <w:pPr>
              <w:pStyle w:val="TableParagraph"/>
              <w:ind w:left="0"/>
              <w:rPr>
                <w:lang w:val="da-DK"/>
              </w:rPr>
            </w:pPr>
            <w:r w:rsidRPr="000C059E">
              <w:rPr>
                <w:lang w:val="da-DK"/>
              </w:rPr>
              <w:t>Én 10 mg kapsel</w:t>
            </w:r>
          </w:p>
        </w:tc>
      </w:tr>
      <w:tr w:rsidR="00200B99" w:rsidRPr="000C059E" w14:paraId="134C51CD" w14:textId="77777777" w:rsidTr="00773EAE">
        <w:trPr>
          <w:trHeight w:val="417"/>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567827" w14:textId="4060A4A3" w:rsidR="00200B99" w:rsidRPr="000C059E" w:rsidRDefault="00200B99" w:rsidP="000C059E">
            <w:pPr>
              <w:pStyle w:val="TableParagraph"/>
              <w:tabs>
                <w:tab w:val="left" w:pos="275"/>
              </w:tabs>
              <w:ind w:left="0"/>
              <w:rPr>
                <w:lang w:val="da-DK"/>
              </w:rPr>
            </w:pPr>
            <w:r w:rsidRPr="000C059E">
              <w:rPr>
                <w:lang w:val="da-DK"/>
              </w:rPr>
              <w:t>a:</w:t>
            </w:r>
            <w:r w:rsidR="000C059E">
              <w:rPr>
                <w:lang w:val="da-DK"/>
              </w:rPr>
              <w:tab/>
            </w:r>
            <w:r w:rsidRPr="000C059E">
              <w:rPr>
                <w:lang w:val="da-DK"/>
              </w:rPr>
              <w:t xml:space="preserve">Yderligere dosisreduktioner bør overvejes på en individuel patientbasis, da der foreligger begrænsede </w:t>
            </w:r>
            <w:r w:rsidR="000C059E">
              <w:rPr>
                <w:lang w:val="da-DK"/>
              </w:rPr>
              <w:tab/>
            </w:r>
            <w:r w:rsidRPr="000C059E">
              <w:rPr>
                <w:lang w:val="da-DK"/>
              </w:rPr>
              <w:t>data for doser</w:t>
            </w:r>
            <w:r w:rsidR="000C059E" w:rsidRPr="000C059E">
              <w:rPr>
                <w:lang w:val="da-DK"/>
              </w:rPr>
              <w:t xml:space="preserve"> </w:t>
            </w:r>
            <w:r w:rsidRPr="000C059E">
              <w:rPr>
                <w:lang w:val="da-DK"/>
              </w:rPr>
              <w:t>under 10 mg.</w:t>
            </w:r>
          </w:p>
        </w:tc>
      </w:tr>
    </w:tbl>
    <w:p w14:paraId="71EAF2F2" w14:textId="77777777" w:rsidR="00200B99" w:rsidRPr="000C059E" w:rsidRDefault="00200B99" w:rsidP="00773EAE">
      <w:pPr>
        <w:ind w:left="851"/>
        <w:rPr>
          <w:sz w:val="24"/>
          <w:szCs w:val="24"/>
        </w:rPr>
      </w:pPr>
    </w:p>
    <w:p w14:paraId="5D772712" w14:textId="77777777" w:rsidR="00200B99" w:rsidRPr="000C059E" w:rsidRDefault="00200B99" w:rsidP="00773EAE">
      <w:pPr>
        <w:ind w:left="851"/>
        <w:rPr>
          <w:sz w:val="24"/>
          <w:szCs w:val="24"/>
        </w:rPr>
      </w:pPr>
      <w:r w:rsidRPr="000C059E">
        <w:rPr>
          <w:sz w:val="24"/>
          <w:szCs w:val="24"/>
        </w:rPr>
        <w:t>Behandlingen skal seponeres i tilfælde af livstruende reaktioner (f.eks. grad 4), med undtagelse af laboratorieanomalier, der bedømmes til ikke at være livstruende. I sådanne tilfælde skal de behandles som svære reaktioner (f.eks. grad 3).</w:t>
      </w:r>
    </w:p>
    <w:p w14:paraId="3F22D2CD" w14:textId="77777777" w:rsidR="00200B99" w:rsidRPr="000C059E" w:rsidRDefault="00200B99" w:rsidP="00773EAE">
      <w:pPr>
        <w:ind w:left="851"/>
        <w:rPr>
          <w:sz w:val="24"/>
          <w:szCs w:val="24"/>
        </w:rPr>
      </w:pPr>
    </w:p>
    <w:p w14:paraId="35FDE694" w14:textId="77777777" w:rsidR="00200B99" w:rsidRPr="000C059E" w:rsidRDefault="00200B99" w:rsidP="00773EAE">
      <w:pPr>
        <w:ind w:left="851"/>
        <w:rPr>
          <w:i/>
          <w:sz w:val="24"/>
          <w:szCs w:val="24"/>
        </w:rPr>
      </w:pPr>
      <w:r w:rsidRPr="000C059E">
        <w:rPr>
          <w:i/>
          <w:sz w:val="24"/>
          <w:szCs w:val="24"/>
          <w:u w:val="single"/>
        </w:rPr>
        <w:t>Hepatocellulært karcinom</w:t>
      </w:r>
    </w:p>
    <w:p w14:paraId="68838904" w14:textId="77777777" w:rsidR="00200B99" w:rsidRPr="000C059E" w:rsidRDefault="00200B99" w:rsidP="00773EAE">
      <w:pPr>
        <w:ind w:left="851"/>
        <w:rPr>
          <w:i/>
          <w:sz w:val="24"/>
          <w:szCs w:val="24"/>
        </w:rPr>
      </w:pPr>
    </w:p>
    <w:p w14:paraId="192C42B6" w14:textId="77777777" w:rsidR="00200B99" w:rsidRPr="000C059E" w:rsidRDefault="00200B99" w:rsidP="00773EAE">
      <w:pPr>
        <w:ind w:left="851"/>
        <w:rPr>
          <w:sz w:val="24"/>
          <w:szCs w:val="24"/>
        </w:rPr>
      </w:pPr>
      <w:r w:rsidRPr="000C059E">
        <w:rPr>
          <w:sz w:val="24"/>
          <w:szCs w:val="24"/>
        </w:rPr>
        <w:t xml:space="preserve">Den anbefalede daglige dosis af lenvatinib er 8 mg (to 4 mg kapsler) én gang dagligt for patienter med en kropsvægt på &lt; 60 kg og 12 mg (tre 4 mg kapsler) én gang dagligt for patienter med en kropsvægt på ≥ 60 kg. Dosisjustering baseres kun på observerede toksiciteter og ikke på ændringer i kropsvægt i løbet af behandlingen. Den daglige dosis skal modificeres efter behov i henhold til dosis/toksicitet- behandlingsplanen. </w:t>
      </w:r>
    </w:p>
    <w:p w14:paraId="5207F4F1" w14:textId="77777777" w:rsidR="00200B99" w:rsidRPr="000C059E" w:rsidRDefault="00200B99" w:rsidP="00773EAE">
      <w:pPr>
        <w:ind w:left="851"/>
        <w:rPr>
          <w:sz w:val="24"/>
          <w:szCs w:val="24"/>
        </w:rPr>
      </w:pPr>
    </w:p>
    <w:p w14:paraId="164C9D91" w14:textId="77777777" w:rsidR="00200B99" w:rsidRPr="000C059E" w:rsidRDefault="00200B99" w:rsidP="00773EAE">
      <w:pPr>
        <w:ind w:left="851"/>
        <w:rPr>
          <w:i/>
          <w:sz w:val="24"/>
          <w:szCs w:val="24"/>
        </w:rPr>
      </w:pPr>
      <w:r w:rsidRPr="000C059E">
        <w:rPr>
          <w:i/>
          <w:sz w:val="24"/>
          <w:szCs w:val="24"/>
        </w:rPr>
        <w:t xml:space="preserve">Dosisjusteringer </w:t>
      </w:r>
      <w:r w:rsidRPr="000C059E">
        <w:rPr>
          <w:sz w:val="24"/>
          <w:szCs w:val="24"/>
        </w:rPr>
        <w:t xml:space="preserve">og </w:t>
      </w:r>
      <w:r w:rsidRPr="000C059E">
        <w:rPr>
          <w:i/>
          <w:sz w:val="24"/>
          <w:szCs w:val="24"/>
        </w:rPr>
        <w:t>seponering ved HCC</w:t>
      </w:r>
    </w:p>
    <w:p w14:paraId="14457941" w14:textId="77777777" w:rsidR="00200B99" w:rsidRPr="000C059E" w:rsidRDefault="00200B99" w:rsidP="00773EAE">
      <w:pPr>
        <w:ind w:left="851"/>
        <w:rPr>
          <w:i/>
          <w:sz w:val="24"/>
          <w:szCs w:val="24"/>
        </w:rPr>
      </w:pPr>
    </w:p>
    <w:p w14:paraId="48496138" w14:textId="77777777" w:rsidR="00200B99" w:rsidRPr="000C059E" w:rsidRDefault="00200B99" w:rsidP="00773EAE">
      <w:pPr>
        <w:ind w:left="851"/>
        <w:rPr>
          <w:sz w:val="24"/>
          <w:szCs w:val="24"/>
        </w:rPr>
      </w:pPr>
      <w:r w:rsidRPr="000C059E">
        <w:rPr>
          <w:sz w:val="24"/>
          <w:szCs w:val="24"/>
        </w:rPr>
        <w:t>Behandling af visse bivirkninger kan kræve dosisafbrydelse, justering eller seponering af lenvatinib-behandlingen. Lette til moderate bivirkninger (f.eks. grad 1 eller 2) kræver normalt ikke afbrydelse af lenvatinib, medmindre de ikke kan tolereres af patienten trods optimal behandling. Toksiciteter i forbindelse med lenvatinib er angivet i tabel 4. Tabel 2 viser detaljer for monitorering, dosisjustering og seponering.</w:t>
      </w:r>
    </w:p>
    <w:p w14:paraId="42237A6F" w14:textId="77777777" w:rsidR="00200B99" w:rsidRPr="000C059E" w:rsidRDefault="00200B99" w:rsidP="00773EAE">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81"/>
        <w:gridCol w:w="3010"/>
        <w:gridCol w:w="2482"/>
        <w:gridCol w:w="2155"/>
      </w:tblGrid>
      <w:tr w:rsidR="00200B99" w:rsidRPr="00720BA8" w14:paraId="79F2D4DE" w14:textId="77777777" w:rsidTr="00773EAE">
        <w:trPr>
          <w:trHeight w:val="503"/>
        </w:trPr>
        <w:tc>
          <w:tcPr>
            <w:tcW w:w="5000" w:type="pct"/>
            <w:gridSpan w:val="4"/>
            <w:tcBorders>
              <w:top w:val="single" w:sz="4" w:space="0" w:color="000000"/>
              <w:left w:val="single" w:sz="4" w:space="0" w:color="000000"/>
              <w:bottom w:val="single" w:sz="4" w:space="0" w:color="000000"/>
              <w:right w:val="single" w:sz="4" w:space="0" w:color="000000"/>
            </w:tcBorders>
            <w:hideMark/>
          </w:tcPr>
          <w:p w14:paraId="661CCD0A" w14:textId="77777777" w:rsidR="00200B99" w:rsidRPr="00720BA8" w:rsidRDefault="00200B99" w:rsidP="00720BA8">
            <w:pPr>
              <w:pStyle w:val="TableParagraph"/>
              <w:ind w:left="133" w:right="142"/>
              <w:rPr>
                <w:b/>
                <w:lang w:val="da-DK"/>
              </w:rPr>
            </w:pPr>
            <w:r w:rsidRPr="00720BA8">
              <w:rPr>
                <w:b/>
                <w:lang w:val="da-DK"/>
              </w:rPr>
              <w:t>Tabel 2 Dosismodifikationer fra anbefalet daglig dosis af lenvatinib hos HCC-patienter</w:t>
            </w:r>
          </w:p>
        </w:tc>
      </w:tr>
      <w:tr w:rsidR="00200B99" w:rsidRPr="00720BA8" w14:paraId="3D4176B5" w14:textId="77777777" w:rsidTr="00773EAE">
        <w:trPr>
          <w:trHeight w:val="921"/>
        </w:trPr>
        <w:tc>
          <w:tcPr>
            <w:tcW w:w="2592" w:type="pct"/>
            <w:gridSpan w:val="2"/>
            <w:tcBorders>
              <w:top w:val="single" w:sz="4" w:space="0" w:color="000000"/>
              <w:left w:val="single" w:sz="4" w:space="0" w:color="000000"/>
              <w:bottom w:val="single" w:sz="4" w:space="0" w:color="000000"/>
              <w:right w:val="single" w:sz="4" w:space="0" w:color="000000"/>
            </w:tcBorders>
          </w:tcPr>
          <w:p w14:paraId="73DD397D" w14:textId="77777777" w:rsidR="00200B99" w:rsidRPr="00720BA8" w:rsidRDefault="00200B99" w:rsidP="00720BA8">
            <w:pPr>
              <w:pStyle w:val="TableParagraph"/>
              <w:ind w:left="133" w:right="142"/>
              <w:rPr>
                <w:lang w:val="da-DK"/>
              </w:rPr>
            </w:pPr>
          </w:p>
          <w:p w14:paraId="08F35F88" w14:textId="77777777" w:rsidR="00200B99" w:rsidRPr="00720BA8" w:rsidRDefault="00200B99" w:rsidP="00720BA8">
            <w:pPr>
              <w:pStyle w:val="TableParagraph"/>
              <w:ind w:left="133" w:right="142"/>
              <w:rPr>
                <w:b/>
                <w:lang w:val="da-DK"/>
              </w:rPr>
            </w:pPr>
            <w:r w:rsidRPr="00720BA8">
              <w:rPr>
                <w:b/>
                <w:lang w:val="da-DK"/>
              </w:rPr>
              <w:t>Startdosis</w:t>
            </w:r>
          </w:p>
        </w:tc>
        <w:tc>
          <w:tcPr>
            <w:tcW w:w="1289" w:type="pct"/>
            <w:tcBorders>
              <w:top w:val="single" w:sz="4" w:space="0" w:color="000000"/>
              <w:left w:val="single" w:sz="4" w:space="0" w:color="000000"/>
              <w:bottom w:val="single" w:sz="4" w:space="0" w:color="000000"/>
              <w:right w:val="single" w:sz="4" w:space="0" w:color="000000"/>
            </w:tcBorders>
            <w:hideMark/>
          </w:tcPr>
          <w:p w14:paraId="7BA4A644" w14:textId="77777777" w:rsidR="00200B99" w:rsidRPr="00720BA8" w:rsidRDefault="00200B99" w:rsidP="00720BA8">
            <w:pPr>
              <w:pStyle w:val="TableParagraph"/>
              <w:ind w:left="133" w:right="142"/>
              <w:rPr>
                <w:b/>
                <w:lang w:val="da-DK"/>
              </w:rPr>
            </w:pPr>
            <w:r w:rsidRPr="00720BA8">
              <w:rPr>
                <w:b/>
                <w:lang w:val="da-DK"/>
              </w:rPr>
              <w:t>≥ 60 kg kropsvægt</w:t>
            </w:r>
          </w:p>
          <w:p w14:paraId="768B71F1" w14:textId="77777777" w:rsidR="00200B99" w:rsidRPr="00720BA8" w:rsidRDefault="00200B99" w:rsidP="00720BA8">
            <w:pPr>
              <w:pStyle w:val="TableParagraph"/>
              <w:ind w:left="133" w:right="142"/>
              <w:rPr>
                <w:b/>
                <w:lang w:val="da-DK"/>
              </w:rPr>
            </w:pPr>
            <w:r w:rsidRPr="00720BA8">
              <w:rPr>
                <w:b/>
                <w:lang w:val="da-DK"/>
              </w:rPr>
              <w:t>12 mg (tre 4 mg kapsler oralt én gang dagligt)</w:t>
            </w:r>
          </w:p>
        </w:tc>
        <w:tc>
          <w:tcPr>
            <w:tcW w:w="1119" w:type="pct"/>
            <w:tcBorders>
              <w:top w:val="single" w:sz="4" w:space="0" w:color="000000"/>
              <w:left w:val="single" w:sz="4" w:space="0" w:color="000000"/>
              <w:bottom w:val="single" w:sz="4" w:space="0" w:color="000000"/>
              <w:right w:val="single" w:sz="4" w:space="0" w:color="000000"/>
            </w:tcBorders>
            <w:hideMark/>
          </w:tcPr>
          <w:p w14:paraId="5E9F127A" w14:textId="77777777" w:rsidR="00200B99" w:rsidRPr="00720BA8" w:rsidRDefault="00200B99" w:rsidP="00720BA8">
            <w:pPr>
              <w:pStyle w:val="TableParagraph"/>
              <w:ind w:left="133" w:right="142"/>
              <w:rPr>
                <w:b/>
                <w:lang w:val="da-DK"/>
              </w:rPr>
            </w:pPr>
            <w:r w:rsidRPr="00720BA8">
              <w:rPr>
                <w:b/>
                <w:lang w:val="da-DK"/>
              </w:rPr>
              <w:t>&lt; 60 kg kropsvægt</w:t>
            </w:r>
          </w:p>
          <w:p w14:paraId="1794A9C4" w14:textId="77777777" w:rsidR="00200B99" w:rsidRPr="00720BA8" w:rsidRDefault="00200B99" w:rsidP="00720BA8">
            <w:pPr>
              <w:pStyle w:val="TableParagraph"/>
              <w:ind w:left="133" w:right="142"/>
              <w:rPr>
                <w:b/>
                <w:lang w:val="da-DK"/>
              </w:rPr>
            </w:pPr>
            <w:r w:rsidRPr="00720BA8">
              <w:rPr>
                <w:b/>
                <w:lang w:val="da-DK"/>
              </w:rPr>
              <w:t xml:space="preserve">8 mg (to 4 </w:t>
            </w:r>
            <w:r w:rsidRPr="00720BA8">
              <w:rPr>
                <w:b/>
                <w:spacing w:val="-3"/>
                <w:lang w:val="da-DK"/>
              </w:rPr>
              <w:t xml:space="preserve">mg </w:t>
            </w:r>
            <w:r w:rsidRPr="00720BA8">
              <w:rPr>
                <w:b/>
                <w:lang w:val="da-DK"/>
              </w:rPr>
              <w:t>kapsler oralt én gang dagligt)</w:t>
            </w:r>
          </w:p>
        </w:tc>
      </w:tr>
      <w:tr w:rsidR="00200B99" w:rsidRPr="00720BA8" w14:paraId="5AD599E9" w14:textId="77777777" w:rsidTr="00773EAE">
        <w:trPr>
          <w:trHeight w:val="230"/>
        </w:trPr>
        <w:tc>
          <w:tcPr>
            <w:tcW w:w="5000" w:type="pct"/>
            <w:gridSpan w:val="4"/>
            <w:tcBorders>
              <w:top w:val="single" w:sz="4" w:space="0" w:color="000000"/>
              <w:left w:val="single" w:sz="4" w:space="0" w:color="000000"/>
              <w:bottom w:val="single" w:sz="4" w:space="0" w:color="000000"/>
              <w:right w:val="single" w:sz="4" w:space="0" w:color="000000"/>
            </w:tcBorders>
            <w:hideMark/>
          </w:tcPr>
          <w:p w14:paraId="1373C191" w14:textId="77777777" w:rsidR="00200B99" w:rsidRPr="00720BA8" w:rsidRDefault="00200B99" w:rsidP="00720BA8">
            <w:pPr>
              <w:pStyle w:val="TableParagraph"/>
              <w:ind w:left="133" w:right="142"/>
              <w:rPr>
                <w:b/>
                <w:lang w:val="da-DK"/>
              </w:rPr>
            </w:pPr>
            <w:r w:rsidRPr="00720BA8">
              <w:rPr>
                <w:b/>
                <w:lang w:val="da-DK"/>
              </w:rPr>
              <w:t>Vedvarende og intolerabel grad 2- eller grad 3-toksicitet</w:t>
            </w:r>
            <w:r w:rsidRPr="00720BA8">
              <w:rPr>
                <w:b/>
                <w:vertAlign w:val="superscript"/>
                <w:lang w:val="da-DK"/>
              </w:rPr>
              <w:t>a</w:t>
            </w:r>
          </w:p>
        </w:tc>
      </w:tr>
      <w:tr w:rsidR="00200B99" w:rsidRPr="00720BA8" w14:paraId="48F89267" w14:textId="77777777" w:rsidTr="00773EAE">
        <w:trPr>
          <w:trHeight w:val="460"/>
        </w:trPr>
        <w:tc>
          <w:tcPr>
            <w:tcW w:w="1029" w:type="pct"/>
            <w:tcBorders>
              <w:top w:val="single" w:sz="4" w:space="0" w:color="000000"/>
              <w:left w:val="single" w:sz="4" w:space="0" w:color="000000"/>
              <w:bottom w:val="single" w:sz="4" w:space="0" w:color="000000"/>
              <w:right w:val="single" w:sz="4" w:space="0" w:color="000000"/>
            </w:tcBorders>
          </w:tcPr>
          <w:p w14:paraId="4F7E6F5D" w14:textId="77777777" w:rsidR="00200B99" w:rsidRPr="00720BA8" w:rsidRDefault="00200B99" w:rsidP="00720BA8">
            <w:pPr>
              <w:pStyle w:val="TableParagraph"/>
              <w:ind w:left="133" w:right="142"/>
              <w:rPr>
                <w:lang w:val="da-DK"/>
              </w:rPr>
            </w:pPr>
          </w:p>
          <w:p w14:paraId="408315F5" w14:textId="77777777" w:rsidR="00200B99" w:rsidRPr="00720BA8" w:rsidRDefault="00200B99" w:rsidP="00720BA8">
            <w:pPr>
              <w:pStyle w:val="TableParagraph"/>
              <w:ind w:left="133" w:right="142"/>
              <w:rPr>
                <w:b/>
                <w:lang w:val="da-DK"/>
              </w:rPr>
            </w:pPr>
            <w:r w:rsidRPr="00720BA8">
              <w:rPr>
                <w:b/>
                <w:lang w:val="da-DK"/>
              </w:rPr>
              <w:t>Bivirkning</w:t>
            </w:r>
          </w:p>
        </w:tc>
        <w:tc>
          <w:tcPr>
            <w:tcW w:w="1563" w:type="pct"/>
            <w:tcBorders>
              <w:top w:val="single" w:sz="4" w:space="0" w:color="000000"/>
              <w:left w:val="single" w:sz="4" w:space="0" w:color="000000"/>
              <w:bottom w:val="single" w:sz="4" w:space="0" w:color="000000"/>
              <w:right w:val="single" w:sz="4" w:space="0" w:color="000000"/>
            </w:tcBorders>
          </w:tcPr>
          <w:p w14:paraId="7FEE234E" w14:textId="77777777" w:rsidR="00200B99" w:rsidRPr="00720BA8" w:rsidRDefault="00200B99" w:rsidP="00720BA8">
            <w:pPr>
              <w:pStyle w:val="TableParagraph"/>
              <w:ind w:left="133" w:right="142"/>
              <w:rPr>
                <w:lang w:val="da-DK"/>
              </w:rPr>
            </w:pPr>
          </w:p>
          <w:p w14:paraId="6DCD563A" w14:textId="77777777" w:rsidR="00200B99" w:rsidRPr="00720BA8" w:rsidRDefault="00200B99" w:rsidP="00720BA8">
            <w:pPr>
              <w:pStyle w:val="TableParagraph"/>
              <w:ind w:left="133" w:right="142"/>
              <w:rPr>
                <w:b/>
                <w:lang w:val="da-DK"/>
              </w:rPr>
            </w:pPr>
            <w:r w:rsidRPr="00720BA8">
              <w:rPr>
                <w:b/>
                <w:lang w:val="da-DK"/>
              </w:rPr>
              <w:t>Modifikation</w:t>
            </w:r>
          </w:p>
        </w:tc>
        <w:tc>
          <w:tcPr>
            <w:tcW w:w="1289" w:type="pct"/>
            <w:tcBorders>
              <w:top w:val="single" w:sz="4" w:space="0" w:color="000000"/>
              <w:left w:val="single" w:sz="4" w:space="0" w:color="000000"/>
              <w:bottom w:val="single" w:sz="4" w:space="0" w:color="000000"/>
              <w:right w:val="single" w:sz="4" w:space="0" w:color="000000"/>
            </w:tcBorders>
            <w:hideMark/>
          </w:tcPr>
          <w:p w14:paraId="7971E8AD" w14:textId="77777777" w:rsidR="00200B99" w:rsidRPr="00720BA8" w:rsidRDefault="00200B99" w:rsidP="00720BA8">
            <w:pPr>
              <w:pStyle w:val="TableParagraph"/>
              <w:ind w:left="133" w:right="142"/>
              <w:rPr>
                <w:b/>
                <w:lang w:val="da-DK"/>
              </w:rPr>
            </w:pPr>
            <w:r w:rsidRPr="00720BA8">
              <w:rPr>
                <w:b/>
                <w:lang w:val="da-DK"/>
              </w:rPr>
              <w:t>Justeret dosis</w:t>
            </w:r>
            <w:r w:rsidRPr="00720BA8">
              <w:rPr>
                <w:b/>
                <w:vertAlign w:val="superscript"/>
                <w:lang w:val="da-DK"/>
              </w:rPr>
              <w:t>b</w:t>
            </w:r>
            <w:r w:rsidRPr="00720BA8">
              <w:rPr>
                <w:b/>
                <w:lang w:val="da-DK"/>
              </w:rPr>
              <w:t xml:space="preserve"> (≥ 60 kg</w:t>
            </w:r>
            <w:r w:rsidRPr="00720BA8">
              <w:rPr>
                <w:b/>
                <w:spacing w:val="15"/>
                <w:lang w:val="da-DK"/>
              </w:rPr>
              <w:t xml:space="preserve"> </w:t>
            </w:r>
            <w:r w:rsidRPr="00720BA8">
              <w:rPr>
                <w:b/>
                <w:spacing w:val="-3"/>
                <w:lang w:val="da-DK"/>
              </w:rPr>
              <w:t>kropsvægt)</w:t>
            </w:r>
          </w:p>
        </w:tc>
        <w:tc>
          <w:tcPr>
            <w:tcW w:w="1119" w:type="pct"/>
            <w:tcBorders>
              <w:top w:val="single" w:sz="4" w:space="0" w:color="000000"/>
              <w:left w:val="single" w:sz="4" w:space="0" w:color="000000"/>
              <w:bottom w:val="single" w:sz="4" w:space="0" w:color="000000"/>
              <w:right w:val="single" w:sz="4" w:space="0" w:color="000000"/>
            </w:tcBorders>
            <w:hideMark/>
          </w:tcPr>
          <w:p w14:paraId="21F82D8F" w14:textId="6A0AAD51" w:rsidR="00200B99" w:rsidRPr="00720BA8" w:rsidRDefault="00200B99" w:rsidP="00720BA8">
            <w:pPr>
              <w:pStyle w:val="TableParagraph"/>
              <w:ind w:left="133" w:right="142"/>
              <w:rPr>
                <w:b/>
                <w:lang w:val="da-DK"/>
              </w:rPr>
            </w:pPr>
            <w:r w:rsidRPr="00720BA8">
              <w:rPr>
                <w:b/>
                <w:lang w:val="da-DK"/>
              </w:rPr>
              <w:t>Justeret dosis</w:t>
            </w:r>
            <w:r w:rsidRPr="00720BA8">
              <w:rPr>
                <w:b/>
                <w:vertAlign w:val="superscript"/>
                <w:lang w:val="da-DK"/>
              </w:rPr>
              <w:t>b</w:t>
            </w:r>
            <w:r w:rsidRPr="00720BA8">
              <w:rPr>
                <w:b/>
                <w:lang w:val="da-DK"/>
              </w:rPr>
              <w:t xml:space="preserve"> (&lt;</w:t>
            </w:r>
            <w:r w:rsidR="00242ACB">
              <w:rPr>
                <w:b/>
                <w:lang w:val="da-DK"/>
              </w:rPr>
              <w:t> </w:t>
            </w:r>
            <w:r w:rsidRPr="00720BA8">
              <w:rPr>
                <w:b/>
                <w:lang w:val="da-DK"/>
              </w:rPr>
              <w:t>60 kg</w:t>
            </w:r>
            <w:r w:rsidRPr="00720BA8">
              <w:rPr>
                <w:b/>
                <w:spacing w:val="-10"/>
                <w:lang w:val="da-DK"/>
              </w:rPr>
              <w:t xml:space="preserve"> </w:t>
            </w:r>
            <w:r w:rsidRPr="00720BA8">
              <w:rPr>
                <w:b/>
                <w:lang w:val="da-DK"/>
              </w:rPr>
              <w:t>kropsvægt)</w:t>
            </w:r>
          </w:p>
        </w:tc>
      </w:tr>
      <w:tr w:rsidR="00200B99" w:rsidRPr="00720BA8" w14:paraId="23824090" w14:textId="77777777" w:rsidTr="00773EAE">
        <w:trPr>
          <w:trHeight w:val="690"/>
        </w:trPr>
        <w:tc>
          <w:tcPr>
            <w:tcW w:w="1029" w:type="pct"/>
            <w:tcBorders>
              <w:top w:val="single" w:sz="4" w:space="0" w:color="000000"/>
              <w:left w:val="single" w:sz="4" w:space="0" w:color="000000"/>
              <w:bottom w:val="single" w:sz="4" w:space="0" w:color="000000"/>
              <w:right w:val="single" w:sz="4" w:space="0" w:color="000000"/>
            </w:tcBorders>
          </w:tcPr>
          <w:p w14:paraId="03154FE4" w14:textId="77777777" w:rsidR="00200B99" w:rsidRPr="00720BA8" w:rsidRDefault="00200B99" w:rsidP="00720BA8">
            <w:pPr>
              <w:pStyle w:val="TableParagraph"/>
              <w:ind w:left="133" w:right="142"/>
              <w:rPr>
                <w:lang w:val="da-DK"/>
              </w:rPr>
            </w:pPr>
          </w:p>
          <w:p w14:paraId="63A68277" w14:textId="77777777" w:rsidR="00200B99" w:rsidRPr="00720BA8" w:rsidRDefault="00200B99" w:rsidP="00720BA8">
            <w:pPr>
              <w:pStyle w:val="TableParagraph"/>
              <w:ind w:left="133" w:right="142"/>
              <w:rPr>
                <w:lang w:val="da-DK"/>
              </w:rPr>
            </w:pPr>
            <w:r w:rsidRPr="00720BA8">
              <w:rPr>
                <w:lang w:val="da-DK"/>
              </w:rPr>
              <w:t>Første hændelse</w:t>
            </w:r>
            <w:r w:rsidRPr="00242ACB">
              <w:rPr>
                <w:vertAlign w:val="superscript"/>
              </w:rPr>
              <w:t>c</w:t>
            </w:r>
          </w:p>
        </w:tc>
        <w:tc>
          <w:tcPr>
            <w:tcW w:w="1563" w:type="pct"/>
            <w:tcBorders>
              <w:top w:val="single" w:sz="4" w:space="0" w:color="000000"/>
              <w:left w:val="single" w:sz="4" w:space="0" w:color="000000"/>
              <w:bottom w:val="single" w:sz="4" w:space="0" w:color="000000"/>
              <w:right w:val="single" w:sz="4" w:space="0" w:color="000000"/>
            </w:tcBorders>
            <w:hideMark/>
          </w:tcPr>
          <w:p w14:paraId="05E8089F" w14:textId="77777777" w:rsidR="00200B99" w:rsidRPr="00720BA8" w:rsidRDefault="00200B99" w:rsidP="00720BA8">
            <w:pPr>
              <w:pStyle w:val="TableParagraph"/>
              <w:ind w:left="133" w:right="142"/>
              <w:rPr>
                <w:lang w:val="da-DK"/>
              </w:rPr>
            </w:pPr>
            <w:r w:rsidRPr="00720BA8">
              <w:rPr>
                <w:lang w:val="da-DK"/>
              </w:rPr>
              <w:t xml:space="preserve">Afbryd, indtil bivirkning har fortaget sig til grad 0-1 eller </w:t>
            </w:r>
            <w:r w:rsidRPr="00720BA8">
              <w:rPr>
                <w:i/>
                <w:iCs/>
                <w:lang w:val="da-DK"/>
              </w:rPr>
              <w:t>baseline</w:t>
            </w:r>
            <w:r w:rsidRPr="00DF7CC9">
              <w:rPr>
                <w:vertAlign w:val="superscript"/>
                <w:lang w:val="da-DK"/>
              </w:rPr>
              <w:t>d</w:t>
            </w:r>
          </w:p>
        </w:tc>
        <w:tc>
          <w:tcPr>
            <w:tcW w:w="1289" w:type="pct"/>
            <w:tcBorders>
              <w:top w:val="single" w:sz="4" w:space="0" w:color="000000"/>
              <w:left w:val="single" w:sz="4" w:space="0" w:color="000000"/>
              <w:bottom w:val="single" w:sz="4" w:space="0" w:color="000000"/>
              <w:right w:val="single" w:sz="4" w:space="0" w:color="000000"/>
            </w:tcBorders>
            <w:hideMark/>
          </w:tcPr>
          <w:p w14:paraId="319F69C5" w14:textId="77777777" w:rsidR="00200B99" w:rsidRPr="00720BA8" w:rsidRDefault="00200B99" w:rsidP="00720BA8">
            <w:pPr>
              <w:pStyle w:val="TableParagraph"/>
              <w:ind w:left="133" w:right="142"/>
              <w:rPr>
                <w:lang w:val="da-DK"/>
              </w:rPr>
            </w:pPr>
            <w:r w:rsidRPr="00720BA8">
              <w:rPr>
                <w:lang w:val="da-DK"/>
              </w:rPr>
              <w:t>8 mg</w:t>
            </w:r>
          </w:p>
          <w:p w14:paraId="4BA97246" w14:textId="77777777" w:rsidR="00200B99" w:rsidRPr="00720BA8" w:rsidRDefault="00200B99" w:rsidP="00720BA8">
            <w:pPr>
              <w:pStyle w:val="TableParagraph"/>
              <w:ind w:left="133" w:right="142"/>
              <w:rPr>
                <w:lang w:val="da-DK"/>
              </w:rPr>
            </w:pPr>
            <w:r w:rsidRPr="00720BA8">
              <w:rPr>
                <w:lang w:val="da-DK"/>
              </w:rPr>
              <w:t>(to 4 mg kapsler) oralt én gang dagligt</w:t>
            </w:r>
          </w:p>
        </w:tc>
        <w:tc>
          <w:tcPr>
            <w:tcW w:w="1119" w:type="pct"/>
            <w:tcBorders>
              <w:top w:val="single" w:sz="4" w:space="0" w:color="000000"/>
              <w:left w:val="single" w:sz="4" w:space="0" w:color="000000"/>
              <w:bottom w:val="single" w:sz="4" w:space="0" w:color="000000"/>
              <w:right w:val="single" w:sz="4" w:space="0" w:color="000000"/>
            </w:tcBorders>
            <w:hideMark/>
          </w:tcPr>
          <w:p w14:paraId="3E91BAC0" w14:textId="77777777" w:rsidR="00200B99" w:rsidRPr="00720BA8" w:rsidRDefault="00200B99" w:rsidP="00720BA8">
            <w:pPr>
              <w:pStyle w:val="TableParagraph"/>
              <w:ind w:left="133" w:right="142"/>
              <w:rPr>
                <w:lang w:val="da-DK"/>
              </w:rPr>
            </w:pPr>
            <w:r w:rsidRPr="00720BA8">
              <w:rPr>
                <w:lang w:val="da-DK"/>
              </w:rPr>
              <w:t>4 mg</w:t>
            </w:r>
          </w:p>
          <w:p w14:paraId="77B630FD" w14:textId="77777777" w:rsidR="00200B99" w:rsidRPr="00720BA8" w:rsidRDefault="00200B99" w:rsidP="00720BA8">
            <w:pPr>
              <w:pStyle w:val="TableParagraph"/>
              <w:ind w:left="133" w:right="142"/>
              <w:rPr>
                <w:lang w:val="da-DK"/>
              </w:rPr>
            </w:pPr>
            <w:r w:rsidRPr="00720BA8">
              <w:rPr>
                <w:lang w:val="da-DK"/>
              </w:rPr>
              <w:t>(én 4 mg kapsel) oralt én gang dagligt</w:t>
            </w:r>
          </w:p>
        </w:tc>
      </w:tr>
      <w:tr w:rsidR="00200B99" w:rsidRPr="00720BA8" w14:paraId="2B38AE51" w14:textId="77777777" w:rsidTr="00773EAE">
        <w:trPr>
          <w:trHeight w:val="688"/>
        </w:trPr>
        <w:tc>
          <w:tcPr>
            <w:tcW w:w="1029" w:type="pct"/>
            <w:tcBorders>
              <w:top w:val="single" w:sz="4" w:space="0" w:color="000000"/>
              <w:left w:val="single" w:sz="4" w:space="0" w:color="000000"/>
              <w:bottom w:val="single" w:sz="4" w:space="0" w:color="000000"/>
              <w:right w:val="single" w:sz="4" w:space="0" w:color="000000"/>
            </w:tcBorders>
            <w:hideMark/>
          </w:tcPr>
          <w:p w14:paraId="56F3A875" w14:textId="77777777" w:rsidR="00200B99" w:rsidRPr="00720BA8" w:rsidRDefault="00200B99" w:rsidP="00720BA8">
            <w:pPr>
              <w:pStyle w:val="TableParagraph"/>
              <w:ind w:left="133" w:right="142"/>
              <w:rPr>
                <w:lang w:val="da-DK"/>
              </w:rPr>
            </w:pPr>
            <w:r w:rsidRPr="00720BA8">
              <w:rPr>
                <w:lang w:val="da-DK"/>
              </w:rPr>
              <w:t>Anden hændelse (samme bivirkning eller ny bivirkning)</w:t>
            </w:r>
          </w:p>
        </w:tc>
        <w:tc>
          <w:tcPr>
            <w:tcW w:w="1563" w:type="pct"/>
            <w:tcBorders>
              <w:top w:val="single" w:sz="4" w:space="0" w:color="000000"/>
              <w:left w:val="single" w:sz="4" w:space="0" w:color="000000"/>
              <w:bottom w:val="single" w:sz="4" w:space="0" w:color="000000"/>
              <w:right w:val="single" w:sz="4" w:space="0" w:color="000000"/>
            </w:tcBorders>
            <w:hideMark/>
          </w:tcPr>
          <w:p w14:paraId="5C9269AB" w14:textId="77777777" w:rsidR="00200B99" w:rsidRPr="00720BA8" w:rsidRDefault="00200B99" w:rsidP="00720BA8">
            <w:pPr>
              <w:pStyle w:val="TableParagraph"/>
              <w:ind w:left="133" w:right="142"/>
              <w:rPr>
                <w:lang w:val="da-DK"/>
              </w:rPr>
            </w:pPr>
            <w:r w:rsidRPr="00720BA8">
              <w:rPr>
                <w:lang w:val="da-DK"/>
              </w:rPr>
              <w:t xml:space="preserve">Afbryd, indtil bivirkning har fortaget sig til grad 0-1 eller </w:t>
            </w:r>
            <w:r w:rsidRPr="00720BA8">
              <w:rPr>
                <w:i/>
                <w:iCs/>
                <w:lang w:val="da-DK"/>
              </w:rPr>
              <w:t>baseline</w:t>
            </w:r>
            <w:r w:rsidRPr="00DF7CC9">
              <w:rPr>
                <w:vertAlign w:val="superscript"/>
                <w:lang w:val="da-DK"/>
              </w:rPr>
              <w:t>d</w:t>
            </w:r>
          </w:p>
        </w:tc>
        <w:tc>
          <w:tcPr>
            <w:tcW w:w="1289" w:type="pct"/>
            <w:tcBorders>
              <w:top w:val="single" w:sz="4" w:space="0" w:color="000000"/>
              <w:left w:val="single" w:sz="4" w:space="0" w:color="000000"/>
              <w:bottom w:val="single" w:sz="4" w:space="0" w:color="000000"/>
              <w:right w:val="single" w:sz="4" w:space="0" w:color="000000"/>
            </w:tcBorders>
            <w:hideMark/>
          </w:tcPr>
          <w:p w14:paraId="77ECA4CD" w14:textId="77777777" w:rsidR="00200B99" w:rsidRPr="00720BA8" w:rsidRDefault="00200B99" w:rsidP="00720BA8">
            <w:pPr>
              <w:pStyle w:val="TableParagraph"/>
              <w:ind w:left="133" w:right="142"/>
              <w:rPr>
                <w:lang w:val="da-DK"/>
              </w:rPr>
            </w:pPr>
            <w:r w:rsidRPr="00720BA8">
              <w:rPr>
                <w:lang w:val="da-DK"/>
              </w:rPr>
              <w:t>4 mg</w:t>
            </w:r>
          </w:p>
          <w:p w14:paraId="4C7B4AF4" w14:textId="77777777" w:rsidR="00200B99" w:rsidRPr="00720BA8" w:rsidRDefault="00200B99" w:rsidP="00720BA8">
            <w:pPr>
              <w:pStyle w:val="TableParagraph"/>
              <w:ind w:left="133" w:right="142"/>
              <w:rPr>
                <w:lang w:val="da-DK"/>
              </w:rPr>
            </w:pPr>
            <w:r w:rsidRPr="00720BA8">
              <w:rPr>
                <w:lang w:val="da-DK"/>
              </w:rPr>
              <w:t>(én 4 mg kapsel) oralt én gang dagligt</w:t>
            </w:r>
          </w:p>
        </w:tc>
        <w:tc>
          <w:tcPr>
            <w:tcW w:w="1119" w:type="pct"/>
            <w:tcBorders>
              <w:top w:val="single" w:sz="4" w:space="0" w:color="000000"/>
              <w:left w:val="single" w:sz="4" w:space="0" w:color="000000"/>
              <w:bottom w:val="single" w:sz="4" w:space="0" w:color="000000"/>
              <w:right w:val="single" w:sz="4" w:space="0" w:color="000000"/>
            </w:tcBorders>
            <w:hideMark/>
          </w:tcPr>
          <w:p w14:paraId="30F73D7F" w14:textId="77777777" w:rsidR="00200B99" w:rsidRPr="00720BA8" w:rsidRDefault="00200B99" w:rsidP="00720BA8">
            <w:pPr>
              <w:pStyle w:val="TableParagraph"/>
              <w:ind w:left="133" w:right="142"/>
              <w:rPr>
                <w:lang w:val="da-DK"/>
              </w:rPr>
            </w:pPr>
            <w:r w:rsidRPr="00720BA8">
              <w:rPr>
                <w:lang w:val="da-DK"/>
              </w:rPr>
              <w:t>4 mg</w:t>
            </w:r>
          </w:p>
          <w:p w14:paraId="17FEF639" w14:textId="77777777" w:rsidR="00200B99" w:rsidRPr="00720BA8" w:rsidRDefault="00200B99" w:rsidP="00720BA8">
            <w:pPr>
              <w:pStyle w:val="TableParagraph"/>
              <w:ind w:left="133" w:right="142"/>
              <w:rPr>
                <w:lang w:val="da-DK"/>
              </w:rPr>
            </w:pPr>
            <w:r w:rsidRPr="00720BA8">
              <w:rPr>
                <w:lang w:val="da-DK"/>
              </w:rPr>
              <w:t>(én 4 mg kapsel) oralt hver anden dag</w:t>
            </w:r>
          </w:p>
        </w:tc>
      </w:tr>
      <w:tr w:rsidR="00200B99" w:rsidRPr="00720BA8" w14:paraId="13BE5C24" w14:textId="77777777" w:rsidTr="00773EAE">
        <w:trPr>
          <w:trHeight w:val="684"/>
        </w:trPr>
        <w:tc>
          <w:tcPr>
            <w:tcW w:w="1029" w:type="pct"/>
            <w:tcBorders>
              <w:top w:val="single" w:sz="4" w:space="0" w:color="000000"/>
              <w:left w:val="single" w:sz="4" w:space="0" w:color="000000"/>
              <w:bottom w:val="single" w:sz="4" w:space="0" w:color="000000"/>
              <w:right w:val="single" w:sz="4" w:space="0" w:color="000000"/>
            </w:tcBorders>
            <w:hideMark/>
          </w:tcPr>
          <w:p w14:paraId="38842973" w14:textId="77777777" w:rsidR="00200B99" w:rsidRPr="00720BA8" w:rsidRDefault="00200B99" w:rsidP="00720BA8">
            <w:pPr>
              <w:pStyle w:val="TableParagraph"/>
              <w:ind w:left="133" w:right="142"/>
              <w:rPr>
                <w:lang w:val="da-DK"/>
              </w:rPr>
            </w:pPr>
            <w:r w:rsidRPr="00720BA8">
              <w:rPr>
                <w:lang w:val="da-DK"/>
              </w:rPr>
              <w:t>Tredje hændelse</w:t>
            </w:r>
          </w:p>
          <w:p w14:paraId="4136FA51" w14:textId="77777777" w:rsidR="00200B99" w:rsidRPr="00720BA8" w:rsidRDefault="00200B99" w:rsidP="00720BA8">
            <w:pPr>
              <w:pStyle w:val="TableParagraph"/>
              <w:ind w:left="133" w:right="142"/>
              <w:rPr>
                <w:lang w:val="da-DK"/>
              </w:rPr>
            </w:pPr>
            <w:r w:rsidRPr="00720BA8">
              <w:rPr>
                <w:lang w:val="da-DK"/>
              </w:rPr>
              <w:t>(samme bivirkning eller ny bivirkning)</w:t>
            </w:r>
          </w:p>
        </w:tc>
        <w:tc>
          <w:tcPr>
            <w:tcW w:w="1563" w:type="pct"/>
            <w:tcBorders>
              <w:top w:val="single" w:sz="4" w:space="0" w:color="000000"/>
              <w:left w:val="single" w:sz="4" w:space="0" w:color="000000"/>
              <w:bottom w:val="single" w:sz="4" w:space="0" w:color="000000"/>
              <w:right w:val="single" w:sz="4" w:space="0" w:color="000000"/>
            </w:tcBorders>
            <w:hideMark/>
          </w:tcPr>
          <w:p w14:paraId="752DD196" w14:textId="77777777" w:rsidR="00200B99" w:rsidRPr="00720BA8" w:rsidRDefault="00200B99" w:rsidP="00720BA8">
            <w:pPr>
              <w:pStyle w:val="TableParagraph"/>
              <w:ind w:left="133" w:right="142"/>
              <w:rPr>
                <w:lang w:val="da-DK"/>
              </w:rPr>
            </w:pPr>
            <w:r w:rsidRPr="00720BA8">
              <w:rPr>
                <w:lang w:val="da-DK"/>
              </w:rPr>
              <w:t>Afbryd, indtil bivirkning har</w:t>
            </w:r>
          </w:p>
          <w:p w14:paraId="79CE515D" w14:textId="77777777" w:rsidR="00200B99" w:rsidRPr="00720BA8" w:rsidRDefault="00200B99" w:rsidP="00720BA8">
            <w:pPr>
              <w:pStyle w:val="TableParagraph"/>
              <w:ind w:left="133" w:right="142"/>
              <w:rPr>
                <w:lang w:val="da-DK"/>
              </w:rPr>
            </w:pPr>
            <w:r w:rsidRPr="00720BA8">
              <w:rPr>
                <w:lang w:val="da-DK"/>
              </w:rPr>
              <w:t xml:space="preserve">fortaget sig til grad 0-1 eller </w:t>
            </w:r>
            <w:r w:rsidRPr="00720BA8">
              <w:rPr>
                <w:i/>
                <w:iCs/>
                <w:lang w:val="da-DK"/>
              </w:rPr>
              <w:t>baseline</w:t>
            </w:r>
            <w:r w:rsidRPr="00DF7CC9">
              <w:rPr>
                <w:vertAlign w:val="superscript"/>
                <w:lang w:val="da-DK"/>
              </w:rPr>
              <w:t>d</w:t>
            </w:r>
          </w:p>
        </w:tc>
        <w:tc>
          <w:tcPr>
            <w:tcW w:w="1289" w:type="pct"/>
            <w:tcBorders>
              <w:top w:val="single" w:sz="4" w:space="0" w:color="000000"/>
              <w:left w:val="single" w:sz="4" w:space="0" w:color="000000"/>
              <w:bottom w:val="single" w:sz="4" w:space="0" w:color="000000"/>
              <w:right w:val="single" w:sz="4" w:space="0" w:color="000000"/>
            </w:tcBorders>
            <w:hideMark/>
          </w:tcPr>
          <w:p w14:paraId="7B144FF2" w14:textId="77777777" w:rsidR="00200B99" w:rsidRPr="00720BA8" w:rsidRDefault="00200B99" w:rsidP="00720BA8">
            <w:pPr>
              <w:pStyle w:val="TableParagraph"/>
              <w:ind w:left="133" w:right="142"/>
              <w:rPr>
                <w:lang w:val="da-DK"/>
              </w:rPr>
            </w:pPr>
            <w:r w:rsidRPr="00720BA8">
              <w:rPr>
                <w:lang w:val="da-DK"/>
              </w:rPr>
              <w:t>4 mg</w:t>
            </w:r>
          </w:p>
          <w:p w14:paraId="554BFE29" w14:textId="77777777" w:rsidR="00200B99" w:rsidRPr="00720BA8" w:rsidRDefault="00200B99" w:rsidP="00720BA8">
            <w:pPr>
              <w:pStyle w:val="TableParagraph"/>
              <w:ind w:left="133" w:right="142"/>
              <w:rPr>
                <w:lang w:val="da-DK"/>
              </w:rPr>
            </w:pPr>
            <w:r w:rsidRPr="00720BA8">
              <w:rPr>
                <w:lang w:val="da-DK"/>
              </w:rPr>
              <w:t>(én 4 mg kapsel) oralt hver anden dag</w:t>
            </w:r>
          </w:p>
        </w:tc>
        <w:tc>
          <w:tcPr>
            <w:tcW w:w="1119" w:type="pct"/>
            <w:tcBorders>
              <w:top w:val="single" w:sz="4" w:space="0" w:color="000000"/>
              <w:left w:val="single" w:sz="4" w:space="0" w:color="000000"/>
              <w:bottom w:val="single" w:sz="4" w:space="0" w:color="000000"/>
              <w:right w:val="single" w:sz="4" w:space="0" w:color="000000"/>
            </w:tcBorders>
          </w:tcPr>
          <w:p w14:paraId="5F623F7D" w14:textId="77777777" w:rsidR="00200B99" w:rsidRPr="00720BA8" w:rsidRDefault="00200B99" w:rsidP="00720BA8">
            <w:pPr>
              <w:pStyle w:val="TableParagraph"/>
              <w:ind w:left="133" w:right="142"/>
              <w:rPr>
                <w:lang w:val="da-DK"/>
              </w:rPr>
            </w:pPr>
          </w:p>
          <w:p w14:paraId="572A7B05" w14:textId="77777777" w:rsidR="00200B99" w:rsidRPr="00720BA8" w:rsidRDefault="00200B99" w:rsidP="00720BA8">
            <w:pPr>
              <w:pStyle w:val="TableParagraph"/>
              <w:ind w:left="133" w:right="142"/>
              <w:rPr>
                <w:lang w:val="da-DK"/>
              </w:rPr>
            </w:pPr>
            <w:r w:rsidRPr="00720BA8">
              <w:rPr>
                <w:lang w:val="da-DK"/>
              </w:rPr>
              <w:t>Seponering</w:t>
            </w:r>
          </w:p>
        </w:tc>
      </w:tr>
      <w:tr w:rsidR="00200B99" w:rsidRPr="00720BA8" w14:paraId="4EBB2C5A" w14:textId="77777777" w:rsidTr="00773EAE">
        <w:trPr>
          <w:trHeight w:val="228"/>
        </w:trPr>
        <w:tc>
          <w:tcPr>
            <w:tcW w:w="5000" w:type="pct"/>
            <w:gridSpan w:val="4"/>
            <w:tcBorders>
              <w:top w:val="single" w:sz="4" w:space="0" w:color="000000"/>
              <w:left w:val="single" w:sz="4" w:space="0" w:color="000000"/>
              <w:bottom w:val="single" w:sz="4" w:space="0" w:color="000000"/>
              <w:right w:val="single" w:sz="4" w:space="0" w:color="000000"/>
            </w:tcBorders>
            <w:hideMark/>
          </w:tcPr>
          <w:p w14:paraId="08E18515" w14:textId="77777777" w:rsidR="00200B99" w:rsidRPr="00720BA8" w:rsidRDefault="00200B99" w:rsidP="00720BA8">
            <w:pPr>
              <w:pStyle w:val="TableParagraph"/>
              <w:ind w:left="133" w:right="131"/>
              <w:rPr>
                <w:b/>
                <w:lang w:val="da-DK"/>
              </w:rPr>
            </w:pPr>
            <w:r w:rsidRPr="00720BA8">
              <w:rPr>
                <w:b/>
                <w:lang w:val="da-DK"/>
              </w:rPr>
              <w:t>Livstruende toksiciteter (grad 4): Seponering</w:t>
            </w:r>
            <w:r w:rsidRPr="00720BA8">
              <w:rPr>
                <w:b/>
                <w:vertAlign w:val="superscript"/>
                <w:lang w:val="da-DK"/>
              </w:rPr>
              <w:t>e</w:t>
            </w:r>
          </w:p>
        </w:tc>
      </w:tr>
      <w:tr w:rsidR="00200B99" w:rsidRPr="00720BA8" w14:paraId="4217A976" w14:textId="77777777" w:rsidTr="00773EAE">
        <w:trPr>
          <w:trHeight w:val="1333"/>
        </w:trPr>
        <w:tc>
          <w:tcPr>
            <w:tcW w:w="5000" w:type="pct"/>
            <w:gridSpan w:val="4"/>
            <w:tcBorders>
              <w:top w:val="single" w:sz="4" w:space="0" w:color="000000"/>
              <w:left w:val="single" w:sz="4" w:space="0" w:color="000000"/>
              <w:bottom w:val="single" w:sz="4" w:space="0" w:color="000000"/>
              <w:right w:val="single" w:sz="4" w:space="0" w:color="000000"/>
            </w:tcBorders>
            <w:hideMark/>
          </w:tcPr>
          <w:p w14:paraId="7DA15B99" w14:textId="1FEEB2BB" w:rsidR="00200B99" w:rsidRPr="00720BA8" w:rsidRDefault="00200B99" w:rsidP="00242ACB">
            <w:pPr>
              <w:pStyle w:val="TableParagraph"/>
              <w:ind w:left="417" w:right="131" w:hanging="284"/>
              <w:rPr>
                <w:lang w:val="da-DK"/>
              </w:rPr>
            </w:pPr>
            <w:r w:rsidRPr="00720BA8">
              <w:rPr>
                <w:lang w:val="da-DK"/>
              </w:rPr>
              <w:t xml:space="preserve">a: </w:t>
            </w:r>
            <w:r w:rsidR="00242ACB">
              <w:rPr>
                <w:lang w:val="da-DK"/>
              </w:rPr>
              <w:tab/>
            </w:r>
            <w:r w:rsidRPr="00720BA8">
              <w:rPr>
                <w:lang w:val="da-DK"/>
              </w:rPr>
              <w:t>Initier medicinsk behandling for kvalme, opkast, eller diarré før en afbrydelse eller dosisreduktion.</w:t>
            </w:r>
          </w:p>
          <w:p w14:paraId="3243F3CB" w14:textId="234B71DF" w:rsidR="00200B99" w:rsidRPr="00720BA8" w:rsidRDefault="00200B99" w:rsidP="00242ACB">
            <w:pPr>
              <w:pStyle w:val="TableParagraph"/>
              <w:ind w:left="417" w:right="131" w:hanging="284"/>
              <w:rPr>
                <w:lang w:val="da-DK"/>
              </w:rPr>
            </w:pPr>
            <w:r w:rsidRPr="00720BA8">
              <w:rPr>
                <w:lang w:val="da-DK"/>
              </w:rPr>
              <w:t xml:space="preserve">b: </w:t>
            </w:r>
            <w:r w:rsidR="00242ACB">
              <w:rPr>
                <w:lang w:val="da-DK"/>
              </w:rPr>
              <w:tab/>
            </w:r>
            <w:r w:rsidRPr="00720BA8">
              <w:rPr>
                <w:lang w:val="da-DK"/>
              </w:rPr>
              <w:t xml:space="preserve">Reducér dosis i rækkefølge baseret på det forrige dosisniveau (12 mg, 8 mg, 4 mg eller 4 mg hver anden dag). </w:t>
            </w:r>
          </w:p>
          <w:p w14:paraId="73EC8C48" w14:textId="205C4BDC" w:rsidR="00200B99" w:rsidRPr="00720BA8" w:rsidRDefault="00200B99" w:rsidP="00242ACB">
            <w:pPr>
              <w:pStyle w:val="TableParagraph"/>
              <w:ind w:left="417" w:right="131" w:hanging="284"/>
              <w:rPr>
                <w:lang w:val="da-DK"/>
              </w:rPr>
            </w:pPr>
            <w:r w:rsidRPr="00720BA8">
              <w:rPr>
                <w:lang w:val="da-DK"/>
              </w:rPr>
              <w:t xml:space="preserve">c: </w:t>
            </w:r>
            <w:r w:rsidR="00242ACB">
              <w:rPr>
                <w:lang w:val="da-DK"/>
              </w:rPr>
              <w:tab/>
            </w:r>
            <w:r w:rsidRPr="00720BA8">
              <w:rPr>
                <w:lang w:val="da-DK"/>
              </w:rPr>
              <w:t>Hæmatologisk toksicitet eller proteinuri: ingen dosisjustering nødvendig ved første hændelse.</w:t>
            </w:r>
          </w:p>
          <w:p w14:paraId="54CEA8AE" w14:textId="0FD6F437" w:rsidR="00200B99" w:rsidRPr="00720BA8" w:rsidRDefault="00200B99" w:rsidP="00242ACB">
            <w:pPr>
              <w:pStyle w:val="TableParagraph"/>
              <w:ind w:left="417" w:right="131" w:hanging="284"/>
              <w:rPr>
                <w:lang w:val="da-DK"/>
              </w:rPr>
            </w:pPr>
            <w:r w:rsidRPr="00720BA8">
              <w:rPr>
                <w:lang w:val="da-DK"/>
              </w:rPr>
              <w:t xml:space="preserve">d: </w:t>
            </w:r>
            <w:r w:rsidR="00242ACB">
              <w:rPr>
                <w:lang w:val="da-DK"/>
              </w:rPr>
              <w:tab/>
            </w:r>
            <w:r w:rsidRPr="00720BA8">
              <w:rPr>
                <w:lang w:val="da-DK"/>
              </w:rPr>
              <w:t>For hæmatologisk toksicitet kan dosering genstartes, når bivirkningen har fortaget sig til grad 2; ved proteinuri genstartes behandlingen, når det er fortaget til under 2 g/24 timer.</w:t>
            </w:r>
          </w:p>
          <w:p w14:paraId="172A053D" w14:textId="4463ABC9" w:rsidR="00200B99" w:rsidRPr="00720BA8" w:rsidRDefault="00200B99" w:rsidP="00242ACB">
            <w:pPr>
              <w:pStyle w:val="TableParagraph"/>
              <w:ind w:left="417" w:right="131" w:hanging="284"/>
              <w:rPr>
                <w:lang w:val="da-DK"/>
              </w:rPr>
            </w:pPr>
            <w:r w:rsidRPr="00720BA8">
              <w:rPr>
                <w:lang w:val="da-DK"/>
              </w:rPr>
              <w:t xml:space="preserve">e: </w:t>
            </w:r>
            <w:r w:rsidR="00242ACB">
              <w:rPr>
                <w:lang w:val="da-DK"/>
              </w:rPr>
              <w:tab/>
            </w:r>
            <w:r w:rsidRPr="00720BA8">
              <w:rPr>
                <w:lang w:val="da-DK"/>
              </w:rPr>
              <w:t>Eksklusive laboratorieanomalier, der bedømmes til ikke at være livstruende, og som skal behandles som grad 3.</w:t>
            </w:r>
          </w:p>
        </w:tc>
      </w:tr>
    </w:tbl>
    <w:p w14:paraId="20CCE577" w14:textId="77777777" w:rsidR="00200B99" w:rsidRPr="000C059E" w:rsidRDefault="00200B99" w:rsidP="00773EAE">
      <w:pPr>
        <w:ind w:left="851"/>
        <w:rPr>
          <w:sz w:val="24"/>
          <w:szCs w:val="24"/>
        </w:rPr>
      </w:pPr>
    </w:p>
    <w:p w14:paraId="6F8BD8A6" w14:textId="77777777" w:rsidR="00200B99" w:rsidRPr="000C059E" w:rsidRDefault="00200B99" w:rsidP="00773EAE">
      <w:pPr>
        <w:ind w:left="851"/>
        <w:rPr>
          <w:sz w:val="24"/>
          <w:szCs w:val="24"/>
        </w:rPr>
      </w:pPr>
      <w:r w:rsidRPr="000C059E">
        <w:rPr>
          <w:sz w:val="24"/>
          <w:szCs w:val="24"/>
        </w:rPr>
        <w:t xml:space="preserve">Gradinddelingen er baseret på </w:t>
      </w:r>
      <w:r w:rsidRPr="000C059E">
        <w:rPr>
          <w:i/>
          <w:iCs/>
          <w:sz w:val="24"/>
          <w:szCs w:val="24"/>
        </w:rPr>
        <w:t>National Cancer Institute (NCI) Common Terminology Criteria for Adverse Events</w:t>
      </w:r>
      <w:r w:rsidRPr="000C059E">
        <w:rPr>
          <w:spacing w:val="-3"/>
          <w:sz w:val="24"/>
          <w:szCs w:val="24"/>
        </w:rPr>
        <w:t xml:space="preserve"> </w:t>
      </w:r>
      <w:r w:rsidRPr="000C059E">
        <w:rPr>
          <w:i/>
          <w:iCs/>
          <w:sz w:val="24"/>
          <w:szCs w:val="24"/>
        </w:rPr>
        <w:t>(CTCAE)</w:t>
      </w:r>
      <w:r w:rsidRPr="000C059E">
        <w:rPr>
          <w:sz w:val="24"/>
          <w:szCs w:val="24"/>
        </w:rPr>
        <w:t>.</w:t>
      </w:r>
    </w:p>
    <w:p w14:paraId="63035103" w14:textId="77777777" w:rsidR="00200B99" w:rsidRPr="000C059E" w:rsidRDefault="00200B99" w:rsidP="00773EAE">
      <w:pPr>
        <w:ind w:left="851"/>
        <w:rPr>
          <w:sz w:val="24"/>
          <w:szCs w:val="24"/>
        </w:rPr>
      </w:pPr>
    </w:p>
    <w:p w14:paraId="1147D1E9" w14:textId="77777777" w:rsidR="00200B99" w:rsidRPr="000C059E" w:rsidRDefault="00200B99" w:rsidP="00773EAE">
      <w:pPr>
        <w:ind w:left="851"/>
        <w:rPr>
          <w:i/>
          <w:sz w:val="24"/>
          <w:szCs w:val="24"/>
        </w:rPr>
      </w:pPr>
      <w:r w:rsidRPr="000C059E">
        <w:rPr>
          <w:i/>
          <w:sz w:val="24"/>
          <w:szCs w:val="24"/>
          <w:u w:val="single"/>
        </w:rPr>
        <w:t>Endometriekarcinom</w:t>
      </w:r>
      <w:r w:rsidRPr="000C059E">
        <w:rPr>
          <w:i/>
          <w:spacing w:val="-13"/>
          <w:sz w:val="24"/>
          <w:szCs w:val="24"/>
          <w:u w:val="single"/>
        </w:rPr>
        <w:t xml:space="preserve"> </w:t>
      </w:r>
      <w:r w:rsidRPr="000C059E">
        <w:rPr>
          <w:i/>
          <w:sz w:val="24"/>
          <w:szCs w:val="24"/>
          <w:u w:val="single"/>
        </w:rPr>
        <w:t>(EC)</w:t>
      </w:r>
    </w:p>
    <w:p w14:paraId="0B4C87C1" w14:textId="77777777" w:rsidR="00200B99" w:rsidRPr="000C059E" w:rsidRDefault="00200B99" w:rsidP="00773EAE">
      <w:pPr>
        <w:ind w:left="851"/>
        <w:rPr>
          <w:i/>
          <w:sz w:val="24"/>
          <w:szCs w:val="24"/>
        </w:rPr>
      </w:pPr>
    </w:p>
    <w:p w14:paraId="76E34B09" w14:textId="5378F487" w:rsidR="00251F1D" w:rsidRDefault="00200B99" w:rsidP="00773EAE">
      <w:pPr>
        <w:ind w:left="851"/>
        <w:rPr>
          <w:sz w:val="24"/>
          <w:szCs w:val="24"/>
        </w:rPr>
      </w:pPr>
      <w:r w:rsidRPr="000C059E">
        <w:rPr>
          <w:sz w:val="24"/>
          <w:szCs w:val="24"/>
        </w:rPr>
        <w:t xml:space="preserve">Den anbefalede dosis af Lenvatinib </w:t>
      </w:r>
      <w:r w:rsidR="00E62732">
        <w:rPr>
          <w:sz w:val="24"/>
          <w:szCs w:val="24"/>
        </w:rPr>
        <w:t>"</w:t>
      </w:r>
      <w:r w:rsidRPr="000C059E">
        <w:rPr>
          <w:sz w:val="24"/>
          <w:szCs w:val="24"/>
        </w:rPr>
        <w:t>Teva</w:t>
      </w:r>
      <w:r w:rsidR="00E62732">
        <w:rPr>
          <w:sz w:val="24"/>
          <w:szCs w:val="24"/>
        </w:rPr>
        <w:t>"</w:t>
      </w:r>
      <w:r w:rsidRPr="000C059E">
        <w:rPr>
          <w:sz w:val="24"/>
          <w:szCs w:val="24"/>
        </w:rPr>
        <w:t xml:space="preserve"> er 20 mg oralt én gang dagligt i kombination med pembrolizumab enten 200 mg hver 3. uge eller 400 mg hver 6. uge, administreret som intravenøs infusion i løbet af 30 minutter, indtil uacceptabel toksicitet eller sygdomsprogression (se pkt. 5.1). </w:t>
      </w:r>
    </w:p>
    <w:p w14:paraId="2946CF66" w14:textId="77777777" w:rsidR="00251F1D" w:rsidRDefault="00251F1D" w:rsidP="00773EAE">
      <w:pPr>
        <w:ind w:left="851"/>
        <w:rPr>
          <w:sz w:val="24"/>
          <w:szCs w:val="24"/>
        </w:rPr>
      </w:pPr>
    </w:p>
    <w:p w14:paraId="12009BC2" w14:textId="08C283CC" w:rsidR="00200B99" w:rsidRPr="000C059E" w:rsidRDefault="00200B99" w:rsidP="00773EAE">
      <w:pPr>
        <w:ind w:left="851"/>
        <w:rPr>
          <w:sz w:val="24"/>
          <w:szCs w:val="24"/>
        </w:rPr>
      </w:pPr>
      <w:r w:rsidRPr="000C059E">
        <w:rPr>
          <w:sz w:val="24"/>
          <w:szCs w:val="24"/>
        </w:rPr>
        <w:t>Se produktresuméet til pembrolizumab for yderligere doseringsoplysninger.</w:t>
      </w:r>
    </w:p>
    <w:p w14:paraId="3C640E22" w14:textId="77777777" w:rsidR="00200B99" w:rsidRPr="000C059E" w:rsidRDefault="00200B99" w:rsidP="00773EAE">
      <w:pPr>
        <w:ind w:left="851"/>
        <w:rPr>
          <w:sz w:val="24"/>
          <w:szCs w:val="24"/>
        </w:rPr>
      </w:pPr>
    </w:p>
    <w:p w14:paraId="657F1214" w14:textId="77777777" w:rsidR="00200B99" w:rsidRPr="000C059E" w:rsidRDefault="00200B99" w:rsidP="00773EAE">
      <w:pPr>
        <w:ind w:left="851"/>
        <w:rPr>
          <w:i/>
          <w:sz w:val="24"/>
          <w:szCs w:val="24"/>
        </w:rPr>
      </w:pPr>
      <w:r w:rsidRPr="000C059E">
        <w:rPr>
          <w:i/>
          <w:sz w:val="24"/>
          <w:szCs w:val="24"/>
        </w:rPr>
        <w:t xml:space="preserve">Dosisjusteringer </w:t>
      </w:r>
      <w:r w:rsidRPr="000C059E">
        <w:rPr>
          <w:sz w:val="24"/>
          <w:szCs w:val="24"/>
        </w:rPr>
        <w:t xml:space="preserve">og </w:t>
      </w:r>
      <w:r w:rsidRPr="000C059E">
        <w:rPr>
          <w:i/>
          <w:sz w:val="24"/>
          <w:szCs w:val="24"/>
        </w:rPr>
        <w:t>seponering ved EC</w:t>
      </w:r>
    </w:p>
    <w:p w14:paraId="56E58067" w14:textId="77777777" w:rsidR="00200B99" w:rsidRPr="000C059E" w:rsidRDefault="00200B99" w:rsidP="00773EAE">
      <w:pPr>
        <w:ind w:left="851"/>
        <w:rPr>
          <w:i/>
          <w:sz w:val="24"/>
          <w:szCs w:val="24"/>
        </w:rPr>
      </w:pPr>
    </w:p>
    <w:p w14:paraId="3D7BC1EA" w14:textId="533ECC1B" w:rsidR="00200B99" w:rsidRPr="000C059E" w:rsidRDefault="00200B99" w:rsidP="00773EAE">
      <w:pPr>
        <w:ind w:left="851"/>
        <w:rPr>
          <w:sz w:val="24"/>
          <w:szCs w:val="24"/>
        </w:rPr>
      </w:pPr>
      <w:r w:rsidRPr="000C059E">
        <w:rPr>
          <w:sz w:val="24"/>
          <w:szCs w:val="24"/>
        </w:rPr>
        <w:t xml:space="preserve">Toksiciteter i forbindelse med lenvatinib er angivet i tabel 4. Når Lenvatinib </w:t>
      </w:r>
      <w:r w:rsidR="00E62732">
        <w:rPr>
          <w:sz w:val="24"/>
          <w:szCs w:val="24"/>
        </w:rPr>
        <w:t>"</w:t>
      </w:r>
      <w:r w:rsidRPr="000C059E">
        <w:rPr>
          <w:sz w:val="24"/>
          <w:szCs w:val="24"/>
        </w:rPr>
        <w:t>Teva</w:t>
      </w:r>
      <w:r w:rsidR="00E62732">
        <w:rPr>
          <w:sz w:val="24"/>
          <w:szCs w:val="24"/>
        </w:rPr>
        <w:t>"</w:t>
      </w:r>
      <w:r w:rsidRPr="000C059E">
        <w:rPr>
          <w:sz w:val="24"/>
          <w:szCs w:val="24"/>
        </w:rPr>
        <w:t xml:space="preserve"> administreres i kombination med pembrolizumab, skal Lenvatinib </w:t>
      </w:r>
      <w:r w:rsidR="00E62732">
        <w:rPr>
          <w:sz w:val="24"/>
          <w:szCs w:val="24"/>
        </w:rPr>
        <w:t>"</w:t>
      </w:r>
      <w:r w:rsidRPr="000C059E">
        <w:rPr>
          <w:sz w:val="24"/>
          <w:szCs w:val="24"/>
        </w:rPr>
        <w:t>Teva</w:t>
      </w:r>
      <w:r w:rsidR="00E62732">
        <w:rPr>
          <w:sz w:val="24"/>
          <w:szCs w:val="24"/>
        </w:rPr>
        <w:t>"</w:t>
      </w:r>
      <w:r w:rsidRPr="000C059E">
        <w:rPr>
          <w:sz w:val="24"/>
          <w:szCs w:val="24"/>
        </w:rPr>
        <w:t xml:space="preserve"> afbrydes, dosisreduceres eller seponeres efter behov (se tabel 3). Pausér eller seponer pembrolizumab ifølge anvisningerne i produktresuméet til pembrolizumab. Ingen dosisreduktioner anbefales for pembrolizumab.</w:t>
      </w:r>
    </w:p>
    <w:p w14:paraId="4FCB0752" w14:textId="77777777" w:rsidR="00200B99" w:rsidRPr="000C059E" w:rsidRDefault="00200B99" w:rsidP="00200B99">
      <w:pPr>
        <w:pStyle w:val="Brdtekst"/>
        <w:rPr>
          <w:sz w:val="24"/>
          <w:szCs w:val="24"/>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2"/>
        <w:gridCol w:w="3501"/>
        <w:gridCol w:w="4055"/>
      </w:tblGrid>
      <w:tr w:rsidR="00200B99" w:rsidRPr="000C059E" w14:paraId="75030604" w14:textId="77777777" w:rsidTr="00773EAE">
        <w:trPr>
          <w:trHeight w:val="508"/>
        </w:trPr>
        <w:tc>
          <w:tcPr>
            <w:tcW w:w="5000" w:type="pct"/>
            <w:gridSpan w:val="3"/>
            <w:tcBorders>
              <w:top w:val="single" w:sz="4" w:space="0" w:color="000000"/>
              <w:left w:val="single" w:sz="4" w:space="0" w:color="000000"/>
              <w:bottom w:val="single" w:sz="4" w:space="0" w:color="000000"/>
              <w:right w:val="single" w:sz="4" w:space="0" w:color="000000"/>
            </w:tcBorders>
            <w:hideMark/>
          </w:tcPr>
          <w:p w14:paraId="3AE4C269" w14:textId="6304CB2C" w:rsidR="00200B99" w:rsidRPr="00251F1D" w:rsidRDefault="00200B99" w:rsidP="00251F1D">
            <w:pPr>
              <w:pStyle w:val="TableParagraph"/>
              <w:ind w:left="133" w:right="83"/>
              <w:rPr>
                <w:b/>
                <w:lang w:val="da-DK"/>
              </w:rPr>
            </w:pPr>
            <w:r w:rsidRPr="00251F1D">
              <w:rPr>
                <w:b/>
                <w:lang w:val="da-DK"/>
              </w:rPr>
              <w:t>Tabel 3</w:t>
            </w:r>
            <w:r w:rsidR="00251F1D">
              <w:rPr>
                <w:b/>
                <w:lang w:val="da-DK"/>
              </w:rPr>
              <w:t>.</w:t>
            </w:r>
            <w:r w:rsidRPr="00251F1D">
              <w:rPr>
                <w:b/>
                <w:lang w:val="da-DK"/>
              </w:rPr>
              <w:t xml:space="preserve"> Dosismodifikationer fra anbefalet daglig dosis af lenvatinib hos EC-patienter</w:t>
            </w:r>
            <w:r w:rsidRPr="00251F1D">
              <w:rPr>
                <w:b/>
                <w:vertAlign w:val="superscript"/>
                <w:lang w:val="da-DK"/>
              </w:rPr>
              <w:t>a</w:t>
            </w:r>
          </w:p>
        </w:tc>
      </w:tr>
      <w:tr w:rsidR="00200B99" w:rsidRPr="000C059E" w14:paraId="49CAA06D" w14:textId="77777777" w:rsidTr="00773EAE">
        <w:trPr>
          <w:trHeight w:val="460"/>
        </w:trPr>
        <w:tc>
          <w:tcPr>
            <w:tcW w:w="2894" w:type="pct"/>
            <w:gridSpan w:val="2"/>
            <w:tcBorders>
              <w:top w:val="single" w:sz="4" w:space="0" w:color="000000"/>
              <w:left w:val="single" w:sz="4" w:space="0" w:color="000000"/>
              <w:bottom w:val="single" w:sz="4" w:space="0" w:color="000000"/>
              <w:right w:val="single" w:sz="4" w:space="0" w:color="000000"/>
            </w:tcBorders>
            <w:hideMark/>
          </w:tcPr>
          <w:p w14:paraId="100AB96C" w14:textId="77777777" w:rsidR="00200B99" w:rsidRPr="00251F1D" w:rsidRDefault="00200B99" w:rsidP="00251F1D">
            <w:pPr>
              <w:pStyle w:val="TableParagraph"/>
              <w:ind w:left="133" w:right="83"/>
              <w:rPr>
                <w:b/>
                <w:lang w:val="da-DK"/>
              </w:rPr>
            </w:pPr>
            <w:r w:rsidRPr="00251F1D">
              <w:rPr>
                <w:b/>
                <w:lang w:val="da-DK"/>
              </w:rPr>
              <w:t>Startdosis i kombination med pembrolizumab</w:t>
            </w:r>
          </w:p>
        </w:tc>
        <w:tc>
          <w:tcPr>
            <w:tcW w:w="2106" w:type="pct"/>
            <w:tcBorders>
              <w:top w:val="single" w:sz="4" w:space="0" w:color="000000"/>
              <w:left w:val="single" w:sz="4" w:space="0" w:color="000000"/>
              <w:bottom w:val="single" w:sz="4" w:space="0" w:color="000000"/>
              <w:right w:val="single" w:sz="4" w:space="0" w:color="000000"/>
            </w:tcBorders>
            <w:hideMark/>
          </w:tcPr>
          <w:p w14:paraId="0678225B" w14:textId="77777777" w:rsidR="00200B99" w:rsidRPr="00251F1D" w:rsidRDefault="00200B99" w:rsidP="00251F1D">
            <w:pPr>
              <w:pStyle w:val="TableParagraph"/>
              <w:ind w:left="133" w:right="83"/>
              <w:rPr>
                <w:lang w:val="da-DK"/>
              </w:rPr>
            </w:pPr>
            <w:r w:rsidRPr="00251F1D">
              <w:rPr>
                <w:lang w:val="da-DK"/>
              </w:rPr>
              <w:t>20 mg oralt én gang dagligt (to 10 mg kapsler)</w:t>
            </w:r>
          </w:p>
        </w:tc>
      </w:tr>
      <w:tr w:rsidR="00200B99" w:rsidRPr="000C059E" w14:paraId="30625EF3" w14:textId="77777777" w:rsidTr="00773EAE">
        <w:trPr>
          <w:trHeight w:val="460"/>
        </w:trPr>
        <w:tc>
          <w:tcPr>
            <w:tcW w:w="5000" w:type="pct"/>
            <w:gridSpan w:val="3"/>
            <w:tcBorders>
              <w:top w:val="single" w:sz="4" w:space="0" w:color="000000"/>
              <w:left w:val="single" w:sz="4" w:space="0" w:color="000000"/>
              <w:bottom w:val="single" w:sz="4" w:space="0" w:color="000000"/>
              <w:right w:val="single" w:sz="4" w:space="0" w:color="000000"/>
            </w:tcBorders>
            <w:hideMark/>
          </w:tcPr>
          <w:p w14:paraId="7D79453E" w14:textId="77777777" w:rsidR="00200B99" w:rsidRPr="00251F1D" w:rsidRDefault="00200B99" w:rsidP="00251F1D">
            <w:pPr>
              <w:pStyle w:val="TableParagraph"/>
              <w:ind w:left="133" w:right="83"/>
              <w:rPr>
                <w:b/>
                <w:lang w:val="da-DK"/>
              </w:rPr>
            </w:pPr>
            <w:r w:rsidRPr="00251F1D">
              <w:rPr>
                <w:b/>
                <w:lang w:val="da-DK"/>
              </w:rPr>
              <w:t>Vedvarende og intolerabel grad 2- eller grad 3-toksicitet</w:t>
            </w:r>
          </w:p>
        </w:tc>
      </w:tr>
      <w:tr w:rsidR="00200B99" w:rsidRPr="000C059E" w14:paraId="1B65D4D3" w14:textId="77777777" w:rsidTr="00773EAE">
        <w:trPr>
          <w:trHeight w:val="230"/>
        </w:trPr>
        <w:tc>
          <w:tcPr>
            <w:tcW w:w="1076" w:type="pct"/>
            <w:tcBorders>
              <w:top w:val="single" w:sz="4" w:space="0" w:color="000000"/>
              <w:left w:val="single" w:sz="4" w:space="0" w:color="000000"/>
              <w:bottom w:val="single" w:sz="4" w:space="0" w:color="000000"/>
              <w:right w:val="single" w:sz="4" w:space="0" w:color="000000"/>
            </w:tcBorders>
            <w:hideMark/>
          </w:tcPr>
          <w:p w14:paraId="48E15AD5" w14:textId="77777777" w:rsidR="00200B99" w:rsidRPr="00251F1D" w:rsidRDefault="00200B99" w:rsidP="00251F1D">
            <w:pPr>
              <w:pStyle w:val="TableParagraph"/>
              <w:ind w:left="133" w:right="83"/>
              <w:rPr>
                <w:b/>
                <w:lang w:val="da-DK"/>
              </w:rPr>
            </w:pPr>
            <w:r w:rsidRPr="00251F1D">
              <w:rPr>
                <w:b/>
                <w:lang w:val="da-DK"/>
              </w:rPr>
              <w:t>Bivirkning</w:t>
            </w:r>
          </w:p>
        </w:tc>
        <w:tc>
          <w:tcPr>
            <w:tcW w:w="1817" w:type="pct"/>
            <w:tcBorders>
              <w:top w:val="single" w:sz="4" w:space="0" w:color="000000"/>
              <w:left w:val="single" w:sz="4" w:space="0" w:color="000000"/>
              <w:bottom w:val="single" w:sz="4" w:space="0" w:color="000000"/>
              <w:right w:val="single" w:sz="4" w:space="0" w:color="000000"/>
            </w:tcBorders>
            <w:hideMark/>
          </w:tcPr>
          <w:p w14:paraId="08666CF5" w14:textId="77777777" w:rsidR="00200B99" w:rsidRPr="00251F1D" w:rsidRDefault="00200B99" w:rsidP="00251F1D">
            <w:pPr>
              <w:pStyle w:val="TableParagraph"/>
              <w:ind w:left="133" w:right="83"/>
              <w:rPr>
                <w:b/>
                <w:lang w:val="da-DK"/>
              </w:rPr>
            </w:pPr>
            <w:r w:rsidRPr="00251F1D">
              <w:rPr>
                <w:b/>
                <w:lang w:val="da-DK"/>
              </w:rPr>
              <w:t>Modifikation</w:t>
            </w:r>
          </w:p>
        </w:tc>
        <w:tc>
          <w:tcPr>
            <w:tcW w:w="2106" w:type="pct"/>
            <w:tcBorders>
              <w:top w:val="single" w:sz="4" w:space="0" w:color="000000"/>
              <w:left w:val="single" w:sz="4" w:space="0" w:color="000000"/>
              <w:bottom w:val="single" w:sz="4" w:space="0" w:color="000000"/>
              <w:right w:val="single" w:sz="4" w:space="0" w:color="000000"/>
            </w:tcBorders>
            <w:hideMark/>
          </w:tcPr>
          <w:p w14:paraId="5C6EA2BB" w14:textId="77777777" w:rsidR="00200B99" w:rsidRPr="00251F1D" w:rsidRDefault="00200B99" w:rsidP="00251F1D">
            <w:pPr>
              <w:pStyle w:val="TableParagraph"/>
              <w:ind w:left="133" w:right="83"/>
              <w:rPr>
                <w:b/>
                <w:lang w:val="da-DK"/>
              </w:rPr>
            </w:pPr>
            <w:r w:rsidRPr="00251F1D">
              <w:rPr>
                <w:b/>
                <w:lang w:val="da-DK"/>
              </w:rPr>
              <w:t>Justeret dosis</w:t>
            </w:r>
          </w:p>
        </w:tc>
      </w:tr>
      <w:tr w:rsidR="00200B99" w:rsidRPr="000C059E" w14:paraId="11C19269" w14:textId="77777777" w:rsidTr="00773EAE">
        <w:trPr>
          <w:trHeight w:val="455"/>
        </w:trPr>
        <w:tc>
          <w:tcPr>
            <w:tcW w:w="1076" w:type="pct"/>
            <w:tcBorders>
              <w:top w:val="single" w:sz="4" w:space="0" w:color="000000"/>
              <w:left w:val="single" w:sz="4" w:space="0" w:color="000000"/>
              <w:bottom w:val="single" w:sz="4" w:space="0" w:color="000000"/>
              <w:right w:val="single" w:sz="4" w:space="0" w:color="000000"/>
            </w:tcBorders>
            <w:hideMark/>
          </w:tcPr>
          <w:p w14:paraId="2CA263EB" w14:textId="77777777" w:rsidR="00200B99" w:rsidRPr="00251F1D" w:rsidRDefault="00200B99" w:rsidP="00251F1D">
            <w:pPr>
              <w:pStyle w:val="TableParagraph"/>
              <w:ind w:left="133" w:right="83"/>
              <w:rPr>
                <w:lang w:val="da-DK"/>
              </w:rPr>
            </w:pPr>
            <w:r w:rsidRPr="00251F1D">
              <w:rPr>
                <w:lang w:val="da-DK"/>
              </w:rPr>
              <w:t>Første hændelse</w:t>
            </w:r>
          </w:p>
        </w:tc>
        <w:tc>
          <w:tcPr>
            <w:tcW w:w="1817" w:type="pct"/>
            <w:tcBorders>
              <w:top w:val="single" w:sz="4" w:space="0" w:color="000000"/>
              <w:left w:val="single" w:sz="4" w:space="0" w:color="000000"/>
              <w:bottom w:val="single" w:sz="4" w:space="0" w:color="000000"/>
              <w:right w:val="single" w:sz="4" w:space="0" w:color="000000"/>
            </w:tcBorders>
            <w:hideMark/>
          </w:tcPr>
          <w:p w14:paraId="6CDFE9DD" w14:textId="77777777" w:rsidR="00200B99" w:rsidRPr="00251F1D" w:rsidRDefault="00200B99" w:rsidP="00251F1D">
            <w:pPr>
              <w:pStyle w:val="TableParagraph"/>
              <w:ind w:left="133" w:right="83"/>
              <w:rPr>
                <w:lang w:val="da-DK"/>
              </w:rPr>
            </w:pPr>
            <w:r w:rsidRPr="00251F1D">
              <w:rPr>
                <w:lang w:val="da-DK"/>
              </w:rPr>
              <w:t xml:space="preserve">Afbryd, indtil bivirkning har fortaget sig til grad 0-1 eller </w:t>
            </w:r>
            <w:r w:rsidRPr="00251F1D">
              <w:rPr>
                <w:i/>
                <w:iCs/>
                <w:lang w:val="da-DK"/>
              </w:rPr>
              <w:t>baseline</w:t>
            </w:r>
          </w:p>
        </w:tc>
        <w:tc>
          <w:tcPr>
            <w:tcW w:w="2106" w:type="pct"/>
            <w:tcBorders>
              <w:top w:val="single" w:sz="4" w:space="0" w:color="000000"/>
              <w:left w:val="single" w:sz="4" w:space="0" w:color="000000"/>
              <w:bottom w:val="single" w:sz="4" w:space="0" w:color="000000"/>
              <w:right w:val="single" w:sz="4" w:space="0" w:color="000000"/>
            </w:tcBorders>
            <w:hideMark/>
          </w:tcPr>
          <w:p w14:paraId="651BA5AA" w14:textId="77777777" w:rsidR="00200B99" w:rsidRPr="00251F1D" w:rsidRDefault="00200B99" w:rsidP="00251F1D">
            <w:pPr>
              <w:pStyle w:val="TableParagraph"/>
              <w:ind w:left="133" w:right="83"/>
              <w:rPr>
                <w:lang w:val="da-DK"/>
              </w:rPr>
            </w:pPr>
            <w:r w:rsidRPr="00251F1D">
              <w:rPr>
                <w:lang w:val="da-DK"/>
              </w:rPr>
              <w:t>14 mg oralt én gang dagligt</w:t>
            </w:r>
          </w:p>
          <w:p w14:paraId="70AF57A0" w14:textId="77777777" w:rsidR="00200B99" w:rsidRPr="00251F1D" w:rsidRDefault="00200B99" w:rsidP="00251F1D">
            <w:pPr>
              <w:pStyle w:val="TableParagraph"/>
              <w:ind w:left="133" w:right="83"/>
              <w:rPr>
                <w:lang w:val="da-DK"/>
              </w:rPr>
            </w:pPr>
            <w:r w:rsidRPr="00251F1D">
              <w:rPr>
                <w:lang w:val="da-DK"/>
              </w:rPr>
              <w:t>(én 10 mg kapsel + én 4 mg kapsel)</w:t>
            </w:r>
          </w:p>
        </w:tc>
      </w:tr>
      <w:tr w:rsidR="00200B99" w:rsidRPr="000C059E" w14:paraId="347334F6" w14:textId="77777777" w:rsidTr="00773EAE">
        <w:trPr>
          <w:trHeight w:val="688"/>
        </w:trPr>
        <w:tc>
          <w:tcPr>
            <w:tcW w:w="1076" w:type="pct"/>
            <w:tcBorders>
              <w:top w:val="single" w:sz="4" w:space="0" w:color="000000"/>
              <w:left w:val="single" w:sz="4" w:space="0" w:color="000000"/>
              <w:bottom w:val="single" w:sz="4" w:space="0" w:color="000000"/>
              <w:right w:val="single" w:sz="4" w:space="0" w:color="000000"/>
            </w:tcBorders>
            <w:hideMark/>
          </w:tcPr>
          <w:p w14:paraId="4A1A6E3B" w14:textId="77777777" w:rsidR="00200B99" w:rsidRPr="00251F1D" w:rsidRDefault="00200B99" w:rsidP="00251F1D">
            <w:pPr>
              <w:pStyle w:val="TableParagraph"/>
              <w:ind w:left="133" w:right="83"/>
              <w:rPr>
                <w:lang w:val="da-DK"/>
              </w:rPr>
            </w:pPr>
            <w:r w:rsidRPr="00251F1D">
              <w:rPr>
                <w:lang w:val="da-DK"/>
              </w:rPr>
              <w:t>Anden hændelse (samme bivirkning eller ny bivirkning)</w:t>
            </w:r>
          </w:p>
        </w:tc>
        <w:tc>
          <w:tcPr>
            <w:tcW w:w="1817" w:type="pct"/>
            <w:tcBorders>
              <w:top w:val="single" w:sz="4" w:space="0" w:color="000000"/>
              <w:left w:val="single" w:sz="4" w:space="0" w:color="000000"/>
              <w:bottom w:val="single" w:sz="4" w:space="0" w:color="000000"/>
              <w:right w:val="single" w:sz="4" w:space="0" w:color="000000"/>
            </w:tcBorders>
            <w:hideMark/>
          </w:tcPr>
          <w:p w14:paraId="7303AE17" w14:textId="77777777" w:rsidR="00200B99" w:rsidRPr="00251F1D" w:rsidRDefault="00200B99" w:rsidP="00251F1D">
            <w:pPr>
              <w:pStyle w:val="TableParagraph"/>
              <w:ind w:left="133" w:right="83"/>
              <w:rPr>
                <w:lang w:val="da-DK"/>
              </w:rPr>
            </w:pPr>
            <w:r w:rsidRPr="00251F1D">
              <w:rPr>
                <w:lang w:val="da-DK"/>
              </w:rPr>
              <w:t xml:space="preserve">Afbryd, indtil bivirkning har fortaget sig til grad 0-1 eller </w:t>
            </w:r>
            <w:r w:rsidRPr="00251F1D">
              <w:rPr>
                <w:i/>
                <w:iCs/>
                <w:lang w:val="da-DK"/>
              </w:rPr>
              <w:t>baseline</w:t>
            </w:r>
          </w:p>
        </w:tc>
        <w:tc>
          <w:tcPr>
            <w:tcW w:w="2106" w:type="pct"/>
            <w:tcBorders>
              <w:top w:val="single" w:sz="4" w:space="0" w:color="000000"/>
              <w:left w:val="single" w:sz="4" w:space="0" w:color="000000"/>
              <w:bottom w:val="single" w:sz="4" w:space="0" w:color="000000"/>
              <w:right w:val="single" w:sz="4" w:space="0" w:color="000000"/>
            </w:tcBorders>
            <w:hideMark/>
          </w:tcPr>
          <w:p w14:paraId="6F3A8E55" w14:textId="77777777" w:rsidR="00200B99" w:rsidRPr="00251F1D" w:rsidRDefault="00200B99" w:rsidP="00251F1D">
            <w:pPr>
              <w:pStyle w:val="TableParagraph"/>
              <w:ind w:left="133" w:right="83"/>
              <w:rPr>
                <w:lang w:val="da-DK"/>
              </w:rPr>
            </w:pPr>
            <w:r w:rsidRPr="00251F1D">
              <w:rPr>
                <w:lang w:val="da-DK"/>
              </w:rPr>
              <w:t>10 mg oralt én gang dagligt (én 10 mg kapsel)</w:t>
            </w:r>
          </w:p>
        </w:tc>
      </w:tr>
      <w:tr w:rsidR="00200B99" w:rsidRPr="000C059E" w14:paraId="58C2B3B5" w14:textId="77777777" w:rsidTr="00773EAE">
        <w:trPr>
          <w:trHeight w:val="688"/>
        </w:trPr>
        <w:tc>
          <w:tcPr>
            <w:tcW w:w="1076" w:type="pct"/>
            <w:tcBorders>
              <w:top w:val="single" w:sz="4" w:space="0" w:color="000000"/>
              <w:left w:val="single" w:sz="4" w:space="0" w:color="000000"/>
              <w:bottom w:val="single" w:sz="4" w:space="0" w:color="000000"/>
              <w:right w:val="single" w:sz="4" w:space="0" w:color="000000"/>
            </w:tcBorders>
            <w:hideMark/>
          </w:tcPr>
          <w:p w14:paraId="42C3925D" w14:textId="77777777" w:rsidR="00200B99" w:rsidRPr="00251F1D" w:rsidRDefault="00200B99" w:rsidP="00251F1D">
            <w:pPr>
              <w:pStyle w:val="TableParagraph"/>
              <w:ind w:left="133" w:right="83"/>
              <w:rPr>
                <w:lang w:val="da-DK"/>
              </w:rPr>
            </w:pPr>
            <w:r w:rsidRPr="00251F1D">
              <w:rPr>
                <w:lang w:val="da-DK"/>
              </w:rPr>
              <w:t>Tredje hændelse (samme bivirkning eller ny bivirkning)</w:t>
            </w:r>
          </w:p>
        </w:tc>
        <w:tc>
          <w:tcPr>
            <w:tcW w:w="1817" w:type="pct"/>
            <w:tcBorders>
              <w:top w:val="single" w:sz="4" w:space="0" w:color="000000"/>
              <w:left w:val="single" w:sz="4" w:space="0" w:color="000000"/>
              <w:bottom w:val="single" w:sz="4" w:space="0" w:color="000000"/>
              <w:right w:val="single" w:sz="4" w:space="0" w:color="000000"/>
            </w:tcBorders>
            <w:hideMark/>
          </w:tcPr>
          <w:p w14:paraId="63D2E12F" w14:textId="77777777" w:rsidR="00200B99" w:rsidRPr="00251F1D" w:rsidRDefault="00200B99" w:rsidP="00251F1D">
            <w:pPr>
              <w:pStyle w:val="TableParagraph"/>
              <w:ind w:left="133" w:right="83"/>
              <w:rPr>
                <w:lang w:val="da-DK"/>
              </w:rPr>
            </w:pPr>
            <w:r w:rsidRPr="00251F1D">
              <w:rPr>
                <w:lang w:val="da-DK"/>
              </w:rPr>
              <w:t xml:space="preserve">Afbryd, indtil bivirkning har fortaget sig til grad 0-1 eller </w:t>
            </w:r>
            <w:r w:rsidRPr="00251F1D">
              <w:rPr>
                <w:i/>
                <w:iCs/>
                <w:lang w:val="da-DK"/>
              </w:rPr>
              <w:t>baseline</w:t>
            </w:r>
          </w:p>
        </w:tc>
        <w:tc>
          <w:tcPr>
            <w:tcW w:w="2106" w:type="pct"/>
            <w:tcBorders>
              <w:top w:val="single" w:sz="4" w:space="0" w:color="000000"/>
              <w:left w:val="single" w:sz="4" w:space="0" w:color="000000"/>
              <w:bottom w:val="single" w:sz="4" w:space="0" w:color="000000"/>
              <w:right w:val="single" w:sz="4" w:space="0" w:color="000000"/>
            </w:tcBorders>
            <w:hideMark/>
          </w:tcPr>
          <w:p w14:paraId="2C15BB64" w14:textId="77777777" w:rsidR="00200B99" w:rsidRPr="00251F1D" w:rsidRDefault="00200B99" w:rsidP="00251F1D">
            <w:pPr>
              <w:pStyle w:val="TableParagraph"/>
              <w:ind w:left="133" w:right="83"/>
              <w:rPr>
                <w:lang w:val="da-DK"/>
              </w:rPr>
            </w:pPr>
            <w:r w:rsidRPr="00251F1D">
              <w:rPr>
                <w:lang w:val="da-DK"/>
              </w:rPr>
              <w:t>8 mg oralt én gang dagligt (to 4 mg kapsler)</w:t>
            </w:r>
          </w:p>
        </w:tc>
      </w:tr>
      <w:tr w:rsidR="00200B99" w:rsidRPr="000C059E" w14:paraId="6650BA1C" w14:textId="77777777" w:rsidTr="00773EAE">
        <w:trPr>
          <w:trHeight w:val="228"/>
        </w:trPr>
        <w:tc>
          <w:tcPr>
            <w:tcW w:w="5000" w:type="pct"/>
            <w:gridSpan w:val="3"/>
            <w:tcBorders>
              <w:top w:val="single" w:sz="4" w:space="0" w:color="000000"/>
              <w:left w:val="single" w:sz="4" w:space="0" w:color="000000"/>
              <w:bottom w:val="single" w:sz="4" w:space="0" w:color="000000"/>
              <w:right w:val="single" w:sz="4" w:space="0" w:color="000000"/>
            </w:tcBorders>
            <w:hideMark/>
          </w:tcPr>
          <w:p w14:paraId="4075126D" w14:textId="77777777" w:rsidR="00200B99" w:rsidRPr="00251F1D" w:rsidRDefault="00200B99" w:rsidP="00251F1D">
            <w:pPr>
              <w:pStyle w:val="TableParagraph"/>
              <w:ind w:left="133"/>
              <w:rPr>
                <w:b/>
                <w:lang w:val="da-DK"/>
              </w:rPr>
            </w:pPr>
            <w:r w:rsidRPr="00251F1D">
              <w:rPr>
                <w:b/>
                <w:lang w:val="da-DK"/>
              </w:rPr>
              <w:t>Livstruende toksiciteter (grad 4): Seponering</w:t>
            </w:r>
            <w:r w:rsidRPr="00251F1D">
              <w:rPr>
                <w:b/>
                <w:vertAlign w:val="superscript"/>
                <w:lang w:val="da-DK"/>
              </w:rPr>
              <w:t>b</w:t>
            </w:r>
          </w:p>
        </w:tc>
      </w:tr>
      <w:tr w:rsidR="00200B99" w:rsidRPr="000C059E" w14:paraId="1B9F2C9D" w14:textId="77777777" w:rsidTr="00773EAE">
        <w:trPr>
          <w:trHeight w:val="623"/>
        </w:trPr>
        <w:tc>
          <w:tcPr>
            <w:tcW w:w="5000" w:type="pct"/>
            <w:gridSpan w:val="3"/>
            <w:tcBorders>
              <w:top w:val="single" w:sz="4" w:space="0" w:color="000000"/>
              <w:left w:val="single" w:sz="4" w:space="0" w:color="000000"/>
              <w:bottom w:val="single" w:sz="4" w:space="0" w:color="000000"/>
              <w:right w:val="single" w:sz="4" w:space="0" w:color="000000"/>
            </w:tcBorders>
            <w:hideMark/>
          </w:tcPr>
          <w:p w14:paraId="4200AE32" w14:textId="08F021F2" w:rsidR="00200B99" w:rsidRPr="00251F1D" w:rsidRDefault="00200B99" w:rsidP="00251F1D">
            <w:pPr>
              <w:pStyle w:val="TableParagraph"/>
              <w:tabs>
                <w:tab w:val="left" w:pos="481"/>
              </w:tabs>
              <w:ind w:left="133"/>
              <w:rPr>
                <w:lang w:val="da-DK"/>
              </w:rPr>
            </w:pPr>
            <w:r w:rsidRPr="00251F1D">
              <w:rPr>
                <w:lang w:val="da-DK"/>
              </w:rPr>
              <w:t xml:space="preserve">a: </w:t>
            </w:r>
            <w:r w:rsidR="00251F1D">
              <w:rPr>
                <w:lang w:val="da-DK"/>
              </w:rPr>
              <w:tab/>
            </w:r>
            <w:r w:rsidRPr="00251F1D">
              <w:rPr>
                <w:lang w:val="da-DK"/>
              </w:rPr>
              <w:t>Der foreligger begrænsede data for doser under 8 mg.</w:t>
            </w:r>
          </w:p>
          <w:p w14:paraId="2F278ED4" w14:textId="0BEECB95" w:rsidR="00200B99" w:rsidRPr="00251F1D" w:rsidRDefault="00200B99" w:rsidP="00251F1D">
            <w:pPr>
              <w:pStyle w:val="TableParagraph"/>
              <w:tabs>
                <w:tab w:val="left" w:pos="481"/>
              </w:tabs>
              <w:ind w:left="133" w:firstLine="13"/>
              <w:rPr>
                <w:lang w:val="da-DK"/>
              </w:rPr>
            </w:pPr>
            <w:r w:rsidRPr="00251F1D">
              <w:rPr>
                <w:lang w:val="da-DK"/>
              </w:rPr>
              <w:t xml:space="preserve">b: </w:t>
            </w:r>
            <w:r w:rsidR="00251F1D">
              <w:rPr>
                <w:lang w:val="da-DK"/>
              </w:rPr>
              <w:tab/>
            </w:r>
            <w:r w:rsidRPr="00251F1D">
              <w:rPr>
                <w:lang w:val="da-DK"/>
              </w:rPr>
              <w:t xml:space="preserve">Behandlingen skal seponeres i tilfælde af livstruende bivirkninger (f.eks. grad 4) bortset fra </w:t>
            </w:r>
            <w:r w:rsidR="00251F1D">
              <w:rPr>
                <w:lang w:val="da-DK"/>
              </w:rPr>
              <w:tab/>
            </w:r>
            <w:r w:rsidRPr="00251F1D">
              <w:rPr>
                <w:lang w:val="da-DK"/>
              </w:rPr>
              <w:t xml:space="preserve">laboratorieanomalier, der bedømmes til ikke at være livstruende, Disse skal behandles som svære </w:t>
            </w:r>
            <w:r w:rsidR="00251F1D">
              <w:rPr>
                <w:lang w:val="da-DK"/>
              </w:rPr>
              <w:tab/>
            </w:r>
            <w:r w:rsidRPr="00251F1D">
              <w:rPr>
                <w:lang w:val="da-DK"/>
              </w:rPr>
              <w:t>reaktioner (f.eks. grad 3).</w:t>
            </w:r>
          </w:p>
        </w:tc>
      </w:tr>
    </w:tbl>
    <w:p w14:paraId="63FE3BD9" w14:textId="77777777" w:rsidR="00200B99" w:rsidRPr="000C059E" w:rsidRDefault="00200B99" w:rsidP="00200B99">
      <w:pPr>
        <w:pStyle w:val="Brdtekst"/>
        <w:rPr>
          <w:sz w:val="24"/>
          <w:szCs w:val="24"/>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8"/>
        <w:gridCol w:w="2549"/>
        <w:gridCol w:w="1348"/>
        <w:gridCol w:w="2863"/>
      </w:tblGrid>
      <w:tr w:rsidR="00200B99" w:rsidRPr="000C059E" w14:paraId="735607E6" w14:textId="77777777" w:rsidTr="00773EAE">
        <w:trPr>
          <w:trHeight w:val="484"/>
        </w:trPr>
        <w:tc>
          <w:tcPr>
            <w:tcW w:w="5000" w:type="pct"/>
            <w:gridSpan w:val="4"/>
            <w:tcBorders>
              <w:top w:val="single" w:sz="4" w:space="0" w:color="000000"/>
              <w:left w:val="single" w:sz="4" w:space="0" w:color="000000"/>
              <w:bottom w:val="single" w:sz="4" w:space="0" w:color="000000"/>
              <w:right w:val="single" w:sz="4" w:space="0" w:color="000000"/>
            </w:tcBorders>
            <w:hideMark/>
          </w:tcPr>
          <w:p w14:paraId="2B4AE593" w14:textId="68A80F5B" w:rsidR="00200B99" w:rsidRPr="00251F1D" w:rsidRDefault="00200B99" w:rsidP="00251F1D">
            <w:pPr>
              <w:pStyle w:val="TableParagraph"/>
              <w:ind w:left="133" w:right="131"/>
              <w:rPr>
                <w:b/>
                <w:lang w:val="da-DK"/>
              </w:rPr>
            </w:pPr>
            <w:r w:rsidRPr="00251F1D">
              <w:rPr>
                <w:b/>
                <w:lang w:val="da-DK"/>
              </w:rPr>
              <w:t>Tabel 4</w:t>
            </w:r>
            <w:r w:rsidR="00251F1D">
              <w:rPr>
                <w:b/>
                <w:lang w:val="da-DK"/>
              </w:rPr>
              <w:t>.</w:t>
            </w:r>
            <w:r w:rsidRPr="00251F1D">
              <w:rPr>
                <w:b/>
                <w:lang w:val="da-DK"/>
              </w:rPr>
              <w:t xml:space="preserve"> Bivirkninger, der kræver dosismodifikation af lenvatinib</w:t>
            </w:r>
          </w:p>
        </w:tc>
      </w:tr>
      <w:tr w:rsidR="00200B99" w:rsidRPr="000C059E" w14:paraId="76744F63" w14:textId="77777777" w:rsidTr="00773EAE">
        <w:trPr>
          <w:trHeight w:val="460"/>
        </w:trPr>
        <w:tc>
          <w:tcPr>
            <w:tcW w:w="1489" w:type="pct"/>
            <w:tcBorders>
              <w:top w:val="single" w:sz="4" w:space="0" w:color="000000"/>
              <w:left w:val="single" w:sz="4" w:space="0" w:color="000000"/>
              <w:bottom w:val="single" w:sz="4" w:space="0" w:color="000000"/>
              <w:right w:val="single" w:sz="4" w:space="0" w:color="000000"/>
            </w:tcBorders>
            <w:hideMark/>
          </w:tcPr>
          <w:p w14:paraId="4679F80B" w14:textId="77777777" w:rsidR="00200B99" w:rsidRPr="00251F1D" w:rsidRDefault="00200B99" w:rsidP="00251F1D">
            <w:pPr>
              <w:pStyle w:val="TableParagraph"/>
              <w:ind w:left="133" w:right="131"/>
              <w:rPr>
                <w:b/>
                <w:lang w:val="da-DK"/>
              </w:rPr>
            </w:pPr>
            <w:r w:rsidRPr="00251F1D">
              <w:rPr>
                <w:b/>
                <w:lang w:val="da-DK"/>
              </w:rPr>
              <w:t>Bivirkning</w:t>
            </w:r>
          </w:p>
        </w:tc>
        <w:tc>
          <w:tcPr>
            <w:tcW w:w="1324" w:type="pct"/>
            <w:tcBorders>
              <w:top w:val="single" w:sz="4" w:space="0" w:color="000000"/>
              <w:left w:val="single" w:sz="4" w:space="0" w:color="000000"/>
              <w:bottom w:val="single" w:sz="4" w:space="0" w:color="000000"/>
              <w:right w:val="single" w:sz="4" w:space="0" w:color="000000"/>
            </w:tcBorders>
            <w:hideMark/>
          </w:tcPr>
          <w:p w14:paraId="502D90A4" w14:textId="77777777" w:rsidR="00200B99" w:rsidRPr="00251F1D" w:rsidRDefault="00200B99" w:rsidP="00251F1D">
            <w:pPr>
              <w:pStyle w:val="TableParagraph"/>
              <w:ind w:left="133" w:right="131"/>
              <w:rPr>
                <w:b/>
                <w:lang w:val="da-DK"/>
              </w:rPr>
            </w:pPr>
            <w:r w:rsidRPr="00251F1D">
              <w:rPr>
                <w:b/>
                <w:lang w:val="da-DK"/>
              </w:rPr>
              <w:t>Sværhedsgrad</w:t>
            </w:r>
          </w:p>
        </w:tc>
        <w:tc>
          <w:tcPr>
            <w:tcW w:w="700" w:type="pct"/>
            <w:tcBorders>
              <w:top w:val="single" w:sz="4" w:space="0" w:color="000000"/>
              <w:left w:val="single" w:sz="4" w:space="0" w:color="000000"/>
              <w:bottom w:val="single" w:sz="4" w:space="0" w:color="000000"/>
              <w:right w:val="single" w:sz="4" w:space="0" w:color="000000"/>
            </w:tcBorders>
            <w:hideMark/>
          </w:tcPr>
          <w:p w14:paraId="7F12CAD3" w14:textId="77777777" w:rsidR="00200B99" w:rsidRPr="00251F1D" w:rsidRDefault="00200B99" w:rsidP="00251F1D">
            <w:pPr>
              <w:pStyle w:val="TableParagraph"/>
              <w:ind w:left="133" w:right="131"/>
              <w:rPr>
                <w:b/>
                <w:lang w:val="da-DK"/>
              </w:rPr>
            </w:pPr>
            <w:r w:rsidRPr="00251F1D">
              <w:rPr>
                <w:b/>
                <w:lang w:val="da-DK"/>
              </w:rPr>
              <w:t>Handling</w:t>
            </w:r>
          </w:p>
        </w:tc>
        <w:tc>
          <w:tcPr>
            <w:tcW w:w="1487" w:type="pct"/>
            <w:tcBorders>
              <w:top w:val="single" w:sz="4" w:space="0" w:color="000000"/>
              <w:left w:val="single" w:sz="4" w:space="0" w:color="000000"/>
              <w:bottom w:val="single" w:sz="4" w:space="0" w:color="000000"/>
              <w:right w:val="single" w:sz="4" w:space="0" w:color="000000"/>
            </w:tcBorders>
            <w:hideMark/>
          </w:tcPr>
          <w:p w14:paraId="0EFC0C66" w14:textId="77777777" w:rsidR="00200B99" w:rsidRPr="00251F1D" w:rsidRDefault="00200B99" w:rsidP="00251F1D">
            <w:pPr>
              <w:pStyle w:val="TableParagraph"/>
              <w:ind w:left="133" w:right="131"/>
              <w:rPr>
                <w:b/>
                <w:lang w:val="da-DK"/>
              </w:rPr>
            </w:pPr>
            <w:r w:rsidRPr="00251F1D">
              <w:rPr>
                <w:b/>
                <w:lang w:val="da-DK"/>
              </w:rPr>
              <w:t>Dosisreduktion og genstart af lenvatinib</w:t>
            </w:r>
          </w:p>
        </w:tc>
      </w:tr>
      <w:tr w:rsidR="00200B99" w:rsidRPr="000C059E" w14:paraId="3F54FFF2" w14:textId="77777777" w:rsidTr="00773EAE">
        <w:trPr>
          <w:trHeight w:val="69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67167ADB" w14:textId="77777777" w:rsidR="00200B99" w:rsidRPr="00251F1D" w:rsidRDefault="00200B99" w:rsidP="00251F1D">
            <w:pPr>
              <w:pStyle w:val="TableParagraph"/>
              <w:ind w:left="133" w:right="131"/>
              <w:rPr>
                <w:lang w:val="da-DK"/>
              </w:rPr>
            </w:pPr>
            <w:r w:rsidRPr="00251F1D">
              <w:rPr>
                <w:lang w:val="da-DK"/>
              </w:rPr>
              <w:t>Hypertension</w:t>
            </w:r>
          </w:p>
        </w:tc>
        <w:tc>
          <w:tcPr>
            <w:tcW w:w="1324" w:type="pct"/>
            <w:tcBorders>
              <w:top w:val="single" w:sz="4" w:space="0" w:color="000000"/>
              <w:left w:val="single" w:sz="4" w:space="0" w:color="000000"/>
              <w:bottom w:val="single" w:sz="4" w:space="0" w:color="000000"/>
              <w:right w:val="single" w:sz="4" w:space="0" w:color="000000"/>
            </w:tcBorders>
            <w:hideMark/>
          </w:tcPr>
          <w:p w14:paraId="647400FE" w14:textId="77777777" w:rsidR="00200B99" w:rsidRPr="00251F1D" w:rsidRDefault="00200B99" w:rsidP="00251F1D">
            <w:pPr>
              <w:pStyle w:val="TableParagraph"/>
              <w:ind w:left="133" w:right="131"/>
              <w:rPr>
                <w:lang w:val="da-DK"/>
              </w:rPr>
            </w:pPr>
            <w:r w:rsidRPr="00251F1D">
              <w:rPr>
                <w:lang w:val="da-DK"/>
              </w:rPr>
              <w:t>Grad 3</w:t>
            </w:r>
          </w:p>
          <w:p w14:paraId="5156FD85" w14:textId="77777777" w:rsidR="00200B99" w:rsidRPr="00251F1D" w:rsidRDefault="00200B99" w:rsidP="00251F1D">
            <w:pPr>
              <w:pStyle w:val="TableParagraph"/>
              <w:ind w:left="133" w:right="131"/>
              <w:rPr>
                <w:lang w:val="da-DK"/>
              </w:rPr>
            </w:pPr>
            <w:r w:rsidRPr="00251F1D">
              <w:rPr>
                <w:lang w:val="da-DK"/>
              </w:rPr>
              <w:t>(trods optimal antihypertensiv behandling)</w:t>
            </w:r>
          </w:p>
        </w:tc>
        <w:tc>
          <w:tcPr>
            <w:tcW w:w="700" w:type="pct"/>
            <w:tcBorders>
              <w:top w:val="single" w:sz="4" w:space="0" w:color="000000"/>
              <w:left w:val="single" w:sz="4" w:space="0" w:color="000000"/>
              <w:bottom w:val="single" w:sz="4" w:space="0" w:color="000000"/>
              <w:right w:val="single" w:sz="4" w:space="0" w:color="000000"/>
            </w:tcBorders>
            <w:hideMark/>
          </w:tcPr>
          <w:p w14:paraId="1148AAB7" w14:textId="77777777" w:rsidR="00200B99" w:rsidRPr="00251F1D" w:rsidRDefault="00200B99" w:rsidP="00251F1D">
            <w:pPr>
              <w:pStyle w:val="TableParagraph"/>
              <w:ind w:left="133" w:right="131"/>
              <w:rPr>
                <w:lang w:val="da-DK"/>
              </w:rPr>
            </w:pPr>
            <w:r w:rsidRPr="00251F1D">
              <w:rPr>
                <w:lang w:val="da-DK"/>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2BC9E854" w14:textId="77777777" w:rsidR="00200B99" w:rsidRPr="00251F1D" w:rsidRDefault="00200B99" w:rsidP="00251F1D">
            <w:pPr>
              <w:pStyle w:val="TableParagraph"/>
              <w:ind w:left="133" w:right="131"/>
              <w:rPr>
                <w:lang w:val="da-DK"/>
              </w:rPr>
            </w:pPr>
            <w:r w:rsidRPr="00251F1D">
              <w:rPr>
                <w:lang w:val="da-DK"/>
              </w:rPr>
              <w:t>Fortager sig til grad 0, 1 eller 2.</w:t>
            </w:r>
          </w:p>
          <w:p w14:paraId="7BE29AAE" w14:textId="77777777" w:rsidR="00200B99" w:rsidRPr="00251F1D" w:rsidRDefault="00200B99" w:rsidP="00251F1D">
            <w:pPr>
              <w:pStyle w:val="TableParagraph"/>
              <w:ind w:left="133" w:right="131"/>
              <w:rPr>
                <w:lang w:val="da-DK"/>
              </w:rPr>
            </w:pPr>
            <w:r w:rsidRPr="00251F1D">
              <w:rPr>
                <w:lang w:val="da-DK"/>
              </w:rPr>
              <w:t>Se detaljeret vejledning i tabel 5 i pkt. 4.4.</w:t>
            </w:r>
          </w:p>
        </w:tc>
      </w:tr>
      <w:tr w:rsidR="00200B99" w:rsidRPr="000C059E" w14:paraId="6F334A93" w14:textId="77777777" w:rsidTr="00773EAE">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3AEBAEC5" w14:textId="77777777" w:rsidR="00200B99" w:rsidRPr="00251F1D" w:rsidRDefault="00200B99" w:rsidP="00251F1D">
            <w:pPr>
              <w:ind w:left="133" w:right="131"/>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7E9C9CD2" w14:textId="77777777" w:rsidR="00200B99" w:rsidRPr="00251F1D" w:rsidRDefault="00200B99" w:rsidP="00251F1D">
            <w:pPr>
              <w:pStyle w:val="TableParagraph"/>
              <w:ind w:left="133" w:right="131"/>
              <w:rPr>
                <w:lang w:val="da-DK"/>
              </w:rPr>
            </w:pPr>
            <w:r w:rsidRPr="00251F1D">
              <w:rPr>
                <w:lang w:val="da-DK"/>
              </w:rPr>
              <w:t>Grad 4</w:t>
            </w:r>
          </w:p>
        </w:tc>
        <w:tc>
          <w:tcPr>
            <w:tcW w:w="700" w:type="pct"/>
            <w:tcBorders>
              <w:top w:val="single" w:sz="4" w:space="0" w:color="000000"/>
              <w:left w:val="single" w:sz="4" w:space="0" w:color="000000"/>
              <w:bottom w:val="single" w:sz="4" w:space="0" w:color="000000"/>
              <w:right w:val="single" w:sz="4" w:space="0" w:color="000000"/>
            </w:tcBorders>
            <w:hideMark/>
          </w:tcPr>
          <w:p w14:paraId="59391BA6" w14:textId="77777777" w:rsidR="00200B99" w:rsidRPr="00251F1D" w:rsidRDefault="00200B99" w:rsidP="00251F1D">
            <w:pPr>
              <w:pStyle w:val="TableParagraph"/>
              <w:ind w:left="133" w:right="131"/>
              <w:rPr>
                <w:lang w:val="da-DK"/>
              </w:rPr>
            </w:pPr>
            <w:r w:rsidRPr="00251F1D">
              <w:rPr>
                <w:lang w:val="da-DK"/>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7EE696C7" w14:textId="77777777" w:rsidR="00200B99" w:rsidRPr="00251F1D" w:rsidRDefault="00200B99" w:rsidP="00251F1D">
            <w:pPr>
              <w:pStyle w:val="TableParagraph"/>
              <w:ind w:left="133" w:right="131"/>
              <w:rPr>
                <w:lang w:val="da-DK"/>
              </w:rPr>
            </w:pPr>
            <w:r w:rsidRPr="00251F1D">
              <w:rPr>
                <w:lang w:val="da-DK"/>
              </w:rPr>
              <w:t>Må ikke genstartes.</w:t>
            </w:r>
          </w:p>
        </w:tc>
      </w:tr>
      <w:tr w:rsidR="00200B99" w:rsidRPr="000C059E" w14:paraId="200A692D" w14:textId="77777777" w:rsidTr="00773EAE">
        <w:trPr>
          <w:trHeight w:val="460"/>
        </w:trPr>
        <w:tc>
          <w:tcPr>
            <w:tcW w:w="1489" w:type="pct"/>
            <w:tcBorders>
              <w:top w:val="single" w:sz="4" w:space="0" w:color="000000"/>
              <w:left w:val="single" w:sz="4" w:space="0" w:color="000000"/>
              <w:bottom w:val="single" w:sz="4" w:space="0" w:color="000000"/>
              <w:right w:val="single" w:sz="4" w:space="0" w:color="000000"/>
            </w:tcBorders>
            <w:hideMark/>
          </w:tcPr>
          <w:p w14:paraId="1DC0D407" w14:textId="77777777" w:rsidR="00200B99" w:rsidRPr="00251F1D" w:rsidRDefault="00200B99" w:rsidP="00251F1D">
            <w:pPr>
              <w:pStyle w:val="TableParagraph"/>
              <w:ind w:left="133" w:right="131"/>
              <w:rPr>
                <w:lang w:val="da-DK"/>
              </w:rPr>
            </w:pPr>
            <w:r w:rsidRPr="00251F1D">
              <w:rPr>
                <w:lang w:val="da-DK"/>
              </w:rPr>
              <w:t>Proteinuri</w:t>
            </w:r>
          </w:p>
        </w:tc>
        <w:tc>
          <w:tcPr>
            <w:tcW w:w="1324" w:type="pct"/>
            <w:tcBorders>
              <w:top w:val="single" w:sz="4" w:space="0" w:color="000000"/>
              <w:left w:val="single" w:sz="4" w:space="0" w:color="000000"/>
              <w:bottom w:val="single" w:sz="4" w:space="0" w:color="000000"/>
              <w:right w:val="single" w:sz="4" w:space="0" w:color="000000"/>
            </w:tcBorders>
            <w:hideMark/>
          </w:tcPr>
          <w:p w14:paraId="0992D64E" w14:textId="77777777" w:rsidR="00200B99" w:rsidRPr="00251F1D" w:rsidRDefault="00200B99" w:rsidP="00251F1D">
            <w:pPr>
              <w:pStyle w:val="TableParagraph"/>
              <w:ind w:left="133" w:right="131"/>
              <w:rPr>
                <w:lang w:val="da-DK"/>
              </w:rPr>
            </w:pPr>
            <w:r w:rsidRPr="00251F1D">
              <w:rPr>
                <w:lang w:val="da-DK"/>
              </w:rPr>
              <w:t>≥ 2 g/24 timer</w:t>
            </w:r>
          </w:p>
        </w:tc>
        <w:tc>
          <w:tcPr>
            <w:tcW w:w="700" w:type="pct"/>
            <w:tcBorders>
              <w:top w:val="single" w:sz="4" w:space="0" w:color="000000"/>
              <w:left w:val="single" w:sz="4" w:space="0" w:color="000000"/>
              <w:bottom w:val="single" w:sz="4" w:space="0" w:color="000000"/>
              <w:right w:val="single" w:sz="4" w:space="0" w:color="000000"/>
            </w:tcBorders>
            <w:hideMark/>
          </w:tcPr>
          <w:p w14:paraId="613425EE" w14:textId="77777777" w:rsidR="00200B99" w:rsidRPr="00251F1D" w:rsidRDefault="00200B99" w:rsidP="00251F1D">
            <w:pPr>
              <w:pStyle w:val="TableParagraph"/>
              <w:ind w:left="133" w:right="131"/>
              <w:rPr>
                <w:lang w:val="da-DK"/>
              </w:rPr>
            </w:pPr>
            <w:r w:rsidRPr="00251F1D">
              <w:rPr>
                <w:lang w:val="da-DK"/>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28A01320" w14:textId="77777777" w:rsidR="00200B99" w:rsidRPr="00251F1D" w:rsidRDefault="00200B99" w:rsidP="00251F1D">
            <w:pPr>
              <w:pStyle w:val="TableParagraph"/>
              <w:ind w:left="133" w:right="131"/>
              <w:rPr>
                <w:lang w:val="da-DK"/>
              </w:rPr>
            </w:pPr>
            <w:r w:rsidRPr="00251F1D">
              <w:rPr>
                <w:lang w:val="da-DK"/>
              </w:rPr>
              <w:t>Fortager sig til under 2 g/24 timer.</w:t>
            </w:r>
          </w:p>
        </w:tc>
      </w:tr>
      <w:tr w:rsidR="00200B99" w:rsidRPr="000C059E" w14:paraId="42044A3D" w14:textId="77777777" w:rsidTr="00773EAE">
        <w:trPr>
          <w:trHeight w:val="230"/>
        </w:trPr>
        <w:tc>
          <w:tcPr>
            <w:tcW w:w="1489" w:type="pct"/>
            <w:tcBorders>
              <w:top w:val="single" w:sz="4" w:space="0" w:color="000000"/>
              <w:left w:val="single" w:sz="4" w:space="0" w:color="000000"/>
              <w:bottom w:val="single" w:sz="4" w:space="0" w:color="000000"/>
              <w:right w:val="single" w:sz="4" w:space="0" w:color="000000"/>
            </w:tcBorders>
            <w:hideMark/>
          </w:tcPr>
          <w:p w14:paraId="4A719FD1" w14:textId="77777777" w:rsidR="00200B99" w:rsidRPr="00251F1D" w:rsidRDefault="00200B99" w:rsidP="00251F1D">
            <w:pPr>
              <w:pStyle w:val="TableParagraph"/>
              <w:ind w:left="133" w:right="131"/>
              <w:rPr>
                <w:lang w:val="da-DK"/>
              </w:rPr>
            </w:pPr>
            <w:r w:rsidRPr="00251F1D">
              <w:rPr>
                <w:lang w:val="da-DK"/>
              </w:rPr>
              <w:t>Nefrotisk syndrom</w:t>
            </w:r>
          </w:p>
        </w:tc>
        <w:tc>
          <w:tcPr>
            <w:tcW w:w="1324" w:type="pct"/>
            <w:tcBorders>
              <w:top w:val="single" w:sz="4" w:space="0" w:color="000000"/>
              <w:left w:val="single" w:sz="4" w:space="0" w:color="000000"/>
              <w:bottom w:val="single" w:sz="4" w:space="0" w:color="000000"/>
              <w:right w:val="single" w:sz="4" w:space="0" w:color="000000"/>
            </w:tcBorders>
            <w:hideMark/>
          </w:tcPr>
          <w:p w14:paraId="040CDECF" w14:textId="77777777" w:rsidR="00200B99" w:rsidRPr="00251F1D" w:rsidRDefault="00200B99" w:rsidP="00251F1D">
            <w:pPr>
              <w:pStyle w:val="TableParagraph"/>
              <w:ind w:left="133" w:right="131"/>
              <w:rPr>
                <w:lang w:val="da-DK"/>
              </w:rPr>
            </w:pPr>
            <w:r w:rsidRPr="00251F1D">
              <w:rPr>
                <w:lang w:val="da-DK"/>
              </w:rPr>
              <w:t>-------</w:t>
            </w:r>
          </w:p>
        </w:tc>
        <w:tc>
          <w:tcPr>
            <w:tcW w:w="700" w:type="pct"/>
            <w:tcBorders>
              <w:top w:val="single" w:sz="4" w:space="0" w:color="000000"/>
              <w:left w:val="single" w:sz="4" w:space="0" w:color="000000"/>
              <w:bottom w:val="single" w:sz="4" w:space="0" w:color="000000"/>
              <w:right w:val="single" w:sz="4" w:space="0" w:color="000000"/>
            </w:tcBorders>
            <w:hideMark/>
          </w:tcPr>
          <w:p w14:paraId="7CCC626B" w14:textId="77777777" w:rsidR="00200B99" w:rsidRPr="00251F1D" w:rsidRDefault="00200B99" w:rsidP="00251F1D">
            <w:pPr>
              <w:pStyle w:val="TableParagraph"/>
              <w:ind w:left="133" w:right="131"/>
              <w:rPr>
                <w:lang w:val="da-DK"/>
              </w:rPr>
            </w:pPr>
            <w:r w:rsidRPr="00251F1D">
              <w:rPr>
                <w:lang w:val="da-DK"/>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47E89E0E" w14:textId="77777777" w:rsidR="00200B99" w:rsidRPr="00251F1D" w:rsidRDefault="00200B99" w:rsidP="00251F1D">
            <w:pPr>
              <w:pStyle w:val="TableParagraph"/>
              <w:ind w:left="133" w:right="131"/>
              <w:rPr>
                <w:lang w:val="da-DK"/>
              </w:rPr>
            </w:pPr>
            <w:r w:rsidRPr="00251F1D">
              <w:rPr>
                <w:lang w:val="da-DK"/>
              </w:rPr>
              <w:t>Må ikke genstartes.</w:t>
            </w:r>
          </w:p>
        </w:tc>
      </w:tr>
      <w:tr w:rsidR="00200B99" w:rsidRPr="000C059E" w14:paraId="5C7B1AC0" w14:textId="77777777" w:rsidTr="00773EAE">
        <w:trPr>
          <w:trHeight w:val="46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39A0E71E" w14:textId="77777777" w:rsidR="00200B99" w:rsidRPr="00251F1D" w:rsidRDefault="00200B99" w:rsidP="00251F1D">
            <w:pPr>
              <w:pStyle w:val="TableParagraph"/>
              <w:ind w:left="133" w:right="131"/>
              <w:rPr>
                <w:lang w:val="da-DK"/>
              </w:rPr>
            </w:pPr>
            <w:r w:rsidRPr="00251F1D">
              <w:rPr>
                <w:lang w:val="da-DK"/>
              </w:rPr>
              <w:t>Nedsat nyrefunktion eller nyresvigt</w:t>
            </w:r>
          </w:p>
        </w:tc>
        <w:tc>
          <w:tcPr>
            <w:tcW w:w="1324" w:type="pct"/>
            <w:tcBorders>
              <w:top w:val="single" w:sz="4" w:space="0" w:color="000000"/>
              <w:left w:val="single" w:sz="4" w:space="0" w:color="000000"/>
              <w:bottom w:val="single" w:sz="4" w:space="0" w:color="000000"/>
              <w:right w:val="single" w:sz="4" w:space="0" w:color="000000"/>
            </w:tcBorders>
            <w:hideMark/>
          </w:tcPr>
          <w:p w14:paraId="6CCF4562" w14:textId="77777777" w:rsidR="00200B99" w:rsidRPr="00251F1D" w:rsidRDefault="00200B99" w:rsidP="00251F1D">
            <w:pPr>
              <w:pStyle w:val="TableParagraph"/>
              <w:ind w:left="133" w:right="131"/>
              <w:rPr>
                <w:lang w:val="da-DK"/>
              </w:rPr>
            </w:pPr>
            <w:r w:rsidRPr="00251F1D">
              <w:rPr>
                <w:lang w:val="da-DK"/>
              </w:rPr>
              <w:t>Grad 3</w:t>
            </w:r>
          </w:p>
        </w:tc>
        <w:tc>
          <w:tcPr>
            <w:tcW w:w="700" w:type="pct"/>
            <w:tcBorders>
              <w:top w:val="single" w:sz="4" w:space="0" w:color="000000"/>
              <w:left w:val="single" w:sz="4" w:space="0" w:color="000000"/>
              <w:bottom w:val="single" w:sz="4" w:space="0" w:color="000000"/>
              <w:right w:val="single" w:sz="4" w:space="0" w:color="000000"/>
            </w:tcBorders>
            <w:hideMark/>
          </w:tcPr>
          <w:p w14:paraId="66A5B87C" w14:textId="77777777" w:rsidR="00200B99" w:rsidRPr="00251F1D" w:rsidRDefault="00200B99" w:rsidP="00251F1D">
            <w:pPr>
              <w:pStyle w:val="TableParagraph"/>
              <w:ind w:left="133" w:right="131"/>
              <w:rPr>
                <w:lang w:val="da-DK"/>
              </w:rPr>
            </w:pPr>
            <w:r w:rsidRPr="00251F1D">
              <w:rPr>
                <w:lang w:val="da-DK"/>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7EA35EDC" w14:textId="77777777" w:rsidR="00200B99" w:rsidRPr="00251F1D" w:rsidRDefault="00200B99" w:rsidP="00251F1D">
            <w:pPr>
              <w:pStyle w:val="TableParagraph"/>
              <w:ind w:left="133" w:right="131"/>
              <w:rPr>
                <w:lang w:val="da-DK"/>
              </w:rPr>
            </w:pPr>
            <w:r w:rsidRPr="00251F1D">
              <w:rPr>
                <w:lang w:val="da-DK"/>
              </w:rPr>
              <w:t xml:space="preserve">Fortager sig til grad 0-1 eller </w:t>
            </w:r>
            <w:r w:rsidRPr="00251F1D">
              <w:rPr>
                <w:i/>
                <w:iCs/>
                <w:lang w:val="da-DK"/>
              </w:rPr>
              <w:t>baseline</w:t>
            </w:r>
            <w:r w:rsidRPr="00251F1D">
              <w:rPr>
                <w:lang w:val="da-DK"/>
              </w:rPr>
              <w:t>.</w:t>
            </w:r>
          </w:p>
        </w:tc>
      </w:tr>
      <w:tr w:rsidR="00200B99" w:rsidRPr="000C059E" w14:paraId="2F0B1883" w14:textId="77777777" w:rsidTr="00773EAE">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79BE2943" w14:textId="77777777" w:rsidR="00200B99" w:rsidRPr="00251F1D" w:rsidRDefault="00200B99" w:rsidP="00251F1D">
            <w:pPr>
              <w:ind w:left="133" w:right="131"/>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0F41F6AA" w14:textId="77777777" w:rsidR="00200B99" w:rsidRPr="00251F1D" w:rsidRDefault="00200B99" w:rsidP="00251F1D">
            <w:pPr>
              <w:pStyle w:val="TableParagraph"/>
              <w:ind w:left="133" w:right="131"/>
              <w:rPr>
                <w:lang w:val="da-DK"/>
              </w:rPr>
            </w:pPr>
            <w:r w:rsidRPr="00251F1D">
              <w:rPr>
                <w:lang w:val="da-DK"/>
              </w:rPr>
              <w:t>Grad 4*</w:t>
            </w:r>
          </w:p>
        </w:tc>
        <w:tc>
          <w:tcPr>
            <w:tcW w:w="700" w:type="pct"/>
            <w:tcBorders>
              <w:top w:val="single" w:sz="4" w:space="0" w:color="000000"/>
              <w:left w:val="single" w:sz="4" w:space="0" w:color="000000"/>
              <w:bottom w:val="single" w:sz="4" w:space="0" w:color="000000"/>
              <w:right w:val="single" w:sz="4" w:space="0" w:color="000000"/>
            </w:tcBorders>
            <w:hideMark/>
          </w:tcPr>
          <w:p w14:paraId="70A08D07" w14:textId="77777777" w:rsidR="00200B99" w:rsidRPr="00251F1D" w:rsidRDefault="00200B99" w:rsidP="00251F1D">
            <w:pPr>
              <w:pStyle w:val="TableParagraph"/>
              <w:ind w:left="133" w:right="131"/>
              <w:rPr>
                <w:lang w:val="da-DK"/>
              </w:rPr>
            </w:pPr>
            <w:r w:rsidRPr="00251F1D">
              <w:rPr>
                <w:lang w:val="da-DK"/>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5A4F4B5D" w14:textId="77777777" w:rsidR="00200B99" w:rsidRPr="00251F1D" w:rsidRDefault="00200B99" w:rsidP="00251F1D">
            <w:pPr>
              <w:pStyle w:val="TableParagraph"/>
              <w:ind w:left="133" w:right="131"/>
              <w:rPr>
                <w:lang w:val="da-DK"/>
              </w:rPr>
            </w:pPr>
            <w:r w:rsidRPr="00251F1D">
              <w:rPr>
                <w:lang w:val="da-DK"/>
              </w:rPr>
              <w:t>Må ikke genstartes.</w:t>
            </w:r>
          </w:p>
        </w:tc>
      </w:tr>
      <w:tr w:rsidR="00200B99" w:rsidRPr="000C059E" w14:paraId="7657D94B" w14:textId="77777777" w:rsidTr="00773EAE">
        <w:trPr>
          <w:trHeight w:val="455"/>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57B81861" w14:textId="77777777" w:rsidR="00200B99" w:rsidRPr="00251F1D" w:rsidRDefault="00200B99" w:rsidP="00251F1D">
            <w:pPr>
              <w:pStyle w:val="TableParagraph"/>
              <w:ind w:left="133" w:right="131"/>
              <w:rPr>
                <w:lang w:val="da-DK"/>
              </w:rPr>
            </w:pPr>
            <w:r w:rsidRPr="00251F1D">
              <w:rPr>
                <w:lang w:val="da-DK"/>
              </w:rPr>
              <w:t>Hjertedysfunktion</w:t>
            </w:r>
          </w:p>
        </w:tc>
        <w:tc>
          <w:tcPr>
            <w:tcW w:w="1324" w:type="pct"/>
            <w:tcBorders>
              <w:top w:val="single" w:sz="4" w:space="0" w:color="000000"/>
              <w:left w:val="single" w:sz="4" w:space="0" w:color="000000"/>
              <w:bottom w:val="single" w:sz="4" w:space="0" w:color="000000"/>
              <w:right w:val="single" w:sz="4" w:space="0" w:color="000000"/>
            </w:tcBorders>
            <w:hideMark/>
          </w:tcPr>
          <w:p w14:paraId="4C8C2352" w14:textId="77777777" w:rsidR="00200B99" w:rsidRPr="00251F1D" w:rsidRDefault="00200B99" w:rsidP="00251F1D">
            <w:pPr>
              <w:pStyle w:val="TableParagraph"/>
              <w:ind w:left="133" w:right="131"/>
              <w:rPr>
                <w:lang w:val="da-DK"/>
              </w:rPr>
            </w:pPr>
            <w:r w:rsidRPr="00251F1D">
              <w:rPr>
                <w:lang w:val="da-DK"/>
              </w:rPr>
              <w:t>Grad 3</w:t>
            </w:r>
          </w:p>
        </w:tc>
        <w:tc>
          <w:tcPr>
            <w:tcW w:w="700" w:type="pct"/>
            <w:tcBorders>
              <w:top w:val="single" w:sz="4" w:space="0" w:color="000000"/>
              <w:left w:val="single" w:sz="4" w:space="0" w:color="000000"/>
              <w:bottom w:val="single" w:sz="4" w:space="0" w:color="000000"/>
              <w:right w:val="single" w:sz="4" w:space="0" w:color="000000"/>
            </w:tcBorders>
            <w:hideMark/>
          </w:tcPr>
          <w:p w14:paraId="3733D1B6" w14:textId="77777777" w:rsidR="00200B99" w:rsidRPr="00251F1D" w:rsidRDefault="00200B99" w:rsidP="00251F1D">
            <w:pPr>
              <w:pStyle w:val="TableParagraph"/>
              <w:ind w:left="133" w:right="131"/>
              <w:rPr>
                <w:lang w:val="da-DK"/>
              </w:rPr>
            </w:pPr>
            <w:r w:rsidRPr="00251F1D">
              <w:rPr>
                <w:lang w:val="da-DK"/>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5A01138C" w14:textId="77777777" w:rsidR="00200B99" w:rsidRPr="00251F1D" w:rsidRDefault="00200B99" w:rsidP="00251F1D">
            <w:pPr>
              <w:pStyle w:val="TableParagraph"/>
              <w:ind w:left="133" w:right="131"/>
              <w:rPr>
                <w:lang w:val="da-DK"/>
              </w:rPr>
            </w:pPr>
            <w:r w:rsidRPr="00251F1D">
              <w:rPr>
                <w:lang w:val="da-DK"/>
              </w:rPr>
              <w:t xml:space="preserve">Fortager sig til grad 0-1 eller </w:t>
            </w:r>
            <w:r w:rsidRPr="00251F1D">
              <w:rPr>
                <w:i/>
                <w:iCs/>
                <w:lang w:val="da-DK"/>
              </w:rPr>
              <w:t>baseline</w:t>
            </w:r>
            <w:r w:rsidRPr="00251F1D">
              <w:rPr>
                <w:lang w:val="da-DK"/>
              </w:rPr>
              <w:t>.</w:t>
            </w:r>
          </w:p>
        </w:tc>
      </w:tr>
      <w:tr w:rsidR="00200B99" w:rsidRPr="000C059E" w14:paraId="1A2BB9F8" w14:textId="77777777" w:rsidTr="00773EAE">
        <w:trPr>
          <w:trHeight w:val="228"/>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2338009E" w14:textId="77777777" w:rsidR="00200B99" w:rsidRPr="00251F1D" w:rsidRDefault="00200B99" w:rsidP="00251F1D">
            <w:pPr>
              <w:ind w:left="133" w:right="131"/>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367C764E" w14:textId="77777777" w:rsidR="00200B99" w:rsidRPr="00251F1D" w:rsidRDefault="00200B99" w:rsidP="00251F1D">
            <w:pPr>
              <w:pStyle w:val="TableParagraph"/>
              <w:ind w:left="133" w:right="131"/>
              <w:rPr>
                <w:lang w:val="da-DK"/>
              </w:rPr>
            </w:pPr>
            <w:r w:rsidRPr="00251F1D">
              <w:rPr>
                <w:lang w:val="da-DK"/>
              </w:rPr>
              <w:t>Grad 4</w:t>
            </w:r>
          </w:p>
        </w:tc>
        <w:tc>
          <w:tcPr>
            <w:tcW w:w="700" w:type="pct"/>
            <w:tcBorders>
              <w:top w:val="single" w:sz="4" w:space="0" w:color="000000"/>
              <w:left w:val="single" w:sz="4" w:space="0" w:color="000000"/>
              <w:bottom w:val="single" w:sz="4" w:space="0" w:color="000000"/>
              <w:right w:val="single" w:sz="4" w:space="0" w:color="000000"/>
            </w:tcBorders>
            <w:hideMark/>
          </w:tcPr>
          <w:p w14:paraId="5FD35E0F" w14:textId="77777777" w:rsidR="00200B99" w:rsidRPr="00251F1D" w:rsidRDefault="00200B99" w:rsidP="00251F1D">
            <w:pPr>
              <w:pStyle w:val="TableParagraph"/>
              <w:ind w:left="133" w:right="131"/>
              <w:rPr>
                <w:lang w:val="da-DK"/>
              </w:rPr>
            </w:pPr>
            <w:r w:rsidRPr="00251F1D">
              <w:rPr>
                <w:lang w:val="da-DK"/>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4ACC497A" w14:textId="77777777" w:rsidR="00200B99" w:rsidRPr="00251F1D" w:rsidRDefault="00200B99" w:rsidP="00251F1D">
            <w:pPr>
              <w:pStyle w:val="TableParagraph"/>
              <w:ind w:left="133" w:right="131"/>
              <w:rPr>
                <w:lang w:val="da-DK"/>
              </w:rPr>
            </w:pPr>
            <w:r w:rsidRPr="00251F1D">
              <w:rPr>
                <w:lang w:val="da-DK"/>
              </w:rPr>
              <w:t>Må ikke genstartes.</w:t>
            </w:r>
          </w:p>
        </w:tc>
      </w:tr>
      <w:tr w:rsidR="00200B99" w:rsidRPr="000C059E" w14:paraId="29A96B7B" w14:textId="77777777" w:rsidTr="00773EAE">
        <w:trPr>
          <w:trHeight w:val="1151"/>
        </w:trPr>
        <w:tc>
          <w:tcPr>
            <w:tcW w:w="1489" w:type="pct"/>
            <w:tcBorders>
              <w:top w:val="single" w:sz="4" w:space="0" w:color="000000"/>
              <w:left w:val="single" w:sz="4" w:space="0" w:color="000000"/>
              <w:bottom w:val="single" w:sz="4" w:space="0" w:color="000000"/>
              <w:right w:val="single" w:sz="4" w:space="0" w:color="000000"/>
            </w:tcBorders>
            <w:hideMark/>
          </w:tcPr>
          <w:p w14:paraId="1A8A211C" w14:textId="77777777" w:rsidR="00200B99" w:rsidRPr="00251F1D" w:rsidRDefault="00200B99" w:rsidP="00251F1D">
            <w:pPr>
              <w:pStyle w:val="TableParagraph"/>
              <w:ind w:left="133" w:right="131"/>
              <w:rPr>
                <w:lang w:val="da-DK"/>
              </w:rPr>
            </w:pPr>
            <w:r w:rsidRPr="00251F1D">
              <w:rPr>
                <w:lang w:val="da-DK"/>
              </w:rPr>
              <w:t>Posteriort reversibelt encefalopatisyndrom (PRES)/reversibelt posteriort leukoencefalopatisyndrom (RPLS)</w:t>
            </w:r>
          </w:p>
        </w:tc>
        <w:tc>
          <w:tcPr>
            <w:tcW w:w="1324" w:type="pct"/>
            <w:tcBorders>
              <w:top w:val="single" w:sz="4" w:space="0" w:color="000000"/>
              <w:left w:val="single" w:sz="4" w:space="0" w:color="000000"/>
              <w:bottom w:val="single" w:sz="4" w:space="0" w:color="000000"/>
              <w:right w:val="single" w:sz="4" w:space="0" w:color="000000"/>
            </w:tcBorders>
            <w:hideMark/>
          </w:tcPr>
          <w:p w14:paraId="4024E39F" w14:textId="77777777" w:rsidR="00200B99" w:rsidRPr="00251F1D" w:rsidRDefault="00200B99" w:rsidP="00251F1D">
            <w:pPr>
              <w:pStyle w:val="TableParagraph"/>
              <w:ind w:left="133" w:right="131"/>
              <w:rPr>
                <w:lang w:val="da-DK"/>
              </w:rPr>
            </w:pPr>
            <w:r w:rsidRPr="00251F1D">
              <w:rPr>
                <w:lang w:val="da-DK"/>
              </w:rPr>
              <w:t>Alle grader</w:t>
            </w:r>
          </w:p>
        </w:tc>
        <w:tc>
          <w:tcPr>
            <w:tcW w:w="700" w:type="pct"/>
            <w:tcBorders>
              <w:top w:val="single" w:sz="4" w:space="0" w:color="000000"/>
              <w:left w:val="single" w:sz="4" w:space="0" w:color="000000"/>
              <w:bottom w:val="single" w:sz="4" w:space="0" w:color="000000"/>
              <w:right w:val="single" w:sz="4" w:space="0" w:color="000000"/>
            </w:tcBorders>
            <w:hideMark/>
          </w:tcPr>
          <w:p w14:paraId="623D2A4B" w14:textId="77777777" w:rsidR="00200B99" w:rsidRPr="00251F1D" w:rsidRDefault="00200B99" w:rsidP="00251F1D">
            <w:pPr>
              <w:pStyle w:val="TableParagraph"/>
              <w:ind w:left="133" w:right="131"/>
              <w:rPr>
                <w:lang w:val="da-DK"/>
              </w:rPr>
            </w:pPr>
            <w:r w:rsidRPr="00251F1D">
              <w:rPr>
                <w:lang w:val="da-DK"/>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5F8C6FC9" w14:textId="77777777" w:rsidR="00200B99" w:rsidRPr="00251F1D" w:rsidRDefault="00200B99" w:rsidP="00251F1D">
            <w:pPr>
              <w:pStyle w:val="TableParagraph"/>
              <w:ind w:left="133" w:right="131"/>
              <w:rPr>
                <w:lang w:val="da-DK"/>
              </w:rPr>
            </w:pPr>
            <w:r w:rsidRPr="00251F1D">
              <w:rPr>
                <w:lang w:val="da-DK"/>
              </w:rPr>
              <w:t>Overvej at genstarte ved en reduceret dosis, hvis det fortager sig til grad 0-1.</w:t>
            </w:r>
          </w:p>
        </w:tc>
      </w:tr>
      <w:tr w:rsidR="00200B99" w:rsidRPr="000C059E" w14:paraId="06E70A33" w14:textId="77777777" w:rsidTr="00773EAE">
        <w:trPr>
          <w:trHeight w:val="46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638D1204" w14:textId="77777777" w:rsidR="00200B99" w:rsidRPr="00251F1D" w:rsidRDefault="00200B99" w:rsidP="00251F1D">
            <w:pPr>
              <w:pStyle w:val="TableParagraph"/>
              <w:ind w:left="133" w:right="131"/>
              <w:rPr>
                <w:lang w:val="da-DK"/>
              </w:rPr>
            </w:pPr>
            <w:r w:rsidRPr="00251F1D">
              <w:rPr>
                <w:lang w:val="da-DK"/>
              </w:rPr>
              <w:t>Levertoksicitet</w:t>
            </w:r>
          </w:p>
        </w:tc>
        <w:tc>
          <w:tcPr>
            <w:tcW w:w="1324" w:type="pct"/>
            <w:tcBorders>
              <w:top w:val="single" w:sz="4" w:space="0" w:color="000000"/>
              <w:left w:val="single" w:sz="4" w:space="0" w:color="000000"/>
              <w:bottom w:val="single" w:sz="4" w:space="0" w:color="000000"/>
              <w:right w:val="single" w:sz="4" w:space="0" w:color="000000"/>
            </w:tcBorders>
            <w:hideMark/>
          </w:tcPr>
          <w:p w14:paraId="35F91678" w14:textId="77777777" w:rsidR="00200B99" w:rsidRPr="00251F1D" w:rsidRDefault="00200B99" w:rsidP="00251F1D">
            <w:pPr>
              <w:pStyle w:val="TableParagraph"/>
              <w:ind w:left="133" w:right="131"/>
              <w:rPr>
                <w:lang w:val="da-DK"/>
              </w:rPr>
            </w:pPr>
            <w:r w:rsidRPr="00251F1D">
              <w:rPr>
                <w:lang w:val="da-DK"/>
              </w:rPr>
              <w:t>Grad 3</w:t>
            </w:r>
          </w:p>
        </w:tc>
        <w:tc>
          <w:tcPr>
            <w:tcW w:w="700" w:type="pct"/>
            <w:tcBorders>
              <w:top w:val="single" w:sz="4" w:space="0" w:color="000000"/>
              <w:left w:val="single" w:sz="4" w:space="0" w:color="000000"/>
              <w:bottom w:val="single" w:sz="4" w:space="0" w:color="000000"/>
              <w:right w:val="single" w:sz="4" w:space="0" w:color="000000"/>
            </w:tcBorders>
            <w:hideMark/>
          </w:tcPr>
          <w:p w14:paraId="2FDFCC77" w14:textId="77777777" w:rsidR="00200B99" w:rsidRPr="00251F1D" w:rsidRDefault="00200B99" w:rsidP="00251F1D">
            <w:pPr>
              <w:pStyle w:val="TableParagraph"/>
              <w:ind w:left="133" w:right="131"/>
              <w:rPr>
                <w:lang w:val="da-DK"/>
              </w:rPr>
            </w:pPr>
            <w:r w:rsidRPr="00251F1D">
              <w:rPr>
                <w:lang w:val="da-DK"/>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37B3C706" w14:textId="77777777" w:rsidR="00200B99" w:rsidRPr="00251F1D" w:rsidRDefault="00200B99" w:rsidP="00251F1D">
            <w:pPr>
              <w:pStyle w:val="TableParagraph"/>
              <w:ind w:left="133" w:right="131"/>
              <w:rPr>
                <w:lang w:val="da-DK"/>
              </w:rPr>
            </w:pPr>
            <w:r w:rsidRPr="00251F1D">
              <w:rPr>
                <w:lang w:val="da-DK"/>
              </w:rPr>
              <w:t xml:space="preserve">Fortager sig til grad 0-1 eller </w:t>
            </w:r>
            <w:r w:rsidRPr="00251F1D">
              <w:rPr>
                <w:i/>
                <w:iCs/>
                <w:lang w:val="da-DK"/>
              </w:rPr>
              <w:t>baseline</w:t>
            </w:r>
            <w:r w:rsidRPr="00251F1D">
              <w:rPr>
                <w:lang w:val="da-DK"/>
              </w:rPr>
              <w:t>.</w:t>
            </w:r>
          </w:p>
        </w:tc>
      </w:tr>
      <w:tr w:rsidR="00200B99" w:rsidRPr="000C059E" w14:paraId="1359F4AA" w14:textId="77777777" w:rsidTr="00773EAE">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687EF1E9" w14:textId="77777777" w:rsidR="00200B99" w:rsidRPr="00251F1D" w:rsidRDefault="00200B99" w:rsidP="00251F1D">
            <w:pPr>
              <w:ind w:left="133" w:right="131"/>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69135800" w14:textId="77777777" w:rsidR="00200B99" w:rsidRPr="00251F1D" w:rsidRDefault="00200B99" w:rsidP="00251F1D">
            <w:pPr>
              <w:pStyle w:val="TableParagraph"/>
              <w:ind w:left="133" w:right="131"/>
              <w:rPr>
                <w:lang w:val="da-DK"/>
              </w:rPr>
            </w:pPr>
            <w:r w:rsidRPr="00251F1D">
              <w:rPr>
                <w:lang w:val="da-DK"/>
              </w:rPr>
              <w:t>Grad 4*</w:t>
            </w:r>
          </w:p>
        </w:tc>
        <w:tc>
          <w:tcPr>
            <w:tcW w:w="700" w:type="pct"/>
            <w:tcBorders>
              <w:top w:val="single" w:sz="4" w:space="0" w:color="000000"/>
              <w:left w:val="single" w:sz="4" w:space="0" w:color="000000"/>
              <w:bottom w:val="single" w:sz="4" w:space="0" w:color="000000"/>
              <w:right w:val="single" w:sz="4" w:space="0" w:color="000000"/>
            </w:tcBorders>
            <w:hideMark/>
          </w:tcPr>
          <w:p w14:paraId="2623E878" w14:textId="77777777" w:rsidR="00200B99" w:rsidRPr="00251F1D" w:rsidRDefault="00200B99" w:rsidP="00251F1D">
            <w:pPr>
              <w:pStyle w:val="TableParagraph"/>
              <w:ind w:left="133" w:right="131"/>
              <w:rPr>
                <w:lang w:val="da-DK"/>
              </w:rPr>
            </w:pPr>
            <w:r w:rsidRPr="00251F1D">
              <w:rPr>
                <w:lang w:val="da-DK"/>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4A9A0FB8" w14:textId="77777777" w:rsidR="00200B99" w:rsidRPr="00251F1D" w:rsidRDefault="00200B99" w:rsidP="00251F1D">
            <w:pPr>
              <w:pStyle w:val="TableParagraph"/>
              <w:ind w:left="133" w:right="131"/>
              <w:rPr>
                <w:lang w:val="da-DK"/>
              </w:rPr>
            </w:pPr>
            <w:r w:rsidRPr="00251F1D">
              <w:rPr>
                <w:lang w:val="da-DK"/>
              </w:rPr>
              <w:t>Må ikke genstartes.</w:t>
            </w:r>
          </w:p>
        </w:tc>
      </w:tr>
      <w:tr w:rsidR="00200B99" w:rsidRPr="000C059E" w14:paraId="5DE625B5" w14:textId="77777777" w:rsidTr="00773EAE">
        <w:trPr>
          <w:trHeight w:val="230"/>
        </w:trPr>
        <w:tc>
          <w:tcPr>
            <w:tcW w:w="1489" w:type="pct"/>
            <w:tcBorders>
              <w:top w:val="single" w:sz="4" w:space="0" w:color="000000"/>
              <w:left w:val="single" w:sz="4" w:space="0" w:color="000000"/>
              <w:bottom w:val="single" w:sz="4" w:space="0" w:color="000000"/>
              <w:right w:val="single" w:sz="4" w:space="0" w:color="000000"/>
            </w:tcBorders>
            <w:hideMark/>
          </w:tcPr>
          <w:p w14:paraId="7D0BEA08" w14:textId="77777777" w:rsidR="00200B99" w:rsidRPr="00251F1D" w:rsidRDefault="00200B99" w:rsidP="00251F1D">
            <w:pPr>
              <w:pStyle w:val="TableParagraph"/>
              <w:ind w:left="133" w:right="131"/>
              <w:rPr>
                <w:lang w:val="da-DK"/>
              </w:rPr>
            </w:pPr>
            <w:r w:rsidRPr="00251F1D">
              <w:rPr>
                <w:lang w:val="da-DK"/>
              </w:rPr>
              <w:t>Arteriel tromboemboli</w:t>
            </w:r>
          </w:p>
        </w:tc>
        <w:tc>
          <w:tcPr>
            <w:tcW w:w="1324" w:type="pct"/>
            <w:tcBorders>
              <w:top w:val="single" w:sz="4" w:space="0" w:color="000000"/>
              <w:left w:val="single" w:sz="4" w:space="0" w:color="000000"/>
              <w:bottom w:val="single" w:sz="4" w:space="0" w:color="000000"/>
              <w:right w:val="single" w:sz="4" w:space="0" w:color="000000"/>
            </w:tcBorders>
            <w:hideMark/>
          </w:tcPr>
          <w:p w14:paraId="4D1E31A9" w14:textId="77777777" w:rsidR="00200B99" w:rsidRPr="00251F1D" w:rsidRDefault="00200B99" w:rsidP="00251F1D">
            <w:pPr>
              <w:pStyle w:val="TableParagraph"/>
              <w:ind w:left="133" w:right="131"/>
              <w:rPr>
                <w:lang w:val="da-DK"/>
              </w:rPr>
            </w:pPr>
            <w:r w:rsidRPr="00251F1D">
              <w:rPr>
                <w:lang w:val="da-DK"/>
              </w:rPr>
              <w:t>Alle grader</w:t>
            </w:r>
          </w:p>
        </w:tc>
        <w:tc>
          <w:tcPr>
            <w:tcW w:w="700" w:type="pct"/>
            <w:tcBorders>
              <w:top w:val="single" w:sz="4" w:space="0" w:color="000000"/>
              <w:left w:val="single" w:sz="4" w:space="0" w:color="000000"/>
              <w:bottom w:val="single" w:sz="4" w:space="0" w:color="000000"/>
              <w:right w:val="single" w:sz="4" w:space="0" w:color="000000"/>
            </w:tcBorders>
            <w:hideMark/>
          </w:tcPr>
          <w:p w14:paraId="1A640ADF" w14:textId="77777777" w:rsidR="00200B99" w:rsidRPr="00251F1D" w:rsidRDefault="00200B99" w:rsidP="00251F1D">
            <w:pPr>
              <w:pStyle w:val="TableParagraph"/>
              <w:ind w:left="133" w:right="131"/>
              <w:rPr>
                <w:lang w:val="da-DK"/>
              </w:rPr>
            </w:pPr>
            <w:r w:rsidRPr="00251F1D">
              <w:rPr>
                <w:lang w:val="da-DK"/>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0B01C4C3" w14:textId="77777777" w:rsidR="00200B99" w:rsidRPr="00251F1D" w:rsidRDefault="00200B99" w:rsidP="00251F1D">
            <w:pPr>
              <w:pStyle w:val="TableParagraph"/>
              <w:ind w:left="133" w:right="131"/>
              <w:rPr>
                <w:lang w:val="da-DK"/>
              </w:rPr>
            </w:pPr>
            <w:r w:rsidRPr="00251F1D">
              <w:rPr>
                <w:lang w:val="da-DK"/>
              </w:rPr>
              <w:t>Må ikke genstartes.</w:t>
            </w:r>
          </w:p>
        </w:tc>
      </w:tr>
      <w:tr w:rsidR="00200B99" w:rsidRPr="000C059E" w14:paraId="2FF42D42" w14:textId="77777777" w:rsidTr="00773EAE">
        <w:trPr>
          <w:trHeight w:val="23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61418BC9" w14:textId="77777777" w:rsidR="00200B99" w:rsidRPr="00251F1D" w:rsidRDefault="00200B99" w:rsidP="00251F1D">
            <w:pPr>
              <w:pStyle w:val="TableParagraph"/>
              <w:ind w:left="133" w:right="131"/>
              <w:rPr>
                <w:lang w:val="da-DK"/>
              </w:rPr>
            </w:pPr>
            <w:r w:rsidRPr="00251F1D">
              <w:rPr>
                <w:lang w:val="da-DK"/>
              </w:rPr>
              <w:t>Blødning</w:t>
            </w:r>
          </w:p>
        </w:tc>
        <w:tc>
          <w:tcPr>
            <w:tcW w:w="1324" w:type="pct"/>
            <w:tcBorders>
              <w:top w:val="single" w:sz="4" w:space="0" w:color="000000"/>
              <w:left w:val="single" w:sz="4" w:space="0" w:color="000000"/>
              <w:bottom w:val="single" w:sz="4" w:space="0" w:color="000000"/>
              <w:right w:val="single" w:sz="4" w:space="0" w:color="000000"/>
            </w:tcBorders>
            <w:hideMark/>
          </w:tcPr>
          <w:p w14:paraId="2A9C819A" w14:textId="77777777" w:rsidR="00200B99" w:rsidRPr="00251F1D" w:rsidRDefault="00200B99" w:rsidP="00251F1D">
            <w:pPr>
              <w:pStyle w:val="TableParagraph"/>
              <w:ind w:left="133" w:right="131"/>
              <w:rPr>
                <w:lang w:val="da-DK"/>
              </w:rPr>
            </w:pPr>
            <w:r w:rsidRPr="00251F1D">
              <w:rPr>
                <w:lang w:val="da-DK"/>
              </w:rPr>
              <w:t>Grad 3</w:t>
            </w:r>
          </w:p>
        </w:tc>
        <w:tc>
          <w:tcPr>
            <w:tcW w:w="700" w:type="pct"/>
            <w:tcBorders>
              <w:top w:val="single" w:sz="4" w:space="0" w:color="000000"/>
              <w:left w:val="single" w:sz="4" w:space="0" w:color="000000"/>
              <w:bottom w:val="single" w:sz="4" w:space="0" w:color="000000"/>
              <w:right w:val="single" w:sz="4" w:space="0" w:color="000000"/>
            </w:tcBorders>
            <w:hideMark/>
          </w:tcPr>
          <w:p w14:paraId="5124B3C8" w14:textId="77777777" w:rsidR="00200B99" w:rsidRPr="00251F1D" w:rsidRDefault="00200B99" w:rsidP="00251F1D">
            <w:pPr>
              <w:pStyle w:val="TableParagraph"/>
              <w:ind w:left="133" w:right="131"/>
              <w:rPr>
                <w:lang w:val="da-DK"/>
              </w:rPr>
            </w:pPr>
            <w:r w:rsidRPr="00251F1D">
              <w:rPr>
                <w:lang w:val="da-DK"/>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0811DA66" w14:textId="77777777" w:rsidR="00200B99" w:rsidRPr="00251F1D" w:rsidRDefault="00200B99" w:rsidP="00251F1D">
            <w:pPr>
              <w:pStyle w:val="TableParagraph"/>
              <w:ind w:left="133" w:right="131"/>
              <w:rPr>
                <w:lang w:val="da-DK"/>
              </w:rPr>
            </w:pPr>
            <w:r w:rsidRPr="00251F1D">
              <w:rPr>
                <w:lang w:val="da-DK"/>
              </w:rPr>
              <w:t>Fortager sig til grad 0-1.</w:t>
            </w:r>
          </w:p>
        </w:tc>
      </w:tr>
      <w:tr w:rsidR="00200B99" w:rsidRPr="000C059E" w14:paraId="6E3C7780" w14:textId="77777777" w:rsidTr="00773EAE">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45790B47" w14:textId="77777777" w:rsidR="00200B99" w:rsidRPr="00251F1D" w:rsidRDefault="00200B99" w:rsidP="00251F1D">
            <w:pPr>
              <w:ind w:left="133" w:right="131"/>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4FB27583" w14:textId="77777777" w:rsidR="00200B99" w:rsidRPr="00251F1D" w:rsidRDefault="00200B99" w:rsidP="00251F1D">
            <w:pPr>
              <w:pStyle w:val="TableParagraph"/>
              <w:ind w:left="133" w:right="131"/>
              <w:rPr>
                <w:lang w:val="da-DK"/>
              </w:rPr>
            </w:pPr>
            <w:r w:rsidRPr="00251F1D">
              <w:rPr>
                <w:lang w:val="da-DK"/>
              </w:rPr>
              <w:t>Grad 4</w:t>
            </w:r>
          </w:p>
        </w:tc>
        <w:tc>
          <w:tcPr>
            <w:tcW w:w="700" w:type="pct"/>
            <w:tcBorders>
              <w:top w:val="single" w:sz="4" w:space="0" w:color="000000"/>
              <w:left w:val="single" w:sz="4" w:space="0" w:color="000000"/>
              <w:bottom w:val="single" w:sz="4" w:space="0" w:color="000000"/>
              <w:right w:val="single" w:sz="4" w:space="0" w:color="000000"/>
            </w:tcBorders>
            <w:hideMark/>
          </w:tcPr>
          <w:p w14:paraId="0C5310D0" w14:textId="77777777" w:rsidR="00200B99" w:rsidRPr="00251F1D" w:rsidRDefault="00200B99" w:rsidP="00251F1D">
            <w:pPr>
              <w:pStyle w:val="TableParagraph"/>
              <w:ind w:left="133" w:right="131"/>
              <w:rPr>
                <w:lang w:val="da-DK"/>
              </w:rPr>
            </w:pPr>
            <w:r w:rsidRPr="00251F1D">
              <w:rPr>
                <w:lang w:val="da-DK"/>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69B8B674" w14:textId="77777777" w:rsidR="00200B99" w:rsidRPr="00251F1D" w:rsidRDefault="00200B99" w:rsidP="00251F1D">
            <w:pPr>
              <w:pStyle w:val="TableParagraph"/>
              <w:ind w:left="133" w:right="131"/>
              <w:rPr>
                <w:lang w:val="da-DK"/>
              </w:rPr>
            </w:pPr>
            <w:r w:rsidRPr="00251F1D">
              <w:rPr>
                <w:lang w:val="da-DK"/>
              </w:rPr>
              <w:t>Må ikke genstartes.</w:t>
            </w:r>
          </w:p>
        </w:tc>
      </w:tr>
      <w:tr w:rsidR="00200B99" w:rsidRPr="000C059E" w14:paraId="0E4C8F84" w14:textId="77777777" w:rsidTr="00773EAE">
        <w:trPr>
          <w:trHeight w:val="46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20C150E7" w14:textId="77777777" w:rsidR="00200B99" w:rsidRPr="00251F1D" w:rsidRDefault="00200B99" w:rsidP="00251F1D">
            <w:pPr>
              <w:pStyle w:val="TableParagraph"/>
              <w:ind w:left="133" w:right="131"/>
              <w:rPr>
                <w:lang w:val="da-DK"/>
              </w:rPr>
            </w:pPr>
            <w:r w:rsidRPr="00251F1D">
              <w:rPr>
                <w:lang w:val="da-DK"/>
              </w:rPr>
              <w:t>Gastrointestinal perforation eller fistel</w:t>
            </w:r>
          </w:p>
        </w:tc>
        <w:tc>
          <w:tcPr>
            <w:tcW w:w="1324" w:type="pct"/>
            <w:tcBorders>
              <w:top w:val="single" w:sz="4" w:space="0" w:color="000000"/>
              <w:left w:val="single" w:sz="4" w:space="0" w:color="000000"/>
              <w:bottom w:val="single" w:sz="4" w:space="0" w:color="000000"/>
              <w:right w:val="single" w:sz="4" w:space="0" w:color="000000"/>
            </w:tcBorders>
            <w:hideMark/>
          </w:tcPr>
          <w:p w14:paraId="33497ADF" w14:textId="77777777" w:rsidR="00200B99" w:rsidRPr="00251F1D" w:rsidRDefault="00200B99" w:rsidP="00251F1D">
            <w:pPr>
              <w:pStyle w:val="TableParagraph"/>
              <w:ind w:left="133" w:right="131"/>
              <w:rPr>
                <w:lang w:val="da-DK"/>
              </w:rPr>
            </w:pPr>
            <w:r w:rsidRPr="00251F1D">
              <w:rPr>
                <w:lang w:val="da-DK"/>
              </w:rPr>
              <w:t>Grad 3</w:t>
            </w:r>
          </w:p>
        </w:tc>
        <w:tc>
          <w:tcPr>
            <w:tcW w:w="700" w:type="pct"/>
            <w:tcBorders>
              <w:top w:val="single" w:sz="4" w:space="0" w:color="000000"/>
              <w:left w:val="single" w:sz="4" w:space="0" w:color="000000"/>
              <w:bottom w:val="single" w:sz="4" w:space="0" w:color="000000"/>
              <w:right w:val="single" w:sz="4" w:space="0" w:color="000000"/>
            </w:tcBorders>
            <w:hideMark/>
          </w:tcPr>
          <w:p w14:paraId="24FB8565" w14:textId="77777777" w:rsidR="00200B99" w:rsidRPr="00251F1D" w:rsidRDefault="00200B99" w:rsidP="00251F1D">
            <w:pPr>
              <w:pStyle w:val="TableParagraph"/>
              <w:ind w:left="133" w:right="131"/>
              <w:rPr>
                <w:lang w:val="da-DK"/>
              </w:rPr>
            </w:pPr>
            <w:r w:rsidRPr="00251F1D">
              <w:rPr>
                <w:lang w:val="da-DK"/>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60393900" w14:textId="77777777" w:rsidR="00200B99" w:rsidRPr="00251F1D" w:rsidRDefault="00200B99" w:rsidP="00251F1D">
            <w:pPr>
              <w:pStyle w:val="TableParagraph"/>
              <w:ind w:left="133" w:right="131"/>
              <w:rPr>
                <w:lang w:val="da-DK"/>
              </w:rPr>
            </w:pPr>
            <w:r w:rsidRPr="00251F1D">
              <w:rPr>
                <w:lang w:val="da-DK"/>
              </w:rPr>
              <w:t xml:space="preserve">Fortager sig til grad 0-1 eller </w:t>
            </w:r>
            <w:r w:rsidRPr="00251F1D">
              <w:rPr>
                <w:i/>
                <w:iCs/>
                <w:lang w:val="da-DK"/>
              </w:rPr>
              <w:t>baseline</w:t>
            </w:r>
            <w:r w:rsidRPr="00251F1D">
              <w:rPr>
                <w:lang w:val="da-DK"/>
              </w:rPr>
              <w:t>.</w:t>
            </w:r>
          </w:p>
        </w:tc>
      </w:tr>
      <w:tr w:rsidR="00200B99" w:rsidRPr="000C059E" w14:paraId="0BDC7036" w14:textId="77777777" w:rsidTr="00773EAE">
        <w:trPr>
          <w:trHeight w:val="321"/>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2A2A7E9D" w14:textId="77777777" w:rsidR="00200B99" w:rsidRPr="00251F1D" w:rsidRDefault="00200B99" w:rsidP="00251F1D">
            <w:pPr>
              <w:ind w:left="133" w:right="131"/>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3B4827B3" w14:textId="77777777" w:rsidR="00200B99" w:rsidRPr="00251F1D" w:rsidRDefault="00200B99" w:rsidP="00251F1D">
            <w:pPr>
              <w:pStyle w:val="TableParagraph"/>
              <w:ind w:left="133" w:right="131"/>
              <w:rPr>
                <w:lang w:val="da-DK"/>
              </w:rPr>
            </w:pPr>
            <w:r w:rsidRPr="00251F1D">
              <w:rPr>
                <w:lang w:val="da-DK"/>
              </w:rPr>
              <w:t>Grad 4</w:t>
            </w:r>
          </w:p>
        </w:tc>
        <w:tc>
          <w:tcPr>
            <w:tcW w:w="700" w:type="pct"/>
            <w:tcBorders>
              <w:top w:val="single" w:sz="4" w:space="0" w:color="000000"/>
              <w:left w:val="single" w:sz="4" w:space="0" w:color="000000"/>
              <w:bottom w:val="single" w:sz="4" w:space="0" w:color="000000"/>
              <w:right w:val="single" w:sz="4" w:space="0" w:color="000000"/>
            </w:tcBorders>
            <w:hideMark/>
          </w:tcPr>
          <w:p w14:paraId="5A27CF9F" w14:textId="77777777" w:rsidR="00200B99" w:rsidRPr="00251F1D" w:rsidRDefault="00200B99" w:rsidP="00251F1D">
            <w:pPr>
              <w:pStyle w:val="TableParagraph"/>
              <w:ind w:left="133" w:right="131"/>
              <w:rPr>
                <w:lang w:val="da-DK"/>
              </w:rPr>
            </w:pPr>
            <w:r w:rsidRPr="00251F1D">
              <w:rPr>
                <w:lang w:val="da-DK"/>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4454FF8C" w14:textId="77777777" w:rsidR="00200B99" w:rsidRPr="00251F1D" w:rsidRDefault="00200B99" w:rsidP="00251F1D">
            <w:pPr>
              <w:pStyle w:val="TableParagraph"/>
              <w:ind w:left="133" w:right="131"/>
              <w:rPr>
                <w:lang w:val="da-DK"/>
              </w:rPr>
            </w:pPr>
            <w:r w:rsidRPr="00251F1D">
              <w:rPr>
                <w:lang w:val="da-DK"/>
              </w:rPr>
              <w:t>Må ikke genstartes.</w:t>
            </w:r>
          </w:p>
        </w:tc>
      </w:tr>
      <w:tr w:rsidR="00200B99" w:rsidRPr="000C059E" w14:paraId="47161713" w14:textId="77777777" w:rsidTr="00773EAE">
        <w:trPr>
          <w:trHeight w:val="460"/>
        </w:trPr>
        <w:tc>
          <w:tcPr>
            <w:tcW w:w="1489" w:type="pct"/>
            <w:tcBorders>
              <w:top w:val="single" w:sz="4" w:space="0" w:color="000000"/>
              <w:left w:val="single" w:sz="4" w:space="0" w:color="000000"/>
              <w:bottom w:val="single" w:sz="4" w:space="0" w:color="000000"/>
              <w:right w:val="single" w:sz="4" w:space="0" w:color="000000"/>
            </w:tcBorders>
            <w:hideMark/>
          </w:tcPr>
          <w:p w14:paraId="22C96CA2" w14:textId="77777777" w:rsidR="00200B99" w:rsidRPr="00251F1D" w:rsidRDefault="00200B99" w:rsidP="00251F1D">
            <w:pPr>
              <w:pStyle w:val="TableParagraph"/>
              <w:ind w:left="133" w:right="131"/>
              <w:rPr>
                <w:lang w:val="da-DK"/>
              </w:rPr>
            </w:pPr>
            <w:r w:rsidRPr="00251F1D">
              <w:rPr>
                <w:lang w:val="da-DK"/>
              </w:rPr>
              <w:t>Fistel uden for mave-tarm- kanalen</w:t>
            </w:r>
          </w:p>
        </w:tc>
        <w:tc>
          <w:tcPr>
            <w:tcW w:w="1324" w:type="pct"/>
            <w:tcBorders>
              <w:top w:val="single" w:sz="4" w:space="0" w:color="000000"/>
              <w:left w:val="single" w:sz="4" w:space="0" w:color="000000"/>
              <w:bottom w:val="single" w:sz="4" w:space="0" w:color="000000"/>
              <w:right w:val="single" w:sz="4" w:space="0" w:color="000000"/>
            </w:tcBorders>
            <w:hideMark/>
          </w:tcPr>
          <w:p w14:paraId="2459525A" w14:textId="77777777" w:rsidR="00200B99" w:rsidRPr="00251F1D" w:rsidRDefault="00200B99" w:rsidP="00251F1D">
            <w:pPr>
              <w:pStyle w:val="TableParagraph"/>
              <w:ind w:left="133" w:right="131"/>
              <w:rPr>
                <w:lang w:val="da-DK"/>
              </w:rPr>
            </w:pPr>
            <w:r w:rsidRPr="00251F1D">
              <w:rPr>
                <w:lang w:val="da-DK"/>
              </w:rPr>
              <w:t>Grad 4</w:t>
            </w:r>
          </w:p>
        </w:tc>
        <w:tc>
          <w:tcPr>
            <w:tcW w:w="700" w:type="pct"/>
            <w:tcBorders>
              <w:top w:val="single" w:sz="4" w:space="0" w:color="000000"/>
              <w:left w:val="single" w:sz="4" w:space="0" w:color="000000"/>
              <w:bottom w:val="single" w:sz="4" w:space="0" w:color="000000"/>
              <w:right w:val="single" w:sz="4" w:space="0" w:color="000000"/>
            </w:tcBorders>
            <w:hideMark/>
          </w:tcPr>
          <w:p w14:paraId="11B915D3" w14:textId="77777777" w:rsidR="00200B99" w:rsidRPr="00251F1D" w:rsidRDefault="00200B99" w:rsidP="00251F1D">
            <w:pPr>
              <w:pStyle w:val="TableParagraph"/>
              <w:ind w:left="133" w:right="131"/>
              <w:rPr>
                <w:lang w:val="da-DK"/>
              </w:rPr>
            </w:pPr>
            <w:r w:rsidRPr="00251F1D">
              <w:rPr>
                <w:lang w:val="da-DK"/>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0486EBF0" w14:textId="77777777" w:rsidR="00200B99" w:rsidRPr="00251F1D" w:rsidRDefault="00200B99" w:rsidP="00251F1D">
            <w:pPr>
              <w:pStyle w:val="TableParagraph"/>
              <w:ind w:left="133" w:right="131"/>
              <w:rPr>
                <w:lang w:val="da-DK"/>
              </w:rPr>
            </w:pPr>
            <w:r w:rsidRPr="00251F1D">
              <w:rPr>
                <w:lang w:val="da-DK"/>
              </w:rPr>
              <w:t>Må ikke genstartes.</w:t>
            </w:r>
          </w:p>
        </w:tc>
      </w:tr>
      <w:tr w:rsidR="00200B99" w:rsidRPr="000C059E" w14:paraId="36E887A4" w14:textId="77777777" w:rsidTr="00773EAE">
        <w:trPr>
          <w:trHeight w:val="460"/>
        </w:trPr>
        <w:tc>
          <w:tcPr>
            <w:tcW w:w="1489" w:type="pct"/>
            <w:tcBorders>
              <w:top w:val="single" w:sz="4" w:space="0" w:color="000000"/>
              <w:left w:val="single" w:sz="4" w:space="0" w:color="000000"/>
              <w:bottom w:val="single" w:sz="4" w:space="0" w:color="000000"/>
              <w:right w:val="single" w:sz="4" w:space="0" w:color="000000"/>
            </w:tcBorders>
            <w:hideMark/>
          </w:tcPr>
          <w:p w14:paraId="35801948" w14:textId="77777777" w:rsidR="00200B99" w:rsidRPr="00251F1D" w:rsidRDefault="00200B99" w:rsidP="00251F1D">
            <w:pPr>
              <w:pStyle w:val="TableParagraph"/>
              <w:ind w:left="133" w:right="131"/>
              <w:rPr>
                <w:lang w:val="da-DK"/>
              </w:rPr>
            </w:pPr>
            <w:r w:rsidRPr="00251F1D">
              <w:rPr>
                <w:lang w:val="da-DK"/>
              </w:rPr>
              <w:t>Forlængelse af QT-intervallet</w:t>
            </w:r>
          </w:p>
        </w:tc>
        <w:tc>
          <w:tcPr>
            <w:tcW w:w="1324" w:type="pct"/>
            <w:tcBorders>
              <w:top w:val="single" w:sz="4" w:space="0" w:color="000000"/>
              <w:left w:val="single" w:sz="4" w:space="0" w:color="000000"/>
              <w:bottom w:val="single" w:sz="4" w:space="0" w:color="000000"/>
              <w:right w:val="single" w:sz="4" w:space="0" w:color="000000"/>
            </w:tcBorders>
            <w:hideMark/>
          </w:tcPr>
          <w:p w14:paraId="0E56AFC8" w14:textId="77777777" w:rsidR="00200B99" w:rsidRPr="00251F1D" w:rsidRDefault="00200B99" w:rsidP="00251F1D">
            <w:pPr>
              <w:pStyle w:val="TableParagraph"/>
              <w:ind w:left="133" w:right="131"/>
              <w:rPr>
                <w:lang w:val="da-DK"/>
              </w:rPr>
            </w:pPr>
            <w:r w:rsidRPr="00251F1D">
              <w:rPr>
                <w:lang w:val="da-DK"/>
              </w:rPr>
              <w:t>&gt; 500 ms</w:t>
            </w:r>
          </w:p>
        </w:tc>
        <w:tc>
          <w:tcPr>
            <w:tcW w:w="700" w:type="pct"/>
            <w:tcBorders>
              <w:top w:val="single" w:sz="4" w:space="0" w:color="000000"/>
              <w:left w:val="single" w:sz="4" w:space="0" w:color="000000"/>
              <w:bottom w:val="single" w:sz="4" w:space="0" w:color="000000"/>
              <w:right w:val="single" w:sz="4" w:space="0" w:color="000000"/>
            </w:tcBorders>
            <w:hideMark/>
          </w:tcPr>
          <w:p w14:paraId="2EA25038" w14:textId="77777777" w:rsidR="00200B99" w:rsidRPr="00251F1D" w:rsidRDefault="00200B99" w:rsidP="00251F1D">
            <w:pPr>
              <w:pStyle w:val="TableParagraph"/>
              <w:ind w:left="133" w:right="131"/>
              <w:rPr>
                <w:lang w:val="da-DK"/>
              </w:rPr>
            </w:pPr>
            <w:r w:rsidRPr="00251F1D">
              <w:rPr>
                <w:lang w:val="da-DK"/>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23EC2F8A" w14:textId="77777777" w:rsidR="00200B99" w:rsidRPr="00251F1D" w:rsidRDefault="00200B99" w:rsidP="00251F1D">
            <w:pPr>
              <w:pStyle w:val="TableParagraph"/>
              <w:ind w:left="133" w:right="131"/>
              <w:rPr>
                <w:lang w:val="da-DK"/>
              </w:rPr>
            </w:pPr>
            <w:r w:rsidRPr="00251F1D">
              <w:rPr>
                <w:lang w:val="da-DK"/>
              </w:rPr>
              <w:t xml:space="preserve">Fortager sig til &lt; 480 ms eller </w:t>
            </w:r>
            <w:r w:rsidRPr="00251F1D">
              <w:rPr>
                <w:i/>
                <w:iCs/>
                <w:lang w:val="da-DK"/>
              </w:rPr>
              <w:t>baseline</w:t>
            </w:r>
            <w:r w:rsidRPr="00251F1D">
              <w:rPr>
                <w:lang w:val="da-DK"/>
              </w:rPr>
              <w:t>.</w:t>
            </w:r>
          </w:p>
        </w:tc>
      </w:tr>
      <w:tr w:rsidR="00200B99" w:rsidRPr="000C059E" w14:paraId="1BB0DBAA" w14:textId="77777777" w:rsidTr="00773EAE">
        <w:trPr>
          <w:trHeight w:val="46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11A87580" w14:textId="77777777" w:rsidR="00200B99" w:rsidRPr="00251F1D" w:rsidRDefault="00200B99" w:rsidP="00251F1D">
            <w:pPr>
              <w:pStyle w:val="TableParagraph"/>
              <w:ind w:left="133" w:right="131"/>
              <w:rPr>
                <w:lang w:val="da-DK"/>
              </w:rPr>
            </w:pPr>
            <w:r w:rsidRPr="00251F1D">
              <w:rPr>
                <w:lang w:val="da-DK"/>
              </w:rPr>
              <w:t>Diarré</w:t>
            </w:r>
          </w:p>
        </w:tc>
        <w:tc>
          <w:tcPr>
            <w:tcW w:w="1324" w:type="pct"/>
            <w:tcBorders>
              <w:top w:val="single" w:sz="4" w:space="0" w:color="000000"/>
              <w:left w:val="single" w:sz="4" w:space="0" w:color="000000"/>
              <w:bottom w:val="single" w:sz="4" w:space="0" w:color="000000"/>
              <w:right w:val="single" w:sz="4" w:space="0" w:color="000000"/>
            </w:tcBorders>
            <w:hideMark/>
          </w:tcPr>
          <w:p w14:paraId="06B05797" w14:textId="77777777" w:rsidR="00200B99" w:rsidRPr="00251F1D" w:rsidRDefault="00200B99" w:rsidP="00251F1D">
            <w:pPr>
              <w:pStyle w:val="TableParagraph"/>
              <w:ind w:left="133" w:right="131"/>
              <w:rPr>
                <w:lang w:val="da-DK"/>
              </w:rPr>
            </w:pPr>
            <w:r w:rsidRPr="00251F1D">
              <w:rPr>
                <w:lang w:val="da-DK"/>
              </w:rPr>
              <w:t>Grad 3</w:t>
            </w:r>
          </w:p>
        </w:tc>
        <w:tc>
          <w:tcPr>
            <w:tcW w:w="700" w:type="pct"/>
            <w:tcBorders>
              <w:top w:val="single" w:sz="4" w:space="0" w:color="000000"/>
              <w:left w:val="single" w:sz="4" w:space="0" w:color="000000"/>
              <w:bottom w:val="single" w:sz="4" w:space="0" w:color="000000"/>
              <w:right w:val="single" w:sz="4" w:space="0" w:color="000000"/>
            </w:tcBorders>
            <w:hideMark/>
          </w:tcPr>
          <w:p w14:paraId="361CF627" w14:textId="77777777" w:rsidR="00200B99" w:rsidRPr="00251F1D" w:rsidRDefault="00200B99" w:rsidP="00251F1D">
            <w:pPr>
              <w:pStyle w:val="TableParagraph"/>
              <w:ind w:left="133" w:right="131"/>
              <w:rPr>
                <w:lang w:val="da-DK"/>
              </w:rPr>
            </w:pPr>
            <w:r w:rsidRPr="00251F1D">
              <w:rPr>
                <w:lang w:val="da-DK"/>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101BF5C9" w14:textId="77777777" w:rsidR="00200B99" w:rsidRPr="00251F1D" w:rsidRDefault="00200B99" w:rsidP="00251F1D">
            <w:pPr>
              <w:pStyle w:val="TableParagraph"/>
              <w:ind w:left="133" w:right="131"/>
              <w:rPr>
                <w:lang w:val="da-DK"/>
              </w:rPr>
            </w:pPr>
            <w:r w:rsidRPr="00251F1D">
              <w:rPr>
                <w:lang w:val="da-DK"/>
              </w:rPr>
              <w:t xml:space="preserve">Fortager sig til grad 0-1 eller </w:t>
            </w:r>
            <w:r w:rsidRPr="00251F1D">
              <w:rPr>
                <w:i/>
                <w:iCs/>
                <w:lang w:val="da-DK"/>
              </w:rPr>
              <w:t>baseline</w:t>
            </w:r>
            <w:r w:rsidRPr="00251F1D">
              <w:rPr>
                <w:lang w:val="da-DK"/>
              </w:rPr>
              <w:t>.</w:t>
            </w:r>
          </w:p>
        </w:tc>
      </w:tr>
      <w:tr w:rsidR="00200B99" w:rsidRPr="000C059E" w14:paraId="0ACA562A" w14:textId="77777777" w:rsidTr="00773EAE">
        <w:trPr>
          <w:trHeight w:val="46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6AE7D2B6" w14:textId="77777777" w:rsidR="00200B99" w:rsidRPr="00251F1D" w:rsidRDefault="00200B99" w:rsidP="00251F1D">
            <w:pPr>
              <w:ind w:left="133" w:right="131"/>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5A8B74AB" w14:textId="77777777" w:rsidR="00200B99" w:rsidRPr="00251F1D" w:rsidRDefault="00200B99" w:rsidP="00251F1D">
            <w:pPr>
              <w:pStyle w:val="TableParagraph"/>
              <w:ind w:left="133" w:right="131"/>
              <w:rPr>
                <w:lang w:val="da-DK"/>
              </w:rPr>
            </w:pPr>
            <w:r w:rsidRPr="00251F1D">
              <w:rPr>
                <w:lang w:val="da-DK"/>
              </w:rPr>
              <w:t>Grad 4 (trods medicinsk behandling)</w:t>
            </w:r>
          </w:p>
        </w:tc>
        <w:tc>
          <w:tcPr>
            <w:tcW w:w="700" w:type="pct"/>
            <w:tcBorders>
              <w:top w:val="single" w:sz="4" w:space="0" w:color="000000"/>
              <w:left w:val="single" w:sz="4" w:space="0" w:color="000000"/>
              <w:bottom w:val="single" w:sz="4" w:space="0" w:color="000000"/>
              <w:right w:val="single" w:sz="4" w:space="0" w:color="000000"/>
            </w:tcBorders>
            <w:hideMark/>
          </w:tcPr>
          <w:p w14:paraId="3307BB55" w14:textId="77777777" w:rsidR="00200B99" w:rsidRPr="00251F1D" w:rsidRDefault="00200B99" w:rsidP="00251F1D">
            <w:pPr>
              <w:pStyle w:val="TableParagraph"/>
              <w:ind w:left="133" w:right="131"/>
              <w:rPr>
                <w:lang w:val="da-DK"/>
              </w:rPr>
            </w:pPr>
            <w:r w:rsidRPr="00251F1D">
              <w:rPr>
                <w:lang w:val="da-DK"/>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4AAA8558" w14:textId="77777777" w:rsidR="00200B99" w:rsidRPr="00251F1D" w:rsidRDefault="00200B99" w:rsidP="00251F1D">
            <w:pPr>
              <w:pStyle w:val="TableParagraph"/>
              <w:ind w:left="133" w:right="131"/>
              <w:rPr>
                <w:lang w:val="da-DK"/>
              </w:rPr>
            </w:pPr>
            <w:r w:rsidRPr="00251F1D">
              <w:rPr>
                <w:lang w:val="da-DK"/>
              </w:rPr>
              <w:t>Må ikke genstartes.</w:t>
            </w:r>
          </w:p>
        </w:tc>
      </w:tr>
      <w:tr w:rsidR="00200B99" w:rsidRPr="000C059E" w14:paraId="4A24072E" w14:textId="77777777" w:rsidTr="00773EAE">
        <w:trPr>
          <w:trHeight w:val="321"/>
        </w:trPr>
        <w:tc>
          <w:tcPr>
            <w:tcW w:w="5000" w:type="pct"/>
            <w:gridSpan w:val="4"/>
            <w:tcBorders>
              <w:top w:val="single" w:sz="4" w:space="0" w:color="000000"/>
              <w:left w:val="single" w:sz="4" w:space="0" w:color="000000"/>
              <w:bottom w:val="single" w:sz="4" w:space="0" w:color="000000"/>
              <w:right w:val="single" w:sz="4" w:space="0" w:color="000000"/>
            </w:tcBorders>
            <w:hideMark/>
          </w:tcPr>
          <w:p w14:paraId="0F5850E4" w14:textId="5810F91B" w:rsidR="00200B99" w:rsidRPr="00251F1D" w:rsidRDefault="00200B99" w:rsidP="00251F1D">
            <w:pPr>
              <w:pStyle w:val="TableParagraph"/>
              <w:tabs>
                <w:tab w:val="left" w:pos="407"/>
              </w:tabs>
              <w:ind w:left="133" w:right="131"/>
              <w:rPr>
                <w:lang w:val="da-DK"/>
              </w:rPr>
            </w:pPr>
            <w:r w:rsidRPr="00251F1D">
              <w:rPr>
                <w:lang w:val="da-DK"/>
              </w:rPr>
              <w:t>*</w:t>
            </w:r>
            <w:r w:rsidR="00251F1D">
              <w:rPr>
                <w:lang w:val="da-DK"/>
              </w:rPr>
              <w:tab/>
            </w:r>
            <w:r w:rsidRPr="00251F1D">
              <w:rPr>
                <w:lang w:val="da-DK"/>
              </w:rPr>
              <w:t xml:space="preserve">Grad 4-laboratorieafvigelser, der bedømmes til ikke at være livstruende, kan behandles som svære </w:t>
            </w:r>
            <w:r w:rsidR="00251F1D">
              <w:rPr>
                <w:lang w:val="da-DK"/>
              </w:rPr>
              <w:tab/>
            </w:r>
            <w:r w:rsidRPr="00251F1D">
              <w:rPr>
                <w:lang w:val="da-DK"/>
              </w:rPr>
              <w:t>reaktioner (f.eks. grad 3).</w:t>
            </w:r>
          </w:p>
        </w:tc>
      </w:tr>
    </w:tbl>
    <w:p w14:paraId="63344D12" w14:textId="77777777" w:rsidR="00200B99" w:rsidRPr="000C059E" w:rsidRDefault="00200B99" w:rsidP="00773EAE">
      <w:pPr>
        <w:ind w:left="851"/>
        <w:rPr>
          <w:sz w:val="24"/>
          <w:szCs w:val="24"/>
        </w:rPr>
      </w:pPr>
    </w:p>
    <w:p w14:paraId="687D91D0" w14:textId="77777777" w:rsidR="00200B99" w:rsidRPr="00A209D9" w:rsidRDefault="00200B99" w:rsidP="00773EAE">
      <w:pPr>
        <w:ind w:left="851"/>
        <w:rPr>
          <w:sz w:val="24"/>
          <w:szCs w:val="24"/>
          <w:u w:val="single"/>
        </w:rPr>
      </w:pPr>
      <w:r w:rsidRPr="00A209D9">
        <w:rPr>
          <w:sz w:val="24"/>
          <w:szCs w:val="24"/>
          <w:u w:val="single"/>
        </w:rPr>
        <w:t>Særlige populationer</w:t>
      </w:r>
    </w:p>
    <w:p w14:paraId="344FD671" w14:textId="77777777" w:rsidR="00200B99" w:rsidRPr="000C059E" w:rsidRDefault="00200B99" w:rsidP="00773EAE">
      <w:pPr>
        <w:ind w:left="851"/>
        <w:rPr>
          <w:sz w:val="24"/>
          <w:szCs w:val="24"/>
        </w:rPr>
      </w:pPr>
    </w:p>
    <w:p w14:paraId="75E28CE2" w14:textId="77777777" w:rsidR="00200B99" w:rsidRPr="000C059E" w:rsidRDefault="00200B99" w:rsidP="00773EAE">
      <w:pPr>
        <w:ind w:left="851"/>
        <w:rPr>
          <w:i/>
          <w:sz w:val="24"/>
          <w:szCs w:val="24"/>
        </w:rPr>
      </w:pPr>
      <w:r w:rsidRPr="000C059E">
        <w:rPr>
          <w:i/>
          <w:sz w:val="24"/>
          <w:szCs w:val="24"/>
        </w:rPr>
        <w:t>DTC</w:t>
      </w:r>
    </w:p>
    <w:p w14:paraId="0F43A028" w14:textId="77777777" w:rsidR="00200B99" w:rsidRPr="000C059E" w:rsidRDefault="00200B99" w:rsidP="00773EAE">
      <w:pPr>
        <w:ind w:left="851"/>
        <w:rPr>
          <w:i/>
          <w:sz w:val="24"/>
          <w:szCs w:val="24"/>
        </w:rPr>
      </w:pPr>
    </w:p>
    <w:p w14:paraId="3063E14B" w14:textId="77777777" w:rsidR="00200B99" w:rsidRPr="000C059E" w:rsidRDefault="00200B99" w:rsidP="00773EAE">
      <w:pPr>
        <w:ind w:left="851"/>
        <w:rPr>
          <w:sz w:val="24"/>
          <w:szCs w:val="24"/>
        </w:rPr>
      </w:pPr>
      <w:r w:rsidRPr="000C059E">
        <w:rPr>
          <w:sz w:val="24"/>
          <w:szCs w:val="24"/>
        </w:rPr>
        <w:t>Asiatiske patienter i alderen ≥ 75 år med komorbiditeter (såsom hypertension samt nedsat lever- eller nyrefunktion) eller med en legemsvægt under 60 kg forekommer at have en reduceret tolerabilitet over for lenvatinib (se pkt. 4.8). Alle andre patienter end dem med svært nedsat lever- eller nyrefunktion (se nedenfor) bør påbegynde behandlingen med den anbefalede dosis på 24 mg, hvorefter dosis bør justeres yderligere på basis af individuel tolerabilitet.</w:t>
      </w:r>
    </w:p>
    <w:p w14:paraId="02C6CE05" w14:textId="77777777" w:rsidR="00200B99" w:rsidRPr="000C059E" w:rsidRDefault="00200B99" w:rsidP="00773EAE">
      <w:pPr>
        <w:ind w:left="851"/>
        <w:rPr>
          <w:sz w:val="24"/>
          <w:szCs w:val="24"/>
        </w:rPr>
      </w:pPr>
    </w:p>
    <w:p w14:paraId="1FDA4C24" w14:textId="77777777" w:rsidR="00200B99" w:rsidRPr="000C059E" w:rsidRDefault="00200B99" w:rsidP="00773EAE">
      <w:pPr>
        <w:ind w:left="851"/>
        <w:rPr>
          <w:i/>
          <w:sz w:val="24"/>
          <w:szCs w:val="24"/>
        </w:rPr>
      </w:pPr>
      <w:r w:rsidRPr="000C059E">
        <w:rPr>
          <w:i/>
          <w:sz w:val="24"/>
          <w:szCs w:val="24"/>
        </w:rPr>
        <w:t>HCC</w:t>
      </w:r>
    </w:p>
    <w:p w14:paraId="14A7CF02" w14:textId="77777777" w:rsidR="00200B99" w:rsidRPr="000C059E" w:rsidRDefault="00200B99" w:rsidP="00773EAE">
      <w:pPr>
        <w:ind w:left="851"/>
        <w:rPr>
          <w:i/>
          <w:sz w:val="24"/>
          <w:szCs w:val="24"/>
        </w:rPr>
      </w:pPr>
    </w:p>
    <w:p w14:paraId="04BD469D" w14:textId="77777777" w:rsidR="00200B99" w:rsidRPr="000C059E" w:rsidRDefault="00200B99" w:rsidP="00773EAE">
      <w:pPr>
        <w:ind w:left="851"/>
        <w:rPr>
          <w:sz w:val="24"/>
          <w:szCs w:val="24"/>
        </w:rPr>
      </w:pPr>
      <w:r w:rsidRPr="000C059E">
        <w:rPr>
          <w:sz w:val="24"/>
          <w:szCs w:val="24"/>
        </w:rPr>
        <w:t xml:space="preserve">Patienter ≥ 75 år, hvide, kvinder eller dem med den alvorligste nedsatte leverfunktion (Child-Pugh A 6 point i forhold til 5 point) ved </w:t>
      </w:r>
      <w:r w:rsidRPr="000C059E">
        <w:rPr>
          <w:i/>
          <w:iCs/>
          <w:sz w:val="24"/>
          <w:szCs w:val="24"/>
        </w:rPr>
        <w:t>baseline</w:t>
      </w:r>
      <w:r w:rsidRPr="000C059E">
        <w:rPr>
          <w:sz w:val="24"/>
          <w:szCs w:val="24"/>
        </w:rPr>
        <w:t xml:space="preserve"> lader til at have reduceret tolerabilitet for lenvatinib.</w:t>
      </w:r>
    </w:p>
    <w:p w14:paraId="6C4AA211" w14:textId="77777777" w:rsidR="00200B99" w:rsidRPr="000C059E" w:rsidRDefault="00200B99" w:rsidP="00773EAE">
      <w:pPr>
        <w:ind w:left="851"/>
        <w:rPr>
          <w:sz w:val="24"/>
          <w:szCs w:val="24"/>
        </w:rPr>
      </w:pPr>
    </w:p>
    <w:p w14:paraId="06384663" w14:textId="52172391" w:rsidR="00200B99" w:rsidRPr="000C059E" w:rsidRDefault="00200B99" w:rsidP="00773EAE">
      <w:pPr>
        <w:ind w:left="851"/>
        <w:rPr>
          <w:sz w:val="24"/>
          <w:szCs w:val="24"/>
        </w:rPr>
      </w:pPr>
      <w:r w:rsidRPr="000C059E">
        <w:rPr>
          <w:sz w:val="24"/>
          <w:szCs w:val="24"/>
        </w:rPr>
        <w:t>Bortset fra patienter med moderat og svært nedsat leverfunktion eller svært nedsat nyrefunktion skal HCC-patienter initiere behandling med den anbefalede startdosis på 8</w:t>
      </w:r>
      <w:r w:rsidR="00C44B05">
        <w:rPr>
          <w:sz w:val="24"/>
          <w:szCs w:val="24"/>
        </w:rPr>
        <w:t> </w:t>
      </w:r>
      <w:r w:rsidRPr="000C059E">
        <w:rPr>
          <w:sz w:val="24"/>
          <w:szCs w:val="24"/>
        </w:rPr>
        <w:t>mg (to 4 mg kapsler) ved kropsvægt &lt; 60 kg og 12 mg (tre 4 mg kapsler) ved kropsvægt ≥</w:t>
      </w:r>
      <w:r w:rsidR="00C44B05">
        <w:rPr>
          <w:sz w:val="24"/>
          <w:szCs w:val="24"/>
        </w:rPr>
        <w:t> </w:t>
      </w:r>
      <w:r w:rsidRPr="000C059E">
        <w:rPr>
          <w:sz w:val="24"/>
          <w:szCs w:val="24"/>
        </w:rPr>
        <w:t>60 kg, hvorefter dosis skal justeres yderligere på basis af individuel tolerabilitet.</w:t>
      </w:r>
    </w:p>
    <w:p w14:paraId="37F10022" w14:textId="77777777" w:rsidR="00200B99" w:rsidRPr="000C059E" w:rsidRDefault="00200B99" w:rsidP="00773EAE">
      <w:pPr>
        <w:ind w:left="851"/>
        <w:rPr>
          <w:sz w:val="24"/>
          <w:szCs w:val="24"/>
        </w:rPr>
      </w:pPr>
    </w:p>
    <w:p w14:paraId="339EECB9" w14:textId="77777777" w:rsidR="00200B99" w:rsidRPr="00A209D9" w:rsidRDefault="00200B99" w:rsidP="00773EAE">
      <w:pPr>
        <w:ind w:left="851"/>
        <w:rPr>
          <w:i/>
          <w:sz w:val="24"/>
          <w:szCs w:val="24"/>
          <w:u w:val="single"/>
        </w:rPr>
      </w:pPr>
      <w:r w:rsidRPr="00A209D9">
        <w:rPr>
          <w:i/>
          <w:sz w:val="24"/>
          <w:szCs w:val="24"/>
          <w:u w:val="single"/>
        </w:rPr>
        <w:t>Patienter med hypertension</w:t>
      </w:r>
    </w:p>
    <w:p w14:paraId="72EC3CE9" w14:textId="77777777" w:rsidR="00200B99" w:rsidRPr="000C059E" w:rsidRDefault="00200B99" w:rsidP="00773EAE">
      <w:pPr>
        <w:ind w:left="851"/>
        <w:rPr>
          <w:i/>
          <w:sz w:val="24"/>
          <w:szCs w:val="24"/>
        </w:rPr>
      </w:pPr>
    </w:p>
    <w:p w14:paraId="6BE9B053" w14:textId="77777777" w:rsidR="00200B99" w:rsidRPr="000C059E" w:rsidRDefault="00200B99" w:rsidP="00773EAE">
      <w:pPr>
        <w:ind w:left="851"/>
        <w:rPr>
          <w:sz w:val="24"/>
          <w:szCs w:val="24"/>
        </w:rPr>
      </w:pPr>
      <w:r w:rsidRPr="000C059E">
        <w:rPr>
          <w:sz w:val="24"/>
          <w:szCs w:val="24"/>
        </w:rPr>
        <w:t>Blodtrykket bør være velkontrolleret før behandling med lenvatinib, og det bør overvåges regelmæssigt under behandlingen (se pkt. 4.4 og 4.8).</w:t>
      </w:r>
    </w:p>
    <w:p w14:paraId="7F1E5FC0" w14:textId="77777777" w:rsidR="00200B99" w:rsidRPr="000C059E" w:rsidRDefault="00200B99" w:rsidP="00773EAE">
      <w:pPr>
        <w:ind w:left="851"/>
        <w:rPr>
          <w:sz w:val="24"/>
          <w:szCs w:val="24"/>
        </w:rPr>
      </w:pPr>
    </w:p>
    <w:p w14:paraId="4B4C55D7" w14:textId="77777777" w:rsidR="00200B99" w:rsidRPr="00A209D9" w:rsidRDefault="00200B99" w:rsidP="00773EAE">
      <w:pPr>
        <w:ind w:left="851"/>
        <w:rPr>
          <w:i/>
          <w:sz w:val="24"/>
          <w:szCs w:val="24"/>
          <w:u w:val="single"/>
        </w:rPr>
      </w:pPr>
      <w:r w:rsidRPr="00A209D9">
        <w:rPr>
          <w:i/>
          <w:sz w:val="24"/>
          <w:szCs w:val="24"/>
          <w:u w:val="single"/>
        </w:rPr>
        <w:t>Patienter med nedsat leverfunktion</w:t>
      </w:r>
    </w:p>
    <w:p w14:paraId="4A85F425" w14:textId="77777777" w:rsidR="00200B99" w:rsidRPr="000C059E" w:rsidRDefault="00200B99" w:rsidP="00773EAE">
      <w:pPr>
        <w:ind w:left="851"/>
        <w:rPr>
          <w:i/>
          <w:sz w:val="24"/>
          <w:szCs w:val="24"/>
        </w:rPr>
      </w:pPr>
    </w:p>
    <w:p w14:paraId="0FF3FD85" w14:textId="77777777" w:rsidR="00200B99" w:rsidRPr="000C059E" w:rsidRDefault="00200B99" w:rsidP="00773EAE">
      <w:pPr>
        <w:ind w:left="851"/>
        <w:rPr>
          <w:i/>
          <w:sz w:val="24"/>
          <w:szCs w:val="24"/>
        </w:rPr>
      </w:pPr>
      <w:r w:rsidRPr="000C059E">
        <w:rPr>
          <w:i/>
          <w:sz w:val="24"/>
          <w:szCs w:val="24"/>
        </w:rPr>
        <w:t>DTC</w:t>
      </w:r>
    </w:p>
    <w:p w14:paraId="1E519522" w14:textId="77777777" w:rsidR="00200B99" w:rsidRPr="000C059E" w:rsidRDefault="00200B99" w:rsidP="00773EAE">
      <w:pPr>
        <w:ind w:left="851"/>
        <w:rPr>
          <w:i/>
          <w:sz w:val="24"/>
          <w:szCs w:val="24"/>
        </w:rPr>
      </w:pPr>
    </w:p>
    <w:p w14:paraId="3AD30D92" w14:textId="77777777" w:rsidR="00200B99" w:rsidRPr="000C059E" w:rsidRDefault="00200B99" w:rsidP="00773EAE">
      <w:pPr>
        <w:ind w:left="851"/>
        <w:rPr>
          <w:sz w:val="24"/>
          <w:szCs w:val="24"/>
        </w:rPr>
      </w:pPr>
      <w:r w:rsidRPr="000C059E">
        <w:rPr>
          <w:sz w:val="24"/>
          <w:szCs w:val="24"/>
        </w:rPr>
        <w:t>Der kræves ingen justering af startdosis på basis af leverfunktionen hos patienter med let (Child-Pugh A) eller moderat (Child-Pugh B) nedsat leverfunktion. Hos patienter med svært (Child-Pugh C) nedsat leverfunktion er den anbefalede startdosis 14 mg én gang dagligt. Yderligere dosisjusteringer kan være nødvendige på basis af individuel tolerabilitet. Se også pkt. 4.8.</w:t>
      </w:r>
    </w:p>
    <w:p w14:paraId="4DBC7A2C" w14:textId="77777777" w:rsidR="00200B99" w:rsidRPr="000C059E" w:rsidRDefault="00200B99" w:rsidP="00773EAE">
      <w:pPr>
        <w:ind w:left="851"/>
        <w:rPr>
          <w:sz w:val="24"/>
          <w:szCs w:val="24"/>
        </w:rPr>
      </w:pPr>
    </w:p>
    <w:p w14:paraId="52A7C58C" w14:textId="77777777" w:rsidR="00200B99" w:rsidRPr="000C059E" w:rsidRDefault="00200B99" w:rsidP="00773EAE">
      <w:pPr>
        <w:ind w:left="851"/>
        <w:rPr>
          <w:i/>
          <w:sz w:val="24"/>
          <w:szCs w:val="24"/>
        </w:rPr>
      </w:pPr>
      <w:r w:rsidRPr="000C059E">
        <w:rPr>
          <w:i/>
          <w:sz w:val="24"/>
          <w:szCs w:val="24"/>
        </w:rPr>
        <w:t>HCC</w:t>
      </w:r>
    </w:p>
    <w:p w14:paraId="0952645A" w14:textId="77777777" w:rsidR="00200B99" w:rsidRPr="000C059E" w:rsidRDefault="00200B99" w:rsidP="00773EAE">
      <w:pPr>
        <w:ind w:left="851"/>
        <w:rPr>
          <w:i/>
          <w:sz w:val="24"/>
          <w:szCs w:val="24"/>
        </w:rPr>
      </w:pPr>
    </w:p>
    <w:p w14:paraId="38E09807" w14:textId="77777777" w:rsidR="00200B99" w:rsidRPr="000C059E" w:rsidRDefault="00200B99" w:rsidP="00773EAE">
      <w:pPr>
        <w:ind w:left="851"/>
        <w:rPr>
          <w:sz w:val="24"/>
          <w:szCs w:val="24"/>
        </w:rPr>
      </w:pPr>
      <w:r w:rsidRPr="000C059E">
        <w:rPr>
          <w:sz w:val="24"/>
          <w:szCs w:val="24"/>
        </w:rPr>
        <w:t>Hos patientpopulationer, der var indskrevet i HCC-studiet, var dosisjustering ikke nødvendig på basis af leverfunktion hos de patienter, som havde let nedsat leverfunktion (Child-Pugh A). De meget begrænsede tilgængelige data er ikke tilstrækkelige til at tillade en anbefaling af dosis hos HCC- patienter med moderat nedsat leverfunktion (Child-Pugh B). Tæt monitorering af overordnet sikkerhed anbefales hos disse patienter (se pkt. 4.4 og pkt. 5.2). Lenvatinib er ikke blevet studeret hos patienter med svært nedsat leverfunktion (Child-Pugh C) og anbefales ikke til brug hos disse patienter.</w:t>
      </w:r>
    </w:p>
    <w:p w14:paraId="1B351B63" w14:textId="77777777" w:rsidR="00200B99" w:rsidRPr="000C059E" w:rsidRDefault="00200B99" w:rsidP="00773EAE">
      <w:pPr>
        <w:ind w:left="851"/>
        <w:rPr>
          <w:sz w:val="24"/>
          <w:szCs w:val="24"/>
        </w:rPr>
      </w:pPr>
    </w:p>
    <w:p w14:paraId="5F686C72" w14:textId="77777777" w:rsidR="00200B99" w:rsidRPr="000C059E" w:rsidRDefault="00200B99" w:rsidP="00773EAE">
      <w:pPr>
        <w:ind w:left="851"/>
        <w:rPr>
          <w:i/>
          <w:sz w:val="24"/>
          <w:szCs w:val="24"/>
        </w:rPr>
      </w:pPr>
      <w:r w:rsidRPr="000C059E">
        <w:rPr>
          <w:i/>
          <w:sz w:val="24"/>
          <w:szCs w:val="24"/>
        </w:rPr>
        <w:t>EC</w:t>
      </w:r>
    </w:p>
    <w:p w14:paraId="44153631" w14:textId="77777777" w:rsidR="00200B99" w:rsidRPr="000C059E" w:rsidRDefault="00200B99" w:rsidP="00773EAE">
      <w:pPr>
        <w:ind w:left="851"/>
        <w:rPr>
          <w:i/>
          <w:sz w:val="24"/>
          <w:szCs w:val="24"/>
        </w:rPr>
      </w:pPr>
    </w:p>
    <w:p w14:paraId="7CCCDB66" w14:textId="77777777" w:rsidR="00200B99" w:rsidRPr="000C059E" w:rsidRDefault="00200B99" w:rsidP="00773EAE">
      <w:pPr>
        <w:ind w:left="851"/>
        <w:rPr>
          <w:sz w:val="24"/>
          <w:szCs w:val="24"/>
        </w:rPr>
      </w:pPr>
      <w:r w:rsidRPr="000C059E">
        <w:rPr>
          <w:sz w:val="24"/>
          <w:szCs w:val="24"/>
        </w:rPr>
        <w:t>Der foreligger begrænsede data om kombinationen af lenvatinib og pembrolizumab hos patienter med nedsat leverfunktion. Der kræves ingen justering af startdosis af kombinationen på basis af leverfunktionen hos patienter med let (Child-Pugh A) eller moderat (Child-Pugh B) nedsat leverfunktion. Hos patienter med svært (Child-Pugh C) nedsat leverfunktion er den anbefalede startdosis af lenvatinib 10 mg én gang dagligt. Se produktresuméet til pembrolizumab for oplysninger om dosering til patienter med nedsat leverfunktion. Yderligere dosisjusteringer kan være nødvendige på basis af individuel tolerabilitet.</w:t>
      </w:r>
    </w:p>
    <w:p w14:paraId="5A09E3F2" w14:textId="77777777" w:rsidR="00200B99" w:rsidRPr="000C059E" w:rsidRDefault="00200B99" w:rsidP="00773EAE">
      <w:pPr>
        <w:ind w:left="851"/>
        <w:rPr>
          <w:sz w:val="24"/>
          <w:szCs w:val="24"/>
        </w:rPr>
      </w:pPr>
    </w:p>
    <w:p w14:paraId="487A998C" w14:textId="77777777" w:rsidR="00200B99" w:rsidRPr="00A209D9" w:rsidRDefault="00200B99" w:rsidP="00773EAE">
      <w:pPr>
        <w:ind w:left="851"/>
        <w:rPr>
          <w:i/>
          <w:sz w:val="24"/>
          <w:szCs w:val="24"/>
          <w:u w:val="single"/>
        </w:rPr>
      </w:pPr>
      <w:r w:rsidRPr="00A209D9">
        <w:rPr>
          <w:i/>
          <w:sz w:val="24"/>
          <w:szCs w:val="24"/>
          <w:u w:val="single"/>
        </w:rPr>
        <w:t>Patienter med nedsat nyrefunktion</w:t>
      </w:r>
    </w:p>
    <w:p w14:paraId="22617983" w14:textId="77777777" w:rsidR="00200B99" w:rsidRPr="000C059E" w:rsidRDefault="00200B99" w:rsidP="00773EAE">
      <w:pPr>
        <w:ind w:left="851"/>
        <w:rPr>
          <w:sz w:val="24"/>
          <w:szCs w:val="24"/>
        </w:rPr>
      </w:pPr>
    </w:p>
    <w:p w14:paraId="107F4E6A" w14:textId="77777777" w:rsidR="00200B99" w:rsidRPr="000C059E" w:rsidRDefault="00200B99" w:rsidP="00773EAE">
      <w:pPr>
        <w:ind w:left="851"/>
        <w:rPr>
          <w:i/>
          <w:sz w:val="24"/>
          <w:szCs w:val="24"/>
        </w:rPr>
      </w:pPr>
      <w:r w:rsidRPr="000C059E">
        <w:rPr>
          <w:i/>
          <w:sz w:val="24"/>
          <w:szCs w:val="24"/>
        </w:rPr>
        <w:t>DTC</w:t>
      </w:r>
    </w:p>
    <w:p w14:paraId="7EEFF858" w14:textId="77777777" w:rsidR="00200B99" w:rsidRPr="000C059E" w:rsidRDefault="00200B99" w:rsidP="00773EAE">
      <w:pPr>
        <w:ind w:left="851"/>
        <w:rPr>
          <w:i/>
          <w:sz w:val="24"/>
          <w:szCs w:val="24"/>
        </w:rPr>
      </w:pPr>
    </w:p>
    <w:p w14:paraId="57173EE1" w14:textId="77777777" w:rsidR="00200B99" w:rsidRPr="000C059E" w:rsidRDefault="00200B99" w:rsidP="00773EAE">
      <w:pPr>
        <w:ind w:left="851"/>
        <w:rPr>
          <w:sz w:val="24"/>
          <w:szCs w:val="24"/>
        </w:rPr>
      </w:pPr>
      <w:r w:rsidRPr="000C059E">
        <w:rPr>
          <w:sz w:val="24"/>
          <w:szCs w:val="24"/>
        </w:rPr>
        <w:t>Der kræves ingen justering af startdosis på basis af nyrefunktionen hos patienter med let eller moderat nedsat nyrefunktion. Hos patienter med svært nedsat nyrefunktion er den anbefalede startdosis 14 mg én gang dagligt. Yderligere dosisjusteringer kan være nødvendige på basis af individuel tolerabilitet. Patienter med nyresygdom i slutstadiet blev ikke undersøgt. Derfor anbefales anvendelse af lenvatinib ikke til disse patienter (se pkt. 4.8).</w:t>
      </w:r>
    </w:p>
    <w:p w14:paraId="31D421C5" w14:textId="77777777" w:rsidR="00200B99" w:rsidRPr="000C059E" w:rsidRDefault="00200B99" w:rsidP="00773EAE">
      <w:pPr>
        <w:ind w:left="851"/>
        <w:rPr>
          <w:sz w:val="24"/>
          <w:szCs w:val="24"/>
        </w:rPr>
      </w:pPr>
    </w:p>
    <w:p w14:paraId="322048DA" w14:textId="77777777" w:rsidR="00200B99" w:rsidRPr="000C059E" w:rsidRDefault="00200B99" w:rsidP="00773EAE">
      <w:pPr>
        <w:ind w:left="851"/>
        <w:rPr>
          <w:i/>
          <w:sz w:val="24"/>
          <w:szCs w:val="24"/>
        </w:rPr>
      </w:pPr>
      <w:r w:rsidRPr="000C059E">
        <w:rPr>
          <w:i/>
          <w:sz w:val="24"/>
          <w:szCs w:val="24"/>
        </w:rPr>
        <w:t>HCC</w:t>
      </w:r>
    </w:p>
    <w:p w14:paraId="1B979536" w14:textId="77777777" w:rsidR="00200B99" w:rsidRPr="000C059E" w:rsidRDefault="00200B99" w:rsidP="00773EAE">
      <w:pPr>
        <w:ind w:left="851"/>
        <w:rPr>
          <w:i/>
          <w:sz w:val="24"/>
          <w:szCs w:val="24"/>
        </w:rPr>
      </w:pPr>
    </w:p>
    <w:p w14:paraId="2143ED12" w14:textId="77777777" w:rsidR="00200B99" w:rsidRPr="000C059E" w:rsidRDefault="00200B99" w:rsidP="00773EAE">
      <w:pPr>
        <w:ind w:left="851"/>
        <w:rPr>
          <w:sz w:val="24"/>
          <w:szCs w:val="24"/>
        </w:rPr>
      </w:pPr>
      <w:r w:rsidRPr="000C059E">
        <w:rPr>
          <w:sz w:val="24"/>
          <w:szCs w:val="24"/>
        </w:rPr>
        <w:t>Dosisjustering er ikke nødvendig på basis af nyrefunktion hos patienter med let eller moderat nedsat nyrefunktion. De tilgængelige data tillader ikke en anbefaling af dosis hos HCC-patienter med svært nedsat nyrefunktion.</w:t>
      </w:r>
    </w:p>
    <w:p w14:paraId="45EA84B6" w14:textId="77777777" w:rsidR="00200B99" w:rsidRPr="000C059E" w:rsidRDefault="00200B99" w:rsidP="00773EAE">
      <w:pPr>
        <w:ind w:left="851"/>
        <w:rPr>
          <w:sz w:val="24"/>
          <w:szCs w:val="24"/>
        </w:rPr>
      </w:pPr>
    </w:p>
    <w:p w14:paraId="50F2044C" w14:textId="77777777" w:rsidR="00200B99" w:rsidRPr="000C059E" w:rsidRDefault="00200B99" w:rsidP="00773EAE">
      <w:pPr>
        <w:ind w:left="851"/>
        <w:rPr>
          <w:i/>
          <w:sz w:val="24"/>
          <w:szCs w:val="24"/>
        </w:rPr>
      </w:pPr>
      <w:r w:rsidRPr="000C059E">
        <w:rPr>
          <w:i/>
          <w:sz w:val="24"/>
          <w:szCs w:val="24"/>
        </w:rPr>
        <w:t>EC</w:t>
      </w:r>
    </w:p>
    <w:p w14:paraId="6F9BAAB4" w14:textId="77777777" w:rsidR="00200B99" w:rsidRPr="000C059E" w:rsidRDefault="00200B99" w:rsidP="00773EAE">
      <w:pPr>
        <w:ind w:left="851"/>
        <w:rPr>
          <w:i/>
          <w:sz w:val="24"/>
          <w:szCs w:val="24"/>
        </w:rPr>
      </w:pPr>
    </w:p>
    <w:p w14:paraId="41F0A617" w14:textId="77777777" w:rsidR="00200B99" w:rsidRPr="000C059E" w:rsidRDefault="00200B99" w:rsidP="00773EAE">
      <w:pPr>
        <w:ind w:left="851"/>
        <w:rPr>
          <w:sz w:val="24"/>
          <w:szCs w:val="24"/>
        </w:rPr>
      </w:pPr>
      <w:r w:rsidRPr="000C059E">
        <w:rPr>
          <w:sz w:val="24"/>
          <w:szCs w:val="24"/>
        </w:rPr>
        <w:t>Der kræves ingen justering af startdosis på basis af nyrefunktionen hos patienter med let eller moderat nedsat nyrefunktion. Hos patienter med svært nedsat nyrefunktion er den anbefalede startdosis 10 mg lenvatinib én gang dagligt. Se produktresuméet til pembrolizumab for oplysninger om dosering til patienter med nedsat nyrefunktion. Yderligere dosisjusteringer kan være nødvendige på basis af individuel tolerabilitet. Patienter med nyresygdom i slutstadiet er ikke blevet undersøgt. Derfor anbefales anvendelse af lenvatinib ikke til disse patienter.</w:t>
      </w:r>
    </w:p>
    <w:p w14:paraId="48208D02" w14:textId="77777777" w:rsidR="00200B99" w:rsidRPr="000C059E" w:rsidRDefault="00200B99" w:rsidP="00773EAE">
      <w:pPr>
        <w:ind w:left="851"/>
        <w:rPr>
          <w:sz w:val="24"/>
          <w:szCs w:val="24"/>
        </w:rPr>
      </w:pPr>
    </w:p>
    <w:p w14:paraId="23CE5899" w14:textId="77777777" w:rsidR="00200B99" w:rsidRPr="00A209D9" w:rsidRDefault="00200B99" w:rsidP="00773EAE">
      <w:pPr>
        <w:ind w:left="851"/>
        <w:rPr>
          <w:i/>
          <w:sz w:val="24"/>
          <w:szCs w:val="24"/>
          <w:u w:val="single"/>
        </w:rPr>
      </w:pPr>
      <w:r w:rsidRPr="00A209D9">
        <w:rPr>
          <w:i/>
          <w:sz w:val="24"/>
          <w:szCs w:val="24"/>
          <w:u w:val="single"/>
        </w:rPr>
        <w:t>Ældre population</w:t>
      </w:r>
    </w:p>
    <w:p w14:paraId="3E29BB60" w14:textId="77777777" w:rsidR="00200B99" w:rsidRPr="000C059E" w:rsidRDefault="00200B99" w:rsidP="00773EAE">
      <w:pPr>
        <w:ind w:left="851"/>
        <w:rPr>
          <w:i/>
          <w:sz w:val="24"/>
          <w:szCs w:val="24"/>
        </w:rPr>
      </w:pPr>
    </w:p>
    <w:p w14:paraId="62062AE3" w14:textId="77777777" w:rsidR="00200B99" w:rsidRPr="000C059E" w:rsidRDefault="00200B99" w:rsidP="00773EAE">
      <w:pPr>
        <w:ind w:left="851"/>
        <w:rPr>
          <w:sz w:val="24"/>
          <w:szCs w:val="24"/>
        </w:rPr>
      </w:pPr>
      <w:r w:rsidRPr="000C059E">
        <w:rPr>
          <w:sz w:val="24"/>
          <w:szCs w:val="24"/>
        </w:rPr>
        <w:t>Dosisjustering af startdosis ikke er nødvendig på basis af alderen. Der foreligger kun begrænsede data for anvendelsen hos patienter i alderen ≥ 75 år (se pkt. 4.8).</w:t>
      </w:r>
    </w:p>
    <w:p w14:paraId="21A83E94" w14:textId="77777777" w:rsidR="00200B99" w:rsidRPr="000C059E" w:rsidRDefault="00200B99" w:rsidP="00773EAE">
      <w:pPr>
        <w:ind w:left="851"/>
        <w:rPr>
          <w:sz w:val="24"/>
          <w:szCs w:val="24"/>
        </w:rPr>
      </w:pPr>
    </w:p>
    <w:p w14:paraId="4E756DC2" w14:textId="77777777" w:rsidR="00200B99" w:rsidRPr="00A209D9" w:rsidRDefault="00200B99" w:rsidP="00773EAE">
      <w:pPr>
        <w:ind w:left="851"/>
        <w:rPr>
          <w:i/>
          <w:sz w:val="24"/>
          <w:szCs w:val="24"/>
          <w:u w:val="single"/>
        </w:rPr>
      </w:pPr>
      <w:r w:rsidRPr="00A209D9">
        <w:rPr>
          <w:i/>
          <w:sz w:val="24"/>
          <w:szCs w:val="24"/>
          <w:u w:val="single"/>
        </w:rPr>
        <w:t>Pædiatrisk population</w:t>
      </w:r>
    </w:p>
    <w:p w14:paraId="0A009BF3" w14:textId="77777777" w:rsidR="00200B99" w:rsidRPr="000C059E" w:rsidRDefault="00200B99" w:rsidP="00773EAE">
      <w:pPr>
        <w:ind w:left="851"/>
        <w:rPr>
          <w:i/>
          <w:sz w:val="24"/>
          <w:szCs w:val="24"/>
        </w:rPr>
      </w:pPr>
    </w:p>
    <w:p w14:paraId="546B5F0A" w14:textId="77777777" w:rsidR="00200B99" w:rsidRPr="000C059E" w:rsidRDefault="00200B99" w:rsidP="00773EAE">
      <w:pPr>
        <w:ind w:left="851"/>
        <w:rPr>
          <w:sz w:val="24"/>
          <w:szCs w:val="24"/>
        </w:rPr>
      </w:pPr>
      <w:r w:rsidRPr="000C059E">
        <w:rPr>
          <w:sz w:val="24"/>
          <w:szCs w:val="24"/>
        </w:rPr>
        <w:t>Lenvatinibs sikkerhed og virkning hos børn i alderen 2 til &lt; 18 år er ikke klarlagt. De foreliggende data er beskrevet i pkt. 4.8, 5.1 og 5.2, men der kan ikke gives nogen anbefalinger vedrørende dosering. Lenvatinib bør ikke anvendes til børn i alderen under 2 år på grund af problemstillinger identificeret i dyrestudier (se pkt. 5.3).</w:t>
      </w:r>
    </w:p>
    <w:p w14:paraId="3629F174" w14:textId="77777777" w:rsidR="00200B99" w:rsidRPr="000C059E" w:rsidRDefault="00200B99" w:rsidP="00773EAE">
      <w:pPr>
        <w:ind w:left="851"/>
        <w:rPr>
          <w:sz w:val="24"/>
          <w:szCs w:val="24"/>
        </w:rPr>
      </w:pPr>
    </w:p>
    <w:p w14:paraId="0220BB6C" w14:textId="77777777" w:rsidR="00200B99" w:rsidRPr="00A209D9" w:rsidRDefault="00200B99" w:rsidP="00773EAE">
      <w:pPr>
        <w:ind w:left="851"/>
        <w:rPr>
          <w:i/>
          <w:sz w:val="24"/>
          <w:szCs w:val="24"/>
          <w:u w:val="single"/>
        </w:rPr>
      </w:pPr>
      <w:r w:rsidRPr="00A209D9">
        <w:rPr>
          <w:i/>
          <w:sz w:val="24"/>
          <w:szCs w:val="24"/>
          <w:u w:val="single"/>
        </w:rPr>
        <w:t>Race</w:t>
      </w:r>
    </w:p>
    <w:p w14:paraId="3CC2CE44" w14:textId="77777777" w:rsidR="00200B99" w:rsidRPr="000C059E" w:rsidRDefault="00200B99" w:rsidP="00773EAE">
      <w:pPr>
        <w:ind w:left="851"/>
        <w:rPr>
          <w:i/>
          <w:sz w:val="24"/>
          <w:szCs w:val="24"/>
        </w:rPr>
      </w:pPr>
    </w:p>
    <w:p w14:paraId="186FCABE" w14:textId="77777777" w:rsidR="00200B99" w:rsidRPr="000C059E" w:rsidRDefault="00200B99" w:rsidP="00773EAE">
      <w:pPr>
        <w:ind w:left="851"/>
        <w:rPr>
          <w:sz w:val="24"/>
          <w:szCs w:val="24"/>
        </w:rPr>
      </w:pPr>
      <w:r w:rsidRPr="000C059E">
        <w:rPr>
          <w:sz w:val="24"/>
          <w:szCs w:val="24"/>
        </w:rPr>
        <w:t>Dosisjustering af startdosis er ikke nødvendig på basis af race (se pkt. 5.2). Der foreligger begrænsede data om anvendelsen hos patienter af anden etnisk oprindelse end kaukasisk eller asiatisk (se pkt. 4.8).</w:t>
      </w:r>
    </w:p>
    <w:p w14:paraId="13C1A2CF" w14:textId="77777777" w:rsidR="00200B99" w:rsidRPr="000C059E" w:rsidRDefault="00200B99" w:rsidP="00773EAE">
      <w:pPr>
        <w:ind w:left="851"/>
        <w:rPr>
          <w:sz w:val="24"/>
          <w:szCs w:val="24"/>
        </w:rPr>
      </w:pPr>
    </w:p>
    <w:p w14:paraId="068F9321" w14:textId="77777777" w:rsidR="00200B99" w:rsidRPr="00A209D9" w:rsidRDefault="00200B99" w:rsidP="00773EAE">
      <w:pPr>
        <w:ind w:left="851"/>
        <w:rPr>
          <w:sz w:val="24"/>
          <w:szCs w:val="24"/>
          <w:u w:val="single"/>
        </w:rPr>
      </w:pPr>
      <w:r w:rsidRPr="00A209D9">
        <w:rPr>
          <w:sz w:val="24"/>
          <w:szCs w:val="24"/>
          <w:u w:val="single"/>
        </w:rPr>
        <w:t>Administration</w:t>
      </w:r>
    </w:p>
    <w:p w14:paraId="4D0C07BE" w14:textId="77777777" w:rsidR="00200B99" w:rsidRPr="000C059E" w:rsidRDefault="00200B99" w:rsidP="00773EAE">
      <w:pPr>
        <w:ind w:left="851"/>
        <w:rPr>
          <w:sz w:val="24"/>
          <w:szCs w:val="24"/>
        </w:rPr>
      </w:pPr>
    </w:p>
    <w:p w14:paraId="6191EB0C" w14:textId="77777777" w:rsidR="00200B99" w:rsidRPr="000C059E" w:rsidRDefault="00200B99" w:rsidP="00773EAE">
      <w:pPr>
        <w:ind w:left="851"/>
        <w:rPr>
          <w:sz w:val="24"/>
          <w:szCs w:val="24"/>
        </w:rPr>
      </w:pPr>
      <w:r w:rsidRPr="000C059E">
        <w:rPr>
          <w:sz w:val="24"/>
          <w:szCs w:val="24"/>
        </w:rPr>
        <w:t>Lenvatinib er til oral anvendelse. Kapslerne skal tages på omtrent samme tidspunkt hver dag, med eller uden mad (se pkt. 5.2). Plejepersonale må ikke åbne kapsler for at undgå gentagen eksponering for indholdet i kapslen.</w:t>
      </w:r>
    </w:p>
    <w:p w14:paraId="35F32232" w14:textId="77777777" w:rsidR="00200B99" w:rsidRPr="000C059E" w:rsidRDefault="00200B99" w:rsidP="00773EAE">
      <w:pPr>
        <w:ind w:left="851"/>
        <w:rPr>
          <w:sz w:val="24"/>
          <w:szCs w:val="24"/>
        </w:rPr>
      </w:pPr>
    </w:p>
    <w:p w14:paraId="4B73B526" w14:textId="1467922D" w:rsidR="00200B99" w:rsidRPr="000C059E" w:rsidRDefault="00200B99" w:rsidP="00773EAE">
      <w:pPr>
        <w:ind w:left="851"/>
        <w:rPr>
          <w:sz w:val="24"/>
          <w:szCs w:val="24"/>
        </w:rPr>
      </w:pPr>
      <w:r w:rsidRPr="000C059E">
        <w:rPr>
          <w:sz w:val="24"/>
          <w:szCs w:val="24"/>
        </w:rPr>
        <w:t xml:space="preserve">Lenvatinib-kapsler kan synkes hele sammen med vand. For patienter med synkebesvær, som ikke er i stand til at synke de hårde kapsler, bør andre lægemidler indeholdende lenvatinib anvendes i stedet for Lenvatinib </w:t>
      </w:r>
      <w:r w:rsidR="00E62732">
        <w:rPr>
          <w:sz w:val="24"/>
          <w:szCs w:val="24"/>
        </w:rPr>
        <w:t>"Teva"</w:t>
      </w:r>
      <w:r w:rsidRPr="000C059E">
        <w:rPr>
          <w:sz w:val="24"/>
          <w:szCs w:val="24"/>
        </w:rPr>
        <w:t>.</w:t>
      </w:r>
    </w:p>
    <w:p w14:paraId="30F95C9B" w14:textId="7BDDE5F1" w:rsidR="00200B99" w:rsidRPr="000C059E" w:rsidRDefault="00200B99" w:rsidP="00773EAE">
      <w:pPr>
        <w:ind w:left="851"/>
        <w:rPr>
          <w:sz w:val="24"/>
          <w:szCs w:val="24"/>
        </w:rPr>
      </w:pPr>
    </w:p>
    <w:p w14:paraId="69626C11" w14:textId="77777777" w:rsidR="00200B99" w:rsidRPr="000C059E" w:rsidRDefault="00200B99" w:rsidP="00773EAE">
      <w:pPr>
        <w:ind w:left="851"/>
        <w:rPr>
          <w:sz w:val="24"/>
          <w:szCs w:val="24"/>
        </w:rPr>
      </w:pPr>
      <w:r w:rsidRPr="000C059E">
        <w:rPr>
          <w:sz w:val="24"/>
          <w:szCs w:val="24"/>
        </w:rPr>
        <w:t>For oplysninger om anvendelse i kombination med pembrolizumab se produktresuméet til pembrolizumab.</w:t>
      </w:r>
    </w:p>
    <w:p w14:paraId="505C403B" w14:textId="77777777" w:rsidR="009260DE" w:rsidRPr="000C059E" w:rsidRDefault="009260DE" w:rsidP="009260DE">
      <w:pPr>
        <w:tabs>
          <w:tab w:val="left" w:pos="851"/>
        </w:tabs>
        <w:ind w:left="851"/>
        <w:rPr>
          <w:sz w:val="24"/>
          <w:szCs w:val="24"/>
        </w:rPr>
      </w:pPr>
    </w:p>
    <w:p w14:paraId="7E18EE32" w14:textId="77777777" w:rsidR="009260DE" w:rsidRPr="000C059E" w:rsidRDefault="009260DE" w:rsidP="009260DE">
      <w:pPr>
        <w:tabs>
          <w:tab w:val="left" w:pos="851"/>
        </w:tabs>
        <w:ind w:left="851" w:hanging="851"/>
        <w:rPr>
          <w:b/>
          <w:sz w:val="24"/>
          <w:szCs w:val="24"/>
        </w:rPr>
      </w:pPr>
      <w:r w:rsidRPr="000C059E">
        <w:rPr>
          <w:b/>
          <w:sz w:val="24"/>
          <w:szCs w:val="24"/>
        </w:rPr>
        <w:t>4.3</w:t>
      </w:r>
      <w:r w:rsidRPr="000C059E">
        <w:rPr>
          <w:b/>
          <w:sz w:val="24"/>
          <w:szCs w:val="24"/>
        </w:rPr>
        <w:tab/>
        <w:t>Kontraindikationer</w:t>
      </w:r>
    </w:p>
    <w:p w14:paraId="339EFF0A" w14:textId="77777777" w:rsidR="00A209D9" w:rsidRDefault="00200B99" w:rsidP="00773EAE">
      <w:pPr>
        <w:ind w:left="851"/>
        <w:rPr>
          <w:sz w:val="24"/>
          <w:szCs w:val="24"/>
        </w:rPr>
      </w:pPr>
      <w:r w:rsidRPr="000C059E">
        <w:rPr>
          <w:sz w:val="24"/>
          <w:szCs w:val="24"/>
        </w:rPr>
        <w:t xml:space="preserve">Overfølsomhed over for det aktive stof eller over for et eller flere af hjælpestofferne anført i pkt. 6.1. </w:t>
      </w:r>
    </w:p>
    <w:p w14:paraId="42EB95B5" w14:textId="0ACB483D" w:rsidR="00200B99" w:rsidRPr="000C059E" w:rsidRDefault="00200B99" w:rsidP="00773EAE">
      <w:pPr>
        <w:ind w:left="851"/>
        <w:rPr>
          <w:sz w:val="24"/>
          <w:szCs w:val="24"/>
        </w:rPr>
      </w:pPr>
      <w:r w:rsidRPr="000C059E">
        <w:rPr>
          <w:sz w:val="24"/>
          <w:szCs w:val="24"/>
        </w:rPr>
        <w:t>Amning (se pkt. 4.6).</w:t>
      </w:r>
    </w:p>
    <w:p w14:paraId="797DB564" w14:textId="77777777" w:rsidR="009260DE" w:rsidRPr="000C059E" w:rsidRDefault="009260DE" w:rsidP="009260DE">
      <w:pPr>
        <w:tabs>
          <w:tab w:val="left" w:pos="851"/>
        </w:tabs>
        <w:ind w:left="851"/>
        <w:rPr>
          <w:sz w:val="24"/>
          <w:szCs w:val="24"/>
        </w:rPr>
      </w:pPr>
    </w:p>
    <w:p w14:paraId="66A4A986" w14:textId="77777777" w:rsidR="009260DE" w:rsidRPr="000C059E" w:rsidRDefault="009260DE" w:rsidP="009260DE">
      <w:pPr>
        <w:tabs>
          <w:tab w:val="left" w:pos="851"/>
        </w:tabs>
        <w:ind w:left="851" w:hanging="851"/>
        <w:rPr>
          <w:b/>
          <w:sz w:val="24"/>
          <w:szCs w:val="24"/>
        </w:rPr>
      </w:pPr>
      <w:r w:rsidRPr="000C059E">
        <w:rPr>
          <w:b/>
          <w:sz w:val="24"/>
          <w:szCs w:val="24"/>
        </w:rPr>
        <w:t>4.4</w:t>
      </w:r>
      <w:r w:rsidRPr="000C059E">
        <w:rPr>
          <w:b/>
          <w:sz w:val="24"/>
          <w:szCs w:val="24"/>
        </w:rPr>
        <w:tab/>
        <w:t>Særlige advarsler og forsigtighedsregler vedrørende brugen</w:t>
      </w:r>
    </w:p>
    <w:p w14:paraId="37D04BBB" w14:textId="77777777" w:rsidR="00A209D9" w:rsidRDefault="00A209D9" w:rsidP="00773EAE">
      <w:pPr>
        <w:ind w:left="851"/>
        <w:rPr>
          <w:sz w:val="24"/>
          <w:szCs w:val="24"/>
        </w:rPr>
      </w:pPr>
    </w:p>
    <w:p w14:paraId="0CBAC375" w14:textId="75AAE2EB" w:rsidR="00200B99" w:rsidRPr="00A209D9" w:rsidRDefault="00200B99" w:rsidP="00773EAE">
      <w:pPr>
        <w:ind w:left="851"/>
        <w:rPr>
          <w:sz w:val="24"/>
          <w:szCs w:val="24"/>
          <w:u w:val="single"/>
        </w:rPr>
      </w:pPr>
      <w:r w:rsidRPr="00A209D9">
        <w:rPr>
          <w:sz w:val="24"/>
          <w:szCs w:val="24"/>
          <w:u w:val="single"/>
        </w:rPr>
        <w:t>Hypertension</w:t>
      </w:r>
    </w:p>
    <w:p w14:paraId="73E90D8B" w14:textId="77777777" w:rsidR="00200B99" w:rsidRPr="000C059E" w:rsidRDefault="00200B99" w:rsidP="00773EAE">
      <w:pPr>
        <w:ind w:left="851"/>
        <w:rPr>
          <w:sz w:val="24"/>
          <w:szCs w:val="24"/>
        </w:rPr>
      </w:pPr>
    </w:p>
    <w:p w14:paraId="4EB9923B" w14:textId="77777777" w:rsidR="00200B99" w:rsidRPr="000C059E" w:rsidRDefault="00200B99" w:rsidP="00773EAE">
      <w:pPr>
        <w:ind w:left="851"/>
        <w:rPr>
          <w:sz w:val="24"/>
          <w:szCs w:val="24"/>
        </w:rPr>
      </w:pPr>
      <w:r w:rsidRPr="000C059E">
        <w:rPr>
          <w:sz w:val="24"/>
          <w:szCs w:val="24"/>
        </w:rPr>
        <w:t>Der er blevet rapporteret om hypertension hos patienter i behandling med lenvatinib, der sædvanligvis opstod tidligt i behandlingsforløbet (se pkt. 4.8). Blodtrykket skal være velkontrolleret før behandling med lenvatinib, og hvis patienterne vides at have hypertension, skal de være på en stabil dosis i antihypertensiv behandling i mindst 1 uge før behandling med lenvatinib. Der er rapporteret om alvorlige komplikationer ved dårligt kontrolleret hypertension, herunder aortadissektion. Tidlig detektion og effektiv behandling af hypertension er vigtig for at minimere behovet for dosisafbrydelser og dosisreduktioner af lenvatinib. Antihypertensive midler skal startes, så snart et forhøjet blodtryk er blevet bekræftet. Blodtrykket bør overvåges efter 1 uges behandling med lenvatinib, og derefter hver 2. uge i løbet af de første 2 måneders behandling, og derefter månedligt. Valget af antihypertensiv behandling bør justeres individuelt til patientens kliniske omstændigheder og følge standard medicinsk praksis. For patienter som tidligere var normotensive bør der startes monoterapi med et middel fra en af de antihypertensive klasser ved observation af forhøjet blodtryk. For de patienter, der allerede får et antihypertensivt lægemiddel, kan dosis af det aktuelle stof hvis relevant øges, eller et eller flere stoffer fra en anden klasse af antihypertensiva bør tilføjes. Når det er nødvendigt, kan hypertension behandles som anbefalet i tabel</w:t>
      </w:r>
      <w:r w:rsidRPr="000C059E">
        <w:rPr>
          <w:spacing w:val="-4"/>
          <w:sz w:val="24"/>
          <w:szCs w:val="24"/>
        </w:rPr>
        <w:t xml:space="preserve"> </w:t>
      </w:r>
      <w:r w:rsidRPr="000C059E">
        <w:rPr>
          <w:spacing w:val="-3"/>
          <w:sz w:val="24"/>
          <w:szCs w:val="24"/>
        </w:rPr>
        <w:t>5.</w:t>
      </w:r>
    </w:p>
    <w:p w14:paraId="6A546BBC" w14:textId="77777777" w:rsidR="00200B99" w:rsidRPr="000C059E" w:rsidRDefault="00200B99" w:rsidP="00773EAE">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44"/>
        <w:gridCol w:w="5184"/>
      </w:tblGrid>
      <w:tr w:rsidR="00200B99" w:rsidRPr="00A209D9" w14:paraId="385D10C3" w14:textId="77777777" w:rsidTr="00A209D9">
        <w:trPr>
          <w:trHeight w:val="484"/>
        </w:trPr>
        <w:tc>
          <w:tcPr>
            <w:tcW w:w="5000" w:type="pct"/>
            <w:gridSpan w:val="2"/>
            <w:tcBorders>
              <w:top w:val="single" w:sz="4" w:space="0" w:color="000000"/>
              <w:left w:val="single" w:sz="4" w:space="0" w:color="000000"/>
              <w:bottom w:val="single" w:sz="4" w:space="0" w:color="000000"/>
              <w:right w:val="single" w:sz="4" w:space="0" w:color="000000"/>
            </w:tcBorders>
            <w:hideMark/>
          </w:tcPr>
          <w:p w14:paraId="43B6014F" w14:textId="4CF6103C" w:rsidR="00200B99" w:rsidRPr="00A209D9" w:rsidRDefault="00200B99" w:rsidP="00A209D9">
            <w:pPr>
              <w:pStyle w:val="TableParagraph"/>
              <w:ind w:left="133" w:right="187"/>
              <w:rPr>
                <w:b/>
                <w:lang w:val="da-DK"/>
              </w:rPr>
            </w:pPr>
            <w:r w:rsidRPr="00A209D9">
              <w:rPr>
                <w:b/>
                <w:lang w:val="da-DK"/>
              </w:rPr>
              <w:t>Tabel 5</w:t>
            </w:r>
            <w:r w:rsidR="00A209D9" w:rsidRPr="00A209D9">
              <w:rPr>
                <w:b/>
                <w:lang w:val="da-DK"/>
              </w:rPr>
              <w:t>.</w:t>
            </w:r>
            <w:r w:rsidRPr="00A209D9">
              <w:rPr>
                <w:b/>
                <w:lang w:val="da-DK"/>
              </w:rPr>
              <w:t xml:space="preserve"> Anbefalet behandling af hypertension</w:t>
            </w:r>
          </w:p>
        </w:tc>
      </w:tr>
      <w:tr w:rsidR="00200B99" w:rsidRPr="00A209D9" w14:paraId="5121C804" w14:textId="77777777" w:rsidTr="00A209D9">
        <w:trPr>
          <w:trHeight w:val="460"/>
        </w:trPr>
        <w:tc>
          <w:tcPr>
            <w:tcW w:w="2308" w:type="pct"/>
            <w:tcBorders>
              <w:top w:val="single" w:sz="4" w:space="0" w:color="000000"/>
              <w:left w:val="single" w:sz="4" w:space="0" w:color="000000"/>
              <w:bottom w:val="single" w:sz="4" w:space="0" w:color="000000"/>
              <w:right w:val="single" w:sz="4" w:space="0" w:color="000000"/>
            </w:tcBorders>
            <w:hideMark/>
          </w:tcPr>
          <w:p w14:paraId="6558D33E" w14:textId="77777777" w:rsidR="00200B99" w:rsidRPr="00A209D9" w:rsidRDefault="00200B99" w:rsidP="00A209D9">
            <w:pPr>
              <w:pStyle w:val="TableParagraph"/>
              <w:ind w:left="133" w:right="187"/>
              <w:rPr>
                <w:b/>
                <w:lang w:val="da-DK"/>
              </w:rPr>
            </w:pPr>
            <w:r w:rsidRPr="00A209D9">
              <w:rPr>
                <w:b/>
                <w:lang w:val="da-DK"/>
              </w:rPr>
              <w:t>Blodtryksniveau</w:t>
            </w:r>
          </w:p>
        </w:tc>
        <w:tc>
          <w:tcPr>
            <w:tcW w:w="2692" w:type="pct"/>
            <w:tcBorders>
              <w:top w:val="single" w:sz="4" w:space="0" w:color="000000"/>
              <w:left w:val="single" w:sz="4" w:space="0" w:color="000000"/>
              <w:bottom w:val="single" w:sz="4" w:space="0" w:color="000000"/>
              <w:right w:val="single" w:sz="4" w:space="0" w:color="000000"/>
            </w:tcBorders>
            <w:hideMark/>
          </w:tcPr>
          <w:p w14:paraId="1BACD987" w14:textId="77777777" w:rsidR="00200B99" w:rsidRPr="00A209D9" w:rsidRDefault="00200B99" w:rsidP="00A209D9">
            <w:pPr>
              <w:pStyle w:val="TableParagraph"/>
              <w:ind w:left="133" w:right="187"/>
              <w:rPr>
                <w:b/>
                <w:lang w:val="da-DK"/>
              </w:rPr>
            </w:pPr>
            <w:r w:rsidRPr="00A209D9">
              <w:rPr>
                <w:b/>
                <w:lang w:val="da-DK"/>
              </w:rPr>
              <w:t>Anbefalet handling</w:t>
            </w:r>
          </w:p>
        </w:tc>
      </w:tr>
      <w:tr w:rsidR="00200B99" w:rsidRPr="00A209D9" w14:paraId="027E3399" w14:textId="77777777" w:rsidTr="00A209D9">
        <w:trPr>
          <w:trHeight w:val="1612"/>
        </w:trPr>
        <w:tc>
          <w:tcPr>
            <w:tcW w:w="2308" w:type="pct"/>
            <w:tcBorders>
              <w:top w:val="single" w:sz="4" w:space="0" w:color="000000"/>
              <w:left w:val="single" w:sz="4" w:space="0" w:color="000000"/>
              <w:bottom w:val="single" w:sz="4" w:space="0" w:color="000000"/>
              <w:right w:val="single" w:sz="4" w:space="0" w:color="000000"/>
            </w:tcBorders>
            <w:hideMark/>
          </w:tcPr>
          <w:p w14:paraId="18030F3B" w14:textId="3FAAA54B" w:rsidR="00200B99" w:rsidRPr="00A209D9" w:rsidRDefault="00200B99" w:rsidP="00A209D9">
            <w:pPr>
              <w:pStyle w:val="TableParagraph"/>
              <w:ind w:left="133" w:right="187"/>
              <w:rPr>
                <w:lang w:val="da-DK"/>
              </w:rPr>
            </w:pPr>
            <w:r w:rsidRPr="00A209D9">
              <w:rPr>
                <w:lang w:val="da-DK"/>
              </w:rPr>
              <w:t>Systolisk blodtryk ≥ 140 mmHg op til &lt;</w:t>
            </w:r>
            <w:r w:rsidR="00A209D9" w:rsidRPr="00A209D9">
              <w:rPr>
                <w:lang w:val="da-DK"/>
              </w:rPr>
              <w:t> </w:t>
            </w:r>
            <w:r w:rsidRPr="00A209D9">
              <w:rPr>
                <w:lang w:val="da-DK"/>
              </w:rPr>
              <w:t>160</w:t>
            </w:r>
            <w:r w:rsidR="00A209D9">
              <w:rPr>
                <w:lang w:val="da-DK"/>
              </w:rPr>
              <w:t> </w:t>
            </w:r>
            <w:r w:rsidRPr="00A209D9">
              <w:rPr>
                <w:lang w:val="da-DK"/>
              </w:rPr>
              <w:t xml:space="preserve">mmHg </w:t>
            </w:r>
          </w:p>
          <w:p w14:paraId="486C12BD" w14:textId="77777777" w:rsidR="00200B99" w:rsidRPr="00A209D9" w:rsidRDefault="00200B99" w:rsidP="00A209D9">
            <w:pPr>
              <w:pStyle w:val="TableParagraph"/>
              <w:ind w:left="133" w:right="187"/>
              <w:rPr>
                <w:lang w:val="da-DK"/>
              </w:rPr>
            </w:pPr>
            <w:r w:rsidRPr="00A209D9">
              <w:rPr>
                <w:lang w:val="da-DK"/>
              </w:rPr>
              <w:t xml:space="preserve">eller </w:t>
            </w:r>
          </w:p>
          <w:p w14:paraId="7517C15C" w14:textId="19211003" w:rsidR="00200B99" w:rsidRPr="00A209D9" w:rsidRDefault="00200B99" w:rsidP="00A209D9">
            <w:pPr>
              <w:pStyle w:val="TableParagraph"/>
              <w:ind w:left="133" w:right="187"/>
              <w:rPr>
                <w:lang w:val="da-DK"/>
              </w:rPr>
            </w:pPr>
            <w:r w:rsidRPr="00A209D9">
              <w:rPr>
                <w:lang w:val="da-DK"/>
              </w:rPr>
              <w:t>diastolisk blodtryk ≥ 90 mmHg op til &lt;</w:t>
            </w:r>
            <w:r w:rsidR="00A209D9" w:rsidRPr="00A209D9">
              <w:rPr>
                <w:lang w:val="da-DK"/>
              </w:rPr>
              <w:t> </w:t>
            </w:r>
            <w:r w:rsidRPr="00A209D9">
              <w:rPr>
                <w:lang w:val="da-DK"/>
              </w:rPr>
              <w:t>100</w:t>
            </w:r>
            <w:r w:rsidR="00A209D9">
              <w:rPr>
                <w:lang w:val="da-DK"/>
              </w:rPr>
              <w:t> </w:t>
            </w:r>
            <w:r w:rsidRPr="00A209D9">
              <w:rPr>
                <w:lang w:val="da-DK"/>
              </w:rPr>
              <w:t>mmHg</w:t>
            </w:r>
          </w:p>
        </w:tc>
        <w:tc>
          <w:tcPr>
            <w:tcW w:w="2692" w:type="pct"/>
            <w:tcBorders>
              <w:top w:val="single" w:sz="4" w:space="0" w:color="000000"/>
              <w:left w:val="single" w:sz="4" w:space="0" w:color="000000"/>
              <w:bottom w:val="single" w:sz="4" w:space="0" w:color="000000"/>
              <w:right w:val="single" w:sz="4" w:space="0" w:color="000000"/>
            </w:tcBorders>
            <w:hideMark/>
          </w:tcPr>
          <w:p w14:paraId="2B61EB6C" w14:textId="77777777" w:rsidR="00200B99" w:rsidRPr="00A209D9" w:rsidRDefault="00200B99" w:rsidP="00A209D9">
            <w:pPr>
              <w:pStyle w:val="TableParagraph"/>
              <w:ind w:left="133" w:right="187"/>
              <w:rPr>
                <w:lang w:val="da-DK"/>
              </w:rPr>
            </w:pPr>
            <w:r w:rsidRPr="00A209D9">
              <w:rPr>
                <w:lang w:val="da-DK"/>
              </w:rPr>
              <w:t>Fortsæt lenvatinib, og påbegynd antihypertensiv behandling, hvis patienten ikke allerede får det</w:t>
            </w:r>
          </w:p>
          <w:p w14:paraId="66915198" w14:textId="77777777" w:rsidR="00200B99" w:rsidRPr="00A209D9" w:rsidRDefault="00200B99" w:rsidP="00A209D9">
            <w:pPr>
              <w:pStyle w:val="TableParagraph"/>
              <w:ind w:left="133" w:right="187"/>
              <w:rPr>
                <w:lang w:val="da-DK"/>
              </w:rPr>
            </w:pPr>
            <w:r w:rsidRPr="00A209D9">
              <w:rPr>
                <w:lang w:val="da-DK"/>
              </w:rPr>
              <w:t>ELLER</w:t>
            </w:r>
          </w:p>
          <w:p w14:paraId="6FF4195F" w14:textId="77777777" w:rsidR="00200B99" w:rsidRPr="00A209D9" w:rsidRDefault="00200B99" w:rsidP="00A209D9">
            <w:pPr>
              <w:pStyle w:val="TableParagraph"/>
              <w:ind w:left="133" w:right="187"/>
              <w:rPr>
                <w:lang w:val="da-DK"/>
              </w:rPr>
            </w:pPr>
            <w:r w:rsidRPr="00A209D9">
              <w:rPr>
                <w:lang w:val="da-DK"/>
              </w:rPr>
              <w:t>Fortsæt med lenvatinib, og forhøj dosis af den aktuelle antihypertensive behandling, eller påbegynd yderligere antihypertensiv behandling</w:t>
            </w:r>
          </w:p>
        </w:tc>
      </w:tr>
      <w:tr w:rsidR="00200B99" w:rsidRPr="00A209D9" w14:paraId="278239F7" w14:textId="77777777" w:rsidTr="00A209D9">
        <w:trPr>
          <w:trHeight w:val="1607"/>
        </w:trPr>
        <w:tc>
          <w:tcPr>
            <w:tcW w:w="2308" w:type="pct"/>
            <w:tcBorders>
              <w:top w:val="single" w:sz="4" w:space="0" w:color="000000"/>
              <w:left w:val="single" w:sz="4" w:space="0" w:color="000000"/>
              <w:bottom w:val="single" w:sz="4" w:space="0" w:color="000000"/>
              <w:right w:val="single" w:sz="4" w:space="0" w:color="000000"/>
            </w:tcBorders>
            <w:hideMark/>
          </w:tcPr>
          <w:p w14:paraId="3E8E1F37" w14:textId="77777777" w:rsidR="00200B99" w:rsidRPr="00A209D9" w:rsidRDefault="00200B99" w:rsidP="00A209D9">
            <w:pPr>
              <w:pStyle w:val="TableParagraph"/>
              <w:ind w:left="133" w:right="187"/>
              <w:rPr>
                <w:lang w:val="da-DK"/>
              </w:rPr>
            </w:pPr>
            <w:r w:rsidRPr="00A209D9">
              <w:rPr>
                <w:lang w:val="da-DK"/>
              </w:rPr>
              <w:t xml:space="preserve">Systolisk blodtryk ≥ 160 mmHg </w:t>
            </w:r>
          </w:p>
          <w:p w14:paraId="6D506862" w14:textId="77777777" w:rsidR="00200B99" w:rsidRPr="00A209D9" w:rsidRDefault="00200B99" w:rsidP="00A209D9">
            <w:pPr>
              <w:pStyle w:val="TableParagraph"/>
              <w:ind w:left="133" w:right="187"/>
              <w:rPr>
                <w:lang w:val="da-DK"/>
              </w:rPr>
            </w:pPr>
            <w:r w:rsidRPr="00A209D9">
              <w:rPr>
                <w:lang w:val="da-DK"/>
              </w:rPr>
              <w:t>eller diastolisk blodtryk ≥ 100 mmHg,</w:t>
            </w:r>
          </w:p>
          <w:p w14:paraId="40C15B8E" w14:textId="77777777" w:rsidR="00200B99" w:rsidRPr="00A209D9" w:rsidRDefault="00200B99" w:rsidP="00A209D9">
            <w:pPr>
              <w:pStyle w:val="TableParagraph"/>
              <w:ind w:left="133" w:right="187"/>
              <w:rPr>
                <w:lang w:val="da-DK"/>
              </w:rPr>
            </w:pPr>
            <w:r w:rsidRPr="00A209D9">
              <w:rPr>
                <w:lang w:val="da-DK"/>
              </w:rPr>
              <w:t>trods optimal antihypertensiv behandling</w:t>
            </w:r>
          </w:p>
        </w:tc>
        <w:tc>
          <w:tcPr>
            <w:tcW w:w="2692" w:type="pct"/>
            <w:tcBorders>
              <w:top w:val="single" w:sz="4" w:space="0" w:color="000000"/>
              <w:left w:val="single" w:sz="4" w:space="0" w:color="000000"/>
              <w:bottom w:val="single" w:sz="4" w:space="0" w:color="000000"/>
              <w:right w:val="single" w:sz="4" w:space="0" w:color="000000"/>
            </w:tcBorders>
            <w:hideMark/>
          </w:tcPr>
          <w:p w14:paraId="54E23C6A" w14:textId="77777777" w:rsidR="00200B99" w:rsidRPr="00A209D9" w:rsidRDefault="00200B99" w:rsidP="00A209D9">
            <w:pPr>
              <w:pStyle w:val="TableParagraph"/>
              <w:numPr>
                <w:ilvl w:val="0"/>
                <w:numId w:val="6"/>
              </w:numPr>
              <w:tabs>
                <w:tab w:val="left" w:pos="514"/>
              </w:tabs>
              <w:ind w:left="514" w:right="187" w:hanging="313"/>
              <w:rPr>
                <w:lang w:val="da-DK"/>
              </w:rPr>
            </w:pPr>
            <w:r w:rsidRPr="00A209D9">
              <w:rPr>
                <w:lang w:val="da-DK"/>
              </w:rPr>
              <w:t>Afbryd</w:t>
            </w:r>
            <w:r w:rsidRPr="00A209D9">
              <w:rPr>
                <w:spacing w:val="-2"/>
                <w:lang w:val="da-DK"/>
              </w:rPr>
              <w:t xml:space="preserve"> </w:t>
            </w:r>
            <w:r w:rsidRPr="00A209D9">
              <w:rPr>
                <w:lang w:val="da-DK"/>
              </w:rPr>
              <w:t>lenvatinib</w:t>
            </w:r>
          </w:p>
          <w:p w14:paraId="06348295" w14:textId="77777777" w:rsidR="00200B99" w:rsidRPr="00A209D9" w:rsidRDefault="00200B99" w:rsidP="00A209D9">
            <w:pPr>
              <w:pStyle w:val="TableParagraph"/>
              <w:numPr>
                <w:ilvl w:val="0"/>
                <w:numId w:val="6"/>
              </w:numPr>
              <w:tabs>
                <w:tab w:val="left" w:pos="514"/>
              </w:tabs>
              <w:ind w:left="514" w:right="187" w:hanging="313"/>
              <w:rPr>
                <w:lang w:val="da-DK"/>
              </w:rPr>
            </w:pPr>
            <w:r w:rsidRPr="00A209D9">
              <w:rPr>
                <w:lang w:val="da-DK"/>
              </w:rPr>
              <w:t>Når systolisk blodtryk ≤ 150 mmHg, diastolisk blodtryk ≤ 95 mmHg, og patienten har været på en stabil dosis af antihypertensiv behandling i mindst 48 timer, skal lenvatinib genoptages med en reduceret dosis (se pkt.</w:t>
            </w:r>
            <w:r w:rsidRPr="00A209D9">
              <w:rPr>
                <w:spacing w:val="-4"/>
                <w:lang w:val="da-DK"/>
              </w:rPr>
              <w:t xml:space="preserve"> </w:t>
            </w:r>
            <w:r w:rsidRPr="00A209D9">
              <w:rPr>
                <w:lang w:val="da-DK"/>
              </w:rPr>
              <w:t>4.2)</w:t>
            </w:r>
          </w:p>
        </w:tc>
      </w:tr>
      <w:tr w:rsidR="00200B99" w:rsidRPr="00A209D9" w14:paraId="6552A6F1" w14:textId="77777777" w:rsidTr="00A209D9">
        <w:trPr>
          <w:trHeight w:val="921"/>
        </w:trPr>
        <w:tc>
          <w:tcPr>
            <w:tcW w:w="2308" w:type="pct"/>
            <w:tcBorders>
              <w:top w:val="single" w:sz="4" w:space="0" w:color="000000"/>
              <w:left w:val="single" w:sz="4" w:space="0" w:color="000000"/>
              <w:bottom w:val="single" w:sz="4" w:space="0" w:color="000000"/>
              <w:right w:val="single" w:sz="4" w:space="0" w:color="000000"/>
            </w:tcBorders>
            <w:hideMark/>
          </w:tcPr>
          <w:p w14:paraId="49F6762C" w14:textId="77777777" w:rsidR="00200B99" w:rsidRPr="00A209D9" w:rsidRDefault="00200B99" w:rsidP="00A209D9">
            <w:pPr>
              <w:pStyle w:val="TableParagraph"/>
              <w:ind w:left="133" w:right="187"/>
              <w:rPr>
                <w:lang w:val="da-DK"/>
              </w:rPr>
            </w:pPr>
            <w:r w:rsidRPr="00A209D9">
              <w:rPr>
                <w:lang w:val="da-DK"/>
              </w:rPr>
              <w:t>Livstruende konsekvenser (malign hypertension,</w:t>
            </w:r>
            <w:r w:rsidRPr="00A209D9">
              <w:rPr>
                <w:spacing w:val="-9"/>
                <w:lang w:val="da-DK"/>
              </w:rPr>
              <w:t xml:space="preserve"> </w:t>
            </w:r>
            <w:r w:rsidRPr="00A209D9">
              <w:rPr>
                <w:lang w:val="da-DK"/>
              </w:rPr>
              <w:t>neurologisk funktionsforstyrrelse eller hypertensiv krise)</w:t>
            </w:r>
          </w:p>
        </w:tc>
        <w:tc>
          <w:tcPr>
            <w:tcW w:w="2692" w:type="pct"/>
            <w:tcBorders>
              <w:top w:val="single" w:sz="4" w:space="0" w:color="000000"/>
              <w:left w:val="single" w:sz="4" w:space="0" w:color="000000"/>
              <w:bottom w:val="single" w:sz="4" w:space="0" w:color="000000"/>
              <w:right w:val="single" w:sz="4" w:space="0" w:color="000000"/>
            </w:tcBorders>
            <w:hideMark/>
          </w:tcPr>
          <w:p w14:paraId="0F204DBB" w14:textId="77777777" w:rsidR="00200B99" w:rsidRPr="00A209D9" w:rsidRDefault="00200B99" w:rsidP="00A209D9">
            <w:pPr>
              <w:pStyle w:val="TableParagraph"/>
              <w:ind w:left="133" w:right="187"/>
              <w:rPr>
                <w:lang w:val="da-DK"/>
              </w:rPr>
            </w:pPr>
            <w:r w:rsidRPr="00A209D9">
              <w:rPr>
                <w:lang w:val="da-DK"/>
              </w:rPr>
              <w:t>Akut intervention er indiceret. Seponer lenvatinib, og påbegynd passende medicinsk behandling.</w:t>
            </w:r>
          </w:p>
        </w:tc>
      </w:tr>
    </w:tbl>
    <w:p w14:paraId="2EDB6B9B" w14:textId="77777777" w:rsidR="00200B99" w:rsidRPr="000C059E" w:rsidRDefault="00200B99" w:rsidP="00200B99">
      <w:pPr>
        <w:pStyle w:val="Brdtekst"/>
        <w:rPr>
          <w:sz w:val="24"/>
          <w:szCs w:val="24"/>
          <w:u w:val="single"/>
          <w:lang w:val="da-DK"/>
        </w:rPr>
      </w:pPr>
    </w:p>
    <w:p w14:paraId="32BBDD0B" w14:textId="77777777" w:rsidR="00200B99" w:rsidRPr="00A209D9" w:rsidRDefault="00200B99" w:rsidP="00773EAE">
      <w:pPr>
        <w:ind w:left="851"/>
        <w:rPr>
          <w:sz w:val="24"/>
          <w:szCs w:val="24"/>
          <w:u w:val="single"/>
        </w:rPr>
      </w:pPr>
      <w:r w:rsidRPr="00A209D9">
        <w:rPr>
          <w:sz w:val="24"/>
          <w:szCs w:val="24"/>
          <w:u w:val="single"/>
        </w:rPr>
        <w:t>Aneurismer og arterielle dissektioner</w:t>
      </w:r>
    </w:p>
    <w:p w14:paraId="6C1BD0A0" w14:textId="77777777" w:rsidR="00200B99" w:rsidRPr="000C059E" w:rsidRDefault="00200B99" w:rsidP="00773EAE">
      <w:pPr>
        <w:ind w:left="851"/>
        <w:rPr>
          <w:sz w:val="24"/>
          <w:szCs w:val="24"/>
        </w:rPr>
      </w:pPr>
    </w:p>
    <w:p w14:paraId="021F7DF8" w14:textId="77777777" w:rsidR="00200B99" w:rsidRPr="000C059E" w:rsidRDefault="00200B99" w:rsidP="00773EAE">
      <w:pPr>
        <w:ind w:left="851"/>
        <w:rPr>
          <w:sz w:val="24"/>
          <w:szCs w:val="24"/>
        </w:rPr>
      </w:pPr>
      <w:r w:rsidRPr="000C059E">
        <w:rPr>
          <w:sz w:val="24"/>
          <w:szCs w:val="24"/>
        </w:rPr>
        <w:t>Brug af VEGF-hæmmere hos patienter med eller uden hypertension kan fremme dannelse af aneurismer og/eller arterielle dissektioner. Inden indledning af behandling med lenvatinib bør denne risiko overvejes nøje for patienter med risikofaktorer såsom hypertension eller tidligere aneurisme.</w:t>
      </w:r>
    </w:p>
    <w:p w14:paraId="0D303FAE" w14:textId="77777777" w:rsidR="00200B99" w:rsidRPr="000C059E" w:rsidRDefault="00200B99" w:rsidP="00773EAE">
      <w:pPr>
        <w:ind w:left="851"/>
        <w:rPr>
          <w:sz w:val="24"/>
          <w:szCs w:val="24"/>
        </w:rPr>
      </w:pPr>
    </w:p>
    <w:p w14:paraId="0F07AC9D" w14:textId="77777777" w:rsidR="00200B99" w:rsidRPr="00A209D9" w:rsidRDefault="00200B99" w:rsidP="00773EAE">
      <w:pPr>
        <w:ind w:left="851"/>
        <w:rPr>
          <w:sz w:val="24"/>
          <w:szCs w:val="24"/>
          <w:u w:val="single"/>
        </w:rPr>
      </w:pPr>
      <w:r w:rsidRPr="00A209D9">
        <w:rPr>
          <w:sz w:val="24"/>
          <w:szCs w:val="24"/>
          <w:u w:val="single"/>
        </w:rPr>
        <w:t>Proteinuri</w:t>
      </w:r>
    </w:p>
    <w:p w14:paraId="3475C88F" w14:textId="77777777" w:rsidR="00200B99" w:rsidRPr="000C059E" w:rsidRDefault="00200B99" w:rsidP="00773EAE">
      <w:pPr>
        <w:ind w:left="851"/>
        <w:rPr>
          <w:sz w:val="24"/>
          <w:szCs w:val="24"/>
        </w:rPr>
      </w:pPr>
    </w:p>
    <w:p w14:paraId="259BF61F" w14:textId="77777777" w:rsidR="00200B99" w:rsidRPr="000C059E" w:rsidRDefault="00200B99" w:rsidP="00773EAE">
      <w:pPr>
        <w:ind w:left="851"/>
        <w:rPr>
          <w:sz w:val="24"/>
          <w:szCs w:val="24"/>
        </w:rPr>
      </w:pPr>
      <w:r w:rsidRPr="000C059E">
        <w:rPr>
          <w:sz w:val="24"/>
          <w:szCs w:val="24"/>
        </w:rPr>
        <w:t>Der er blevet rapporteret om proteinuri hos patienter i behandling med lenvatinib, hvilket sædvanligvis opstod tidligt i behandlingsforløbet (se pkt. 4.8). Urinprotein bør overvåges regelmæssigt. Hvis proteinuri ≥ 2+ detekteres med urinstix, kan det være nødvendigt med dosisafbrydelser, dosisjusteringer eller seponering (se pkt. 4.2). Der er blevet rapporteret om tilfælde af nefrotisk syndrom hos patienter, som fik lenvatinib. Lenvatinib bør seponeres i tilfælde af nefrotisk syndrom.</w:t>
      </w:r>
    </w:p>
    <w:p w14:paraId="6B3DCF20" w14:textId="77777777" w:rsidR="00200B99" w:rsidRPr="000C059E" w:rsidRDefault="00200B99" w:rsidP="00773EAE">
      <w:pPr>
        <w:ind w:left="851"/>
        <w:rPr>
          <w:sz w:val="24"/>
          <w:szCs w:val="24"/>
        </w:rPr>
      </w:pPr>
    </w:p>
    <w:p w14:paraId="3D3FE83D" w14:textId="77777777" w:rsidR="00200B99" w:rsidRPr="00A209D9" w:rsidRDefault="00200B99" w:rsidP="00773EAE">
      <w:pPr>
        <w:ind w:left="851"/>
        <w:rPr>
          <w:sz w:val="24"/>
          <w:szCs w:val="24"/>
          <w:u w:val="single"/>
        </w:rPr>
      </w:pPr>
      <w:r w:rsidRPr="00A209D9">
        <w:rPr>
          <w:sz w:val="24"/>
          <w:szCs w:val="24"/>
          <w:u w:val="single"/>
        </w:rPr>
        <w:t>Hepatotoksicitet</w:t>
      </w:r>
    </w:p>
    <w:p w14:paraId="57BD33B7" w14:textId="77777777" w:rsidR="00200B99" w:rsidRPr="000C059E" w:rsidRDefault="00200B99" w:rsidP="00773EAE">
      <w:pPr>
        <w:ind w:left="851"/>
        <w:rPr>
          <w:sz w:val="24"/>
          <w:szCs w:val="24"/>
        </w:rPr>
      </w:pPr>
    </w:p>
    <w:p w14:paraId="1075DF3B" w14:textId="77777777" w:rsidR="00200B99" w:rsidRPr="000C059E" w:rsidRDefault="00200B99" w:rsidP="00773EAE">
      <w:pPr>
        <w:ind w:left="851"/>
        <w:rPr>
          <w:sz w:val="24"/>
          <w:szCs w:val="24"/>
        </w:rPr>
      </w:pPr>
      <w:r w:rsidRPr="000C059E">
        <w:rPr>
          <w:sz w:val="24"/>
          <w:szCs w:val="24"/>
        </w:rPr>
        <w:t>Ved DTC omfattede de mest almindeligt rapporterede leverrelaterede bivirkninger hos patienter i behandling med lenvatinib forhøjelser i niveauet af alaninaminotransferase (ALAT), aspartataminotransferase (ASAT) og bilirubin i blodet. Der er blevet rapporteret om leversvigt og akut hepatitis (&lt; 1%, se pkt. 4.8) hos patienter med DTC i behandling med lenvatinib. Tilfældene med leversvigt blev generelt rapporteret hos patienter med progressive levermetastaser.</w:t>
      </w:r>
    </w:p>
    <w:p w14:paraId="1501958E" w14:textId="77777777" w:rsidR="00200B99" w:rsidRPr="000C059E" w:rsidRDefault="00200B99" w:rsidP="00773EAE">
      <w:pPr>
        <w:ind w:left="851"/>
        <w:rPr>
          <w:sz w:val="24"/>
          <w:szCs w:val="24"/>
        </w:rPr>
      </w:pPr>
    </w:p>
    <w:p w14:paraId="78D3281F" w14:textId="24700CE5" w:rsidR="00200B99" w:rsidRPr="000C059E" w:rsidRDefault="00200B99" w:rsidP="00773EAE">
      <w:pPr>
        <w:ind w:left="851"/>
        <w:rPr>
          <w:sz w:val="24"/>
          <w:szCs w:val="24"/>
        </w:rPr>
      </w:pPr>
      <w:r w:rsidRPr="000C059E">
        <w:rPr>
          <w:sz w:val="24"/>
          <w:szCs w:val="24"/>
        </w:rPr>
        <w:t xml:space="preserve">Hos HCC-patienter, der blev behandlet med lenvatinib i REFLECT-undersøgelsen, blev lever-relaterede bivirkninger inklusive hepatisk encefalopati og nedsat leverfunktion (herunder dødelige tilfælde) rapporteret med en højere frekvens (se pkt. 4.8) sammenlignet med patienter i behandling med sorafenib. Patienter med alvorligst nedsat leverfunktion og/eller større tumorbyrde i leveren ved </w:t>
      </w:r>
      <w:r w:rsidRPr="000C059E">
        <w:rPr>
          <w:i/>
          <w:iCs/>
          <w:sz w:val="24"/>
          <w:szCs w:val="24"/>
        </w:rPr>
        <w:t>baseline</w:t>
      </w:r>
      <w:r w:rsidRPr="000C059E">
        <w:rPr>
          <w:sz w:val="24"/>
          <w:szCs w:val="24"/>
        </w:rPr>
        <w:t xml:space="preserve"> havde en større risiko for at udvikle hepatisk encefalopati og nedsat leverfunktion. Hepatisk encefalopati forekom også oftere hos patienter på 75 år og derover. Omtrent halvdelen af hændelserne med nedsat leverfunktion og en tredjedel af hændelserne med hepatisk encefalopati blev rapporteret hos patienter med sygdomsprogression.</w:t>
      </w:r>
    </w:p>
    <w:p w14:paraId="57B72EA9" w14:textId="77777777" w:rsidR="00200B99" w:rsidRPr="000C059E" w:rsidRDefault="00200B99" w:rsidP="00773EAE">
      <w:pPr>
        <w:ind w:left="851"/>
        <w:rPr>
          <w:sz w:val="24"/>
          <w:szCs w:val="24"/>
        </w:rPr>
      </w:pPr>
    </w:p>
    <w:p w14:paraId="2985FDE9" w14:textId="79AB83CE" w:rsidR="00200B99" w:rsidRPr="000C059E" w:rsidRDefault="00200B99" w:rsidP="00773EAE">
      <w:pPr>
        <w:ind w:left="851"/>
        <w:rPr>
          <w:sz w:val="24"/>
          <w:szCs w:val="24"/>
        </w:rPr>
      </w:pPr>
      <w:r w:rsidRPr="000C059E">
        <w:rPr>
          <w:sz w:val="24"/>
          <w:szCs w:val="24"/>
        </w:rPr>
        <w:t>Data hos HCC-patienter med moderat nedsat leverfunktion (Child-Pugh B) er meget begrænsede, og der foreligger aktuelt ingen data vedrørende HCC-patienter med svært nedsat leverfunktion (Child-Pugh C). Da lenvatinib hovedsageligt elimineres ved hepatisk metabolisme, kan en stigning i eksponering hos patienter med moderat til svært nedsat leverfunktion forventes.</w:t>
      </w:r>
    </w:p>
    <w:p w14:paraId="146A986F" w14:textId="77777777" w:rsidR="00200B99" w:rsidRPr="000C059E" w:rsidRDefault="00200B99" w:rsidP="00773EAE">
      <w:pPr>
        <w:ind w:left="851"/>
        <w:rPr>
          <w:sz w:val="24"/>
          <w:szCs w:val="24"/>
        </w:rPr>
      </w:pPr>
    </w:p>
    <w:p w14:paraId="5866840F" w14:textId="77777777" w:rsidR="00200B99" w:rsidRPr="000C059E" w:rsidRDefault="00200B99" w:rsidP="00773EAE">
      <w:pPr>
        <w:ind w:left="851"/>
        <w:rPr>
          <w:sz w:val="24"/>
          <w:szCs w:val="24"/>
        </w:rPr>
      </w:pPr>
      <w:r w:rsidRPr="000C059E">
        <w:rPr>
          <w:sz w:val="24"/>
          <w:szCs w:val="24"/>
        </w:rPr>
        <w:t>Hos patienter med EC i behandling med lenvatinib og pembrolizumab var forhøjelser i niveauet af alaninaminotransferase (ALAT) og aspartataminotransferase (ASAT) de mest almindeligt rapporterede leverrelaterede bivirkninger. Der er blevet rapporteret om leversvigt og hepatitis (&lt; 1 %, se pkt. 4.8) hos patienter med EC i behandling med lenvatinib og pembrolizumab.</w:t>
      </w:r>
    </w:p>
    <w:p w14:paraId="6FE513F4" w14:textId="77777777" w:rsidR="00200B99" w:rsidRPr="000C059E" w:rsidRDefault="00200B99" w:rsidP="00773EAE">
      <w:pPr>
        <w:ind w:left="851"/>
        <w:rPr>
          <w:sz w:val="24"/>
          <w:szCs w:val="24"/>
        </w:rPr>
      </w:pPr>
    </w:p>
    <w:p w14:paraId="423B760B" w14:textId="77777777" w:rsidR="00200B99" w:rsidRPr="000C059E" w:rsidRDefault="00200B99" w:rsidP="00773EAE">
      <w:pPr>
        <w:ind w:left="851"/>
        <w:rPr>
          <w:sz w:val="24"/>
          <w:szCs w:val="24"/>
        </w:rPr>
      </w:pPr>
      <w:r w:rsidRPr="000C059E">
        <w:rPr>
          <w:sz w:val="24"/>
          <w:szCs w:val="24"/>
        </w:rPr>
        <w:t>Det anbefales at overvåge den overordnede sikkerhed hos patienter med let til moderat nedsat leverfunktion nøje (se pkt. 4.2 og pkt. 5.2). Der bør tages leverfunktionsprøver før behandlingen indledes, dernæst hver 2. uge i løbet af de første 2 måneder og derefter månedligt i løbet af behandlingen). Patienter med HCC skal monitoreres for forværring af leverfunktion inklusive hepatisk encefalopati. I tilfælde af hepatotoksicitet kan det være nødvendigt med dosisafbrydelser, dosisjusteringer eller seponering (se pkt. 4.2).</w:t>
      </w:r>
    </w:p>
    <w:p w14:paraId="7E2C6E51" w14:textId="77777777" w:rsidR="00200B99" w:rsidRPr="000C059E" w:rsidRDefault="00200B99" w:rsidP="00773EAE">
      <w:pPr>
        <w:ind w:left="851"/>
        <w:rPr>
          <w:sz w:val="24"/>
          <w:szCs w:val="24"/>
        </w:rPr>
      </w:pPr>
    </w:p>
    <w:p w14:paraId="09910FF7" w14:textId="77777777" w:rsidR="00200B99" w:rsidRPr="00A209D9" w:rsidRDefault="00200B99" w:rsidP="00773EAE">
      <w:pPr>
        <w:ind w:left="851"/>
        <w:rPr>
          <w:sz w:val="24"/>
          <w:szCs w:val="24"/>
          <w:u w:val="single"/>
        </w:rPr>
      </w:pPr>
      <w:r w:rsidRPr="00A209D9">
        <w:rPr>
          <w:sz w:val="24"/>
          <w:szCs w:val="24"/>
          <w:u w:val="single"/>
        </w:rPr>
        <w:t>Nyresvigt og nedsat nyrefunktion</w:t>
      </w:r>
    </w:p>
    <w:p w14:paraId="1D1E37FF" w14:textId="77777777" w:rsidR="00200B99" w:rsidRPr="000C059E" w:rsidRDefault="00200B99" w:rsidP="00773EAE">
      <w:pPr>
        <w:ind w:left="851"/>
        <w:rPr>
          <w:sz w:val="24"/>
          <w:szCs w:val="24"/>
        </w:rPr>
      </w:pPr>
    </w:p>
    <w:p w14:paraId="2B56ED22" w14:textId="77777777" w:rsidR="00200B99" w:rsidRPr="000C059E" w:rsidRDefault="00200B99" w:rsidP="00773EAE">
      <w:pPr>
        <w:ind w:left="851"/>
        <w:rPr>
          <w:sz w:val="24"/>
          <w:szCs w:val="24"/>
        </w:rPr>
      </w:pPr>
      <w:r w:rsidRPr="000C059E">
        <w:rPr>
          <w:sz w:val="24"/>
          <w:szCs w:val="24"/>
        </w:rPr>
        <w:t>Nedsat nyrefunktion og nyresvigt er blevet rapporteret hos patienter i behandling med lenvatinib (se pkt. 4.8). Den primære identificerede risikofaktor var dehydrering og/eller hypovolæmi, der skyldes mave-tarm-toksicitet. Mave-tarm-toksicitet bør behandles aktivt for at reducere risikoen for udvikling af nedsat nyrefunktion eller nyresvigt. Dosisafbrydelser, dosisjusteringer eller seponering kan være nødvendig (se pkt. 4.2).</w:t>
      </w:r>
    </w:p>
    <w:p w14:paraId="40D3ED5F" w14:textId="77777777" w:rsidR="00200B99" w:rsidRPr="000C059E" w:rsidRDefault="00200B99" w:rsidP="00773EAE">
      <w:pPr>
        <w:ind w:left="851"/>
        <w:rPr>
          <w:sz w:val="24"/>
          <w:szCs w:val="24"/>
        </w:rPr>
      </w:pPr>
    </w:p>
    <w:p w14:paraId="1D461BF2" w14:textId="77777777" w:rsidR="00200B99" w:rsidRPr="000C059E" w:rsidRDefault="00200B99" w:rsidP="00773EAE">
      <w:pPr>
        <w:ind w:left="851"/>
        <w:rPr>
          <w:sz w:val="24"/>
          <w:szCs w:val="24"/>
        </w:rPr>
      </w:pPr>
      <w:r w:rsidRPr="000C059E">
        <w:rPr>
          <w:sz w:val="24"/>
          <w:szCs w:val="24"/>
        </w:rPr>
        <w:t>Hvis patienterne har svært nedsat nyrefunktion, bør den indledende dosis af lenvatinib justeres (se pkt. 4.2 og 5.2).</w:t>
      </w:r>
    </w:p>
    <w:p w14:paraId="25AAE2DD" w14:textId="77777777" w:rsidR="00200B99" w:rsidRPr="000C059E" w:rsidRDefault="00200B99" w:rsidP="00773EAE">
      <w:pPr>
        <w:ind w:left="851"/>
        <w:rPr>
          <w:sz w:val="24"/>
          <w:szCs w:val="24"/>
        </w:rPr>
      </w:pPr>
    </w:p>
    <w:p w14:paraId="27CE0ADC" w14:textId="77777777" w:rsidR="00200B99" w:rsidRPr="00A209D9" w:rsidRDefault="00200B99" w:rsidP="00773EAE">
      <w:pPr>
        <w:ind w:left="851"/>
        <w:rPr>
          <w:sz w:val="24"/>
          <w:szCs w:val="24"/>
          <w:u w:val="single"/>
        </w:rPr>
      </w:pPr>
      <w:r w:rsidRPr="00A209D9">
        <w:rPr>
          <w:sz w:val="24"/>
          <w:szCs w:val="24"/>
          <w:u w:val="single"/>
        </w:rPr>
        <w:t>Diarré</w:t>
      </w:r>
    </w:p>
    <w:p w14:paraId="268353D8" w14:textId="77777777" w:rsidR="00200B99" w:rsidRPr="000C059E" w:rsidRDefault="00200B99" w:rsidP="00773EAE">
      <w:pPr>
        <w:ind w:left="851"/>
        <w:rPr>
          <w:sz w:val="24"/>
          <w:szCs w:val="24"/>
        </w:rPr>
      </w:pPr>
    </w:p>
    <w:p w14:paraId="1734489B" w14:textId="77777777" w:rsidR="00200B99" w:rsidRPr="000C059E" w:rsidRDefault="00200B99" w:rsidP="00773EAE">
      <w:pPr>
        <w:ind w:left="851"/>
        <w:rPr>
          <w:sz w:val="24"/>
          <w:szCs w:val="24"/>
        </w:rPr>
      </w:pPr>
      <w:r w:rsidRPr="000C059E">
        <w:rPr>
          <w:sz w:val="24"/>
          <w:szCs w:val="24"/>
        </w:rPr>
        <w:t>Diarré er blevet rapporteret hyppigt hos patienter i behandling med lenvatinib, sædvanligvis tidligt i behandlingsforløbet (se pkt. 4.8). Medicinsk behandling af diarré skal omgående iværksættes for at undgå dehydrering. Lenvatinib bør seponeres i tilfælde af vedvarende grad 4-diarré trods medicinsk behandling.</w:t>
      </w:r>
    </w:p>
    <w:p w14:paraId="4BD2328E" w14:textId="77777777" w:rsidR="00200B99" w:rsidRPr="000C059E" w:rsidRDefault="00200B99" w:rsidP="00773EAE">
      <w:pPr>
        <w:ind w:left="851"/>
        <w:rPr>
          <w:sz w:val="24"/>
          <w:szCs w:val="24"/>
        </w:rPr>
      </w:pPr>
    </w:p>
    <w:p w14:paraId="59EA6007" w14:textId="77777777" w:rsidR="00200B99" w:rsidRPr="00A209D9" w:rsidRDefault="00200B99" w:rsidP="00773EAE">
      <w:pPr>
        <w:ind w:left="851"/>
        <w:rPr>
          <w:sz w:val="24"/>
          <w:szCs w:val="24"/>
          <w:u w:val="single"/>
        </w:rPr>
      </w:pPr>
      <w:r w:rsidRPr="00A209D9">
        <w:rPr>
          <w:sz w:val="24"/>
          <w:szCs w:val="24"/>
          <w:u w:val="single"/>
        </w:rPr>
        <w:t>Hjertedysfunktion</w:t>
      </w:r>
    </w:p>
    <w:p w14:paraId="0F72E2B5" w14:textId="77777777" w:rsidR="00200B99" w:rsidRPr="000C059E" w:rsidRDefault="00200B99" w:rsidP="00773EAE">
      <w:pPr>
        <w:ind w:left="851"/>
        <w:rPr>
          <w:sz w:val="24"/>
          <w:szCs w:val="24"/>
        </w:rPr>
      </w:pPr>
    </w:p>
    <w:p w14:paraId="456FFE63" w14:textId="77777777" w:rsidR="00200B99" w:rsidRPr="000C059E" w:rsidRDefault="00200B99" w:rsidP="00773EAE">
      <w:pPr>
        <w:ind w:left="851"/>
        <w:rPr>
          <w:sz w:val="24"/>
          <w:szCs w:val="24"/>
        </w:rPr>
      </w:pPr>
      <w:r w:rsidRPr="000C059E">
        <w:rPr>
          <w:sz w:val="24"/>
          <w:szCs w:val="24"/>
        </w:rPr>
        <w:t>Hjertesvigt (&lt; 1 %) og nedsat venstre ventrikulær uddrivningsfraktion er blevet rapporteret hos patienter i behandling med lenvatinib (se pkt. 4.8). Patienterne bør overvåges for kliniske symptomer eller tegn på hjertedekompensation, da det kan være nødvendigt med dosisafbrydelser, dosisjusteringer eller seponering (se pkt. 4.2).</w:t>
      </w:r>
    </w:p>
    <w:p w14:paraId="747F047D" w14:textId="77777777" w:rsidR="00200B99" w:rsidRPr="000C059E" w:rsidRDefault="00200B99" w:rsidP="00773EAE">
      <w:pPr>
        <w:ind w:left="851"/>
        <w:rPr>
          <w:sz w:val="24"/>
          <w:szCs w:val="24"/>
        </w:rPr>
      </w:pPr>
    </w:p>
    <w:p w14:paraId="47DC1829" w14:textId="77777777" w:rsidR="00200B99" w:rsidRPr="00A209D9" w:rsidRDefault="00200B99" w:rsidP="00773EAE">
      <w:pPr>
        <w:ind w:left="851"/>
        <w:rPr>
          <w:sz w:val="24"/>
          <w:szCs w:val="24"/>
          <w:u w:val="single"/>
        </w:rPr>
      </w:pPr>
      <w:r w:rsidRPr="00A209D9">
        <w:rPr>
          <w:sz w:val="24"/>
          <w:szCs w:val="24"/>
          <w:u w:val="single"/>
        </w:rPr>
        <w:t>Posteriort reversibelt encefalopatisyndrom (PRES)/reversibelt posteriort leukoencefalopatisyndrom (RPLS)</w:t>
      </w:r>
    </w:p>
    <w:p w14:paraId="6197B456" w14:textId="77777777" w:rsidR="00200B99" w:rsidRPr="000C059E" w:rsidRDefault="00200B99" w:rsidP="00773EAE">
      <w:pPr>
        <w:ind w:left="851"/>
        <w:rPr>
          <w:sz w:val="24"/>
          <w:szCs w:val="24"/>
        </w:rPr>
      </w:pPr>
    </w:p>
    <w:p w14:paraId="13EE201C" w14:textId="77777777" w:rsidR="00200B99" w:rsidRPr="000C059E" w:rsidRDefault="00200B99" w:rsidP="00773EAE">
      <w:pPr>
        <w:ind w:left="851"/>
        <w:rPr>
          <w:sz w:val="24"/>
          <w:szCs w:val="24"/>
        </w:rPr>
      </w:pPr>
      <w:r w:rsidRPr="000C059E">
        <w:rPr>
          <w:sz w:val="24"/>
          <w:szCs w:val="24"/>
        </w:rPr>
        <w:t>PRES, kaldes også RPLS, er blevet rapporteret hos patienter i behandling med lenvatinib (&lt; 1 %, se pkt. 4.8). PRES er en neurologisk sygdom, der kan vise sig som hovedpine, krampeanfald, letargi, konfusion, ændret psykisk funktion, blindhed og andre visuelle eller neurologiske forstyrrelser. Let til svær hypertension kan være til stede. MR-scanning er nødvendig for at bekræfte diagnosen PRES. Passende forholdsregler bør tages for at kontrollere blodtrykket (se pkt. 4.4). Hos patienter med tegn eller symptomer på PRES kan det være nødvendigt med dosisafbrydelser, dosisjusteringer eller seponering (se pkt. 4.2).</w:t>
      </w:r>
    </w:p>
    <w:p w14:paraId="315295FC" w14:textId="77777777" w:rsidR="00200B99" w:rsidRPr="000C059E" w:rsidRDefault="00200B99" w:rsidP="00773EAE">
      <w:pPr>
        <w:ind w:left="851"/>
        <w:rPr>
          <w:sz w:val="24"/>
          <w:szCs w:val="24"/>
        </w:rPr>
      </w:pPr>
    </w:p>
    <w:p w14:paraId="4850A6C9" w14:textId="77777777" w:rsidR="00200B99" w:rsidRPr="00A209D9" w:rsidRDefault="00200B99" w:rsidP="00773EAE">
      <w:pPr>
        <w:ind w:left="851"/>
        <w:rPr>
          <w:sz w:val="24"/>
          <w:szCs w:val="24"/>
          <w:u w:val="single"/>
        </w:rPr>
      </w:pPr>
      <w:r w:rsidRPr="00A209D9">
        <w:rPr>
          <w:sz w:val="24"/>
          <w:szCs w:val="24"/>
          <w:u w:val="single"/>
        </w:rPr>
        <w:t>Arterielle tromboembolier</w:t>
      </w:r>
    </w:p>
    <w:p w14:paraId="591B3660" w14:textId="77777777" w:rsidR="00200B99" w:rsidRPr="000C059E" w:rsidRDefault="00200B99" w:rsidP="00773EAE">
      <w:pPr>
        <w:ind w:left="851"/>
        <w:rPr>
          <w:sz w:val="24"/>
          <w:szCs w:val="24"/>
        </w:rPr>
      </w:pPr>
    </w:p>
    <w:p w14:paraId="0401D40D" w14:textId="77777777" w:rsidR="00200B99" w:rsidRPr="000C059E" w:rsidRDefault="00200B99" w:rsidP="00773EAE">
      <w:pPr>
        <w:ind w:left="851"/>
        <w:rPr>
          <w:sz w:val="24"/>
          <w:szCs w:val="24"/>
        </w:rPr>
      </w:pPr>
      <w:r w:rsidRPr="000C059E">
        <w:rPr>
          <w:sz w:val="24"/>
          <w:szCs w:val="24"/>
        </w:rPr>
        <w:t>Arteriel tromboemboli (cerebrovaskulært anfald, transitorisk iskæmisk anfald og myokardieinfarkt) er blevet rapporteret hos patienter i behandling med lenvatinib (se pkt. 4.8). Lenvatinib er ikke blevet undersøgt hos patienter, som har haft en arteriel tromboemboli inden for de seneste 6 måneder og bør derfor anvendes med forsigtighed hos sådanne patienter. Der bør tages en beslutning om behandlingen efter en vurdering af den enkelte patients benefit/risk-forhold. Lenvatinib bør seponeres efter en arteriel trombotisk hændelse.</w:t>
      </w:r>
    </w:p>
    <w:p w14:paraId="55309BA9" w14:textId="77777777" w:rsidR="00200B99" w:rsidRPr="000C059E" w:rsidRDefault="00200B99" w:rsidP="00773EAE">
      <w:pPr>
        <w:ind w:left="851"/>
        <w:rPr>
          <w:sz w:val="24"/>
          <w:szCs w:val="24"/>
        </w:rPr>
      </w:pPr>
    </w:p>
    <w:p w14:paraId="44D0914A" w14:textId="77777777" w:rsidR="00200B99" w:rsidRPr="00A209D9" w:rsidRDefault="00200B99" w:rsidP="00773EAE">
      <w:pPr>
        <w:ind w:left="851"/>
        <w:rPr>
          <w:sz w:val="24"/>
          <w:szCs w:val="24"/>
          <w:u w:val="single"/>
        </w:rPr>
      </w:pPr>
      <w:r w:rsidRPr="00A209D9">
        <w:rPr>
          <w:sz w:val="24"/>
          <w:szCs w:val="24"/>
          <w:u w:val="single"/>
        </w:rPr>
        <w:t>Fertile kvinder</w:t>
      </w:r>
    </w:p>
    <w:p w14:paraId="10629722" w14:textId="77777777" w:rsidR="00200B99" w:rsidRPr="000C059E" w:rsidRDefault="00200B99" w:rsidP="00773EAE">
      <w:pPr>
        <w:ind w:left="851"/>
        <w:rPr>
          <w:sz w:val="24"/>
          <w:szCs w:val="24"/>
        </w:rPr>
      </w:pPr>
    </w:p>
    <w:p w14:paraId="314C9F43" w14:textId="77777777" w:rsidR="00200B99" w:rsidRPr="000C059E" w:rsidRDefault="00200B99" w:rsidP="00773EAE">
      <w:pPr>
        <w:ind w:left="851"/>
        <w:rPr>
          <w:sz w:val="24"/>
          <w:szCs w:val="24"/>
        </w:rPr>
      </w:pPr>
      <w:r w:rsidRPr="000C059E">
        <w:rPr>
          <w:sz w:val="24"/>
          <w:szCs w:val="24"/>
        </w:rPr>
        <w:t>Fertile kvinder skal anvende meget sikker kontraception, mens de tager lenvatinib og i 1 måned efter behandlingsophør (se pkt. 4.6). Det er på nuværende tidspunkt ukendt, om lenvatinib øger risikoen for tromboemboliske hændelser, når det kombineres med oral kontraception.</w:t>
      </w:r>
    </w:p>
    <w:p w14:paraId="638691BF" w14:textId="77777777" w:rsidR="00200B99" w:rsidRPr="000C059E" w:rsidRDefault="00200B99" w:rsidP="00773EAE">
      <w:pPr>
        <w:ind w:left="851"/>
        <w:rPr>
          <w:sz w:val="24"/>
          <w:szCs w:val="24"/>
        </w:rPr>
      </w:pPr>
    </w:p>
    <w:p w14:paraId="3C92465F" w14:textId="77777777" w:rsidR="00200B99" w:rsidRPr="00A209D9" w:rsidRDefault="00200B99" w:rsidP="00773EAE">
      <w:pPr>
        <w:ind w:left="851"/>
        <w:rPr>
          <w:sz w:val="24"/>
          <w:szCs w:val="24"/>
          <w:u w:val="single"/>
        </w:rPr>
      </w:pPr>
      <w:r w:rsidRPr="00A209D9">
        <w:rPr>
          <w:sz w:val="24"/>
          <w:szCs w:val="24"/>
          <w:u w:val="single"/>
        </w:rPr>
        <w:t>Blødning</w:t>
      </w:r>
    </w:p>
    <w:p w14:paraId="52A27943" w14:textId="77777777" w:rsidR="00200B99" w:rsidRPr="000C059E" w:rsidRDefault="00200B99" w:rsidP="00773EAE">
      <w:pPr>
        <w:ind w:left="851"/>
        <w:rPr>
          <w:sz w:val="24"/>
          <w:szCs w:val="24"/>
        </w:rPr>
      </w:pPr>
    </w:p>
    <w:p w14:paraId="3E12D582" w14:textId="77777777" w:rsidR="00200B99" w:rsidRPr="000C059E" w:rsidRDefault="00200B99" w:rsidP="00773EAE">
      <w:pPr>
        <w:ind w:left="851"/>
        <w:rPr>
          <w:sz w:val="24"/>
          <w:szCs w:val="24"/>
        </w:rPr>
      </w:pPr>
      <w:r w:rsidRPr="000C059E">
        <w:rPr>
          <w:sz w:val="24"/>
          <w:szCs w:val="24"/>
        </w:rPr>
        <w:t>Alvorlige tumorrelaterede blødninger, herunder dødelige blødningshændelser, er forekommet i kliniske studier og er blevet rapporteret efter markedsføring (se pkt. 4.8). Ved overvågning efter markedsføring blev der hyppigere observeret alvorlige og dødelige karotidarterie-blødninger hos patienter med anaplastisk thyreoideakarcinom (ATC) end med DTC eller andre tumortyper. Graden af tumorinvasion/infiltration af større blodkar (f.eks. karotidarterien) bør tages i betragtning på grund af den mulige risiko for svær blødning forbundet med tumorsvind/-nekrose efter behandling med lenvatinib. Nogle tilfælde af blødning er opstået sekundært til tumorsvind og fisteldannelse, f.eks. trakeoøsofageale fistler. Tilfælde af dødelig intrakranial blødning er blevet rapporteret hos nogle patienter med eller uden hjernemetastaser. Blødning andre steder end hjernen (f.eks. trakealt, intraabdominalt, i lunge) er også blevet rapporteret. Et letalt tilfælde af hepatisk tumorblødning hos en patient med HCC er rapporteret.</w:t>
      </w:r>
    </w:p>
    <w:p w14:paraId="7395B1B8" w14:textId="77777777" w:rsidR="00200B99" w:rsidRPr="000C059E" w:rsidRDefault="00200B99" w:rsidP="00773EAE">
      <w:pPr>
        <w:ind w:left="851"/>
        <w:rPr>
          <w:sz w:val="24"/>
          <w:szCs w:val="24"/>
        </w:rPr>
      </w:pPr>
    </w:p>
    <w:p w14:paraId="50CFC359" w14:textId="77777777" w:rsidR="00200B99" w:rsidRPr="000C059E" w:rsidRDefault="00200B99" w:rsidP="00773EAE">
      <w:pPr>
        <w:ind w:left="851"/>
        <w:rPr>
          <w:sz w:val="24"/>
          <w:szCs w:val="24"/>
        </w:rPr>
      </w:pPr>
      <w:r w:rsidRPr="000C059E">
        <w:rPr>
          <w:sz w:val="24"/>
          <w:szCs w:val="24"/>
        </w:rPr>
        <w:t>Screening for og efterfølgende behandling af øsofageale åreknuder hos patienter med levercirrose skal udføres som standardbehandling, før der indledes behandling med lenvatinib.</w:t>
      </w:r>
    </w:p>
    <w:p w14:paraId="4D860F90" w14:textId="77777777" w:rsidR="00200B99" w:rsidRPr="000C059E" w:rsidRDefault="00200B99" w:rsidP="00773EAE">
      <w:pPr>
        <w:ind w:left="851"/>
        <w:rPr>
          <w:sz w:val="24"/>
          <w:szCs w:val="24"/>
        </w:rPr>
      </w:pPr>
    </w:p>
    <w:p w14:paraId="2B0FE62C" w14:textId="77777777" w:rsidR="00200B99" w:rsidRPr="000C059E" w:rsidRDefault="00200B99" w:rsidP="00773EAE">
      <w:pPr>
        <w:ind w:left="851"/>
        <w:rPr>
          <w:sz w:val="24"/>
          <w:szCs w:val="24"/>
        </w:rPr>
      </w:pPr>
      <w:r w:rsidRPr="000C059E">
        <w:rPr>
          <w:sz w:val="24"/>
          <w:szCs w:val="24"/>
        </w:rPr>
        <w:t>I tilfælde af blødning kan det være nødvendigt med dosisafbrydelser, dosisjusteringer eller seponering (se pkt. 4.2, tabel 4).</w:t>
      </w:r>
    </w:p>
    <w:p w14:paraId="1BFDFE2D" w14:textId="77777777" w:rsidR="00200B99" w:rsidRPr="000C059E" w:rsidRDefault="00200B99" w:rsidP="00773EAE">
      <w:pPr>
        <w:ind w:left="851"/>
        <w:rPr>
          <w:sz w:val="24"/>
          <w:szCs w:val="24"/>
        </w:rPr>
      </w:pPr>
    </w:p>
    <w:p w14:paraId="7A0CD62B" w14:textId="77777777" w:rsidR="00200B99" w:rsidRPr="00A209D9" w:rsidRDefault="00200B99" w:rsidP="00773EAE">
      <w:pPr>
        <w:ind w:left="851"/>
        <w:rPr>
          <w:sz w:val="24"/>
          <w:szCs w:val="24"/>
          <w:u w:val="single"/>
        </w:rPr>
      </w:pPr>
      <w:r w:rsidRPr="00A209D9">
        <w:rPr>
          <w:sz w:val="24"/>
          <w:szCs w:val="24"/>
          <w:u w:val="single"/>
        </w:rPr>
        <w:t>Mave-tarm-perforation og fisteldannelse</w:t>
      </w:r>
    </w:p>
    <w:p w14:paraId="598116F2" w14:textId="77777777" w:rsidR="00200B99" w:rsidRPr="000C059E" w:rsidRDefault="00200B99" w:rsidP="00773EAE">
      <w:pPr>
        <w:ind w:left="851"/>
        <w:rPr>
          <w:sz w:val="24"/>
          <w:szCs w:val="24"/>
        </w:rPr>
      </w:pPr>
    </w:p>
    <w:p w14:paraId="485A2E56" w14:textId="77777777" w:rsidR="00200B99" w:rsidRPr="000C059E" w:rsidRDefault="00200B99" w:rsidP="00773EAE">
      <w:pPr>
        <w:ind w:left="851"/>
        <w:rPr>
          <w:sz w:val="24"/>
          <w:szCs w:val="24"/>
        </w:rPr>
      </w:pPr>
      <w:r w:rsidRPr="000C059E">
        <w:rPr>
          <w:sz w:val="24"/>
          <w:szCs w:val="24"/>
        </w:rPr>
        <w:t>Mave-tarm-perforation eller fistel er blevet rapporteret hos patienter i behandling med lenvatinib (se pkt. 4.8). I de fleste tilfælde opstod mave-tarm-perforation og fistel hos patienter med risikofaktorer, såsom tidligere kirurgi eller strålebehandling. I tilfælde af mave-tarm-perforation eller fistel kan det være nødvendigt med dosisafbrydelser, dosisjusteringer eller seponering (se pkt. 4.2).</w:t>
      </w:r>
    </w:p>
    <w:p w14:paraId="46B06CB6" w14:textId="77777777" w:rsidR="00200B99" w:rsidRPr="000C059E" w:rsidRDefault="00200B99" w:rsidP="00773EAE">
      <w:pPr>
        <w:ind w:left="851"/>
        <w:rPr>
          <w:sz w:val="24"/>
          <w:szCs w:val="24"/>
        </w:rPr>
      </w:pPr>
    </w:p>
    <w:p w14:paraId="7947694A" w14:textId="77777777" w:rsidR="00200B99" w:rsidRPr="00A209D9" w:rsidRDefault="00200B99" w:rsidP="00773EAE">
      <w:pPr>
        <w:ind w:left="851"/>
        <w:rPr>
          <w:sz w:val="24"/>
          <w:szCs w:val="24"/>
          <w:u w:val="single"/>
        </w:rPr>
      </w:pPr>
      <w:r w:rsidRPr="00A209D9">
        <w:rPr>
          <w:sz w:val="24"/>
          <w:szCs w:val="24"/>
          <w:u w:val="single"/>
        </w:rPr>
        <w:t>Fistel uden for mave-tarm-kanalen</w:t>
      </w:r>
    </w:p>
    <w:p w14:paraId="439F40A8" w14:textId="77777777" w:rsidR="00200B99" w:rsidRPr="000C059E" w:rsidRDefault="00200B99" w:rsidP="00773EAE">
      <w:pPr>
        <w:ind w:left="851"/>
        <w:rPr>
          <w:sz w:val="24"/>
          <w:szCs w:val="24"/>
        </w:rPr>
      </w:pPr>
    </w:p>
    <w:p w14:paraId="4F8041C6" w14:textId="77777777" w:rsidR="00200B99" w:rsidRPr="000C059E" w:rsidRDefault="00200B99" w:rsidP="00773EAE">
      <w:pPr>
        <w:ind w:left="851"/>
        <w:rPr>
          <w:sz w:val="24"/>
          <w:szCs w:val="24"/>
        </w:rPr>
      </w:pPr>
      <w:r w:rsidRPr="000C059E">
        <w:rPr>
          <w:sz w:val="24"/>
          <w:szCs w:val="24"/>
        </w:rPr>
        <w:t>Patienter kan have en øget risiko for udvikling af fistler, når de behandles med lenvatinib. Tilfælde af fisteldannelse eller forstørrelse, der omfatter andre kropsområder end maven eller tarmen, er observeret i kliniske studier og efter markedsføring (f.eks. trakeal, trakeoøsofageal, øsofageal og kutan fistel samt fistel i de kvindelige kønsorganer). Pneumothorax er ligeledes blevet rapporteret med og uden tydelig evidens for en bronkopleural fistel. Nogle rapporter om fistler og pneumothorax opstod i forbindelse med tumorregression eller -nekrose. Tidligere kirurgi og strålebehandling kan være medvirkende risikofaktorer. Lungemetastaser kan også øge risikoen for pneumothorax. Lenvatinib må ikke startes hos patienter med fistel for at undgå forværring, og lenvatinib skal seponeres permanent hos patienter med øsofageal eller trakeobronkial involvering og alle grad 4-fistler (se pkt. 4.2). Der foreligger begrænset information om dosisafbrydelse eller -reduktion til behandling af andre hændelser,</w:t>
      </w:r>
      <w:r w:rsidRPr="000C059E">
        <w:rPr>
          <w:spacing w:val="-3"/>
          <w:sz w:val="24"/>
          <w:szCs w:val="24"/>
        </w:rPr>
        <w:t xml:space="preserve"> </w:t>
      </w:r>
      <w:r w:rsidRPr="000C059E">
        <w:rPr>
          <w:sz w:val="24"/>
          <w:szCs w:val="24"/>
        </w:rPr>
        <w:t>men</w:t>
      </w:r>
      <w:r w:rsidRPr="000C059E">
        <w:rPr>
          <w:spacing w:val="-3"/>
          <w:sz w:val="24"/>
          <w:szCs w:val="24"/>
        </w:rPr>
        <w:t xml:space="preserve"> </w:t>
      </w:r>
      <w:r w:rsidRPr="000C059E">
        <w:rPr>
          <w:sz w:val="24"/>
          <w:szCs w:val="24"/>
        </w:rPr>
        <w:t>der</w:t>
      </w:r>
      <w:r w:rsidRPr="000C059E">
        <w:rPr>
          <w:spacing w:val="-3"/>
          <w:sz w:val="24"/>
          <w:szCs w:val="24"/>
        </w:rPr>
        <w:t xml:space="preserve"> </w:t>
      </w:r>
      <w:r w:rsidRPr="000C059E">
        <w:rPr>
          <w:sz w:val="24"/>
          <w:szCs w:val="24"/>
        </w:rPr>
        <w:t>blev</w:t>
      </w:r>
      <w:r w:rsidRPr="000C059E">
        <w:rPr>
          <w:spacing w:val="-3"/>
          <w:sz w:val="24"/>
          <w:szCs w:val="24"/>
        </w:rPr>
        <w:t xml:space="preserve"> </w:t>
      </w:r>
      <w:r w:rsidRPr="000C059E">
        <w:rPr>
          <w:sz w:val="24"/>
          <w:szCs w:val="24"/>
        </w:rPr>
        <w:t>observeret</w:t>
      </w:r>
      <w:r w:rsidRPr="000C059E">
        <w:rPr>
          <w:spacing w:val="-3"/>
          <w:sz w:val="24"/>
          <w:szCs w:val="24"/>
        </w:rPr>
        <w:t xml:space="preserve"> </w:t>
      </w:r>
      <w:r w:rsidRPr="000C059E">
        <w:rPr>
          <w:sz w:val="24"/>
          <w:szCs w:val="24"/>
        </w:rPr>
        <w:t>en</w:t>
      </w:r>
      <w:r w:rsidRPr="000C059E">
        <w:rPr>
          <w:spacing w:val="-3"/>
          <w:sz w:val="24"/>
          <w:szCs w:val="24"/>
        </w:rPr>
        <w:t xml:space="preserve"> </w:t>
      </w:r>
      <w:r w:rsidRPr="000C059E">
        <w:rPr>
          <w:sz w:val="24"/>
          <w:szCs w:val="24"/>
        </w:rPr>
        <w:t>forværring</w:t>
      </w:r>
      <w:r w:rsidRPr="000C059E">
        <w:rPr>
          <w:spacing w:val="-3"/>
          <w:sz w:val="24"/>
          <w:szCs w:val="24"/>
        </w:rPr>
        <w:t xml:space="preserve"> </w:t>
      </w:r>
      <w:r w:rsidRPr="000C059E">
        <w:rPr>
          <w:sz w:val="24"/>
          <w:szCs w:val="24"/>
        </w:rPr>
        <w:t>i</w:t>
      </w:r>
      <w:r w:rsidRPr="000C059E">
        <w:rPr>
          <w:spacing w:val="-3"/>
          <w:sz w:val="24"/>
          <w:szCs w:val="24"/>
        </w:rPr>
        <w:t xml:space="preserve"> </w:t>
      </w:r>
      <w:r w:rsidRPr="000C059E">
        <w:rPr>
          <w:sz w:val="24"/>
          <w:szCs w:val="24"/>
        </w:rPr>
        <w:t>nogle</w:t>
      </w:r>
      <w:r w:rsidRPr="000C059E">
        <w:rPr>
          <w:spacing w:val="-3"/>
          <w:sz w:val="24"/>
          <w:szCs w:val="24"/>
        </w:rPr>
        <w:t xml:space="preserve"> </w:t>
      </w:r>
      <w:r w:rsidRPr="000C059E">
        <w:rPr>
          <w:sz w:val="24"/>
          <w:szCs w:val="24"/>
        </w:rPr>
        <w:t>tilfælde,</w:t>
      </w:r>
      <w:r w:rsidRPr="000C059E">
        <w:rPr>
          <w:spacing w:val="-3"/>
          <w:sz w:val="24"/>
          <w:szCs w:val="24"/>
        </w:rPr>
        <w:t xml:space="preserve"> </w:t>
      </w:r>
      <w:r w:rsidRPr="000C059E">
        <w:rPr>
          <w:sz w:val="24"/>
          <w:szCs w:val="24"/>
        </w:rPr>
        <w:t>og</w:t>
      </w:r>
      <w:r w:rsidRPr="000C059E">
        <w:rPr>
          <w:spacing w:val="-2"/>
          <w:sz w:val="24"/>
          <w:szCs w:val="24"/>
        </w:rPr>
        <w:t xml:space="preserve"> </w:t>
      </w:r>
      <w:r w:rsidRPr="000C059E">
        <w:rPr>
          <w:sz w:val="24"/>
          <w:szCs w:val="24"/>
        </w:rPr>
        <w:t>der</w:t>
      </w:r>
      <w:r w:rsidRPr="000C059E">
        <w:rPr>
          <w:spacing w:val="-3"/>
          <w:sz w:val="24"/>
          <w:szCs w:val="24"/>
        </w:rPr>
        <w:t xml:space="preserve"> </w:t>
      </w:r>
      <w:r w:rsidRPr="000C059E">
        <w:rPr>
          <w:sz w:val="24"/>
          <w:szCs w:val="24"/>
        </w:rPr>
        <w:t>bør</w:t>
      </w:r>
      <w:r w:rsidRPr="000C059E">
        <w:rPr>
          <w:spacing w:val="-3"/>
          <w:sz w:val="24"/>
          <w:szCs w:val="24"/>
        </w:rPr>
        <w:t xml:space="preserve"> </w:t>
      </w:r>
      <w:r w:rsidRPr="000C059E">
        <w:rPr>
          <w:sz w:val="24"/>
          <w:szCs w:val="24"/>
        </w:rPr>
        <w:t>udvises</w:t>
      </w:r>
      <w:r w:rsidRPr="000C059E">
        <w:rPr>
          <w:spacing w:val="-3"/>
          <w:sz w:val="24"/>
          <w:szCs w:val="24"/>
        </w:rPr>
        <w:t xml:space="preserve"> </w:t>
      </w:r>
      <w:r w:rsidRPr="000C059E">
        <w:rPr>
          <w:sz w:val="24"/>
          <w:szCs w:val="24"/>
        </w:rPr>
        <w:t>forsigtighed.</w:t>
      </w:r>
    </w:p>
    <w:p w14:paraId="0668337B" w14:textId="77777777" w:rsidR="00200B99" w:rsidRPr="000C059E" w:rsidRDefault="00200B99" w:rsidP="00773EAE">
      <w:pPr>
        <w:ind w:left="851"/>
        <w:rPr>
          <w:sz w:val="24"/>
          <w:szCs w:val="24"/>
        </w:rPr>
      </w:pPr>
      <w:r w:rsidRPr="000C059E">
        <w:rPr>
          <w:sz w:val="24"/>
          <w:szCs w:val="24"/>
        </w:rPr>
        <w:t xml:space="preserve">Lenvatinib kan som andre stoffer i den samme klasse påvirke sårhelingsprocessen negativt. </w:t>
      </w:r>
    </w:p>
    <w:p w14:paraId="668BB466" w14:textId="77777777" w:rsidR="00200B99" w:rsidRPr="000C059E" w:rsidRDefault="00200B99" w:rsidP="00773EAE">
      <w:pPr>
        <w:ind w:left="851"/>
        <w:rPr>
          <w:sz w:val="24"/>
          <w:szCs w:val="24"/>
        </w:rPr>
      </w:pPr>
    </w:p>
    <w:p w14:paraId="1894882C" w14:textId="77777777" w:rsidR="00200B99" w:rsidRPr="00A209D9" w:rsidRDefault="00200B99" w:rsidP="00773EAE">
      <w:pPr>
        <w:ind w:left="851"/>
        <w:rPr>
          <w:sz w:val="24"/>
          <w:szCs w:val="24"/>
          <w:u w:val="single"/>
        </w:rPr>
      </w:pPr>
      <w:r w:rsidRPr="00A209D9">
        <w:rPr>
          <w:sz w:val="24"/>
          <w:szCs w:val="24"/>
          <w:u w:val="single"/>
        </w:rPr>
        <w:t>Forlængelse af QT-intervallet</w:t>
      </w:r>
    </w:p>
    <w:p w14:paraId="1538AEAB" w14:textId="77777777" w:rsidR="00200B99" w:rsidRPr="000C059E" w:rsidRDefault="00200B99" w:rsidP="00773EAE">
      <w:pPr>
        <w:ind w:left="851"/>
        <w:rPr>
          <w:sz w:val="24"/>
          <w:szCs w:val="24"/>
        </w:rPr>
      </w:pPr>
      <w:r w:rsidRPr="000C059E">
        <w:rPr>
          <w:sz w:val="24"/>
          <w:szCs w:val="24"/>
        </w:rPr>
        <w:t xml:space="preserve">Forlængelse af QT/QTc-intervallet er blevet rapporteret med en større forekomst hos patienter i behandling med lenvatinib end hos patienter i placebobehandling (se pkt. 4.8). Elektrokardiogrammer bør overvåges ved </w:t>
      </w:r>
      <w:r w:rsidRPr="000C059E">
        <w:rPr>
          <w:i/>
          <w:iCs/>
          <w:sz w:val="24"/>
          <w:szCs w:val="24"/>
        </w:rPr>
        <w:t>baseline</w:t>
      </w:r>
      <w:r w:rsidRPr="000C059E">
        <w:rPr>
          <w:sz w:val="24"/>
          <w:szCs w:val="24"/>
        </w:rPr>
        <w:t xml:space="preserve"> og regelmæssigt i løbet af behandlingen hos alle patienter, særligt hos patienter med medfødt langt QT-syndrom, kongestivt hjertesvigt, bradyarytmier og patienter, der tager lægemidler, der vides at forlænge QT-intervallet, herunder Klasse Ia eller III antiarytmika. </w:t>
      </w:r>
    </w:p>
    <w:p w14:paraId="3A918FD1" w14:textId="3E2B5E51" w:rsidR="00200B99" w:rsidRPr="000C059E" w:rsidRDefault="00200B99" w:rsidP="00773EAE">
      <w:pPr>
        <w:ind w:left="851"/>
        <w:rPr>
          <w:sz w:val="24"/>
          <w:szCs w:val="24"/>
        </w:rPr>
      </w:pPr>
      <w:r w:rsidRPr="000C059E">
        <w:rPr>
          <w:sz w:val="24"/>
          <w:szCs w:val="24"/>
        </w:rPr>
        <w:t>Lenvatinib skal afbrydes i tilfælde af, at der udvikles en forlængelse af QT-intervallet &gt;</w:t>
      </w:r>
      <w:r w:rsidR="00C44B05">
        <w:rPr>
          <w:sz w:val="24"/>
          <w:szCs w:val="24"/>
        </w:rPr>
        <w:t> </w:t>
      </w:r>
      <w:r w:rsidRPr="000C059E">
        <w:rPr>
          <w:sz w:val="24"/>
          <w:szCs w:val="24"/>
        </w:rPr>
        <w:t xml:space="preserve">500 ms. Lenvatinib bør genoptages med en reduceret dosis, når QTc-forlængelsen har fortaget sig til &lt; 480 ms eller </w:t>
      </w:r>
      <w:r w:rsidRPr="000C059E">
        <w:rPr>
          <w:i/>
          <w:iCs/>
          <w:sz w:val="24"/>
          <w:szCs w:val="24"/>
        </w:rPr>
        <w:t>baseline</w:t>
      </w:r>
      <w:r w:rsidRPr="000C059E">
        <w:rPr>
          <w:sz w:val="24"/>
          <w:szCs w:val="24"/>
        </w:rPr>
        <w:t>.</w:t>
      </w:r>
    </w:p>
    <w:p w14:paraId="7D471984" w14:textId="77777777" w:rsidR="00200B99" w:rsidRPr="000C059E" w:rsidRDefault="00200B99" w:rsidP="00773EAE">
      <w:pPr>
        <w:ind w:left="851"/>
        <w:rPr>
          <w:sz w:val="24"/>
          <w:szCs w:val="24"/>
        </w:rPr>
      </w:pPr>
    </w:p>
    <w:p w14:paraId="2BAADFEE" w14:textId="77777777" w:rsidR="00200B99" w:rsidRPr="000C059E" w:rsidRDefault="00200B99" w:rsidP="00773EAE">
      <w:pPr>
        <w:ind w:left="851"/>
        <w:rPr>
          <w:sz w:val="24"/>
          <w:szCs w:val="24"/>
        </w:rPr>
      </w:pPr>
      <w:r w:rsidRPr="000C059E">
        <w:rPr>
          <w:sz w:val="24"/>
          <w:szCs w:val="24"/>
        </w:rPr>
        <w:t>Elektrolytforstyrrelser, såsom hypokaliæmi, hypocalcæmi eller hypomagnesiæmi, øger risikoen for QT-forlængelse. Derfor bør elektrolytanomalier overvåges og korrigeres hos alle patienter, før de starter behandlingen. Elektrolytter (magnesium, kalium og calcium) bør monitoreres periodisk i løbet af behandlingen. Calciumniveauet i blodet bør overvåges mindst månedligt, og calcium skal erstattes efter behov i løbet af behandlingen med lenvatinib. Lenvatinib-dosis bør afbrydes eller justeres efter behov afhængig af sværhedsgraden, tilstedeværelsen af EKG-ændringer og vedvarende hypocalcæmi.</w:t>
      </w:r>
    </w:p>
    <w:p w14:paraId="555D746B" w14:textId="77777777" w:rsidR="00200B99" w:rsidRPr="000C059E" w:rsidRDefault="00200B99" w:rsidP="00773EAE">
      <w:pPr>
        <w:ind w:left="851"/>
        <w:rPr>
          <w:sz w:val="24"/>
          <w:szCs w:val="24"/>
        </w:rPr>
      </w:pPr>
    </w:p>
    <w:p w14:paraId="7D48073B" w14:textId="77777777" w:rsidR="00200B99" w:rsidRPr="00CD6EF3" w:rsidRDefault="00200B99" w:rsidP="00773EAE">
      <w:pPr>
        <w:ind w:left="851"/>
        <w:rPr>
          <w:sz w:val="24"/>
          <w:szCs w:val="24"/>
          <w:u w:val="single"/>
        </w:rPr>
      </w:pPr>
      <w:r w:rsidRPr="00CD6EF3">
        <w:rPr>
          <w:sz w:val="24"/>
          <w:szCs w:val="24"/>
          <w:u w:val="single"/>
        </w:rPr>
        <w:t>Hæmning af undertrykkelse af thyreoideastimulerende hormon/thyreoideadysfunktion</w:t>
      </w:r>
    </w:p>
    <w:p w14:paraId="4F4A64E2" w14:textId="77777777" w:rsidR="00200B99" w:rsidRPr="000C059E" w:rsidRDefault="00200B99" w:rsidP="00773EAE">
      <w:pPr>
        <w:ind w:left="851"/>
        <w:rPr>
          <w:sz w:val="24"/>
          <w:szCs w:val="24"/>
        </w:rPr>
      </w:pPr>
    </w:p>
    <w:p w14:paraId="740D1514" w14:textId="77777777" w:rsidR="00200B99" w:rsidRPr="000C059E" w:rsidRDefault="00200B99" w:rsidP="00773EAE">
      <w:pPr>
        <w:ind w:left="851"/>
        <w:rPr>
          <w:sz w:val="24"/>
          <w:szCs w:val="24"/>
        </w:rPr>
      </w:pPr>
      <w:r w:rsidRPr="000C059E">
        <w:rPr>
          <w:sz w:val="24"/>
          <w:szCs w:val="24"/>
        </w:rPr>
        <w:t>Der er blevet rapporteret hypothyroidisme hos patienter i behandling med lenvatinib (se pkt. 4.8). Thyreoideafunktionen bør overvåges, før behandlingen med lenvatinib indledes og periodisk i løbet af hele behandlingen. Hypothyroidisme bør behandles i henhold til standard medicinsk praksis for at opretholde en eutyroid tilstand.</w:t>
      </w:r>
    </w:p>
    <w:p w14:paraId="34EE9E72" w14:textId="77777777" w:rsidR="00200B99" w:rsidRPr="000C059E" w:rsidRDefault="00200B99" w:rsidP="00773EAE">
      <w:pPr>
        <w:ind w:left="851"/>
        <w:rPr>
          <w:sz w:val="24"/>
          <w:szCs w:val="24"/>
        </w:rPr>
      </w:pPr>
    </w:p>
    <w:p w14:paraId="414150C2" w14:textId="77777777" w:rsidR="00200B99" w:rsidRPr="000C059E" w:rsidRDefault="00200B99" w:rsidP="00773EAE">
      <w:pPr>
        <w:ind w:left="851"/>
        <w:rPr>
          <w:sz w:val="24"/>
          <w:szCs w:val="24"/>
        </w:rPr>
      </w:pPr>
      <w:r w:rsidRPr="000C059E">
        <w:rPr>
          <w:sz w:val="24"/>
          <w:szCs w:val="24"/>
        </w:rPr>
        <w:t>Lenvatinib hæmmer eksogen thyreoideaundertrykkelse (se pkt. 4.8). Niveauet af thyreoideastimulerende hormon (TSH) bør overvåges regelmæssigt, og tyroid erstatningsbehandling bør justeres, så der opnås passende TSH-niveauer i henhold til patientens terapeutiske mål.</w:t>
      </w:r>
    </w:p>
    <w:p w14:paraId="01C3F80C" w14:textId="77777777" w:rsidR="00200B99" w:rsidRPr="000C059E" w:rsidRDefault="00200B99" w:rsidP="00773EAE">
      <w:pPr>
        <w:ind w:left="851"/>
        <w:rPr>
          <w:sz w:val="24"/>
          <w:szCs w:val="24"/>
        </w:rPr>
      </w:pPr>
    </w:p>
    <w:p w14:paraId="560FA878" w14:textId="77777777" w:rsidR="00200B99" w:rsidRPr="00CD6EF3" w:rsidRDefault="00200B99" w:rsidP="00773EAE">
      <w:pPr>
        <w:ind w:left="851"/>
        <w:rPr>
          <w:sz w:val="24"/>
          <w:szCs w:val="24"/>
          <w:u w:val="single"/>
        </w:rPr>
      </w:pPr>
      <w:r w:rsidRPr="00CD6EF3">
        <w:rPr>
          <w:sz w:val="24"/>
          <w:szCs w:val="24"/>
          <w:u w:val="single"/>
        </w:rPr>
        <w:t>Komplikationer ved sårheling</w:t>
      </w:r>
    </w:p>
    <w:p w14:paraId="31BEE1B5" w14:textId="77777777" w:rsidR="00200B99" w:rsidRPr="000C059E" w:rsidRDefault="00200B99" w:rsidP="00773EAE">
      <w:pPr>
        <w:ind w:left="851"/>
        <w:rPr>
          <w:sz w:val="24"/>
          <w:szCs w:val="24"/>
        </w:rPr>
      </w:pPr>
    </w:p>
    <w:p w14:paraId="02E5ACA2" w14:textId="77777777" w:rsidR="00200B99" w:rsidRPr="000C059E" w:rsidRDefault="00200B99" w:rsidP="00773EAE">
      <w:pPr>
        <w:ind w:left="851"/>
        <w:rPr>
          <w:sz w:val="24"/>
          <w:szCs w:val="24"/>
        </w:rPr>
      </w:pPr>
      <w:r w:rsidRPr="000C059E">
        <w:rPr>
          <w:sz w:val="24"/>
          <w:szCs w:val="24"/>
        </w:rPr>
        <w:t>Der er ikke udført formelle studier af lenvatinibs indvirkning på sårheling. Der er rapporteret om nedsat sårheling hos patienter, som fik lenvatinib. Midlertidig afbrydelse af lenvatinib bør overvejes hos patienter, der skal igennem større kirurgiske indgreb. Der er begrænset klinisk erfaring med tidspunktet for genoptagelse af lenvatinib efter et større kirurgisk indgreb. Derfor skal beslutningen om at genoptage lenvatinib efter et større kirurgisk indgreb baseres på en klinisk vurdering af tilstrækkelig sårheling.</w:t>
      </w:r>
    </w:p>
    <w:p w14:paraId="401C6817" w14:textId="77777777" w:rsidR="00200B99" w:rsidRPr="000C059E" w:rsidRDefault="00200B99" w:rsidP="00773EAE">
      <w:pPr>
        <w:ind w:left="851"/>
        <w:rPr>
          <w:sz w:val="24"/>
          <w:szCs w:val="24"/>
        </w:rPr>
      </w:pPr>
    </w:p>
    <w:p w14:paraId="1CD21EC4" w14:textId="77777777" w:rsidR="00200B99" w:rsidRPr="00CD6EF3" w:rsidRDefault="00200B99" w:rsidP="00773EAE">
      <w:pPr>
        <w:ind w:left="851"/>
        <w:rPr>
          <w:sz w:val="24"/>
          <w:szCs w:val="24"/>
          <w:u w:val="single"/>
        </w:rPr>
      </w:pPr>
      <w:r w:rsidRPr="00CD6EF3">
        <w:rPr>
          <w:sz w:val="24"/>
          <w:szCs w:val="24"/>
          <w:u w:val="single"/>
        </w:rPr>
        <w:t>Osteonekrose af kæben (ONJ)</w:t>
      </w:r>
    </w:p>
    <w:p w14:paraId="43F2F89B" w14:textId="77777777" w:rsidR="00200B99" w:rsidRPr="000C059E" w:rsidRDefault="00200B99" w:rsidP="00773EAE">
      <w:pPr>
        <w:ind w:left="851"/>
        <w:rPr>
          <w:sz w:val="24"/>
          <w:szCs w:val="24"/>
        </w:rPr>
      </w:pPr>
    </w:p>
    <w:p w14:paraId="5B381D03" w14:textId="77777777" w:rsidR="00200B99" w:rsidRPr="000C059E" w:rsidRDefault="00200B99" w:rsidP="00773EAE">
      <w:pPr>
        <w:ind w:left="851"/>
        <w:rPr>
          <w:sz w:val="24"/>
          <w:szCs w:val="24"/>
        </w:rPr>
      </w:pPr>
      <w:r w:rsidRPr="000C059E">
        <w:rPr>
          <w:sz w:val="24"/>
          <w:szCs w:val="24"/>
        </w:rPr>
        <w:t>Der er indberettet tilfælde af ONJ hos patienter, der blev behandlet med lenvatinib. Nogle tilfælde blev indberettet hos patienter, der havde modtaget tidligere eller samtidig behandling med antiresorptiv knogleterapi og/eller andre angiogenese-hæmmere, f.eks. bevacizumab, TKI, mTOR-hæmmere. Der skal derfor udvises forsigtighed, når lenvatinib anvendes enten samtidigt eller sekventielt med antiresorptiv behandling og/eller andre angiogenese-hæmmere.</w:t>
      </w:r>
    </w:p>
    <w:p w14:paraId="12BDD99A" w14:textId="77777777" w:rsidR="00200B99" w:rsidRPr="000C059E" w:rsidRDefault="00200B99" w:rsidP="00773EAE">
      <w:pPr>
        <w:ind w:left="851"/>
        <w:rPr>
          <w:sz w:val="24"/>
          <w:szCs w:val="24"/>
        </w:rPr>
      </w:pPr>
    </w:p>
    <w:p w14:paraId="1851B6CC" w14:textId="77777777" w:rsidR="00200B99" w:rsidRPr="000C059E" w:rsidRDefault="00200B99" w:rsidP="00773EAE">
      <w:pPr>
        <w:ind w:left="851"/>
        <w:rPr>
          <w:sz w:val="24"/>
          <w:szCs w:val="24"/>
        </w:rPr>
      </w:pPr>
      <w:r w:rsidRPr="000C059E">
        <w:rPr>
          <w:sz w:val="24"/>
          <w:szCs w:val="24"/>
        </w:rPr>
        <w:t>Invasive tandprocedurer er en identificeret risikofaktor. Før behandling med lenvatinib skal en tandundersøgelse og hensigtsmæssig forebyggende tandpleje overvejes. Hos patienter, der tidligere har modtaget eller modtager intravenøse bisfosfonater, skal invasive tandprocedurer så vidt muligt undgås (se pkt. 4.8).</w:t>
      </w:r>
    </w:p>
    <w:p w14:paraId="11DE7F63" w14:textId="77777777" w:rsidR="00200B99" w:rsidRPr="000C059E" w:rsidRDefault="00200B99" w:rsidP="00773EAE">
      <w:pPr>
        <w:ind w:left="851"/>
        <w:rPr>
          <w:sz w:val="24"/>
          <w:szCs w:val="24"/>
        </w:rPr>
      </w:pPr>
    </w:p>
    <w:p w14:paraId="1FC9B330" w14:textId="77777777" w:rsidR="00200B99" w:rsidRPr="00CD6EF3" w:rsidRDefault="00200B99" w:rsidP="00773EAE">
      <w:pPr>
        <w:ind w:left="851"/>
        <w:rPr>
          <w:sz w:val="24"/>
          <w:szCs w:val="24"/>
          <w:u w:val="single"/>
        </w:rPr>
      </w:pPr>
      <w:r w:rsidRPr="00CD6EF3">
        <w:rPr>
          <w:sz w:val="24"/>
          <w:szCs w:val="24"/>
          <w:u w:val="single"/>
        </w:rPr>
        <w:t>Tumorlysesyndrom (TLS)</w:t>
      </w:r>
    </w:p>
    <w:p w14:paraId="17EBF116" w14:textId="77777777" w:rsidR="00200B99" w:rsidRPr="000C059E" w:rsidRDefault="00200B99" w:rsidP="00773EAE">
      <w:pPr>
        <w:ind w:left="851"/>
        <w:rPr>
          <w:sz w:val="24"/>
          <w:szCs w:val="24"/>
        </w:rPr>
      </w:pPr>
    </w:p>
    <w:p w14:paraId="518C98C1" w14:textId="77777777" w:rsidR="00200B99" w:rsidRPr="000C059E" w:rsidRDefault="00200B99" w:rsidP="00773EAE">
      <w:pPr>
        <w:ind w:left="851"/>
        <w:rPr>
          <w:sz w:val="24"/>
          <w:szCs w:val="24"/>
        </w:rPr>
      </w:pPr>
      <w:r w:rsidRPr="000C059E">
        <w:rPr>
          <w:sz w:val="24"/>
          <w:szCs w:val="24"/>
        </w:rPr>
        <w:t>Lenvatinib kan forårsage TLS, der kan være dødeligt. Risikofaktorer for TLS omfatter, men er ikke begrænset til, høj tumorbelastning, allerede eksisterende nedsat nyrefunktion og dehydrering. Disse patienter bør monitoreres tæt og behandles som klinisk indiceret, og profylaktisk hydrering bør overvejes.</w:t>
      </w:r>
    </w:p>
    <w:p w14:paraId="19CD140F" w14:textId="77777777" w:rsidR="00200B99" w:rsidRPr="000C059E" w:rsidRDefault="00200B99" w:rsidP="00773EAE">
      <w:pPr>
        <w:ind w:left="851"/>
        <w:rPr>
          <w:sz w:val="24"/>
          <w:szCs w:val="24"/>
        </w:rPr>
      </w:pPr>
    </w:p>
    <w:p w14:paraId="6B874529" w14:textId="77777777" w:rsidR="00200B99" w:rsidRPr="00CD6EF3" w:rsidRDefault="00200B99" w:rsidP="00773EAE">
      <w:pPr>
        <w:ind w:left="851"/>
        <w:rPr>
          <w:sz w:val="24"/>
          <w:szCs w:val="24"/>
          <w:u w:val="single"/>
        </w:rPr>
      </w:pPr>
      <w:r w:rsidRPr="00CD6EF3">
        <w:rPr>
          <w:sz w:val="24"/>
          <w:szCs w:val="24"/>
          <w:u w:val="single"/>
        </w:rPr>
        <w:t>Særlige populationer</w:t>
      </w:r>
    </w:p>
    <w:p w14:paraId="3F751B33" w14:textId="77777777" w:rsidR="00200B99" w:rsidRPr="000C059E" w:rsidRDefault="00200B99" w:rsidP="00773EAE">
      <w:pPr>
        <w:ind w:left="851"/>
        <w:rPr>
          <w:sz w:val="24"/>
          <w:szCs w:val="24"/>
        </w:rPr>
      </w:pPr>
    </w:p>
    <w:p w14:paraId="0AA13D2F" w14:textId="77777777" w:rsidR="00200B99" w:rsidRPr="000C059E" w:rsidRDefault="00200B99" w:rsidP="00773EAE">
      <w:pPr>
        <w:ind w:left="851"/>
        <w:rPr>
          <w:sz w:val="24"/>
          <w:szCs w:val="24"/>
        </w:rPr>
      </w:pPr>
      <w:r w:rsidRPr="000C059E">
        <w:rPr>
          <w:sz w:val="24"/>
          <w:szCs w:val="24"/>
        </w:rPr>
        <w:t>Der foreligger begrænsede data for patienter med anden etnisk oprindelse end kaukasisk eller asiatisk og hos patienter i alderen ≥ 75 år. Lenvatinib bør anvendes med forsigtighed hos sådanne patienter, i lyset af den reducerede tolerabilitet af lenvatinib hos asiatiske og ældre patienter (se pkt. 4.8).</w:t>
      </w:r>
    </w:p>
    <w:p w14:paraId="66B4FCC1" w14:textId="77777777" w:rsidR="00200B99" w:rsidRPr="000C059E" w:rsidRDefault="00200B99" w:rsidP="00773EAE">
      <w:pPr>
        <w:ind w:left="851"/>
        <w:rPr>
          <w:sz w:val="24"/>
          <w:szCs w:val="24"/>
        </w:rPr>
      </w:pPr>
    </w:p>
    <w:p w14:paraId="4851594C" w14:textId="77777777" w:rsidR="00200B99" w:rsidRPr="000C059E" w:rsidRDefault="00200B99" w:rsidP="00773EAE">
      <w:pPr>
        <w:ind w:left="851"/>
        <w:rPr>
          <w:sz w:val="24"/>
          <w:szCs w:val="24"/>
        </w:rPr>
      </w:pPr>
      <w:r w:rsidRPr="000C059E">
        <w:rPr>
          <w:sz w:val="24"/>
          <w:szCs w:val="24"/>
        </w:rPr>
        <w:t>Der foreligger ingen data for anvendelsen af lenvatinib umiddelbart efter sorafenib eller andre anticancer-behandlinger, og der kan være en mulig risiko for additive toksiciteter, medmindre der er en tilstrækkelig udvaskningsperiode mellem behandlingerne. Den minimale udvaskningsperiode i kliniske studier var på 4 uger.</w:t>
      </w:r>
    </w:p>
    <w:p w14:paraId="73DB82A3" w14:textId="77777777" w:rsidR="00200B99" w:rsidRPr="000C059E" w:rsidRDefault="00200B99" w:rsidP="00773EAE">
      <w:pPr>
        <w:ind w:left="851"/>
        <w:rPr>
          <w:sz w:val="24"/>
          <w:szCs w:val="24"/>
        </w:rPr>
      </w:pPr>
    </w:p>
    <w:p w14:paraId="472F92BD" w14:textId="77777777" w:rsidR="00200B99" w:rsidRPr="000C059E" w:rsidRDefault="00200B99" w:rsidP="00773EAE">
      <w:pPr>
        <w:ind w:left="851"/>
        <w:rPr>
          <w:sz w:val="24"/>
          <w:szCs w:val="24"/>
        </w:rPr>
      </w:pPr>
      <w:r w:rsidRPr="000C059E">
        <w:rPr>
          <w:sz w:val="24"/>
          <w:szCs w:val="24"/>
        </w:rPr>
        <w:t>Patienter med ECOG PS ≥ 2 blev ekskluderet fra kliniske studier (bortset fra thyreoideakarcinom).</w:t>
      </w:r>
    </w:p>
    <w:p w14:paraId="071D2951" w14:textId="77777777" w:rsidR="00200B99" w:rsidRPr="000C059E" w:rsidRDefault="00200B99" w:rsidP="00773EAE">
      <w:pPr>
        <w:ind w:left="851"/>
        <w:rPr>
          <w:sz w:val="24"/>
          <w:szCs w:val="24"/>
        </w:rPr>
      </w:pPr>
    </w:p>
    <w:p w14:paraId="04C6B4F0" w14:textId="77777777" w:rsidR="00200B99" w:rsidRPr="00CD6EF3" w:rsidRDefault="00200B99" w:rsidP="00773EAE">
      <w:pPr>
        <w:ind w:left="851"/>
        <w:rPr>
          <w:sz w:val="24"/>
          <w:szCs w:val="24"/>
          <w:u w:val="single"/>
        </w:rPr>
      </w:pPr>
      <w:r w:rsidRPr="00CD6EF3">
        <w:rPr>
          <w:sz w:val="24"/>
          <w:szCs w:val="24"/>
          <w:u w:val="single"/>
        </w:rPr>
        <w:t>Natrium</w:t>
      </w:r>
    </w:p>
    <w:p w14:paraId="56180A9E" w14:textId="77777777" w:rsidR="00200B99" w:rsidRPr="000C059E" w:rsidRDefault="00200B99" w:rsidP="00773EAE">
      <w:pPr>
        <w:ind w:left="851"/>
        <w:rPr>
          <w:sz w:val="24"/>
          <w:szCs w:val="24"/>
        </w:rPr>
      </w:pPr>
    </w:p>
    <w:p w14:paraId="735C2869" w14:textId="77777777" w:rsidR="00200B99" w:rsidRPr="000C059E" w:rsidRDefault="00200B99" w:rsidP="00773EAE">
      <w:pPr>
        <w:ind w:left="851"/>
        <w:rPr>
          <w:sz w:val="24"/>
          <w:szCs w:val="24"/>
        </w:rPr>
      </w:pPr>
      <w:r w:rsidRPr="000C059E">
        <w:rPr>
          <w:sz w:val="24"/>
          <w:szCs w:val="24"/>
        </w:rPr>
        <w:t>Dette lægemiddel indeholder mindre end 1 mmol (23 mg) natrium pr. kapsel, dvs. det er i det væsentlige natriumfrit.</w:t>
      </w:r>
    </w:p>
    <w:p w14:paraId="1A2253DA" w14:textId="77777777" w:rsidR="009260DE" w:rsidRPr="000C059E" w:rsidRDefault="009260DE" w:rsidP="009260DE">
      <w:pPr>
        <w:tabs>
          <w:tab w:val="left" w:pos="851"/>
        </w:tabs>
        <w:ind w:left="851"/>
        <w:rPr>
          <w:sz w:val="24"/>
          <w:szCs w:val="24"/>
        </w:rPr>
      </w:pPr>
    </w:p>
    <w:p w14:paraId="31F7891E" w14:textId="77777777" w:rsidR="009260DE" w:rsidRPr="000C059E" w:rsidRDefault="009260DE" w:rsidP="009260DE">
      <w:pPr>
        <w:tabs>
          <w:tab w:val="left" w:pos="851"/>
        </w:tabs>
        <w:ind w:left="851" w:hanging="851"/>
        <w:rPr>
          <w:b/>
          <w:sz w:val="24"/>
          <w:szCs w:val="24"/>
        </w:rPr>
      </w:pPr>
      <w:r w:rsidRPr="000C059E">
        <w:rPr>
          <w:b/>
          <w:sz w:val="24"/>
          <w:szCs w:val="24"/>
        </w:rPr>
        <w:t>4.5</w:t>
      </w:r>
      <w:r w:rsidRPr="000C059E">
        <w:rPr>
          <w:b/>
          <w:sz w:val="24"/>
          <w:szCs w:val="24"/>
        </w:rPr>
        <w:tab/>
        <w:t>Interaktion med andre lægemidler og andre former for interaktion</w:t>
      </w:r>
    </w:p>
    <w:p w14:paraId="4C9648C1" w14:textId="77777777" w:rsidR="00CD6EF3" w:rsidRDefault="00CD6EF3" w:rsidP="00773EAE">
      <w:pPr>
        <w:ind w:left="851"/>
        <w:rPr>
          <w:sz w:val="24"/>
          <w:szCs w:val="24"/>
        </w:rPr>
      </w:pPr>
    </w:p>
    <w:p w14:paraId="320A883D" w14:textId="21E0EAA4" w:rsidR="00200B99" w:rsidRPr="00CD6EF3" w:rsidRDefault="00200B99" w:rsidP="00773EAE">
      <w:pPr>
        <w:ind w:left="851"/>
        <w:rPr>
          <w:sz w:val="24"/>
          <w:szCs w:val="24"/>
          <w:u w:val="single"/>
        </w:rPr>
      </w:pPr>
      <w:r w:rsidRPr="00CD6EF3">
        <w:rPr>
          <w:sz w:val="24"/>
          <w:szCs w:val="24"/>
          <w:u w:val="single"/>
        </w:rPr>
        <w:t>Andre lægemidlers virkning på lenvatinib</w:t>
      </w:r>
    </w:p>
    <w:p w14:paraId="591963FA" w14:textId="77777777" w:rsidR="00200B99" w:rsidRPr="000C059E" w:rsidRDefault="00200B99" w:rsidP="00773EAE">
      <w:pPr>
        <w:ind w:left="851"/>
        <w:rPr>
          <w:sz w:val="24"/>
          <w:szCs w:val="24"/>
        </w:rPr>
      </w:pPr>
    </w:p>
    <w:p w14:paraId="3E1D432A" w14:textId="77777777" w:rsidR="00200B99" w:rsidRPr="00CD6EF3" w:rsidRDefault="00200B99" w:rsidP="00773EAE">
      <w:pPr>
        <w:ind w:left="851"/>
        <w:rPr>
          <w:i/>
          <w:sz w:val="24"/>
          <w:szCs w:val="24"/>
          <w:u w:val="single"/>
        </w:rPr>
      </w:pPr>
      <w:r w:rsidRPr="00CD6EF3">
        <w:rPr>
          <w:i/>
          <w:sz w:val="24"/>
          <w:szCs w:val="24"/>
          <w:u w:val="single"/>
        </w:rPr>
        <w:t>Kemoterapeutika</w:t>
      </w:r>
    </w:p>
    <w:p w14:paraId="03A677D4" w14:textId="77777777" w:rsidR="00200B99" w:rsidRPr="000C059E" w:rsidRDefault="00200B99" w:rsidP="00773EAE">
      <w:pPr>
        <w:ind w:left="851"/>
        <w:rPr>
          <w:i/>
          <w:sz w:val="24"/>
          <w:szCs w:val="24"/>
        </w:rPr>
      </w:pPr>
    </w:p>
    <w:p w14:paraId="244FC421" w14:textId="77777777" w:rsidR="00200B99" w:rsidRPr="000C059E" w:rsidRDefault="00200B99" w:rsidP="00773EAE">
      <w:pPr>
        <w:ind w:left="851"/>
        <w:rPr>
          <w:sz w:val="24"/>
          <w:szCs w:val="24"/>
        </w:rPr>
      </w:pPr>
      <w:r w:rsidRPr="000C059E">
        <w:rPr>
          <w:sz w:val="24"/>
          <w:szCs w:val="24"/>
        </w:rPr>
        <w:t>Samtidig administration af lenvatinib, carboplatin og paclitaxel har ingen signifikant påvirkning af farmakokinetikken for nogen af disse 3 stoffer.</w:t>
      </w:r>
    </w:p>
    <w:p w14:paraId="2323DDBD" w14:textId="77777777" w:rsidR="00200B99" w:rsidRPr="000C059E" w:rsidRDefault="00200B99" w:rsidP="00773EAE">
      <w:pPr>
        <w:ind w:left="851"/>
        <w:rPr>
          <w:sz w:val="24"/>
          <w:szCs w:val="24"/>
        </w:rPr>
      </w:pPr>
    </w:p>
    <w:p w14:paraId="31FE5488" w14:textId="77777777" w:rsidR="00200B99" w:rsidRPr="00CD6EF3" w:rsidRDefault="00200B99" w:rsidP="00773EAE">
      <w:pPr>
        <w:ind w:left="851"/>
        <w:rPr>
          <w:sz w:val="24"/>
          <w:szCs w:val="24"/>
          <w:u w:val="single"/>
        </w:rPr>
      </w:pPr>
      <w:r w:rsidRPr="00CD6EF3">
        <w:rPr>
          <w:sz w:val="24"/>
          <w:szCs w:val="24"/>
          <w:u w:val="single"/>
        </w:rPr>
        <w:t>Lenvatinibs virkning på andre lægemidler</w:t>
      </w:r>
    </w:p>
    <w:p w14:paraId="04FDBA14" w14:textId="77777777" w:rsidR="00200B99" w:rsidRPr="000C059E" w:rsidRDefault="00200B99" w:rsidP="00773EAE">
      <w:pPr>
        <w:ind w:left="851"/>
        <w:rPr>
          <w:sz w:val="24"/>
          <w:szCs w:val="24"/>
        </w:rPr>
      </w:pPr>
    </w:p>
    <w:p w14:paraId="14D84E7C" w14:textId="77777777" w:rsidR="00200B99" w:rsidRPr="000C059E" w:rsidRDefault="00200B99" w:rsidP="00773EAE">
      <w:pPr>
        <w:ind w:left="851"/>
        <w:rPr>
          <w:sz w:val="24"/>
          <w:szCs w:val="24"/>
        </w:rPr>
      </w:pPr>
      <w:r w:rsidRPr="000C059E">
        <w:rPr>
          <w:sz w:val="24"/>
          <w:szCs w:val="24"/>
        </w:rPr>
        <w:t>Et klinisk studie af lægemiddelinteraktion hos cancerpatienter viste, at plasmakoncentrationerne af midazolam (et følsomt CYP3A- og Pgp-substrat) ikke blev ændret ved tilstedeværelse af lenvatinib. Der forventes derfor ingen signifikant lægemiddelinteraktion mellem lenvatinib og andre CYP3A4/Pgp-substrater.</w:t>
      </w:r>
    </w:p>
    <w:p w14:paraId="4947ADE2" w14:textId="77777777" w:rsidR="00200B99" w:rsidRPr="000C059E" w:rsidRDefault="00200B99" w:rsidP="00773EAE">
      <w:pPr>
        <w:ind w:left="851"/>
        <w:rPr>
          <w:sz w:val="24"/>
          <w:szCs w:val="24"/>
        </w:rPr>
      </w:pPr>
    </w:p>
    <w:p w14:paraId="5DE691D7" w14:textId="77777777" w:rsidR="00200B99" w:rsidRPr="00CD6EF3" w:rsidRDefault="00200B99" w:rsidP="00773EAE">
      <w:pPr>
        <w:ind w:left="851"/>
        <w:rPr>
          <w:sz w:val="24"/>
          <w:szCs w:val="24"/>
          <w:u w:val="single"/>
        </w:rPr>
      </w:pPr>
      <w:r w:rsidRPr="00CD6EF3">
        <w:rPr>
          <w:sz w:val="24"/>
          <w:szCs w:val="24"/>
          <w:u w:val="single"/>
        </w:rPr>
        <w:t>Oral kontraception</w:t>
      </w:r>
      <w:r w:rsidRPr="00CD6EF3">
        <w:rPr>
          <w:sz w:val="24"/>
          <w:szCs w:val="24"/>
          <w:u w:val="single"/>
        </w:rPr>
        <w:br/>
      </w:r>
    </w:p>
    <w:p w14:paraId="7175BDAB" w14:textId="77777777" w:rsidR="00200B99" w:rsidRPr="000C059E" w:rsidRDefault="00200B99" w:rsidP="00773EAE">
      <w:pPr>
        <w:ind w:left="851"/>
        <w:rPr>
          <w:sz w:val="24"/>
          <w:szCs w:val="24"/>
        </w:rPr>
      </w:pPr>
      <w:r w:rsidRPr="000C059E">
        <w:rPr>
          <w:sz w:val="24"/>
          <w:szCs w:val="24"/>
        </w:rPr>
        <w:t>Det er aktuelt ukendt, om lenvatinib kan reducere virkningen af hormonal kontraception, og derfor skal kvinder, der anvender oral hormonal kontraception, tilføje en barrieremetode (se pkt. 4.6).</w:t>
      </w:r>
    </w:p>
    <w:p w14:paraId="36D783E4" w14:textId="77777777" w:rsidR="009260DE" w:rsidRPr="000C059E" w:rsidRDefault="009260DE" w:rsidP="009260DE">
      <w:pPr>
        <w:tabs>
          <w:tab w:val="left" w:pos="851"/>
        </w:tabs>
        <w:ind w:left="851"/>
        <w:rPr>
          <w:sz w:val="24"/>
          <w:szCs w:val="24"/>
        </w:rPr>
      </w:pPr>
    </w:p>
    <w:p w14:paraId="04EBA14B" w14:textId="77777777" w:rsidR="009260DE" w:rsidRPr="000C059E" w:rsidRDefault="009260DE" w:rsidP="009260DE">
      <w:pPr>
        <w:tabs>
          <w:tab w:val="left" w:pos="851"/>
        </w:tabs>
        <w:ind w:left="851" w:hanging="851"/>
        <w:rPr>
          <w:b/>
          <w:sz w:val="24"/>
          <w:szCs w:val="24"/>
        </w:rPr>
      </w:pPr>
      <w:r w:rsidRPr="000C059E">
        <w:rPr>
          <w:b/>
          <w:sz w:val="24"/>
          <w:szCs w:val="24"/>
        </w:rPr>
        <w:t>4.6</w:t>
      </w:r>
      <w:r w:rsidRPr="000C059E">
        <w:rPr>
          <w:b/>
          <w:sz w:val="24"/>
          <w:szCs w:val="24"/>
        </w:rPr>
        <w:tab/>
      </w:r>
      <w:r w:rsidR="0071241E" w:rsidRPr="000C059E">
        <w:rPr>
          <w:b/>
          <w:sz w:val="24"/>
          <w:szCs w:val="24"/>
        </w:rPr>
        <w:t>Fertilitet, g</w:t>
      </w:r>
      <w:r w:rsidRPr="000C059E">
        <w:rPr>
          <w:b/>
          <w:sz w:val="24"/>
          <w:szCs w:val="24"/>
        </w:rPr>
        <w:t>raviditet og amning</w:t>
      </w:r>
    </w:p>
    <w:p w14:paraId="7A1B974D" w14:textId="77777777" w:rsidR="00CD6EF3" w:rsidRDefault="00CD6EF3" w:rsidP="00773EAE">
      <w:pPr>
        <w:ind w:left="851"/>
        <w:rPr>
          <w:sz w:val="24"/>
          <w:szCs w:val="24"/>
        </w:rPr>
      </w:pPr>
    </w:p>
    <w:p w14:paraId="601D68C7" w14:textId="3C71F047" w:rsidR="00200B99" w:rsidRPr="00CD6EF3" w:rsidRDefault="00200B99" w:rsidP="00773EAE">
      <w:pPr>
        <w:ind w:left="851"/>
        <w:rPr>
          <w:sz w:val="24"/>
          <w:szCs w:val="24"/>
          <w:u w:val="single"/>
        </w:rPr>
      </w:pPr>
      <w:r w:rsidRPr="00CD6EF3">
        <w:rPr>
          <w:sz w:val="24"/>
          <w:szCs w:val="24"/>
          <w:u w:val="single"/>
        </w:rPr>
        <w:t>Kvinder i den fertile alder</w:t>
      </w:r>
    </w:p>
    <w:p w14:paraId="63498DC1" w14:textId="77777777" w:rsidR="00200B99" w:rsidRPr="000C059E" w:rsidRDefault="00200B99" w:rsidP="00773EAE">
      <w:pPr>
        <w:ind w:left="851"/>
        <w:rPr>
          <w:sz w:val="24"/>
          <w:szCs w:val="24"/>
        </w:rPr>
      </w:pPr>
    </w:p>
    <w:p w14:paraId="17D021CC" w14:textId="77777777" w:rsidR="00200B99" w:rsidRPr="000C059E" w:rsidRDefault="00200B99" w:rsidP="00773EAE">
      <w:pPr>
        <w:ind w:left="851"/>
        <w:rPr>
          <w:sz w:val="24"/>
          <w:szCs w:val="24"/>
        </w:rPr>
      </w:pPr>
      <w:r w:rsidRPr="000C059E">
        <w:rPr>
          <w:sz w:val="24"/>
          <w:szCs w:val="24"/>
        </w:rPr>
        <w:t>Kvinder i den fertile alder skal undgå at blive gravide og anvende meget sikker kontraception, mens de er i behandling med lenvatinib og i mindst en måned efter behandlingsophør. Det er aktuelt ukendt, om lenvatinib kan reducere virkningen af hormonal kontraception, og derfor skal kvinder, der anvender oral hormonal kontraception, tilføje en</w:t>
      </w:r>
      <w:r w:rsidRPr="000C059E">
        <w:rPr>
          <w:spacing w:val="-9"/>
          <w:sz w:val="24"/>
          <w:szCs w:val="24"/>
        </w:rPr>
        <w:t xml:space="preserve"> </w:t>
      </w:r>
      <w:r w:rsidRPr="000C059E">
        <w:rPr>
          <w:sz w:val="24"/>
          <w:szCs w:val="24"/>
        </w:rPr>
        <w:t>barrieremetode.</w:t>
      </w:r>
    </w:p>
    <w:p w14:paraId="26AD4C2E" w14:textId="77777777" w:rsidR="00200B99" w:rsidRPr="000C059E" w:rsidRDefault="00200B99" w:rsidP="00773EAE">
      <w:pPr>
        <w:ind w:left="851"/>
        <w:rPr>
          <w:sz w:val="24"/>
          <w:szCs w:val="24"/>
        </w:rPr>
      </w:pPr>
    </w:p>
    <w:p w14:paraId="6150359C" w14:textId="77777777" w:rsidR="00200B99" w:rsidRPr="00CD6EF3" w:rsidRDefault="00200B99" w:rsidP="00773EAE">
      <w:pPr>
        <w:ind w:left="851"/>
        <w:rPr>
          <w:sz w:val="24"/>
          <w:szCs w:val="24"/>
          <w:u w:val="single"/>
        </w:rPr>
      </w:pPr>
      <w:r w:rsidRPr="00CD6EF3">
        <w:rPr>
          <w:sz w:val="24"/>
          <w:szCs w:val="24"/>
          <w:u w:val="single"/>
        </w:rPr>
        <w:t>Graviditet</w:t>
      </w:r>
    </w:p>
    <w:p w14:paraId="5D2584A7" w14:textId="77777777" w:rsidR="00200B99" w:rsidRPr="000C059E" w:rsidRDefault="00200B99" w:rsidP="00773EAE">
      <w:pPr>
        <w:ind w:left="851"/>
        <w:rPr>
          <w:sz w:val="24"/>
          <w:szCs w:val="24"/>
        </w:rPr>
      </w:pPr>
    </w:p>
    <w:p w14:paraId="035ED27D" w14:textId="77777777" w:rsidR="00200B99" w:rsidRPr="000C059E" w:rsidRDefault="00200B99" w:rsidP="00773EAE">
      <w:pPr>
        <w:ind w:left="851"/>
        <w:rPr>
          <w:sz w:val="24"/>
          <w:szCs w:val="24"/>
        </w:rPr>
      </w:pPr>
      <w:r w:rsidRPr="000C059E">
        <w:rPr>
          <w:sz w:val="24"/>
          <w:szCs w:val="24"/>
        </w:rPr>
        <w:t>Der er ingen data fra anvendelse af lenvatinib til gravide kvinder. Lenvatinib var embryotoksisk og teratogent ved administration til rotter og kaniner (se pkt. 5.3).</w:t>
      </w:r>
    </w:p>
    <w:p w14:paraId="67BDB463" w14:textId="77777777" w:rsidR="00200B99" w:rsidRPr="000C059E" w:rsidRDefault="00200B99" w:rsidP="00773EAE">
      <w:pPr>
        <w:ind w:left="851"/>
        <w:rPr>
          <w:sz w:val="24"/>
          <w:szCs w:val="24"/>
        </w:rPr>
      </w:pPr>
    </w:p>
    <w:p w14:paraId="73BE35E5" w14:textId="77777777" w:rsidR="00200B99" w:rsidRPr="000C059E" w:rsidRDefault="00200B99" w:rsidP="00773EAE">
      <w:pPr>
        <w:ind w:left="851"/>
        <w:rPr>
          <w:sz w:val="24"/>
          <w:szCs w:val="24"/>
        </w:rPr>
      </w:pPr>
      <w:r w:rsidRPr="000C059E">
        <w:rPr>
          <w:sz w:val="24"/>
          <w:szCs w:val="24"/>
        </w:rPr>
        <w:t>Lenvatinib bør ikke anvendes under graviditeten, medmindre det er klart nødvendigt, og først efter en nøje afvejning af moderens behov og risikoen for fosteret.</w:t>
      </w:r>
    </w:p>
    <w:p w14:paraId="63267CAA" w14:textId="77777777" w:rsidR="00200B99" w:rsidRPr="000C059E" w:rsidRDefault="00200B99" w:rsidP="00773EAE">
      <w:pPr>
        <w:ind w:left="851"/>
        <w:rPr>
          <w:sz w:val="24"/>
          <w:szCs w:val="24"/>
        </w:rPr>
      </w:pPr>
    </w:p>
    <w:p w14:paraId="568963F1" w14:textId="77777777" w:rsidR="00200B99" w:rsidRPr="00CD6EF3" w:rsidRDefault="00200B99" w:rsidP="00773EAE">
      <w:pPr>
        <w:ind w:left="851"/>
        <w:rPr>
          <w:sz w:val="24"/>
          <w:szCs w:val="24"/>
          <w:u w:val="single"/>
        </w:rPr>
      </w:pPr>
      <w:r w:rsidRPr="00CD6EF3">
        <w:rPr>
          <w:sz w:val="24"/>
          <w:szCs w:val="24"/>
          <w:u w:val="single"/>
        </w:rPr>
        <w:t>Amning</w:t>
      </w:r>
    </w:p>
    <w:p w14:paraId="6FCBFAC0" w14:textId="77777777" w:rsidR="00200B99" w:rsidRPr="000C059E" w:rsidRDefault="00200B99" w:rsidP="00773EAE">
      <w:pPr>
        <w:ind w:left="851"/>
        <w:rPr>
          <w:sz w:val="24"/>
          <w:szCs w:val="24"/>
        </w:rPr>
      </w:pPr>
    </w:p>
    <w:p w14:paraId="7F5F8EA8" w14:textId="77777777" w:rsidR="00200B99" w:rsidRPr="000C059E" w:rsidRDefault="00200B99" w:rsidP="00773EAE">
      <w:pPr>
        <w:ind w:left="851"/>
        <w:rPr>
          <w:color w:val="000000"/>
          <w:sz w:val="24"/>
          <w:szCs w:val="24"/>
        </w:rPr>
      </w:pPr>
      <w:r w:rsidRPr="000C059E">
        <w:rPr>
          <w:color w:val="000000"/>
          <w:sz w:val="24"/>
          <w:szCs w:val="24"/>
        </w:rPr>
        <w:t xml:space="preserve">Det er ukendt, om lenvatinib udskilles i human mælk. Lenvatinib og dets metabolitter udskilles i rottemælk (se pkt. 5.3). </w:t>
      </w:r>
    </w:p>
    <w:p w14:paraId="0FF0CD6D" w14:textId="77777777" w:rsidR="00200B99" w:rsidRPr="000C059E" w:rsidRDefault="00200B99" w:rsidP="00773EAE">
      <w:pPr>
        <w:ind w:left="851"/>
        <w:rPr>
          <w:color w:val="000000"/>
          <w:sz w:val="24"/>
          <w:szCs w:val="24"/>
        </w:rPr>
      </w:pPr>
    </w:p>
    <w:p w14:paraId="240594F5" w14:textId="77777777" w:rsidR="00200B99" w:rsidRPr="000C059E" w:rsidRDefault="00200B99" w:rsidP="00773EAE">
      <w:pPr>
        <w:ind w:left="851"/>
        <w:rPr>
          <w:color w:val="000000"/>
          <w:sz w:val="24"/>
          <w:szCs w:val="24"/>
        </w:rPr>
      </w:pPr>
      <w:r w:rsidRPr="000C059E">
        <w:rPr>
          <w:color w:val="000000"/>
          <w:sz w:val="24"/>
          <w:szCs w:val="24"/>
        </w:rPr>
        <w:t>En risiko for nyfødte eller spædbørn kan ikke udelukkes, og derfor er lenvatinib kontraindiceret under amning (se pkt. 4.3).</w:t>
      </w:r>
    </w:p>
    <w:p w14:paraId="053043FD" w14:textId="77777777" w:rsidR="00200B99" w:rsidRPr="000C059E" w:rsidRDefault="00200B99" w:rsidP="00773EAE">
      <w:pPr>
        <w:ind w:left="851"/>
        <w:rPr>
          <w:sz w:val="24"/>
          <w:szCs w:val="24"/>
        </w:rPr>
      </w:pPr>
    </w:p>
    <w:p w14:paraId="27ACF13E" w14:textId="77777777" w:rsidR="00200B99" w:rsidRPr="00CD6EF3" w:rsidRDefault="00200B99" w:rsidP="00773EAE">
      <w:pPr>
        <w:ind w:left="851"/>
        <w:rPr>
          <w:sz w:val="24"/>
          <w:szCs w:val="24"/>
          <w:u w:val="single"/>
        </w:rPr>
      </w:pPr>
      <w:r w:rsidRPr="00CD6EF3">
        <w:rPr>
          <w:sz w:val="24"/>
          <w:szCs w:val="24"/>
          <w:u w:val="single"/>
        </w:rPr>
        <w:t>Fertilitet</w:t>
      </w:r>
    </w:p>
    <w:p w14:paraId="30AF9112" w14:textId="77777777" w:rsidR="00200B99" w:rsidRPr="000C059E" w:rsidRDefault="00200B99" w:rsidP="00773EAE">
      <w:pPr>
        <w:ind w:left="851"/>
        <w:rPr>
          <w:sz w:val="24"/>
          <w:szCs w:val="24"/>
        </w:rPr>
      </w:pPr>
    </w:p>
    <w:p w14:paraId="5A5D2632" w14:textId="77777777" w:rsidR="00200B99" w:rsidRPr="000C059E" w:rsidRDefault="00200B99" w:rsidP="00773EAE">
      <w:pPr>
        <w:ind w:left="851"/>
        <w:rPr>
          <w:sz w:val="24"/>
          <w:szCs w:val="24"/>
        </w:rPr>
      </w:pPr>
      <w:r w:rsidRPr="000C059E">
        <w:rPr>
          <w:sz w:val="24"/>
          <w:szCs w:val="24"/>
        </w:rPr>
        <w:t>Virkningerne hos mennesker er ukendte. Der er imidlertid blevet observeret testikeltoksicitet og ovarietoksicitet hos rotter, hunde og aber (se pkt. 5.3).</w:t>
      </w:r>
    </w:p>
    <w:p w14:paraId="711CF21A" w14:textId="77777777" w:rsidR="009260DE" w:rsidRPr="000C059E" w:rsidRDefault="009260DE" w:rsidP="009260DE">
      <w:pPr>
        <w:tabs>
          <w:tab w:val="left" w:pos="851"/>
        </w:tabs>
        <w:ind w:left="851"/>
        <w:rPr>
          <w:sz w:val="24"/>
          <w:szCs w:val="24"/>
        </w:rPr>
      </w:pPr>
    </w:p>
    <w:p w14:paraId="7E80C827" w14:textId="77777777" w:rsidR="009260DE" w:rsidRPr="000C059E" w:rsidRDefault="009260DE" w:rsidP="009260DE">
      <w:pPr>
        <w:tabs>
          <w:tab w:val="left" w:pos="851"/>
        </w:tabs>
        <w:ind w:left="851" w:hanging="851"/>
        <w:rPr>
          <w:b/>
          <w:sz w:val="24"/>
          <w:szCs w:val="24"/>
        </w:rPr>
      </w:pPr>
      <w:r w:rsidRPr="000C059E">
        <w:rPr>
          <w:b/>
          <w:sz w:val="24"/>
          <w:szCs w:val="24"/>
        </w:rPr>
        <w:t>4.7</w:t>
      </w:r>
      <w:r w:rsidRPr="000C059E">
        <w:rPr>
          <w:b/>
          <w:sz w:val="24"/>
          <w:szCs w:val="24"/>
        </w:rPr>
        <w:tab/>
        <w:t xml:space="preserve">Virkning på evnen til at føre motorkøretøj </w:t>
      </w:r>
      <w:r w:rsidR="0071241E" w:rsidRPr="000C059E">
        <w:rPr>
          <w:b/>
          <w:sz w:val="24"/>
          <w:szCs w:val="24"/>
        </w:rPr>
        <w:t>og</w:t>
      </w:r>
      <w:r w:rsidRPr="000C059E">
        <w:rPr>
          <w:b/>
          <w:sz w:val="24"/>
          <w:szCs w:val="24"/>
        </w:rPr>
        <w:t xml:space="preserve"> betjene maskiner</w:t>
      </w:r>
    </w:p>
    <w:p w14:paraId="64A48EF1" w14:textId="77777777" w:rsidR="000E71CD" w:rsidRDefault="000E71CD" w:rsidP="00773EAE">
      <w:pPr>
        <w:ind w:left="851"/>
        <w:rPr>
          <w:sz w:val="24"/>
          <w:szCs w:val="24"/>
        </w:rPr>
      </w:pPr>
      <w:r>
        <w:rPr>
          <w:sz w:val="24"/>
          <w:szCs w:val="24"/>
        </w:rPr>
        <w:t>Ikke mærkning.</w:t>
      </w:r>
    </w:p>
    <w:p w14:paraId="6B744EB3" w14:textId="266DFD8B" w:rsidR="00200B99" w:rsidRPr="000C059E" w:rsidRDefault="00200B99" w:rsidP="00773EAE">
      <w:pPr>
        <w:ind w:left="851"/>
        <w:rPr>
          <w:sz w:val="24"/>
          <w:szCs w:val="24"/>
        </w:rPr>
      </w:pPr>
      <w:r w:rsidRPr="000C059E">
        <w:rPr>
          <w:sz w:val="24"/>
          <w:szCs w:val="24"/>
        </w:rPr>
        <w:t>Lenvatinib påvirker i mindre grad evnen til at føre motorkøretøj og betjene maskiner på grund af bivirkninger som træthed og svimmelhed. Patienter, der oplever sådanne symptomer, bør udvise forsigtighed, når de fører motorkøretøjer eller betjener maskiner.</w:t>
      </w:r>
    </w:p>
    <w:p w14:paraId="59A0A716" w14:textId="20CE1854" w:rsidR="00C44B05" w:rsidRDefault="00C44B05">
      <w:pPr>
        <w:rPr>
          <w:sz w:val="24"/>
          <w:szCs w:val="24"/>
        </w:rPr>
      </w:pPr>
      <w:r>
        <w:rPr>
          <w:sz w:val="24"/>
          <w:szCs w:val="24"/>
        </w:rPr>
        <w:br w:type="page"/>
      </w:r>
    </w:p>
    <w:p w14:paraId="1D880C42" w14:textId="77777777" w:rsidR="009260DE" w:rsidRPr="000C059E" w:rsidRDefault="009260DE" w:rsidP="009260DE">
      <w:pPr>
        <w:tabs>
          <w:tab w:val="left" w:pos="851"/>
        </w:tabs>
        <w:ind w:left="851"/>
        <w:rPr>
          <w:sz w:val="24"/>
          <w:szCs w:val="24"/>
        </w:rPr>
      </w:pPr>
    </w:p>
    <w:p w14:paraId="0336EF55" w14:textId="77777777" w:rsidR="009260DE" w:rsidRPr="000C059E" w:rsidRDefault="009260DE" w:rsidP="009260DE">
      <w:pPr>
        <w:tabs>
          <w:tab w:val="left" w:pos="851"/>
        </w:tabs>
        <w:ind w:left="851" w:hanging="851"/>
        <w:rPr>
          <w:b/>
          <w:sz w:val="24"/>
          <w:szCs w:val="24"/>
        </w:rPr>
      </w:pPr>
      <w:r w:rsidRPr="000C059E">
        <w:rPr>
          <w:b/>
          <w:sz w:val="24"/>
          <w:szCs w:val="24"/>
        </w:rPr>
        <w:t>4.8</w:t>
      </w:r>
      <w:r w:rsidRPr="000C059E">
        <w:rPr>
          <w:b/>
          <w:sz w:val="24"/>
          <w:szCs w:val="24"/>
        </w:rPr>
        <w:tab/>
        <w:t>Bivirkninger</w:t>
      </w:r>
    </w:p>
    <w:p w14:paraId="372589A5" w14:textId="77777777" w:rsidR="000E71CD" w:rsidRDefault="000E71CD" w:rsidP="00773EAE">
      <w:pPr>
        <w:ind w:left="851"/>
        <w:rPr>
          <w:sz w:val="24"/>
          <w:szCs w:val="24"/>
        </w:rPr>
      </w:pPr>
    </w:p>
    <w:p w14:paraId="46743E24" w14:textId="180C9E67" w:rsidR="00200B99" w:rsidRPr="000E71CD" w:rsidRDefault="00200B99" w:rsidP="00773EAE">
      <w:pPr>
        <w:ind w:left="851"/>
        <w:rPr>
          <w:sz w:val="24"/>
          <w:szCs w:val="24"/>
          <w:u w:val="single"/>
        </w:rPr>
      </w:pPr>
      <w:r w:rsidRPr="000E71CD">
        <w:rPr>
          <w:sz w:val="24"/>
          <w:szCs w:val="24"/>
          <w:u w:val="single"/>
        </w:rPr>
        <w:t>Oversigt af sikkerhedsprofilen</w:t>
      </w:r>
    </w:p>
    <w:p w14:paraId="7480B960" w14:textId="77777777" w:rsidR="00200B99" w:rsidRPr="000C059E" w:rsidRDefault="00200B99" w:rsidP="00773EAE">
      <w:pPr>
        <w:ind w:left="851"/>
        <w:rPr>
          <w:sz w:val="24"/>
          <w:szCs w:val="24"/>
        </w:rPr>
      </w:pPr>
    </w:p>
    <w:p w14:paraId="095490F6" w14:textId="77777777" w:rsidR="00200B99" w:rsidRPr="000E71CD" w:rsidRDefault="00200B99" w:rsidP="00773EAE">
      <w:pPr>
        <w:ind w:left="851"/>
        <w:rPr>
          <w:i/>
          <w:sz w:val="24"/>
          <w:szCs w:val="24"/>
          <w:u w:val="single"/>
        </w:rPr>
      </w:pPr>
      <w:r w:rsidRPr="000E71CD">
        <w:rPr>
          <w:i/>
          <w:sz w:val="24"/>
          <w:szCs w:val="24"/>
          <w:u w:val="single"/>
        </w:rPr>
        <w:t>DTC</w:t>
      </w:r>
    </w:p>
    <w:p w14:paraId="0C49F53A" w14:textId="77777777" w:rsidR="00200B99" w:rsidRPr="000C059E" w:rsidRDefault="00200B99" w:rsidP="00773EAE">
      <w:pPr>
        <w:ind w:left="851"/>
        <w:rPr>
          <w:i/>
          <w:sz w:val="24"/>
          <w:szCs w:val="24"/>
        </w:rPr>
      </w:pPr>
    </w:p>
    <w:p w14:paraId="0C516CF8" w14:textId="77777777" w:rsidR="00200B99" w:rsidRPr="000C059E" w:rsidRDefault="00200B99" w:rsidP="00773EAE">
      <w:pPr>
        <w:ind w:left="851"/>
        <w:rPr>
          <w:sz w:val="24"/>
          <w:szCs w:val="24"/>
        </w:rPr>
      </w:pPr>
      <w:r w:rsidRPr="000C059E">
        <w:rPr>
          <w:sz w:val="24"/>
          <w:szCs w:val="24"/>
        </w:rPr>
        <w:t>De hyppigst rapporterede bivirkninger (der forekom hos ≥ 30 % af patienterne) er hypertension (68,6 %), diarré (62,8 %), nedsat appetit (51,5 %), vægttab (49,1 %), træthed (45,8 %), kvalme (44,5 %), proteinuri (36,9 %), stomatitis (35,8 %), opkastning (34,5 %), dysfoni (34,1 %), hovedpine (34,1 %) og palmar-plantar erytrodysæstesisyndrom (PPE) (32,7 %). Hypertension og proteinuri havde en tendens til at forekomme tidligt i behandlingen med lenvatinib (se pkt. 4.4 og 4.8). Hovedparten af grad 3 til 4-bivirkninger forekom i løbet af de første 6 måneders behandling, undtagen diarré som forekom i løbet af hele behandlingen, og vægttab, der havde en tendens til at akkumulere med tiden.</w:t>
      </w:r>
    </w:p>
    <w:p w14:paraId="2ACE10BB" w14:textId="77777777" w:rsidR="00200B99" w:rsidRPr="000C059E" w:rsidRDefault="00200B99" w:rsidP="00773EAE">
      <w:pPr>
        <w:ind w:left="851"/>
        <w:rPr>
          <w:sz w:val="24"/>
          <w:szCs w:val="24"/>
        </w:rPr>
      </w:pPr>
    </w:p>
    <w:p w14:paraId="3E6496F9" w14:textId="77777777" w:rsidR="00200B99" w:rsidRPr="000C059E" w:rsidRDefault="00200B99" w:rsidP="00773EAE">
      <w:pPr>
        <w:ind w:left="851"/>
        <w:rPr>
          <w:sz w:val="24"/>
          <w:szCs w:val="24"/>
        </w:rPr>
      </w:pPr>
      <w:r w:rsidRPr="000C059E">
        <w:rPr>
          <w:sz w:val="24"/>
          <w:szCs w:val="24"/>
        </w:rPr>
        <w:t>De vigtigste alvorlige bivirkninger var nyresvigt og nedsat nyrefunktion (2,4 %), arteriel tromboemboli (3,9 %), hjertesvigt (0,7 %), intrakranial tumorblødning (0,7 %), PRES/RPLS (0,2 %), leversvigt (0,2 %) og arteriel tromboemboli (cerebrovaskulært anfald (1,1 %), transitorisk iskæmisk anfald (0,7 %) og myokardieinfarkt (0,9 %)).</w:t>
      </w:r>
    </w:p>
    <w:p w14:paraId="34009B69" w14:textId="77777777" w:rsidR="00200B99" w:rsidRPr="000C059E" w:rsidRDefault="00200B99" w:rsidP="00773EAE">
      <w:pPr>
        <w:ind w:left="851"/>
        <w:rPr>
          <w:sz w:val="24"/>
          <w:szCs w:val="24"/>
        </w:rPr>
      </w:pPr>
    </w:p>
    <w:p w14:paraId="1656D387" w14:textId="77777777" w:rsidR="00200B99" w:rsidRPr="000C059E" w:rsidRDefault="00200B99" w:rsidP="00773EAE">
      <w:pPr>
        <w:ind w:left="851"/>
        <w:rPr>
          <w:sz w:val="24"/>
          <w:szCs w:val="24"/>
        </w:rPr>
      </w:pPr>
      <w:r w:rsidRPr="000C059E">
        <w:rPr>
          <w:sz w:val="24"/>
          <w:szCs w:val="24"/>
        </w:rPr>
        <w:t>Hos 452 patienter med RAI-refraktært DTC var dosisreduktion og seponering de udførte handlinger for en bivirkning hos hhv. 63,1 % og 19,5 % af patienterne. Bivirkninger, der mest almindeligt førte til dosisreduktioner (hos ≥ 5 % af patienterne), var hypertension, proteinuri, diarré, træthed, PPE, vægttab og nedsat appetit. Bivirkninger, der mest almindeligt førte til seponering af lenvatinib, var proteinuri, asteni, hypertension, cerebrovaskulært anfald, diarré og</w:t>
      </w:r>
      <w:r w:rsidRPr="000C059E">
        <w:rPr>
          <w:spacing w:val="-10"/>
          <w:sz w:val="24"/>
          <w:szCs w:val="24"/>
        </w:rPr>
        <w:t xml:space="preserve"> </w:t>
      </w:r>
      <w:r w:rsidRPr="000C059E">
        <w:rPr>
          <w:sz w:val="24"/>
          <w:szCs w:val="24"/>
        </w:rPr>
        <w:t>lungeemboli.</w:t>
      </w:r>
    </w:p>
    <w:p w14:paraId="1BFDA75B" w14:textId="77777777" w:rsidR="00200B99" w:rsidRPr="000C059E" w:rsidRDefault="00200B99" w:rsidP="00773EAE">
      <w:pPr>
        <w:ind w:left="851"/>
        <w:rPr>
          <w:sz w:val="24"/>
          <w:szCs w:val="24"/>
        </w:rPr>
      </w:pPr>
    </w:p>
    <w:p w14:paraId="6D0A0235" w14:textId="77777777" w:rsidR="00200B99" w:rsidRPr="000E71CD" w:rsidRDefault="00200B99" w:rsidP="00773EAE">
      <w:pPr>
        <w:ind w:left="851"/>
        <w:rPr>
          <w:i/>
          <w:sz w:val="24"/>
          <w:szCs w:val="24"/>
          <w:u w:val="single"/>
        </w:rPr>
      </w:pPr>
      <w:r w:rsidRPr="000E71CD">
        <w:rPr>
          <w:i/>
          <w:sz w:val="24"/>
          <w:szCs w:val="24"/>
          <w:u w:val="single"/>
        </w:rPr>
        <w:t>HCC</w:t>
      </w:r>
    </w:p>
    <w:p w14:paraId="34039547" w14:textId="77777777" w:rsidR="00200B99" w:rsidRPr="000C059E" w:rsidRDefault="00200B99" w:rsidP="00773EAE">
      <w:pPr>
        <w:ind w:left="851"/>
        <w:rPr>
          <w:i/>
          <w:sz w:val="24"/>
          <w:szCs w:val="24"/>
        </w:rPr>
      </w:pPr>
    </w:p>
    <w:p w14:paraId="08829F89" w14:textId="77777777" w:rsidR="00200B99" w:rsidRPr="000C059E" w:rsidRDefault="00200B99" w:rsidP="00773EAE">
      <w:pPr>
        <w:ind w:left="851"/>
        <w:rPr>
          <w:sz w:val="24"/>
          <w:szCs w:val="24"/>
        </w:rPr>
      </w:pPr>
      <w:r w:rsidRPr="000C059E">
        <w:rPr>
          <w:sz w:val="24"/>
          <w:szCs w:val="24"/>
        </w:rPr>
        <w:t>De hyppigst rapporterede bivirkninger (forekom hos ≥ 30 % af patienterne) er hypertension (44,0 %), diarré (38,1 %), nedsat appetit (34,9 %), træthed (30,6 %) og vægttab (30,4 %).</w:t>
      </w:r>
    </w:p>
    <w:p w14:paraId="162EFCF9" w14:textId="77777777" w:rsidR="00200B99" w:rsidRPr="000C059E" w:rsidRDefault="00200B99" w:rsidP="00773EAE">
      <w:pPr>
        <w:ind w:left="851"/>
        <w:rPr>
          <w:sz w:val="24"/>
          <w:szCs w:val="24"/>
        </w:rPr>
      </w:pPr>
    </w:p>
    <w:p w14:paraId="23ABAAC2" w14:textId="77777777" w:rsidR="00200B99" w:rsidRPr="000C059E" w:rsidRDefault="00200B99" w:rsidP="00773EAE">
      <w:pPr>
        <w:ind w:left="851"/>
        <w:rPr>
          <w:sz w:val="24"/>
          <w:szCs w:val="24"/>
        </w:rPr>
      </w:pPr>
      <w:r w:rsidRPr="000C059E">
        <w:rPr>
          <w:sz w:val="24"/>
          <w:szCs w:val="24"/>
        </w:rPr>
        <w:t>De vigtigste alvorlige bivirkninger var leversvigt (2,8 %), hepatisk encefalopati (4,6 %), øsofageal åreknudeblødning (1,4 %), cerebral blødning (0,6 %), arteriel tromboembolisk hændelse (2,0 %) inklusive myokardieinfarkt (0,8 %), cerebralt infarkt (0,4 %) og cerebrovaskulært anfald (0,4 %) og hændelser med nyresvigt/-forringelser (1,4 %). Der var en højere forekomst af nedsat neutrofiltal hos patienter med HCC (8,7 %) på lenvatinib end hos andre ikke-HCC tumortyper (1,4 %), hvilket ikke var forbundet med infektion, sepsis eller bakteriel peritonitis.</w:t>
      </w:r>
    </w:p>
    <w:p w14:paraId="0BC2A733" w14:textId="77777777" w:rsidR="00200B99" w:rsidRPr="000C059E" w:rsidRDefault="00200B99" w:rsidP="00773EAE">
      <w:pPr>
        <w:ind w:left="851"/>
        <w:rPr>
          <w:sz w:val="24"/>
          <w:szCs w:val="24"/>
        </w:rPr>
      </w:pPr>
    </w:p>
    <w:p w14:paraId="45951762" w14:textId="77777777" w:rsidR="00200B99" w:rsidRPr="000C059E" w:rsidRDefault="00200B99" w:rsidP="00773EAE">
      <w:pPr>
        <w:ind w:left="851"/>
        <w:rPr>
          <w:sz w:val="24"/>
          <w:szCs w:val="24"/>
        </w:rPr>
      </w:pPr>
      <w:r w:rsidRPr="000C059E">
        <w:rPr>
          <w:sz w:val="24"/>
          <w:szCs w:val="24"/>
        </w:rPr>
        <w:t>Hos 496 patienter med HCC var dosisreduktion (afbrydelse eller reduktion) og seponering de udførte handlinger for en bivirkning hos hhv. 62,3 % og 20,2 % af patienterne. Bivirkninger, der mest almindeligt førte til dosisreduktioner (hos ≥ 5 % af patienterne), var nedsat appetit, diarré, proteinuri, hypertension, træthed, PPE og nedsat trombocyttal. Bivirkninger, der mest almindeligt førte til seponering af lenvatinib var hepatisk encefalopati, træthed, øget bilirubin i blodet, proteinuri og leversvigt.</w:t>
      </w:r>
    </w:p>
    <w:p w14:paraId="03AEEBDD" w14:textId="074B0D3B" w:rsidR="00C44B05" w:rsidRDefault="00C44B05">
      <w:pPr>
        <w:rPr>
          <w:sz w:val="24"/>
          <w:szCs w:val="24"/>
        </w:rPr>
      </w:pPr>
      <w:r>
        <w:rPr>
          <w:sz w:val="24"/>
          <w:szCs w:val="24"/>
        </w:rPr>
        <w:br w:type="page"/>
      </w:r>
    </w:p>
    <w:p w14:paraId="65474E53" w14:textId="77777777" w:rsidR="00200B99" w:rsidRPr="000C059E" w:rsidRDefault="00200B99" w:rsidP="00773EAE">
      <w:pPr>
        <w:ind w:left="851"/>
        <w:rPr>
          <w:sz w:val="24"/>
          <w:szCs w:val="24"/>
        </w:rPr>
      </w:pPr>
    </w:p>
    <w:p w14:paraId="689B27EB" w14:textId="77777777" w:rsidR="00200B99" w:rsidRPr="000E71CD" w:rsidRDefault="00200B99" w:rsidP="00773EAE">
      <w:pPr>
        <w:ind w:left="851"/>
        <w:rPr>
          <w:i/>
          <w:sz w:val="24"/>
          <w:szCs w:val="24"/>
          <w:u w:val="single"/>
        </w:rPr>
      </w:pPr>
      <w:r w:rsidRPr="000E71CD">
        <w:rPr>
          <w:i/>
          <w:sz w:val="24"/>
          <w:szCs w:val="24"/>
          <w:u w:val="single"/>
        </w:rPr>
        <w:t>EC</w:t>
      </w:r>
    </w:p>
    <w:p w14:paraId="235749C6" w14:textId="77777777" w:rsidR="00200B99" w:rsidRPr="000C059E" w:rsidRDefault="00200B99" w:rsidP="00773EAE">
      <w:pPr>
        <w:ind w:left="851"/>
        <w:rPr>
          <w:i/>
          <w:sz w:val="24"/>
          <w:szCs w:val="24"/>
        </w:rPr>
      </w:pPr>
    </w:p>
    <w:p w14:paraId="66B5FDE1" w14:textId="3F474F78" w:rsidR="00200B99" w:rsidRPr="000C059E" w:rsidRDefault="00200B99" w:rsidP="00773EAE">
      <w:pPr>
        <w:ind w:left="851"/>
        <w:rPr>
          <w:sz w:val="24"/>
          <w:szCs w:val="24"/>
        </w:rPr>
      </w:pPr>
      <w:r w:rsidRPr="000C059E">
        <w:rPr>
          <w:sz w:val="24"/>
          <w:szCs w:val="24"/>
        </w:rPr>
        <w:t>Sikkerheden ved lenvatinib i kombination med pembrolizumab er blevet evalueret hos 530</w:t>
      </w:r>
      <w:r w:rsidR="00C44B05">
        <w:rPr>
          <w:sz w:val="24"/>
          <w:szCs w:val="24"/>
        </w:rPr>
        <w:t> </w:t>
      </w:r>
      <w:r w:rsidRPr="000C059E">
        <w:rPr>
          <w:sz w:val="24"/>
          <w:szCs w:val="24"/>
        </w:rPr>
        <w:t>patienter med fremskreden EC, som fik 20 mg lenvatinib én gang dagligt og 200 mg pembrolizumab hver 3. uge. De mest almindelige bivirkninger (der forekom hos ≥ 20 % af patienterne) var hypertension (63 %), diarré (57 %), hypothyroidisme (56 %), kvalme (51</w:t>
      </w:r>
      <w:r w:rsidR="00C44B05">
        <w:rPr>
          <w:sz w:val="24"/>
          <w:szCs w:val="24"/>
        </w:rPr>
        <w:t> </w:t>
      </w:r>
      <w:r w:rsidRPr="000C059E">
        <w:rPr>
          <w:sz w:val="24"/>
          <w:szCs w:val="24"/>
        </w:rPr>
        <w:t>%), nedsat appetit (47 %), opkastning (39 %), træthed (38 %), vægtreduktion (35 %), artralgi (33 %), proteinuri (29 %), obstipation (27 %), hovedpine (27 %), urinvejsinfektion (27 %), dysfoni (25 %), abdominalsmerter (23 %), asteni (23 %), palmar-plantar erytrodysæstesisyndrom (23 %), stomatitis (23 %), anæmi (22 %) og hypomagnesiæmi (20</w:t>
      </w:r>
      <w:r w:rsidR="00C44B05">
        <w:rPr>
          <w:sz w:val="24"/>
          <w:szCs w:val="24"/>
        </w:rPr>
        <w:t> </w:t>
      </w:r>
      <w:r w:rsidRPr="000C059E">
        <w:rPr>
          <w:sz w:val="24"/>
          <w:szCs w:val="24"/>
        </w:rPr>
        <w:t>%).</w:t>
      </w:r>
    </w:p>
    <w:p w14:paraId="6ED98F7B" w14:textId="77777777" w:rsidR="00200B99" w:rsidRPr="000C059E" w:rsidRDefault="00200B99" w:rsidP="00773EAE">
      <w:pPr>
        <w:ind w:left="851"/>
        <w:rPr>
          <w:sz w:val="24"/>
          <w:szCs w:val="24"/>
        </w:rPr>
      </w:pPr>
    </w:p>
    <w:p w14:paraId="2B624D5B" w14:textId="77777777" w:rsidR="00200B99" w:rsidRPr="000C059E" w:rsidRDefault="00200B99" w:rsidP="00773EAE">
      <w:pPr>
        <w:ind w:left="851"/>
        <w:rPr>
          <w:sz w:val="24"/>
          <w:szCs w:val="24"/>
        </w:rPr>
      </w:pPr>
      <w:r w:rsidRPr="000C059E">
        <w:rPr>
          <w:sz w:val="24"/>
          <w:szCs w:val="24"/>
        </w:rPr>
        <w:t>De mest almindelige svære (grad ≥ 3) bivirkninger (der forekom hos ≥ 5 % af patienterne) var hypertension (37,2 %), vægttab (9,1 %), diarré (8,1 %), forhøjet lipase (7,7 %), nedsat appetit (6,4 %), asteni (6 %), træthed (6 %), hypokaliæmi (5,7 %), anæmi (5,3 %) og proteinuri (5,1 %).</w:t>
      </w:r>
    </w:p>
    <w:p w14:paraId="753E76A5" w14:textId="77777777" w:rsidR="00200B99" w:rsidRPr="000C059E" w:rsidRDefault="00200B99" w:rsidP="00773EAE">
      <w:pPr>
        <w:ind w:left="851"/>
        <w:rPr>
          <w:sz w:val="24"/>
          <w:szCs w:val="24"/>
        </w:rPr>
      </w:pPr>
    </w:p>
    <w:p w14:paraId="785A88EE" w14:textId="77777777" w:rsidR="00200B99" w:rsidRPr="000C059E" w:rsidRDefault="00200B99" w:rsidP="00773EAE">
      <w:pPr>
        <w:ind w:left="851"/>
        <w:rPr>
          <w:sz w:val="24"/>
          <w:szCs w:val="24"/>
        </w:rPr>
      </w:pPr>
      <w:r w:rsidRPr="000C059E">
        <w:rPr>
          <w:sz w:val="24"/>
          <w:szCs w:val="24"/>
        </w:rPr>
        <w:t>Seponering af lenvatinib forekom hos 30,6 % af patienterne, og seponering af både lenvatinib og pembrolizumab forekom hos 15,3 % af patienterne som følge af en bivirkning. De mest almindelige bivirkninger (der forekom hos ≥ 1 % af patienterne), som førte til seponering af lenvatinib, var hypertension (1,9 %), diarré (1,3 %), asteni (1,3 %), nedsat appetit (1,3 %), proteinuri (1,3 %) og vægttab (1,1 %).</w:t>
      </w:r>
    </w:p>
    <w:p w14:paraId="44440F5E" w14:textId="77777777" w:rsidR="00200B99" w:rsidRPr="000C059E" w:rsidRDefault="00200B99" w:rsidP="00773EAE">
      <w:pPr>
        <w:ind w:left="851"/>
        <w:rPr>
          <w:sz w:val="24"/>
          <w:szCs w:val="24"/>
        </w:rPr>
      </w:pPr>
    </w:p>
    <w:p w14:paraId="020E5B33" w14:textId="77777777" w:rsidR="00200B99" w:rsidRPr="000C059E" w:rsidRDefault="00200B99" w:rsidP="00773EAE">
      <w:pPr>
        <w:ind w:left="851"/>
        <w:rPr>
          <w:sz w:val="24"/>
          <w:szCs w:val="24"/>
        </w:rPr>
      </w:pPr>
      <w:r w:rsidRPr="000C059E">
        <w:rPr>
          <w:sz w:val="24"/>
          <w:szCs w:val="24"/>
        </w:rPr>
        <w:t>Afbrydelse af behandling med lenvatinib som følge af en bivirkning forekom hos 63,2 % af patienterne. Afbrydelse af behandling med lenvatinib og pembrolizumab som følge af en bivirkning forekom hos 34,3 % af patienterne. De mest almindelige bivirkninger (der forekom hos ≥ 5 % af patienterne), som førte til afbrydelse af lenvatinib, var hypertension (12,6 %), diarré (11,5 %), proteinuri (7,2 %), opkastning (7 %), træthed (5,7 %) og nedsat appetit (5,7 %).</w:t>
      </w:r>
    </w:p>
    <w:p w14:paraId="7BCD6307" w14:textId="77777777" w:rsidR="00200B99" w:rsidRPr="000C059E" w:rsidRDefault="00200B99" w:rsidP="00773EAE">
      <w:pPr>
        <w:ind w:left="851"/>
        <w:rPr>
          <w:sz w:val="24"/>
          <w:szCs w:val="24"/>
        </w:rPr>
      </w:pPr>
    </w:p>
    <w:p w14:paraId="115D09E5" w14:textId="4E9AD7DB" w:rsidR="00200B99" w:rsidRPr="000C059E" w:rsidRDefault="00200B99" w:rsidP="00773EAE">
      <w:pPr>
        <w:ind w:left="851"/>
        <w:rPr>
          <w:sz w:val="24"/>
          <w:szCs w:val="24"/>
        </w:rPr>
      </w:pPr>
      <w:r w:rsidRPr="000C059E">
        <w:rPr>
          <w:sz w:val="24"/>
          <w:szCs w:val="24"/>
        </w:rPr>
        <w:t>Dosisreduktion af lenvatinib som følge af bivirkninger forekom hos 67,0 % af patienterne. De mest almindelige bivirkninger (der forekom hos ≥ 5 % af patienterne), som førte til dosisreduktion af lenvatinib, var hypertension (16,2 %), diarré (12,5 %), palmar-plantar erytrodysæstesisyndrom (9,1 %), træthed (8,7 %), proteinuri (7,7 %), nedsat appetit (6,6</w:t>
      </w:r>
      <w:r w:rsidR="00C44B05">
        <w:rPr>
          <w:sz w:val="24"/>
          <w:szCs w:val="24"/>
        </w:rPr>
        <w:t> </w:t>
      </w:r>
      <w:r w:rsidRPr="000C059E">
        <w:rPr>
          <w:sz w:val="24"/>
          <w:szCs w:val="24"/>
        </w:rPr>
        <w:t>%), kvalme (5,5 %), asteni (5,1 % og vægttab (5,1 %).</w:t>
      </w:r>
    </w:p>
    <w:p w14:paraId="39515475" w14:textId="77777777" w:rsidR="00200B99" w:rsidRPr="000C059E" w:rsidRDefault="00200B99" w:rsidP="00773EAE">
      <w:pPr>
        <w:ind w:left="851"/>
        <w:rPr>
          <w:sz w:val="24"/>
          <w:szCs w:val="24"/>
        </w:rPr>
      </w:pPr>
    </w:p>
    <w:p w14:paraId="0021E42D" w14:textId="77777777" w:rsidR="00200B99" w:rsidRPr="008B4BF6" w:rsidRDefault="00200B99" w:rsidP="00773EAE">
      <w:pPr>
        <w:ind w:left="851"/>
        <w:rPr>
          <w:sz w:val="24"/>
          <w:szCs w:val="24"/>
          <w:u w:val="single"/>
        </w:rPr>
      </w:pPr>
      <w:r w:rsidRPr="008B4BF6">
        <w:rPr>
          <w:sz w:val="24"/>
          <w:szCs w:val="24"/>
          <w:u w:val="single"/>
        </w:rPr>
        <w:t>Liste over bivirkninger i tabelform</w:t>
      </w:r>
    </w:p>
    <w:p w14:paraId="2F3B3364" w14:textId="77777777" w:rsidR="00200B99" w:rsidRPr="000C059E" w:rsidRDefault="00200B99" w:rsidP="00773EAE">
      <w:pPr>
        <w:ind w:left="851"/>
        <w:rPr>
          <w:sz w:val="24"/>
          <w:szCs w:val="24"/>
        </w:rPr>
      </w:pPr>
    </w:p>
    <w:p w14:paraId="0D2F6125" w14:textId="77777777" w:rsidR="00200B99" w:rsidRPr="000C059E" w:rsidRDefault="00200B99" w:rsidP="00773EAE">
      <w:pPr>
        <w:ind w:left="851"/>
        <w:rPr>
          <w:sz w:val="24"/>
          <w:szCs w:val="24"/>
        </w:rPr>
      </w:pPr>
      <w:r w:rsidRPr="000C059E">
        <w:rPr>
          <w:sz w:val="24"/>
          <w:szCs w:val="24"/>
        </w:rPr>
        <w:t>Sikkerhedsprofilen for lenvatinib som monoterapi er baseret på data fra 452 DTC-patienter og 496 HCC-patienter, hvilket kun giver mulighed for at karakterisere almindelige bivirkninger hos patienter med DTC og HCC. De bivirkninger, der er anført i dette punkt, er baseret på sikkerhedsdata for både DTC- og HCC-patienter (se pkt. 5.1).</w:t>
      </w:r>
    </w:p>
    <w:p w14:paraId="6DAE73D3" w14:textId="77777777" w:rsidR="00200B99" w:rsidRPr="000C059E" w:rsidRDefault="00200B99" w:rsidP="00773EAE">
      <w:pPr>
        <w:ind w:left="851"/>
        <w:rPr>
          <w:sz w:val="24"/>
          <w:szCs w:val="24"/>
        </w:rPr>
      </w:pPr>
    </w:p>
    <w:p w14:paraId="589E4602" w14:textId="77777777" w:rsidR="00200B99" w:rsidRPr="000C059E" w:rsidRDefault="00200B99" w:rsidP="00773EAE">
      <w:pPr>
        <w:ind w:left="851"/>
        <w:rPr>
          <w:sz w:val="24"/>
          <w:szCs w:val="24"/>
        </w:rPr>
      </w:pPr>
      <w:r w:rsidRPr="000C059E">
        <w:rPr>
          <w:sz w:val="24"/>
          <w:szCs w:val="24"/>
        </w:rPr>
        <w:t>Sikkerhedsprofilen for lenvatinib som kombinationsterapi er baseret på data fra 530 EC-patienter, som blev behandlet med lenvatinib i kombination med pembrolizumab (se pkt. 5.1).</w:t>
      </w:r>
    </w:p>
    <w:p w14:paraId="4AF0AB58" w14:textId="77777777" w:rsidR="00200B99" w:rsidRPr="000C059E" w:rsidRDefault="00200B99" w:rsidP="00773EAE">
      <w:pPr>
        <w:ind w:left="851"/>
        <w:rPr>
          <w:sz w:val="24"/>
          <w:szCs w:val="24"/>
        </w:rPr>
      </w:pPr>
    </w:p>
    <w:p w14:paraId="0DEA2909" w14:textId="77777777" w:rsidR="00200B99" w:rsidRPr="000C059E" w:rsidRDefault="00200B99" w:rsidP="00773EAE">
      <w:pPr>
        <w:ind w:left="851"/>
        <w:rPr>
          <w:sz w:val="24"/>
          <w:szCs w:val="24"/>
        </w:rPr>
      </w:pPr>
      <w:r w:rsidRPr="000C059E">
        <w:rPr>
          <w:sz w:val="24"/>
          <w:szCs w:val="24"/>
        </w:rPr>
        <w:t>Bivirkninger observeret i kliniske studier med DTC, HCC og EC og rapporteret ved anvendelse af lenvatinib efter markedsføring er opstillet i tabel 6. Hyppighedsgraden for bivirkninger repræsenterer det mest konservative estimat af hyppighed fra de individuelle populationer. Bivirkninger med kendt forekomst ved komponenter af lenvatinib eller komponenter af kombinationsbehandling, der gives alene, kan opstå under behandling med en kombination af disse lægemidler, selvom disse bivirkninger ikke er blevet rapporteret i kliniske studier med kombinationsbehandling.</w:t>
      </w:r>
    </w:p>
    <w:p w14:paraId="6B34FE7B" w14:textId="77777777" w:rsidR="00200B99" w:rsidRPr="000C059E" w:rsidRDefault="00200B99" w:rsidP="00773EAE">
      <w:pPr>
        <w:ind w:left="851"/>
        <w:rPr>
          <w:sz w:val="24"/>
          <w:szCs w:val="24"/>
        </w:rPr>
      </w:pPr>
    </w:p>
    <w:p w14:paraId="6B13A812" w14:textId="77777777" w:rsidR="00200B99" w:rsidRPr="000C059E" w:rsidRDefault="00200B99" w:rsidP="00773EAE">
      <w:pPr>
        <w:ind w:left="851"/>
        <w:rPr>
          <w:sz w:val="24"/>
          <w:szCs w:val="24"/>
        </w:rPr>
      </w:pPr>
      <w:r w:rsidRPr="000C059E">
        <w:rPr>
          <w:sz w:val="24"/>
          <w:szCs w:val="24"/>
        </w:rPr>
        <w:t>Yderligere sikkerhedsoplysninger vedrørende kombinationsbehandling med lenvatinib fremgår af produktresuméet til den pågældende komponent i kombinationsbehandlingen (pembrolizumab).</w:t>
      </w:r>
    </w:p>
    <w:p w14:paraId="6C23B040" w14:textId="77777777" w:rsidR="00200B99" w:rsidRPr="000C059E" w:rsidRDefault="00200B99" w:rsidP="00773EAE">
      <w:pPr>
        <w:ind w:left="851"/>
        <w:rPr>
          <w:sz w:val="24"/>
          <w:szCs w:val="24"/>
        </w:rPr>
      </w:pPr>
    </w:p>
    <w:p w14:paraId="302D6EE1" w14:textId="77777777" w:rsidR="00200B99" w:rsidRPr="00C44B05" w:rsidRDefault="00200B99" w:rsidP="00773EAE">
      <w:pPr>
        <w:ind w:left="851"/>
        <w:rPr>
          <w:sz w:val="24"/>
          <w:szCs w:val="24"/>
        </w:rPr>
      </w:pPr>
      <w:r w:rsidRPr="00C44B05">
        <w:rPr>
          <w:sz w:val="24"/>
          <w:szCs w:val="24"/>
        </w:rPr>
        <w:t>Hyppighederne defineres som:</w:t>
      </w:r>
    </w:p>
    <w:p w14:paraId="5A03694E" w14:textId="77777777" w:rsidR="00200B99" w:rsidRPr="00C44B05" w:rsidRDefault="00200B99" w:rsidP="008B4BF6">
      <w:pPr>
        <w:pStyle w:val="Listeafsnit"/>
        <w:numPr>
          <w:ilvl w:val="0"/>
          <w:numId w:val="10"/>
        </w:numPr>
        <w:tabs>
          <w:tab w:val="left" w:pos="3261"/>
        </w:tabs>
        <w:ind w:left="1276" w:hanging="425"/>
        <w:rPr>
          <w:sz w:val="24"/>
          <w:szCs w:val="24"/>
          <w:lang w:val="da-DK"/>
        </w:rPr>
      </w:pPr>
      <w:r w:rsidRPr="00C44B05">
        <w:rPr>
          <w:sz w:val="24"/>
          <w:szCs w:val="24"/>
          <w:lang w:val="da-DK"/>
        </w:rPr>
        <w:t>Meget</w:t>
      </w:r>
      <w:r w:rsidRPr="00C44B05">
        <w:rPr>
          <w:spacing w:val="-4"/>
          <w:sz w:val="24"/>
          <w:szCs w:val="24"/>
          <w:lang w:val="da-DK"/>
        </w:rPr>
        <w:t xml:space="preserve"> </w:t>
      </w:r>
      <w:r w:rsidRPr="00C44B05">
        <w:rPr>
          <w:sz w:val="24"/>
          <w:szCs w:val="24"/>
          <w:lang w:val="da-DK"/>
        </w:rPr>
        <w:t>almindelig</w:t>
      </w:r>
      <w:r w:rsidRPr="00C44B05">
        <w:rPr>
          <w:sz w:val="24"/>
          <w:szCs w:val="24"/>
          <w:lang w:val="da-DK"/>
        </w:rPr>
        <w:tab/>
        <w:t>(≥</w:t>
      </w:r>
      <w:r w:rsidRPr="00C44B05">
        <w:rPr>
          <w:spacing w:val="1"/>
          <w:sz w:val="24"/>
          <w:szCs w:val="24"/>
          <w:lang w:val="da-DK"/>
        </w:rPr>
        <w:t xml:space="preserve"> </w:t>
      </w:r>
      <w:r w:rsidRPr="00C44B05">
        <w:rPr>
          <w:sz w:val="24"/>
          <w:szCs w:val="24"/>
          <w:lang w:val="da-DK"/>
        </w:rPr>
        <w:t>1/10)</w:t>
      </w:r>
    </w:p>
    <w:p w14:paraId="4FEBBEAF" w14:textId="6C4D3D61" w:rsidR="00200B99" w:rsidRPr="00C44B05" w:rsidRDefault="00200B99" w:rsidP="008B4BF6">
      <w:pPr>
        <w:pStyle w:val="Listeafsnit"/>
        <w:numPr>
          <w:ilvl w:val="0"/>
          <w:numId w:val="10"/>
        </w:numPr>
        <w:tabs>
          <w:tab w:val="left" w:pos="3261"/>
        </w:tabs>
        <w:ind w:left="1276" w:hanging="425"/>
        <w:rPr>
          <w:sz w:val="24"/>
          <w:szCs w:val="24"/>
          <w:lang w:val="da-DK"/>
        </w:rPr>
      </w:pPr>
      <w:r w:rsidRPr="00C44B05">
        <w:rPr>
          <w:sz w:val="24"/>
          <w:szCs w:val="24"/>
          <w:lang w:val="da-DK"/>
        </w:rPr>
        <w:t>Almindelig</w:t>
      </w:r>
      <w:r w:rsidRPr="00C44B05">
        <w:rPr>
          <w:sz w:val="24"/>
          <w:szCs w:val="24"/>
          <w:lang w:val="da-DK"/>
        </w:rPr>
        <w:tab/>
        <w:t>(≥ 1/100 til &lt;</w:t>
      </w:r>
      <w:r w:rsidRPr="00C44B05">
        <w:rPr>
          <w:spacing w:val="2"/>
          <w:sz w:val="24"/>
          <w:szCs w:val="24"/>
          <w:lang w:val="da-DK"/>
        </w:rPr>
        <w:t xml:space="preserve"> </w:t>
      </w:r>
      <w:r w:rsidRPr="00C44B05">
        <w:rPr>
          <w:sz w:val="24"/>
          <w:szCs w:val="24"/>
          <w:lang w:val="da-DK"/>
        </w:rPr>
        <w:t>1/10)</w:t>
      </w:r>
    </w:p>
    <w:p w14:paraId="21FF2840" w14:textId="77777777" w:rsidR="00200B99" w:rsidRPr="00C44B05" w:rsidRDefault="00200B99" w:rsidP="008B4BF6">
      <w:pPr>
        <w:pStyle w:val="Listeafsnit"/>
        <w:numPr>
          <w:ilvl w:val="0"/>
          <w:numId w:val="10"/>
        </w:numPr>
        <w:tabs>
          <w:tab w:val="left" w:pos="3261"/>
        </w:tabs>
        <w:ind w:left="1276" w:hanging="425"/>
        <w:rPr>
          <w:sz w:val="24"/>
          <w:szCs w:val="24"/>
          <w:lang w:val="da-DK"/>
        </w:rPr>
      </w:pPr>
      <w:r w:rsidRPr="00C44B05">
        <w:rPr>
          <w:sz w:val="24"/>
          <w:szCs w:val="24"/>
          <w:lang w:val="da-DK"/>
        </w:rPr>
        <w:t>Ikke</w:t>
      </w:r>
      <w:r w:rsidRPr="00C44B05">
        <w:rPr>
          <w:spacing w:val="-4"/>
          <w:sz w:val="24"/>
          <w:szCs w:val="24"/>
          <w:lang w:val="da-DK"/>
        </w:rPr>
        <w:t xml:space="preserve"> </w:t>
      </w:r>
      <w:r w:rsidRPr="00C44B05">
        <w:rPr>
          <w:sz w:val="24"/>
          <w:szCs w:val="24"/>
          <w:lang w:val="da-DK"/>
        </w:rPr>
        <w:t>almindelig</w:t>
      </w:r>
      <w:r w:rsidRPr="00C44B05">
        <w:rPr>
          <w:sz w:val="24"/>
          <w:szCs w:val="24"/>
          <w:lang w:val="da-DK"/>
        </w:rPr>
        <w:tab/>
        <w:t>(≥ 1/1.000 til &lt;</w:t>
      </w:r>
      <w:r w:rsidRPr="00C44B05">
        <w:rPr>
          <w:spacing w:val="-2"/>
          <w:sz w:val="24"/>
          <w:szCs w:val="24"/>
          <w:lang w:val="da-DK"/>
        </w:rPr>
        <w:t xml:space="preserve"> </w:t>
      </w:r>
      <w:r w:rsidRPr="00C44B05">
        <w:rPr>
          <w:sz w:val="24"/>
          <w:szCs w:val="24"/>
          <w:lang w:val="da-DK"/>
        </w:rPr>
        <w:t>1/100)</w:t>
      </w:r>
    </w:p>
    <w:p w14:paraId="54B7EF92" w14:textId="6A38B1C4" w:rsidR="00200B99" w:rsidRPr="00C44B05" w:rsidRDefault="00200B99" w:rsidP="008B4BF6">
      <w:pPr>
        <w:pStyle w:val="Listeafsnit"/>
        <w:numPr>
          <w:ilvl w:val="0"/>
          <w:numId w:val="10"/>
        </w:numPr>
        <w:tabs>
          <w:tab w:val="left" w:pos="3261"/>
        </w:tabs>
        <w:ind w:left="1276" w:hanging="425"/>
        <w:rPr>
          <w:sz w:val="24"/>
          <w:szCs w:val="24"/>
          <w:lang w:val="da-DK"/>
        </w:rPr>
      </w:pPr>
      <w:r w:rsidRPr="00C44B05">
        <w:rPr>
          <w:sz w:val="24"/>
          <w:szCs w:val="24"/>
          <w:lang w:val="da-DK"/>
        </w:rPr>
        <w:t>Sjælden</w:t>
      </w:r>
      <w:r w:rsidRPr="00C44B05">
        <w:rPr>
          <w:sz w:val="24"/>
          <w:szCs w:val="24"/>
          <w:lang w:val="da-DK"/>
        </w:rPr>
        <w:tab/>
        <w:t>(≥ 1/10.000 til &lt;</w:t>
      </w:r>
      <w:r w:rsidRPr="00C44B05">
        <w:rPr>
          <w:spacing w:val="-3"/>
          <w:sz w:val="24"/>
          <w:szCs w:val="24"/>
          <w:lang w:val="da-DK"/>
        </w:rPr>
        <w:t xml:space="preserve"> </w:t>
      </w:r>
      <w:r w:rsidRPr="00C44B05">
        <w:rPr>
          <w:sz w:val="24"/>
          <w:szCs w:val="24"/>
          <w:lang w:val="da-DK"/>
        </w:rPr>
        <w:t>1/1.000)</w:t>
      </w:r>
    </w:p>
    <w:p w14:paraId="2F6EA974" w14:textId="77777777" w:rsidR="00200B99" w:rsidRPr="00C44B05" w:rsidRDefault="00200B99" w:rsidP="008B4BF6">
      <w:pPr>
        <w:pStyle w:val="Listeafsnit"/>
        <w:numPr>
          <w:ilvl w:val="0"/>
          <w:numId w:val="10"/>
        </w:numPr>
        <w:tabs>
          <w:tab w:val="left" w:pos="3261"/>
        </w:tabs>
        <w:ind w:left="1276" w:hanging="425"/>
        <w:rPr>
          <w:sz w:val="24"/>
          <w:szCs w:val="24"/>
          <w:lang w:val="da-DK"/>
        </w:rPr>
      </w:pPr>
      <w:r w:rsidRPr="00C44B05">
        <w:rPr>
          <w:sz w:val="24"/>
          <w:szCs w:val="24"/>
          <w:lang w:val="da-DK"/>
        </w:rPr>
        <w:t>Meget</w:t>
      </w:r>
      <w:r w:rsidRPr="00C44B05">
        <w:rPr>
          <w:spacing w:val="-3"/>
          <w:sz w:val="24"/>
          <w:szCs w:val="24"/>
          <w:lang w:val="da-DK"/>
        </w:rPr>
        <w:t xml:space="preserve"> </w:t>
      </w:r>
      <w:r w:rsidRPr="00C44B05">
        <w:rPr>
          <w:sz w:val="24"/>
          <w:szCs w:val="24"/>
          <w:lang w:val="da-DK"/>
        </w:rPr>
        <w:t>sjælden</w:t>
      </w:r>
      <w:r w:rsidRPr="00C44B05">
        <w:rPr>
          <w:sz w:val="24"/>
          <w:szCs w:val="24"/>
          <w:lang w:val="da-DK"/>
        </w:rPr>
        <w:tab/>
        <w:t>(&lt;</w:t>
      </w:r>
      <w:r w:rsidRPr="00C44B05">
        <w:rPr>
          <w:spacing w:val="2"/>
          <w:sz w:val="24"/>
          <w:szCs w:val="24"/>
          <w:lang w:val="da-DK"/>
        </w:rPr>
        <w:t xml:space="preserve"> </w:t>
      </w:r>
      <w:r w:rsidRPr="00C44B05">
        <w:rPr>
          <w:sz w:val="24"/>
          <w:szCs w:val="24"/>
          <w:lang w:val="da-DK"/>
        </w:rPr>
        <w:t>1/10.000)</w:t>
      </w:r>
    </w:p>
    <w:p w14:paraId="436792D1" w14:textId="1C088C0A" w:rsidR="00200B99" w:rsidRPr="00C44B05" w:rsidRDefault="00200B99" w:rsidP="008B4BF6">
      <w:pPr>
        <w:pStyle w:val="Listeafsnit"/>
        <w:numPr>
          <w:ilvl w:val="0"/>
          <w:numId w:val="10"/>
        </w:numPr>
        <w:tabs>
          <w:tab w:val="left" w:pos="3261"/>
        </w:tabs>
        <w:ind w:left="1276" w:hanging="425"/>
        <w:rPr>
          <w:sz w:val="24"/>
          <w:szCs w:val="24"/>
          <w:lang w:val="da-DK"/>
        </w:rPr>
      </w:pPr>
      <w:r w:rsidRPr="00C44B05">
        <w:rPr>
          <w:sz w:val="24"/>
          <w:szCs w:val="24"/>
          <w:lang w:val="da-DK"/>
        </w:rPr>
        <w:t>Ikke</w:t>
      </w:r>
      <w:r w:rsidRPr="00C44B05">
        <w:rPr>
          <w:spacing w:val="-3"/>
          <w:sz w:val="24"/>
          <w:szCs w:val="24"/>
          <w:lang w:val="da-DK"/>
        </w:rPr>
        <w:t xml:space="preserve"> </w:t>
      </w:r>
      <w:r w:rsidRPr="00C44B05">
        <w:rPr>
          <w:sz w:val="24"/>
          <w:szCs w:val="24"/>
          <w:lang w:val="da-DK"/>
        </w:rPr>
        <w:t>kendt</w:t>
      </w:r>
      <w:r w:rsidRPr="00C44B05">
        <w:rPr>
          <w:sz w:val="24"/>
          <w:szCs w:val="24"/>
          <w:lang w:val="da-DK"/>
        </w:rPr>
        <w:tab/>
        <w:t>(kan ikke estimeres ud fra forhåndenværende</w:t>
      </w:r>
      <w:r w:rsidRPr="00C44B05">
        <w:rPr>
          <w:spacing w:val="-7"/>
          <w:sz w:val="24"/>
          <w:szCs w:val="24"/>
          <w:lang w:val="da-DK"/>
        </w:rPr>
        <w:t xml:space="preserve"> </w:t>
      </w:r>
      <w:r w:rsidRPr="00C44B05">
        <w:rPr>
          <w:sz w:val="24"/>
          <w:szCs w:val="24"/>
          <w:lang w:val="da-DK"/>
        </w:rPr>
        <w:t>data).</w:t>
      </w:r>
    </w:p>
    <w:p w14:paraId="7778474C" w14:textId="77777777" w:rsidR="00200B99" w:rsidRPr="00C44B05" w:rsidRDefault="00200B99" w:rsidP="00773EAE">
      <w:pPr>
        <w:ind w:left="851"/>
        <w:rPr>
          <w:sz w:val="24"/>
          <w:szCs w:val="24"/>
        </w:rPr>
      </w:pPr>
    </w:p>
    <w:p w14:paraId="5C54139C" w14:textId="77777777" w:rsidR="00200B99" w:rsidRPr="00C44B05" w:rsidRDefault="00200B99" w:rsidP="00773EAE">
      <w:pPr>
        <w:ind w:left="851"/>
        <w:rPr>
          <w:sz w:val="24"/>
          <w:szCs w:val="24"/>
        </w:rPr>
      </w:pPr>
      <w:r w:rsidRPr="00C44B05">
        <w:rPr>
          <w:sz w:val="24"/>
          <w:szCs w:val="24"/>
        </w:rPr>
        <w:t>Inden for hver enkelt frekvenskategori er bivirkningerne opstillet efter, hvor alvorlige de er. De alvorligste bivirkninger anføres først.</w:t>
      </w:r>
    </w:p>
    <w:p w14:paraId="2081422F" w14:textId="3FCC78E6" w:rsidR="00200B99" w:rsidRPr="000C059E" w:rsidRDefault="00200B99" w:rsidP="00773EAE">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4"/>
        <w:gridCol w:w="2825"/>
        <w:gridCol w:w="4279"/>
      </w:tblGrid>
      <w:tr w:rsidR="00200B99" w:rsidRPr="00F62913" w14:paraId="109EEC10" w14:textId="77777777" w:rsidTr="00FA525A">
        <w:trPr>
          <w:trHeight w:val="537"/>
        </w:trPr>
        <w:tc>
          <w:tcPr>
            <w:tcW w:w="5000" w:type="pct"/>
            <w:gridSpan w:val="3"/>
            <w:tcBorders>
              <w:top w:val="single" w:sz="4" w:space="0" w:color="000000"/>
              <w:left w:val="single" w:sz="4" w:space="0" w:color="000000"/>
              <w:bottom w:val="single" w:sz="4" w:space="0" w:color="000000"/>
              <w:right w:val="single" w:sz="4" w:space="0" w:color="000000"/>
            </w:tcBorders>
            <w:hideMark/>
          </w:tcPr>
          <w:p w14:paraId="19D4B7E1" w14:textId="412BBD52" w:rsidR="00200B99" w:rsidRPr="00F62913" w:rsidRDefault="00200B99" w:rsidP="00FA525A">
            <w:pPr>
              <w:rPr>
                <w:b/>
                <w:sz w:val="22"/>
                <w:szCs w:val="22"/>
              </w:rPr>
            </w:pPr>
            <w:r w:rsidRPr="00F62913">
              <w:rPr>
                <w:b/>
                <w:sz w:val="22"/>
                <w:szCs w:val="22"/>
              </w:rPr>
              <w:t>Tabel 6</w:t>
            </w:r>
            <w:r w:rsidR="00FA525A" w:rsidRPr="00F62913">
              <w:rPr>
                <w:b/>
                <w:sz w:val="22"/>
                <w:szCs w:val="22"/>
              </w:rPr>
              <w:t>.</w:t>
            </w:r>
            <w:r w:rsidRPr="00F62913">
              <w:rPr>
                <w:b/>
                <w:sz w:val="22"/>
                <w:szCs w:val="22"/>
              </w:rPr>
              <w:t xml:space="preserve"> Bivirkninger rapporteret hos patienter i behandling med lenvatinib§</w:t>
            </w:r>
          </w:p>
        </w:tc>
      </w:tr>
      <w:tr w:rsidR="00200B99" w:rsidRPr="00F62913" w14:paraId="7111DC9F" w14:textId="77777777" w:rsidTr="00FA525A">
        <w:trPr>
          <w:trHeight w:val="579"/>
        </w:trPr>
        <w:tc>
          <w:tcPr>
            <w:tcW w:w="1311" w:type="pct"/>
            <w:tcBorders>
              <w:top w:val="single" w:sz="4" w:space="0" w:color="000000"/>
              <w:left w:val="single" w:sz="4" w:space="0" w:color="000000"/>
              <w:bottom w:val="single" w:sz="4" w:space="0" w:color="000000"/>
              <w:right w:val="single" w:sz="4" w:space="0" w:color="000000"/>
            </w:tcBorders>
            <w:hideMark/>
          </w:tcPr>
          <w:p w14:paraId="3BD2D391" w14:textId="77777777" w:rsidR="00200B99" w:rsidRPr="00F62913" w:rsidRDefault="00200B99" w:rsidP="00FA525A">
            <w:pPr>
              <w:rPr>
                <w:b/>
                <w:sz w:val="22"/>
                <w:szCs w:val="22"/>
              </w:rPr>
            </w:pPr>
            <w:r w:rsidRPr="00F62913">
              <w:rPr>
                <w:b/>
                <w:sz w:val="22"/>
                <w:szCs w:val="22"/>
              </w:rPr>
              <w:t>Systemorganklasse</w:t>
            </w:r>
          </w:p>
          <w:p w14:paraId="220B2C88" w14:textId="77777777" w:rsidR="00200B99" w:rsidRPr="00F62913" w:rsidRDefault="00200B99" w:rsidP="00FA525A">
            <w:pPr>
              <w:rPr>
                <w:b/>
                <w:sz w:val="22"/>
                <w:szCs w:val="22"/>
              </w:rPr>
            </w:pPr>
            <w:r w:rsidRPr="00F62913">
              <w:rPr>
                <w:b/>
                <w:sz w:val="22"/>
                <w:szCs w:val="22"/>
              </w:rPr>
              <w:t>(MedDRA-terminologi)</w:t>
            </w:r>
          </w:p>
        </w:tc>
        <w:tc>
          <w:tcPr>
            <w:tcW w:w="1467" w:type="pct"/>
            <w:tcBorders>
              <w:top w:val="single" w:sz="4" w:space="0" w:color="000000"/>
              <w:left w:val="single" w:sz="4" w:space="0" w:color="000000"/>
              <w:bottom w:val="single" w:sz="4" w:space="0" w:color="000000"/>
              <w:right w:val="single" w:sz="4" w:space="0" w:color="000000"/>
            </w:tcBorders>
            <w:hideMark/>
          </w:tcPr>
          <w:p w14:paraId="21B8227E" w14:textId="77777777" w:rsidR="00200B99" w:rsidRPr="00F62913" w:rsidRDefault="00200B99" w:rsidP="00FA525A">
            <w:pPr>
              <w:rPr>
                <w:b/>
                <w:sz w:val="22"/>
                <w:szCs w:val="22"/>
              </w:rPr>
            </w:pPr>
            <w:r w:rsidRPr="00F62913">
              <w:rPr>
                <w:b/>
                <w:sz w:val="22"/>
                <w:szCs w:val="22"/>
              </w:rPr>
              <w:t>Lenvatinib som monoterapi</w:t>
            </w:r>
          </w:p>
        </w:tc>
        <w:tc>
          <w:tcPr>
            <w:tcW w:w="2222" w:type="pct"/>
            <w:tcBorders>
              <w:top w:val="single" w:sz="4" w:space="0" w:color="000000"/>
              <w:left w:val="single" w:sz="4" w:space="0" w:color="000000"/>
              <w:bottom w:val="single" w:sz="4" w:space="0" w:color="000000"/>
              <w:right w:val="single" w:sz="4" w:space="0" w:color="000000"/>
            </w:tcBorders>
            <w:hideMark/>
          </w:tcPr>
          <w:p w14:paraId="30100162" w14:textId="77777777" w:rsidR="00200B99" w:rsidRPr="00F62913" w:rsidRDefault="00200B99" w:rsidP="00FA525A">
            <w:pPr>
              <w:rPr>
                <w:b/>
                <w:sz w:val="22"/>
                <w:szCs w:val="22"/>
              </w:rPr>
            </w:pPr>
            <w:r w:rsidRPr="00F62913">
              <w:rPr>
                <w:b/>
                <w:sz w:val="22"/>
                <w:szCs w:val="22"/>
              </w:rPr>
              <w:t>Kombination med pembrolizumab</w:t>
            </w:r>
          </w:p>
        </w:tc>
      </w:tr>
      <w:tr w:rsidR="00200B99" w:rsidRPr="00F62913" w14:paraId="094AB900"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5549BFAA" w14:textId="77777777" w:rsidR="00200B99" w:rsidRPr="00F62913" w:rsidRDefault="00200B99" w:rsidP="00FA525A">
            <w:pPr>
              <w:rPr>
                <w:b/>
                <w:sz w:val="22"/>
                <w:szCs w:val="22"/>
              </w:rPr>
            </w:pPr>
            <w:r w:rsidRPr="00F62913">
              <w:rPr>
                <w:b/>
                <w:sz w:val="22"/>
                <w:szCs w:val="22"/>
              </w:rPr>
              <w:t>Infektioner og parasitære sygdomme</w:t>
            </w:r>
          </w:p>
        </w:tc>
      </w:tr>
      <w:tr w:rsidR="00200B99" w:rsidRPr="00F62913" w14:paraId="1185DC6B"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12A7D91E"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4C411C81" w14:textId="77777777" w:rsidR="00200B99" w:rsidRPr="00F62913" w:rsidRDefault="00200B99" w:rsidP="00FA525A">
            <w:pPr>
              <w:rPr>
                <w:sz w:val="22"/>
                <w:szCs w:val="22"/>
              </w:rPr>
            </w:pPr>
            <w:r w:rsidRPr="00F62913">
              <w:rPr>
                <w:sz w:val="22"/>
                <w:szCs w:val="22"/>
              </w:rPr>
              <w:t>Urinvejsinfektion</w:t>
            </w:r>
          </w:p>
        </w:tc>
        <w:tc>
          <w:tcPr>
            <w:tcW w:w="2222" w:type="pct"/>
            <w:tcBorders>
              <w:top w:val="single" w:sz="4" w:space="0" w:color="000000"/>
              <w:left w:val="single" w:sz="4" w:space="0" w:color="000000"/>
              <w:bottom w:val="single" w:sz="4" w:space="0" w:color="000000"/>
              <w:right w:val="single" w:sz="4" w:space="0" w:color="000000"/>
            </w:tcBorders>
            <w:hideMark/>
          </w:tcPr>
          <w:p w14:paraId="78EF5B13" w14:textId="77777777" w:rsidR="00200B99" w:rsidRPr="00F62913" w:rsidRDefault="00200B99" w:rsidP="00FA525A">
            <w:pPr>
              <w:rPr>
                <w:sz w:val="22"/>
                <w:szCs w:val="22"/>
              </w:rPr>
            </w:pPr>
            <w:r w:rsidRPr="00F62913">
              <w:rPr>
                <w:sz w:val="22"/>
                <w:szCs w:val="22"/>
              </w:rPr>
              <w:t>Urinvejsinfektion</w:t>
            </w:r>
          </w:p>
        </w:tc>
      </w:tr>
      <w:tr w:rsidR="00200B99" w:rsidRPr="00F62913" w14:paraId="6132BC74" w14:textId="77777777" w:rsidTr="00FA525A">
        <w:trPr>
          <w:trHeight w:val="282"/>
        </w:trPr>
        <w:tc>
          <w:tcPr>
            <w:tcW w:w="1311" w:type="pct"/>
            <w:tcBorders>
              <w:top w:val="single" w:sz="4" w:space="0" w:color="000000"/>
              <w:left w:val="single" w:sz="4" w:space="0" w:color="000000"/>
              <w:bottom w:val="single" w:sz="4" w:space="0" w:color="000000"/>
              <w:right w:val="single" w:sz="4" w:space="0" w:color="000000"/>
            </w:tcBorders>
            <w:hideMark/>
          </w:tcPr>
          <w:p w14:paraId="5765B9BB" w14:textId="77777777" w:rsidR="00200B99" w:rsidRPr="00F62913" w:rsidRDefault="00200B99" w:rsidP="00FA525A">
            <w:pPr>
              <w:rPr>
                <w:sz w:val="22"/>
                <w:szCs w:val="22"/>
              </w:rPr>
            </w:pPr>
            <w:r w:rsidRPr="00F62913">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49311FF" w14:textId="77777777" w:rsidR="00200B99" w:rsidRPr="00F62913" w:rsidRDefault="00200B99" w:rsidP="00FA525A">
            <w:pPr>
              <w:rPr>
                <w:sz w:val="22"/>
                <w:szCs w:val="22"/>
              </w:rPr>
            </w:pPr>
            <w:r w:rsidRPr="00F62913">
              <w:rPr>
                <w:sz w:val="22"/>
                <w:szCs w:val="22"/>
              </w:rPr>
              <w:t>Perianal absces</w:t>
            </w:r>
          </w:p>
        </w:tc>
        <w:tc>
          <w:tcPr>
            <w:tcW w:w="2222" w:type="pct"/>
            <w:tcBorders>
              <w:top w:val="single" w:sz="4" w:space="0" w:color="000000"/>
              <w:left w:val="single" w:sz="4" w:space="0" w:color="000000"/>
              <w:bottom w:val="single" w:sz="4" w:space="0" w:color="000000"/>
              <w:right w:val="single" w:sz="4" w:space="0" w:color="000000"/>
            </w:tcBorders>
            <w:hideMark/>
          </w:tcPr>
          <w:p w14:paraId="49266663" w14:textId="77777777" w:rsidR="00200B99" w:rsidRPr="00F62913" w:rsidRDefault="00200B99" w:rsidP="00FA525A">
            <w:pPr>
              <w:rPr>
                <w:sz w:val="22"/>
                <w:szCs w:val="22"/>
              </w:rPr>
            </w:pPr>
            <w:r w:rsidRPr="00F62913">
              <w:rPr>
                <w:sz w:val="22"/>
                <w:szCs w:val="22"/>
              </w:rPr>
              <w:t>Perianal absces</w:t>
            </w:r>
          </w:p>
        </w:tc>
      </w:tr>
      <w:tr w:rsidR="00200B99" w:rsidRPr="00F62913" w14:paraId="7E8B3795"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72749BD5" w14:textId="77777777" w:rsidR="00200B99" w:rsidRPr="00F62913" w:rsidRDefault="00200B99" w:rsidP="00FA525A">
            <w:pPr>
              <w:rPr>
                <w:b/>
                <w:sz w:val="22"/>
                <w:szCs w:val="22"/>
              </w:rPr>
            </w:pPr>
            <w:r w:rsidRPr="00F62913">
              <w:rPr>
                <w:b/>
                <w:sz w:val="22"/>
                <w:szCs w:val="22"/>
              </w:rPr>
              <w:t>Blod og lymfesystem</w:t>
            </w:r>
          </w:p>
        </w:tc>
      </w:tr>
      <w:tr w:rsidR="00200B99" w:rsidRPr="00F62913" w14:paraId="722228AC" w14:textId="77777777" w:rsidTr="00FA525A">
        <w:trPr>
          <w:trHeight w:val="262"/>
        </w:trPr>
        <w:tc>
          <w:tcPr>
            <w:tcW w:w="1311" w:type="pct"/>
            <w:tcBorders>
              <w:top w:val="single" w:sz="4" w:space="0" w:color="000000"/>
              <w:left w:val="single" w:sz="4" w:space="0" w:color="000000"/>
              <w:bottom w:val="nil"/>
              <w:right w:val="single" w:sz="4" w:space="0" w:color="000000"/>
            </w:tcBorders>
            <w:hideMark/>
          </w:tcPr>
          <w:p w14:paraId="3DE03D0D"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nil"/>
              <w:right w:val="single" w:sz="4" w:space="0" w:color="000000"/>
            </w:tcBorders>
            <w:hideMark/>
          </w:tcPr>
          <w:p w14:paraId="5E92E12E" w14:textId="77777777" w:rsidR="00200B99" w:rsidRPr="00F62913" w:rsidRDefault="00200B99" w:rsidP="00FA525A">
            <w:pPr>
              <w:rPr>
                <w:sz w:val="22"/>
                <w:szCs w:val="22"/>
              </w:rPr>
            </w:pPr>
            <w:proofErr w:type="gramStart"/>
            <w:r w:rsidRPr="00F62913">
              <w:rPr>
                <w:sz w:val="22"/>
                <w:szCs w:val="22"/>
              </w:rPr>
              <w:t>Trombocytopeni</w:t>
            </w:r>
            <w:r w:rsidRPr="00F62913">
              <w:rPr>
                <w:sz w:val="22"/>
                <w:szCs w:val="22"/>
                <w:vertAlign w:val="superscript"/>
              </w:rPr>
              <w:t>a,‡</w:t>
            </w:r>
            <w:proofErr w:type="gramEnd"/>
          </w:p>
        </w:tc>
        <w:tc>
          <w:tcPr>
            <w:tcW w:w="2222" w:type="pct"/>
            <w:tcBorders>
              <w:top w:val="single" w:sz="4" w:space="0" w:color="000000"/>
              <w:left w:val="single" w:sz="4" w:space="0" w:color="000000"/>
              <w:bottom w:val="nil"/>
              <w:right w:val="single" w:sz="4" w:space="0" w:color="000000"/>
            </w:tcBorders>
            <w:hideMark/>
          </w:tcPr>
          <w:p w14:paraId="43D58A29" w14:textId="7BCB2B6A" w:rsidR="00200B99" w:rsidRPr="00F62913" w:rsidRDefault="00200B99" w:rsidP="00FA525A">
            <w:pPr>
              <w:rPr>
                <w:sz w:val="22"/>
                <w:szCs w:val="22"/>
              </w:rPr>
            </w:pPr>
            <w:r w:rsidRPr="00F62913">
              <w:rPr>
                <w:sz w:val="22"/>
                <w:szCs w:val="22"/>
              </w:rPr>
              <w:t>Trombocytopeni</w:t>
            </w:r>
            <w:r w:rsidR="00FA525A" w:rsidRPr="00F62913">
              <w:rPr>
                <w:sz w:val="22"/>
                <w:szCs w:val="22"/>
                <w:vertAlign w:val="superscript"/>
              </w:rPr>
              <w:t xml:space="preserve"> </w:t>
            </w:r>
            <w:proofErr w:type="gramStart"/>
            <w:r w:rsidR="00FA525A" w:rsidRPr="00F62913">
              <w:rPr>
                <w:sz w:val="22"/>
                <w:szCs w:val="22"/>
                <w:vertAlign w:val="superscript"/>
              </w:rPr>
              <w:t>a,‡</w:t>
            </w:r>
            <w:proofErr w:type="gramEnd"/>
          </w:p>
        </w:tc>
      </w:tr>
      <w:tr w:rsidR="00200B99" w:rsidRPr="00F62913" w14:paraId="5D75D94B" w14:textId="77777777" w:rsidTr="00FA525A">
        <w:trPr>
          <w:trHeight w:val="230"/>
        </w:trPr>
        <w:tc>
          <w:tcPr>
            <w:tcW w:w="1311" w:type="pct"/>
            <w:tcBorders>
              <w:top w:val="nil"/>
              <w:left w:val="single" w:sz="4" w:space="0" w:color="000000"/>
              <w:bottom w:val="nil"/>
              <w:right w:val="single" w:sz="4" w:space="0" w:color="000000"/>
            </w:tcBorders>
          </w:tcPr>
          <w:p w14:paraId="237F5043" w14:textId="77777777" w:rsidR="00200B99" w:rsidRPr="00F62913" w:rsidRDefault="00200B99" w:rsidP="00FA525A">
            <w:pPr>
              <w:rPr>
                <w:sz w:val="22"/>
                <w:szCs w:val="22"/>
              </w:rPr>
            </w:pPr>
          </w:p>
        </w:tc>
        <w:tc>
          <w:tcPr>
            <w:tcW w:w="1467" w:type="pct"/>
            <w:tcBorders>
              <w:top w:val="nil"/>
              <w:left w:val="single" w:sz="4" w:space="0" w:color="000000"/>
              <w:bottom w:val="nil"/>
              <w:right w:val="single" w:sz="4" w:space="0" w:color="000000"/>
            </w:tcBorders>
            <w:hideMark/>
          </w:tcPr>
          <w:p w14:paraId="6636E4E4" w14:textId="77777777" w:rsidR="00200B99" w:rsidRPr="00F62913" w:rsidRDefault="00200B99" w:rsidP="00FA525A">
            <w:pPr>
              <w:rPr>
                <w:sz w:val="22"/>
                <w:szCs w:val="22"/>
              </w:rPr>
            </w:pPr>
            <w:proofErr w:type="gramStart"/>
            <w:r w:rsidRPr="00F62913">
              <w:rPr>
                <w:sz w:val="22"/>
                <w:szCs w:val="22"/>
              </w:rPr>
              <w:t>Lymfopeni</w:t>
            </w:r>
            <w:r w:rsidRPr="00F62913">
              <w:rPr>
                <w:sz w:val="22"/>
                <w:szCs w:val="22"/>
                <w:vertAlign w:val="superscript"/>
              </w:rPr>
              <w:t>a,‡</w:t>
            </w:r>
            <w:proofErr w:type="gramEnd"/>
          </w:p>
        </w:tc>
        <w:tc>
          <w:tcPr>
            <w:tcW w:w="2222" w:type="pct"/>
            <w:tcBorders>
              <w:top w:val="nil"/>
              <w:left w:val="single" w:sz="4" w:space="0" w:color="000000"/>
              <w:bottom w:val="nil"/>
              <w:right w:val="single" w:sz="4" w:space="0" w:color="000000"/>
            </w:tcBorders>
            <w:hideMark/>
          </w:tcPr>
          <w:p w14:paraId="62F7F4C3" w14:textId="1A64001D" w:rsidR="00200B99" w:rsidRPr="00F62913" w:rsidRDefault="00200B99" w:rsidP="00FA525A">
            <w:pPr>
              <w:rPr>
                <w:sz w:val="22"/>
                <w:szCs w:val="22"/>
              </w:rPr>
            </w:pPr>
            <w:proofErr w:type="gramStart"/>
            <w:r w:rsidRPr="00F62913">
              <w:rPr>
                <w:sz w:val="22"/>
                <w:szCs w:val="22"/>
              </w:rPr>
              <w:t>Lymfopeni</w:t>
            </w:r>
            <w:r w:rsidR="00FA525A" w:rsidRPr="00F62913">
              <w:rPr>
                <w:sz w:val="22"/>
                <w:szCs w:val="22"/>
                <w:vertAlign w:val="superscript"/>
              </w:rPr>
              <w:t>a,‡</w:t>
            </w:r>
            <w:proofErr w:type="gramEnd"/>
          </w:p>
        </w:tc>
      </w:tr>
      <w:tr w:rsidR="00200B99" w:rsidRPr="00F62913" w14:paraId="3CF3213B" w14:textId="77777777" w:rsidTr="00FA525A">
        <w:trPr>
          <w:trHeight w:val="230"/>
        </w:trPr>
        <w:tc>
          <w:tcPr>
            <w:tcW w:w="1311" w:type="pct"/>
            <w:tcBorders>
              <w:top w:val="nil"/>
              <w:left w:val="single" w:sz="4" w:space="0" w:color="000000"/>
              <w:bottom w:val="nil"/>
              <w:right w:val="single" w:sz="4" w:space="0" w:color="000000"/>
            </w:tcBorders>
          </w:tcPr>
          <w:p w14:paraId="0D1E0723" w14:textId="77777777" w:rsidR="00200B99" w:rsidRPr="00F62913" w:rsidRDefault="00200B99" w:rsidP="00FA525A">
            <w:pPr>
              <w:rPr>
                <w:sz w:val="22"/>
                <w:szCs w:val="22"/>
              </w:rPr>
            </w:pPr>
          </w:p>
        </w:tc>
        <w:tc>
          <w:tcPr>
            <w:tcW w:w="1467" w:type="pct"/>
            <w:tcBorders>
              <w:top w:val="nil"/>
              <w:left w:val="single" w:sz="4" w:space="0" w:color="000000"/>
              <w:bottom w:val="nil"/>
              <w:right w:val="single" w:sz="4" w:space="0" w:color="000000"/>
            </w:tcBorders>
            <w:hideMark/>
          </w:tcPr>
          <w:p w14:paraId="54048AFA" w14:textId="56533A51" w:rsidR="00200B99" w:rsidRPr="00F62913" w:rsidRDefault="00200B99" w:rsidP="00FA525A">
            <w:pPr>
              <w:rPr>
                <w:sz w:val="22"/>
                <w:szCs w:val="22"/>
              </w:rPr>
            </w:pPr>
            <w:r w:rsidRPr="00F62913">
              <w:rPr>
                <w:sz w:val="22"/>
                <w:szCs w:val="22"/>
              </w:rPr>
              <w:t>Leukopeni</w:t>
            </w:r>
            <w:r w:rsidR="00FA525A" w:rsidRPr="00F62913">
              <w:rPr>
                <w:sz w:val="22"/>
                <w:szCs w:val="22"/>
                <w:vertAlign w:val="superscript"/>
              </w:rPr>
              <w:t xml:space="preserve"> </w:t>
            </w:r>
            <w:proofErr w:type="gramStart"/>
            <w:r w:rsidR="00FA525A" w:rsidRPr="00F62913">
              <w:rPr>
                <w:sz w:val="22"/>
                <w:szCs w:val="22"/>
                <w:vertAlign w:val="superscript"/>
              </w:rPr>
              <w:t>a,‡</w:t>
            </w:r>
            <w:proofErr w:type="gramEnd"/>
          </w:p>
        </w:tc>
        <w:tc>
          <w:tcPr>
            <w:tcW w:w="2222" w:type="pct"/>
            <w:tcBorders>
              <w:top w:val="nil"/>
              <w:left w:val="single" w:sz="4" w:space="0" w:color="000000"/>
              <w:bottom w:val="nil"/>
              <w:right w:val="single" w:sz="4" w:space="0" w:color="000000"/>
            </w:tcBorders>
            <w:hideMark/>
          </w:tcPr>
          <w:p w14:paraId="4D547AAD" w14:textId="75B13692" w:rsidR="00200B99" w:rsidRPr="00F62913" w:rsidRDefault="00200B99" w:rsidP="00FA525A">
            <w:pPr>
              <w:rPr>
                <w:sz w:val="22"/>
                <w:szCs w:val="22"/>
              </w:rPr>
            </w:pPr>
            <w:proofErr w:type="gramStart"/>
            <w:r w:rsidRPr="00F62913">
              <w:rPr>
                <w:sz w:val="22"/>
                <w:szCs w:val="22"/>
              </w:rPr>
              <w:t>Leukopeni</w:t>
            </w:r>
            <w:r w:rsidR="00FA525A" w:rsidRPr="00F62913">
              <w:rPr>
                <w:sz w:val="22"/>
                <w:szCs w:val="22"/>
                <w:vertAlign w:val="superscript"/>
              </w:rPr>
              <w:t>a,‡</w:t>
            </w:r>
            <w:proofErr w:type="gramEnd"/>
          </w:p>
        </w:tc>
      </w:tr>
      <w:tr w:rsidR="00200B99" w:rsidRPr="00F62913" w14:paraId="135A2E74" w14:textId="77777777" w:rsidTr="00FA525A">
        <w:trPr>
          <w:trHeight w:val="227"/>
        </w:trPr>
        <w:tc>
          <w:tcPr>
            <w:tcW w:w="1311" w:type="pct"/>
            <w:tcBorders>
              <w:top w:val="nil"/>
              <w:left w:val="single" w:sz="4" w:space="0" w:color="000000"/>
              <w:bottom w:val="nil"/>
              <w:right w:val="single" w:sz="4" w:space="0" w:color="000000"/>
            </w:tcBorders>
          </w:tcPr>
          <w:p w14:paraId="564E9ADD" w14:textId="77777777" w:rsidR="00200B99" w:rsidRPr="00F62913" w:rsidRDefault="00200B99" w:rsidP="00FA525A">
            <w:pPr>
              <w:rPr>
                <w:sz w:val="22"/>
                <w:szCs w:val="22"/>
              </w:rPr>
            </w:pPr>
          </w:p>
        </w:tc>
        <w:tc>
          <w:tcPr>
            <w:tcW w:w="1467" w:type="pct"/>
            <w:tcBorders>
              <w:top w:val="nil"/>
              <w:left w:val="single" w:sz="4" w:space="0" w:color="000000"/>
              <w:bottom w:val="nil"/>
              <w:right w:val="single" w:sz="4" w:space="0" w:color="000000"/>
            </w:tcBorders>
            <w:hideMark/>
          </w:tcPr>
          <w:p w14:paraId="20980699" w14:textId="08F140B3" w:rsidR="00200B99" w:rsidRPr="00F62913" w:rsidRDefault="00200B99" w:rsidP="00FA525A">
            <w:pPr>
              <w:rPr>
                <w:sz w:val="22"/>
                <w:szCs w:val="22"/>
              </w:rPr>
            </w:pPr>
            <w:r w:rsidRPr="00F62913">
              <w:rPr>
                <w:sz w:val="22"/>
                <w:szCs w:val="22"/>
              </w:rPr>
              <w:t>Neutropeni</w:t>
            </w:r>
            <w:r w:rsidR="00FA525A" w:rsidRPr="00F62913">
              <w:rPr>
                <w:sz w:val="22"/>
                <w:szCs w:val="22"/>
                <w:vertAlign w:val="superscript"/>
              </w:rPr>
              <w:t xml:space="preserve"> </w:t>
            </w:r>
            <w:proofErr w:type="gramStart"/>
            <w:r w:rsidR="00FA525A" w:rsidRPr="00F62913">
              <w:rPr>
                <w:sz w:val="22"/>
                <w:szCs w:val="22"/>
                <w:vertAlign w:val="superscript"/>
              </w:rPr>
              <w:t>a,‡</w:t>
            </w:r>
            <w:proofErr w:type="gramEnd"/>
          </w:p>
        </w:tc>
        <w:tc>
          <w:tcPr>
            <w:tcW w:w="2222" w:type="pct"/>
            <w:tcBorders>
              <w:top w:val="nil"/>
              <w:left w:val="single" w:sz="4" w:space="0" w:color="000000"/>
              <w:bottom w:val="nil"/>
              <w:right w:val="single" w:sz="4" w:space="0" w:color="000000"/>
            </w:tcBorders>
            <w:hideMark/>
          </w:tcPr>
          <w:p w14:paraId="0341EE28" w14:textId="1911D14A" w:rsidR="00200B99" w:rsidRPr="00F62913" w:rsidRDefault="00200B99" w:rsidP="00FA525A">
            <w:pPr>
              <w:rPr>
                <w:sz w:val="22"/>
                <w:szCs w:val="22"/>
              </w:rPr>
            </w:pPr>
            <w:proofErr w:type="gramStart"/>
            <w:r w:rsidRPr="00F62913">
              <w:rPr>
                <w:sz w:val="22"/>
                <w:szCs w:val="22"/>
              </w:rPr>
              <w:t>Neutropeni</w:t>
            </w:r>
            <w:r w:rsidR="00FA525A" w:rsidRPr="00F62913">
              <w:rPr>
                <w:sz w:val="22"/>
                <w:szCs w:val="22"/>
                <w:vertAlign w:val="superscript"/>
              </w:rPr>
              <w:t>a,‡</w:t>
            </w:r>
            <w:proofErr w:type="gramEnd"/>
          </w:p>
        </w:tc>
      </w:tr>
      <w:tr w:rsidR="00200B99" w:rsidRPr="00F62913" w14:paraId="5CC11C7F" w14:textId="77777777" w:rsidTr="00FA525A">
        <w:trPr>
          <w:trHeight w:val="252"/>
        </w:trPr>
        <w:tc>
          <w:tcPr>
            <w:tcW w:w="1311" w:type="pct"/>
            <w:tcBorders>
              <w:top w:val="nil"/>
              <w:left w:val="single" w:sz="4" w:space="0" w:color="000000"/>
              <w:bottom w:val="single" w:sz="4" w:space="0" w:color="000000"/>
              <w:right w:val="single" w:sz="4" w:space="0" w:color="000000"/>
            </w:tcBorders>
          </w:tcPr>
          <w:p w14:paraId="05B4DB48" w14:textId="77777777" w:rsidR="00200B99" w:rsidRPr="00F62913" w:rsidRDefault="00200B99" w:rsidP="00FA525A">
            <w:pPr>
              <w:rPr>
                <w:sz w:val="22"/>
                <w:szCs w:val="22"/>
              </w:rPr>
            </w:pPr>
          </w:p>
        </w:tc>
        <w:tc>
          <w:tcPr>
            <w:tcW w:w="1467" w:type="pct"/>
            <w:tcBorders>
              <w:top w:val="nil"/>
              <w:left w:val="single" w:sz="4" w:space="0" w:color="000000"/>
              <w:bottom w:val="single" w:sz="4" w:space="0" w:color="000000"/>
              <w:right w:val="single" w:sz="4" w:space="0" w:color="000000"/>
            </w:tcBorders>
          </w:tcPr>
          <w:p w14:paraId="064D1A0C" w14:textId="77777777" w:rsidR="00200B99" w:rsidRPr="00F62913" w:rsidRDefault="00200B99" w:rsidP="00FA525A">
            <w:pPr>
              <w:rPr>
                <w:sz w:val="22"/>
                <w:szCs w:val="22"/>
              </w:rPr>
            </w:pPr>
          </w:p>
        </w:tc>
        <w:tc>
          <w:tcPr>
            <w:tcW w:w="2222" w:type="pct"/>
            <w:tcBorders>
              <w:top w:val="nil"/>
              <w:left w:val="single" w:sz="4" w:space="0" w:color="000000"/>
              <w:bottom w:val="single" w:sz="4" w:space="0" w:color="000000"/>
              <w:right w:val="single" w:sz="4" w:space="0" w:color="000000"/>
            </w:tcBorders>
            <w:hideMark/>
          </w:tcPr>
          <w:p w14:paraId="56ECFD5F" w14:textId="77777777" w:rsidR="00200B99" w:rsidRPr="00F62913" w:rsidRDefault="00200B99" w:rsidP="00FA525A">
            <w:pPr>
              <w:rPr>
                <w:sz w:val="22"/>
                <w:szCs w:val="22"/>
              </w:rPr>
            </w:pPr>
            <w:r w:rsidRPr="00F62913">
              <w:rPr>
                <w:sz w:val="22"/>
                <w:szCs w:val="22"/>
              </w:rPr>
              <w:t>Anæmi</w:t>
            </w:r>
          </w:p>
        </w:tc>
      </w:tr>
      <w:tr w:rsidR="00200B99" w:rsidRPr="00F62913" w14:paraId="1B4EFF88"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776F1F0E" w14:textId="77777777" w:rsidR="00200B99" w:rsidRPr="00F62913" w:rsidRDefault="00200B99" w:rsidP="00FA525A">
            <w:pPr>
              <w:rPr>
                <w:sz w:val="22"/>
                <w:szCs w:val="22"/>
              </w:rPr>
            </w:pPr>
            <w:r w:rsidRPr="00F62913">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D076401" w14:textId="77777777" w:rsidR="00200B99" w:rsidRPr="00F62913" w:rsidRDefault="00200B99" w:rsidP="00FA525A">
            <w:pPr>
              <w:rPr>
                <w:sz w:val="22"/>
                <w:szCs w:val="22"/>
              </w:rPr>
            </w:pPr>
            <w:r w:rsidRPr="00F62913">
              <w:rPr>
                <w:sz w:val="22"/>
                <w:szCs w:val="22"/>
              </w:rPr>
              <w:t>Miltinfarkt</w:t>
            </w:r>
          </w:p>
        </w:tc>
        <w:tc>
          <w:tcPr>
            <w:tcW w:w="2222" w:type="pct"/>
            <w:tcBorders>
              <w:top w:val="single" w:sz="4" w:space="0" w:color="000000"/>
              <w:left w:val="single" w:sz="4" w:space="0" w:color="000000"/>
              <w:bottom w:val="single" w:sz="4" w:space="0" w:color="000000"/>
              <w:right w:val="single" w:sz="4" w:space="0" w:color="000000"/>
            </w:tcBorders>
          </w:tcPr>
          <w:p w14:paraId="1F946763" w14:textId="77777777" w:rsidR="00200B99" w:rsidRPr="00F62913" w:rsidRDefault="00200B99" w:rsidP="00FA525A">
            <w:pPr>
              <w:rPr>
                <w:sz w:val="22"/>
                <w:szCs w:val="22"/>
              </w:rPr>
            </w:pPr>
          </w:p>
        </w:tc>
      </w:tr>
      <w:tr w:rsidR="00200B99" w:rsidRPr="00F62913" w14:paraId="674E1E6A"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40ADD195" w14:textId="77777777" w:rsidR="00200B99" w:rsidRPr="00F62913" w:rsidRDefault="00200B99" w:rsidP="00FA525A">
            <w:pPr>
              <w:rPr>
                <w:b/>
                <w:sz w:val="22"/>
                <w:szCs w:val="22"/>
              </w:rPr>
            </w:pPr>
            <w:r w:rsidRPr="00F62913">
              <w:rPr>
                <w:b/>
                <w:sz w:val="22"/>
                <w:szCs w:val="22"/>
              </w:rPr>
              <w:t>Det endokrine system</w:t>
            </w:r>
          </w:p>
        </w:tc>
      </w:tr>
      <w:tr w:rsidR="00200B99" w:rsidRPr="00F62913" w14:paraId="1E7BFE37"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3AF1A7D1"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63BFD890" w14:textId="77777777" w:rsidR="00200B99" w:rsidRPr="00F62913" w:rsidRDefault="00200B99" w:rsidP="00FA525A">
            <w:pPr>
              <w:rPr>
                <w:sz w:val="22"/>
                <w:szCs w:val="22"/>
              </w:rPr>
            </w:pPr>
            <w:r w:rsidRPr="00F62913">
              <w:rPr>
                <w:sz w:val="22"/>
                <w:szCs w:val="22"/>
              </w:rPr>
              <w:t xml:space="preserve">Hypothyroidisme </w:t>
            </w:r>
          </w:p>
          <w:p w14:paraId="51E3EBC5" w14:textId="77777777" w:rsidR="00200B99" w:rsidRPr="00F62913" w:rsidRDefault="00200B99" w:rsidP="00FA525A">
            <w:pPr>
              <w:rPr>
                <w:sz w:val="22"/>
                <w:szCs w:val="22"/>
              </w:rPr>
            </w:pPr>
            <w:r w:rsidRPr="00F62913">
              <w:rPr>
                <w:sz w:val="22"/>
                <w:szCs w:val="22"/>
              </w:rPr>
              <w:t>Forhøjet niveau af thyreoideastimulerende hormon i blodet</w:t>
            </w:r>
            <w:proofErr w:type="gramStart"/>
            <w:r w:rsidRPr="00F62913">
              <w:rPr>
                <w:sz w:val="22"/>
                <w:szCs w:val="22"/>
                <w:vertAlign w:val="superscript"/>
              </w:rPr>
              <w:t>*,‡</w:t>
            </w:r>
            <w:proofErr w:type="gramEnd"/>
          </w:p>
        </w:tc>
        <w:tc>
          <w:tcPr>
            <w:tcW w:w="2222" w:type="pct"/>
            <w:tcBorders>
              <w:top w:val="single" w:sz="4" w:space="0" w:color="000000"/>
              <w:left w:val="single" w:sz="4" w:space="0" w:color="000000"/>
              <w:bottom w:val="single" w:sz="4" w:space="0" w:color="000000"/>
              <w:right w:val="single" w:sz="4" w:space="0" w:color="000000"/>
            </w:tcBorders>
            <w:hideMark/>
          </w:tcPr>
          <w:p w14:paraId="2FD8CE24" w14:textId="77777777" w:rsidR="00200B99" w:rsidRPr="00F62913" w:rsidRDefault="00200B99" w:rsidP="00FA525A">
            <w:pPr>
              <w:rPr>
                <w:sz w:val="22"/>
                <w:szCs w:val="22"/>
              </w:rPr>
            </w:pPr>
            <w:r w:rsidRPr="00F62913">
              <w:rPr>
                <w:sz w:val="22"/>
                <w:szCs w:val="22"/>
              </w:rPr>
              <w:t>Hypothyroidisme</w:t>
            </w:r>
          </w:p>
          <w:p w14:paraId="2B69124C" w14:textId="77777777" w:rsidR="00200B99" w:rsidRPr="00F62913" w:rsidRDefault="00200B99" w:rsidP="00FA525A">
            <w:pPr>
              <w:rPr>
                <w:sz w:val="22"/>
                <w:szCs w:val="22"/>
              </w:rPr>
            </w:pPr>
            <w:r w:rsidRPr="00F62913">
              <w:rPr>
                <w:sz w:val="22"/>
                <w:szCs w:val="22"/>
              </w:rPr>
              <w:t>Forhøjet niveau af thyreoideastimulerende hormon i blodet*</w:t>
            </w:r>
          </w:p>
          <w:p w14:paraId="78EFB191" w14:textId="77777777" w:rsidR="00200B99" w:rsidRPr="00F62913" w:rsidRDefault="00200B99" w:rsidP="00FA525A">
            <w:pPr>
              <w:rPr>
                <w:sz w:val="22"/>
                <w:szCs w:val="22"/>
              </w:rPr>
            </w:pPr>
            <w:r w:rsidRPr="00F62913">
              <w:rPr>
                <w:sz w:val="22"/>
                <w:szCs w:val="22"/>
              </w:rPr>
              <w:t>Hyperthyroidisme</w:t>
            </w:r>
          </w:p>
        </w:tc>
      </w:tr>
      <w:tr w:rsidR="00200B99" w:rsidRPr="00F62913" w14:paraId="1EEE5E32"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15D4453F" w14:textId="77777777" w:rsidR="00200B99" w:rsidRPr="00F62913" w:rsidRDefault="00200B99" w:rsidP="00FA525A">
            <w:pPr>
              <w:rPr>
                <w:sz w:val="22"/>
                <w:szCs w:val="22"/>
              </w:rPr>
            </w:pPr>
            <w:r w:rsidRPr="00F62913">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tcPr>
          <w:p w14:paraId="0B713D62" w14:textId="77777777" w:rsidR="00200B99" w:rsidRPr="00F62913" w:rsidRDefault="00200B99" w:rsidP="00FA525A">
            <w:pPr>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124C949F" w14:textId="77777777" w:rsidR="00200B99" w:rsidRPr="00F62913" w:rsidRDefault="00200B99" w:rsidP="00FA525A">
            <w:pPr>
              <w:rPr>
                <w:sz w:val="22"/>
                <w:szCs w:val="22"/>
              </w:rPr>
            </w:pPr>
            <w:r w:rsidRPr="00F62913">
              <w:rPr>
                <w:sz w:val="22"/>
                <w:szCs w:val="22"/>
              </w:rPr>
              <w:t>Binyreinsufficiens</w:t>
            </w:r>
          </w:p>
        </w:tc>
      </w:tr>
      <w:tr w:rsidR="00200B99" w:rsidRPr="00F62913" w14:paraId="0C3A1EDC"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39A0741D" w14:textId="77777777" w:rsidR="00200B99" w:rsidRPr="00F62913" w:rsidRDefault="00200B99" w:rsidP="00FA525A">
            <w:pPr>
              <w:rPr>
                <w:sz w:val="22"/>
                <w:szCs w:val="22"/>
              </w:rPr>
            </w:pPr>
            <w:r w:rsidRPr="00F62913">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5B934F1B" w14:textId="77777777" w:rsidR="00200B99" w:rsidRPr="00F62913" w:rsidRDefault="00200B99" w:rsidP="00FA525A">
            <w:pPr>
              <w:rPr>
                <w:sz w:val="22"/>
                <w:szCs w:val="22"/>
              </w:rPr>
            </w:pPr>
            <w:r w:rsidRPr="00F62913">
              <w:rPr>
                <w:sz w:val="22"/>
                <w:szCs w:val="22"/>
              </w:rPr>
              <w:t>Binyreinsufficiens</w:t>
            </w:r>
          </w:p>
        </w:tc>
        <w:tc>
          <w:tcPr>
            <w:tcW w:w="2222" w:type="pct"/>
            <w:tcBorders>
              <w:top w:val="single" w:sz="4" w:space="0" w:color="000000"/>
              <w:left w:val="single" w:sz="4" w:space="0" w:color="000000"/>
              <w:bottom w:val="single" w:sz="4" w:space="0" w:color="000000"/>
              <w:right w:val="single" w:sz="4" w:space="0" w:color="000000"/>
            </w:tcBorders>
          </w:tcPr>
          <w:p w14:paraId="3D4E9F18" w14:textId="77777777" w:rsidR="00200B99" w:rsidRPr="00F62913" w:rsidRDefault="00200B99" w:rsidP="00FA525A">
            <w:pPr>
              <w:rPr>
                <w:sz w:val="22"/>
                <w:szCs w:val="22"/>
              </w:rPr>
            </w:pPr>
          </w:p>
        </w:tc>
      </w:tr>
      <w:tr w:rsidR="00200B99" w:rsidRPr="00F62913" w14:paraId="246CD848"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2CBE87CF" w14:textId="77777777" w:rsidR="00200B99" w:rsidRPr="00F62913" w:rsidRDefault="00200B99" w:rsidP="00FA525A">
            <w:pPr>
              <w:rPr>
                <w:b/>
                <w:sz w:val="22"/>
                <w:szCs w:val="22"/>
              </w:rPr>
            </w:pPr>
            <w:r w:rsidRPr="00F62913">
              <w:rPr>
                <w:b/>
                <w:sz w:val="22"/>
                <w:szCs w:val="22"/>
              </w:rPr>
              <w:t>Metabolisme og ernæring</w:t>
            </w:r>
          </w:p>
        </w:tc>
      </w:tr>
      <w:tr w:rsidR="00200B99" w:rsidRPr="00F62913" w14:paraId="71002589"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7EB211F4"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1067A8A4" w14:textId="77777777" w:rsidR="00200B99" w:rsidRPr="00F62913" w:rsidRDefault="00200B99" w:rsidP="00FA525A">
            <w:pPr>
              <w:rPr>
                <w:sz w:val="22"/>
                <w:szCs w:val="22"/>
              </w:rPr>
            </w:pPr>
            <w:r w:rsidRPr="00F62913">
              <w:rPr>
                <w:sz w:val="22"/>
                <w:szCs w:val="22"/>
              </w:rPr>
              <w:t>Hypocalcæmi</w:t>
            </w:r>
            <w:proofErr w:type="gramStart"/>
            <w:r w:rsidRPr="00F62913">
              <w:rPr>
                <w:sz w:val="22"/>
                <w:szCs w:val="22"/>
                <w:vertAlign w:val="superscript"/>
              </w:rPr>
              <w:t>*,‡</w:t>
            </w:r>
            <w:proofErr w:type="gramEnd"/>
            <w:r w:rsidRPr="00F62913">
              <w:rPr>
                <w:sz w:val="22"/>
                <w:szCs w:val="22"/>
              </w:rPr>
              <w:t xml:space="preserve"> </w:t>
            </w:r>
          </w:p>
          <w:p w14:paraId="73BD5DBD" w14:textId="77777777" w:rsidR="00200B99" w:rsidRPr="00F62913" w:rsidRDefault="00200B99" w:rsidP="00FA525A">
            <w:pPr>
              <w:rPr>
                <w:sz w:val="22"/>
                <w:szCs w:val="22"/>
              </w:rPr>
            </w:pPr>
            <w:r w:rsidRPr="00F62913">
              <w:rPr>
                <w:sz w:val="22"/>
                <w:szCs w:val="22"/>
              </w:rPr>
              <w:t>Hypokaliæmi</w:t>
            </w:r>
            <w:r w:rsidRPr="00F62913">
              <w:rPr>
                <w:sz w:val="22"/>
                <w:szCs w:val="22"/>
                <w:vertAlign w:val="superscript"/>
              </w:rPr>
              <w:t>‡</w:t>
            </w:r>
            <w:r w:rsidRPr="00F62913">
              <w:rPr>
                <w:sz w:val="22"/>
                <w:szCs w:val="22"/>
              </w:rPr>
              <w:t xml:space="preserve"> Hyperkolesterolæmi</w:t>
            </w:r>
            <w:r w:rsidRPr="00F62913">
              <w:rPr>
                <w:sz w:val="22"/>
                <w:szCs w:val="22"/>
                <w:vertAlign w:val="superscript"/>
              </w:rPr>
              <w:t>b, ‡</w:t>
            </w:r>
            <w:r w:rsidRPr="00F62913">
              <w:rPr>
                <w:sz w:val="22"/>
                <w:szCs w:val="22"/>
              </w:rPr>
              <w:t xml:space="preserve"> </w:t>
            </w:r>
            <w:proofErr w:type="gramStart"/>
            <w:r w:rsidRPr="00F62913">
              <w:rPr>
                <w:sz w:val="22"/>
                <w:szCs w:val="22"/>
              </w:rPr>
              <w:t>Hypomagnesiæmi</w:t>
            </w:r>
            <w:r w:rsidRPr="00F62913">
              <w:rPr>
                <w:sz w:val="22"/>
                <w:szCs w:val="22"/>
                <w:vertAlign w:val="superscript"/>
              </w:rPr>
              <w:t>b,‡</w:t>
            </w:r>
            <w:proofErr w:type="gramEnd"/>
            <w:r w:rsidRPr="00F62913">
              <w:rPr>
                <w:sz w:val="22"/>
                <w:szCs w:val="22"/>
              </w:rPr>
              <w:t xml:space="preserve"> </w:t>
            </w:r>
          </w:p>
          <w:p w14:paraId="42C20469" w14:textId="77777777" w:rsidR="00200B99" w:rsidRPr="00F62913" w:rsidRDefault="00200B99" w:rsidP="00FA525A">
            <w:pPr>
              <w:rPr>
                <w:sz w:val="22"/>
                <w:szCs w:val="22"/>
              </w:rPr>
            </w:pPr>
            <w:r w:rsidRPr="00F62913">
              <w:rPr>
                <w:sz w:val="22"/>
                <w:szCs w:val="22"/>
              </w:rPr>
              <w:t>Vægttab</w:t>
            </w:r>
          </w:p>
          <w:p w14:paraId="28300796" w14:textId="77777777" w:rsidR="00200B99" w:rsidRPr="00F62913" w:rsidRDefault="00200B99" w:rsidP="00FA525A">
            <w:pPr>
              <w:rPr>
                <w:sz w:val="22"/>
                <w:szCs w:val="22"/>
              </w:rPr>
            </w:pPr>
            <w:r w:rsidRPr="00F62913">
              <w:rPr>
                <w:sz w:val="22"/>
                <w:szCs w:val="22"/>
              </w:rPr>
              <w:t>Nedsat appetit</w:t>
            </w:r>
          </w:p>
        </w:tc>
        <w:tc>
          <w:tcPr>
            <w:tcW w:w="2222" w:type="pct"/>
            <w:tcBorders>
              <w:top w:val="single" w:sz="4" w:space="0" w:color="000000"/>
              <w:left w:val="single" w:sz="4" w:space="0" w:color="000000"/>
              <w:bottom w:val="single" w:sz="4" w:space="0" w:color="000000"/>
              <w:right w:val="single" w:sz="4" w:space="0" w:color="000000"/>
            </w:tcBorders>
            <w:hideMark/>
          </w:tcPr>
          <w:p w14:paraId="559FDE5B" w14:textId="77777777" w:rsidR="00200B99" w:rsidRPr="00F62913" w:rsidRDefault="00200B99" w:rsidP="00FA525A">
            <w:pPr>
              <w:rPr>
                <w:sz w:val="22"/>
                <w:szCs w:val="22"/>
              </w:rPr>
            </w:pPr>
            <w:r w:rsidRPr="00F62913">
              <w:rPr>
                <w:sz w:val="22"/>
                <w:szCs w:val="22"/>
              </w:rPr>
              <w:t>Hypocalcæmi</w:t>
            </w:r>
            <w:proofErr w:type="gramStart"/>
            <w:r w:rsidRPr="00F62913">
              <w:rPr>
                <w:sz w:val="22"/>
                <w:szCs w:val="22"/>
                <w:vertAlign w:val="superscript"/>
              </w:rPr>
              <w:t>*,‡</w:t>
            </w:r>
            <w:proofErr w:type="gramEnd"/>
            <w:r w:rsidRPr="00F62913">
              <w:rPr>
                <w:sz w:val="22"/>
                <w:szCs w:val="22"/>
              </w:rPr>
              <w:t xml:space="preserve"> </w:t>
            </w:r>
          </w:p>
          <w:p w14:paraId="7122333B" w14:textId="77777777" w:rsidR="00200B99" w:rsidRPr="00F62913" w:rsidRDefault="00200B99" w:rsidP="00FA525A">
            <w:pPr>
              <w:rPr>
                <w:sz w:val="22"/>
                <w:szCs w:val="22"/>
              </w:rPr>
            </w:pPr>
            <w:r w:rsidRPr="00F62913">
              <w:rPr>
                <w:sz w:val="22"/>
                <w:szCs w:val="22"/>
              </w:rPr>
              <w:t>Hypokaliæmi</w:t>
            </w:r>
            <w:r w:rsidRPr="00F62913">
              <w:rPr>
                <w:sz w:val="22"/>
                <w:szCs w:val="22"/>
                <w:vertAlign w:val="superscript"/>
              </w:rPr>
              <w:t>‡</w:t>
            </w:r>
            <w:r w:rsidRPr="00F62913">
              <w:rPr>
                <w:sz w:val="22"/>
                <w:szCs w:val="22"/>
              </w:rPr>
              <w:t xml:space="preserve"> </w:t>
            </w:r>
          </w:p>
          <w:p w14:paraId="48144709" w14:textId="77777777" w:rsidR="00200B99" w:rsidRPr="00F62913" w:rsidRDefault="00200B99" w:rsidP="00FA525A">
            <w:pPr>
              <w:rPr>
                <w:sz w:val="22"/>
                <w:szCs w:val="22"/>
              </w:rPr>
            </w:pPr>
            <w:proofErr w:type="gramStart"/>
            <w:r w:rsidRPr="00F62913">
              <w:rPr>
                <w:sz w:val="22"/>
                <w:szCs w:val="22"/>
              </w:rPr>
              <w:t>Hyperkolesterolæmi</w:t>
            </w:r>
            <w:r w:rsidRPr="00F62913">
              <w:rPr>
                <w:sz w:val="22"/>
                <w:szCs w:val="22"/>
                <w:vertAlign w:val="superscript"/>
              </w:rPr>
              <w:t>b,‡</w:t>
            </w:r>
            <w:proofErr w:type="gramEnd"/>
            <w:r w:rsidRPr="00F62913">
              <w:rPr>
                <w:sz w:val="22"/>
                <w:szCs w:val="22"/>
              </w:rPr>
              <w:t xml:space="preserve"> </w:t>
            </w:r>
          </w:p>
          <w:p w14:paraId="4CF5EDA0" w14:textId="77777777" w:rsidR="00200B99" w:rsidRPr="00F62913" w:rsidRDefault="00200B99" w:rsidP="00FA525A">
            <w:pPr>
              <w:rPr>
                <w:sz w:val="22"/>
                <w:szCs w:val="22"/>
              </w:rPr>
            </w:pPr>
            <w:proofErr w:type="gramStart"/>
            <w:r w:rsidRPr="00F62913">
              <w:rPr>
                <w:sz w:val="22"/>
                <w:szCs w:val="22"/>
              </w:rPr>
              <w:t>Hypomagnesiæmi</w:t>
            </w:r>
            <w:r w:rsidRPr="00F62913">
              <w:rPr>
                <w:sz w:val="22"/>
                <w:szCs w:val="22"/>
                <w:vertAlign w:val="superscript"/>
              </w:rPr>
              <w:t>b,‡</w:t>
            </w:r>
            <w:proofErr w:type="gramEnd"/>
            <w:r w:rsidRPr="00F62913">
              <w:rPr>
                <w:sz w:val="22"/>
                <w:szCs w:val="22"/>
              </w:rPr>
              <w:t xml:space="preserve"> </w:t>
            </w:r>
          </w:p>
          <w:p w14:paraId="11A9E64C" w14:textId="77777777" w:rsidR="00200B99" w:rsidRPr="00F62913" w:rsidRDefault="00200B99" w:rsidP="00FA525A">
            <w:pPr>
              <w:rPr>
                <w:sz w:val="22"/>
                <w:szCs w:val="22"/>
              </w:rPr>
            </w:pPr>
            <w:r w:rsidRPr="00F62913">
              <w:rPr>
                <w:sz w:val="22"/>
                <w:szCs w:val="22"/>
              </w:rPr>
              <w:t>Vægttab</w:t>
            </w:r>
          </w:p>
          <w:p w14:paraId="3DF4BCEA" w14:textId="77777777" w:rsidR="00200B99" w:rsidRPr="00F62913" w:rsidRDefault="00200B99" w:rsidP="00FA525A">
            <w:pPr>
              <w:rPr>
                <w:sz w:val="22"/>
                <w:szCs w:val="22"/>
              </w:rPr>
            </w:pPr>
            <w:r w:rsidRPr="00F62913">
              <w:rPr>
                <w:sz w:val="22"/>
                <w:szCs w:val="22"/>
              </w:rPr>
              <w:t>Nedsat appetit</w:t>
            </w:r>
          </w:p>
        </w:tc>
      </w:tr>
      <w:tr w:rsidR="00200B99" w:rsidRPr="00F62913" w14:paraId="0A567884"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DACF261" w14:textId="77777777" w:rsidR="00200B99" w:rsidRPr="00F62913" w:rsidRDefault="00200B99" w:rsidP="00FA525A">
            <w:pPr>
              <w:rPr>
                <w:sz w:val="22"/>
                <w:szCs w:val="22"/>
              </w:rPr>
            </w:pPr>
            <w:r w:rsidRPr="00F62913">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5EDB4595" w14:textId="77777777" w:rsidR="00200B99" w:rsidRPr="00F62913" w:rsidRDefault="00200B99" w:rsidP="00FA525A">
            <w:pPr>
              <w:rPr>
                <w:sz w:val="22"/>
                <w:szCs w:val="22"/>
              </w:rPr>
            </w:pPr>
            <w:r w:rsidRPr="00F62913">
              <w:rPr>
                <w:sz w:val="22"/>
                <w:szCs w:val="22"/>
              </w:rPr>
              <w:t>Dehydrering</w:t>
            </w:r>
          </w:p>
        </w:tc>
        <w:tc>
          <w:tcPr>
            <w:tcW w:w="2222" w:type="pct"/>
            <w:tcBorders>
              <w:top w:val="single" w:sz="4" w:space="0" w:color="000000"/>
              <w:left w:val="single" w:sz="4" w:space="0" w:color="000000"/>
              <w:bottom w:val="single" w:sz="4" w:space="0" w:color="000000"/>
              <w:right w:val="single" w:sz="4" w:space="0" w:color="000000"/>
            </w:tcBorders>
            <w:hideMark/>
          </w:tcPr>
          <w:p w14:paraId="1D0956DF" w14:textId="77777777" w:rsidR="00200B99" w:rsidRPr="00F62913" w:rsidRDefault="00200B99" w:rsidP="00FA525A">
            <w:pPr>
              <w:rPr>
                <w:sz w:val="22"/>
                <w:szCs w:val="22"/>
              </w:rPr>
            </w:pPr>
            <w:r w:rsidRPr="00F62913">
              <w:rPr>
                <w:sz w:val="22"/>
                <w:szCs w:val="22"/>
              </w:rPr>
              <w:t>Dehydrering</w:t>
            </w:r>
          </w:p>
        </w:tc>
      </w:tr>
      <w:tr w:rsidR="00200B99" w:rsidRPr="00F62913" w14:paraId="0526BFC2"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325A08B7" w14:textId="77777777" w:rsidR="00200B99" w:rsidRPr="00F62913" w:rsidRDefault="00200B99" w:rsidP="00FA525A">
            <w:pPr>
              <w:rPr>
                <w:sz w:val="22"/>
                <w:szCs w:val="22"/>
              </w:rPr>
            </w:pPr>
            <w:r w:rsidRPr="00F62913">
              <w:rPr>
                <w:sz w:val="22"/>
                <w:szCs w:val="22"/>
              </w:rPr>
              <w:t>Sjælden</w:t>
            </w:r>
          </w:p>
        </w:tc>
        <w:tc>
          <w:tcPr>
            <w:tcW w:w="1467" w:type="pct"/>
            <w:tcBorders>
              <w:top w:val="single" w:sz="4" w:space="0" w:color="000000"/>
              <w:left w:val="single" w:sz="4" w:space="0" w:color="000000"/>
              <w:bottom w:val="single" w:sz="4" w:space="0" w:color="000000"/>
              <w:right w:val="single" w:sz="4" w:space="0" w:color="000000"/>
            </w:tcBorders>
            <w:hideMark/>
          </w:tcPr>
          <w:p w14:paraId="430D2720" w14:textId="77777777" w:rsidR="00200B99" w:rsidRPr="00F62913" w:rsidRDefault="00200B99" w:rsidP="00FA525A">
            <w:pPr>
              <w:rPr>
                <w:sz w:val="22"/>
                <w:szCs w:val="22"/>
              </w:rPr>
            </w:pPr>
            <w:r w:rsidRPr="00F62913">
              <w:rPr>
                <w:sz w:val="22"/>
                <w:szCs w:val="22"/>
              </w:rPr>
              <w:t>Tumorlysesyndrom†</w:t>
            </w:r>
          </w:p>
        </w:tc>
        <w:tc>
          <w:tcPr>
            <w:tcW w:w="2222" w:type="pct"/>
            <w:tcBorders>
              <w:top w:val="single" w:sz="4" w:space="0" w:color="000000"/>
              <w:left w:val="single" w:sz="4" w:space="0" w:color="000000"/>
              <w:bottom w:val="single" w:sz="4" w:space="0" w:color="000000"/>
              <w:right w:val="single" w:sz="4" w:space="0" w:color="000000"/>
            </w:tcBorders>
            <w:hideMark/>
          </w:tcPr>
          <w:p w14:paraId="6AA2DDE0" w14:textId="77777777" w:rsidR="00200B99" w:rsidRPr="00F62913" w:rsidRDefault="00200B99" w:rsidP="00FA525A">
            <w:pPr>
              <w:rPr>
                <w:sz w:val="22"/>
                <w:szCs w:val="22"/>
              </w:rPr>
            </w:pPr>
            <w:r w:rsidRPr="00F62913">
              <w:rPr>
                <w:sz w:val="22"/>
                <w:szCs w:val="22"/>
              </w:rPr>
              <w:t>Tumorlysesyndrom†</w:t>
            </w:r>
          </w:p>
        </w:tc>
      </w:tr>
      <w:tr w:rsidR="00200B99" w:rsidRPr="00F62913" w14:paraId="52A95A38"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3A971FBD" w14:textId="77777777" w:rsidR="00200B99" w:rsidRPr="00F62913" w:rsidRDefault="00200B99" w:rsidP="00FA525A">
            <w:pPr>
              <w:rPr>
                <w:b/>
                <w:sz w:val="22"/>
                <w:szCs w:val="22"/>
              </w:rPr>
            </w:pPr>
            <w:r w:rsidRPr="00F62913">
              <w:rPr>
                <w:b/>
                <w:sz w:val="22"/>
                <w:szCs w:val="22"/>
              </w:rPr>
              <w:t>Psykiske forstyrrelser</w:t>
            </w:r>
          </w:p>
        </w:tc>
      </w:tr>
      <w:tr w:rsidR="00200B99" w:rsidRPr="00F62913" w14:paraId="1E15E968"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45F6F7E6"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2E911F6D" w14:textId="77777777" w:rsidR="00200B99" w:rsidRPr="00F62913" w:rsidRDefault="00200B99" w:rsidP="00FA525A">
            <w:pPr>
              <w:rPr>
                <w:sz w:val="22"/>
                <w:szCs w:val="22"/>
              </w:rPr>
            </w:pPr>
            <w:r w:rsidRPr="00F62913">
              <w:rPr>
                <w:sz w:val="22"/>
                <w:szCs w:val="22"/>
              </w:rPr>
              <w:t>Søvnløshed</w:t>
            </w:r>
          </w:p>
        </w:tc>
        <w:tc>
          <w:tcPr>
            <w:tcW w:w="2222" w:type="pct"/>
            <w:tcBorders>
              <w:top w:val="single" w:sz="4" w:space="0" w:color="000000"/>
              <w:left w:val="single" w:sz="4" w:space="0" w:color="000000"/>
              <w:bottom w:val="single" w:sz="4" w:space="0" w:color="000000"/>
              <w:right w:val="single" w:sz="4" w:space="0" w:color="000000"/>
            </w:tcBorders>
          </w:tcPr>
          <w:p w14:paraId="106F6F85" w14:textId="77777777" w:rsidR="00200B99" w:rsidRPr="00F62913" w:rsidRDefault="00200B99" w:rsidP="00FA525A">
            <w:pPr>
              <w:rPr>
                <w:sz w:val="22"/>
                <w:szCs w:val="22"/>
              </w:rPr>
            </w:pPr>
          </w:p>
        </w:tc>
      </w:tr>
      <w:tr w:rsidR="00200B99" w:rsidRPr="00F62913" w14:paraId="1D1EF558"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49A7F513" w14:textId="77777777" w:rsidR="00200B99" w:rsidRPr="00F62913" w:rsidRDefault="00200B99" w:rsidP="00FA525A">
            <w:pPr>
              <w:rPr>
                <w:sz w:val="22"/>
                <w:szCs w:val="22"/>
              </w:rPr>
            </w:pPr>
            <w:r w:rsidRPr="00F62913">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tcPr>
          <w:p w14:paraId="4B71BFE1" w14:textId="77777777" w:rsidR="00200B99" w:rsidRPr="00F62913" w:rsidRDefault="00200B99" w:rsidP="00FA525A">
            <w:pPr>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65DAFCBE" w14:textId="77777777" w:rsidR="00200B99" w:rsidRPr="00F62913" w:rsidRDefault="00200B99" w:rsidP="00FA525A">
            <w:pPr>
              <w:rPr>
                <w:sz w:val="22"/>
                <w:szCs w:val="22"/>
              </w:rPr>
            </w:pPr>
            <w:r w:rsidRPr="00F62913">
              <w:rPr>
                <w:sz w:val="22"/>
                <w:szCs w:val="22"/>
              </w:rPr>
              <w:t>Søvnløshed</w:t>
            </w:r>
          </w:p>
        </w:tc>
      </w:tr>
      <w:tr w:rsidR="00200B99" w:rsidRPr="00F62913" w14:paraId="5001C897"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47B6EF29" w14:textId="77777777" w:rsidR="00200B99" w:rsidRPr="00F62913" w:rsidRDefault="00200B99" w:rsidP="00FA525A">
            <w:pPr>
              <w:rPr>
                <w:b/>
                <w:sz w:val="22"/>
                <w:szCs w:val="22"/>
              </w:rPr>
            </w:pPr>
            <w:r w:rsidRPr="00F62913">
              <w:rPr>
                <w:b/>
                <w:sz w:val="22"/>
                <w:szCs w:val="22"/>
              </w:rPr>
              <w:t>Nervesystemet</w:t>
            </w:r>
          </w:p>
        </w:tc>
      </w:tr>
      <w:tr w:rsidR="00200B99" w:rsidRPr="00F62913" w14:paraId="29416B61"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6F793ABE"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18CF8ED3" w14:textId="77777777" w:rsidR="00200B99" w:rsidRPr="00F62913" w:rsidRDefault="00200B99" w:rsidP="00FA525A">
            <w:pPr>
              <w:rPr>
                <w:sz w:val="22"/>
                <w:szCs w:val="22"/>
              </w:rPr>
            </w:pPr>
            <w:r w:rsidRPr="00F62913">
              <w:rPr>
                <w:sz w:val="22"/>
                <w:szCs w:val="22"/>
              </w:rPr>
              <w:t xml:space="preserve">Svimmelhed </w:t>
            </w:r>
          </w:p>
          <w:p w14:paraId="6DA6FB9B" w14:textId="77777777" w:rsidR="00200B99" w:rsidRPr="00F62913" w:rsidRDefault="00200B99" w:rsidP="00FA525A">
            <w:pPr>
              <w:rPr>
                <w:sz w:val="22"/>
                <w:szCs w:val="22"/>
              </w:rPr>
            </w:pPr>
            <w:r w:rsidRPr="00F62913">
              <w:rPr>
                <w:sz w:val="22"/>
                <w:szCs w:val="22"/>
              </w:rPr>
              <w:t xml:space="preserve">Hovedpine </w:t>
            </w:r>
          </w:p>
          <w:p w14:paraId="3A0F6A09" w14:textId="77777777" w:rsidR="00200B99" w:rsidRPr="00F62913" w:rsidRDefault="00200B99" w:rsidP="00FA525A">
            <w:pPr>
              <w:rPr>
                <w:sz w:val="22"/>
                <w:szCs w:val="22"/>
              </w:rPr>
            </w:pPr>
            <w:r w:rsidRPr="00F62913">
              <w:rPr>
                <w:sz w:val="22"/>
                <w:szCs w:val="22"/>
              </w:rPr>
              <w:t>Dysgeusi</w:t>
            </w:r>
          </w:p>
        </w:tc>
        <w:tc>
          <w:tcPr>
            <w:tcW w:w="2222" w:type="pct"/>
            <w:tcBorders>
              <w:top w:val="single" w:sz="4" w:space="0" w:color="000000"/>
              <w:left w:val="single" w:sz="4" w:space="0" w:color="000000"/>
              <w:bottom w:val="single" w:sz="4" w:space="0" w:color="000000"/>
              <w:right w:val="single" w:sz="4" w:space="0" w:color="000000"/>
            </w:tcBorders>
            <w:hideMark/>
          </w:tcPr>
          <w:p w14:paraId="7C63B781" w14:textId="77777777" w:rsidR="00200B99" w:rsidRPr="00F62913" w:rsidRDefault="00200B99" w:rsidP="00FA525A">
            <w:pPr>
              <w:rPr>
                <w:sz w:val="22"/>
                <w:szCs w:val="22"/>
              </w:rPr>
            </w:pPr>
            <w:r w:rsidRPr="00F62913">
              <w:rPr>
                <w:sz w:val="22"/>
                <w:szCs w:val="22"/>
              </w:rPr>
              <w:t xml:space="preserve">Svimmelhed </w:t>
            </w:r>
          </w:p>
          <w:p w14:paraId="1883C0B5" w14:textId="77777777" w:rsidR="00200B99" w:rsidRPr="00F62913" w:rsidRDefault="00200B99" w:rsidP="00FA525A">
            <w:pPr>
              <w:rPr>
                <w:sz w:val="22"/>
                <w:szCs w:val="22"/>
              </w:rPr>
            </w:pPr>
            <w:r w:rsidRPr="00F62913">
              <w:rPr>
                <w:sz w:val="22"/>
                <w:szCs w:val="22"/>
              </w:rPr>
              <w:t xml:space="preserve">Hovedpine </w:t>
            </w:r>
          </w:p>
          <w:p w14:paraId="1184A883" w14:textId="77777777" w:rsidR="00200B99" w:rsidRPr="00F62913" w:rsidRDefault="00200B99" w:rsidP="00FA525A">
            <w:pPr>
              <w:rPr>
                <w:sz w:val="22"/>
                <w:szCs w:val="22"/>
              </w:rPr>
            </w:pPr>
            <w:r w:rsidRPr="00F62913">
              <w:rPr>
                <w:sz w:val="22"/>
                <w:szCs w:val="22"/>
              </w:rPr>
              <w:t>Dysgeusi</w:t>
            </w:r>
          </w:p>
        </w:tc>
      </w:tr>
      <w:tr w:rsidR="00200B99" w:rsidRPr="00F62913" w14:paraId="4FC3D00E"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4DC12E25" w14:textId="77777777" w:rsidR="00200B99" w:rsidRPr="00F62913" w:rsidRDefault="00200B99" w:rsidP="00FA525A">
            <w:pPr>
              <w:rPr>
                <w:sz w:val="22"/>
                <w:szCs w:val="22"/>
              </w:rPr>
            </w:pPr>
            <w:r w:rsidRPr="00F62913">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07142D58" w14:textId="77777777" w:rsidR="00200B99" w:rsidRPr="00F62913" w:rsidRDefault="00200B99" w:rsidP="00FA525A">
            <w:pPr>
              <w:rPr>
                <w:sz w:val="22"/>
                <w:szCs w:val="22"/>
              </w:rPr>
            </w:pPr>
            <w:r w:rsidRPr="00F62913">
              <w:rPr>
                <w:sz w:val="22"/>
                <w:szCs w:val="22"/>
              </w:rPr>
              <w:t>Cerebrovaskulært anfald†</w:t>
            </w:r>
          </w:p>
        </w:tc>
        <w:tc>
          <w:tcPr>
            <w:tcW w:w="2222" w:type="pct"/>
            <w:tcBorders>
              <w:top w:val="single" w:sz="4" w:space="0" w:color="000000"/>
              <w:left w:val="single" w:sz="4" w:space="0" w:color="000000"/>
              <w:bottom w:val="single" w:sz="4" w:space="0" w:color="000000"/>
              <w:right w:val="single" w:sz="4" w:space="0" w:color="000000"/>
            </w:tcBorders>
          </w:tcPr>
          <w:p w14:paraId="2C1C2BA9" w14:textId="77777777" w:rsidR="00200B99" w:rsidRPr="00F62913" w:rsidRDefault="00200B99" w:rsidP="00FA525A">
            <w:pPr>
              <w:rPr>
                <w:sz w:val="22"/>
                <w:szCs w:val="22"/>
              </w:rPr>
            </w:pPr>
          </w:p>
        </w:tc>
      </w:tr>
      <w:tr w:rsidR="00200B99" w:rsidRPr="00F62913" w14:paraId="7F25E567"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61184E0" w14:textId="77777777" w:rsidR="00200B99" w:rsidRPr="00F62913" w:rsidRDefault="00200B99" w:rsidP="00FA525A">
            <w:pPr>
              <w:rPr>
                <w:sz w:val="22"/>
                <w:szCs w:val="22"/>
              </w:rPr>
            </w:pPr>
            <w:r w:rsidRPr="00F62913">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09234C69" w14:textId="77777777" w:rsidR="00200B99" w:rsidRPr="00F62913" w:rsidRDefault="00200B99" w:rsidP="00FA525A">
            <w:pPr>
              <w:rPr>
                <w:sz w:val="22"/>
                <w:szCs w:val="22"/>
              </w:rPr>
            </w:pPr>
            <w:r w:rsidRPr="00F62913">
              <w:rPr>
                <w:sz w:val="22"/>
                <w:szCs w:val="22"/>
              </w:rPr>
              <w:t>Posteriort reversibelt encefalopatisyndrom Monoparese</w:t>
            </w:r>
          </w:p>
          <w:p w14:paraId="2A37131D" w14:textId="77777777" w:rsidR="00200B99" w:rsidRPr="00F62913" w:rsidRDefault="00200B99" w:rsidP="00FA525A">
            <w:pPr>
              <w:rPr>
                <w:sz w:val="22"/>
                <w:szCs w:val="22"/>
              </w:rPr>
            </w:pPr>
            <w:r w:rsidRPr="00F62913">
              <w:rPr>
                <w:sz w:val="22"/>
                <w:szCs w:val="22"/>
              </w:rPr>
              <w:t>Transitorisk iskæmisk anfald</w:t>
            </w:r>
          </w:p>
        </w:tc>
        <w:tc>
          <w:tcPr>
            <w:tcW w:w="2222" w:type="pct"/>
            <w:tcBorders>
              <w:top w:val="single" w:sz="4" w:space="0" w:color="000000"/>
              <w:left w:val="single" w:sz="4" w:space="0" w:color="000000"/>
              <w:bottom w:val="single" w:sz="4" w:space="0" w:color="000000"/>
              <w:right w:val="single" w:sz="4" w:space="0" w:color="000000"/>
            </w:tcBorders>
            <w:hideMark/>
          </w:tcPr>
          <w:p w14:paraId="1DE51781" w14:textId="77777777" w:rsidR="00200B99" w:rsidRPr="00F62913" w:rsidRDefault="00200B99" w:rsidP="00FA525A">
            <w:pPr>
              <w:rPr>
                <w:sz w:val="22"/>
                <w:szCs w:val="22"/>
              </w:rPr>
            </w:pPr>
            <w:r w:rsidRPr="00F62913">
              <w:rPr>
                <w:sz w:val="22"/>
                <w:szCs w:val="22"/>
              </w:rPr>
              <w:t>Posteriort reversibelt encefalopatisyndrom Cerebrovaskulær hændelse</w:t>
            </w:r>
            <w:r w:rsidRPr="00F62913">
              <w:rPr>
                <w:sz w:val="22"/>
                <w:szCs w:val="22"/>
                <w:vertAlign w:val="superscript"/>
              </w:rPr>
              <w:t>†</w:t>
            </w:r>
          </w:p>
          <w:p w14:paraId="78C36CC7" w14:textId="77777777" w:rsidR="00200B99" w:rsidRPr="00F62913" w:rsidRDefault="00200B99" w:rsidP="00FA525A">
            <w:pPr>
              <w:rPr>
                <w:sz w:val="22"/>
                <w:szCs w:val="22"/>
              </w:rPr>
            </w:pPr>
            <w:r w:rsidRPr="00F62913">
              <w:rPr>
                <w:sz w:val="22"/>
                <w:szCs w:val="22"/>
              </w:rPr>
              <w:t>Monoparese</w:t>
            </w:r>
          </w:p>
          <w:p w14:paraId="7C3101FB" w14:textId="77777777" w:rsidR="00200B99" w:rsidRPr="00F62913" w:rsidRDefault="00200B99" w:rsidP="00FA525A">
            <w:pPr>
              <w:rPr>
                <w:sz w:val="22"/>
                <w:szCs w:val="22"/>
              </w:rPr>
            </w:pPr>
            <w:r w:rsidRPr="00F62913">
              <w:rPr>
                <w:sz w:val="22"/>
                <w:szCs w:val="22"/>
              </w:rPr>
              <w:t>Transitorisk iskæmisk anfald</w:t>
            </w:r>
          </w:p>
        </w:tc>
      </w:tr>
      <w:tr w:rsidR="00200B99" w:rsidRPr="00F62913" w14:paraId="565D4A2A"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6BDE9DEC" w14:textId="77777777" w:rsidR="00200B99" w:rsidRPr="00F62913" w:rsidRDefault="00200B99" w:rsidP="00FA525A">
            <w:pPr>
              <w:rPr>
                <w:b/>
                <w:sz w:val="22"/>
                <w:szCs w:val="22"/>
              </w:rPr>
            </w:pPr>
            <w:r w:rsidRPr="00F62913">
              <w:rPr>
                <w:b/>
                <w:sz w:val="22"/>
                <w:szCs w:val="22"/>
              </w:rPr>
              <w:t>Hjerte</w:t>
            </w:r>
          </w:p>
        </w:tc>
      </w:tr>
      <w:tr w:rsidR="00200B99" w:rsidRPr="00F62913" w14:paraId="0DEF0CC8"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3F30898" w14:textId="77777777" w:rsidR="00200B99" w:rsidRPr="00F62913" w:rsidRDefault="00200B99" w:rsidP="00FA525A">
            <w:pPr>
              <w:rPr>
                <w:sz w:val="22"/>
                <w:szCs w:val="22"/>
              </w:rPr>
            </w:pPr>
            <w:r w:rsidRPr="00F62913">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2D9D992B" w14:textId="77777777" w:rsidR="00200B99" w:rsidRPr="00F62913" w:rsidRDefault="00200B99" w:rsidP="00FA525A">
            <w:pPr>
              <w:rPr>
                <w:sz w:val="22"/>
                <w:szCs w:val="22"/>
              </w:rPr>
            </w:pPr>
            <w:proofErr w:type="gramStart"/>
            <w:r w:rsidRPr="00F62913">
              <w:rPr>
                <w:sz w:val="22"/>
                <w:szCs w:val="22"/>
              </w:rPr>
              <w:t>Myokardieinfarkt</w:t>
            </w:r>
            <w:r w:rsidRPr="00F62913">
              <w:rPr>
                <w:sz w:val="22"/>
                <w:szCs w:val="22"/>
                <w:vertAlign w:val="superscript"/>
              </w:rPr>
              <w:t>c,†</w:t>
            </w:r>
            <w:proofErr w:type="gramEnd"/>
            <w:r w:rsidRPr="00F62913">
              <w:rPr>
                <w:sz w:val="22"/>
                <w:szCs w:val="22"/>
                <w:vertAlign w:val="superscript"/>
              </w:rPr>
              <w:t xml:space="preserve"> </w:t>
            </w:r>
          </w:p>
          <w:p w14:paraId="1209DA52" w14:textId="77777777" w:rsidR="00200B99" w:rsidRPr="00F62913" w:rsidRDefault="00200B99" w:rsidP="00FA525A">
            <w:pPr>
              <w:rPr>
                <w:sz w:val="22"/>
                <w:szCs w:val="22"/>
              </w:rPr>
            </w:pPr>
            <w:r w:rsidRPr="00F62913">
              <w:rPr>
                <w:sz w:val="22"/>
                <w:szCs w:val="22"/>
              </w:rPr>
              <w:t>Hjertesvigt</w:t>
            </w:r>
          </w:p>
          <w:p w14:paraId="1F092B25" w14:textId="33ABF8A0" w:rsidR="00200B99" w:rsidRPr="00F62913" w:rsidRDefault="00200B99" w:rsidP="00FA525A">
            <w:pPr>
              <w:rPr>
                <w:sz w:val="22"/>
                <w:szCs w:val="22"/>
              </w:rPr>
            </w:pPr>
            <w:r w:rsidRPr="00F62913">
              <w:rPr>
                <w:sz w:val="22"/>
                <w:szCs w:val="22"/>
              </w:rPr>
              <w:t>Forlænget elektrokardiogram-QT</w:t>
            </w:r>
          </w:p>
          <w:p w14:paraId="3DC8FC7D" w14:textId="77777777" w:rsidR="00200B99" w:rsidRPr="00F62913" w:rsidRDefault="00200B99" w:rsidP="00FA525A">
            <w:pPr>
              <w:rPr>
                <w:sz w:val="22"/>
                <w:szCs w:val="22"/>
              </w:rPr>
            </w:pPr>
            <w:r w:rsidRPr="00F62913">
              <w:rPr>
                <w:sz w:val="22"/>
                <w:szCs w:val="22"/>
              </w:rPr>
              <w:t>Reduceret uddrivningsfraktion</w:t>
            </w:r>
          </w:p>
        </w:tc>
        <w:tc>
          <w:tcPr>
            <w:tcW w:w="2222" w:type="pct"/>
            <w:tcBorders>
              <w:top w:val="single" w:sz="4" w:space="0" w:color="000000"/>
              <w:left w:val="single" w:sz="4" w:space="0" w:color="000000"/>
              <w:bottom w:val="single" w:sz="4" w:space="0" w:color="000000"/>
              <w:right w:val="single" w:sz="4" w:space="0" w:color="000000"/>
            </w:tcBorders>
            <w:hideMark/>
          </w:tcPr>
          <w:p w14:paraId="628B1D47" w14:textId="77777777" w:rsidR="00200B99" w:rsidRPr="00F62913" w:rsidRDefault="00200B99" w:rsidP="00FA525A">
            <w:pPr>
              <w:rPr>
                <w:sz w:val="22"/>
                <w:szCs w:val="22"/>
              </w:rPr>
            </w:pPr>
            <w:r w:rsidRPr="00F62913">
              <w:rPr>
                <w:sz w:val="22"/>
                <w:szCs w:val="22"/>
              </w:rPr>
              <w:t>Forlænget elektrokardiogram-QT</w:t>
            </w:r>
          </w:p>
        </w:tc>
      </w:tr>
      <w:tr w:rsidR="00200B99" w:rsidRPr="00F62913" w14:paraId="3460BA9A"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6C9FBEC" w14:textId="77777777" w:rsidR="00200B99" w:rsidRPr="00F62913" w:rsidRDefault="00200B99" w:rsidP="00FA525A">
            <w:pPr>
              <w:rPr>
                <w:sz w:val="22"/>
                <w:szCs w:val="22"/>
              </w:rPr>
            </w:pPr>
            <w:r w:rsidRPr="00F62913">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tcPr>
          <w:p w14:paraId="2DD2471B" w14:textId="77777777" w:rsidR="00200B99" w:rsidRPr="00F62913" w:rsidRDefault="00200B99" w:rsidP="00FA525A">
            <w:pPr>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76FE9D63" w14:textId="77777777" w:rsidR="00200B99" w:rsidRPr="00F62913" w:rsidRDefault="00200B99" w:rsidP="00FA525A">
            <w:pPr>
              <w:rPr>
                <w:sz w:val="22"/>
                <w:szCs w:val="22"/>
              </w:rPr>
            </w:pPr>
            <w:proofErr w:type="gramStart"/>
            <w:r w:rsidRPr="00F62913">
              <w:rPr>
                <w:sz w:val="22"/>
                <w:szCs w:val="22"/>
              </w:rPr>
              <w:t>Myokardieinfarkt</w:t>
            </w:r>
            <w:r w:rsidRPr="00F62913">
              <w:rPr>
                <w:sz w:val="22"/>
                <w:szCs w:val="22"/>
                <w:vertAlign w:val="superscript"/>
              </w:rPr>
              <w:t>c,†</w:t>
            </w:r>
            <w:proofErr w:type="gramEnd"/>
            <w:r w:rsidRPr="00F62913">
              <w:rPr>
                <w:sz w:val="22"/>
                <w:szCs w:val="22"/>
              </w:rPr>
              <w:t xml:space="preserve"> </w:t>
            </w:r>
          </w:p>
          <w:p w14:paraId="20E8E337" w14:textId="77777777" w:rsidR="00200B99" w:rsidRPr="00F62913" w:rsidRDefault="00200B99" w:rsidP="00FA525A">
            <w:pPr>
              <w:rPr>
                <w:sz w:val="22"/>
                <w:szCs w:val="22"/>
              </w:rPr>
            </w:pPr>
            <w:r w:rsidRPr="00F62913">
              <w:rPr>
                <w:sz w:val="22"/>
                <w:szCs w:val="22"/>
              </w:rPr>
              <w:t>Hjertesvigt</w:t>
            </w:r>
          </w:p>
          <w:p w14:paraId="21617F63" w14:textId="77777777" w:rsidR="00200B99" w:rsidRPr="00F62913" w:rsidRDefault="00200B99" w:rsidP="00FA525A">
            <w:pPr>
              <w:rPr>
                <w:sz w:val="22"/>
                <w:szCs w:val="22"/>
              </w:rPr>
            </w:pPr>
            <w:r w:rsidRPr="00F62913">
              <w:rPr>
                <w:sz w:val="22"/>
                <w:szCs w:val="22"/>
              </w:rPr>
              <w:t>Reduceret uddrivningsfraktion</w:t>
            </w:r>
          </w:p>
        </w:tc>
      </w:tr>
      <w:tr w:rsidR="00200B99" w:rsidRPr="00F62913" w14:paraId="1C568BEF"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7DE38447" w14:textId="77777777" w:rsidR="00200B99" w:rsidRPr="00F62913" w:rsidRDefault="00200B99" w:rsidP="00FA525A">
            <w:pPr>
              <w:rPr>
                <w:b/>
                <w:sz w:val="22"/>
                <w:szCs w:val="22"/>
              </w:rPr>
            </w:pPr>
            <w:r w:rsidRPr="00F62913">
              <w:rPr>
                <w:b/>
                <w:sz w:val="22"/>
                <w:szCs w:val="22"/>
              </w:rPr>
              <w:t>Vaskulære sygdomme</w:t>
            </w:r>
          </w:p>
        </w:tc>
      </w:tr>
      <w:tr w:rsidR="00200B99" w:rsidRPr="00F62913" w14:paraId="7DC01602"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3F431848"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0C074E70" w14:textId="77777777" w:rsidR="00200B99" w:rsidRPr="00F62913" w:rsidRDefault="00200B99" w:rsidP="00FA525A">
            <w:pPr>
              <w:rPr>
                <w:sz w:val="22"/>
                <w:szCs w:val="22"/>
              </w:rPr>
            </w:pPr>
            <w:r w:rsidRPr="00F62913">
              <w:rPr>
                <w:sz w:val="22"/>
                <w:szCs w:val="22"/>
              </w:rPr>
              <w:t>Blødning</w:t>
            </w:r>
            <w:r w:rsidRPr="00F62913">
              <w:rPr>
                <w:sz w:val="22"/>
                <w:szCs w:val="22"/>
                <w:vertAlign w:val="superscript"/>
              </w:rPr>
              <w:t xml:space="preserve">d, </w:t>
            </w:r>
            <w:proofErr w:type="gramStart"/>
            <w:r w:rsidRPr="00F62913">
              <w:rPr>
                <w:sz w:val="22"/>
                <w:szCs w:val="22"/>
                <w:vertAlign w:val="superscript"/>
              </w:rPr>
              <w:t>*,†</w:t>
            </w:r>
            <w:proofErr w:type="gramEnd"/>
            <w:r w:rsidRPr="00F62913">
              <w:rPr>
                <w:sz w:val="22"/>
                <w:szCs w:val="22"/>
              </w:rPr>
              <w:t xml:space="preserve"> </w:t>
            </w:r>
          </w:p>
          <w:p w14:paraId="0F58CEB8" w14:textId="77777777" w:rsidR="00200B99" w:rsidRPr="00F62913" w:rsidRDefault="00200B99" w:rsidP="00FA525A">
            <w:pPr>
              <w:rPr>
                <w:sz w:val="22"/>
                <w:szCs w:val="22"/>
              </w:rPr>
            </w:pPr>
            <w:proofErr w:type="gramStart"/>
            <w:r w:rsidRPr="00F62913">
              <w:rPr>
                <w:sz w:val="22"/>
                <w:szCs w:val="22"/>
              </w:rPr>
              <w:t>Hypertension</w:t>
            </w:r>
            <w:r w:rsidRPr="00F62913">
              <w:rPr>
                <w:sz w:val="22"/>
                <w:szCs w:val="22"/>
                <w:vertAlign w:val="superscript"/>
              </w:rPr>
              <w:t>e,*</w:t>
            </w:r>
            <w:proofErr w:type="gramEnd"/>
            <w:r w:rsidRPr="00F62913">
              <w:rPr>
                <w:sz w:val="22"/>
                <w:szCs w:val="22"/>
              </w:rPr>
              <w:t xml:space="preserve"> </w:t>
            </w:r>
          </w:p>
          <w:p w14:paraId="5CFF2CE1" w14:textId="77777777" w:rsidR="00200B99" w:rsidRPr="00F62913" w:rsidRDefault="00200B99" w:rsidP="00FA525A">
            <w:pPr>
              <w:rPr>
                <w:sz w:val="22"/>
                <w:szCs w:val="22"/>
              </w:rPr>
            </w:pPr>
            <w:r w:rsidRPr="00F62913">
              <w:rPr>
                <w:sz w:val="22"/>
                <w:szCs w:val="22"/>
              </w:rPr>
              <w:t>Hypotension</w:t>
            </w:r>
          </w:p>
        </w:tc>
        <w:tc>
          <w:tcPr>
            <w:tcW w:w="2222" w:type="pct"/>
            <w:tcBorders>
              <w:top w:val="single" w:sz="4" w:space="0" w:color="000000"/>
              <w:left w:val="single" w:sz="4" w:space="0" w:color="000000"/>
              <w:bottom w:val="single" w:sz="4" w:space="0" w:color="000000"/>
              <w:right w:val="single" w:sz="4" w:space="0" w:color="000000"/>
            </w:tcBorders>
            <w:hideMark/>
          </w:tcPr>
          <w:p w14:paraId="44698AE1" w14:textId="77777777" w:rsidR="00200B99" w:rsidRPr="00F62913" w:rsidRDefault="00200B99" w:rsidP="00FA525A">
            <w:pPr>
              <w:rPr>
                <w:sz w:val="22"/>
                <w:szCs w:val="22"/>
              </w:rPr>
            </w:pPr>
            <w:r w:rsidRPr="00F62913">
              <w:rPr>
                <w:sz w:val="22"/>
                <w:szCs w:val="22"/>
              </w:rPr>
              <w:t>Blødning</w:t>
            </w:r>
            <w:r w:rsidRPr="00F62913">
              <w:rPr>
                <w:sz w:val="22"/>
                <w:szCs w:val="22"/>
                <w:vertAlign w:val="superscript"/>
              </w:rPr>
              <w:t xml:space="preserve">d, </w:t>
            </w:r>
            <w:proofErr w:type="gramStart"/>
            <w:r w:rsidRPr="00F62913">
              <w:rPr>
                <w:sz w:val="22"/>
                <w:szCs w:val="22"/>
                <w:vertAlign w:val="superscript"/>
              </w:rPr>
              <w:t>*,†</w:t>
            </w:r>
            <w:proofErr w:type="gramEnd"/>
            <w:r w:rsidRPr="00F62913">
              <w:rPr>
                <w:sz w:val="22"/>
                <w:szCs w:val="22"/>
              </w:rPr>
              <w:t xml:space="preserve"> </w:t>
            </w:r>
          </w:p>
          <w:p w14:paraId="2001BD18" w14:textId="77777777" w:rsidR="00200B99" w:rsidRPr="00F62913" w:rsidRDefault="00200B99" w:rsidP="00FA525A">
            <w:pPr>
              <w:rPr>
                <w:sz w:val="22"/>
                <w:szCs w:val="22"/>
              </w:rPr>
            </w:pPr>
            <w:proofErr w:type="gramStart"/>
            <w:r w:rsidRPr="00F62913">
              <w:rPr>
                <w:sz w:val="22"/>
                <w:szCs w:val="22"/>
              </w:rPr>
              <w:t>Hypertension</w:t>
            </w:r>
            <w:r w:rsidRPr="00F62913">
              <w:rPr>
                <w:sz w:val="22"/>
                <w:szCs w:val="22"/>
                <w:vertAlign w:val="superscript"/>
              </w:rPr>
              <w:t>e,*</w:t>
            </w:r>
            <w:proofErr w:type="gramEnd"/>
          </w:p>
        </w:tc>
      </w:tr>
      <w:tr w:rsidR="00200B99" w:rsidRPr="00F62913" w14:paraId="4C231623"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4D195831" w14:textId="77777777" w:rsidR="00200B99" w:rsidRPr="00F62913" w:rsidRDefault="00200B99" w:rsidP="00FA525A">
            <w:pPr>
              <w:rPr>
                <w:sz w:val="22"/>
                <w:szCs w:val="22"/>
              </w:rPr>
            </w:pPr>
            <w:r w:rsidRPr="00F62913">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tcPr>
          <w:p w14:paraId="6059273E" w14:textId="77777777" w:rsidR="00200B99" w:rsidRPr="00F62913" w:rsidRDefault="00200B99" w:rsidP="00FA525A">
            <w:pPr>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57434E63" w14:textId="77777777" w:rsidR="00200B99" w:rsidRPr="00F62913" w:rsidRDefault="00200B99" w:rsidP="00FA525A">
            <w:pPr>
              <w:rPr>
                <w:sz w:val="22"/>
                <w:szCs w:val="22"/>
              </w:rPr>
            </w:pPr>
            <w:r w:rsidRPr="00F62913">
              <w:rPr>
                <w:sz w:val="22"/>
                <w:szCs w:val="22"/>
              </w:rPr>
              <w:t>Hypotension</w:t>
            </w:r>
          </w:p>
        </w:tc>
      </w:tr>
      <w:tr w:rsidR="00200B99" w:rsidRPr="00F62913" w14:paraId="75FC3430"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79152550" w14:textId="77777777" w:rsidR="00200B99" w:rsidRPr="00F62913" w:rsidRDefault="00200B99" w:rsidP="00FA525A">
            <w:pPr>
              <w:rPr>
                <w:sz w:val="22"/>
                <w:szCs w:val="22"/>
              </w:rPr>
            </w:pPr>
            <w:r w:rsidRPr="00F62913">
              <w:rPr>
                <w:sz w:val="22"/>
                <w:szCs w:val="22"/>
              </w:rPr>
              <w:t>Ikke kendt</w:t>
            </w:r>
          </w:p>
        </w:tc>
        <w:tc>
          <w:tcPr>
            <w:tcW w:w="1467" w:type="pct"/>
            <w:tcBorders>
              <w:top w:val="single" w:sz="4" w:space="0" w:color="000000"/>
              <w:left w:val="single" w:sz="4" w:space="0" w:color="000000"/>
              <w:bottom w:val="single" w:sz="4" w:space="0" w:color="000000"/>
              <w:right w:val="single" w:sz="4" w:space="0" w:color="000000"/>
            </w:tcBorders>
            <w:hideMark/>
          </w:tcPr>
          <w:p w14:paraId="3B455DC8" w14:textId="77777777" w:rsidR="00200B99" w:rsidRPr="00F62913" w:rsidRDefault="00200B99" w:rsidP="00FA525A">
            <w:pPr>
              <w:rPr>
                <w:sz w:val="22"/>
                <w:szCs w:val="22"/>
              </w:rPr>
            </w:pPr>
            <w:r w:rsidRPr="00F62913">
              <w:rPr>
                <w:sz w:val="22"/>
                <w:szCs w:val="22"/>
              </w:rPr>
              <w:t>Aneurismer og arterielle dissektioner</w:t>
            </w:r>
          </w:p>
        </w:tc>
        <w:tc>
          <w:tcPr>
            <w:tcW w:w="2222" w:type="pct"/>
            <w:tcBorders>
              <w:top w:val="single" w:sz="4" w:space="0" w:color="000000"/>
              <w:left w:val="single" w:sz="4" w:space="0" w:color="000000"/>
              <w:bottom w:val="single" w:sz="4" w:space="0" w:color="000000"/>
              <w:right w:val="single" w:sz="4" w:space="0" w:color="000000"/>
            </w:tcBorders>
          </w:tcPr>
          <w:p w14:paraId="6F2B94E6" w14:textId="77777777" w:rsidR="00200B99" w:rsidRPr="00F62913" w:rsidRDefault="00200B99" w:rsidP="00FA525A">
            <w:pPr>
              <w:rPr>
                <w:sz w:val="22"/>
                <w:szCs w:val="22"/>
              </w:rPr>
            </w:pPr>
          </w:p>
        </w:tc>
      </w:tr>
      <w:tr w:rsidR="00200B99" w:rsidRPr="00F62913" w14:paraId="0EF9AB0F"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676B005C" w14:textId="77777777" w:rsidR="00200B99" w:rsidRPr="00F62913" w:rsidRDefault="00200B99" w:rsidP="00FA525A">
            <w:pPr>
              <w:rPr>
                <w:b/>
                <w:sz w:val="22"/>
                <w:szCs w:val="22"/>
              </w:rPr>
            </w:pPr>
            <w:r w:rsidRPr="00F62913">
              <w:rPr>
                <w:b/>
                <w:sz w:val="22"/>
                <w:szCs w:val="22"/>
              </w:rPr>
              <w:t>Luftveje, thorax og mediastinum</w:t>
            </w:r>
          </w:p>
        </w:tc>
      </w:tr>
      <w:tr w:rsidR="00200B99" w:rsidRPr="00F62913" w14:paraId="4E0A0BC6"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1B240590"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4FF6381C" w14:textId="77777777" w:rsidR="00200B99" w:rsidRPr="00F62913" w:rsidRDefault="00200B99" w:rsidP="00FA525A">
            <w:pPr>
              <w:rPr>
                <w:sz w:val="22"/>
                <w:szCs w:val="22"/>
              </w:rPr>
            </w:pPr>
            <w:r w:rsidRPr="00F62913">
              <w:rPr>
                <w:sz w:val="22"/>
                <w:szCs w:val="22"/>
              </w:rPr>
              <w:t>Dysfoni</w:t>
            </w:r>
          </w:p>
        </w:tc>
        <w:tc>
          <w:tcPr>
            <w:tcW w:w="2222" w:type="pct"/>
            <w:tcBorders>
              <w:top w:val="single" w:sz="4" w:space="0" w:color="000000"/>
              <w:left w:val="single" w:sz="4" w:space="0" w:color="000000"/>
              <w:bottom w:val="single" w:sz="4" w:space="0" w:color="000000"/>
              <w:right w:val="single" w:sz="4" w:space="0" w:color="000000"/>
            </w:tcBorders>
            <w:hideMark/>
          </w:tcPr>
          <w:p w14:paraId="33D358FF" w14:textId="77777777" w:rsidR="00200B99" w:rsidRPr="00F62913" w:rsidRDefault="00200B99" w:rsidP="00FA525A">
            <w:pPr>
              <w:rPr>
                <w:sz w:val="22"/>
                <w:szCs w:val="22"/>
              </w:rPr>
            </w:pPr>
            <w:r w:rsidRPr="00F62913">
              <w:rPr>
                <w:sz w:val="22"/>
                <w:szCs w:val="22"/>
              </w:rPr>
              <w:t>Dysfoni</w:t>
            </w:r>
          </w:p>
        </w:tc>
      </w:tr>
      <w:tr w:rsidR="00200B99" w:rsidRPr="00F62913" w14:paraId="3FD63468"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72727C4D" w14:textId="77777777" w:rsidR="00200B99" w:rsidRPr="00F62913" w:rsidRDefault="00200B99" w:rsidP="00FA525A">
            <w:pPr>
              <w:rPr>
                <w:sz w:val="22"/>
                <w:szCs w:val="22"/>
              </w:rPr>
            </w:pPr>
            <w:r w:rsidRPr="00F62913">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2D1779DB" w14:textId="77777777" w:rsidR="00200B99" w:rsidRPr="00F62913" w:rsidRDefault="00200B99" w:rsidP="00FA525A">
            <w:pPr>
              <w:rPr>
                <w:sz w:val="22"/>
                <w:szCs w:val="22"/>
              </w:rPr>
            </w:pPr>
            <w:r w:rsidRPr="00F62913">
              <w:rPr>
                <w:sz w:val="22"/>
                <w:szCs w:val="22"/>
              </w:rPr>
              <w:t>Lungeemboli†</w:t>
            </w:r>
          </w:p>
        </w:tc>
        <w:tc>
          <w:tcPr>
            <w:tcW w:w="2222" w:type="pct"/>
            <w:tcBorders>
              <w:top w:val="single" w:sz="4" w:space="0" w:color="000000"/>
              <w:left w:val="single" w:sz="4" w:space="0" w:color="000000"/>
              <w:bottom w:val="single" w:sz="4" w:space="0" w:color="000000"/>
              <w:right w:val="single" w:sz="4" w:space="0" w:color="000000"/>
            </w:tcBorders>
            <w:hideMark/>
          </w:tcPr>
          <w:p w14:paraId="78AA7EFA" w14:textId="77777777" w:rsidR="00200B99" w:rsidRPr="00F62913" w:rsidRDefault="00200B99" w:rsidP="00FA525A">
            <w:pPr>
              <w:rPr>
                <w:sz w:val="22"/>
                <w:szCs w:val="22"/>
              </w:rPr>
            </w:pPr>
            <w:r w:rsidRPr="00F62913">
              <w:rPr>
                <w:sz w:val="22"/>
                <w:szCs w:val="22"/>
              </w:rPr>
              <w:t>Lungeemboli†</w:t>
            </w:r>
          </w:p>
        </w:tc>
      </w:tr>
      <w:tr w:rsidR="00200B99" w:rsidRPr="00F62913" w14:paraId="2A48CB2A"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17A54FBA" w14:textId="77777777" w:rsidR="00200B99" w:rsidRPr="00F62913" w:rsidRDefault="00200B99" w:rsidP="00FA525A">
            <w:pPr>
              <w:rPr>
                <w:sz w:val="22"/>
                <w:szCs w:val="22"/>
              </w:rPr>
            </w:pPr>
            <w:r w:rsidRPr="00F62913">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3BF05329" w14:textId="77777777" w:rsidR="00200B99" w:rsidRPr="00F62913" w:rsidRDefault="00200B99" w:rsidP="00FA525A">
            <w:pPr>
              <w:rPr>
                <w:sz w:val="22"/>
                <w:szCs w:val="22"/>
              </w:rPr>
            </w:pPr>
            <w:r w:rsidRPr="00F62913">
              <w:rPr>
                <w:sz w:val="22"/>
                <w:szCs w:val="22"/>
              </w:rPr>
              <w:t>Pneumothorax</w:t>
            </w:r>
          </w:p>
        </w:tc>
        <w:tc>
          <w:tcPr>
            <w:tcW w:w="2222" w:type="pct"/>
            <w:tcBorders>
              <w:top w:val="single" w:sz="4" w:space="0" w:color="000000"/>
              <w:left w:val="single" w:sz="4" w:space="0" w:color="000000"/>
              <w:bottom w:val="single" w:sz="4" w:space="0" w:color="000000"/>
              <w:right w:val="single" w:sz="4" w:space="0" w:color="000000"/>
            </w:tcBorders>
            <w:hideMark/>
          </w:tcPr>
          <w:p w14:paraId="0DB31567" w14:textId="77777777" w:rsidR="00200B99" w:rsidRPr="00F62913" w:rsidRDefault="00200B99" w:rsidP="00FA525A">
            <w:pPr>
              <w:rPr>
                <w:sz w:val="22"/>
                <w:szCs w:val="22"/>
              </w:rPr>
            </w:pPr>
            <w:r w:rsidRPr="00F62913">
              <w:rPr>
                <w:sz w:val="22"/>
                <w:szCs w:val="22"/>
              </w:rPr>
              <w:t>Pneumothorax</w:t>
            </w:r>
          </w:p>
        </w:tc>
      </w:tr>
      <w:tr w:rsidR="00200B99" w:rsidRPr="00C44B05" w14:paraId="2B1F8C12"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45A6CD52" w14:textId="77777777" w:rsidR="00200B99" w:rsidRPr="00C44B05" w:rsidRDefault="00200B99" w:rsidP="00FA525A">
            <w:pPr>
              <w:rPr>
                <w:b/>
                <w:sz w:val="22"/>
                <w:szCs w:val="22"/>
              </w:rPr>
            </w:pPr>
            <w:r w:rsidRPr="00C44B05">
              <w:rPr>
                <w:b/>
                <w:sz w:val="22"/>
                <w:szCs w:val="22"/>
              </w:rPr>
              <w:t>Mave-tarm-kanalen</w:t>
            </w:r>
          </w:p>
        </w:tc>
      </w:tr>
      <w:tr w:rsidR="00200B99" w:rsidRPr="00F62913" w14:paraId="41ECA4D2"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744D5ABD"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569EFA72" w14:textId="77777777" w:rsidR="00200B99" w:rsidRPr="00F62913" w:rsidRDefault="00200B99" w:rsidP="00FA525A">
            <w:pPr>
              <w:rPr>
                <w:sz w:val="22"/>
                <w:szCs w:val="22"/>
              </w:rPr>
            </w:pPr>
            <w:r w:rsidRPr="00F62913">
              <w:rPr>
                <w:sz w:val="22"/>
                <w:szCs w:val="22"/>
              </w:rPr>
              <w:t>Diarré</w:t>
            </w:r>
          </w:p>
          <w:p w14:paraId="2BFAD5EF" w14:textId="77777777" w:rsidR="00200B99" w:rsidRPr="00F62913" w:rsidRDefault="00200B99" w:rsidP="00FA525A">
            <w:pPr>
              <w:rPr>
                <w:sz w:val="22"/>
                <w:szCs w:val="22"/>
              </w:rPr>
            </w:pPr>
            <w:r w:rsidRPr="00F62913">
              <w:rPr>
                <w:sz w:val="22"/>
                <w:szCs w:val="22"/>
              </w:rPr>
              <w:t>Mave-tarm- og abdominalsmerter</w:t>
            </w:r>
            <w:r w:rsidRPr="00F62913">
              <w:rPr>
                <w:sz w:val="22"/>
                <w:szCs w:val="22"/>
                <w:vertAlign w:val="superscript"/>
              </w:rPr>
              <w:t>f</w:t>
            </w:r>
            <w:r w:rsidRPr="00F62913">
              <w:rPr>
                <w:sz w:val="22"/>
                <w:szCs w:val="22"/>
              </w:rPr>
              <w:t xml:space="preserve"> </w:t>
            </w:r>
          </w:p>
          <w:p w14:paraId="50EE0897" w14:textId="77777777" w:rsidR="00200B99" w:rsidRPr="00F62913" w:rsidRDefault="00200B99" w:rsidP="00FA525A">
            <w:pPr>
              <w:rPr>
                <w:sz w:val="22"/>
                <w:szCs w:val="22"/>
              </w:rPr>
            </w:pPr>
            <w:r w:rsidRPr="00F62913">
              <w:rPr>
                <w:sz w:val="22"/>
                <w:szCs w:val="22"/>
              </w:rPr>
              <w:t xml:space="preserve">Opkastning </w:t>
            </w:r>
          </w:p>
          <w:p w14:paraId="56CC6FBB" w14:textId="77777777" w:rsidR="00200B99" w:rsidRPr="00F62913" w:rsidRDefault="00200B99" w:rsidP="00FA525A">
            <w:pPr>
              <w:rPr>
                <w:sz w:val="22"/>
                <w:szCs w:val="22"/>
              </w:rPr>
            </w:pPr>
            <w:r w:rsidRPr="00F62913">
              <w:rPr>
                <w:sz w:val="22"/>
                <w:szCs w:val="22"/>
              </w:rPr>
              <w:t>Kvalme</w:t>
            </w:r>
          </w:p>
          <w:p w14:paraId="7BE741D4" w14:textId="77777777" w:rsidR="00200B99" w:rsidRPr="00F62913" w:rsidRDefault="00200B99" w:rsidP="00FA525A">
            <w:pPr>
              <w:rPr>
                <w:sz w:val="22"/>
                <w:szCs w:val="22"/>
              </w:rPr>
            </w:pPr>
            <w:r w:rsidRPr="00F62913">
              <w:rPr>
                <w:sz w:val="22"/>
                <w:szCs w:val="22"/>
              </w:rPr>
              <w:t>Oral inflammation</w:t>
            </w:r>
            <w:r w:rsidRPr="00F62913">
              <w:rPr>
                <w:sz w:val="22"/>
                <w:szCs w:val="22"/>
                <w:vertAlign w:val="superscript"/>
              </w:rPr>
              <w:t xml:space="preserve">g </w:t>
            </w:r>
          </w:p>
          <w:p w14:paraId="71D56D9B" w14:textId="77777777" w:rsidR="00200B99" w:rsidRPr="00F62913" w:rsidRDefault="00200B99" w:rsidP="00FA525A">
            <w:pPr>
              <w:rPr>
                <w:sz w:val="22"/>
                <w:szCs w:val="22"/>
              </w:rPr>
            </w:pPr>
            <w:r w:rsidRPr="00F62913">
              <w:rPr>
                <w:sz w:val="22"/>
                <w:szCs w:val="22"/>
              </w:rPr>
              <w:t>Orale smerter</w:t>
            </w:r>
            <w:r w:rsidRPr="00F62913">
              <w:rPr>
                <w:sz w:val="22"/>
                <w:szCs w:val="22"/>
                <w:vertAlign w:val="superscript"/>
              </w:rPr>
              <w:t>h</w:t>
            </w:r>
            <w:r w:rsidRPr="00F62913">
              <w:rPr>
                <w:sz w:val="22"/>
                <w:szCs w:val="22"/>
              </w:rPr>
              <w:t xml:space="preserve"> </w:t>
            </w:r>
          </w:p>
          <w:p w14:paraId="23DABC6F" w14:textId="77777777" w:rsidR="00200B99" w:rsidRPr="00F62913" w:rsidRDefault="00200B99" w:rsidP="00FA525A">
            <w:pPr>
              <w:rPr>
                <w:sz w:val="22"/>
                <w:szCs w:val="22"/>
              </w:rPr>
            </w:pPr>
            <w:r w:rsidRPr="00F62913">
              <w:rPr>
                <w:sz w:val="22"/>
                <w:szCs w:val="22"/>
              </w:rPr>
              <w:t xml:space="preserve">Obstipation </w:t>
            </w:r>
          </w:p>
          <w:p w14:paraId="197BC22C" w14:textId="77777777" w:rsidR="00200B99" w:rsidRPr="00F62913" w:rsidRDefault="00200B99" w:rsidP="00FA525A">
            <w:pPr>
              <w:rPr>
                <w:sz w:val="22"/>
                <w:szCs w:val="22"/>
              </w:rPr>
            </w:pPr>
            <w:r w:rsidRPr="00F62913">
              <w:rPr>
                <w:sz w:val="22"/>
                <w:szCs w:val="22"/>
              </w:rPr>
              <w:t xml:space="preserve">Dyspepsi </w:t>
            </w:r>
          </w:p>
          <w:p w14:paraId="3BD4CF47" w14:textId="77777777" w:rsidR="00200B99" w:rsidRPr="00F62913" w:rsidRDefault="00200B99" w:rsidP="00FA525A">
            <w:pPr>
              <w:rPr>
                <w:sz w:val="22"/>
                <w:szCs w:val="22"/>
              </w:rPr>
            </w:pPr>
            <w:r w:rsidRPr="00F62913">
              <w:rPr>
                <w:sz w:val="22"/>
                <w:szCs w:val="22"/>
              </w:rPr>
              <w:t xml:space="preserve">Mundtørhed </w:t>
            </w:r>
          </w:p>
          <w:p w14:paraId="6E20A098" w14:textId="77777777" w:rsidR="00200B99" w:rsidRPr="00F62913" w:rsidRDefault="00200B99" w:rsidP="00FA525A">
            <w:pPr>
              <w:rPr>
                <w:sz w:val="22"/>
                <w:szCs w:val="22"/>
              </w:rPr>
            </w:pPr>
            <w:r w:rsidRPr="00F62913">
              <w:rPr>
                <w:sz w:val="22"/>
                <w:szCs w:val="22"/>
              </w:rPr>
              <w:t>Forhøjet lipase</w:t>
            </w:r>
            <w:r w:rsidRPr="00F62913">
              <w:rPr>
                <w:sz w:val="22"/>
                <w:szCs w:val="22"/>
                <w:vertAlign w:val="superscript"/>
              </w:rPr>
              <w:t>‡</w:t>
            </w:r>
            <w:r w:rsidRPr="00F62913">
              <w:rPr>
                <w:sz w:val="22"/>
                <w:szCs w:val="22"/>
              </w:rPr>
              <w:t xml:space="preserve"> </w:t>
            </w:r>
          </w:p>
          <w:p w14:paraId="74BDE432" w14:textId="77777777" w:rsidR="00200B99" w:rsidRPr="00F62913" w:rsidRDefault="00200B99" w:rsidP="00FA525A">
            <w:pPr>
              <w:rPr>
                <w:sz w:val="22"/>
                <w:szCs w:val="22"/>
              </w:rPr>
            </w:pPr>
            <w:r w:rsidRPr="00F62913">
              <w:rPr>
                <w:sz w:val="22"/>
                <w:szCs w:val="22"/>
              </w:rPr>
              <w:t>Forhøjet amylase</w:t>
            </w:r>
            <w:r w:rsidRPr="00F62913">
              <w:rPr>
                <w:sz w:val="22"/>
                <w:szCs w:val="22"/>
                <w:vertAlign w:val="superscript"/>
              </w:rPr>
              <w:t>‡</w:t>
            </w:r>
          </w:p>
        </w:tc>
        <w:tc>
          <w:tcPr>
            <w:tcW w:w="2222" w:type="pct"/>
            <w:tcBorders>
              <w:top w:val="single" w:sz="4" w:space="0" w:color="000000"/>
              <w:left w:val="single" w:sz="4" w:space="0" w:color="000000"/>
              <w:bottom w:val="single" w:sz="4" w:space="0" w:color="000000"/>
              <w:right w:val="single" w:sz="4" w:space="0" w:color="000000"/>
            </w:tcBorders>
            <w:hideMark/>
          </w:tcPr>
          <w:p w14:paraId="33E85178" w14:textId="77777777" w:rsidR="00200B99" w:rsidRPr="00F62913" w:rsidRDefault="00200B99" w:rsidP="00FA525A">
            <w:pPr>
              <w:rPr>
                <w:sz w:val="22"/>
                <w:szCs w:val="22"/>
              </w:rPr>
            </w:pPr>
            <w:r w:rsidRPr="00F62913">
              <w:rPr>
                <w:sz w:val="22"/>
                <w:szCs w:val="22"/>
              </w:rPr>
              <w:t>Diarré</w:t>
            </w:r>
          </w:p>
          <w:p w14:paraId="728A3372" w14:textId="77777777" w:rsidR="00200B99" w:rsidRPr="00F62913" w:rsidRDefault="00200B99" w:rsidP="00FA525A">
            <w:pPr>
              <w:rPr>
                <w:sz w:val="22"/>
                <w:szCs w:val="22"/>
              </w:rPr>
            </w:pPr>
            <w:r w:rsidRPr="00F62913">
              <w:rPr>
                <w:sz w:val="22"/>
                <w:szCs w:val="22"/>
              </w:rPr>
              <w:t>Mave-tarm- og abdominalsmerter</w:t>
            </w:r>
            <w:r w:rsidRPr="00F62913">
              <w:rPr>
                <w:sz w:val="22"/>
                <w:szCs w:val="22"/>
                <w:vertAlign w:val="superscript"/>
              </w:rPr>
              <w:t xml:space="preserve">f </w:t>
            </w:r>
          </w:p>
          <w:p w14:paraId="3AE487DD" w14:textId="77777777" w:rsidR="00200B99" w:rsidRPr="00F62913" w:rsidRDefault="00200B99" w:rsidP="00FA525A">
            <w:pPr>
              <w:rPr>
                <w:sz w:val="22"/>
                <w:szCs w:val="22"/>
              </w:rPr>
            </w:pPr>
            <w:r w:rsidRPr="00F62913">
              <w:rPr>
                <w:sz w:val="22"/>
                <w:szCs w:val="22"/>
              </w:rPr>
              <w:t>Opkastning</w:t>
            </w:r>
          </w:p>
          <w:p w14:paraId="6C3CEF0B" w14:textId="77777777" w:rsidR="00200B99" w:rsidRPr="00F62913" w:rsidRDefault="00200B99" w:rsidP="00FA525A">
            <w:pPr>
              <w:rPr>
                <w:sz w:val="22"/>
                <w:szCs w:val="22"/>
              </w:rPr>
            </w:pPr>
            <w:r w:rsidRPr="00F62913">
              <w:rPr>
                <w:sz w:val="22"/>
                <w:szCs w:val="22"/>
              </w:rPr>
              <w:t>Kvalme</w:t>
            </w:r>
          </w:p>
          <w:p w14:paraId="78AB56F4" w14:textId="77777777" w:rsidR="00200B99" w:rsidRPr="00F62913" w:rsidRDefault="00200B99" w:rsidP="00FA525A">
            <w:pPr>
              <w:rPr>
                <w:sz w:val="22"/>
                <w:szCs w:val="22"/>
              </w:rPr>
            </w:pPr>
            <w:r w:rsidRPr="00F62913">
              <w:rPr>
                <w:sz w:val="22"/>
                <w:szCs w:val="22"/>
              </w:rPr>
              <w:t>Oral inflammation</w:t>
            </w:r>
            <w:r w:rsidRPr="00F62913">
              <w:rPr>
                <w:sz w:val="22"/>
                <w:szCs w:val="22"/>
                <w:vertAlign w:val="superscript"/>
              </w:rPr>
              <w:t>g</w:t>
            </w:r>
            <w:r w:rsidRPr="00F62913">
              <w:rPr>
                <w:sz w:val="22"/>
                <w:szCs w:val="22"/>
              </w:rPr>
              <w:t xml:space="preserve"> </w:t>
            </w:r>
          </w:p>
          <w:p w14:paraId="6033C673" w14:textId="77777777" w:rsidR="00200B99" w:rsidRPr="00F62913" w:rsidRDefault="00200B99" w:rsidP="00FA525A">
            <w:pPr>
              <w:rPr>
                <w:sz w:val="22"/>
                <w:szCs w:val="22"/>
              </w:rPr>
            </w:pPr>
            <w:r w:rsidRPr="00F62913">
              <w:rPr>
                <w:sz w:val="22"/>
                <w:szCs w:val="22"/>
              </w:rPr>
              <w:t>Orale smerter</w:t>
            </w:r>
            <w:r w:rsidRPr="00F62913">
              <w:rPr>
                <w:sz w:val="22"/>
                <w:szCs w:val="22"/>
                <w:vertAlign w:val="superscript"/>
              </w:rPr>
              <w:t xml:space="preserve">h </w:t>
            </w:r>
          </w:p>
          <w:p w14:paraId="3D5114B3" w14:textId="77777777" w:rsidR="00200B99" w:rsidRPr="00F62913" w:rsidRDefault="00200B99" w:rsidP="00FA525A">
            <w:pPr>
              <w:rPr>
                <w:sz w:val="22"/>
                <w:szCs w:val="22"/>
              </w:rPr>
            </w:pPr>
            <w:r w:rsidRPr="00F62913">
              <w:rPr>
                <w:sz w:val="22"/>
                <w:szCs w:val="22"/>
              </w:rPr>
              <w:t xml:space="preserve">Obstipation </w:t>
            </w:r>
          </w:p>
          <w:p w14:paraId="6A93F895" w14:textId="77777777" w:rsidR="00200B99" w:rsidRPr="00F62913" w:rsidRDefault="00200B99" w:rsidP="00FA525A">
            <w:pPr>
              <w:rPr>
                <w:sz w:val="22"/>
                <w:szCs w:val="22"/>
              </w:rPr>
            </w:pPr>
            <w:r w:rsidRPr="00F62913">
              <w:rPr>
                <w:sz w:val="22"/>
                <w:szCs w:val="22"/>
              </w:rPr>
              <w:t xml:space="preserve">Mundtørhed </w:t>
            </w:r>
          </w:p>
          <w:p w14:paraId="49B45900" w14:textId="77777777" w:rsidR="00200B99" w:rsidRPr="00F62913" w:rsidRDefault="00200B99" w:rsidP="00FA525A">
            <w:pPr>
              <w:rPr>
                <w:sz w:val="22"/>
                <w:szCs w:val="22"/>
              </w:rPr>
            </w:pPr>
            <w:r w:rsidRPr="00F62913">
              <w:rPr>
                <w:sz w:val="22"/>
                <w:szCs w:val="22"/>
              </w:rPr>
              <w:t xml:space="preserve">Forhøjet lipase </w:t>
            </w:r>
          </w:p>
          <w:p w14:paraId="26C72BEB" w14:textId="77777777" w:rsidR="00200B99" w:rsidRPr="00F62913" w:rsidRDefault="00200B99" w:rsidP="00FA525A">
            <w:pPr>
              <w:rPr>
                <w:sz w:val="22"/>
                <w:szCs w:val="22"/>
              </w:rPr>
            </w:pPr>
            <w:r w:rsidRPr="00F62913">
              <w:rPr>
                <w:sz w:val="22"/>
                <w:szCs w:val="22"/>
              </w:rPr>
              <w:t>Forhøjet amylase</w:t>
            </w:r>
            <w:r w:rsidRPr="00F62913">
              <w:rPr>
                <w:sz w:val="22"/>
                <w:szCs w:val="22"/>
                <w:vertAlign w:val="superscript"/>
              </w:rPr>
              <w:t>‡</w:t>
            </w:r>
          </w:p>
        </w:tc>
      </w:tr>
      <w:tr w:rsidR="00200B99" w:rsidRPr="00F62913" w14:paraId="6F5F5C70"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E7BECF3" w14:textId="77777777" w:rsidR="00200B99" w:rsidRPr="00F62913" w:rsidRDefault="00200B99" w:rsidP="00FA525A">
            <w:pPr>
              <w:rPr>
                <w:sz w:val="22"/>
                <w:szCs w:val="22"/>
              </w:rPr>
            </w:pPr>
            <w:r w:rsidRPr="00F62913">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633DE5E4" w14:textId="77777777" w:rsidR="00200B99" w:rsidRPr="00F62913" w:rsidRDefault="00200B99" w:rsidP="00FA525A">
            <w:pPr>
              <w:rPr>
                <w:sz w:val="22"/>
                <w:szCs w:val="22"/>
              </w:rPr>
            </w:pPr>
            <w:r w:rsidRPr="00F62913">
              <w:rPr>
                <w:sz w:val="22"/>
                <w:szCs w:val="22"/>
              </w:rPr>
              <w:t xml:space="preserve">Anal fistel </w:t>
            </w:r>
          </w:p>
          <w:p w14:paraId="58A93DD5" w14:textId="77777777" w:rsidR="00200B99" w:rsidRPr="00F62913" w:rsidRDefault="00200B99" w:rsidP="00FA525A">
            <w:pPr>
              <w:rPr>
                <w:sz w:val="22"/>
                <w:szCs w:val="22"/>
              </w:rPr>
            </w:pPr>
            <w:r w:rsidRPr="00F62913">
              <w:rPr>
                <w:sz w:val="22"/>
                <w:szCs w:val="22"/>
              </w:rPr>
              <w:t>Flatulens</w:t>
            </w:r>
          </w:p>
          <w:p w14:paraId="6FB604B2" w14:textId="77777777" w:rsidR="00200B99" w:rsidRPr="00F62913" w:rsidRDefault="00200B99" w:rsidP="00FA525A">
            <w:pPr>
              <w:rPr>
                <w:sz w:val="22"/>
                <w:szCs w:val="22"/>
              </w:rPr>
            </w:pPr>
            <w:r w:rsidRPr="00F62913">
              <w:rPr>
                <w:sz w:val="22"/>
                <w:szCs w:val="22"/>
              </w:rPr>
              <w:t>Mave-tarm-perforation</w:t>
            </w:r>
          </w:p>
        </w:tc>
        <w:tc>
          <w:tcPr>
            <w:tcW w:w="2222" w:type="pct"/>
            <w:tcBorders>
              <w:top w:val="single" w:sz="4" w:space="0" w:color="000000"/>
              <w:left w:val="single" w:sz="4" w:space="0" w:color="000000"/>
              <w:bottom w:val="single" w:sz="4" w:space="0" w:color="000000"/>
              <w:right w:val="single" w:sz="4" w:space="0" w:color="000000"/>
            </w:tcBorders>
            <w:hideMark/>
          </w:tcPr>
          <w:p w14:paraId="34DF0538" w14:textId="77777777" w:rsidR="00200B99" w:rsidRPr="00F62913" w:rsidRDefault="00200B99" w:rsidP="00FA525A">
            <w:pPr>
              <w:rPr>
                <w:sz w:val="22"/>
                <w:szCs w:val="22"/>
              </w:rPr>
            </w:pPr>
            <w:r w:rsidRPr="00F62913">
              <w:rPr>
                <w:sz w:val="22"/>
                <w:szCs w:val="22"/>
              </w:rPr>
              <w:t>Pancreatitis</w:t>
            </w:r>
            <w:r w:rsidRPr="00F62913">
              <w:rPr>
                <w:sz w:val="22"/>
                <w:szCs w:val="22"/>
                <w:vertAlign w:val="superscript"/>
              </w:rPr>
              <w:t xml:space="preserve">i </w:t>
            </w:r>
          </w:p>
          <w:p w14:paraId="6AD80630" w14:textId="77777777" w:rsidR="00200B99" w:rsidRPr="00F62913" w:rsidRDefault="00200B99" w:rsidP="00FA525A">
            <w:pPr>
              <w:rPr>
                <w:sz w:val="22"/>
                <w:szCs w:val="22"/>
              </w:rPr>
            </w:pPr>
            <w:r w:rsidRPr="00F62913">
              <w:rPr>
                <w:sz w:val="22"/>
                <w:szCs w:val="22"/>
              </w:rPr>
              <w:t xml:space="preserve">Flatulens </w:t>
            </w:r>
          </w:p>
          <w:p w14:paraId="7C725F43" w14:textId="77777777" w:rsidR="00200B99" w:rsidRPr="00F62913" w:rsidRDefault="00200B99" w:rsidP="00FA525A">
            <w:pPr>
              <w:rPr>
                <w:sz w:val="22"/>
                <w:szCs w:val="22"/>
              </w:rPr>
            </w:pPr>
            <w:r w:rsidRPr="00F62913">
              <w:rPr>
                <w:sz w:val="22"/>
                <w:szCs w:val="22"/>
              </w:rPr>
              <w:t xml:space="preserve">Dyspepsi </w:t>
            </w:r>
          </w:p>
          <w:p w14:paraId="4ABD890C" w14:textId="77777777" w:rsidR="00200B99" w:rsidRPr="00F62913" w:rsidRDefault="00200B99" w:rsidP="00FA525A">
            <w:pPr>
              <w:rPr>
                <w:sz w:val="22"/>
                <w:szCs w:val="22"/>
              </w:rPr>
            </w:pPr>
            <w:r w:rsidRPr="00F62913">
              <w:rPr>
                <w:sz w:val="22"/>
                <w:szCs w:val="22"/>
              </w:rPr>
              <w:t>Colitis</w:t>
            </w:r>
          </w:p>
          <w:p w14:paraId="643F6700" w14:textId="77777777" w:rsidR="00200B99" w:rsidRPr="00F62913" w:rsidRDefault="00200B99" w:rsidP="00FA525A">
            <w:pPr>
              <w:rPr>
                <w:sz w:val="22"/>
                <w:szCs w:val="22"/>
              </w:rPr>
            </w:pPr>
            <w:r w:rsidRPr="00F62913">
              <w:rPr>
                <w:sz w:val="22"/>
                <w:szCs w:val="22"/>
              </w:rPr>
              <w:t>Mave-tarm-perforation</w:t>
            </w:r>
          </w:p>
        </w:tc>
      </w:tr>
      <w:tr w:rsidR="00200B99" w:rsidRPr="00F62913" w14:paraId="695F37C7"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386A350A" w14:textId="77777777" w:rsidR="00200B99" w:rsidRPr="00F62913" w:rsidRDefault="00200B99" w:rsidP="00FA525A">
            <w:pPr>
              <w:rPr>
                <w:sz w:val="22"/>
                <w:szCs w:val="22"/>
              </w:rPr>
            </w:pPr>
            <w:r w:rsidRPr="00F62913">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5D81A051" w14:textId="77777777" w:rsidR="00200B99" w:rsidRPr="00F62913" w:rsidRDefault="00200B99" w:rsidP="00FA525A">
            <w:pPr>
              <w:rPr>
                <w:sz w:val="22"/>
                <w:szCs w:val="22"/>
              </w:rPr>
            </w:pPr>
            <w:r w:rsidRPr="00F62913">
              <w:rPr>
                <w:sz w:val="22"/>
                <w:szCs w:val="22"/>
              </w:rPr>
              <w:t>Pancreatitis</w:t>
            </w:r>
            <w:r w:rsidRPr="00F62913">
              <w:rPr>
                <w:sz w:val="22"/>
                <w:szCs w:val="22"/>
                <w:vertAlign w:val="superscript"/>
              </w:rPr>
              <w:t>i</w:t>
            </w:r>
            <w:r w:rsidRPr="00F62913">
              <w:rPr>
                <w:sz w:val="22"/>
                <w:szCs w:val="22"/>
              </w:rPr>
              <w:t xml:space="preserve"> </w:t>
            </w:r>
          </w:p>
          <w:p w14:paraId="50F01B8A" w14:textId="77777777" w:rsidR="00200B99" w:rsidRPr="00F62913" w:rsidRDefault="00200B99" w:rsidP="00FA525A">
            <w:pPr>
              <w:rPr>
                <w:sz w:val="22"/>
                <w:szCs w:val="22"/>
              </w:rPr>
            </w:pPr>
            <w:r w:rsidRPr="00F62913">
              <w:rPr>
                <w:sz w:val="22"/>
                <w:szCs w:val="22"/>
              </w:rPr>
              <w:t>Colitis</w:t>
            </w:r>
          </w:p>
        </w:tc>
        <w:tc>
          <w:tcPr>
            <w:tcW w:w="2222" w:type="pct"/>
            <w:tcBorders>
              <w:top w:val="single" w:sz="4" w:space="0" w:color="000000"/>
              <w:left w:val="single" w:sz="4" w:space="0" w:color="000000"/>
              <w:bottom w:val="single" w:sz="4" w:space="0" w:color="000000"/>
              <w:right w:val="single" w:sz="4" w:space="0" w:color="000000"/>
            </w:tcBorders>
            <w:hideMark/>
          </w:tcPr>
          <w:p w14:paraId="265D6E5A" w14:textId="77777777" w:rsidR="00200B99" w:rsidRPr="00F62913" w:rsidRDefault="00200B99" w:rsidP="00FA525A">
            <w:pPr>
              <w:rPr>
                <w:sz w:val="22"/>
                <w:szCs w:val="22"/>
              </w:rPr>
            </w:pPr>
            <w:r w:rsidRPr="00F62913">
              <w:rPr>
                <w:sz w:val="22"/>
                <w:szCs w:val="22"/>
              </w:rPr>
              <w:t>Anal fistel</w:t>
            </w:r>
          </w:p>
        </w:tc>
      </w:tr>
      <w:tr w:rsidR="00200B99" w:rsidRPr="00F62913" w14:paraId="0083E056"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04EBB945" w14:textId="77777777" w:rsidR="00200B99" w:rsidRPr="00F62913" w:rsidRDefault="00200B99" w:rsidP="00FA525A">
            <w:pPr>
              <w:rPr>
                <w:b/>
                <w:sz w:val="22"/>
                <w:szCs w:val="22"/>
              </w:rPr>
            </w:pPr>
            <w:r w:rsidRPr="00F62913">
              <w:rPr>
                <w:b/>
                <w:sz w:val="22"/>
                <w:szCs w:val="22"/>
              </w:rPr>
              <w:t>Lever og galdeveje</w:t>
            </w:r>
          </w:p>
        </w:tc>
        <w:tc>
          <w:tcPr>
            <w:tcW w:w="1467" w:type="pct"/>
            <w:tcBorders>
              <w:top w:val="single" w:sz="4" w:space="0" w:color="000000"/>
              <w:left w:val="single" w:sz="4" w:space="0" w:color="000000"/>
              <w:bottom w:val="single" w:sz="4" w:space="0" w:color="000000"/>
              <w:right w:val="single" w:sz="4" w:space="0" w:color="000000"/>
            </w:tcBorders>
          </w:tcPr>
          <w:p w14:paraId="622F35BA" w14:textId="77777777" w:rsidR="00200B99" w:rsidRPr="00F62913" w:rsidRDefault="00200B99" w:rsidP="00FA525A">
            <w:pPr>
              <w:rPr>
                <w:b/>
                <w:sz w:val="22"/>
                <w:szCs w:val="22"/>
              </w:rPr>
            </w:pPr>
          </w:p>
        </w:tc>
        <w:tc>
          <w:tcPr>
            <w:tcW w:w="2222" w:type="pct"/>
            <w:tcBorders>
              <w:top w:val="single" w:sz="4" w:space="0" w:color="000000"/>
              <w:left w:val="single" w:sz="4" w:space="0" w:color="000000"/>
              <w:bottom w:val="single" w:sz="4" w:space="0" w:color="000000"/>
              <w:right w:val="single" w:sz="4" w:space="0" w:color="000000"/>
            </w:tcBorders>
          </w:tcPr>
          <w:p w14:paraId="482CFA1C" w14:textId="77777777" w:rsidR="00200B99" w:rsidRPr="00F62913" w:rsidRDefault="00200B99" w:rsidP="00FA525A">
            <w:pPr>
              <w:rPr>
                <w:b/>
                <w:sz w:val="22"/>
                <w:szCs w:val="22"/>
              </w:rPr>
            </w:pPr>
          </w:p>
        </w:tc>
      </w:tr>
      <w:tr w:rsidR="00200B99" w:rsidRPr="00F62913" w14:paraId="254190AA"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E4206C0"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2609E6D8" w14:textId="77777777" w:rsidR="00200B99" w:rsidRPr="00F62913" w:rsidRDefault="00200B99" w:rsidP="00FA525A">
            <w:pPr>
              <w:rPr>
                <w:sz w:val="22"/>
                <w:szCs w:val="22"/>
              </w:rPr>
            </w:pPr>
            <w:r w:rsidRPr="00F62913">
              <w:rPr>
                <w:sz w:val="22"/>
                <w:szCs w:val="22"/>
              </w:rPr>
              <w:t xml:space="preserve">Forhøjet niveau af bilirubin i </w:t>
            </w:r>
            <w:proofErr w:type="gramStart"/>
            <w:r w:rsidRPr="00F62913">
              <w:rPr>
                <w:sz w:val="22"/>
                <w:szCs w:val="22"/>
              </w:rPr>
              <w:t>blodet</w:t>
            </w:r>
            <w:r w:rsidRPr="00F62913">
              <w:rPr>
                <w:sz w:val="22"/>
                <w:szCs w:val="22"/>
                <w:vertAlign w:val="superscript"/>
              </w:rPr>
              <w:t>j,*</w:t>
            </w:r>
            <w:proofErr w:type="gramEnd"/>
            <w:r w:rsidRPr="00F62913">
              <w:rPr>
                <w:sz w:val="22"/>
                <w:szCs w:val="22"/>
                <w:vertAlign w:val="superscript"/>
              </w:rPr>
              <w:t>,‡</w:t>
            </w:r>
            <w:r w:rsidRPr="00F62913">
              <w:rPr>
                <w:sz w:val="22"/>
                <w:szCs w:val="22"/>
              </w:rPr>
              <w:t xml:space="preserve"> </w:t>
            </w:r>
          </w:p>
          <w:p w14:paraId="64E9AB68" w14:textId="77777777" w:rsidR="00200B99" w:rsidRPr="00F62913" w:rsidRDefault="00200B99" w:rsidP="00FA525A">
            <w:pPr>
              <w:rPr>
                <w:sz w:val="22"/>
                <w:szCs w:val="22"/>
              </w:rPr>
            </w:pPr>
            <w:proofErr w:type="gramStart"/>
            <w:r w:rsidRPr="00F62913">
              <w:rPr>
                <w:sz w:val="22"/>
                <w:szCs w:val="22"/>
              </w:rPr>
              <w:t>Hypoalbuminæmi</w:t>
            </w:r>
            <w:r w:rsidRPr="00F62913">
              <w:rPr>
                <w:sz w:val="22"/>
                <w:szCs w:val="22"/>
                <w:vertAlign w:val="superscript"/>
              </w:rPr>
              <w:t>j,*</w:t>
            </w:r>
            <w:proofErr w:type="gramEnd"/>
            <w:r w:rsidRPr="00F62913">
              <w:rPr>
                <w:sz w:val="22"/>
                <w:szCs w:val="22"/>
                <w:vertAlign w:val="superscript"/>
              </w:rPr>
              <w:t>,‡</w:t>
            </w:r>
            <w:r w:rsidRPr="00F62913">
              <w:rPr>
                <w:sz w:val="22"/>
                <w:szCs w:val="22"/>
              </w:rPr>
              <w:t xml:space="preserve"> </w:t>
            </w:r>
          </w:p>
          <w:p w14:paraId="7361A4CC" w14:textId="77777777" w:rsidR="00200B99" w:rsidRPr="00F62913" w:rsidRDefault="00200B99" w:rsidP="00FA525A">
            <w:pPr>
              <w:rPr>
                <w:sz w:val="22"/>
                <w:szCs w:val="22"/>
              </w:rPr>
            </w:pPr>
            <w:r w:rsidRPr="00F62913">
              <w:rPr>
                <w:sz w:val="22"/>
                <w:szCs w:val="22"/>
              </w:rPr>
              <w:t>Forhøjet niveau af alaninaminotransferase</w:t>
            </w:r>
            <w:r w:rsidRPr="00F62913">
              <w:rPr>
                <w:sz w:val="22"/>
                <w:szCs w:val="22"/>
                <w:vertAlign w:val="superscript"/>
              </w:rPr>
              <w:t>*, ‡</w:t>
            </w:r>
            <w:r w:rsidRPr="00F62913">
              <w:rPr>
                <w:sz w:val="22"/>
                <w:szCs w:val="22"/>
              </w:rPr>
              <w:t xml:space="preserve"> Forhøjet niveau af aspartataminotransferase</w:t>
            </w:r>
            <w:proofErr w:type="gramStart"/>
            <w:r w:rsidRPr="00F62913">
              <w:rPr>
                <w:sz w:val="22"/>
                <w:szCs w:val="22"/>
                <w:vertAlign w:val="superscript"/>
              </w:rPr>
              <w:t>*,‡</w:t>
            </w:r>
            <w:proofErr w:type="gramEnd"/>
            <w:r w:rsidRPr="00F62913">
              <w:rPr>
                <w:sz w:val="22"/>
                <w:szCs w:val="22"/>
              </w:rPr>
              <w:t xml:space="preserve"> Forhøjet niveau af basisk fosfatase i blodet</w:t>
            </w:r>
            <w:r w:rsidRPr="00F62913">
              <w:rPr>
                <w:sz w:val="22"/>
                <w:szCs w:val="22"/>
                <w:vertAlign w:val="superscript"/>
              </w:rPr>
              <w:t>‡</w:t>
            </w:r>
          </w:p>
          <w:p w14:paraId="03FC1528" w14:textId="77777777" w:rsidR="00200B99" w:rsidRPr="00F62913" w:rsidRDefault="00200B99" w:rsidP="00FA525A">
            <w:pPr>
              <w:rPr>
                <w:sz w:val="22"/>
                <w:szCs w:val="22"/>
              </w:rPr>
            </w:pPr>
            <w:r w:rsidRPr="00F62913">
              <w:rPr>
                <w:sz w:val="22"/>
                <w:szCs w:val="22"/>
              </w:rPr>
              <w:t>Forhøjet niveau af gamma- glutamyltransferase</w:t>
            </w:r>
            <w:r w:rsidRPr="00F62913">
              <w:rPr>
                <w:sz w:val="22"/>
                <w:szCs w:val="22"/>
                <w:vertAlign w:val="superscript"/>
              </w:rPr>
              <w:t>‡</w:t>
            </w:r>
          </w:p>
        </w:tc>
        <w:tc>
          <w:tcPr>
            <w:tcW w:w="2222" w:type="pct"/>
            <w:tcBorders>
              <w:top w:val="single" w:sz="4" w:space="0" w:color="000000"/>
              <w:left w:val="single" w:sz="4" w:space="0" w:color="000000"/>
              <w:bottom w:val="single" w:sz="4" w:space="0" w:color="000000"/>
              <w:right w:val="single" w:sz="4" w:space="0" w:color="000000"/>
            </w:tcBorders>
            <w:hideMark/>
          </w:tcPr>
          <w:p w14:paraId="78C45A7F" w14:textId="77777777" w:rsidR="00200B99" w:rsidRPr="00F62913" w:rsidRDefault="00200B99" w:rsidP="00FA525A">
            <w:pPr>
              <w:rPr>
                <w:sz w:val="22"/>
                <w:szCs w:val="22"/>
              </w:rPr>
            </w:pPr>
            <w:r w:rsidRPr="00F62913">
              <w:rPr>
                <w:sz w:val="22"/>
                <w:szCs w:val="22"/>
              </w:rPr>
              <w:t xml:space="preserve">Forhøjet niveau af bilirubin i </w:t>
            </w:r>
            <w:proofErr w:type="gramStart"/>
            <w:r w:rsidRPr="00F62913">
              <w:rPr>
                <w:sz w:val="22"/>
                <w:szCs w:val="22"/>
              </w:rPr>
              <w:t>blodet</w:t>
            </w:r>
            <w:r w:rsidRPr="00F62913">
              <w:rPr>
                <w:sz w:val="22"/>
                <w:szCs w:val="22"/>
                <w:vertAlign w:val="superscript"/>
              </w:rPr>
              <w:t>j,*</w:t>
            </w:r>
            <w:proofErr w:type="gramEnd"/>
            <w:r w:rsidRPr="00F62913">
              <w:rPr>
                <w:sz w:val="22"/>
                <w:szCs w:val="22"/>
                <w:vertAlign w:val="superscript"/>
              </w:rPr>
              <w:t>,‡</w:t>
            </w:r>
            <w:r w:rsidRPr="00F62913">
              <w:rPr>
                <w:sz w:val="22"/>
                <w:szCs w:val="22"/>
              </w:rPr>
              <w:t xml:space="preserve"> Hypoalbuminæmi</w:t>
            </w:r>
            <w:r w:rsidRPr="00F62913">
              <w:rPr>
                <w:sz w:val="22"/>
                <w:szCs w:val="22"/>
                <w:vertAlign w:val="superscript"/>
              </w:rPr>
              <w:t>j,*,‡</w:t>
            </w:r>
          </w:p>
          <w:p w14:paraId="1FD0B878" w14:textId="77777777" w:rsidR="00200B99" w:rsidRPr="00F62913" w:rsidRDefault="00200B99" w:rsidP="00FA525A">
            <w:pPr>
              <w:rPr>
                <w:sz w:val="22"/>
                <w:szCs w:val="22"/>
              </w:rPr>
            </w:pPr>
            <w:r w:rsidRPr="00F62913">
              <w:rPr>
                <w:sz w:val="22"/>
                <w:szCs w:val="22"/>
              </w:rPr>
              <w:t>Forhøjet niveau af alaninaminotransferase</w:t>
            </w:r>
            <w:r w:rsidRPr="00F62913">
              <w:rPr>
                <w:sz w:val="22"/>
                <w:szCs w:val="22"/>
                <w:vertAlign w:val="superscript"/>
              </w:rPr>
              <w:t>*, ‡</w:t>
            </w:r>
            <w:r w:rsidRPr="00F62913">
              <w:rPr>
                <w:sz w:val="22"/>
                <w:szCs w:val="22"/>
              </w:rPr>
              <w:t xml:space="preserve"> Forhøjet niveau af aspartataminotransferase</w:t>
            </w:r>
            <w:r w:rsidRPr="00F62913">
              <w:rPr>
                <w:sz w:val="22"/>
                <w:szCs w:val="22"/>
                <w:vertAlign w:val="superscript"/>
              </w:rPr>
              <w:t>*, ‡</w:t>
            </w:r>
            <w:r w:rsidRPr="00F62913">
              <w:rPr>
                <w:sz w:val="22"/>
                <w:szCs w:val="22"/>
              </w:rPr>
              <w:t xml:space="preserve"> Forhøjet niveau af basisk fosfatase i blodet</w:t>
            </w:r>
            <w:r w:rsidRPr="00F62913">
              <w:rPr>
                <w:sz w:val="22"/>
                <w:szCs w:val="22"/>
                <w:vertAlign w:val="superscript"/>
              </w:rPr>
              <w:t>‡</w:t>
            </w:r>
          </w:p>
        </w:tc>
      </w:tr>
      <w:tr w:rsidR="00200B99" w:rsidRPr="00F62913" w14:paraId="13D5460B"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F577EA8" w14:textId="77777777" w:rsidR="00200B99" w:rsidRPr="00F62913" w:rsidRDefault="00200B99" w:rsidP="00FA525A">
            <w:pPr>
              <w:rPr>
                <w:sz w:val="22"/>
                <w:szCs w:val="22"/>
              </w:rPr>
            </w:pPr>
            <w:r w:rsidRPr="00F62913">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3AA2D603" w14:textId="77777777" w:rsidR="00200B99" w:rsidRPr="00F62913" w:rsidRDefault="00200B99" w:rsidP="00FA525A">
            <w:pPr>
              <w:rPr>
                <w:sz w:val="22"/>
                <w:szCs w:val="22"/>
              </w:rPr>
            </w:pPr>
            <w:proofErr w:type="gramStart"/>
            <w:r w:rsidRPr="00F62913">
              <w:rPr>
                <w:sz w:val="22"/>
                <w:szCs w:val="22"/>
              </w:rPr>
              <w:t>Leversvigt</w:t>
            </w:r>
            <w:r w:rsidRPr="00F62913">
              <w:rPr>
                <w:sz w:val="22"/>
                <w:szCs w:val="22"/>
                <w:vertAlign w:val="superscript"/>
              </w:rPr>
              <w:t>k,*</w:t>
            </w:r>
            <w:proofErr w:type="gramEnd"/>
            <w:r w:rsidRPr="00F62913">
              <w:rPr>
                <w:sz w:val="22"/>
                <w:szCs w:val="22"/>
                <w:vertAlign w:val="superscript"/>
              </w:rPr>
              <w:t>,†</w:t>
            </w:r>
          </w:p>
          <w:p w14:paraId="13F908E9" w14:textId="77777777" w:rsidR="00200B99" w:rsidRPr="00F62913" w:rsidRDefault="00200B99" w:rsidP="00FA525A">
            <w:pPr>
              <w:rPr>
                <w:sz w:val="22"/>
                <w:szCs w:val="22"/>
              </w:rPr>
            </w:pPr>
            <w:r w:rsidRPr="00F62913">
              <w:rPr>
                <w:sz w:val="22"/>
                <w:szCs w:val="22"/>
              </w:rPr>
              <w:t xml:space="preserve">Hepatisk </w:t>
            </w:r>
            <w:proofErr w:type="gramStart"/>
            <w:r w:rsidRPr="00F62913">
              <w:rPr>
                <w:sz w:val="22"/>
                <w:szCs w:val="22"/>
              </w:rPr>
              <w:t>encefalopati</w:t>
            </w:r>
            <w:r w:rsidRPr="00F62913">
              <w:rPr>
                <w:sz w:val="22"/>
                <w:szCs w:val="22"/>
                <w:vertAlign w:val="superscript"/>
              </w:rPr>
              <w:t>l,*</w:t>
            </w:r>
            <w:proofErr w:type="gramEnd"/>
            <w:r w:rsidRPr="00F62913">
              <w:rPr>
                <w:sz w:val="22"/>
                <w:szCs w:val="22"/>
                <w:vertAlign w:val="superscript"/>
              </w:rPr>
              <w:t>,†</w:t>
            </w:r>
            <w:r w:rsidRPr="00F62913">
              <w:rPr>
                <w:sz w:val="22"/>
                <w:szCs w:val="22"/>
              </w:rPr>
              <w:t xml:space="preserve"> Unormal leverfunktion Kolecystitis</w:t>
            </w:r>
          </w:p>
        </w:tc>
        <w:tc>
          <w:tcPr>
            <w:tcW w:w="2222" w:type="pct"/>
            <w:tcBorders>
              <w:top w:val="single" w:sz="4" w:space="0" w:color="000000"/>
              <w:left w:val="single" w:sz="4" w:space="0" w:color="000000"/>
              <w:bottom w:val="single" w:sz="4" w:space="0" w:color="000000"/>
              <w:right w:val="single" w:sz="4" w:space="0" w:color="000000"/>
            </w:tcBorders>
            <w:hideMark/>
          </w:tcPr>
          <w:p w14:paraId="53D781A0" w14:textId="77777777" w:rsidR="00200B99" w:rsidRPr="00F62913" w:rsidRDefault="00200B99" w:rsidP="00FA525A">
            <w:pPr>
              <w:rPr>
                <w:sz w:val="22"/>
                <w:szCs w:val="22"/>
              </w:rPr>
            </w:pPr>
            <w:r w:rsidRPr="00F62913">
              <w:rPr>
                <w:sz w:val="22"/>
                <w:szCs w:val="22"/>
              </w:rPr>
              <w:t>Kolecystitis</w:t>
            </w:r>
          </w:p>
          <w:p w14:paraId="0D94ACB2" w14:textId="77777777" w:rsidR="00200B99" w:rsidRPr="00F62913" w:rsidRDefault="00200B99" w:rsidP="00FA525A">
            <w:pPr>
              <w:rPr>
                <w:sz w:val="22"/>
                <w:szCs w:val="22"/>
              </w:rPr>
            </w:pPr>
            <w:r w:rsidRPr="00F62913">
              <w:rPr>
                <w:sz w:val="22"/>
                <w:szCs w:val="22"/>
              </w:rPr>
              <w:t>Unormal leverfunktion</w:t>
            </w:r>
          </w:p>
          <w:p w14:paraId="1BB1ECC7" w14:textId="77777777" w:rsidR="00200B99" w:rsidRPr="00F62913" w:rsidRDefault="00200B99" w:rsidP="00FA525A">
            <w:pPr>
              <w:rPr>
                <w:sz w:val="22"/>
                <w:szCs w:val="22"/>
              </w:rPr>
            </w:pPr>
            <w:r w:rsidRPr="00F62913">
              <w:rPr>
                <w:sz w:val="22"/>
                <w:szCs w:val="22"/>
              </w:rPr>
              <w:t>Forhøjet niveau af gamma-glutamyltransferase</w:t>
            </w:r>
          </w:p>
        </w:tc>
      </w:tr>
      <w:tr w:rsidR="00200B99" w:rsidRPr="00F62913" w14:paraId="76A704B2"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77ECCCDD" w14:textId="77777777" w:rsidR="00200B99" w:rsidRPr="00F62913" w:rsidRDefault="00200B99" w:rsidP="00FA525A">
            <w:pPr>
              <w:rPr>
                <w:sz w:val="22"/>
                <w:szCs w:val="22"/>
              </w:rPr>
            </w:pPr>
            <w:r w:rsidRPr="00F62913">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527C3551" w14:textId="77777777" w:rsidR="00200B99" w:rsidRPr="00F62913" w:rsidRDefault="00200B99" w:rsidP="00FA525A">
            <w:pPr>
              <w:rPr>
                <w:sz w:val="22"/>
                <w:szCs w:val="22"/>
              </w:rPr>
            </w:pPr>
            <w:r w:rsidRPr="00F62913">
              <w:rPr>
                <w:sz w:val="22"/>
                <w:szCs w:val="22"/>
              </w:rPr>
              <w:t>Hepatocellulær skade/hepatitis</w:t>
            </w:r>
            <w:r w:rsidRPr="00F62913">
              <w:rPr>
                <w:sz w:val="22"/>
                <w:szCs w:val="22"/>
                <w:vertAlign w:val="superscript"/>
              </w:rPr>
              <w:t>m</w:t>
            </w:r>
          </w:p>
        </w:tc>
        <w:tc>
          <w:tcPr>
            <w:tcW w:w="2222" w:type="pct"/>
            <w:tcBorders>
              <w:top w:val="single" w:sz="4" w:space="0" w:color="000000"/>
              <w:left w:val="single" w:sz="4" w:space="0" w:color="000000"/>
              <w:bottom w:val="single" w:sz="4" w:space="0" w:color="000000"/>
              <w:right w:val="single" w:sz="4" w:space="0" w:color="000000"/>
            </w:tcBorders>
            <w:hideMark/>
          </w:tcPr>
          <w:p w14:paraId="02164829" w14:textId="77777777" w:rsidR="00200B99" w:rsidRPr="00F62913" w:rsidRDefault="00200B99" w:rsidP="00FA525A">
            <w:pPr>
              <w:rPr>
                <w:sz w:val="22"/>
                <w:szCs w:val="22"/>
              </w:rPr>
            </w:pPr>
            <w:proofErr w:type="gramStart"/>
            <w:r w:rsidRPr="00F62913">
              <w:rPr>
                <w:sz w:val="22"/>
                <w:szCs w:val="22"/>
              </w:rPr>
              <w:t>Leversvigt</w:t>
            </w:r>
            <w:r w:rsidRPr="00F62913">
              <w:rPr>
                <w:sz w:val="22"/>
                <w:szCs w:val="22"/>
                <w:vertAlign w:val="superscript"/>
              </w:rPr>
              <w:t>k,*</w:t>
            </w:r>
            <w:proofErr w:type="gramEnd"/>
            <w:r w:rsidRPr="00F62913">
              <w:rPr>
                <w:sz w:val="22"/>
                <w:szCs w:val="22"/>
                <w:vertAlign w:val="superscript"/>
              </w:rPr>
              <w:t>†</w:t>
            </w:r>
          </w:p>
          <w:p w14:paraId="2BDAF74E" w14:textId="77777777" w:rsidR="00200B99" w:rsidRPr="00F62913" w:rsidRDefault="00200B99" w:rsidP="00FA525A">
            <w:pPr>
              <w:rPr>
                <w:sz w:val="22"/>
                <w:szCs w:val="22"/>
              </w:rPr>
            </w:pPr>
            <w:r w:rsidRPr="00F62913">
              <w:rPr>
                <w:sz w:val="22"/>
                <w:szCs w:val="22"/>
              </w:rPr>
              <w:t xml:space="preserve">Hepatisk </w:t>
            </w:r>
            <w:proofErr w:type="gramStart"/>
            <w:r w:rsidRPr="00F62913">
              <w:rPr>
                <w:sz w:val="22"/>
                <w:szCs w:val="22"/>
              </w:rPr>
              <w:t>encefalopati</w:t>
            </w:r>
            <w:r w:rsidRPr="00F62913">
              <w:rPr>
                <w:sz w:val="22"/>
                <w:szCs w:val="22"/>
                <w:vertAlign w:val="superscript"/>
              </w:rPr>
              <w:t>l,†</w:t>
            </w:r>
            <w:proofErr w:type="gramEnd"/>
            <w:r w:rsidRPr="00F62913">
              <w:rPr>
                <w:sz w:val="22"/>
                <w:szCs w:val="22"/>
              </w:rPr>
              <w:t xml:space="preserve"> </w:t>
            </w:r>
          </w:p>
          <w:p w14:paraId="0A4E3DD7" w14:textId="77777777" w:rsidR="00200B99" w:rsidRPr="00F62913" w:rsidRDefault="00200B99" w:rsidP="00FA525A">
            <w:pPr>
              <w:rPr>
                <w:sz w:val="22"/>
                <w:szCs w:val="22"/>
              </w:rPr>
            </w:pPr>
            <w:r w:rsidRPr="00F62913">
              <w:rPr>
                <w:sz w:val="22"/>
                <w:szCs w:val="22"/>
              </w:rPr>
              <w:t>Hepatocellulær skade/hepatitis</w:t>
            </w:r>
            <w:r w:rsidRPr="00F62913">
              <w:rPr>
                <w:sz w:val="22"/>
                <w:szCs w:val="22"/>
                <w:vertAlign w:val="superscript"/>
              </w:rPr>
              <w:t>m</w:t>
            </w:r>
          </w:p>
        </w:tc>
      </w:tr>
      <w:tr w:rsidR="00200B99" w:rsidRPr="00F62913" w14:paraId="4B110631"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006C0539" w14:textId="77777777" w:rsidR="00200B99" w:rsidRPr="00F62913" w:rsidRDefault="00200B99" w:rsidP="00FA525A">
            <w:pPr>
              <w:rPr>
                <w:b/>
                <w:sz w:val="22"/>
                <w:szCs w:val="22"/>
              </w:rPr>
            </w:pPr>
            <w:r w:rsidRPr="00F62913">
              <w:rPr>
                <w:b/>
                <w:sz w:val="22"/>
                <w:szCs w:val="22"/>
              </w:rPr>
              <w:t>Hud og subkutane væv</w:t>
            </w:r>
          </w:p>
        </w:tc>
      </w:tr>
      <w:tr w:rsidR="00200B99" w:rsidRPr="00F62913" w14:paraId="7D972B60"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67275F44"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6C7E945C" w14:textId="77777777" w:rsidR="00200B99" w:rsidRPr="00F62913" w:rsidRDefault="00200B99" w:rsidP="00FA525A">
            <w:pPr>
              <w:rPr>
                <w:sz w:val="22"/>
                <w:szCs w:val="22"/>
              </w:rPr>
            </w:pPr>
            <w:r w:rsidRPr="00F62913">
              <w:rPr>
                <w:sz w:val="22"/>
                <w:szCs w:val="22"/>
              </w:rPr>
              <w:t xml:space="preserve">Palmar-plantar erytrodysæstesisyndrom </w:t>
            </w:r>
          </w:p>
          <w:p w14:paraId="4F0E7366" w14:textId="77777777" w:rsidR="00200B99" w:rsidRPr="00F62913" w:rsidRDefault="00200B99" w:rsidP="00FA525A">
            <w:pPr>
              <w:rPr>
                <w:sz w:val="22"/>
                <w:szCs w:val="22"/>
              </w:rPr>
            </w:pPr>
            <w:r w:rsidRPr="00F62913">
              <w:rPr>
                <w:sz w:val="22"/>
                <w:szCs w:val="22"/>
              </w:rPr>
              <w:t>Udslæt</w:t>
            </w:r>
          </w:p>
          <w:p w14:paraId="786DF222" w14:textId="77777777" w:rsidR="00200B99" w:rsidRPr="00F62913" w:rsidRDefault="00200B99" w:rsidP="00FA525A">
            <w:pPr>
              <w:rPr>
                <w:sz w:val="22"/>
                <w:szCs w:val="22"/>
              </w:rPr>
            </w:pPr>
            <w:r w:rsidRPr="00F62913">
              <w:rPr>
                <w:sz w:val="22"/>
                <w:szCs w:val="22"/>
              </w:rPr>
              <w:t>Alopeci</w:t>
            </w:r>
          </w:p>
        </w:tc>
        <w:tc>
          <w:tcPr>
            <w:tcW w:w="2222" w:type="pct"/>
            <w:tcBorders>
              <w:top w:val="single" w:sz="4" w:space="0" w:color="000000"/>
              <w:left w:val="single" w:sz="4" w:space="0" w:color="000000"/>
              <w:bottom w:val="single" w:sz="4" w:space="0" w:color="000000"/>
              <w:right w:val="single" w:sz="4" w:space="0" w:color="000000"/>
            </w:tcBorders>
            <w:hideMark/>
          </w:tcPr>
          <w:p w14:paraId="2CEEF9A4" w14:textId="77777777" w:rsidR="00200B99" w:rsidRPr="00F62913" w:rsidRDefault="00200B99" w:rsidP="00FA525A">
            <w:pPr>
              <w:rPr>
                <w:sz w:val="22"/>
                <w:szCs w:val="22"/>
              </w:rPr>
            </w:pPr>
            <w:r w:rsidRPr="00F62913">
              <w:rPr>
                <w:sz w:val="22"/>
                <w:szCs w:val="22"/>
              </w:rPr>
              <w:t xml:space="preserve">Palmar-plantar erytrodysæstesisyndrom </w:t>
            </w:r>
          </w:p>
          <w:p w14:paraId="66EBC2A5" w14:textId="77777777" w:rsidR="00200B99" w:rsidRPr="00F62913" w:rsidRDefault="00200B99" w:rsidP="00FA525A">
            <w:pPr>
              <w:rPr>
                <w:sz w:val="22"/>
                <w:szCs w:val="22"/>
              </w:rPr>
            </w:pPr>
            <w:r w:rsidRPr="00F62913">
              <w:rPr>
                <w:sz w:val="22"/>
                <w:szCs w:val="22"/>
              </w:rPr>
              <w:t>Udslæt</w:t>
            </w:r>
          </w:p>
        </w:tc>
      </w:tr>
      <w:tr w:rsidR="00200B99" w:rsidRPr="00F62913" w14:paraId="74A4BF9F"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B67F03F" w14:textId="77777777" w:rsidR="00200B99" w:rsidRPr="00F62913" w:rsidRDefault="00200B99" w:rsidP="00FA525A">
            <w:pPr>
              <w:rPr>
                <w:sz w:val="22"/>
                <w:szCs w:val="22"/>
              </w:rPr>
            </w:pPr>
            <w:r w:rsidRPr="00F62913">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4D7869CB" w14:textId="77777777" w:rsidR="00200B99" w:rsidRPr="00F62913" w:rsidRDefault="00200B99" w:rsidP="00FA525A">
            <w:pPr>
              <w:rPr>
                <w:sz w:val="22"/>
                <w:szCs w:val="22"/>
              </w:rPr>
            </w:pPr>
            <w:r w:rsidRPr="00F62913">
              <w:rPr>
                <w:sz w:val="22"/>
                <w:szCs w:val="22"/>
              </w:rPr>
              <w:t>Hyperkeratose</w:t>
            </w:r>
          </w:p>
        </w:tc>
        <w:tc>
          <w:tcPr>
            <w:tcW w:w="2222" w:type="pct"/>
            <w:tcBorders>
              <w:top w:val="single" w:sz="4" w:space="0" w:color="000000"/>
              <w:left w:val="single" w:sz="4" w:space="0" w:color="000000"/>
              <w:bottom w:val="single" w:sz="4" w:space="0" w:color="000000"/>
              <w:right w:val="single" w:sz="4" w:space="0" w:color="000000"/>
            </w:tcBorders>
            <w:hideMark/>
          </w:tcPr>
          <w:p w14:paraId="1F7F6079" w14:textId="77777777" w:rsidR="00200B99" w:rsidRPr="00F62913" w:rsidRDefault="00200B99" w:rsidP="00FA525A">
            <w:pPr>
              <w:rPr>
                <w:sz w:val="22"/>
                <w:szCs w:val="22"/>
              </w:rPr>
            </w:pPr>
            <w:r w:rsidRPr="00F62913">
              <w:rPr>
                <w:sz w:val="22"/>
                <w:szCs w:val="22"/>
              </w:rPr>
              <w:t>Alopeci</w:t>
            </w:r>
          </w:p>
        </w:tc>
      </w:tr>
      <w:tr w:rsidR="00200B99" w:rsidRPr="00F62913" w14:paraId="4F2E3527"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6F582368" w14:textId="77777777" w:rsidR="00200B99" w:rsidRPr="00F62913" w:rsidRDefault="00200B99" w:rsidP="00FA525A">
            <w:pPr>
              <w:rPr>
                <w:sz w:val="22"/>
                <w:szCs w:val="22"/>
              </w:rPr>
            </w:pPr>
            <w:r w:rsidRPr="00F62913">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tcPr>
          <w:p w14:paraId="2353354F" w14:textId="77777777" w:rsidR="00200B99" w:rsidRPr="00F62913" w:rsidRDefault="00200B99" w:rsidP="00FA525A">
            <w:pPr>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4A30DA29" w14:textId="77777777" w:rsidR="00200B99" w:rsidRPr="00F62913" w:rsidRDefault="00200B99" w:rsidP="00FA525A">
            <w:pPr>
              <w:rPr>
                <w:sz w:val="22"/>
                <w:szCs w:val="22"/>
              </w:rPr>
            </w:pPr>
            <w:r w:rsidRPr="00F62913">
              <w:rPr>
                <w:sz w:val="22"/>
                <w:szCs w:val="22"/>
              </w:rPr>
              <w:t>Hyperkeratose</w:t>
            </w:r>
          </w:p>
        </w:tc>
      </w:tr>
      <w:tr w:rsidR="00200B99" w:rsidRPr="00F62913" w14:paraId="0D920409"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3ABA0657" w14:textId="77777777" w:rsidR="00200B99" w:rsidRPr="00F62913" w:rsidRDefault="00200B99" w:rsidP="00FA525A">
            <w:pPr>
              <w:rPr>
                <w:b/>
                <w:sz w:val="22"/>
                <w:szCs w:val="22"/>
              </w:rPr>
            </w:pPr>
            <w:r w:rsidRPr="00F62913">
              <w:rPr>
                <w:b/>
                <w:sz w:val="22"/>
                <w:szCs w:val="22"/>
              </w:rPr>
              <w:t>Knogler, led, muskler og bindevæv</w:t>
            </w:r>
          </w:p>
        </w:tc>
      </w:tr>
      <w:tr w:rsidR="00200B99" w:rsidRPr="00F62913" w14:paraId="1BCB6071"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35B18B3C"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7375EF3" w14:textId="77777777" w:rsidR="00200B99" w:rsidRPr="00F62913" w:rsidRDefault="00200B99" w:rsidP="00FA525A">
            <w:pPr>
              <w:rPr>
                <w:sz w:val="22"/>
                <w:szCs w:val="22"/>
              </w:rPr>
            </w:pPr>
            <w:r w:rsidRPr="00F62913">
              <w:rPr>
                <w:sz w:val="22"/>
                <w:szCs w:val="22"/>
              </w:rPr>
              <w:t xml:space="preserve">Rygsmerter </w:t>
            </w:r>
          </w:p>
          <w:p w14:paraId="22428E89" w14:textId="77777777" w:rsidR="00200B99" w:rsidRPr="00F62913" w:rsidRDefault="00200B99" w:rsidP="00FA525A">
            <w:pPr>
              <w:rPr>
                <w:sz w:val="22"/>
                <w:szCs w:val="22"/>
              </w:rPr>
            </w:pPr>
            <w:r w:rsidRPr="00F62913">
              <w:rPr>
                <w:sz w:val="22"/>
                <w:szCs w:val="22"/>
              </w:rPr>
              <w:t xml:space="preserve">Artralgi </w:t>
            </w:r>
          </w:p>
          <w:p w14:paraId="6E62D3CA" w14:textId="77777777" w:rsidR="00200B99" w:rsidRPr="00F62913" w:rsidRDefault="00200B99" w:rsidP="00FA525A">
            <w:pPr>
              <w:rPr>
                <w:sz w:val="22"/>
                <w:szCs w:val="22"/>
              </w:rPr>
            </w:pPr>
            <w:r w:rsidRPr="00F62913">
              <w:rPr>
                <w:sz w:val="22"/>
                <w:szCs w:val="22"/>
              </w:rPr>
              <w:t>Myalgi</w:t>
            </w:r>
          </w:p>
          <w:p w14:paraId="6063EB29" w14:textId="77777777" w:rsidR="00200B99" w:rsidRPr="00F62913" w:rsidRDefault="00200B99" w:rsidP="00FA525A">
            <w:pPr>
              <w:rPr>
                <w:sz w:val="22"/>
                <w:szCs w:val="22"/>
              </w:rPr>
            </w:pPr>
            <w:r w:rsidRPr="00F62913">
              <w:rPr>
                <w:sz w:val="22"/>
                <w:szCs w:val="22"/>
              </w:rPr>
              <w:t xml:space="preserve">Smerter i ekstremiteter </w:t>
            </w:r>
          </w:p>
          <w:p w14:paraId="74416A9E" w14:textId="77777777" w:rsidR="00200B99" w:rsidRPr="00F62913" w:rsidRDefault="00200B99" w:rsidP="00FA525A">
            <w:pPr>
              <w:rPr>
                <w:sz w:val="22"/>
                <w:szCs w:val="22"/>
              </w:rPr>
            </w:pPr>
            <w:r w:rsidRPr="00F62913">
              <w:rPr>
                <w:sz w:val="22"/>
                <w:szCs w:val="22"/>
              </w:rPr>
              <w:t>Smerter i knogler, led og muskler</w:t>
            </w:r>
          </w:p>
        </w:tc>
        <w:tc>
          <w:tcPr>
            <w:tcW w:w="2222" w:type="pct"/>
            <w:tcBorders>
              <w:top w:val="single" w:sz="4" w:space="0" w:color="000000"/>
              <w:left w:val="single" w:sz="4" w:space="0" w:color="000000"/>
              <w:bottom w:val="single" w:sz="4" w:space="0" w:color="000000"/>
              <w:right w:val="single" w:sz="4" w:space="0" w:color="000000"/>
            </w:tcBorders>
            <w:hideMark/>
          </w:tcPr>
          <w:p w14:paraId="0CA430BA" w14:textId="77777777" w:rsidR="00200B99" w:rsidRPr="00F62913" w:rsidRDefault="00200B99" w:rsidP="00FA525A">
            <w:pPr>
              <w:rPr>
                <w:sz w:val="22"/>
                <w:szCs w:val="22"/>
              </w:rPr>
            </w:pPr>
            <w:r w:rsidRPr="00F62913">
              <w:rPr>
                <w:sz w:val="22"/>
                <w:szCs w:val="22"/>
              </w:rPr>
              <w:t xml:space="preserve">Rygsmerter </w:t>
            </w:r>
          </w:p>
          <w:p w14:paraId="11EE16D5" w14:textId="77777777" w:rsidR="00200B99" w:rsidRPr="00F62913" w:rsidRDefault="00200B99" w:rsidP="00FA525A">
            <w:pPr>
              <w:rPr>
                <w:sz w:val="22"/>
                <w:szCs w:val="22"/>
              </w:rPr>
            </w:pPr>
            <w:r w:rsidRPr="00F62913">
              <w:rPr>
                <w:sz w:val="22"/>
                <w:szCs w:val="22"/>
              </w:rPr>
              <w:t xml:space="preserve">Artralgi </w:t>
            </w:r>
          </w:p>
          <w:p w14:paraId="75EE92E3" w14:textId="77777777" w:rsidR="00200B99" w:rsidRPr="00F62913" w:rsidRDefault="00200B99" w:rsidP="00FA525A">
            <w:pPr>
              <w:rPr>
                <w:sz w:val="22"/>
                <w:szCs w:val="22"/>
              </w:rPr>
            </w:pPr>
            <w:r w:rsidRPr="00F62913">
              <w:rPr>
                <w:sz w:val="22"/>
                <w:szCs w:val="22"/>
              </w:rPr>
              <w:t>Myalgi</w:t>
            </w:r>
          </w:p>
          <w:p w14:paraId="5C86006E" w14:textId="77777777" w:rsidR="00200B99" w:rsidRPr="00F62913" w:rsidRDefault="00200B99" w:rsidP="00FA525A">
            <w:pPr>
              <w:rPr>
                <w:sz w:val="22"/>
                <w:szCs w:val="22"/>
              </w:rPr>
            </w:pPr>
            <w:r w:rsidRPr="00F62913">
              <w:rPr>
                <w:sz w:val="22"/>
                <w:szCs w:val="22"/>
              </w:rPr>
              <w:t>Smerter i ekstremiteter</w:t>
            </w:r>
          </w:p>
        </w:tc>
      </w:tr>
      <w:tr w:rsidR="00200B99" w:rsidRPr="00F62913" w14:paraId="26324C9C"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643F98C7" w14:textId="77777777" w:rsidR="00200B99" w:rsidRPr="00F62913" w:rsidRDefault="00200B99" w:rsidP="00FA525A">
            <w:pPr>
              <w:rPr>
                <w:sz w:val="22"/>
                <w:szCs w:val="22"/>
              </w:rPr>
            </w:pPr>
            <w:r w:rsidRPr="00F62913">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tcPr>
          <w:p w14:paraId="76D5004D" w14:textId="77777777" w:rsidR="00200B99" w:rsidRPr="00F62913" w:rsidRDefault="00200B99" w:rsidP="00FA525A">
            <w:pPr>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64798D65" w14:textId="77777777" w:rsidR="00200B99" w:rsidRPr="00F62913" w:rsidRDefault="00200B99" w:rsidP="00FA525A">
            <w:pPr>
              <w:rPr>
                <w:sz w:val="22"/>
                <w:szCs w:val="22"/>
              </w:rPr>
            </w:pPr>
            <w:r w:rsidRPr="00F62913">
              <w:rPr>
                <w:sz w:val="22"/>
                <w:szCs w:val="22"/>
              </w:rPr>
              <w:t>Smerter i knogler, led og muskler</w:t>
            </w:r>
          </w:p>
        </w:tc>
      </w:tr>
      <w:tr w:rsidR="00200B99" w:rsidRPr="00F62913" w14:paraId="3161B840"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72B1CC3E" w14:textId="77777777" w:rsidR="00200B99" w:rsidRPr="00F62913" w:rsidRDefault="00200B99" w:rsidP="00FA525A">
            <w:pPr>
              <w:rPr>
                <w:sz w:val="22"/>
                <w:szCs w:val="22"/>
              </w:rPr>
            </w:pPr>
            <w:r w:rsidRPr="00F62913">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29F562FB" w14:textId="77777777" w:rsidR="00200B99" w:rsidRPr="00F62913" w:rsidRDefault="00200B99" w:rsidP="00FA525A">
            <w:pPr>
              <w:rPr>
                <w:sz w:val="22"/>
                <w:szCs w:val="22"/>
              </w:rPr>
            </w:pPr>
            <w:r w:rsidRPr="00F62913">
              <w:rPr>
                <w:sz w:val="22"/>
                <w:szCs w:val="22"/>
              </w:rPr>
              <w:t>Osteonekrose af kæben</w:t>
            </w:r>
          </w:p>
        </w:tc>
        <w:tc>
          <w:tcPr>
            <w:tcW w:w="2222" w:type="pct"/>
            <w:tcBorders>
              <w:top w:val="single" w:sz="4" w:space="0" w:color="000000"/>
              <w:left w:val="single" w:sz="4" w:space="0" w:color="000000"/>
              <w:bottom w:val="single" w:sz="4" w:space="0" w:color="000000"/>
              <w:right w:val="single" w:sz="4" w:space="0" w:color="000000"/>
            </w:tcBorders>
          </w:tcPr>
          <w:p w14:paraId="45E305C9" w14:textId="77777777" w:rsidR="00200B99" w:rsidRPr="00F62913" w:rsidRDefault="00200B99" w:rsidP="00FA525A">
            <w:pPr>
              <w:rPr>
                <w:sz w:val="22"/>
                <w:szCs w:val="22"/>
              </w:rPr>
            </w:pPr>
          </w:p>
        </w:tc>
      </w:tr>
      <w:tr w:rsidR="00200B99" w:rsidRPr="00F62913" w14:paraId="7A24424D"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0CE64CFD" w14:textId="77777777" w:rsidR="00200B99" w:rsidRPr="00F62913" w:rsidRDefault="00200B99" w:rsidP="00FA525A">
            <w:pPr>
              <w:rPr>
                <w:b/>
                <w:sz w:val="22"/>
                <w:szCs w:val="22"/>
              </w:rPr>
            </w:pPr>
            <w:r w:rsidRPr="00F62913">
              <w:rPr>
                <w:b/>
                <w:sz w:val="22"/>
                <w:szCs w:val="22"/>
              </w:rPr>
              <w:t>Nyrer og urinveje</w:t>
            </w:r>
          </w:p>
        </w:tc>
      </w:tr>
      <w:tr w:rsidR="00200B99" w:rsidRPr="00F62913" w14:paraId="79B51C88"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C106D3F"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D3BEBAA" w14:textId="77777777" w:rsidR="00200B99" w:rsidRPr="00F62913" w:rsidRDefault="00200B99" w:rsidP="00FA525A">
            <w:pPr>
              <w:rPr>
                <w:sz w:val="22"/>
                <w:szCs w:val="22"/>
              </w:rPr>
            </w:pPr>
            <w:r w:rsidRPr="00F62913">
              <w:rPr>
                <w:sz w:val="22"/>
                <w:szCs w:val="22"/>
              </w:rPr>
              <w:t>Proteinuri</w:t>
            </w:r>
            <w:r w:rsidRPr="00F62913">
              <w:rPr>
                <w:sz w:val="22"/>
                <w:szCs w:val="22"/>
                <w:vertAlign w:val="superscript"/>
              </w:rPr>
              <w:t>*</w:t>
            </w:r>
          </w:p>
          <w:p w14:paraId="7ECCDA88" w14:textId="77777777" w:rsidR="00200B99" w:rsidRPr="00F62913" w:rsidRDefault="00200B99" w:rsidP="00FA525A">
            <w:pPr>
              <w:rPr>
                <w:sz w:val="22"/>
                <w:szCs w:val="22"/>
              </w:rPr>
            </w:pPr>
            <w:r w:rsidRPr="00F62913">
              <w:rPr>
                <w:sz w:val="22"/>
                <w:szCs w:val="22"/>
              </w:rPr>
              <w:t>Forhøjet niveau af kreatinin i blodet‡</w:t>
            </w:r>
          </w:p>
        </w:tc>
        <w:tc>
          <w:tcPr>
            <w:tcW w:w="2222" w:type="pct"/>
            <w:tcBorders>
              <w:top w:val="single" w:sz="4" w:space="0" w:color="000000"/>
              <w:left w:val="single" w:sz="4" w:space="0" w:color="000000"/>
              <w:bottom w:val="single" w:sz="4" w:space="0" w:color="000000"/>
              <w:right w:val="single" w:sz="4" w:space="0" w:color="000000"/>
            </w:tcBorders>
            <w:hideMark/>
          </w:tcPr>
          <w:p w14:paraId="13E88454" w14:textId="77777777" w:rsidR="00200B99" w:rsidRPr="00F62913" w:rsidRDefault="00200B99" w:rsidP="00FA525A">
            <w:pPr>
              <w:rPr>
                <w:sz w:val="22"/>
                <w:szCs w:val="22"/>
              </w:rPr>
            </w:pPr>
            <w:r w:rsidRPr="00F62913">
              <w:rPr>
                <w:sz w:val="22"/>
                <w:szCs w:val="22"/>
              </w:rPr>
              <w:t>Proteinuri</w:t>
            </w:r>
            <w:r w:rsidRPr="00F62913">
              <w:rPr>
                <w:sz w:val="22"/>
                <w:szCs w:val="22"/>
                <w:vertAlign w:val="superscript"/>
              </w:rPr>
              <w:t>*</w:t>
            </w:r>
          </w:p>
          <w:p w14:paraId="5A2933CD" w14:textId="77777777" w:rsidR="00200B99" w:rsidRPr="00F62913" w:rsidRDefault="00200B99" w:rsidP="00FA525A">
            <w:pPr>
              <w:rPr>
                <w:sz w:val="22"/>
                <w:szCs w:val="22"/>
              </w:rPr>
            </w:pPr>
            <w:r w:rsidRPr="00F62913">
              <w:rPr>
                <w:sz w:val="22"/>
                <w:szCs w:val="22"/>
              </w:rPr>
              <w:t>Forhøjet niveau af kreatinin i blodet‡</w:t>
            </w:r>
          </w:p>
        </w:tc>
      </w:tr>
      <w:tr w:rsidR="00200B99" w:rsidRPr="00F62913" w14:paraId="4CC09F11"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34147E2D" w14:textId="77777777" w:rsidR="00200B99" w:rsidRPr="00F62913" w:rsidRDefault="00200B99" w:rsidP="00FA525A">
            <w:pPr>
              <w:rPr>
                <w:sz w:val="22"/>
                <w:szCs w:val="22"/>
              </w:rPr>
            </w:pPr>
            <w:r w:rsidRPr="00F62913">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11394610" w14:textId="7C7FF15A" w:rsidR="00200B99" w:rsidRPr="00F62913" w:rsidRDefault="00200B99" w:rsidP="00FA525A">
            <w:pPr>
              <w:rPr>
                <w:sz w:val="22"/>
                <w:szCs w:val="22"/>
              </w:rPr>
            </w:pPr>
            <w:r w:rsidRPr="00F62913">
              <w:rPr>
                <w:sz w:val="22"/>
                <w:szCs w:val="22"/>
              </w:rPr>
              <w:t>Nyresvigt</w:t>
            </w:r>
            <w:r w:rsidRPr="00F62913">
              <w:rPr>
                <w:sz w:val="22"/>
                <w:szCs w:val="22"/>
                <w:vertAlign w:val="superscript"/>
              </w:rPr>
              <w:t xml:space="preserve">n, </w:t>
            </w:r>
            <w:proofErr w:type="gramStart"/>
            <w:r w:rsidRPr="00F62913">
              <w:rPr>
                <w:sz w:val="22"/>
                <w:szCs w:val="22"/>
                <w:vertAlign w:val="superscript"/>
              </w:rPr>
              <w:t>*,†</w:t>
            </w:r>
            <w:proofErr w:type="gramEnd"/>
          </w:p>
          <w:p w14:paraId="5D4192C0" w14:textId="77777777" w:rsidR="00200B99" w:rsidRPr="00F62913" w:rsidRDefault="00200B99" w:rsidP="00FA525A">
            <w:pPr>
              <w:rPr>
                <w:sz w:val="22"/>
                <w:szCs w:val="22"/>
              </w:rPr>
            </w:pPr>
            <w:r w:rsidRPr="00F62913">
              <w:rPr>
                <w:sz w:val="22"/>
                <w:szCs w:val="22"/>
              </w:rPr>
              <w:t xml:space="preserve">Nedsat nyrefunktion* </w:t>
            </w:r>
          </w:p>
          <w:p w14:paraId="37A7BFC5" w14:textId="77777777" w:rsidR="00200B99" w:rsidRPr="00F62913" w:rsidRDefault="00200B99" w:rsidP="00FA525A">
            <w:pPr>
              <w:rPr>
                <w:sz w:val="22"/>
                <w:szCs w:val="22"/>
              </w:rPr>
            </w:pPr>
            <w:r w:rsidRPr="00F62913">
              <w:rPr>
                <w:sz w:val="22"/>
                <w:szCs w:val="22"/>
              </w:rPr>
              <w:t>Forhøjet niveau af urinstof i blodet</w:t>
            </w:r>
          </w:p>
        </w:tc>
        <w:tc>
          <w:tcPr>
            <w:tcW w:w="2222" w:type="pct"/>
            <w:tcBorders>
              <w:top w:val="single" w:sz="4" w:space="0" w:color="000000"/>
              <w:left w:val="single" w:sz="4" w:space="0" w:color="000000"/>
              <w:bottom w:val="single" w:sz="4" w:space="0" w:color="000000"/>
              <w:right w:val="single" w:sz="4" w:space="0" w:color="000000"/>
            </w:tcBorders>
            <w:hideMark/>
          </w:tcPr>
          <w:p w14:paraId="3974B13F" w14:textId="535B0780" w:rsidR="00200B99" w:rsidRPr="00F62913" w:rsidRDefault="00200B99" w:rsidP="00FA525A">
            <w:pPr>
              <w:rPr>
                <w:sz w:val="22"/>
                <w:szCs w:val="22"/>
              </w:rPr>
            </w:pPr>
            <w:r w:rsidRPr="00F62913">
              <w:rPr>
                <w:sz w:val="22"/>
                <w:szCs w:val="22"/>
              </w:rPr>
              <w:t>Nyresvigt</w:t>
            </w:r>
            <w:r w:rsidRPr="00F62913">
              <w:rPr>
                <w:sz w:val="22"/>
                <w:szCs w:val="22"/>
                <w:vertAlign w:val="superscript"/>
              </w:rPr>
              <w:t xml:space="preserve">n, </w:t>
            </w:r>
            <w:proofErr w:type="gramStart"/>
            <w:r w:rsidRPr="00F62913">
              <w:rPr>
                <w:sz w:val="22"/>
                <w:szCs w:val="22"/>
                <w:vertAlign w:val="superscript"/>
              </w:rPr>
              <w:t>*,†</w:t>
            </w:r>
            <w:proofErr w:type="gramEnd"/>
          </w:p>
        </w:tc>
      </w:tr>
      <w:tr w:rsidR="00200B99" w:rsidRPr="00F62913" w14:paraId="6CA6A107"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14A33F92" w14:textId="77777777" w:rsidR="00200B99" w:rsidRPr="00F62913" w:rsidRDefault="00200B99" w:rsidP="00FA525A">
            <w:pPr>
              <w:rPr>
                <w:sz w:val="22"/>
                <w:szCs w:val="22"/>
              </w:rPr>
            </w:pPr>
            <w:r w:rsidRPr="00F62913">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55CA8932" w14:textId="77777777" w:rsidR="00200B99" w:rsidRPr="00F62913" w:rsidRDefault="00200B99" w:rsidP="00FA525A">
            <w:pPr>
              <w:rPr>
                <w:sz w:val="22"/>
                <w:szCs w:val="22"/>
              </w:rPr>
            </w:pPr>
            <w:r w:rsidRPr="00F62913">
              <w:rPr>
                <w:sz w:val="22"/>
                <w:szCs w:val="22"/>
              </w:rPr>
              <w:t>Nefrotisk syndrom</w:t>
            </w:r>
          </w:p>
        </w:tc>
        <w:tc>
          <w:tcPr>
            <w:tcW w:w="2222" w:type="pct"/>
            <w:tcBorders>
              <w:top w:val="single" w:sz="4" w:space="0" w:color="000000"/>
              <w:left w:val="single" w:sz="4" w:space="0" w:color="000000"/>
              <w:bottom w:val="single" w:sz="4" w:space="0" w:color="000000"/>
              <w:right w:val="single" w:sz="4" w:space="0" w:color="000000"/>
            </w:tcBorders>
            <w:hideMark/>
          </w:tcPr>
          <w:p w14:paraId="55FE361A" w14:textId="77777777" w:rsidR="00200B99" w:rsidRPr="00F62913" w:rsidRDefault="00200B99" w:rsidP="00FA525A">
            <w:pPr>
              <w:rPr>
                <w:sz w:val="22"/>
                <w:szCs w:val="22"/>
              </w:rPr>
            </w:pPr>
            <w:r w:rsidRPr="00F62913">
              <w:rPr>
                <w:sz w:val="22"/>
                <w:szCs w:val="22"/>
              </w:rPr>
              <w:t>Nedsat nyrefunktion</w:t>
            </w:r>
            <w:r w:rsidRPr="00F62913">
              <w:rPr>
                <w:sz w:val="22"/>
                <w:szCs w:val="22"/>
                <w:vertAlign w:val="superscript"/>
              </w:rPr>
              <w:t>*</w:t>
            </w:r>
          </w:p>
          <w:p w14:paraId="146E75B7" w14:textId="77777777" w:rsidR="00200B99" w:rsidRPr="00F62913" w:rsidRDefault="00200B99" w:rsidP="00FA525A">
            <w:pPr>
              <w:rPr>
                <w:sz w:val="22"/>
                <w:szCs w:val="22"/>
              </w:rPr>
            </w:pPr>
            <w:r w:rsidRPr="00F62913">
              <w:rPr>
                <w:sz w:val="22"/>
                <w:szCs w:val="22"/>
              </w:rPr>
              <w:t>Forhøjet niveau af urinstof i blodet</w:t>
            </w:r>
          </w:p>
        </w:tc>
      </w:tr>
      <w:tr w:rsidR="00200B99" w:rsidRPr="00F62913" w14:paraId="778F3833" w14:textId="77777777" w:rsidTr="00FA525A">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4F7C888C" w14:textId="77777777" w:rsidR="00200B99" w:rsidRPr="00F62913" w:rsidRDefault="00200B99" w:rsidP="00FA525A">
            <w:pPr>
              <w:rPr>
                <w:b/>
                <w:sz w:val="22"/>
                <w:szCs w:val="22"/>
              </w:rPr>
            </w:pPr>
            <w:r w:rsidRPr="00F62913">
              <w:rPr>
                <w:b/>
                <w:sz w:val="22"/>
                <w:szCs w:val="22"/>
              </w:rPr>
              <w:t>Almene symptomer og reaktioner på administrationsstedet</w:t>
            </w:r>
          </w:p>
        </w:tc>
      </w:tr>
      <w:tr w:rsidR="00200B99" w:rsidRPr="00F62913" w14:paraId="01F5A8F1"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4C6BF875" w14:textId="77777777" w:rsidR="00200B99" w:rsidRPr="00F62913" w:rsidRDefault="00200B99" w:rsidP="00FA525A">
            <w:pPr>
              <w:rPr>
                <w:sz w:val="22"/>
                <w:szCs w:val="22"/>
              </w:rPr>
            </w:pPr>
            <w:r w:rsidRPr="00F62913">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65278B20" w14:textId="77777777" w:rsidR="00200B99" w:rsidRPr="00F62913" w:rsidRDefault="00200B99" w:rsidP="00FA525A">
            <w:pPr>
              <w:rPr>
                <w:sz w:val="22"/>
                <w:szCs w:val="22"/>
              </w:rPr>
            </w:pPr>
            <w:r w:rsidRPr="00F62913">
              <w:rPr>
                <w:sz w:val="22"/>
                <w:szCs w:val="22"/>
              </w:rPr>
              <w:t xml:space="preserve">Træthed </w:t>
            </w:r>
          </w:p>
          <w:p w14:paraId="391136AC" w14:textId="77777777" w:rsidR="00200B99" w:rsidRPr="00F62913" w:rsidRDefault="00200B99" w:rsidP="00FA525A">
            <w:pPr>
              <w:rPr>
                <w:sz w:val="22"/>
                <w:szCs w:val="22"/>
              </w:rPr>
            </w:pPr>
            <w:r w:rsidRPr="00F62913">
              <w:rPr>
                <w:sz w:val="22"/>
                <w:szCs w:val="22"/>
              </w:rPr>
              <w:t xml:space="preserve">Asteni </w:t>
            </w:r>
          </w:p>
          <w:p w14:paraId="646B3B79" w14:textId="77777777" w:rsidR="00200B99" w:rsidRPr="00F62913" w:rsidRDefault="00200B99" w:rsidP="00FA525A">
            <w:pPr>
              <w:rPr>
                <w:sz w:val="22"/>
                <w:szCs w:val="22"/>
              </w:rPr>
            </w:pPr>
            <w:r w:rsidRPr="00F62913">
              <w:rPr>
                <w:sz w:val="22"/>
                <w:szCs w:val="22"/>
              </w:rPr>
              <w:t>Perifert ødem</w:t>
            </w:r>
          </w:p>
        </w:tc>
        <w:tc>
          <w:tcPr>
            <w:tcW w:w="2222" w:type="pct"/>
            <w:tcBorders>
              <w:top w:val="single" w:sz="4" w:space="0" w:color="000000"/>
              <w:left w:val="single" w:sz="4" w:space="0" w:color="000000"/>
              <w:bottom w:val="single" w:sz="4" w:space="0" w:color="000000"/>
              <w:right w:val="single" w:sz="4" w:space="0" w:color="000000"/>
            </w:tcBorders>
            <w:hideMark/>
          </w:tcPr>
          <w:p w14:paraId="00D58CBE" w14:textId="77777777" w:rsidR="00200B99" w:rsidRPr="00F62913" w:rsidRDefault="00200B99" w:rsidP="00FA525A">
            <w:pPr>
              <w:rPr>
                <w:sz w:val="22"/>
                <w:szCs w:val="22"/>
              </w:rPr>
            </w:pPr>
            <w:r w:rsidRPr="00F62913">
              <w:rPr>
                <w:sz w:val="22"/>
                <w:szCs w:val="22"/>
              </w:rPr>
              <w:t xml:space="preserve">Træthed </w:t>
            </w:r>
          </w:p>
          <w:p w14:paraId="1B850B33" w14:textId="77777777" w:rsidR="00200B99" w:rsidRPr="00F62913" w:rsidRDefault="00200B99" w:rsidP="00FA525A">
            <w:pPr>
              <w:rPr>
                <w:sz w:val="22"/>
                <w:szCs w:val="22"/>
              </w:rPr>
            </w:pPr>
            <w:r w:rsidRPr="00F62913">
              <w:rPr>
                <w:sz w:val="22"/>
                <w:szCs w:val="22"/>
              </w:rPr>
              <w:t xml:space="preserve">Asteni </w:t>
            </w:r>
          </w:p>
          <w:p w14:paraId="5A0B6384" w14:textId="77777777" w:rsidR="00200B99" w:rsidRPr="00F62913" w:rsidRDefault="00200B99" w:rsidP="00FA525A">
            <w:pPr>
              <w:rPr>
                <w:sz w:val="22"/>
                <w:szCs w:val="22"/>
              </w:rPr>
            </w:pPr>
            <w:r w:rsidRPr="00F62913">
              <w:rPr>
                <w:sz w:val="22"/>
                <w:szCs w:val="22"/>
              </w:rPr>
              <w:t>Perifert ødem</w:t>
            </w:r>
          </w:p>
        </w:tc>
      </w:tr>
      <w:tr w:rsidR="00200B99" w:rsidRPr="00F62913" w14:paraId="6AADA5EB"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485EE996" w14:textId="77777777" w:rsidR="00200B99" w:rsidRPr="00F62913" w:rsidRDefault="00200B99" w:rsidP="00FA525A">
            <w:pPr>
              <w:rPr>
                <w:sz w:val="22"/>
                <w:szCs w:val="22"/>
              </w:rPr>
            </w:pPr>
            <w:r w:rsidRPr="00F62913">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7C33F6A2" w14:textId="77777777" w:rsidR="00200B99" w:rsidRPr="00F62913" w:rsidRDefault="00200B99" w:rsidP="00FA525A">
            <w:pPr>
              <w:rPr>
                <w:sz w:val="22"/>
                <w:szCs w:val="22"/>
              </w:rPr>
            </w:pPr>
            <w:r w:rsidRPr="00F62913">
              <w:rPr>
                <w:sz w:val="22"/>
                <w:szCs w:val="22"/>
              </w:rPr>
              <w:t>Utilpashed</w:t>
            </w:r>
          </w:p>
        </w:tc>
        <w:tc>
          <w:tcPr>
            <w:tcW w:w="2222" w:type="pct"/>
            <w:tcBorders>
              <w:top w:val="single" w:sz="4" w:space="0" w:color="000000"/>
              <w:left w:val="single" w:sz="4" w:space="0" w:color="000000"/>
              <w:bottom w:val="single" w:sz="4" w:space="0" w:color="000000"/>
              <w:right w:val="single" w:sz="4" w:space="0" w:color="000000"/>
            </w:tcBorders>
            <w:hideMark/>
          </w:tcPr>
          <w:p w14:paraId="70899F35" w14:textId="77777777" w:rsidR="00200B99" w:rsidRPr="00F62913" w:rsidRDefault="00200B99" w:rsidP="00FA525A">
            <w:pPr>
              <w:rPr>
                <w:sz w:val="22"/>
                <w:szCs w:val="22"/>
              </w:rPr>
            </w:pPr>
            <w:r w:rsidRPr="00F62913">
              <w:rPr>
                <w:sz w:val="22"/>
                <w:szCs w:val="22"/>
              </w:rPr>
              <w:t>Utilpashed</w:t>
            </w:r>
          </w:p>
        </w:tc>
      </w:tr>
      <w:tr w:rsidR="00200B99" w:rsidRPr="00F62913" w14:paraId="5A48CFD5"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2C31758" w14:textId="77777777" w:rsidR="00200B99" w:rsidRPr="00F62913" w:rsidRDefault="00200B99" w:rsidP="00FA525A">
            <w:pPr>
              <w:rPr>
                <w:sz w:val="22"/>
                <w:szCs w:val="22"/>
              </w:rPr>
            </w:pPr>
            <w:r w:rsidRPr="00F62913">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31633ED2" w14:textId="77777777" w:rsidR="00200B99" w:rsidRPr="00F62913" w:rsidRDefault="00200B99" w:rsidP="00FA525A">
            <w:pPr>
              <w:rPr>
                <w:sz w:val="22"/>
                <w:szCs w:val="22"/>
              </w:rPr>
            </w:pPr>
            <w:r w:rsidRPr="00F62913">
              <w:rPr>
                <w:sz w:val="22"/>
                <w:szCs w:val="22"/>
              </w:rPr>
              <w:t>Nedsat heling</w:t>
            </w:r>
          </w:p>
        </w:tc>
        <w:tc>
          <w:tcPr>
            <w:tcW w:w="2222" w:type="pct"/>
            <w:tcBorders>
              <w:top w:val="single" w:sz="4" w:space="0" w:color="000000"/>
              <w:left w:val="single" w:sz="4" w:space="0" w:color="000000"/>
              <w:bottom w:val="single" w:sz="4" w:space="0" w:color="000000"/>
              <w:right w:val="single" w:sz="4" w:space="0" w:color="000000"/>
            </w:tcBorders>
            <w:hideMark/>
          </w:tcPr>
          <w:p w14:paraId="476DCC70" w14:textId="77777777" w:rsidR="00200B99" w:rsidRPr="00F62913" w:rsidRDefault="00200B99" w:rsidP="00FA525A">
            <w:pPr>
              <w:rPr>
                <w:sz w:val="22"/>
                <w:szCs w:val="22"/>
              </w:rPr>
            </w:pPr>
            <w:r w:rsidRPr="00F62913">
              <w:rPr>
                <w:sz w:val="22"/>
                <w:szCs w:val="22"/>
              </w:rPr>
              <w:t>Nedsat heling</w:t>
            </w:r>
          </w:p>
        </w:tc>
      </w:tr>
      <w:tr w:rsidR="00200B99" w:rsidRPr="00F62913" w14:paraId="51E28226" w14:textId="77777777" w:rsidTr="00FA525A">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365A14D7" w14:textId="77777777" w:rsidR="00200B99" w:rsidRPr="00F62913" w:rsidRDefault="00200B99" w:rsidP="00FA525A">
            <w:pPr>
              <w:rPr>
                <w:sz w:val="22"/>
                <w:szCs w:val="22"/>
              </w:rPr>
            </w:pPr>
            <w:r w:rsidRPr="00F62913">
              <w:rPr>
                <w:sz w:val="22"/>
                <w:szCs w:val="22"/>
              </w:rPr>
              <w:t>Ikke kendt</w:t>
            </w:r>
          </w:p>
        </w:tc>
        <w:tc>
          <w:tcPr>
            <w:tcW w:w="1467" w:type="pct"/>
            <w:tcBorders>
              <w:top w:val="single" w:sz="4" w:space="0" w:color="000000"/>
              <w:left w:val="single" w:sz="4" w:space="0" w:color="000000"/>
              <w:bottom w:val="single" w:sz="4" w:space="0" w:color="000000"/>
              <w:right w:val="single" w:sz="4" w:space="0" w:color="000000"/>
            </w:tcBorders>
            <w:hideMark/>
          </w:tcPr>
          <w:p w14:paraId="38DE5C9D" w14:textId="77777777" w:rsidR="00200B99" w:rsidRPr="00F62913" w:rsidRDefault="00200B99" w:rsidP="00FA525A">
            <w:pPr>
              <w:rPr>
                <w:sz w:val="22"/>
                <w:szCs w:val="22"/>
              </w:rPr>
            </w:pPr>
            <w:r w:rsidRPr="00F62913">
              <w:rPr>
                <w:sz w:val="22"/>
                <w:szCs w:val="22"/>
              </w:rPr>
              <w:t>Fistelo uden for mave-tarm- kanalen</w:t>
            </w:r>
          </w:p>
        </w:tc>
        <w:tc>
          <w:tcPr>
            <w:tcW w:w="2222" w:type="pct"/>
            <w:tcBorders>
              <w:top w:val="single" w:sz="4" w:space="0" w:color="000000"/>
              <w:left w:val="single" w:sz="4" w:space="0" w:color="000000"/>
              <w:bottom w:val="single" w:sz="4" w:space="0" w:color="000000"/>
              <w:right w:val="single" w:sz="4" w:space="0" w:color="000000"/>
            </w:tcBorders>
          </w:tcPr>
          <w:p w14:paraId="4593CB13" w14:textId="77777777" w:rsidR="00200B99" w:rsidRPr="00F62913" w:rsidRDefault="00200B99" w:rsidP="00FA525A">
            <w:pPr>
              <w:rPr>
                <w:sz w:val="22"/>
                <w:szCs w:val="22"/>
              </w:rPr>
            </w:pPr>
          </w:p>
        </w:tc>
      </w:tr>
    </w:tbl>
    <w:p w14:paraId="71D0E5A0" w14:textId="77777777" w:rsidR="00200B99" w:rsidRPr="00260B68" w:rsidRDefault="00200B99" w:rsidP="00773EAE">
      <w:pPr>
        <w:tabs>
          <w:tab w:val="left" w:pos="567"/>
        </w:tabs>
        <w:ind w:left="284" w:hanging="284"/>
        <w:rPr>
          <w:sz w:val="22"/>
          <w:szCs w:val="22"/>
        </w:rPr>
      </w:pPr>
      <w:r w:rsidRPr="00260B68">
        <w:rPr>
          <w:sz w:val="22"/>
          <w:szCs w:val="22"/>
        </w:rPr>
        <w:t xml:space="preserve">§: </w:t>
      </w:r>
      <w:r w:rsidRPr="00260B68">
        <w:rPr>
          <w:sz w:val="22"/>
          <w:szCs w:val="22"/>
        </w:rPr>
        <w:tab/>
        <w:t>Bivirkningsfrekvenser, der er vist i tabel 6, kan muligvis ikke fuldt ud tilskrives lenvatinib alene, men kan indeholde bidrag fra den underliggende sygdom eller fra andre lægemidler, som anvendes i en kombination.</w:t>
      </w:r>
    </w:p>
    <w:p w14:paraId="76061226" w14:textId="533CE39F" w:rsidR="00200B99" w:rsidRPr="00260B68" w:rsidRDefault="00200B99" w:rsidP="00773EAE">
      <w:pPr>
        <w:tabs>
          <w:tab w:val="left" w:pos="567"/>
        </w:tabs>
        <w:ind w:left="284" w:hanging="284"/>
        <w:rPr>
          <w:sz w:val="22"/>
          <w:szCs w:val="22"/>
        </w:rPr>
      </w:pPr>
      <w:r w:rsidRPr="00260B68">
        <w:rPr>
          <w:sz w:val="22"/>
          <w:szCs w:val="22"/>
        </w:rPr>
        <w:t xml:space="preserve">*: </w:t>
      </w:r>
      <w:r w:rsidRPr="00260B68">
        <w:rPr>
          <w:sz w:val="22"/>
          <w:szCs w:val="22"/>
        </w:rPr>
        <w:tab/>
        <w:t xml:space="preserve">Se pkt. 4.8: </w:t>
      </w:r>
      <w:r w:rsidR="00E62732">
        <w:rPr>
          <w:sz w:val="22"/>
          <w:szCs w:val="22"/>
        </w:rPr>
        <w:t>"</w:t>
      </w:r>
      <w:r w:rsidRPr="00260B68">
        <w:rPr>
          <w:sz w:val="22"/>
          <w:szCs w:val="22"/>
        </w:rPr>
        <w:t>Beskrivelse af udvalgte bivirkninger</w:t>
      </w:r>
      <w:r w:rsidR="00E62732">
        <w:rPr>
          <w:sz w:val="22"/>
          <w:szCs w:val="22"/>
        </w:rPr>
        <w:t>"</w:t>
      </w:r>
      <w:r w:rsidRPr="00260B68">
        <w:rPr>
          <w:sz w:val="22"/>
          <w:szCs w:val="22"/>
        </w:rPr>
        <w:t xml:space="preserve"> for en yderligere karakterisering.</w:t>
      </w:r>
    </w:p>
    <w:p w14:paraId="61F332B7" w14:textId="77777777" w:rsidR="00200B99" w:rsidRPr="00260B68" w:rsidRDefault="00200B99" w:rsidP="00773EAE">
      <w:pPr>
        <w:tabs>
          <w:tab w:val="left" w:pos="567"/>
        </w:tabs>
        <w:ind w:left="284" w:hanging="284"/>
        <w:rPr>
          <w:sz w:val="22"/>
          <w:szCs w:val="22"/>
        </w:rPr>
      </w:pPr>
      <w:r w:rsidRPr="00260B68">
        <w:rPr>
          <w:sz w:val="22"/>
          <w:szCs w:val="22"/>
        </w:rPr>
        <w:t xml:space="preserve">†: </w:t>
      </w:r>
      <w:r w:rsidRPr="00260B68">
        <w:rPr>
          <w:sz w:val="22"/>
          <w:szCs w:val="22"/>
        </w:rPr>
        <w:tab/>
        <w:t>Omfatter tilfælde med dødelig udgang.</w:t>
      </w:r>
    </w:p>
    <w:p w14:paraId="49ED7A82" w14:textId="77777777" w:rsidR="00200B99" w:rsidRPr="00260B68" w:rsidRDefault="00200B99" w:rsidP="00773EAE">
      <w:pPr>
        <w:tabs>
          <w:tab w:val="left" w:pos="567"/>
        </w:tabs>
        <w:ind w:left="284" w:hanging="284"/>
        <w:rPr>
          <w:sz w:val="22"/>
          <w:szCs w:val="22"/>
        </w:rPr>
      </w:pPr>
      <w:r w:rsidRPr="00260B68">
        <w:rPr>
          <w:sz w:val="22"/>
          <w:szCs w:val="22"/>
        </w:rPr>
        <w:t xml:space="preserve">‡: </w:t>
      </w:r>
      <w:r w:rsidRPr="00260B68">
        <w:rPr>
          <w:sz w:val="22"/>
          <w:szCs w:val="22"/>
        </w:rPr>
        <w:tab/>
        <w:t>Hyppighed er baseret på laboratoriedata.</w:t>
      </w:r>
    </w:p>
    <w:p w14:paraId="3681B9E0" w14:textId="77777777" w:rsidR="00200B99" w:rsidRPr="00260B68" w:rsidRDefault="00200B99" w:rsidP="00773EAE">
      <w:pPr>
        <w:pStyle w:val="Brdtekst"/>
        <w:tabs>
          <w:tab w:val="left" w:pos="567"/>
        </w:tabs>
        <w:ind w:left="284" w:hanging="284"/>
        <w:rPr>
          <w:lang w:val="da-DK"/>
        </w:rPr>
      </w:pPr>
    </w:p>
    <w:p w14:paraId="29C48863" w14:textId="77777777" w:rsidR="00200B99" w:rsidRPr="00260B68" w:rsidRDefault="00200B99" w:rsidP="00773EAE">
      <w:pPr>
        <w:tabs>
          <w:tab w:val="left" w:pos="567"/>
        </w:tabs>
        <w:ind w:left="284" w:hanging="284"/>
        <w:rPr>
          <w:sz w:val="22"/>
          <w:szCs w:val="22"/>
        </w:rPr>
      </w:pPr>
      <w:r w:rsidRPr="00260B68">
        <w:rPr>
          <w:sz w:val="22"/>
          <w:szCs w:val="22"/>
        </w:rPr>
        <w:t>Følgende termer er blevet kombineret:</w:t>
      </w:r>
    </w:p>
    <w:p w14:paraId="73B118C6" w14:textId="77777777" w:rsidR="00200B99" w:rsidRPr="00260B68" w:rsidRDefault="00200B99" w:rsidP="00260B68">
      <w:pPr>
        <w:ind w:left="426" w:hanging="426"/>
        <w:rPr>
          <w:sz w:val="22"/>
          <w:szCs w:val="22"/>
        </w:rPr>
      </w:pPr>
      <w:r w:rsidRPr="00260B68">
        <w:rPr>
          <w:sz w:val="22"/>
          <w:szCs w:val="22"/>
        </w:rPr>
        <w:t xml:space="preserve">a: </w:t>
      </w:r>
      <w:r w:rsidRPr="00260B68">
        <w:rPr>
          <w:sz w:val="22"/>
          <w:szCs w:val="22"/>
        </w:rPr>
        <w:tab/>
        <w:t>Trombocytopeni omfatter trombocytopeni og et nedsat antal trombocytter. Neutropeni omfatter neutropeni og nedsat neutrocyttal. Leukopeni omfatter leukopeni og et nedsat antal hvide blodlegemer. Lymfopeni omfatter lymfopeni og et nedsat antal lymfocytter.</w:t>
      </w:r>
    </w:p>
    <w:p w14:paraId="6C1069D3" w14:textId="77777777" w:rsidR="00200B99" w:rsidRPr="00260B68" w:rsidRDefault="00200B99" w:rsidP="00260B68">
      <w:pPr>
        <w:ind w:left="426" w:hanging="426"/>
        <w:rPr>
          <w:sz w:val="22"/>
          <w:szCs w:val="22"/>
        </w:rPr>
      </w:pPr>
      <w:r w:rsidRPr="00260B68">
        <w:rPr>
          <w:sz w:val="22"/>
          <w:szCs w:val="22"/>
        </w:rPr>
        <w:t xml:space="preserve">b: </w:t>
      </w:r>
      <w:r w:rsidRPr="00260B68">
        <w:rPr>
          <w:sz w:val="22"/>
          <w:szCs w:val="22"/>
        </w:rPr>
        <w:tab/>
        <w:t>Hypomagnesiæmi omfatter hypomagnesiæmi og et nedsat niveau af magnesium i blodet. Hyperkolesterolæmi omfatter hyperkolesterolæmi og et forhøjet niveau af kolesterol i blodet.</w:t>
      </w:r>
    </w:p>
    <w:p w14:paraId="4CB8B445" w14:textId="77777777" w:rsidR="00200B99" w:rsidRPr="00260B68" w:rsidRDefault="00200B99" w:rsidP="00260B68">
      <w:pPr>
        <w:ind w:left="426" w:hanging="426"/>
        <w:rPr>
          <w:sz w:val="22"/>
          <w:szCs w:val="22"/>
        </w:rPr>
      </w:pPr>
      <w:r w:rsidRPr="00260B68">
        <w:rPr>
          <w:sz w:val="22"/>
          <w:szCs w:val="22"/>
        </w:rPr>
        <w:t xml:space="preserve">c: </w:t>
      </w:r>
      <w:r w:rsidRPr="00260B68">
        <w:rPr>
          <w:sz w:val="22"/>
          <w:szCs w:val="22"/>
        </w:rPr>
        <w:tab/>
        <w:t xml:space="preserve">Myokardieinfarkt omfatter myokardieinfarkt og akut myokardieinfarkt. </w:t>
      </w:r>
    </w:p>
    <w:p w14:paraId="64E89534" w14:textId="77777777" w:rsidR="00200B99" w:rsidRPr="00260B68" w:rsidRDefault="00200B99" w:rsidP="00260B68">
      <w:pPr>
        <w:ind w:left="426" w:hanging="426"/>
        <w:rPr>
          <w:sz w:val="22"/>
          <w:szCs w:val="22"/>
        </w:rPr>
      </w:pPr>
      <w:r w:rsidRPr="00260B68">
        <w:rPr>
          <w:sz w:val="22"/>
          <w:szCs w:val="22"/>
        </w:rPr>
        <w:t xml:space="preserve">d: </w:t>
      </w:r>
      <w:r w:rsidRPr="00260B68">
        <w:rPr>
          <w:sz w:val="22"/>
          <w:szCs w:val="22"/>
        </w:rPr>
        <w:tab/>
        <w:t>Inkluderer alle termer for blødning.</w:t>
      </w:r>
    </w:p>
    <w:p w14:paraId="49B0D96F" w14:textId="77777777" w:rsidR="00200B99" w:rsidRPr="00260B68" w:rsidRDefault="00200B99" w:rsidP="00260B68">
      <w:pPr>
        <w:ind w:left="426" w:hanging="426"/>
        <w:rPr>
          <w:sz w:val="22"/>
          <w:szCs w:val="22"/>
        </w:rPr>
      </w:pPr>
      <w:r w:rsidRPr="00260B68">
        <w:rPr>
          <w:sz w:val="22"/>
          <w:szCs w:val="22"/>
        </w:rPr>
        <w:tab/>
        <w:t>Termer for blødning, der forekom hos 5 eller flere patienter med DTC var: epistaxis, hæmoptyse, hæmaturi, konfusion, hæmatokesi, blødning fra tandkød, petekkier, lungeblødning, rektal blødning, blod i urinen, hæmatom og vaginalblødning.</w:t>
      </w:r>
    </w:p>
    <w:p w14:paraId="20926698" w14:textId="77777777" w:rsidR="00200B99" w:rsidRPr="00260B68" w:rsidRDefault="00200B99" w:rsidP="00260B68">
      <w:pPr>
        <w:ind w:left="426" w:hanging="426"/>
        <w:rPr>
          <w:sz w:val="22"/>
          <w:szCs w:val="22"/>
        </w:rPr>
      </w:pPr>
      <w:r w:rsidRPr="00260B68">
        <w:rPr>
          <w:sz w:val="22"/>
          <w:szCs w:val="22"/>
        </w:rPr>
        <w:tab/>
        <w:t>Termer for blødning, der forekom hos 5 eller flere patienter med HCC var: epistaxis, hæmaturi, blødning fra tandkød, hæmoptyse, blødende øsofagusvaricer, blødende hæmorroider, blødning i munden, rektal blødning og øvre mave-tarm-blødning.</w:t>
      </w:r>
    </w:p>
    <w:p w14:paraId="2B76A4F2" w14:textId="77777777" w:rsidR="00200B99" w:rsidRPr="00260B68" w:rsidRDefault="00200B99" w:rsidP="00260B68">
      <w:pPr>
        <w:ind w:left="426" w:hanging="426"/>
        <w:rPr>
          <w:sz w:val="22"/>
          <w:szCs w:val="22"/>
        </w:rPr>
      </w:pPr>
      <w:r w:rsidRPr="00260B68">
        <w:rPr>
          <w:sz w:val="22"/>
          <w:szCs w:val="22"/>
        </w:rPr>
        <w:tab/>
        <w:t>Termer for blødning, der forekom hos 5 eller flere patienter med EC var: vaginalblødning.</w:t>
      </w:r>
    </w:p>
    <w:p w14:paraId="01A29596" w14:textId="77777777" w:rsidR="00200B99" w:rsidRPr="00260B68" w:rsidRDefault="00200B99" w:rsidP="00260B68">
      <w:pPr>
        <w:ind w:left="426" w:hanging="426"/>
        <w:rPr>
          <w:sz w:val="22"/>
          <w:szCs w:val="22"/>
        </w:rPr>
      </w:pPr>
      <w:r w:rsidRPr="00260B68">
        <w:rPr>
          <w:sz w:val="22"/>
          <w:szCs w:val="22"/>
        </w:rPr>
        <w:t xml:space="preserve">e: </w:t>
      </w:r>
      <w:r w:rsidRPr="00260B68">
        <w:rPr>
          <w:sz w:val="22"/>
          <w:szCs w:val="22"/>
        </w:rPr>
        <w:tab/>
        <w:t>Hypertension omfatter: hypertension, hypertensiv krise, forhøjet diastolisk blodtryk, ortostatisk hypertension og forhøjet blodtryk.</w:t>
      </w:r>
    </w:p>
    <w:p w14:paraId="55513B69" w14:textId="77777777" w:rsidR="00200B99" w:rsidRPr="00260B68" w:rsidRDefault="00200B99" w:rsidP="00260B68">
      <w:pPr>
        <w:ind w:left="426" w:hanging="426"/>
        <w:rPr>
          <w:sz w:val="22"/>
          <w:szCs w:val="22"/>
        </w:rPr>
      </w:pPr>
      <w:r w:rsidRPr="00260B68">
        <w:rPr>
          <w:sz w:val="22"/>
          <w:szCs w:val="22"/>
        </w:rPr>
        <w:t xml:space="preserve">f: </w:t>
      </w:r>
      <w:r w:rsidRPr="00260B68">
        <w:rPr>
          <w:sz w:val="22"/>
          <w:szCs w:val="22"/>
        </w:rPr>
        <w:tab/>
        <w:t>Mave-tarm- og abdominalsmerter omfatter: abdominale gener, abdominalsmerter, smerter i nedre del af abdomen, smerter i øvre del af abdomen, ømhed i abdomen, epigastrisk besvær og mave-tarm-smerter.</w:t>
      </w:r>
    </w:p>
    <w:p w14:paraId="28611386" w14:textId="77777777" w:rsidR="00200B99" w:rsidRPr="00260B68" w:rsidRDefault="00200B99" w:rsidP="00260B68">
      <w:pPr>
        <w:ind w:left="426" w:hanging="426"/>
        <w:rPr>
          <w:sz w:val="22"/>
          <w:szCs w:val="22"/>
        </w:rPr>
      </w:pPr>
      <w:r w:rsidRPr="00260B68">
        <w:rPr>
          <w:sz w:val="22"/>
          <w:szCs w:val="22"/>
        </w:rPr>
        <w:t xml:space="preserve">g: </w:t>
      </w:r>
      <w:r w:rsidRPr="00260B68">
        <w:rPr>
          <w:sz w:val="22"/>
          <w:szCs w:val="22"/>
        </w:rPr>
        <w:tab/>
        <w:t>Oral inflammation omfatter: aftøs stomatitis, aftøst sår, erosion i tandkødet, sår i tandkødet, blærer i mundslimhinden, stomatitis, glossitis, mundulcus og mukosal inflammation.</w:t>
      </w:r>
    </w:p>
    <w:p w14:paraId="2F36BB98" w14:textId="77777777" w:rsidR="00200B99" w:rsidRPr="00260B68" w:rsidRDefault="00200B99" w:rsidP="00260B68">
      <w:pPr>
        <w:ind w:left="426" w:hanging="426"/>
        <w:rPr>
          <w:sz w:val="22"/>
          <w:szCs w:val="22"/>
        </w:rPr>
      </w:pPr>
      <w:r w:rsidRPr="00260B68">
        <w:rPr>
          <w:sz w:val="22"/>
          <w:szCs w:val="22"/>
        </w:rPr>
        <w:t xml:space="preserve">h: </w:t>
      </w:r>
      <w:r w:rsidRPr="00260B68">
        <w:rPr>
          <w:sz w:val="22"/>
          <w:szCs w:val="22"/>
        </w:rPr>
        <w:tab/>
        <w:t xml:space="preserve">Orale smerter omfatter: orale smerter, glossodyni, smerter i tandkødet, orofaryngeale gener, orofaryngeale smerter og gener i tungen. </w:t>
      </w:r>
    </w:p>
    <w:p w14:paraId="61C78DBC" w14:textId="77777777" w:rsidR="00200B99" w:rsidRPr="00260B68" w:rsidRDefault="00200B99" w:rsidP="00260B68">
      <w:pPr>
        <w:ind w:left="426" w:hanging="426"/>
        <w:rPr>
          <w:sz w:val="22"/>
          <w:szCs w:val="22"/>
        </w:rPr>
      </w:pPr>
      <w:r w:rsidRPr="00260B68">
        <w:rPr>
          <w:sz w:val="22"/>
          <w:szCs w:val="22"/>
        </w:rPr>
        <w:t xml:space="preserve">i: </w:t>
      </w:r>
      <w:r w:rsidRPr="00260B68">
        <w:rPr>
          <w:sz w:val="22"/>
          <w:szCs w:val="22"/>
        </w:rPr>
        <w:tab/>
        <w:t>Pankreatitis omfatter: pankreatitis og akut pankreatitis.</w:t>
      </w:r>
    </w:p>
    <w:p w14:paraId="3F954521" w14:textId="77777777" w:rsidR="00200B99" w:rsidRPr="00260B68" w:rsidRDefault="00200B99" w:rsidP="00260B68">
      <w:pPr>
        <w:ind w:left="426" w:hanging="426"/>
        <w:rPr>
          <w:sz w:val="22"/>
          <w:szCs w:val="22"/>
        </w:rPr>
      </w:pPr>
      <w:r w:rsidRPr="00260B68">
        <w:rPr>
          <w:sz w:val="22"/>
          <w:szCs w:val="22"/>
        </w:rPr>
        <w:t xml:space="preserve">j: </w:t>
      </w:r>
      <w:r w:rsidRPr="00260B68">
        <w:rPr>
          <w:sz w:val="22"/>
          <w:szCs w:val="22"/>
        </w:rPr>
        <w:tab/>
        <w:t>Forhøjet niveau af bilirubin i blodet omfatter: hyperbilirubinæmi, forhøjet bilirubin i blodet, gulsot og forhøjet konjugeret bilirubin. Hypoalbuminæmi omfatter hypoalbuminæmi og et nedsat niveau af albumin i blodet.</w:t>
      </w:r>
    </w:p>
    <w:p w14:paraId="5C89E90A" w14:textId="77777777" w:rsidR="00200B99" w:rsidRPr="00260B68" w:rsidRDefault="00200B99" w:rsidP="00260B68">
      <w:pPr>
        <w:ind w:left="426" w:hanging="426"/>
        <w:rPr>
          <w:sz w:val="22"/>
          <w:szCs w:val="22"/>
        </w:rPr>
      </w:pPr>
      <w:r w:rsidRPr="00260B68">
        <w:rPr>
          <w:sz w:val="22"/>
          <w:szCs w:val="22"/>
        </w:rPr>
        <w:t xml:space="preserve">k: </w:t>
      </w:r>
      <w:r w:rsidRPr="00260B68">
        <w:rPr>
          <w:sz w:val="22"/>
          <w:szCs w:val="22"/>
        </w:rPr>
        <w:tab/>
        <w:t>Leversvigt omfatter: leversvigt, akut leversvigt og kronisk leversvigt.</w:t>
      </w:r>
    </w:p>
    <w:p w14:paraId="31BE0D9C" w14:textId="77777777" w:rsidR="00200B99" w:rsidRPr="00260B68" w:rsidRDefault="00200B99" w:rsidP="00260B68">
      <w:pPr>
        <w:ind w:left="426" w:hanging="426"/>
        <w:rPr>
          <w:sz w:val="22"/>
          <w:szCs w:val="22"/>
        </w:rPr>
      </w:pPr>
      <w:r w:rsidRPr="00260B68">
        <w:rPr>
          <w:sz w:val="22"/>
          <w:szCs w:val="22"/>
        </w:rPr>
        <w:t xml:space="preserve">l: </w:t>
      </w:r>
      <w:r w:rsidRPr="00260B68">
        <w:rPr>
          <w:sz w:val="22"/>
          <w:szCs w:val="22"/>
        </w:rPr>
        <w:tab/>
        <w:t>Hepatisk encefalopati omfatter: hepatisk encefalopati, leverkoma, metabolisk encefalopati og encefalopati.</w:t>
      </w:r>
    </w:p>
    <w:p w14:paraId="631CDF81" w14:textId="6507C1EC" w:rsidR="00200B99" w:rsidRPr="00260B68" w:rsidRDefault="00200B99" w:rsidP="00260B68">
      <w:pPr>
        <w:ind w:left="426" w:hanging="426"/>
        <w:rPr>
          <w:sz w:val="22"/>
          <w:szCs w:val="22"/>
        </w:rPr>
      </w:pPr>
      <w:r w:rsidRPr="00260B68">
        <w:rPr>
          <w:sz w:val="22"/>
          <w:szCs w:val="22"/>
        </w:rPr>
        <w:t xml:space="preserve">m: </w:t>
      </w:r>
      <w:r w:rsidRPr="00260B68">
        <w:rPr>
          <w:sz w:val="22"/>
          <w:szCs w:val="22"/>
        </w:rPr>
        <w:tab/>
        <w:t xml:space="preserve">Hepatocellulær skade og hepatitis omfatter: lægemiddelinduceret leverskade, leversteatose og kolestatisk leverskade.  n: Tilfælde af nyresvigt omfatter: akut prærenalt svigt, nyresvigt, akut nyresvigt, akut nyreskade og renal tubulær </w:t>
      </w:r>
      <w:r w:rsidR="00260B68" w:rsidRPr="00260B68">
        <w:rPr>
          <w:sz w:val="22"/>
          <w:szCs w:val="22"/>
        </w:rPr>
        <w:t>nekrose.</w:t>
      </w:r>
    </w:p>
    <w:p w14:paraId="65B73CCA" w14:textId="77777777" w:rsidR="00200B99" w:rsidRPr="00260B68" w:rsidRDefault="00200B99" w:rsidP="00260B68">
      <w:pPr>
        <w:ind w:left="426" w:hanging="426"/>
        <w:rPr>
          <w:sz w:val="22"/>
          <w:szCs w:val="22"/>
        </w:rPr>
      </w:pPr>
      <w:r w:rsidRPr="00260B68">
        <w:rPr>
          <w:sz w:val="22"/>
          <w:szCs w:val="22"/>
        </w:rPr>
        <w:t xml:space="preserve">o: </w:t>
      </w:r>
      <w:r w:rsidRPr="00260B68">
        <w:rPr>
          <w:sz w:val="22"/>
          <w:szCs w:val="22"/>
        </w:rPr>
        <w:tab/>
        <w:t>Fistel uden for mave-tarm-kanalen omfatter tilfælde af fistler uden for maven og tarmen, såsom trakeal, trakeoøsofageal, øsofageal fistel samt fistel i de kvindelige kønsorganer og kutan fistel.</w:t>
      </w:r>
    </w:p>
    <w:p w14:paraId="41A404EC" w14:textId="77777777" w:rsidR="00200B99" w:rsidRPr="000C059E" w:rsidRDefault="00200B99" w:rsidP="00200B99">
      <w:pPr>
        <w:pStyle w:val="Brdtekst"/>
        <w:rPr>
          <w:sz w:val="24"/>
          <w:szCs w:val="24"/>
          <w:lang w:val="da-DK"/>
        </w:rPr>
      </w:pPr>
    </w:p>
    <w:p w14:paraId="4C5DAF05" w14:textId="77777777" w:rsidR="00200B99" w:rsidRPr="00260B68" w:rsidRDefault="00200B99" w:rsidP="00773EAE">
      <w:pPr>
        <w:ind w:left="851"/>
        <w:rPr>
          <w:sz w:val="24"/>
          <w:szCs w:val="24"/>
          <w:u w:val="single"/>
        </w:rPr>
      </w:pPr>
      <w:r w:rsidRPr="00260B68">
        <w:rPr>
          <w:sz w:val="24"/>
          <w:szCs w:val="24"/>
          <w:u w:val="single"/>
        </w:rPr>
        <w:t>Beskrivelse af udvalgte bivirkninger</w:t>
      </w:r>
    </w:p>
    <w:p w14:paraId="41103220" w14:textId="77777777" w:rsidR="00200B99" w:rsidRPr="000C059E" w:rsidRDefault="00200B99" w:rsidP="00773EAE">
      <w:pPr>
        <w:ind w:left="851"/>
        <w:rPr>
          <w:sz w:val="24"/>
          <w:szCs w:val="24"/>
        </w:rPr>
      </w:pPr>
    </w:p>
    <w:p w14:paraId="255FD144" w14:textId="77777777" w:rsidR="00200B99" w:rsidRPr="00260B68" w:rsidRDefault="00200B99" w:rsidP="00773EAE">
      <w:pPr>
        <w:ind w:left="851"/>
        <w:rPr>
          <w:i/>
          <w:sz w:val="24"/>
          <w:szCs w:val="24"/>
          <w:u w:val="single"/>
        </w:rPr>
      </w:pPr>
      <w:r w:rsidRPr="00260B68">
        <w:rPr>
          <w:i/>
          <w:sz w:val="24"/>
          <w:szCs w:val="24"/>
          <w:u w:val="single"/>
        </w:rPr>
        <w:t>Hypertension (se pkt. 4.4)</w:t>
      </w:r>
    </w:p>
    <w:p w14:paraId="67EBD6CC" w14:textId="77777777" w:rsidR="00200B99" w:rsidRPr="000C059E" w:rsidRDefault="00200B99" w:rsidP="00773EAE">
      <w:pPr>
        <w:ind w:left="851"/>
        <w:rPr>
          <w:i/>
          <w:sz w:val="24"/>
          <w:szCs w:val="24"/>
        </w:rPr>
      </w:pPr>
    </w:p>
    <w:p w14:paraId="5D9C39AF" w14:textId="77777777" w:rsidR="00200B99" w:rsidRPr="00260B68" w:rsidRDefault="00200B99" w:rsidP="00773EAE">
      <w:pPr>
        <w:ind w:left="851"/>
        <w:rPr>
          <w:i/>
          <w:sz w:val="24"/>
          <w:szCs w:val="24"/>
        </w:rPr>
      </w:pPr>
      <w:r w:rsidRPr="00260B68">
        <w:rPr>
          <w:i/>
          <w:sz w:val="24"/>
          <w:szCs w:val="24"/>
        </w:rPr>
        <w:t>DTC</w:t>
      </w:r>
    </w:p>
    <w:p w14:paraId="4D5DC5CA" w14:textId="77777777" w:rsidR="00200B99" w:rsidRPr="000C059E" w:rsidRDefault="00200B99" w:rsidP="00773EAE">
      <w:pPr>
        <w:ind w:left="851"/>
        <w:rPr>
          <w:i/>
          <w:sz w:val="24"/>
          <w:szCs w:val="24"/>
        </w:rPr>
      </w:pPr>
    </w:p>
    <w:p w14:paraId="2179C0B5" w14:textId="140624C7" w:rsidR="00200B99" w:rsidRPr="000C059E" w:rsidRDefault="00200B99" w:rsidP="00773EAE">
      <w:pPr>
        <w:ind w:left="851"/>
        <w:rPr>
          <w:sz w:val="24"/>
          <w:szCs w:val="24"/>
        </w:rPr>
      </w:pPr>
      <w:r w:rsidRPr="000C059E">
        <w:rPr>
          <w:sz w:val="24"/>
          <w:szCs w:val="24"/>
        </w:rPr>
        <w:t xml:space="preserve">I </w:t>
      </w:r>
      <w:proofErr w:type="gramStart"/>
      <w:r w:rsidRPr="000C059E">
        <w:rPr>
          <w:sz w:val="24"/>
          <w:szCs w:val="24"/>
        </w:rPr>
        <w:t>det pivotale</w:t>
      </w:r>
      <w:proofErr w:type="gramEnd"/>
      <w:r w:rsidRPr="000C059E">
        <w:rPr>
          <w:sz w:val="24"/>
          <w:szCs w:val="24"/>
        </w:rPr>
        <w:t xml:space="preserve"> fase III SELECT-studie (se pkt. 5.1) blev hypertension (herunder hypertension, hypertensiv krise, forhøjet diastolisk blodtryk og forhøjet blodtryk) rapporteret hos 72,8 % af de lenvatinib-behandlede patienter og hos 16,0 % af patienterne i gruppen, der fik placebo. Mediantiden til start hos lenvatinib-behandlede patienter var 16</w:t>
      </w:r>
      <w:r w:rsidR="00C44B05">
        <w:rPr>
          <w:sz w:val="24"/>
          <w:szCs w:val="24"/>
        </w:rPr>
        <w:t> </w:t>
      </w:r>
      <w:r w:rsidRPr="000C059E">
        <w:rPr>
          <w:sz w:val="24"/>
          <w:szCs w:val="24"/>
        </w:rPr>
        <w:t>dage. Reaktioner af grad 3 eller derover (herunder 1 reaktion af grad 4) forekom hos 44,4</w:t>
      </w:r>
      <w:r w:rsidR="00C44B05">
        <w:rPr>
          <w:sz w:val="24"/>
          <w:szCs w:val="24"/>
        </w:rPr>
        <w:t> </w:t>
      </w:r>
      <w:r w:rsidRPr="000C059E">
        <w:rPr>
          <w:sz w:val="24"/>
          <w:szCs w:val="24"/>
        </w:rPr>
        <w:t>% af de lenvatinib-behandlede patienter sammenlignet med 3,8 % af de placebobehandlede patienter. De fleste tilfælde blev bedre eller gik væk efter dosisafbrydelse eller -reduktion, hvilket forekom hos hhv. 13,0 % og 13,4 % af patienterne. Hos 1,1 % af patienterne førte hypertension til permanent behandlingsseponering.</w:t>
      </w:r>
    </w:p>
    <w:p w14:paraId="56E2AFED" w14:textId="77777777" w:rsidR="00200B99" w:rsidRPr="000C059E" w:rsidRDefault="00200B99" w:rsidP="00773EAE">
      <w:pPr>
        <w:ind w:left="851"/>
        <w:rPr>
          <w:sz w:val="24"/>
          <w:szCs w:val="24"/>
        </w:rPr>
      </w:pPr>
    </w:p>
    <w:p w14:paraId="5183FE93" w14:textId="77777777" w:rsidR="00200B99" w:rsidRPr="00260B68" w:rsidRDefault="00200B99" w:rsidP="00773EAE">
      <w:pPr>
        <w:ind w:left="851"/>
        <w:rPr>
          <w:i/>
          <w:sz w:val="24"/>
          <w:szCs w:val="24"/>
        </w:rPr>
      </w:pPr>
      <w:r w:rsidRPr="00260B68">
        <w:rPr>
          <w:i/>
          <w:sz w:val="24"/>
          <w:szCs w:val="24"/>
        </w:rPr>
        <w:t>HCC</w:t>
      </w:r>
    </w:p>
    <w:p w14:paraId="4FCA2152" w14:textId="77777777" w:rsidR="00200B99" w:rsidRPr="000C059E" w:rsidRDefault="00200B99" w:rsidP="00773EAE">
      <w:pPr>
        <w:ind w:left="851"/>
        <w:rPr>
          <w:i/>
          <w:sz w:val="24"/>
          <w:szCs w:val="24"/>
        </w:rPr>
      </w:pPr>
    </w:p>
    <w:p w14:paraId="186D316A" w14:textId="4ABD902D" w:rsidR="00200B99" w:rsidRPr="000C059E" w:rsidRDefault="00200B99" w:rsidP="00773EAE">
      <w:pPr>
        <w:ind w:left="851"/>
        <w:rPr>
          <w:sz w:val="24"/>
          <w:szCs w:val="24"/>
        </w:rPr>
      </w:pPr>
      <w:r w:rsidRPr="000C059E">
        <w:rPr>
          <w:sz w:val="24"/>
          <w:szCs w:val="24"/>
        </w:rPr>
        <w:t>I fase III-REFLECT-studiet (se pkt. 5.1) blev hypertension (inklusive hypertension, øget blodtryk, øget diastolisk blodtryk og ortostatisk hypertension) rapporteret hos 44,5 % af lenvatinib-behandlede patienter, og grad 3-hypertension forekom hos 23,5 %. Mediantiden til indtræden var 26 dage. Flertallet af tilfældene kom sig efter afbrydelse eller reduktion af dosis, som forekom hos hhv. 3,6 % og 3,4 % af patienterne. Én patient (0,2 %) seponerede lenvatinib på grund af</w:t>
      </w:r>
      <w:r w:rsidRPr="000C059E">
        <w:rPr>
          <w:spacing w:val="-27"/>
          <w:sz w:val="24"/>
          <w:szCs w:val="24"/>
        </w:rPr>
        <w:t xml:space="preserve"> </w:t>
      </w:r>
      <w:r w:rsidRPr="000C059E">
        <w:rPr>
          <w:sz w:val="24"/>
          <w:szCs w:val="24"/>
        </w:rPr>
        <w:t>hypertension.</w:t>
      </w:r>
    </w:p>
    <w:p w14:paraId="300D7531" w14:textId="77777777" w:rsidR="00200B99" w:rsidRPr="000C059E" w:rsidRDefault="00200B99" w:rsidP="00773EAE">
      <w:pPr>
        <w:ind w:left="851"/>
        <w:rPr>
          <w:sz w:val="24"/>
          <w:szCs w:val="24"/>
        </w:rPr>
      </w:pPr>
    </w:p>
    <w:p w14:paraId="0F55AFCC" w14:textId="77777777" w:rsidR="00200B99" w:rsidRPr="00260B68" w:rsidRDefault="00200B99" w:rsidP="00773EAE">
      <w:pPr>
        <w:ind w:left="851"/>
        <w:rPr>
          <w:i/>
          <w:sz w:val="24"/>
          <w:szCs w:val="24"/>
        </w:rPr>
      </w:pPr>
      <w:r w:rsidRPr="00260B68">
        <w:rPr>
          <w:i/>
          <w:sz w:val="24"/>
          <w:szCs w:val="24"/>
        </w:rPr>
        <w:t>EC</w:t>
      </w:r>
    </w:p>
    <w:p w14:paraId="6545D42A" w14:textId="77777777" w:rsidR="00200B99" w:rsidRPr="000C059E" w:rsidRDefault="00200B99" w:rsidP="00773EAE">
      <w:pPr>
        <w:ind w:left="851"/>
        <w:rPr>
          <w:i/>
          <w:sz w:val="24"/>
          <w:szCs w:val="24"/>
        </w:rPr>
      </w:pPr>
    </w:p>
    <w:p w14:paraId="42E92BCB" w14:textId="6550FCCA" w:rsidR="00200B99" w:rsidRPr="000C059E" w:rsidRDefault="00200B99" w:rsidP="00773EAE">
      <w:pPr>
        <w:ind w:left="851"/>
        <w:rPr>
          <w:sz w:val="24"/>
          <w:szCs w:val="24"/>
        </w:rPr>
      </w:pPr>
      <w:r w:rsidRPr="000C059E">
        <w:rPr>
          <w:sz w:val="24"/>
          <w:szCs w:val="24"/>
        </w:rPr>
        <w:t>I fase III-studiet 309 (se pkt. 5.1) blev hypertension rapporteret hos 65 % af patienterne i lenvatinib plus pembrolizumab-gruppen. Reaktioner af grad 3 eller derover forekom hos 38,4 % af patienterne i lenvatinib plus pembrolizumab-gruppen. Mediantiden til indtræden i lenvatinib plus pembrolizumab-gruppen var 15 dage. Dosisafbrydelse, dosisreduktion og seponering af lenvatinib forekom hos hhv. 11,6 %, 17,7 % og 2,0 % af patienterne.</w:t>
      </w:r>
    </w:p>
    <w:p w14:paraId="0641F11A" w14:textId="77777777" w:rsidR="00200B99" w:rsidRPr="000C059E" w:rsidRDefault="00200B99" w:rsidP="00773EAE">
      <w:pPr>
        <w:ind w:left="851"/>
        <w:rPr>
          <w:sz w:val="24"/>
          <w:szCs w:val="24"/>
        </w:rPr>
      </w:pPr>
    </w:p>
    <w:p w14:paraId="2ACB2A91" w14:textId="77777777" w:rsidR="00200B99" w:rsidRPr="00260B68" w:rsidRDefault="00200B99" w:rsidP="00773EAE">
      <w:pPr>
        <w:ind w:left="851"/>
        <w:rPr>
          <w:i/>
          <w:sz w:val="24"/>
          <w:szCs w:val="24"/>
          <w:u w:val="single"/>
        </w:rPr>
      </w:pPr>
      <w:r w:rsidRPr="00260B68">
        <w:rPr>
          <w:i/>
          <w:sz w:val="24"/>
          <w:szCs w:val="24"/>
          <w:u w:val="single"/>
        </w:rPr>
        <w:t>Proteinuri (se pkt. 4.4)</w:t>
      </w:r>
    </w:p>
    <w:p w14:paraId="4F2CD863" w14:textId="77777777" w:rsidR="00200B99" w:rsidRPr="000C059E" w:rsidRDefault="00200B99" w:rsidP="00773EAE">
      <w:pPr>
        <w:ind w:left="851"/>
        <w:rPr>
          <w:i/>
          <w:sz w:val="24"/>
          <w:szCs w:val="24"/>
        </w:rPr>
      </w:pPr>
    </w:p>
    <w:p w14:paraId="06763465" w14:textId="77777777" w:rsidR="00200B99" w:rsidRPr="00260B68" w:rsidRDefault="00200B99" w:rsidP="00773EAE">
      <w:pPr>
        <w:ind w:left="851"/>
        <w:rPr>
          <w:i/>
          <w:sz w:val="24"/>
          <w:szCs w:val="24"/>
        </w:rPr>
      </w:pPr>
      <w:r w:rsidRPr="00260B68">
        <w:rPr>
          <w:i/>
          <w:sz w:val="24"/>
          <w:szCs w:val="24"/>
        </w:rPr>
        <w:t>DTC</w:t>
      </w:r>
    </w:p>
    <w:p w14:paraId="7FC4C5C7" w14:textId="77777777" w:rsidR="00200B99" w:rsidRPr="000C059E" w:rsidRDefault="00200B99" w:rsidP="00773EAE">
      <w:pPr>
        <w:ind w:left="851"/>
        <w:rPr>
          <w:i/>
          <w:sz w:val="24"/>
          <w:szCs w:val="24"/>
        </w:rPr>
      </w:pPr>
    </w:p>
    <w:p w14:paraId="3AE46140" w14:textId="77777777" w:rsidR="00200B99" w:rsidRPr="000C059E" w:rsidRDefault="00200B99" w:rsidP="00773EAE">
      <w:pPr>
        <w:ind w:left="851"/>
        <w:rPr>
          <w:sz w:val="24"/>
          <w:szCs w:val="24"/>
        </w:rPr>
      </w:pPr>
      <w:r w:rsidRPr="000C059E">
        <w:rPr>
          <w:sz w:val="24"/>
          <w:szCs w:val="24"/>
        </w:rPr>
        <w:t xml:space="preserve">I </w:t>
      </w:r>
      <w:proofErr w:type="gramStart"/>
      <w:r w:rsidRPr="000C059E">
        <w:rPr>
          <w:sz w:val="24"/>
          <w:szCs w:val="24"/>
        </w:rPr>
        <w:t>det pivotale</w:t>
      </w:r>
      <w:proofErr w:type="gramEnd"/>
      <w:r w:rsidRPr="000C059E">
        <w:rPr>
          <w:sz w:val="24"/>
          <w:szCs w:val="24"/>
        </w:rPr>
        <w:t xml:space="preserve"> fase III SELECT-studie (se pkt. 5.1) blev proteinuri rapporteret hos 33,7 % af de lenvatinib-behandlede patienter og hos 3,1% af patienterne i gruppen, der fik placebo. Mediantiden til start var 6,7 uger. Grad 3-reaktioner forekom hos 10,7 % af de lenvatinib-behandlede patienter, og ikke hos nogen af de placebobehandlede patienter. De fleste tilfælde havde et udfald med bedring, eller reaktionen gik væk efter dosisafbrydelse eller -reduktion, hvilket forekom hos hhv. 16,9 % og 10,7 % af patienterne. Proteinuri førte til permanent behandlingsseponering hos 0,8 % af patienterne.</w:t>
      </w:r>
    </w:p>
    <w:p w14:paraId="667394C3" w14:textId="77777777" w:rsidR="00200B99" w:rsidRPr="000C059E" w:rsidRDefault="00200B99" w:rsidP="00773EAE">
      <w:pPr>
        <w:ind w:left="851"/>
        <w:rPr>
          <w:sz w:val="24"/>
          <w:szCs w:val="24"/>
        </w:rPr>
      </w:pPr>
    </w:p>
    <w:p w14:paraId="7B1EE5BC" w14:textId="77777777" w:rsidR="00200B99" w:rsidRPr="00260B68" w:rsidRDefault="00200B99" w:rsidP="00773EAE">
      <w:pPr>
        <w:ind w:left="851"/>
        <w:rPr>
          <w:i/>
          <w:sz w:val="24"/>
          <w:szCs w:val="24"/>
        </w:rPr>
      </w:pPr>
      <w:r w:rsidRPr="00260B68">
        <w:rPr>
          <w:i/>
          <w:sz w:val="24"/>
          <w:szCs w:val="24"/>
        </w:rPr>
        <w:t>HCC</w:t>
      </w:r>
    </w:p>
    <w:p w14:paraId="6B6068E3" w14:textId="77777777" w:rsidR="00200B99" w:rsidRPr="000C059E" w:rsidRDefault="00200B99" w:rsidP="00773EAE">
      <w:pPr>
        <w:ind w:left="851"/>
        <w:rPr>
          <w:i/>
          <w:sz w:val="24"/>
          <w:szCs w:val="24"/>
        </w:rPr>
      </w:pPr>
    </w:p>
    <w:p w14:paraId="6CA4B596" w14:textId="6EFEC78B" w:rsidR="00200B99" w:rsidRPr="000C059E" w:rsidRDefault="00200B99" w:rsidP="00773EAE">
      <w:pPr>
        <w:ind w:left="851"/>
        <w:rPr>
          <w:sz w:val="24"/>
          <w:szCs w:val="24"/>
        </w:rPr>
      </w:pPr>
      <w:r w:rsidRPr="000C059E">
        <w:rPr>
          <w:sz w:val="24"/>
          <w:szCs w:val="24"/>
        </w:rPr>
        <w:t xml:space="preserve">I fase III-REFLECT-studiet (se pkt. 5.1) blev proteinuri rapporteret hos 26,3 % af lenvatinib-behandlede patienter, og grad 3-reaktioner forekom hos 5,9 %. Mediantiden til indtræden var 6,1 uger. Flertallet af tilfældene kom sig efter afbrydelse eller reduktion af dosis, som forekom hos hhv. 6,9 % og 2,5 % af patienterne. Proteinuri medførte permanent afbrydelse af behandlingen hos 0,6% af patienterne. </w:t>
      </w:r>
    </w:p>
    <w:p w14:paraId="05D735B4" w14:textId="77777777" w:rsidR="00200B99" w:rsidRPr="000C059E" w:rsidRDefault="00200B99" w:rsidP="00773EAE">
      <w:pPr>
        <w:ind w:left="851"/>
        <w:rPr>
          <w:sz w:val="24"/>
          <w:szCs w:val="24"/>
        </w:rPr>
      </w:pPr>
    </w:p>
    <w:p w14:paraId="2C33F7C2" w14:textId="77777777" w:rsidR="00200B99" w:rsidRPr="00260B68" w:rsidRDefault="00200B99" w:rsidP="00773EAE">
      <w:pPr>
        <w:ind w:left="851"/>
        <w:rPr>
          <w:i/>
          <w:sz w:val="24"/>
          <w:szCs w:val="24"/>
        </w:rPr>
      </w:pPr>
      <w:r w:rsidRPr="00260B68">
        <w:rPr>
          <w:i/>
          <w:sz w:val="24"/>
          <w:szCs w:val="24"/>
        </w:rPr>
        <w:t>EC</w:t>
      </w:r>
    </w:p>
    <w:p w14:paraId="60B49E3F" w14:textId="77777777" w:rsidR="00200B99" w:rsidRPr="000C059E" w:rsidRDefault="00200B99" w:rsidP="00773EAE">
      <w:pPr>
        <w:ind w:left="851"/>
        <w:rPr>
          <w:i/>
          <w:sz w:val="24"/>
          <w:szCs w:val="24"/>
        </w:rPr>
      </w:pPr>
    </w:p>
    <w:p w14:paraId="0C27CFC0" w14:textId="77777777" w:rsidR="00200B99" w:rsidRPr="000C059E" w:rsidRDefault="00200B99" w:rsidP="00773EAE">
      <w:pPr>
        <w:ind w:left="851"/>
        <w:rPr>
          <w:sz w:val="24"/>
          <w:szCs w:val="24"/>
        </w:rPr>
      </w:pPr>
      <w:r w:rsidRPr="000C059E">
        <w:rPr>
          <w:sz w:val="24"/>
          <w:szCs w:val="24"/>
        </w:rPr>
        <w:t>I fase III-studiet 309 (se pkt. 5.1) blev proteinuri rapporteret hos 29,6 % af de lenvatinib plus pembrolizumab-behandlede patienter, og reaktioner af grad ≥ 3 forekom hos 5,4 % af patienterne. Mediantiden til indtræden var 34,5 dage. Dosisafbrydelse, dosisreduktion og seponering af lenvatinib forekom hos hhv. 6,2 %, 7,9 % og 1,2 % af patienterne.</w:t>
      </w:r>
    </w:p>
    <w:p w14:paraId="6E59ABB3" w14:textId="3F3A0A7E" w:rsidR="00C44B05" w:rsidRDefault="00C44B05">
      <w:pPr>
        <w:rPr>
          <w:sz w:val="24"/>
          <w:szCs w:val="24"/>
        </w:rPr>
      </w:pPr>
      <w:r>
        <w:rPr>
          <w:sz w:val="24"/>
          <w:szCs w:val="24"/>
        </w:rPr>
        <w:br w:type="page"/>
      </w:r>
    </w:p>
    <w:p w14:paraId="30B16C4D" w14:textId="77777777" w:rsidR="00200B99" w:rsidRPr="000C059E" w:rsidRDefault="00200B99" w:rsidP="00773EAE">
      <w:pPr>
        <w:ind w:left="851"/>
        <w:rPr>
          <w:sz w:val="24"/>
          <w:szCs w:val="24"/>
        </w:rPr>
      </w:pPr>
    </w:p>
    <w:p w14:paraId="011CDFA7" w14:textId="77777777" w:rsidR="00200B99" w:rsidRPr="00260B68" w:rsidRDefault="00200B99" w:rsidP="00773EAE">
      <w:pPr>
        <w:ind w:left="851"/>
        <w:rPr>
          <w:i/>
          <w:sz w:val="24"/>
          <w:szCs w:val="24"/>
          <w:u w:val="single"/>
        </w:rPr>
      </w:pPr>
      <w:r w:rsidRPr="00260B68">
        <w:rPr>
          <w:i/>
          <w:sz w:val="24"/>
          <w:szCs w:val="24"/>
          <w:u w:val="single"/>
        </w:rPr>
        <w:t>Nyresvigt og nedsat nyrefunktion (se pkt. 4.4)</w:t>
      </w:r>
    </w:p>
    <w:p w14:paraId="4BBCB341" w14:textId="77777777" w:rsidR="00200B99" w:rsidRPr="000C059E" w:rsidRDefault="00200B99" w:rsidP="00773EAE">
      <w:pPr>
        <w:ind w:left="851"/>
        <w:rPr>
          <w:i/>
          <w:sz w:val="24"/>
          <w:szCs w:val="24"/>
        </w:rPr>
      </w:pPr>
    </w:p>
    <w:p w14:paraId="21359730" w14:textId="77777777" w:rsidR="00200B99" w:rsidRPr="00260B68" w:rsidRDefault="00200B99" w:rsidP="00773EAE">
      <w:pPr>
        <w:ind w:left="851"/>
        <w:rPr>
          <w:i/>
          <w:sz w:val="24"/>
          <w:szCs w:val="24"/>
        </w:rPr>
      </w:pPr>
      <w:r w:rsidRPr="00260B68">
        <w:rPr>
          <w:i/>
          <w:sz w:val="24"/>
          <w:szCs w:val="24"/>
        </w:rPr>
        <w:t>DTC</w:t>
      </w:r>
    </w:p>
    <w:p w14:paraId="1FF5D1D3" w14:textId="77777777" w:rsidR="00200B99" w:rsidRPr="000C059E" w:rsidRDefault="00200B99" w:rsidP="00773EAE">
      <w:pPr>
        <w:ind w:left="851"/>
        <w:rPr>
          <w:i/>
          <w:sz w:val="24"/>
          <w:szCs w:val="24"/>
        </w:rPr>
      </w:pPr>
    </w:p>
    <w:p w14:paraId="347F46C6" w14:textId="5A4008B6" w:rsidR="00200B99" w:rsidRPr="000C059E" w:rsidRDefault="00200B99" w:rsidP="00773EAE">
      <w:pPr>
        <w:ind w:left="851"/>
        <w:rPr>
          <w:sz w:val="24"/>
          <w:szCs w:val="24"/>
        </w:rPr>
      </w:pPr>
      <w:r w:rsidRPr="000C059E">
        <w:rPr>
          <w:sz w:val="24"/>
          <w:szCs w:val="24"/>
        </w:rPr>
        <w:t xml:space="preserve">I </w:t>
      </w:r>
      <w:proofErr w:type="gramStart"/>
      <w:r w:rsidRPr="000C059E">
        <w:rPr>
          <w:sz w:val="24"/>
          <w:szCs w:val="24"/>
        </w:rPr>
        <w:t>det pivotale</w:t>
      </w:r>
      <w:proofErr w:type="gramEnd"/>
      <w:r w:rsidRPr="000C059E">
        <w:rPr>
          <w:sz w:val="24"/>
          <w:szCs w:val="24"/>
        </w:rPr>
        <w:t xml:space="preserve"> fase III SELECT-studie (se pkt. 5.1) udviklede 5,0 % af patienterne nyresvigt, og 1,9 % udviklede nedsat nyrefunktion (3,1 % af patienterne havde en grad ≥</w:t>
      </w:r>
      <w:r w:rsidR="00C44B05">
        <w:rPr>
          <w:sz w:val="24"/>
          <w:szCs w:val="24"/>
        </w:rPr>
        <w:t> </w:t>
      </w:r>
      <w:r w:rsidRPr="000C059E">
        <w:rPr>
          <w:sz w:val="24"/>
          <w:szCs w:val="24"/>
        </w:rPr>
        <w:t>3-hændelse med nyresvigt eller nedsat nyrefunktion). I placebogruppen udviklede 0,8 % af patienterne nyresvigt eller nedsat nyrefunktion (0,8 % var grad ≥ 3).</w:t>
      </w:r>
    </w:p>
    <w:p w14:paraId="11CAD979" w14:textId="77777777" w:rsidR="00200B99" w:rsidRPr="000C059E" w:rsidRDefault="00200B99" w:rsidP="00773EAE">
      <w:pPr>
        <w:ind w:left="851"/>
        <w:rPr>
          <w:sz w:val="24"/>
          <w:szCs w:val="24"/>
        </w:rPr>
      </w:pPr>
    </w:p>
    <w:p w14:paraId="2E05ABA2" w14:textId="77777777" w:rsidR="00200B99" w:rsidRPr="00260B68" w:rsidRDefault="00200B99" w:rsidP="00773EAE">
      <w:pPr>
        <w:ind w:left="851"/>
        <w:rPr>
          <w:i/>
          <w:sz w:val="24"/>
          <w:szCs w:val="24"/>
        </w:rPr>
      </w:pPr>
      <w:r w:rsidRPr="00260B68">
        <w:rPr>
          <w:i/>
          <w:sz w:val="24"/>
          <w:szCs w:val="24"/>
        </w:rPr>
        <w:t>HCC</w:t>
      </w:r>
    </w:p>
    <w:p w14:paraId="2A9633EE" w14:textId="77777777" w:rsidR="00200B99" w:rsidRPr="000C059E" w:rsidRDefault="00200B99" w:rsidP="00773EAE">
      <w:pPr>
        <w:ind w:left="851"/>
        <w:rPr>
          <w:i/>
          <w:sz w:val="24"/>
          <w:szCs w:val="24"/>
        </w:rPr>
      </w:pPr>
    </w:p>
    <w:p w14:paraId="5F52EF46" w14:textId="77777777" w:rsidR="00200B99" w:rsidRPr="000C059E" w:rsidRDefault="00200B99" w:rsidP="00773EAE">
      <w:pPr>
        <w:ind w:left="851"/>
        <w:rPr>
          <w:sz w:val="24"/>
          <w:szCs w:val="24"/>
        </w:rPr>
      </w:pPr>
      <w:r w:rsidRPr="000C059E">
        <w:rPr>
          <w:sz w:val="24"/>
          <w:szCs w:val="24"/>
        </w:rPr>
        <w:t>I fase III-REFLECT-studiet (se pkt. 5.1) udviklede 7,1 % af lenvatinib-patienter et nyresvigt/en hændelse med svækkelse. Grad 3 eller værre reaktioner forekom hos 1,9 % af patienterne behandlet med lenvatinib.</w:t>
      </w:r>
    </w:p>
    <w:p w14:paraId="0BB24B04" w14:textId="77777777" w:rsidR="00200B99" w:rsidRPr="000C059E" w:rsidRDefault="00200B99" w:rsidP="00773EAE">
      <w:pPr>
        <w:ind w:left="851"/>
        <w:rPr>
          <w:sz w:val="24"/>
          <w:szCs w:val="24"/>
        </w:rPr>
      </w:pPr>
    </w:p>
    <w:p w14:paraId="51F49239" w14:textId="77777777" w:rsidR="00200B99" w:rsidRPr="00260B68" w:rsidRDefault="00200B99" w:rsidP="00773EAE">
      <w:pPr>
        <w:ind w:left="851"/>
        <w:rPr>
          <w:i/>
          <w:sz w:val="24"/>
          <w:szCs w:val="24"/>
        </w:rPr>
      </w:pPr>
      <w:r w:rsidRPr="00260B68">
        <w:rPr>
          <w:i/>
          <w:sz w:val="24"/>
          <w:szCs w:val="24"/>
        </w:rPr>
        <w:t>EC</w:t>
      </w:r>
    </w:p>
    <w:p w14:paraId="2E9A7045" w14:textId="77777777" w:rsidR="00200B99" w:rsidRPr="000C059E" w:rsidRDefault="00200B99" w:rsidP="00773EAE">
      <w:pPr>
        <w:ind w:left="851"/>
        <w:rPr>
          <w:i/>
          <w:sz w:val="24"/>
          <w:szCs w:val="24"/>
        </w:rPr>
      </w:pPr>
    </w:p>
    <w:p w14:paraId="75D1DF8E" w14:textId="03A8DADB" w:rsidR="00200B99" w:rsidRPr="000C059E" w:rsidRDefault="00200B99" w:rsidP="00773EAE">
      <w:pPr>
        <w:ind w:left="851"/>
        <w:rPr>
          <w:sz w:val="24"/>
          <w:szCs w:val="24"/>
        </w:rPr>
      </w:pPr>
      <w:r w:rsidRPr="000C059E">
        <w:rPr>
          <w:sz w:val="24"/>
          <w:szCs w:val="24"/>
        </w:rPr>
        <w:t>I fase III-studiet 309 (se pkt. 5.1) udviklede 18,2 % af de lenvatinib plus pembrolizumab-behandlede patienter en hændelse med nyresvigt/nedsat nyrefunktion. Reaktioner af grad ≥</w:t>
      </w:r>
      <w:r w:rsidR="00C44B05">
        <w:rPr>
          <w:sz w:val="24"/>
          <w:szCs w:val="24"/>
        </w:rPr>
        <w:t> </w:t>
      </w:r>
      <w:r w:rsidRPr="000C059E">
        <w:rPr>
          <w:sz w:val="24"/>
          <w:szCs w:val="24"/>
        </w:rPr>
        <w:t>3 forekom hos 4,2 % af patienterne. Mediantiden til indtræden var 86,0 dage. Dosisafbrydelse, dosisreduktion og seponering af lenvatinib forekom hos hhv. 3,0 %, 1,7</w:t>
      </w:r>
      <w:r w:rsidR="00C44B05">
        <w:rPr>
          <w:sz w:val="24"/>
          <w:szCs w:val="24"/>
        </w:rPr>
        <w:t> </w:t>
      </w:r>
      <w:r w:rsidRPr="000C059E">
        <w:rPr>
          <w:sz w:val="24"/>
          <w:szCs w:val="24"/>
        </w:rPr>
        <w:t>% og 1,2 % af patienterne.</w:t>
      </w:r>
    </w:p>
    <w:p w14:paraId="0F7A3849" w14:textId="77777777" w:rsidR="00200B99" w:rsidRPr="000C059E" w:rsidRDefault="00200B99" w:rsidP="00773EAE">
      <w:pPr>
        <w:ind w:left="851"/>
        <w:rPr>
          <w:sz w:val="24"/>
          <w:szCs w:val="24"/>
        </w:rPr>
      </w:pPr>
    </w:p>
    <w:p w14:paraId="5ECDF8FF" w14:textId="77777777" w:rsidR="00200B99" w:rsidRPr="00260B68" w:rsidRDefault="00200B99" w:rsidP="00773EAE">
      <w:pPr>
        <w:ind w:left="851"/>
        <w:rPr>
          <w:i/>
          <w:sz w:val="24"/>
          <w:szCs w:val="24"/>
          <w:u w:val="single"/>
        </w:rPr>
      </w:pPr>
      <w:r w:rsidRPr="00260B68">
        <w:rPr>
          <w:i/>
          <w:sz w:val="24"/>
          <w:szCs w:val="24"/>
          <w:u w:val="single"/>
        </w:rPr>
        <w:t>Hjertedysfunktion (se pkt. 4.4)</w:t>
      </w:r>
    </w:p>
    <w:p w14:paraId="1ED63C7C" w14:textId="77777777" w:rsidR="00200B99" w:rsidRPr="000C059E" w:rsidRDefault="00200B99" w:rsidP="00773EAE">
      <w:pPr>
        <w:ind w:left="851"/>
        <w:rPr>
          <w:i/>
          <w:sz w:val="24"/>
          <w:szCs w:val="24"/>
        </w:rPr>
      </w:pPr>
    </w:p>
    <w:p w14:paraId="1BDB1F77" w14:textId="77777777" w:rsidR="00200B99" w:rsidRPr="00260B68" w:rsidRDefault="00200B99" w:rsidP="00773EAE">
      <w:pPr>
        <w:ind w:left="851"/>
        <w:rPr>
          <w:i/>
          <w:sz w:val="24"/>
          <w:szCs w:val="24"/>
        </w:rPr>
      </w:pPr>
      <w:r w:rsidRPr="00260B68">
        <w:rPr>
          <w:i/>
          <w:sz w:val="24"/>
          <w:szCs w:val="24"/>
        </w:rPr>
        <w:t>DTC</w:t>
      </w:r>
    </w:p>
    <w:p w14:paraId="4052D778" w14:textId="77777777" w:rsidR="00200B99" w:rsidRPr="000C059E" w:rsidRDefault="00200B99" w:rsidP="00773EAE">
      <w:pPr>
        <w:ind w:left="851"/>
        <w:rPr>
          <w:i/>
          <w:sz w:val="24"/>
          <w:szCs w:val="24"/>
        </w:rPr>
      </w:pPr>
    </w:p>
    <w:p w14:paraId="4520FC1F" w14:textId="77777777" w:rsidR="00200B99" w:rsidRPr="000C059E" w:rsidRDefault="00200B99" w:rsidP="00773EAE">
      <w:pPr>
        <w:ind w:left="851"/>
        <w:rPr>
          <w:sz w:val="24"/>
          <w:szCs w:val="24"/>
        </w:rPr>
      </w:pPr>
      <w:r w:rsidRPr="000C059E">
        <w:rPr>
          <w:sz w:val="24"/>
          <w:szCs w:val="24"/>
        </w:rPr>
        <w:t xml:space="preserve">I </w:t>
      </w:r>
      <w:proofErr w:type="gramStart"/>
      <w:r w:rsidRPr="000C059E">
        <w:rPr>
          <w:sz w:val="24"/>
          <w:szCs w:val="24"/>
        </w:rPr>
        <w:t>det pivotale</w:t>
      </w:r>
      <w:proofErr w:type="gramEnd"/>
      <w:r w:rsidRPr="000C059E">
        <w:rPr>
          <w:sz w:val="24"/>
          <w:szCs w:val="24"/>
        </w:rPr>
        <w:t xml:space="preserve"> fase III SELECT-studie (se pkt. 5.1) blev der rapporteret en nedsat uddrivningsfraktion/hjertesvigt hos 6,5 % af patienterne (1,5 % var grad ≥ 3) i gruppen behandlet med lenvatinib og hos 2,3 % i placebogruppen (ingen var grad ≥ 3).</w:t>
      </w:r>
    </w:p>
    <w:p w14:paraId="1D750FD3" w14:textId="77777777" w:rsidR="00200B99" w:rsidRPr="000C059E" w:rsidRDefault="00200B99" w:rsidP="00773EAE">
      <w:pPr>
        <w:ind w:left="851"/>
        <w:rPr>
          <w:sz w:val="24"/>
          <w:szCs w:val="24"/>
        </w:rPr>
      </w:pPr>
    </w:p>
    <w:p w14:paraId="2EECCDF9" w14:textId="77777777" w:rsidR="00200B99" w:rsidRPr="00260B68" w:rsidRDefault="00200B99" w:rsidP="00773EAE">
      <w:pPr>
        <w:ind w:left="851"/>
        <w:rPr>
          <w:i/>
          <w:sz w:val="24"/>
          <w:szCs w:val="24"/>
        </w:rPr>
      </w:pPr>
      <w:r w:rsidRPr="00260B68">
        <w:rPr>
          <w:i/>
          <w:sz w:val="24"/>
          <w:szCs w:val="24"/>
        </w:rPr>
        <w:t>HCC</w:t>
      </w:r>
    </w:p>
    <w:p w14:paraId="4DA68566" w14:textId="77777777" w:rsidR="00200B99" w:rsidRPr="000C059E" w:rsidRDefault="00200B99" w:rsidP="00773EAE">
      <w:pPr>
        <w:ind w:left="851"/>
        <w:rPr>
          <w:i/>
          <w:sz w:val="24"/>
          <w:szCs w:val="24"/>
        </w:rPr>
      </w:pPr>
    </w:p>
    <w:p w14:paraId="08587FE3" w14:textId="77777777" w:rsidR="00200B99" w:rsidRPr="000C059E" w:rsidRDefault="00200B99" w:rsidP="00773EAE">
      <w:pPr>
        <w:ind w:left="851"/>
        <w:rPr>
          <w:sz w:val="24"/>
          <w:szCs w:val="24"/>
        </w:rPr>
      </w:pPr>
      <w:r w:rsidRPr="000C059E">
        <w:rPr>
          <w:sz w:val="24"/>
          <w:szCs w:val="24"/>
        </w:rPr>
        <w:t>I fase III-REFLECT-studiet (se pkt. 5.1) blev der rapporteret hjertedysfunktion (inklusive kongestivt hjertesvigt, kardiogent shock og hjerte-lunge-svigt) hos 0,6 % af patienterne (0,4 % var grad ≥ 3) i den lenvatinib-behandlede gruppe.</w:t>
      </w:r>
    </w:p>
    <w:p w14:paraId="462ED52C" w14:textId="77777777" w:rsidR="00200B99" w:rsidRPr="000C059E" w:rsidRDefault="00200B99" w:rsidP="00773EAE">
      <w:pPr>
        <w:ind w:left="851"/>
        <w:rPr>
          <w:sz w:val="24"/>
          <w:szCs w:val="24"/>
        </w:rPr>
      </w:pPr>
    </w:p>
    <w:p w14:paraId="0DB4CB2F" w14:textId="77777777" w:rsidR="00200B99" w:rsidRPr="00260B68" w:rsidRDefault="00200B99" w:rsidP="00773EAE">
      <w:pPr>
        <w:ind w:left="851"/>
        <w:rPr>
          <w:i/>
          <w:sz w:val="24"/>
          <w:szCs w:val="24"/>
        </w:rPr>
      </w:pPr>
      <w:r w:rsidRPr="00260B68">
        <w:rPr>
          <w:i/>
          <w:sz w:val="24"/>
          <w:szCs w:val="24"/>
        </w:rPr>
        <w:t>EC</w:t>
      </w:r>
    </w:p>
    <w:p w14:paraId="6BE38783" w14:textId="77777777" w:rsidR="00200B99" w:rsidRPr="000C059E" w:rsidRDefault="00200B99" w:rsidP="00773EAE">
      <w:pPr>
        <w:ind w:left="851"/>
        <w:rPr>
          <w:i/>
          <w:sz w:val="24"/>
          <w:szCs w:val="24"/>
        </w:rPr>
      </w:pPr>
    </w:p>
    <w:p w14:paraId="12D2AAB2" w14:textId="77777777" w:rsidR="00200B99" w:rsidRPr="000C059E" w:rsidRDefault="00200B99" w:rsidP="00773EAE">
      <w:pPr>
        <w:ind w:left="851"/>
        <w:rPr>
          <w:sz w:val="24"/>
          <w:szCs w:val="24"/>
        </w:rPr>
      </w:pPr>
      <w:r w:rsidRPr="000C059E">
        <w:rPr>
          <w:sz w:val="24"/>
          <w:szCs w:val="24"/>
        </w:rPr>
        <w:t>I fase III-studiet 309 (se pkt. 5.1) blev hjertedysfunktion rapporteret hos 1,0 % af de lenvatinib plus pembrolizumab-behandlede patienter, og reaktioner af grad ≥ 3 forekom hos 0,5 % af patienterne. Mediantiden til indtræden var 112,0 dage. Dosisreduktion og seponering af lenvatinib forekom begge hos 0,2 % af patienterne.</w:t>
      </w:r>
    </w:p>
    <w:p w14:paraId="36EB3D1D" w14:textId="7FE0B336" w:rsidR="00C44B05" w:rsidRDefault="00C44B05">
      <w:pPr>
        <w:rPr>
          <w:sz w:val="24"/>
          <w:szCs w:val="24"/>
        </w:rPr>
      </w:pPr>
      <w:r>
        <w:rPr>
          <w:sz w:val="24"/>
          <w:szCs w:val="24"/>
        </w:rPr>
        <w:br w:type="page"/>
      </w:r>
    </w:p>
    <w:p w14:paraId="6A480C89" w14:textId="77777777" w:rsidR="00200B99" w:rsidRPr="000C059E" w:rsidRDefault="00200B99" w:rsidP="00773EAE">
      <w:pPr>
        <w:ind w:left="851"/>
        <w:rPr>
          <w:sz w:val="24"/>
          <w:szCs w:val="24"/>
        </w:rPr>
      </w:pPr>
    </w:p>
    <w:p w14:paraId="79946231" w14:textId="77777777" w:rsidR="00200B99" w:rsidRPr="00260B68" w:rsidRDefault="00200B99" w:rsidP="00773EAE">
      <w:pPr>
        <w:ind w:left="851"/>
        <w:rPr>
          <w:i/>
          <w:sz w:val="24"/>
          <w:szCs w:val="24"/>
          <w:u w:val="single"/>
        </w:rPr>
      </w:pPr>
      <w:r w:rsidRPr="00260B68">
        <w:rPr>
          <w:i/>
          <w:sz w:val="24"/>
          <w:szCs w:val="24"/>
          <w:u w:val="single"/>
        </w:rPr>
        <w:t>Posteriort reversibelt encefalopatisyndrom (PRES)/reversibelt posteriort leukoencefalopatisyndrom (RPLS) (se pkt. 4.4)</w:t>
      </w:r>
    </w:p>
    <w:p w14:paraId="4C87D7C7" w14:textId="77777777" w:rsidR="00200B99" w:rsidRPr="000C059E" w:rsidRDefault="00200B99" w:rsidP="00773EAE">
      <w:pPr>
        <w:ind w:left="851"/>
        <w:rPr>
          <w:i/>
          <w:sz w:val="24"/>
          <w:szCs w:val="24"/>
        </w:rPr>
      </w:pPr>
    </w:p>
    <w:p w14:paraId="126DCF61" w14:textId="77777777" w:rsidR="00200B99" w:rsidRPr="000C059E" w:rsidRDefault="00200B99" w:rsidP="00773EAE">
      <w:pPr>
        <w:ind w:left="851"/>
        <w:rPr>
          <w:i/>
          <w:sz w:val="24"/>
          <w:szCs w:val="24"/>
        </w:rPr>
      </w:pPr>
      <w:r w:rsidRPr="000C059E">
        <w:rPr>
          <w:i/>
          <w:sz w:val="24"/>
          <w:szCs w:val="24"/>
        </w:rPr>
        <w:t>DTC</w:t>
      </w:r>
    </w:p>
    <w:p w14:paraId="19B966CD" w14:textId="77777777" w:rsidR="00200B99" w:rsidRPr="000C059E" w:rsidRDefault="00200B99" w:rsidP="00773EAE">
      <w:pPr>
        <w:ind w:left="851"/>
        <w:rPr>
          <w:i/>
          <w:sz w:val="24"/>
          <w:szCs w:val="24"/>
        </w:rPr>
      </w:pPr>
    </w:p>
    <w:p w14:paraId="78A9808A" w14:textId="77777777" w:rsidR="00200B99" w:rsidRPr="000C059E" w:rsidRDefault="00200B99" w:rsidP="00773EAE">
      <w:pPr>
        <w:ind w:left="851"/>
        <w:rPr>
          <w:sz w:val="24"/>
          <w:szCs w:val="24"/>
        </w:rPr>
      </w:pPr>
      <w:r w:rsidRPr="000C059E">
        <w:rPr>
          <w:sz w:val="24"/>
          <w:szCs w:val="24"/>
        </w:rPr>
        <w:t xml:space="preserve">I </w:t>
      </w:r>
      <w:proofErr w:type="gramStart"/>
      <w:r w:rsidRPr="000C059E">
        <w:rPr>
          <w:sz w:val="24"/>
          <w:szCs w:val="24"/>
        </w:rPr>
        <w:t>det pivotale</w:t>
      </w:r>
      <w:proofErr w:type="gramEnd"/>
      <w:r w:rsidRPr="000C059E">
        <w:rPr>
          <w:sz w:val="24"/>
          <w:szCs w:val="24"/>
        </w:rPr>
        <w:t xml:space="preserve"> fase III SELECT-studie (se pkt. 5.1) var der én hændelse med PRES (grad 2) i gruppen behandlet med lenvatinib og ingen rapporter i placebogruppen.</w:t>
      </w:r>
    </w:p>
    <w:p w14:paraId="19B52592" w14:textId="77777777" w:rsidR="00200B99" w:rsidRPr="000C059E" w:rsidRDefault="00200B99" w:rsidP="00773EAE">
      <w:pPr>
        <w:ind w:left="851"/>
        <w:rPr>
          <w:sz w:val="24"/>
          <w:szCs w:val="24"/>
        </w:rPr>
      </w:pPr>
    </w:p>
    <w:p w14:paraId="556F1A32" w14:textId="77777777" w:rsidR="00200B99" w:rsidRPr="000C059E" w:rsidRDefault="00200B99" w:rsidP="00773EAE">
      <w:pPr>
        <w:ind w:left="851"/>
        <w:rPr>
          <w:i/>
          <w:sz w:val="24"/>
          <w:szCs w:val="24"/>
        </w:rPr>
      </w:pPr>
      <w:r w:rsidRPr="000C059E">
        <w:rPr>
          <w:i/>
          <w:sz w:val="24"/>
          <w:szCs w:val="24"/>
        </w:rPr>
        <w:t>HCC</w:t>
      </w:r>
    </w:p>
    <w:p w14:paraId="224CC6EF" w14:textId="77777777" w:rsidR="00200B99" w:rsidRPr="000C059E" w:rsidRDefault="00200B99" w:rsidP="00773EAE">
      <w:pPr>
        <w:ind w:left="851"/>
        <w:rPr>
          <w:i/>
          <w:sz w:val="24"/>
          <w:szCs w:val="24"/>
        </w:rPr>
      </w:pPr>
    </w:p>
    <w:p w14:paraId="76787F56" w14:textId="77777777" w:rsidR="00200B99" w:rsidRPr="000C059E" w:rsidRDefault="00200B99" w:rsidP="00773EAE">
      <w:pPr>
        <w:ind w:left="851"/>
        <w:rPr>
          <w:sz w:val="24"/>
          <w:szCs w:val="24"/>
        </w:rPr>
      </w:pPr>
      <w:r w:rsidRPr="000C059E">
        <w:rPr>
          <w:sz w:val="24"/>
          <w:szCs w:val="24"/>
        </w:rPr>
        <w:t>I fase III-REFLECT-studiet (se pkt. 5.1) var der én hændelse med PRES (grad 2) i den lenvatinib-behandlede gruppe.</w:t>
      </w:r>
    </w:p>
    <w:p w14:paraId="07B9EF25" w14:textId="77777777" w:rsidR="00200B99" w:rsidRPr="000C059E" w:rsidRDefault="00200B99" w:rsidP="00773EAE">
      <w:pPr>
        <w:ind w:left="851"/>
        <w:rPr>
          <w:sz w:val="24"/>
          <w:szCs w:val="24"/>
        </w:rPr>
      </w:pPr>
    </w:p>
    <w:p w14:paraId="03181D4F" w14:textId="77777777" w:rsidR="00200B99" w:rsidRPr="000C059E" w:rsidRDefault="00200B99" w:rsidP="00773EAE">
      <w:pPr>
        <w:ind w:left="851"/>
        <w:rPr>
          <w:sz w:val="24"/>
          <w:szCs w:val="24"/>
        </w:rPr>
      </w:pPr>
      <w:r w:rsidRPr="000C059E">
        <w:rPr>
          <w:sz w:val="24"/>
          <w:szCs w:val="24"/>
        </w:rPr>
        <w:t>Blandt 1.823 patienter behandlet med lenvatinib monoterapi i kliniske undersøgelser var der 5 tilfælde (0,3 %) af PRES (0,2 % var grad 3 eller grad 4), som alle fortog sig efter behandling og/eller dosisafbrydelse eller permanent seponering.</w:t>
      </w:r>
    </w:p>
    <w:p w14:paraId="4F292263" w14:textId="77777777" w:rsidR="00200B99" w:rsidRPr="000C059E" w:rsidRDefault="00200B99" w:rsidP="00773EAE">
      <w:pPr>
        <w:ind w:left="851"/>
        <w:rPr>
          <w:sz w:val="24"/>
          <w:szCs w:val="24"/>
        </w:rPr>
      </w:pPr>
    </w:p>
    <w:p w14:paraId="7818FCC4" w14:textId="77777777" w:rsidR="00200B99" w:rsidRPr="000C059E" w:rsidRDefault="00200B99" w:rsidP="00773EAE">
      <w:pPr>
        <w:ind w:left="851"/>
        <w:rPr>
          <w:i/>
          <w:sz w:val="24"/>
          <w:szCs w:val="24"/>
        </w:rPr>
      </w:pPr>
      <w:r w:rsidRPr="000C059E">
        <w:rPr>
          <w:i/>
          <w:sz w:val="24"/>
          <w:szCs w:val="24"/>
        </w:rPr>
        <w:t>EC</w:t>
      </w:r>
    </w:p>
    <w:p w14:paraId="71A5E303" w14:textId="77777777" w:rsidR="00200B99" w:rsidRPr="000C059E" w:rsidRDefault="00200B99" w:rsidP="00773EAE">
      <w:pPr>
        <w:ind w:left="851"/>
        <w:rPr>
          <w:i/>
          <w:sz w:val="24"/>
          <w:szCs w:val="24"/>
        </w:rPr>
      </w:pPr>
    </w:p>
    <w:p w14:paraId="0402D504" w14:textId="77777777" w:rsidR="00200B99" w:rsidRPr="000C059E" w:rsidRDefault="00200B99" w:rsidP="00773EAE">
      <w:pPr>
        <w:ind w:left="851"/>
        <w:rPr>
          <w:sz w:val="24"/>
          <w:szCs w:val="24"/>
        </w:rPr>
      </w:pPr>
      <w:r w:rsidRPr="000C059E">
        <w:rPr>
          <w:sz w:val="24"/>
          <w:szCs w:val="24"/>
        </w:rPr>
        <w:t>I fase III-studiet 309 (se pkt. 5.1) var der én hændelse med PRES (grad 1) i den gruppe, der blev behandlet med lenvatinib plus pembrolizumab, hvor behandlingen med lenvatinib blev afbrudt.</w:t>
      </w:r>
    </w:p>
    <w:p w14:paraId="7BB2B5B8" w14:textId="77777777" w:rsidR="00200B99" w:rsidRPr="000C059E" w:rsidRDefault="00200B99" w:rsidP="00773EAE">
      <w:pPr>
        <w:ind w:left="851"/>
        <w:rPr>
          <w:sz w:val="24"/>
          <w:szCs w:val="24"/>
        </w:rPr>
      </w:pPr>
    </w:p>
    <w:p w14:paraId="11F247B0" w14:textId="77777777" w:rsidR="00200B99" w:rsidRPr="00260B68" w:rsidRDefault="00200B99" w:rsidP="00773EAE">
      <w:pPr>
        <w:ind w:left="851"/>
        <w:rPr>
          <w:i/>
          <w:sz w:val="24"/>
          <w:szCs w:val="24"/>
          <w:u w:val="single"/>
        </w:rPr>
      </w:pPr>
      <w:r w:rsidRPr="00260B68">
        <w:rPr>
          <w:i/>
          <w:sz w:val="24"/>
          <w:szCs w:val="24"/>
          <w:u w:val="single"/>
        </w:rPr>
        <w:t>Hepatotoksicitet (se pkt. 4.4)</w:t>
      </w:r>
    </w:p>
    <w:p w14:paraId="16B4D786" w14:textId="77777777" w:rsidR="00200B99" w:rsidRPr="000C059E" w:rsidRDefault="00200B99" w:rsidP="00773EAE">
      <w:pPr>
        <w:ind w:left="851"/>
        <w:rPr>
          <w:i/>
          <w:sz w:val="24"/>
          <w:szCs w:val="24"/>
        </w:rPr>
      </w:pPr>
    </w:p>
    <w:p w14:paraId="32BCE614" w14:textId="77777777" w:rsidR="00200B99" w:rsidRPr="000C059E" w:rsidRDefault="00200B99" w:rsidP="00773EAE">
      <w:pPr>
        <w:ind w:left="851"/>
        <w:rPr>
          <w:i/>
          <w:sz w:val="24"/>
          <w:szCs w:val="24"/>
        </w:rPr>
      </w:pPr>
      <w:r w:rsidRPr="000C059E">
        <w:rPr>
          <w:i/>
          <w:sz w:val="24"/>
          <w:szCs w:val="24"/>
        </w:rPr>
        <w:t>DTC</w:t>
      </w:r>
    </w:p>
    <w:p w14:paraId="13D3622A" w14:textId="77777777" w:rsidR="00200B99" w:rsidRPr="000C059E" w:rsidRDefault="00200B99" w:rsidP="00773EAE">
      <w:pPr>
        <w:ind w:left="851"/>
        <w:rPr>
          <w:i/>
          <w:sz w:val="24"/>
          <w:szCs w:val="24"/>
        </w:rPr>
      </w:pPr>
    </w:p>
    <w:p w14:paraId="7FED2349" w14:textId="47536E31" w:rsidR="00200B99" w:rsidRPr="000C059E" w:rsidRDefault="00200B99" w:rsidP="00773EAE">
      <w:pPr>
        <w:ind w:left="851"/>
        <w:rPr>
          <w:sz w:val="24"/>
          <w:szCs w:val="24"/>
        </w:rPr>
      </w:pPr>
      <w:r w:rsidRPr="000C059E">
        <w:rPr>
          <w:sz w:val="24"/>
          <w:szCs w:val="24"/>
        </w:rPr>
        <w:t xml:space="preserve">I </w:t>
      </w:r>
      <w:proofErr w:type="gramStart"/>
      <w:r w:rsidRPr="000C059E">
        <w:rPr>
          <w:sz w:val="24"/>
          <w:szCs w:val="24"/>
        </w:rPr>
        <w:t>det pivotale</w:t>
      </w:r>
      <w:proofErr w:type="gramEnd"/>
      <w:r w:rsidRPr="000C059E">
        <w:rPr>
          <w:sz w:val="24"/>
          <w:szCs w:val="24"/>
        </w:rPr>
        <w:t xml:space="preserve"> fase III SELECT-studie (se pkt. 5.1) var de mest almindeligt rapporterede leverrelaterede bivirkninger hypoalbuminæmi (9,6 % lenvatinib </w:t>
      </w:r>
      <w:r w:rsidRPr="000C059E">
        <w:rPr>
          <w:i/>
          <w:sz w:val="24"/>
          <w:szCs w:val="24"/>
        </w:rPr>
        <w:t xml:space="preserve">versus </w:t>
      </w:r>
      <w:r w:rsidRPr="000C059E">
        <w:rPr>
          <w:sz w:val="24"/>
          <w:szCs w:val="24"/>
        </w:rPr>
        <w:t xml:space="preserve">1,5 % placebo) og forhøjelser af leverenzymniveauerne, herunder forhøjelser i alaninaminotransferase (7,7 % lenvatinib </w:t>
      </w:r>
      <w:r w:rsidRPr="000C059E">
        <w:rPr>
          <w:i/>
          <w:sz w:val="24"/>
          <w:szCs w:val="24"/>
        </w:rPr>
        <w:t>versus</w:t>
      </w:r>
      <w:r w:rsidR="00260B68">
        <w:rPr>
          <w:i/>
          <w:sz w:val="24"/>
          <w:szCs w:val="24"/>
        </w:rPr>
        <w:t xml:space="preserve"> </w:t>
      </w:r>
      <w:r w:rsidRPr="000C059E">
        <w:rPr>
          <w:sz w:val="24"/>
          <w:szCs w:val="24"/>
        </w:rPr>
        <w:t xml:space="preserve">0 placebo), aspartataminotransferase (6,9 % lenvatinib </w:t>
      </w:r>
      <w:r w:rsidRPr="000C059E">
        <w:rPr>
          <w:i/>
          <w:sz w:val="24"/>
          <w:szCs w:val="24"/>
        </w:rPr>
        <w:t xml:space="preserve">versus </w:t>
      </w:r>
      <w:r w:rsidRPr="000C059E">
        <w:rPr>
          <w:sz w:val="24"/>
          <w:szCs w:val="24"/>
        </w:rPr>
        <w:t xml:space="preserve">1,5 % placebo) og bilirubin i blodet (1,9 % lenvatinib </w:t>
      </w:r>
      <w:r w:rsidRPr="000C059E">
        <w:rPr>
          <w:i/>
          <w:sz w:val="24"/>
          <w:szCs w:val="24"/>
        </w:rPr>
        <w:t xml:space="preserve">versus </w:t>
      </w:r>
      <w:r w:rsidRPr="000C059E">
        <w:rPr>
          <w:sz w:val="24"/>
          <w:szCs w:val="24"/>
        </w:rPr>
        <w:t>0 placebo). Mediantiden til start af leverreaktioner hos lenvatinib-behandlede patienter var 12,1 uger. Leverrelaterede reaktioner af grad 3 eller derover (herunder ét grad 5-tilfælde af leversvigt) forekom hos 5,4 % af de lenvatinib-behandlede patienter sammenlignet med 0,8 % af de placebobehandlede patienter. Leverrelaterede reaktioner førte til dosisafbrydelser og -reduktioner hos hhv. 4,6 % og 2,7 % af patienterne og til permanent seponering hos 0,4 %.</w:t>
      </w:r>
    </w:p>
    <w:p w14:paraId="476FA9BF" w14:textId="77777777" w:rsidR="00200B99" w:rsidRPr="000C059E" w:rsidRDefault="00200B99" w:rsidP="00773EAE">
      <w:pPr>
        <w:ind w:left="851"/>
        <w:rPr>
          <w:sz w:val="24"/>
          <w:szCs w:val="24"/>
        </w:rPr>
      </w:pPr>
      <w:r w:rsidRPr="000C059E">
        <w:rPr>
          <w:sz w:val="24"/>
          <w:szCs w:val="24"/>
        </w:rPr>
        <w:t>Blandt 1.166 patienter i behandling med lenvatinib var der 3 tilfælde (0,3 %) af leversvigt, alle med dødelig udgang. Et tilfælde forekom hos en patient uden levermetastaser. Der var også et tilfælde af akut hepatitis hos en patient uden levermetastaser.</w:t>
      </w:r>
    </w:p>
    <w:p w14:paraId="21CFD28A" w14:textId="77777777" w:rsidR="00200B99" w:rsidRPr="000C059E" w:rsidRDefault="00200B99" w:rsidP="00773EAE">
      <w:pPr>
        <w:ind w:left="851"/>
        <w:rPr>
          <w:sz w:val="24"/>
          <w:szCs w:val="24"/>
        </w:rPr>
      </w:pPr>
    </w:p>
    <w:p w14:paraId="3CCCBCEB" w14:textId="77777777" w:rsidR="00200B99" w:rsidRPr="000C059E" w:rsidRDefault="00200B99" w:rsidP="00773EAE">
      <w:pPr>
        <w:ind w:left="851"/>
        <w:rPr>
          <w:i/>
          <w:sz w:val="24"/>
          <w:szCs w:val="24"/>
        </w:rPr>
      </w:pPr>
      <w:r w:rsidRPr="000C059E">
        <w:rPr>
          <w:i/>
          <w:sz w:val="24"/>
          <w:szCs w:val="24"/>
        </w:rPr>
        <w:t>HCC</w:t>
      </w:r>
    </w:p>
    <w:p w14:paraId="15785379" w14:textId="77777777" w:rsidR="00200B99" w:rsidRPr="000C059E" w:rsidRDefault="00200B99" w:rsidP="00773EAE">
      <w:pPr>
        <w:ind w:left="851"/>
        <w:rPr>
          <w:i/>
          <w:sz w:val="24"/>
          <w:szCs w:val="24"/>
        </w:rPr>
      </w:pPr>
    </w:p>
    <w:p w14:paraId="791A834B" w14:textId="0EDB0050" w:rsidR="00200B99" w:rsidRPr="000C059E" w:rsidRDefault="00200B99" w:rsidP="00773EAE">
      <w:pPr>
        <w:ind w:left="851"/>
        <w:rPr>
          <w:sz w:val="24"/>
          <w:szCs w:val="24"/>
        </w:rPr>
      </w:pPr>
      <w:r w:rsidRPr="000C059E">
        <w:rPr>
          <w:sz w:val="24"/>
          <w:szCs w:val="24"/>
        </w:rPr>
        <w:t>I fase III-REFLECT-studiet (se pkt. 5.1) var de mest almindeligt rapporterede bivirkninger med hepatotoksicitet bivirkninger forhøjelser af bilirubin i blodet (14,9 %), forhøjet aspartataminotransferase (13,7 %), forhøjet alaninaminotransferase (11,1 %), hypoalbuminæmi</w:t>
      </w:r>
      <w:r w:rsidR="00C44B05">
        <w:rPr>
          <w:sz w:val="24"/>
          <w:szCs w:val="24"/>
        </w:rPr>
        <w:t xml:space="preserve"> </w:t>
      </w:r>
      <w:r w:rsidRPr="000C059E">
        <w:rPr>
          <w:sz w:val="24"/>
          <w:szCs w:val="24"/>
        </w:rPr>
        <w:t>(9,2 %), hepatisk encefalopati (8 %), forhøjet gamma-glutamyltransferase (7,8 %) og forhøjet alkalisk fosfatase i blodet (6,7 %). Mediantiden til indtræden af bivirkninger med hepatotoksicitet var 6,4 uger. Reaktioner med hepatotoksicitet af ≥ grad 3 forekom hos 26,1 % af patienterne behandlet med lenvatinib. Leversvigt (herunder letale hændelser hos 12 patienter) forekom hos 3,6 % af patienterne (alle var ≥ grad 3). Hepatisk encefalopati (inklusive letale hændelser hos 4 patienter) forekom hos</w:t>
      </w:r>
      <w:r w:rsidR="00C44B05">
        <w:rPr>
          <w:sz w:val="24"/>
          <w:szCs w:val="24"/>
        </w:rPr>
        <w:t xml:space="preserve"> </w:t>
      </w:r>
      <w:r w:rsidRPr="000C059E">
        <w:rPr>
          <w:sz w:val="24"/>
          <w:szCs w:val="24"/>
        </w:rPr>
        <w:t>8,4 % af patienterne (5,5 % var ≥ grad 3). Der var 17 (3,6 %) dødsfald på grund af hændelser med hepatotoksicitet i lenvatinib-armen og 4 (0,8 %) dødsfald i sorafenib-armen. Bivirkninger med hepatotoksicitet medførte dosisafbrydelser og -reduktioner hos hhv. 12,2 % og 7,4 % af lenvatinib-behandlede patienter og til permanent seponering hos 5,5 %.</w:t>
      </w:r>
    </w:p>
    <w:p w14:paraId="092BC3D1" w14:textId="77777777" w:rsidR="00200B99" w:rsidRPr="000C059E" w:rsidRDefault="00200B99" w:rsidP="00773EAE">
      <w:pPr>
        <w:ind w:left="851"/>
        <w:rPr>
          <w:sz w:val="24"/>
          <w:szCs w:val="24"/>
        </w:rPr>
      </w:pPr>
    </w:p>
    <w:p w14:paraId="6F03EE3B" w14:textId="77777777" w:rsidR="00200B99" w:rsidRPr="000C059E" w:rsidRDefault="00200B99" w:rsidP="00773EAE">
      <w:pPr>
        <w:ind w:left="851"/>
        <w:rPr>
          <w:sz w:val="24"/>
          <w:szCs w:val="24"/>
        </w:rPr>
      </w:pPr>
      <w:r w:rsidRPr="000C059E">
        <w:rPr>
          <w:sz w:val="24"/>
          <w:szCs w:val="24"/>
        </w:rPr>
        <w:t>På tværs af de kliniske studier, i hvilke 1.327 patienter modtog lenvatinib monoterapi for andre indikationer end HCC, blev leversvigt (inklusive letale hændelser) rapporteret hos 4 patienter (0,3 %), leverskade hos 2 patienter (0,2 %), akut hepatitis hos 2 patienter (0,2 %) og hepatocellulær skade hos én patient (0,1 %).</w:t>
      </w:r>
    </w:p>
    <w:p w14:paraId="04D74E50" w14:textId="77777777" w:rsidR="00200B99" w:rsidRPr="000C059E" w:rsidRDefault="00200B99" w:rsidP="00773EAE">
      <w:pPr>
        <w:ind w:left="851"/>
        <w:rPr>
          <w:sz w:val="24"/>
          <w:szCs w:val="24"/>
        </w:rPr>
      </w:pPr>
    </w:p>
    <w:p w14:paraId="52E416B9" w14:textId="77777777" w:rsidR="00200B99" w:rsidRPr="000C059E" w:rsidRDefault="00200B99" w:rsidP="00773EAE">
      <w:pPr>
        <w:ind w:left="851"/>
        <w:rPr>
          <w:i/>
          <w:sz w:val="24"/>
          <w:szCs w:val="24"/>
        </w:rPr>
      </w:pPr>
      <w:r w:rsidRPr="000C059E">
        <w:rPr>
          <w:i/>
          <w:sz w:val="24"/>
          <w:szCs w:val="24"/>
        </w:rPr>
        <w:t>EC</w:t>
      </w:r>
    </w:p>
    <w:p w14:paraId="134891E0" w14:textId="77777777" w:rsidR="00200B99" w:rsidRPr="000C059E" w:rsidRDefault="00200B99" w:rsidP="00773EAE">
      <w:pPr>
        <w:ind w:left="851"/>
        <w:rPr>
          <w:i/>
          <w:sz w:val="24"/>
          <w:szCs w:val="24"/>
        </w:rPr>
      </w:pPr>
    </w:p>
    <w:p w14:paraId="6210E99B" w14:textId="77777777" w:rsidR="00200B99" w:rsidRPr="000C059E" w:rsidRDefault="00200B99" w:rsidP="00773EAE">
      <w:pPr>
        <w:ind w:left="851"/>
        <w:rPr>
          <w:sz w:val="24"/>
          <w:szCs w:val="24"/>
        </w:rPr>
      </w:pPr>
      <w:r w:rsidRPr="000C059E">
        <w:rPr>
          <w:sz w:val="24"/>
          <w:szCs w:val="24"/>
        </w:rPr>
        <w:t>I fase III-studiet 309 (se pkt. 5.1) blev hepatotoksicitet rapporteret hos 33,7 % af de lenvatinib plus pembrolizumab-behandlede patienter, og reaktioner af grad ≥ 3 forekom hos 12,1 % af patienterne. Mediantiden til indtræden var 56,0 dage. Dosisafbrydelse, dosisreduktion og seponering af lenvatinib forekom hos hhv. 5,2 %, 3,0 % og 1,2 % af patienterne.</w:t>
      </w:r>
    </w:p>
    <w:p w14:paraId="3DDED818" w14:textId="77777777" w:rsidR="00200B99" w:rsidRPr="000C059E" w:rsidRDefault="00200B99" w:rsidP="00773EAE">
      <w:pPr>
        <w:ind w:left="851"/>
        <w:rPr>
          <w:sz w:val="24"/>
          <w:szCs w:val="24"/>
        </w:rPr>
      </w:pPr>
    </w:p>
    <w:p w14:paraId="2914E311" w14:textId="77777777" w:rsidR="00200B99" w:rsidRPr="00260B68" w:rsidRDefault="00200B99" w:rsidP="00773EAE">
      <w:pPr>
        <w:ind w:left="851"/>
        <w:rPr>
          <w:i/>
          <w:sz w:val="24"/>
          <w:szCs w:val="24"/>
          <w:u w:val="single"/>
        </w:rPr>
      </w:pPr>
      <w:r w:rsidRPr="00260B68">
        <w:rPr>
          <w:i/>
          <w:sz w:val="24"/>
          <w:szCs w:val="24"/>
          <w:u w:val="single"/>
        </w:rPr>
        <w:t>Arteriel tromboemboli (se pkt. 4.4)</w:t>
      </w:r>
    </w:p>
    <w:p w14:paraId="2157CE8E" w14:textId="77777777" w:rsidR="00200B99" w:rsidRPr="000C059E" w:rsidRDefault="00200B99" w:rsidP="00773EAE">
      <w:pPr>
        <w:ind w:left="851"/>
        <w:rPr>
          <w:i/>
          <w:sz w:val="24"/>
          <w:szCs w:val="24"/>
        </w:rPr>
      </w:pPr>
    </w:p>
    <w:p w14:paraId="409BED16" w14:textId="77777777" w:rsidR="00200B99" w:rsidRPr="000C059E" w:rsidRDefault="00200B99" w:rsidP="00773EAE">
      <w:pPr>
        <w:ind w:left="851"/>
        <w:rPr>
          <w:i/>
          <w:sz w:val="24"/>
          <w:szCs w:val="24"/>
        </w:rPr>
      </w:pPr>
      <w:r w:rsidRPr="000C059E">
        <w:rPr>
          <w:i/>
          <w:sz w:val="24"/>
          <w:szCs w:val="24"/>
        </w:rPr>
        <w:t>DTC</w:t>
      </w:r>
    </w:p>
    <w:p w14:paraId="38E3341E" w14:textId="77777777" w:rsidR="00200B99" w:rsidRPr="000C059E" w:rsidRDefault="00200B99" w:rsidP="00773EAE">
      <w:pPr>
        <w:ind w:left="851"/>
        <w:rPr>
          <w:i/>
          <w:sz w:val="24"/>
          <w:szCs w:val="24"/>
        </w:rPr>
      </w:pPr>
    </w:p>
    <w:p w14:paraId="7F53358A" w14:textId="77777777" w:rsidR="00200B99" w:rsidRPr="000C059E" w:rsidRDefault="00200B99" w:rsidP="00773EAE">
      <w:pPr>
        <w:ind w:left="851"/>
        <w:rPr>
          <w:sz w:val="24"/>
          <w:szCs w:val="24"/>
        </w:rPr>
      </w:pPr>
      <w:r w:rsidRPr="000C059E">
        <w:rPr>
          <w:sz w:val="24"/>
          <w:szCs w:val="24"/>
        </w:rPr>
        <w:t xml:space="preserve">I </w:t>
      </w:r>
      <w:proofErr w:type="gramStart"/>
      <w:r w:rsidRPr="000C059E">
        <w:rPr>
          <w:sz w:val="24"/>
          <w:szCs w:val="24"/>
        </w:rPr>
        <w:t>det pivotale</w:t>
      </w:r>
      <w:proofErr w:type="gramEnd"/>
      <w:r w:rsidRPr="000C059E">
        <w:rPr>
          <w:sz w:val="24"/>
          <w:szCs w:val="24"/>
        </w:rPr>
        <w:t xml:space="preserve"> fase III SELECT-studie (se pkt. 5.1) blev arterielle tromboemboliske hændelser rapporteret hos 5,4 % af de lenvatinib-behandlede patienter og hos 2,3 % af patienterne i gruppen, der fik placebo.</w:t>
      </w:r>
    </w:p>
    <w:p w14:paraId="3639FCC0" w14:textId="77777777" w:rsidR="00200B99" w:rsidRPr="000C059E" w:rsidRDefault="00200B99" w:rsidP="00773EAE">
      <w:pPr>
        <w:ind w:left="851"/>
        <w:rPr>
          <w:sz w:val="24"/>
          <w:szCs w:val="24"/>
        </w:rPr>
      </w:pPr>
    </w:p>
    <w:p w14:paraId="69A210EA" w14:textId="77777777" w:rsidR="00200B99" w:rsidRPr="000C059E" w:rsidRDefault="00200B99" w:rsidP="00773EAE">
      <w:pPr>
        <w:ind w:left="851"/>
        <w:rPr>
          <w:i/>
          <w:sz w:val="24"/>
          <w:szCs w:val="24"/>
        </w:rPr>
      </w:pPr>
      <w:r w:rsidRPr="000C059E">
        <w:rPr>
          <w:i/>
          <w:sz w:val="24"/>
          <w:szCs w:val="24"/>
        </w:rPr>
        <w:t>HCC</w:t>
      </w:r>
    </w:p>
    <w:p w14:paraId="096FBF92" w14:textId="77777777" w:rsidR="00200B99" w:rsidRPr="000C059E" w:rsidRDefault="00200B99" w:rsidP="00773EAE">
      <w:pPr>
        <w:ind w:left="851"/>
        <w:rPr>
          <w:i/>
          <w:sz w:val="24"/>
          <w:szCs w:val="24"/>
        </w:rPr>
      </w:pPr>
    </w:p>
    <w:p w14:paraId="1F15005C" w14:textId="77777777" w:rsidR="00200B99" w:rsidRPr="000C059E" w:rsidRDefault="00200B99" w:rsidP="00773EAE">
      <w:pPr>
        <w:ind w:left="851"/>
        <w:rPr>
          <w:sz w:val="24"/>
          <w:szCs w:val="24"/>
        </w:rPr>
      </w:pPr>
      <w:r w:rsidRPr="000C059E">
        <w:rPr>
          <w:sz w:val="24"/>
          <w:szCs w:val="24"/>
        </w:rPr>
        <w:t>I fase III-REFLECT-studiet (se pkt. 5.1) blev arterielle tromboemboliske hændelser rapporteret hos 2,3 % af patienterne, der blev behandlet med lenvatinib.</w:t>
      </w:r>
    </w:p>
    <w:p w14:paraId="03BB855E" w14:textId="77777777" w:rsidR="00200B99" w:rsidRPr="000C059E" w:rsidRDefault="00200B99" w:rsidP="00773EAE">
      <w:pPr>
        <w:ind w:left="851"/>
        <w:rPr>
          <w:sz w:val="24"/>
          <w:szCs w:val="24"/>
        </w:rPr>
      </w:pPr>
    </w:p>
    <w:p w14:paraId="4BF8269D" w14:textId="77777777" w:rsidR="00200B99" w:rsidRPr="000C059E" w:rsidRDefault="00200B99" w:rsidP="00773EAE">
      <w:pPr>
        <w:ind w:left="851"/>
        <w:rPr>
          <w:sz w:val="24"/>
          <w:szCs w:val="24"/>
        </w:rPr>
      </w:pPr>
      <w:r w:rsidRPr="000C059E">
        <w:rPr>
          <w:sz w:val="24"/>
          <w:szCs w:val="24"/>
        </w:rPr>
        <w:t>Blandt 1.823 patienter behandlet med lenvatinib monoterapi i kliniske studier var der 10 tilfælde (0,5 %) af arteriel tromboemboli (5 tilfælde af myokardieinfarkt og 5 tilfælde af cerebrovaskulært anfald) med dødelig udgang.</w:t>
      </w:r>
    </w:p>
    <w:p w14:paraId="09EE291C" w14:textId="77777777" w:rsidR="00200B99" w:rsidRPr="000C059E" w:rsidRDefault="00200B99" w:rsidP="00773EAE">
      <w:pPr>
        <w:ind w:left="851"/>
        <w:rPr>
          <w:sz w:val="24"/>
          <w:szCs w:val="24"/>
        </w:rPr>
      </w:pPr>
    </w:p>
    <w:p w14:paraId="10ABC302" w14:textId="77777777" w:rsidR="00200B99" w:rsidRPr="000C059E" w:rsidRDefault="00200B99" w:rsidP="00773EAE">
      <w:pPr>
        <w:ind w:left="851"/>
        <w:rPr>
          <w:i/>
          <w:sz w:val="24"/>
          <w:szCs w:val="24"/>
        </w:rPr>
      </w:pPr>
      <w:r w:rsidRPr="000C059E">
        <w:rPr>
          <w:i/>
          <w:sz w:val="24"/>
          <w:szCs w:val="24"/>
        </w:rPr>
        <w:t>EC</w:t>
      </w:r>
    </w:p>
    <w:p w14:paraId="2864E12B" w14:textId="77777777" w:rsidR="00200B99" w:rsidRPr="000C059E" w:rsidRDefault="00200B99" w:rsidP="00773EAE">
      <w:pPr>
        <w:ind w:left="851"/>
        <w:rPr>
          <w:i/>
          <w:sz w:val="24"/>
          <w:szCs w:val="24"/>
        </w:rPr>
      </w:pPr>
    </w:p>
    <w:p w14:paraId="411F065D" w14:textId="77777777" w:rsidR="00200B99" w:rsidRPr="000C059E" w:rsidRDefault="00200B99" w:rsidP="00773EAE">
      <w:pPr>
        <w:ind w:left="851"/>
        <w:rPr>
          <w:sz w:val="24"/>
          <w:szCs w:val="24"/>
        </w:rPr>
      </w:pPr>
      <w:r w:rsidRPr="000C059E">
        <w:rPr>
          <w:sz w:val="24"/>
          <w:szCs w:val="24"/>
        </w:rPr>
        <w:t>I fase III-studiet 309 (se pkt. 5.1) blev arteriel tromboemboli rapporteret hos 3,7 % af de lenvatinib plus pembrolizumab-behandlede patienter, og reaktioner af grad ≥ 3 forekom hos 2,2 % af patienterne. Mediantiden til indtræden var 59,0 dage. Dosisafbrydelse og seponering af lenvatinib forekom hos hhv. 0,2 % og 2,0 % af patienterne.</w:t>
      </w:r>
    </w:p>
    <w:p w14:paraId="5E43EC29" w14:textId="77777777" w:rsidR="00200B99" w:rsidRPr="000C059E" w:rsidRDefault="00200B99" w:rsidP="00773EAE">
      <w:pPr>
        <w:ind w:left="851"/>
        <w:rPr>
          <w:sz w:val="24"/>
          <w:szCs w:val="24"/>
        </w:rPr>
      </w:pPr>
    </w:p>
    <w:p w14:paraId="6EC7BA95" w14:textId="77777777" w:rsidR="00200B99" w:rsidRPr="00260B68" w:rsidRDefault="00200B99" w:rsidP="00773EAE">
      <w:pPr>
        <w:ind w:left="851"/>
        <w:rPr>
          <w:i/>
          <w:sz w:val="24"/>
          <w:szCs w:val="24"/>
          <w:u w:val="single"/>
        </w:rPr>
      </w:pPr>
      <w:r w:rsidRPr="00260B68">
        <w:rPr>
          <w:i/>
          <w:sz w:val="24"/>
          <w:szCs w:val="24"/>
          <w:u w:val="single"/>
        </w:rPr>
        <w:t>Blødning (se pkt. 4.4)</w:t>
      </w:r>
    </w:p>
    <w:p w14:paraId="7F4DD039" w14:textId="77777777" w:rsidR="00200B99" w:rsidRPr="000C059E" w:rsidRDefault="00200B99" w:rsidP="00773EAE">
      <w:pPr>
        <w:ind w:left="851"/>
        <w:rPr>
          <w:i/>
          <w:sz w:val="24"/>
          <w:szCs w:val="24"/>
        </w:rPr>
      </w:pPr>
    </w:p>
    <w:p w14:paraId="673A22B3" w14:textId="77777777" w:rsidR="00200B99" w:rsidRPr="000C059E" w:rsidRDefault="00200B99" w:rsidP="00773EAE">
      <w:pPr>
        <w:ind w:left="851"/>
        <w:rPr>
          <w:i/>
          <w:sz w:val="24"/>
          <w:szCs w:val="24"/>
        </w:rPr>
      </w:pPr>
      <w:r w:rsidRPr="000C059E">
        <w:rPr>
          <w:i/>
          <w:sz w:val="24"/>
          <w:szCs w:val="24"/>
        </w:rPr>
        <w:t>DTC</w:t>
      </w:r>
    </w:p>
    <w:p w14:paraId="3C5220F1" w14:textId="77777777" w:rsidR="00200B99" w:rsidRPr="000C059E" w:rsidRDefault="00200B99" w:rsidP="00773EAE">
      <w:pPr>
        <w:ind w:left="851"/>
        <w:rPr>
          <w:i/>
          <w:sz w:val="24"/>
          <w:szCs w:val="24"/>
        </w:rPr>
      </w:pPr>
    </w:p>
    <w:p w14:paraId="35C69751" w14:textId="66D0C38B" w:rsidR="00200B99" w:rsidRPr="000C059E" w:rsidRDefault="00200B99" w:rsidP="00773EAE">
      <w:pPr>
        <w:ind w:left="851"/>
        <w:rPr>
          <w:sz w:val="24"/>
          <w:szCs w:val="24"/>
        </w:rPr>
      </w:pPr>
      <w:r w:rsidRPr="000C059E">
        <w:rPr>
          <w:sz w:val="24"/>
          <w:szCs w:val="24"/>
        </w:rPr>
        <w:t xml:space="preserve">I </w:t>
      </w:r>
      <w:proofErr w:type="gramStart"/>
      <w:r w:rsidRPr="000C059E">
        <w:rPr>
          <w:sz w:val="24"/>
          <w:szCs w:val="24"/>
        </w:rPr>
        <w:t>det pivotale</w:t>
      </w:r>
      <w:proofErr w:type="gramEnd"/>
      <w:r w:rsidRPr="000C059E">
        <w:rPr>
          <w:sz w:val="24"/>
          <w:szCs w:val="24"/>
        </w:rPr>
        <w:t xml:space="preserve"> fase III SELECT-studie (se pkt. 5.1) blev blødning rapporteret hos 34,9 % (1,9 % var grad ≥ 3) af de lenvatinib-behandlede patienter </w:t>
      </w:r>
      <w:r w:rsidRPr="000C059E">
        <w:rPr>
          <w:i/>
          <w:sz w:val="24"/>
          <w:szCs w:val="24"/>
        </w:rPr>
        <w:t xml:space="preserve">versus </w:t>
      </w:r>
      <w:r w:rsidRPr="000C059E">
        <w:rPr>
          <w:sz w:val="24"/>
          <w:szCs w:val="24"/>
        </w:rPr>
        <w:t>18,3 % (3,1 % var grad ≥ 3) af de placebobehandlede patienter. Reaktioner, der opstod med en forekomst på ≥</w:t>
      </w:r>
      <w:r w:rsidR="00C44B05">
        <w:rPr>
          <w:sz w:val="24"/>
          <w:szCs w:val="24"/>
        </w:rPr>
        <w:t> </w:t>
      </w:r>
      <w:r w:rsidRPr="000C059E">
        <w:rPr>
          <w:sz w:val="24"/>
          <w:szCs w:val="24"/>
        </w:rPr>
        <w:t>0,75</w:t>
      </w:r>
      <w:r w:rsidR="00C44B05">
        <w:rPr>
          <w:sz w:val="24"/>
          <w:szCs w:val="24"/>
        </w:rPr>
        <w:t> </w:t>
      </w:r>
      <w:r w:rsidRPr="000C059E">
        <w:rPr>
          <w:sz w:val="24"/>
          <w:szCs w:val="24"/>
        </w:rPr>
        <w:t>% mere end placebo var: epistakse (11,9 %), hæmaturi (6,5 %), kontusion (4,6 %), blødning fra tandkød (2,3 %), hæmatochezi (2,3 %), rektalblødning (1,5 %), hæmatom (1,1</w:t>
      </w:r>
      <w:r w:rsidR="00C44B05">
        <w:rPr>
          <w:sz w:val="24"/>
          <w:szCs w:val="24"/>
        </w:rPr>
        <w:t> </w:t>
      </w:r>
      <w:r w:rsidRPr="000C059E">
        <w:rPr>
          <w:sz w:val="24"/>
          <w:szCs w:val="24"/>
        </w:rPr>
        <w:t xml:space="preserve">%), blødende hæmorroider (1,1 %), laryngeal blødning (1,1 %), petekkier (1,1 %) og intrakranial tumorblødning (0,8 %). I dette studie var der ét tilfælde af dødelig intrakranial blødning blandt 16 patienter, der fik lenvatinib og havde CNS-metastaser ved </w:t>
      </w:r>
      <w:r w:rsidRPr="000C059E">
        <w:rPr>
          <w:i/>
          <w:iCs/>
          <w:sz w:val="24"/>
          <w:szCs w:val="24"/>
        </w:rPr>
        <w:t>baseline</w:t>
      </w:r>
      <w:r w:rsidRPr="000C059E">
        <w:rPr>
          <w:sz w:val="24"/>
          <w:szCs w:val="24"/>
        </w:rPr>
        <w:t>.</w:t>
      </w:r>
    </w:p>
    <w:p w14:paraId="1EA7C922" w14:textId="77777777" w:rsidR="00200B99" w:rsidRPr="000C059E" w:rsidRDefault="00200B99" w:rsidP="00773EAE">
      <w:pPr>
        <w:ind w:left="851"/>
        <w:rPr>
          <w:sz w:val="24"/>
          <w:szCs w:val="24"/>
        </w:rPr>
      </w:pPr>
    </w:p>
    <w:p w14:paraId="25DBD480" w14:textId="77777777" w:rsidR="00200B99" w:rsidRPr="000C059E" w:rsidRDefault="00200B99" w:rsidP="00773EAE">
      <w:pPr>
        <w:ind w:left="851"/>
        <w:rPr>
          <w:sz w:val="24"/>
          <w:szCs w:val="24"/>
        </w:rPr>
      </w:pPr>
      <w:r w:rsidRPr="000C059E">
        <w:rPr>
          <w:sz w:val="24"/>
          <w:szCs w:val="24"/>
        </w:rPr>
        <w:t xml:space="preserve">Mediantiden til første symptom hos lenvatinib-behandlede patienter var 10,1 uger. Der blev ikke observeret nogen forskelle mellem lenvatinib- og placebobehandlede patienter, hvad angår forekomsten af alvorlige reaktioner (3,4 % </w:t>
      </w:r>
      <w:r w:rsidRPr="000C059E">
        <w:rPr>
          <w:i/>
          <w:sz w:val="24"/>
          <w:szCs w:val="24"/>
        </w:rPr>
        <w:t xml:space="preserve">versus </w:t>
      </w:r>
      <w:r w:rsidRPr="000C059E">
        <w:rPr>
          <w:sz w:val="24"/>
          <w:szCs w:val="24"/>
        </w:rPr>
        <w:t xml:space="preserve">3,8 %), reaktioner, der førte til for tidlig seponering (1,1 % </w:t>
      </w:r>
      <w:r w:rsidRPr="000C059E">
        <w:rPr>
          <w:i/>
          <w:sz w:val="24"/>
          <w:szCs w:val="24"/>
        </w:rPr>
        <w:t xml:space="preserve">versus </w:t>
      </w:r>
      <w:r w:rsidRPr="000C059E">
        <w:rPr>
          <w:sz w:val="24"/>
          <w:szCs w:val="24"/>
        </w:rPr>
        <w:t xml:space="preserve">1,5 %), eller reaktioner, der førte til dosisafbrydelse (3,4 % </w:t>
      </w:r>
      <w:r w:rsidRPr="000C059E">
        <w:rPr>
          <w:i/>
          <w:sz w:val="24"/>
          <w:szCs w:val="24"/>
        </w:rPr>
        <w:t xml:space="preserve">versus </w:t>
      </w:r>
      <w:r w:rsidRPr="000C059E">
        <w:rPr>
          <w:sz w:val="24"/>
          <w:szCs w:val="24"/>
        </w:rPr>
        <w:t xml:space="preserve">3,8 %) eller dosisreduktion (0,4 % </w:t>
      </w:r>
      <w:r w:rsidRPr="000C059E">
        <w:rPr>
          <w:i/>
          <w:sz w:val="24"/>
          <w:szCs w:val="24"/>
        </w:rPr>
        <w:t xml:space="preserve">versus </w:t>
      </w:r>
      <w:r w:rsidRPr="000C059E">
        <w:rPr>
          <w:sz w:val="24"/>
          <w:szCs w:val="24"/>
        </w:rPr>
        <w:t>0).</w:t>
      </w:r>
    </w:p>
    <w:p w14:paraId="7D740059" w14:textId="77777777" w:rsidR="00200B99" w:rsidRPr="000C059E" w:rsidRDefault="00200B99" w:rsidP="00773EAE">
      <w:pPr>
        <w:ind w:left="851"/>
        <w:rPr>
          <w:sz w:val="24"/>
          <w:szCs w:val="24"/>
        </w:rPr>
      </w:pPr>
    </w:p>
    <w:p w14:paraId="663E4BF8" w14:textId="77777777" w:rsidR="00200B99" w:rsidRPr="000C059E" w:rsidRDefault="00200B99" w:rsidP="00773EAE">
      <w:pPr>
        <w:ind w:left="851"/>
        <w:rPr>
          <w:i/>
          <w:sz w:val="24"/>
          <w:szCs w:val="24"/>
        </w:rPr>
      </w:pPr>
      <w:r w:rsidRPr="000C059E">
        <w:rPr>
          <w:i/>
          <w:sz w:val="24"/>
          <w:szCs w:val="24"/>
        </w:rPr>
        <w:t>HCC</w:t>
      </w:r>
    </w:p>
    <w:p w14:paraId="7EF549D3" w14:textId="77777777" w:rsidR="00200B99" w:rsidRPr="000C059E" w:rsidRDefault="00200B99" w:rsidP="00773EAE">
      <w:pPr>
        <w:ind w:left="851"/>
        <w:rPr>
          <w:i/>
          <w:sz w:val="24"/>
          <w:szCs w:val="24"/>
        </w:rPr>
      </w:pPr>
    </w:p>
    <w:p w14:paraId="536F9B9E" w14:textId="18F4AD39" w:rsidR="00200B99" w:rsidRPr="000C059E" w:rsidRDefault="00200B99" w:rsidP="00773EAE">
      <w:pPr>
        <w:ind w:left="851"/>
        <w:rPr>
          <w:sz w:val="24"/>
          <w:szCs w:val="24"/>
        </w:rPr>
      </w:pPr>
      <w:r w:rsidRPr="000C059E">
        <w:rPr>
          <w:sz w:val="24"/>
          <w:szCs w:val="24"/>
        </w:rPr>
        <w:t>I fase III-REFLECT-studiet (se pkt. 5.1) blev blødning rapporteret hos 24,6 % af patienterne, og 5,0 % var grad ≥ 3. Grad 3-reaktioner forekom hos 3,4 %, grad 4-reaktioner hos 0,2 %, og 7 patienter</w:t>
      </w:r>
      <w:r w:rsidR="00260B68">
        <w:rPr>
          <w:sz w:val="24"/>
          <w:szCs w:val="24"/>
        </w:rPr>
        <w:t xml:space="preserve"> </w:t>
      </w:r>
      <w:r w:rsidRPr="000C059E">
        <w:rPr>
          <w:sz w:val="24"/>
          <w:szCs w:val="24"/>
        </w:rPr>
        <w:t>(1,5 %) havde en grad 5-reaktion inklusive hjerneblødning, øvre mave-tarm-blødning, tarmblødning og tumorblødning. Mediantiden til første indtræden var 11,9 uger. En hændelse med blødning medførte dosisafbrydelse eller dosisreduktion hos hhv. 3,2 % og 0,8 % af patienterne og til seponering af behandlingen hos 1,7 % af patienterne.</w:t>
      </w:r>
    </w:p>
    <w:p w14:paraId="7BB1D4A9" w14:textId="77777777" w:rsidR="00200B99" w:rsidRPr="000C059E" w:rsidRDefault="00200B99" w:rsidP="00773EAE">
      <w:pPr>
        <w:ind w:left="851"/>
        <w:rPr>
          <w:sz w:val="24"/>
          <w:szCs w:val="24"/>
        </w:rPr>
      </w:pPr>
    </w:p>
    <w:p w14:paraId="7038568C" w14:textId="77777777" w:rsidR="00200B99" w:rsidRPr="000C059E" w:rsidRDefault="00200B99" w:rsidP="00773EAE">
      <w:pPr>
        <w:ind w:left="851"/>
        <w:rPr>
          <w:sz w:val="24"/>
          <w:szCs w:val="24"/>
        </w:rPr>
      </w:pPr>
      <w:r w:rsidRPr="000C059E">
        <w:rPr>
          <w:sz w:val="24"/>
          <w:szCs w:val="24"/>
        </w:rPr>
        <w:t>På tværs af kliniske studier, i hvilke 1.327 patienter fik lenvatinib som monoterapi til andre indikationer end HCC, blev blødning af grad 3 eller derover rapporteret hos 2 % af patienterne, 3 patienter (0,2 %) havde en grad 4-blødning, og 8 patienter (0,6 %) havde en grad 5-reaktion, herunder arteriel blødning, hjerneblødning, intrakranial blødning, intrakranial tumorblødning, hæmatemese, melæna, hæmoptyse og tumorblødning.</w:t>
      </w:r>
    </w:p>
    <w:p w14:paraId="3C5D1C24" w14:textId="77777777" w:rsidR="00200B99" w:rsidRPr="000C059E" w:rsidRDefault="00200B99" w:rsidP="00773EAE">
      <w:pPr>
        <w:ind w:left="851"/>
        <w:rPr>
          <w:sz w:val="24"/>
          <w:szCs w:val="24"/>
        </w:rPr>
      </w:pPr>
    </w:p>
    <w:p w14:paraId="5B0D5E7A" w14:textId="77777777" w:rsidR="00200B99" w:rsidRPr="000C059E" w:rsidRDefault="00200B99" w:rsidP="00773EAE">
      <w:pPr>
        <w:ind w:left="851"/>
        <w:rPr>
          <w:i/>
          <w:sz w:val="24"/>
          <w:szCs w:val="24"/>
        </w:rPr>
      </w:pPr>
      <w:r w:rsidRPr="000C059E">
        <w:rPr>
          <w:i/>
          <w:sz w:val="24"/>
          <w:szCs w:val="24"/>
        </w:rPr>
        <w:t>EC</w:t>
      </w:r>
    </w:p>
    <w:p w14:paraId="2AEE6083" w14:textId="77777777" w:rsidR="00200B99" w:rsidRPr="000C059E" w:rsidRDefault="00200B99" w:rsidP="00773EAE">
      <w:pPr>
        <w:ind w:left="851"/>
        <w:rPr>
          <w:i/>
          <w:sz w:val="24"/>
          <w:szCs w:val="24"/>
        </w:rPr>
      </w:pPr>
    </w:p>
    <w:p w14:paraId="15F9548A" w14:textId="77777777" w:rsidR="00200B99" w:rsidRPr="000C059E" w:rsidRDefault="00200B99" w:rsidP="00773EAE">
      <w:pPr>
        <w:ind w:left="851"/>
        <w:rPr>
          <w:sz w:val="24"/>
          <w:szCs w:val="24"/>
        </w:rPr>
      </w:pPr>
      <w:r w:rsidRPr="000C059E">
        <w:rPr>
          <w:sz w:val="24"/>
          <w:szCs w:val="24"/>
        </w:rPr>
        <w:t>I fase III-studiet 309 (se pkt. 5.1) blev blødning rapporteret hos 24,4 % af de lenvatinib plus pembrolizumab-behandlede patienter, og reaktioner af grad ≥ 3 forekom hos 3,0 % af patienterne. Mediantiden til indtræden var 65,0 dage. Dosisafbrydelse, dosisreduktion og seponering af lenvatinib forekom hos hhv. 1,7 %, 1,2 % og 1,7 % af patienterne.</w:t>
      </w:r>
    </w:p>
    <w:p w14:paraId="192CE889" w14:textId="77777777" w:rsidR="00200B99" w:rsidRPr="000C059E" w:rsidRDefault="00200B99" w:rsidP="00773EAE">
      <w:pPr>
        <w:ind w:left="851"/>
        <w:rPr>
          <w:sz w:val="24"/>
          <w:szCs w:val="24"/>
        </w:rPr>
      </w:pPr>
    </w:p>
    <w:p w14:paraId="6AE17E4C" w14:textId="77777777" w:rsidR="00200B99" w:rsidRPr="00260B68" w:rsidRDefault="00200B99" w:rsidP="00773EAE">
      <w:pPr>
        <w:ind w:left="851"/>
        <w:rPr>
          <w:i/>
          <w:sz w:val="24"/>
          <w:szCs w:val="24"/>
          <w:u w:val="single"/>
        </w:rPr>
      </w:pPr>
      <w:r w:rsidRPr="00260B68">
        <w:rPr>
          <w:i/>
          <w:sz w:val="24"/>
          <w:szCs w:val="24"/>
          <w:u w:val="single"/>
        </w:rPr>
        <w:t>Hypocalcæmi (se pkt. 4.4)</w:t>
      </w:r>
    </w:p>
    <w:p w14:paraId="67B72218" w14:textId="77777777" w:rsidR="00200B99" w:rsidRPr="000C059E" w:rsidRDefault="00200B99" w:rsidP="00773EAE">
      <w:pPr>
        <w:ind w:left="851"/>
        <w:rPr>
          <w:i/>
          <w:sz w:val="24"/>
          <w:szCs w:val="24"/>
        </w:rPr>
      </w:pPr>
    </w:p>
    <w:p w14:paraId="77A3CF8D" w14:textId="77777777" w:rsidR="00200B99" w:rsidRPr="000C059E" w:rsidRDefault="00200B99" w:rsidP="00773EAE">
      <w:pPr>
        <w:ind w:left="851"/>
        <w:rPr>
          <w:i/>
          <w:sz w:val="24"/>
          <w:szCs w:val="24"/>
        </w:rPr>
      </w:pPr>
      <w:r w:rsidRPr="000C059E">
        <w:rPr>
          <w:i/>
          <w:sz w:val="24"/>
          <w:szCs w:val="24"/>
        </w:rPr>
        <w:t>DTC</w:t>
      </w:r>
    </w:p>
    <w:p w14:paraId="625E5672" w14:textId="77777777" w:rsidR="00200B99" w:rsidRPr="000C059E" w:rsidRDefault="00200B99" w:rsidP="00773EAE">
      <w:pPr>
        <w:ind w:left="851"/>
        <w:rPr>
          <w:i/>
          <w:sz w:val="24"/>
          <w:szCs w:val="24"/>
        </w:rPr>
      </w:pPr>
    </w:p>
    <w:p w14:paraId="582747ED" w14:textId="4ED5F139" w:rsidR="00200B99" w:rsidRPr="000C059E" w:rsidRDefault="00200B99" w:rsidP="00773EAE">
      <w:pPr>
        <w:ind w:left="851"/>
        <w:rPr>
          <w:sz w:val="24"/>
          <w:szCs w:val="24"/>
        </w:rPr>
      </w:pPr>
      <w:r w:rsidRPr="000C059E">
        <w:rPr>
          <w:sz w:val="24"/>
          <w:szCs w:val="24"/>
        </w:rPr>
        <w:t xml:space="preserve">I </w:t>
      </w:r>
      <w:proofErr w:type="gramStart"/>
      <w:r w:rsidRPr="000C059E">
        <w:rPr>
          <w:sz w:val="24"/>
          <w:szCs w:val="24"/>
        </w:rPr>
        <w:t>det pivotale</w:t>
      </w:r>
      <w:proofErr w:type="gramEnd"/>
      <w:r w:rsidRPr="000C059E">
        <w:rPr>
          <w:sz w:val="24"/>
          <w:szCs w:val="24"/>
        </w:rPr>
        <w:t xml:space="preserve"> fase III SELECT-studie (se pkt. 5.1) blev hypocalcæmi rapporteret hos 12,6</w:t>
      </w:r>
      <w:r w:rsidR="00C44B05">
        <w:rPr>
          <w:sz w:val="24"/>
          <w:szCs w:val="24"/>
        </w:rPr>
        <w:t> </w:t>
      </w:r>
      <w:r w:rsidRPr="000C059E">
        <w:rPr>
          <w:sz w:val="24"/>
          <w:szCs w:val="24"/>
        </w:rPr>
        <w:t xml:space="preserve">% af de lenvatinib-behandlede patienter </w:t>
      </w:r>
      <w:r w:rsidRPr="000C059E">
        <w:rPr>
          <w:i/>
          <w:sz w:val="24"/>
          <w:szCs w:val="24"/>
        </w:rPr>
        <w:t xml:space="preserve">versus </w:t>
      </w:r>
      <w:r w:rsidRPr="000C059E">
        <w:rPr>
          <w:sz w:val="24"/>
          <w:szCs w:val="24"/>
        </w:rPr>
        <w:t xml:space="preserve">ingen tilfælde i placeboarmen. Mediantiden til første symptom hos lenvatinib-behandlede patienter var 11,1 uger. Reaktioner af sværhedsgrad 3 eller 4 forekom hos 5,0 % af lenvatinib-behandlede patienter </w:t>
      </w:r>
      <w:r w:rsidRPr="000C059E">
        <w:rPr>
          <w:i/>
          <w:sz w:val="24"/>
          <w:szCs w:val="24"/>
        </w:rPr>
        <w:t xml:space="preserve">versus </w:t>
      </w:r>
      <w:r w:rsidRPr="000C059E">
        <w:rPr>
          <w:sz w:val="24"/>
          <w:szCs w:val="24"/>
        </w:rPr>
        <w:t xml:space="preserve">0 placebobehandlede patienter. De fleste reaktioner gik væk efter støttebehandling uden dosisafbrydelse eller -reduktion, hvilket forekom hos hhv. 1,5 % og 1,1 % af patienterne. Én patient med grad 4-hypocalcæmi seponerede behandlingen permanent. </w:t>
      </w:r>
    </w:p>
    <w:p w14:paraId="75FF3A3E" w14:textId="0093EA0F" w:rsidR="00C44B05" w:rsidRDefault="00C44B05">
      <w:pPr>
        <w:rPr>
          <w:sz w:val="24"/>
          <w:szCs w:val="24"/>
        </w:rPr>
      </w:pPr>
      <w:r>
        <w:rPr>
          <w:sz w:val="24"/>
          <w:szCs w:val="24"/>
        </w:rPr>
        <w:br w:type="page"/>
      </w:r>
    </w:p>
    <w:p w14:paraId="4586E677" w14:textId="77777777" w:rsidR="00200B99" w:rsidRPr="000C059E" w:rsidRDefault="00200B99" w:rsidP="00773EAE">
      <w:pPr>
        <w:ind w:left="851"/>
        <w:rPr>
          <w:sz w:val="24"/>
          <w:szCs w:val="24"/>
        </w:rPr>
      </w:pPr>
    </w:p>
    <w:p w14:paraId="5B6A52FC" w14:textId="77777777" w:rsidR="00200B99" w:rsidRPr="000C059E" w:rsidRDefault="00200B99" w:rsidP="00773EAE">
      <w:pPr>
        <w:ind w:left="851"/>
        <w:rPr>
          <w:i/>
          <w:sz w:val="24"/>
          <w:szCs w:val="24"/>
        </w:rPr>
      </w:pPr>
      <w:r w:rsidRPr="000C059E">
        <w:rPr>
          <w:i/>
          <w:sz w:val="24"/>
          <w:szCs w:val="24"/>
        </w:rPr>
        <w:t>HCC</w:t>
      </w:r>
    </w:p>
    <w:p w14:paraId="18FE6E22" w14:textId="77777777" w:rsidR="00200B99" w:rsidRPr="000C059E" w:rsidRDefault="00200B99" w:rsidP="00773EAE">
      <w:pPr>
        <w:ind w:left="851"/>
        <w:rPr>
          <w:i/>
          <w:sz w:val="24"/>
          <w:szCs w:val="24"/>
        </w:rPr>
      </w:pPr>
    </w:p>
    <w:p w14:paraId="73D3C6FF" w14:textId="77777777" w:rsidR="00200B99" w:rsidRPr="000C059E" w:rsidRDefault="00200B99" w:rsidP="00773EAE">
      <w:pPr>
        <w:ind w:left="851"/>
        <w:rPr>
          <w:sz w:val="24"/>
          <w:szCs w:val="24"/>
        </w:rPr>
      </w:pPr>
      <w:r w:rsidRPr="000C059E">
        <w:rPr>
          <w:sz w:val="24"/>
          <w:szCs w:val="24"/>
        </w:rPr>
        <w:t>I fase III-REFLECT-studiet (se pkt. 5.1) blev hypocalcæmi rapporteret hos 1,1 % af patienterne, hvor grad 3-reaktioner forekom hos 0,4 %. Dosisafbrydelse af lenvatinib på grund af hypocalcæmi forekom hos en forsøgsperson (0,2 %), og der var ingen dosisreduktioner eller seponeringer.</w:t>
      </w:r>
    </w:p>
    <w:p w14:paraId="1E860AC4" w14:textId="77777777" w:rsidR="00200B99" w:rsidRPr="000C059E" w:rsidRDefault="00200B99" w:rsidP="00773EAE">
      <w:pPr>
        <w:ind w:left="851"/>
        <w:rPr>
          <w:sz w:val="24"/>
          <w:szCs w:val="24"/>
        </w:rPr>
      </w:pPr>
    </w:p>
    <w:p w14:paraId="1757CADC" w14:textId="77777777" w:rsidR="00200B99" w:rsidRPr="000C059E" w:rsidRDefault="00200B99" w:rsidP="00773EAE">
      <w:pPr>
        <w:ind w:left="851"/>
        <w:rPr>
          <w:i/>
          <w:sz w:val="24"/>
          <w:szCs w:val="24"/>
        </w:rPr>
      </w:pPr>
      <w:r w:rsidRPr="000C059E">
        <w:rPr>
          <w:i/>
          <w:sz w:val="24"/>
          <w:szCs w:val="24"/>
        </w:rPr>
        <w:t>EC</w:t>
      </w:r>
    </w:p>
    <w:p w14:paraId="1E0E229B" w14:textId="77777777" w:rsidR="00200B99" w:rsidRPr="000C059E" w:rsidRDefault="00200B99" w:rsidP="00773EAE">
      <w:pPr>
        <w:ind w:left="851"/>
        <w:rPr>
          <w:i/>
          <w:sz w:val="24"/>
          <w:szCs w:val="24"/>
        </w:rPr>
      </w:pPr>
    </w:p>
    <w:p w14:paraId="1F524F21" w14:textId="77777777" w:rsidR="00200B99" w:rsidRPr="000C059E" w:rsidRDefault="00200B99" w:rsidP="00773EAE">
      <w:pPr>
        <w:ind w:left="851"/>
        <w:rPr>
          <w:sz w:val="24"/>
          <w:szCs w:val="24"/>
        </w:rPr>
      </w:pPr>
      <w:r w:rsidRPr="000C059E">
        <w:rPr>
          <w:sz w:val="24"/>
          <w:szCs w:val="24"/>
        </w:rPr>
        <w:t>I fase III-studiet 309 (se pkt. 5.1) blev hypocalcæmi rapporteret hos 3,9 % af de lenvatinib plus pembrolizumab-behandlede patienter, og reaktioner af grad ≥ 3 forekom hos 1,0 % af patienterne. Mediantiden til indtræden var 148,0 dage. Der blev ikke rapporteret om modifikation af lenvatinibdosis.</w:t>
      </w:r>
    </w:p>
    <w:p w14:paraId="33B26F05" w14:textId="77777777" w:rsidR="00200B99" w:rsidRPr="000C059E" w:rsidRDefault="00200B99" w:rsidP="00773EAE">
      <w:pPr>
        <w:ind w:left="851"/>
        <w:rPr>
          <w:sz w:val="24"/>
          <w:szCs w:val="24"/>
        </w:rPr>
      </w:pPr>
    </w:p>
    <w:p w14:paraId="5F59D7F9" w14:textId="77777777" w:rsidR="00200B99" w:rsidRPr="00260B68" w:rsidRDefault="00200B99" w:rsidP="00773EAE">
      <w:pPr>
        <w:ind w:left="851"/>
        <w:rPr>
          <w:i/>
          <w:sz w:val="24"/>
          <w:szCs w:val="24"/>
          <w:u w:val="single"/>
        </w:rPr>
      </w:pPr>
      <w:r w:rsidRPr="00260B68">
        <w:rPr>
          <w:i/>
          <w:sz w:val="24"/>
          <w:szCs w:val="24"/>
          <w:u w:val="single"/>
        </w:rPr>
        <w:t>Mave-tarm-perforation og fisteldannelse (se pkt. 4.4)</w:t>
      </w:r>
    </w:p>
    <w:p w14:paraId="14BF5E66" w14:textId="77777777" w:rsidR="00200B99" w:rsidRPr="000C059E" w:rsidRDefault="00200B99" w:rsidP="00773EAE">
      <w:pPr>
        <w:ind w:left="851"/>
        <w:rPr>
          <w:i/>
          <w:sz w:val="24"/>
          <w:szCs w:val="24"/>
        </w:rPr>
      </w:pPr>
    </w:p>
    <w:p w14:paraId="0C953AF6" w14:textId="77777777" w:rsidR="00200B99" w:rsidRPr="000C059E" w:rsidRDefault="00200B99" w:rsidP="00773EAE">
      <w:pPr>
        <w:ind w:left="851"/>
        <w:rPr>
          <w:i/>
          <w:sz w:val="24"/>
          <w:szCs w:val="24"/>
        </w:rPr>
      </w:pPr>
      <w:r w:rsidRPr="000C059E">
        <w:rPr>
          <w:i/>
          <w:sz w:val="24"/>
          <w:szCs w:val="24"/>
        </w:rPr>
        <w:t>DTC</w:t>
      </w:r>
    </w:p>
    <w:p w14:paraId="5403A2EB" w14:textId="77777777" w:rsidR="00200B99" w:rsidRPr="000C059E" w:rsidRDefault="00200B99" w:rsidP="00773EAE">
      <w:pPr>
        <w:ind w:left="851"/>
        <w:rPr>
          <w:i/>
          <w:sz w:val="24"/>
          <w:szCs w:val="24"/>
        </w:rPr>
      </w:pPr>
    </w:p>
    <w:p w14:paraId="2A8DEA03" w14:textId="77777777" w:rsidR="00200B99" w:rsidRPr="000C059E" w:rsidRDefault="00200B99" w:rsidP="00773EAE">
      <w:pPr>
        <w:ind w:left="851"/>
        <w:rPr>
          <w:sz w:val="24"/>
          <w:szCs w:val="24"/>
        </w:rPr>
      </w:pPr>
      <w:r w:rsidRPr="000C059E">
        <w:rPr>
          <w:sz w:val="24"/>
          <w:szCs w:val="24"/>
        </w:rPr>
        <w:t xml:space="preserve">I </w:t>
      </w:r>
      <w:proofErr w:type="gramStart"/>
      <w:r w:rsidRPr="000C059E">
        <w:rPr>
          <w:sz w:val="24"/>
          <w:szCs w:val="24"/>
        </w:rPr>
        <w:t>det pivotale</w:t>
      </w:r>
      <w:proofErr w:type="gramEnd"/>
      <w:r w:rsidRPr="000C059E">
        <w:rPr>
          <w:sz w:val="24"/>
          <w:szCs w:val="24"/>
        </w:rPr>
        <w:t xml:space="preserve"> fase III SELECT-studie (se pkt. 5.1) blev hændelser med mave-tarm-perforation eller fistel rapporteret hos 1,9 % af de lenvatinib-behandlede patienter og hos 0,8 % af patienterne i gruppen, der fik placebo.</w:t>
      </w:r>
    </w:p>
    <w:p w14:paraId="21574A5C" w14:textId="77777777" w:rsidR="00200B99" w:rsidRPr="000C059E" w:rsidRDefault="00200B99" w:rsidP="00773EAE">
      <w:pPr>
        <w:ind w:left="851"/>
        <w:rPr>
          <w:sz w:val="24"/>
          <w:szCs w:val="24"/>
        </w:rPr>
      </w:pPr>
    </w:p>
    <w:p w14:paraId="2CCC7A06" w14:textId="77777777" w:rsidR="00200B99" w:rsidRPr="000C059E" w:rsidRDefault="00200B99" w:rsidP="00773EAE">
      <w:pPr>
        <w:ind w:left="851"/>
        <w:rPr>
          <w:i/>
          <w:sz w:val="24"/>
          <w:szCs w:val="24"/>
        </w:rPr>
      </w:pPr>
      <w:r w:rsidRPr="000C059E">
        <w:rPr>
          <w:i/>
          <w:sz w:val="24"/>
          <w:szCs w:val="24"/>
        </w:rPr>
        <w:t>HCC</w:t>
      </w:r>
    </w:p>
    <w:p w14:paraId="3B720069" w14:textId="77777777" w:rsidR="00200B99" w:rsidRPr="000C059E" w:rsidRDefault="00200B99" w:rsidP="00773EAE">
      <w:pPr>
        <w:ind w:left="851"/>
        <w:rPr>
          <w:i/>
          <w:sz w:val="24"/>
          <w:szCs w:val="24"/>
        </w:rPr>
      </w:pPr>
    </w:p>
    <w:p w14:paraId="1F8699E2" w14:textId="77777777" w:rsidR="00200B99" w:rsidRPr="000C059E" w:rsidRDefault="00200B99" w:rsidP="00773EAE">
      <w:pPr>
        <w:ind w:left="851"/>
        <w:rPr>
          <w:sz w:val="24"/>
          <w:szCs w:val="24"/>
        </w:rPr>
      </w:pPr>
      <w:r w:rsidRPr="000C059E">
        <w:rPr>
          <w:sz w:val="24"/>
          <w:szCs w:val="24"/>
        </w:rPr>
        <w:t>I fase III-REFLECT-studiet (se pkt. 5.1) blev hændelser med mave-tarm-perforation eller fistel rapporteret hos 1,9 % af de lenvatinib-behandlede patienter.</w:t>
      </w:r>
    </w:p>
    <w:p w14:paraId="09CA2F7F" w14:textId="77777777" w:rsidR="00200B99" w:rsidRPr="000C059E" w:rsidRDefault="00200B99" w:rsidP="00773EAE">
      <w:pPr>
        <w:ind w:left="851"/>
        <w:rPr>
          <w:sz w:val="24"/>
          <w:szCs w:val="24"/>
        </w:rPr>
      </w:pPr>
    </w:p>
    <w:p w14:paraId="2C8CDE0D" w14:textId="77777777" w:rsidR="00200B99" w:rsidRPr="000C059E" w:rsidRDefault="00200B99" w:rsidP="00773EAE">
      <w:pPr>
        <w:ind w:left="851"/>
        <w:rPr>
          <w:i/>
          <w:sz w:val="24"/>
          <w:szCs w:val="24"/>
        </w:rPr>
      </w:pPr>
      <w:r w:rsidRPr="000C059E">
        <w:rPr>
          <w:i/>
          <w:sz w:val="24"/>
          <w:szCs w:val="24"/>
        </w:rPr>
        <w:t>EC</w:t>
      </w:r>
    </w:p>
    <w:p w14:paraId="332F5411" w14:textId="77777777" w:rsidR="00200B99" w:rsidRPr="000C059E" w:rsidRDefault="00200B99" w:rsidP="00773EAE">
      <w:pPr>
        <w:ind w:left="851"/>
        <w:rPr>
          <w:i/>
          <w:sz w:val="24"/>
          <w:szCs w:val="24"/>
        </w:rPr>
      </w:pPr>
    </w:p>
    <w:p w14:paraId="39B8E49F" w14:textId="77777777" w:rsidR="00200B99" w:rsidRPr="000C059E" w:rsidRDefault="00200B99" w:rsidP="00773EAE">
      <w:pPr>
        <w:ind w:left="851"/>
        <w:rPr>
          <w:sz w:val="24"/>
          <w:szCs w:val="24"/>
        </w:rPr>
      </w:pPr>
      <w:r w:rsidRPr="000C059E">
        <w:rPr>
          <w:sz w:val="24"/>
          <w:szCs w:val="24"/>
        </w:rPr>
        <w:t>I fase III-studiet 309 (se pkt. 5.1) blev hændelser med fisteldannelse rapporteret hos 2,5 % af de lenvatinib plus pembrolizumab-behandlede patienter, og reaktioner af grad ≥ 3 forekom hos 2,5 % af patienterne. Mediantiden til indtræden var 117,0 dage. Seponering af lenvatinib forekom hos 1,0 % af patienterne. Hændelser med mave-tarm-perforation blev rapporteret hos 3,9 % af de lenvatinib plus pembrolizumab-behandlede patienter, og reaktioner af grad ≥ 3 forekom hos 3,0 % af patienterne.</w:t>
      </w:r>
    </w:p>
    <w:p w14:paraId="05277671" w14:textId="77777777" w:rsidR="00200B99" w:rsidRPr="000C059E" w:rsidRDefault="00200B99" w:rsidP="00773EAE">
      <w:pPr>
        <w:ind w:left="851"/>
        <w:rPr>
          <w:sz w:val="24"/>
          <w:szCs w:val="24"/>
        </w:rPr>
      </w:pPr>
      <w:r w:rsidRPr="000C059E">
        <w:rPr>
          <w:sz w:val="24"/>
          <w:szCs w:val="24"/>
        </w:rPr>
        <w:t>Mediantiden til indtræden var 42 dage. Dosisafbrydelse og seponering af lenvatinib forekom hos hhv. 0,5 % og 3,0 % af patienterne.</w:t>
      </w:r>
    </w:p>
    <w:p w14:paraId="55F775E3" w14:textId="77777777" w:rsidR="00200B99" w:rsidRPr="000C059E" w:rsidRDefault="00200B99" w:rsidP="00773EAE">
      <w:pPr>
        <w:ind w:left="851"/>
        <w:rPr>
          <w:sz w:val="24"/>
          <w:szCs w:val="24"/>
        </w:rPr>
      </w:pPr>
    </w:p>
    <w:p w14:paraId="11725F15" w14:textId="77777777" w:rsidR="00200B99" w:rsidRPr="00260B68" w:rsidRDefault="00200B99" w:rsidP="00773EAE">
      <w:pPr>
        <w:ind w:left="851"/>
        <w:rPr>
          <w:i/>
          <w:sz w:val="24"/>
          <w:szCs w:val="24"/>
          <w:u w:val="single"/>
        </w:rPr>
      </w:pPr>
      <w:r w:rsidRPr="00260B68">
        <w:rPr>
          <w:i/>
          <w:sz w:val="24"/>
          <w:szCs w:val="24"/>
          <w:u w:val="single"/>
        </w:rPr>
        <w:t>Fistler uden for mave-tarm-kanalen (se pkt. 4.4)</w:t>
      </w:r>
    </w:p>
    <w:p w14:paraId="6BB66565" w14:textId="77777777" w:rsidR="00200B99" w:rsidRPr="000C059E" w:rsidRDefault="00200B99" w:rsidP="00773EAE">
      <w:pPr>
        <w:ind w:left="851"/>
        <w:rPr>
          <w:i/>
          <w:sz w:val="24"/>
          <w:szCs w:val="24"/>
        </w:rPr>
      </w:pPr>
    </w:p>
    <w:p w14:paraId="334317AB" w14:textId="4A5B0A86" w:rsidR="00200B99" w:rsidRPr="000C059E" w:rsidRDefault="00200B99" w:rsidP="00773EAE">
      <w:pPr>
        <w:ind w:left="851"/>
        <w:rPr>
          <w:sz w:val="24"/>
          <w:szCs w:val="24"/>
        </w:rPr>
      </w:pPr>
      <w:r w:rsidRPr="000C059E">
        <w:rPr>
          <w:sz w:val="24"/>
          <w:szCs w:val="24"/>
        </w:rPr>
        <w:t>Anvendelsen af lenvatinib har været forbundet med tilfælde af fistler, herunder reaktioner med døden som følge. Rapporter om fistler, der involverer andre kropsområder end maven eller tarmen, blev observeret for forskellige indikationer. Reaktionerne blev rapporteret på forskellige tidspunkter under behandlingen, fra to uger til over 1 år fra lenvatinib blev påbegyndt, med en median latenstid på ca.</w:t>
      </w:r>
      <w:r w:rsidR="00C44B05">
        <w:rPr>
          <w:sz w:val="24"/>
          <w:szCs w:val="24"/>
        </w:rPr>
        <w:t xml:space="preserve"> </w:t>
      </w:r>
      <w:r w:rsidRPr="000C059E">
        <w:rPr>
          <w:sz w:val="24"/>
          <w:szCs w:val="24"/>
        </w:rPr>
        <w:t>3 måneder.</w:t>
      </w:r>
    </w:p>
    <w:p w14:paraId="2FEFB903" w14:textId="21AF814F" w:rsidR="00C44B05" w:rsidRDefault="00C44B05">
      <w:pPr>
        <w:rPr>
          <w:sz w:val="24"/>
          <w:szCs w:val="24"/>
        </w:rPr>
      </w:pPr>
      <w:r>
        <w:rPr>
          <w:sz w:val="24"/>
          <w:szCs w:val="24"/>
        </w:rPr>
        <w:br w:type="page"/>
      </w:r>
    </w:p>
    <w:p w14:paraId="65008A3D" w14:textId="77777777" w:rsidR="00200B99" w:rsidRPr="000C059E" w:rsidRDefault="00200B99" w:rsidP="00773EAE">
      <w:pPr>
        <w:ind w:left="851"/>
        <w:rPr>
          <w:sz w:val="24"/>
          <w:szCs w:val="24"/>
        </w:rPr>
      </w:pPr>
    </w:p>
    <w:p w14:paraId="1A998348" w14:textId="77777777" w:rsidR="00200B99" w:rsidRPr="00260B68" w:rsidRDefault="00200B99" w:rsidP="00773EAE">
      <w:pPr>
        <w:ind w:left="851"/>
        <w:rPr>
          <w:i/>
          <w:sz w:val="24"/>
          <w:szCs w:val="24"/>
          <w:u w:val="single"/>
        </w:rPr>
      </w:pPr>
      <w:r w:rsidRPr="00260B68">
        <w:rPr>
          <w:i/>
          <w:sz w:val="24"/>
          <w:szCs w:val="24"/>
          <w:u w:val="single"/>
        </w:rPr>
        <w:t>Forlængelse af QT-intervallet (se pkt. 4.4)</w:t>
      </w:r>
    </w:p>
    <w:p w14:paraId="0E4E16CF" w14:textId="77777777" w:rsidR="00200B99" w:rsidRPr="000C059E" w:rsidRDefault="00200B99" w:rsidP="00773EAE">
      <w:pPr>
        <w:ind w:left="851"/>
        <w:rPr>
          <w:i/>
          <w:sz w:val="24"/>
          <w:szCs w:val="24"/>
        </w:rPr>
      </w:pPr>
    </w:p>
    <w:p w14:paraId="64CDB8C5" w14:textId="77777777" w:rsidR="00200B99" w:rsidRPr="000C059E" w:rsidRDefault="00200B99" w:rsidP="00773EAE">
      <w:pPr>
        <w:ind w:left="851"/>
        <w:rPr>
          <w:i/>
          <w:sz w:val="24"/>
          <w:szCs w:val="24"/>
        </w:rPr>
      </w:pPr>
      <w:r w:rsidRPr="000C059E">
        <w:rPr>
          <w:i/>
          <w:sz w:val="24"/>
          <w:szCs w:val="24"/>
        </w:rPr>
        <w:t>DTC</w:t>
      </w:r>
    </w:p>
    <w:p w14:paraId="433658E6" w14:textId="77777777" w:rsidR="00200B99" w:rsidRPr="000C059E" w:rsidRDefault="00200B99" w:rsidP="00773EAE">
      <w:pPr>
        <w:ind w:left="851"/>
        <w:rPr>
          <w:i/>
          <w:sz w:val="24"/>
          <w:szCs w:val="24"/>
        </w:rPr>
      </w:pPr>
    </w:p>
    <w:p w14:paraId="16FD48A6" w14:textId="77777777" w:rsidR="00200B99" w:rsidRPr="000C059E" w:rsidRDefault="00200B99" w:rsidP="00773EAE">
      <w:pPr>
        <w:ind w:left="851"/>
        <w:rPr>
          <w:sz w:val="24"/>
          <w:szCs w:val="24"/>
        </w:rPr>
      </w:pPr>
      <w:r w:rsidRPr="000C059E">
        <w:rPr>
          <w:sz w:val="24"/>
          <w:szCs w:val="24"/>
        </w:rPr>
        <w:t xml:space="preserve">I </w:t>
      </w:r>
      <w:proofErr w:type="gramStart"/>
      <w:r w:rsidRPr="000C059E">
        <w:rPr>
          <w:sz w:val="24"/>
          <w:szCs w:val="24"/>
        </w:rPr>
        <w:t>det pivotale</w:t>
      </w:r>
      <w:proofErr w:type="gramEnd"/>
      <w:r w:rsidRPr="000C059E">
        <w:rPr>
          <w:sz w:val="24"/>
          <w:szCs w:val="24"/>
        </w:rPr>
        <w:t xml:space="preserve"> fase III SELECT-studie (se pkt. 5.1) blev forlængelse af QT/QTc-intervallet rapporteret hos 8,8 % af de lenvatinib-behandlede patienter og hos 1,5 % af patienterne i gruppen, der fik placebo. Forekomsten af en forlængelse af QT-intervallet over 500 ms var 2 % hos de lenvatinib-behandlede patienter sammenlignet med ingen rapporter i gruppen, der fik placebo.</w:t>
      </w:r>
    </w:p>
    <w:p w14:paraId="0DD8BAA9" w14:textId="77777777" w:rsidR="00200B99" w:rsidRPr="000C059E" w:rsidRDefault="00200B99" w:rsidP="00773EAE">
      <w:pPr>
        <w:ind w:left="851"/>
        <w:rPr>
          <w:sz w:val="24"/>
          <w:szCs w:val="24"/>
        </w:rPr>
      </w:pPr>
    </w:p>
    <w:p w14:paraId="4E7D9B44" w14:textId="77777777" w:rsidR="00200B99" w:rsidRPr="000C059E" w:rsidRDefault="00200B99" w:rsidP="00773EAE">
      <w:pPr>
        <w:ind w:left="851"/>
        <w:rPr>
          <w:i/>
          <w:sz w:val="24"/>
          <w:szCs w:val="24"/>
        </w:rPr>
      </w:pPr>
      <w:r w:rsidRPr="000C059E">
        <w:rPr>
          <w:i/>
          <w:sz w:val="24"/>
          <w:szCs w:val="24"/>
        </w:rPr>
        <w:t>HCC</w:t>
      </w:r>
    </w:p>
    <w:p w14:paraId="43BA708C" w14:textId="77777777" w:rsidR="00200B99" w:rsidRPr="000C059E" w:rsidRDefault="00200B99" w:rsidP="00773EAE">
      <w:pPr>
        <w:ind w:left="851"/>
        <w:rPr>
          <w:i/>
          <w:sz w:val="24"/>
          <w:szCs w:val="24"/>
        </w:rPr>
      </w:pPr>
    </w:p>
    <w:p w14:paraId="627C7377" w14:textId="77777777" w:rsidR="00200B99" w:rsidRPr="000C059E" w:rsidRDefault="00200B99" w:rsidP="00773EAE">
      <w:pPr>
        <w:ind w:left="851"/>
        <w:rPr>
          <w:sz w:val="24"/>
          <w:szCs w:val="24"/>
        </w:rPr>
      </w:pPr>
      <w:r w:rsidRPr="000C059E">
        <w:rPr>
          <w:sz w:val="24"/>
          <w:szCs w:val="24"/>
        </w:rPr>
        <w:t>I fase III-REFLECT-studiet (se pkt. 5.1) blev forlængelse af QT/QTc-intervallet rapporteret hos 6,9 % af de lenvatinib-behandlede patienter. Forekomsten af en forlængelse af QTcF-intervallet over 500 ms var 2,4 %.</w:t>
      </w:r>
    </w:p>
    <w:p w14:paraId="5B667671" w14:textId="77777777" w:rsidR="00200B99" w:rsidRPr="000C059E" w:rsidRDefault="00200B99" w:rsidP="00773EAE">
      <w:pPr>
        <w:ind w:left="851"/>
        <w:rPr>
          <w:sz w:val="24"/>
          <w:szCs w:val="24"/>
        </w:rPr>
      </w:pPr>
    </w:p>
    <w:p w14:paraId="04DAC191" w14:textId="77777777" w:rsidR="00200B99" w:rsidRPr="000C059E" w:rsidRDefault="00200B99" w:rsidP="00773EAE">
      <w:pPr>
        <w:ind w:left="851"/>
        <w:rPr>
          <w:i/>
          <w:sz w:val="24"/>
          <w:szCs w:val="24"/>
        </w:rPr>
      </w:pPr>
      <w:r w:rsidRPr="000C059E">
        <w:rPr>
          <w:i/>
          <w:sz w:val="24"/>
          <w:szCs w:val="24"/>
        </w:rPr>
        <w:t>EC</w:t>
      </w:r>
    </w:p>
    <w:p w14:paraId="57409C75" w14:textId="77777777" w:rsidR="00200B99" w:rsidRPr="000C059E" w:rsidRDefault="00200B99" w:rsidP="00773EAE">
      <w:pPr>
        <w:ind w:left="851"/>
        <w:rPr>
          <w:i/>
          <w:sz w:val="24"/>
          <w:szCs w:val="24"/>
        </w:rPr>
      </w:pPr>
    </w:p>
    <w:p w14:paraId="64BF2AF7" w14:textId="77777777" w:rsidR="00200B99" w:rsidRPr="000C059E" w:rsidRDefault="00200B99" w:rsidP="00773EAE">
      <w:pPr>
        <w:ind w:left="851"/>
        <w:rPr>
          <w:sz w:val="24"/>
          <w:szCs w:val="24"/>
        </w:rPr>
      </w:pPr>
      <w:r w:rsidRPr="000C059E">
        <w:rPr>
          <w:sz w:val="24"/>
          <w:szCs w:val="24"/>
        </w:rPr>
        <w:t>I fase III-studiet 309 (se pkt. 5.1) blev forlængelse af QT-intervallet rapporteret hos 3,9 % af de lenvatinib plus pembrolizumab-behandlede patienter, og reaktioner af grad ≥ 3 forekom hos 0,5 % af patienterne. Mediantiden til indtræden var 115,5 dage. Dosisafbrydelse og dosisreduktion af lenvatinib forekom hos hhv. 0,2 % og 0,5 % af patienterne.</w:t>
      </w:r>
    </w:p>
    <w:p w14:paraId="14E0263E" w14:textId="77777777" w:rsidR="00200B99" w:rsidRPr="000C059E" w:rsidRDefault="00200B99" w:rsidP="00773EAE">
      <w:pPr>
        <w:ind w:left="851"/>
        <w:rPr>
          <w:sz w:val="24"/>
          <w:szCs w:val="24"/>
        </w:rPr>
      </w:pPr>
    </w:p>
    <w:p w14:paraId="7627CA33" w14:textId="77777777" w:rsidR="00200B99" w:rsidRPr="00260B68" w:rsidRDefault="00200B99" w:rsidP="00773EAE">
      <w:pPr>
        <w:ind w:left="851"/>
        <w:rPr>
          <w:i/>
          <w:sz w:val="24"/>
          <w:szCs w:val="24"/>
          <w:u w:val="single"/>
        </w:rPr>
      </w:pPr>
      <w:r w:rsidRPr="00260B68">
        <w:rPr>
          <w:i/>
          <w:sz w:val="24"/>
          <w:szCs w:val="24"/>
          <w:u w:val="single"/>
        </w:rPr>
        <w:t>Forhøjet niveau af thyreoideastimulerende hormon i blodet (se pkt. 4.4)</w:t>
      </w:r>
    </w:p>
    <w:p w14:paraId="6F84F0C6" w14:textId="77777777" w:rsidR="00200B99" w:rsidRPr="000C059E" w:rsidRDefault="00200B99" w:rsidP="00773EAE">
      <w:pPr>
        <w:ind w:left="851"/>
        <w:rPr>
          <w:i/>
          <w:sz w:val="24"/>
          <w:szCs w:val="24"/>
        </w:rPr>
      </w:pPr>
    </w:p>
    <w:p w14:paraId="5A15CBA6" w14:textId="77777777" w:rsidR="00200B99" w:rsidRPr="000C059E" w:rsidRDefault="00200B99" w:rsidP="00773EAE">
      <w:pPr>
        <w:ind w:left="851"/>
        <w:rPr>
          <w:i/>
          <w:sz w:val="24"/>
          <w:szCs w:val="24"/>
        </w:rPr>
      </w:pPr>
      <w:r w:rsidRPr="000C059E">
        <w:rPr>
          <w:i/>
          <w:sz w:val="24"/>
          <w:szCs w:val="24"/>
        </w:rPr>
        <w:t>DTC</w:t>
      </w:r>
    </w:p>
    <w:p w14:paraId="1132728E" w14:textId="77777777" w:rsidR="00200B99" w:rsidRPr="000C059E" w:rsidRDefault="00200B99" w:rsidP="00773EAE">
      <w:pPr>
        <w:ind w:left="851"/>
        <w:rPr>
          <w:i/>
          <w:sz w:val="24"/>
          <w:szCs w:val="24"/>
        </w:rPr>
      </w:pPr>
    </w:p>
    <w:p w14:paraId="57615D7E" w14:textId="77777777" w:rsidR="00200B99" w:rsidRPr="000C059E" w:rsidRDefault="00200B99" w:rsidP="00773EAE">
      <w:pPr>
        <w:ind w:left="851"/>
        <w:rPr>
          <w:sz w:val="24"/>
          <w:szCs w:val="24"/>
        </w:rPr>
      </w:pPr>
      <w:r w:rsidRPr="000C059E">
        <w:rPr>
          <w:sz w:val="24"/>
          <w:szCs w:val="24"/>
        </w:rPr>
        <w:t xml:space="preserve">I </w:t>
      </w:r>
      <w:proofErr w:type="gramStart"/>
      <w:r w:rsidRPr="000C059E">
        <w:rPr>
          <w:sz w:val="24"/>
          <w:szCs w:val="24"/>
        </w:rPr>
        <w:t>det pivotale</w:t>
      </w:r>
      <w:proofErr w:type="gramEnd"/>
      <w:r w:rsidRPr="000C059E">
        <w:rPr>
          <w:sz w:val="24"/>
          <w:szCs w:val="24"/>
        </w:rPr>
        <w:t xml:space="preserve"> fase III SELECT-studie (se pkt. 5.1) havde 88 % af alle patienter et niveau af TSH ved </w:t>
      </w:r>
      <w:r w:rsidRPr="000C059E">
        <w:rPr>
          <w:i/>
          <w:iCs/>
          <w:sz w:val="24"/>
          <w:szCs w:val="24"/>
        </w:rPr>
        <w:t>baseline</w:t>
      </w:r>
      <w:r w:rsidRPr="000C059E">
        <w:rPr>
          <w:sz w:val="24"/>
          <w:szCs w:val="24"/>
        </w:rPr>
        <w:t xml:space="preserve">, der var under eller lig med 0,5 mE/l. Hos patienterne med en normal TSH ved </w:t>
      </w:r>
      <w:r w:rsidRPr="000C059E">
        <w:rPr>
          <w:i/>
          <w:iCs/>
          <w:sz w:val="24"/>
          <w:szCs w:val="24"/>
        </w:rPr>
        <w:t>baseline</w:t>
      </w:r>
      <w:r w:rsidRPr="000C059E">
        <w:rPr>
          <w:sz w:val="24"/>
          <w:szCs w:val="24"/>
        </w:rPr>
        <w:t xml:space="preserve"> blev der observeret en forhøjelse af niveauet of TSH over 0,5 mE/l efter </w:t>
      </w:r>
      <w:r w:rsidRPr="000C059E">
        <w:rPr>
          <w:i/>
          <w:iCs/>
          <w:sz w:val="24"/>
          <w:szCs w:val="24"/>
        </w:rPr>
        <w:t>baseline</w:t>
      </w:r>
      <w:r w:rsidRPr="000C059E">
        <w:rPr>
          <w:sz w:val="24"/>
          <w:szCs w:val="24"/>
        </w:rPr>
        <w:t xml:space="preserve"> hos 57 % af de lenvatinib-behandlede patienter sammenlignet med 14 % af de placebobehandlede patienter.</w:t>
      </w:r>
    </w:p>
    <w:p w14:paraId="4D4C958C" w14:textId="77777777" w:rsidR="00200B99" w:rsidRPr="000C059E" w:rsidRDefault="00200B99" w:rsidP="00773EAE">
      <w:pPr>
        <w:ind w:left="851"/>
        <w:rPr>
          <w:sz w:val="24"/>
          <w:szCs w:val="24"/>
        </w:rPr>
      </w:pPr>
    </w:p>
    <w:p w14:paraId="0E11EF7C" w14:textId="77777777" w:rsidR="00200B99" w:rsidRPr="000C059E" w:rsidRDefault="00200B99" w:rsidP="00773EAE">
      <w:pPr>
        <w:ind w:left="851"/>
        <w:rPr>
          <w:i/>
          <w:sz w:val="24"/>
          <w:szCs w:val="24"/>
        </w:rPr>
      </w:pPr>
      <w:r w:rsidRPr="000C059E">
        <w:rPr>
          <w:i/>
          <w:sz w:val="24"/>
          <w:szCs w:val="24"/>
        </w:rPr>
        <w:t>HCC</w:t>
      </w:r>
    </w:p>
    <w:p w14:paraId="611D106E" w14:textId="77777777" w:rsidR="00200B99" w:rsidRPr="000C059E" w:rsidRDefault="00200B99" w:rsidP="00773EAE">
      <w:pPr>
        <w:ind w:left="851"/>
        <w:rPr>
          <w:i/>
          <w:sz w:val="24"/>
          <w:szCs w:val="24"/>
        </w:rPr>
      </w:pPr>
    </w:p>
    <w:p w14:paraId="330C487E" w14:textId="77777777" w:rsidR="00200B99" w:rsidRPr="000C059E" w:rsidRDefault="00200B99" w:rsidP="00773EAE">
      <w:pPr>
        <w:ind w:left="851"/>
        <w:rPr>
          <w:sz w:val="24"/>
          <w:szCs w:val="24"/>
        </w:rPr>
      </w:pPr>
      <w:r w:rsidRPr="000C059E">
        <w:rPr>
          <w:sz w:val="24"/>
          <w:szCs w:val="24"/>
        </w:rPr>
        <w:t xml:space="preserve">I fase III REFLECT-studiet (se pkt. 5.1) havde 89,6 % af patienterne et </w:t>
      </w:r>
      <w:r w:rsidRPr="000C059E">
        <w:rPr>
          <w:i/>
          <w:iCs/>
          <w:sz w:val="24"/>
          <w:szCs w:val="24"/>
        </w:rPr>
        <w:t>baseline-</w:t>
      </w:r>
      <w:r w:rsidRPr="000C059E">
        <w:rPr>
          <w:sz w:val="24"/>
          <w:szCs w:val="24"/>
        </w:rPr>
        <w:t xml:space="preserve">niveau af TSH, der var under den øvre grænse for det normale. Forhøjelse af niveauet af TSH over den øvre grænse for det normale blev observeret efter </w:t>
      </w:r>
      <w:r w:rsidRPr="000C059E">
        <w:rPr>
          <w:i/>
          <w:iCs/>
          <w:sz w:val="24"/>
          <w:szCs w:val="24"/>
        </w:rPr>
        <w:t>baseline</w:t>
      </w:r>
      <w:r w:rsidRPr="000C059E">
        <w:rPr>
          <w:sz w:val="24"/>
          <w:szCs w:val="24"/>
        </w:rPr>
        <w:t xml:space="preserve"> hos 69,6 % af de lenvatinib-behandlede patienter.</w:t>
      </w:r>
    </w:p>
    <w:p w14:paraId="7945DF43" w14:textId="77777777" w:rsidR="00200B99" w:rsidRPr="000C059E" w:rsidRDefault="00200B99" w:rsidP="00773EAE">
      <w:pPr>
        <w:ind w:left="851"/>
        <w:rPr>
          <w:sz w:val="24"/>
          <w:szCs w:val="24"/>
        </w:rPr>
      </w:pPr>
    </w:p>
    <w:p w14:paraId="08931736" w14:textId="77777777" w:rsidR="00200B99" w:rsidRPr="000C059E" w:rsidRDefault="00200B99" w:rsidP="00773EAE">
      <w:pPr>
        <w:ind w:left="851"/>
        <w:rPr>
          <w:i/>
          <w:sz w:val="24"/>
          <w:szCs w:val="24"/>
        </w:rPr>
      </w:pPr>
      <w:r w:rsidRPr="000C059E">
        <w:rPr>
          <w:i/>
          <w:sz w:val="24"/>
          <w:szCs w:val="24"/>
        </w:rPr>
        <w:t>EC</w:t>
      </w:r>
    </w:p>
    <w:p w14:paraId="0DEE2E7D" w14:textId="77777777" w:rsidR="00200B99" w:rsidRPr="000C059E" w:rsidRDefault="00200B99" w:rsidP="00773EAE">
      <w:pPr>
        <w:ind w:left="851"/>
        <w:rPr>
          <w:i/>
          <w:sz w:val="24"/>
          <w:szCs w:val="24"/>
        </w:rPr>
      </w:pPr>
    </w:p>
    <w:p w14:paraId="057A29E9" w14:textId="77777777" w:rsidR="00200B99" w:rsidRPr="000C059E" w:rsidRDefault="00200B99" w:rsidP="00773EAE">
      <w:pPr>
        <w:ind w:left="851"/>
        <w:rPr>
          <w:sz w:val="24"/>
          <w:szCs w:val="24"/>
        </w:rPr>
      </w:pPr>
      <w:r w:rsidRPr="000C059E">
        <w:rPr>
          <w:sz w:val="24"/>
          <w:szCs w:val="24"/>
        </w:rPr>
        <w:t>I fase III-studiet 309 (se pkt. 5.1) blev hypothyroidisme rapporteret hos 68,2 % af de lenvatinib plus pembrolizumab-behandlede patienter, og reaktioner af grad ≥ 3 forekom hos 1,2 % af patienterne. Mediantiden til indtræden var 62,0 dage. Dosisafbrydelse og dosisreduktion af lenvatinib forekom hos hhv. 2,2 % og 0,7 % af patienterne.</w:t>
      </w:r>
    </w:p>
    <w:p w14:paraId="3AA68179" w14:textId="77777777" w:rsidR="00200B99" w:rsidRPr="000C059E" w:rsidRDefault="00200B99" w:rsidP="00773EAE">
      <w:pPr>
        <w:ind w:left="851"/>
        <w:rPr>
          <w:sz w:val="24"/>
          <w:szCs w:val="24"/>
        </w:rPr>
      </w:pPr>
    </w:p>
    <w:p w14:paraId="20C1D0C8" w14:textId="60C43E7E" w:rsidR="00200B99" w:rsidRPr="000C059E" w:rsidRDefault="00200B99" w:rsidP="00773EAE">
      <w:pPr>
        <w:ind w:left="851"/>
        <w:rPr>
          <w:sz w:val="24"/>
          <w:szCs w:val="24"/>
        </w:rPr>
      </w:pPr>
      <w:r w:rsidRPr="000C059E">
        <w:rPr>
          <w:sz w:val="24"/>
          <w:szCs w:val="24"/>
        </w:rPr>
        <w:t>Forhøjet niveau af TSH i blodet blev rapporteret hos 12,8 % af de lenvatinib plus pembrolizumab-behandlede patienter; ingen patienter rapporterede reaktioner af grad ≥ 3. Dosisafbrydelse af behandlingen med lenvatinib forekom hos 0,2 % af patienterne.</w:t>
      </w:r>
    </w:p>
    <w:p w14:paraId="4673499E" w14:textId="77777777" w:rsidR="00200B99" w:rsidRPr="000C059E" w:rsidRDefault="00200B99" w:rsidP="00773EAE">
      <w:pPr>
        <w:ind w:left="851"/>
        <w:rPr>
          <w:sz w:val="24"/>
          <w:szCs w:val="24"/>
        </w:rPr>
      </w:pPr>
    </w:p>
    <w:p w14:paraId="4FDC1EBE" w14:textId="77777777" w:rsidR="00200B99" w:rsidRPr="00260B68" w:rsidRDefault="00200B99" w:rsidP="00773EAE">
      <w:pPr>
        <w:ind w:left="851"/>
        <w:rPr>
          <w:i/>
          <w:sz w:val="24"/>
          <w:szCs w:val="24"/>
          <w:u w:val="single"/>
        </w:rPr>
      </w:pPr>
      <w:r w:rsidRPr="00260B68">
        <w:rPr>
          <w:i/>
          <w:sz w:val="24"/>
          <w:szCs w:val="24"/>
          <w:u w:val="single"/>
        </w:rPr>
        <w:t>Diarré (se pkt. 4.4)</w:t>
      </w:r>
    </w:p>
    <w:p w14:paraId="4A9451E3" w14:textId="77777777" w:rsidR="00200B99" w:rsidRPr="000C059E" w:rsidRDefault="00200B99" w:rsidP="00773EAE">
      <w:pPr>
        <w:ind w:left="851"/>
        <w:rPr>
          <w:i/>
          <w:sz w:val="24"/>
          <w:szCs w:val="24"/>
        </w:rPr>
      </w:pPr>
    </w:p>
    <w:p w14:paraId="37165CC3" w14:textId="77777777" w:rsidR="00200B99" w:rsidRPr="000C059E" w:rsidRDefault="00200B99" w:rsidP="00773EAE">
      <w:pPr>
        <w:ind w:left="851"/>
        <w:rPr>
          <w:i/>
          <w:sz w:val="24"/>
          <w:szCs w:val="24"/>
        </w:rPr>
      </w:pPr>
      <w:r w:rsidRPr="000C059E">
        <w:rPr>
          <w:i/>
          <w:sz w:val="24"/>
          <w:szCs w:val="24"/>
        </w:rPr>
        <w:t>DTC</w:t>
      </w:r>
    </w:p>
    <w:p w14:paraId="6FF182DF" w14:textId="77777777" w:rsidR="00200B99" w:rsidRPr="000C059E" w:rsidRDefault="00200B99" w:rsidP="00773EAE">
      <w:pPr>
        <w:ind w:left="851"/>
        <w:rPr>
          <w:i/>
          <w:sz w:val="24"/>
          <w:szCs w:val="24"/>
        </w:rPr>
      </w:pPr>
    </w:p>
    <w:p w14:paraId="1F36A3A5" w14:textId="77777777" w:rsidR="00200B99" w:rsidRPr="000C059E" w:rsidRDefault="00200B99" w:rsidP="00773EAE">
      <w:pPr>
        <w:ind w:left="851"/>
        <w:rPr>
          <w:sz w:val="24"/>
          <w:szCs w:val="24"/>
        </w:rPr>
      </w:pPr>
      <w:r w:rsidRPr="000C059E">
        <w:rPr>
          <w:sz w:val="24"/>
          <w:szCs w:val="24"/>
        </w:rPr>
        <w:t xml:space="preserve">I </w:t>
      </w:r>
      <w:proofErr w:type="gramStart"/>
      <w:r w:rsidRPr="000C059E">
        <w:rPr>
          <w:sz w:val="24"/>
          <w:szCs w:val="24"/>
        </w:rPr>
        <w:t>det pivotale</w:t>
      </w:r>
      <w:proofErr w:type="gramEnd"/>
      <w:r w:rsidRPr="000C059E">
        <w:rPr>
          <w:sz w:val="24"/>
          <w:szCs w:val="24"/>
        </w:rPr>
        <w:t xml:space="preserve"> fase III SELECT-studie (se pkt. 5.1) blev diarré rapporteret hos 67,4 % af patienterne i gruppen behandlet med lenvatinib (9,2 % var grad ≥ 3) og hos 16,8 % af patienterne i placebogruppen (ingen var grad ≥ 3).</w:t>
      </w:r>
    </w:p>
    <w:p w14:paraId="0E30A385" w14:textId="77777777" w:rsidR="00200B99" w:rsidRPr="000C059E" w:rsidRDefault="00200B99" w:rsidP="00773EAE">
      <w:pPr>
        <w:ind w:left="851"/>
        <w:rPr>
          <w:sz w:val="24"/>
          <w:szCs w:val="24"/>
        </w:rPr>
      </w:pPr>
    </w:p>
    <w:p w14:paraId="7AFDF017" w14:textId="77777777" w:rsidR="00200B99" w:rsidRPr="000C059E" w:rsidRDefault="00200B99" w:rsidP="00773EAE">
      <w:pPr>
        <w:ind w:left="851"/>
        <w:rPr>
          <w:i/>
          <w:sz w:val="24"/>
          <w:szCs w:val="24"/>
        </w:rPr>
      </w:pPr>
      <w:r w:rsidRPr="000C059E">
        <w:rPr>
          <w:i/>
          <w:sz w:val="24"/>
          <w:szCs w:val="24"/>
        </w:rPr>
        <w:t>HCC</w:t>
      </w:r>
    </w:p>
    <w:p w14:paraId="7AF0AD32" w14:textId="77777777" w:rsidR="00200B99" w:rsidRPr="000C059E" w:rsidRDefault="00200B99" w:rsidP="00773EAE">
      <w:pPr>
        <w:ind w:left="851"/>
        <w:rPr>
          <w:i/>
          <w:sz w:val="24"/>
          <w:szCs w:val="24"/>
        </w:rPr>
      </w:pPr>
    </w:p>
    <w:p w14:paraId="7E314754" w14:textId="77777777" w:rsidR="00200B99" w:rsidRPr="000C059E" w:rsidRDefault="00200B99" w:rsidP="00773EAE">
      <w:pPr>
        <w:ind w:left="851"/>
        <w:rPr>
          <w:sz w:val="24"/>
          <w:szCs w:val="24"/>
        </w:rPr>
      </w:pPr>
      <w:r w:rsidRPr="000C059E">
        <w:rPr>
          <w:sz w:val="24"/>
          <w:szCs w:val="24"/>
        </w:rPr>
        <w:t>I fase III REFLECT-studiet (se pkt. 5.1) blev diarré rapporteret hos 38,7 % af patienterne, der blev behandlet med lenvatinib (4,2 % var grad ≥ 3).</w:t>
      </w:r>
    </w:p>
    <w:p w14:paraId="438A5E92" w14:textId="77777777" w:rsidR="00200B99" w:rsidRPr="000C059E" w:rsidRDefault="00200B99" w:rsidP="00773EAE">
      <w:pPr>
        <w:ind w:left="851"/>
        <w:rPr>
          <w:sz w:val="24"/>
          <w:szCs w:val="24"/>
        </w:rPr>
      </w:pPr>
    </w:p>
    <w:p w14:paraId="2E5AE706" w14:textId="77777777" w:rsidR="00200B99" w:rsidRPr="000C059E" w:rsidRDefault="00200B99" w:rsidP="00773EAE">
      <w:pPr>
        <w:ind w:left="851"/>
        <w:rPr>
          <w:i/>
          <w:sz w:val="24"/>
          <w:szCs w:val="24"/>
        </w:rPr>
      </w:pPr>
      <w:r w:rsidRPr="000C059E">
        <w:rPr>
          <w:i/>
          <w:sz w:val="24"/>
          <w:szCs w:val="24"/>
        </w:rPr>
        <w:t>EC</w:t>
      </w:r>
    </w:p>
    <w:p w14:paraId="705D9ECE" w14:textId="77777777" w:rsidR="00200B99" w:rsidRPr="000C059E" w:rsidRDefault="00200B99" w:rsidP="00773EAE">
      <w:pPr>
        <w:ind w:left="851"/>
        <w:rPr>
          <w:i/>
          <w:sz w:val="24"/>
          <w:szCs w:val="24"/>
        </w:rPr>
      </w:pPr>
    </w:p>
    <w:p w14:paraId="52A22591" w14:textId="77777777" w:rsidR="00200B99" w:rsidRPr="000C059E" w:rsidRDefault="00200B99" w:rsidP="00773EAE">
      <w:pPr>
        <w:ind w:left="851"/>
        <w:rPr>
          <w:sz w:val="24"/>
          <w:szCs w:val="24"/>
        </w:rPr>
      </w:pPr>
      <w:r w:rsidRPr="000C059E">
        <w:rPr>
          <w:sz w:val="24"/>
          <w:szCs w:val="24"/>
        </w:rPr>
        <w:t>I fase III-studiet 309 (se pkt. 5.1) blev diarré rapporteret hos 54,2 % af de lenvatinib plus pembrolizumab-behandlede patienter (7,6 % var grad ≥ 3). Dosisafbrydelse, dosisreduktion og seponering af lenvatinib forekom hos hhv. 10,6 %, 11,1 % og 1,2 % af patienterne.</w:t>
      </w:r>
    </w:p>
    <w:p w14:paraId="318818B3" w14:textId="77777777" w:rsidR="00200B99" w:rsidRPr="000C059E" w:rsidRDefault="00200B99" w:rsidP="00773EAE">
      <w:pPr>
        <w:ind w:left="851"/>
        <w:rPr>
          <w:sz w:val="24"/>
          <w:szCs w:val="24"/>
        </w:rPr>
      </w:pPr>
    </w:p>
    <w:p w14:paraId="4D284984" w14:textId="77777777" w:rsidR="00200B99" w:rsidRPr="00260B68" w:rsidRDefault="00200B99" w:rsidP="00773EAE">
      <w:pPr>
        <w:ind w:left="851"/>
        <w:rPr>
          <w:sz w:val="24"/>
          <w:szCs w:val="24"/>
          <w:u w:val="single"/>
        </w:rPr>
      </w:pPr>
      <w:r w:rsidRPr="00260B68">
        <w:rPr>
          <w:sz w:val="24"/>
          <w:szCs w:val="24"/>
          <w:u w:val="single"/>
        </w:rPr>
        <w:t>Pædiatrisk population</w:t>
      </w:r>
    </w:p>
    <w:p w14:paraId="1D993987" w14:textId="77777777" w:rsidR="00200B99" w:rsidRPr="000C059E" w:rsidRDefault="00200B99" w:rsidP="00773EAE">
      <w:pPr>
        <w:ind w:left="851"/>
        <w:rPr>
          <w:sz w:val="24"/>
          <w:szCs w:val="24"/>
        </w:rPr>
      </w:pPr>
    </w:p>
    <w:p w14:paraId="1A40AB17" w14:textId="77777777" w:rsidR="00200B99" w:rsidRPr="000C059E" w:rsidRDefault="00200B99" w:rsidP="00773EAE">
      <w:pPr>
        <w:ind w:left="851"/>
        <w:rPr>
          <w:sz w:val="24"/>
          <w:szCs w:val="24"/>
        </w:rPr>
      </w:pPr>
      <w:r w:rsidRPr="000C059E">
        <w:rPr>
          <w:sz w:val="24"/>
          <w:szCs w:val="24"/>
        </w:rPr>
        <w:t>I de pædiatriske studier 207, 216, 230 og 231 (se pkt. 5.1) stemte den overordnede sikkerhedsprofil for lenvatinib som enkeltstof eller i kombination med enten ifosfamid og etoposid eller everolimus overens med den, der blev observeret hos voksne, som blev behandlet med lenvatinib.</w:t>
      </w:r>
    </w:p>
    <w:p w14:paraId="3DF049ED" w14:textId="77777777" w:rsidR="00200B99" w:rsidRPr="000C059E" w:rsidRDefault="00200B99" w:rsidP="00773EAE">
      <w:pPr>
        <w:ind w:left="851"/>
        <w:rPr>
          <w:sz w:val="24"/>
          <w:szCs w:val="24"/>
        </w:rPr>
      </w:pPr>
    </w:p>
    <w:p w14:paraId="4650E842" w14:textId="77777777" w:rsidR="00200B99" w:rsidRPr="000C059E" w:rsidRDefault="00200B99" w:rsidP="00773EAE">
      <w:pPr>
        <w:ind w:left="851"/>
        <w:rPr>
          <w:sz w:val="24"/>
          <w:szCs w:val="24"/>
        </w:rPr>
      </w:pPr>
      <w:r w:rsidRPr="000C059E">
        <w:rPr>
          <w:sz w:val="24"/>
          <w:szCs w:val="24"/>
        </w:rPr>
        <w:t xml:space="preserve">Hos patienter med recidiverende/refraktært osteosarkom blev der rapporteret pneumothorax med en højere hyppighed end den, der blev observeret hos voksne med DTC, HCC, RCC og EC. I studie 207 forekom pneumothorax hos 6 patienter (10,9 %), der blev behandlet med lenvatinib som enkeltstof, og hos 7 patienter (16,7 %), der blev behandlet med lenvatinib i kombination med ifosfamid og etoposid. Samlet set afbrød 2 patienter studiebehandlingen på grund af pneumothorax. I studie 230 blev der rapporteret pneumothorax hos i alt 14 patienter (11 patienter [28,2 %], som blev behandlet med lenvatinib plus ifosfamid og etoposid, og hos 3 patienter [7,7 %], som blev behandlet med ifosfamid og etoposid). I studie 216 blev pneumothorax rapporteret hos 3 patienter (4,7 %) med Ewings sarkom, rhabdomyosarkom (RMS) og Wilms' tumor. Alle 3 patienter havde lungemetastaser ved </w:t>
      </w:r>
      <w:r w:rsidRPr="000C059E">
        <w:rPr>
          <w:i/>
          <w:iCs/>
          <w:sz w:val="24"/>
          <w:szCs w:val="24"/>
        </w:rPr>
        <w:t>baseline</w:t>
      </w:r>
      <w:r w:rsidRPr="000C059E">
        <w:rPr>
          <w:sz w:val="24"/>
          <w:szCs w:val="24"/>
        </w:rPr>
        <w:t xml:space="preserve">. I studie 231 blev pneumothorax rapporteret hos 7 patienter (5,5 %) med spindelcelle-sarkom, udifferentieret sarkom, RMS, malign perifer nerveskedetumor, synovialt sarkom, spindelcelle- karcinom og malign ossificerende fibroid tumor. Alle 7 patienter havde lungemetastaser eller primær sygdom i brystvæggen eller pleurahulen ved </w:t>
      </w:r>
      <w:r w:rsidRPr="000C059E">
        <w:rPr>
          <w:i/>
          <w:iCs/>
          <w:sz w:val="24"/>
          <w:szCs w:val="24"/>
        </w:rPr>
        <w:t>baseline</w:t>
      </w:r>
      <w:r w:rsidRPr="000C059E">
        <w:rPr>
          <w:sz w:val="24"/>
          <w:szCs w:val="24"/>
        </w:rPr>
        <w:t>. I studie 216, 230 og 231 afbrød ingen patienter studiebehandlingen på grund af pneumothorax. Forekomsten af pneumothorax så ud til hovedsageligt at være forbundet med lungemetastaser og underliggende sygdom.</w:t>
      </w:r>
    </w:p>
    <w:p w14:paraId="28EAF9AE" w14:textId="77777777" w:rsidR="00200B99" w:rsidRPr="000C059E" w:rsidRDefault="00200B99" w:rsidP="00773EAE">
      <w:pPr>
        <w:ind w:left="851"/>
        <w:rPr>
          <w:sz w:val="24"/>
          <w:szCs w:val="24"/>
        </w:rPr>
      </w:pPr>
    </w:p>
    <w:p w14:paraId="5979498C" w14:textId="77777777" w:rsidR="00200B99" w:rsidRPr="000C059E" w:rsidRDefault="00200B99" w:rsidP="00773EAE">
      <w:pPr>
        <w:ind w:left="851"/>
        <w:rPr>
          <w:sz w:val="24"/>
          <w:szCs w:val="24"/>
        </w:rPr>
      </w:pPr>
      <w:r w:rsidRPr="000C059E">
        <w:rPr>
          <w:sz w:val="24"/>
          <w:szCs w:val="24"/>
        </w:rPr>
        <w:t>I den dosisbestemmende enkeltstofskohorte i studie 207 var de hyppigst (≥ 40 %) rapporterede bivirkninger nedsat appetit, diarré, hypothyroidisme, opkastning, abdominalsmerter, pyreksi, hypertension og vægttab. I ekspansions-enkeltstofskohorten af patienter med recidiverende eller refraktært osteosarkom var de hyppigst (≥ 40 %) rapporterede bivirkninger nedsat appetit, hovedpine, opkastning, hypothyroidisme og proteinuri.</w:t>
      </w:r>
    </w:p>
    <w:p w14:paraId="1D0768B0" w14:textId="77777777" w:rsidR="00200B99" w:rsidRPr="000C059E" w:rsidRDefault="00200B99" w:rsidP="00773EAE">
      <w:pPr>
        <w:ind w:left="851"/>
        <w:rPr>
          <w:sz w:val="24"/>
          <w:szCs w:val="24"/>
        </w:rPr>
      </w:pPr>
    </w:p>
    <w:p w14:paraId="4047DFD6" w14:textId="77777777" w:rsidR="00200B99" w:rsidRPr="000C059E" w:rsidRDefault="00200B99" w:rsidP="00773EAE">
      <w:pPr>
        <w:ind w:left="851"/>
        <w:rPr>
          <w:sz w:val="24"/>
          <w:szCs w:val="24"/>
        </w:rPr>
      </w:pPr>
      <w:r w:rsidRPr="000C059E">
        <w:rPr>
          <w:sz w:val="24"/>
          <w:szCs w:val="24"/>
        </w:rPr>
        <w:t>I den dosisbestemmende kombinationskohorte i studie 207 var de hyppigst (≥ 50 %) rapporterede bivirkninger opkastning, anæmi, kvalme, diarré, hypothyroidisme, abdominalsmerter, artralgi, epistaxis, neutropeni, obstipation, hovedpine og smerter i ekstremiteter. I ekspansions- kombinationskohorten var de hyppigst (≥ 50 %) rapporterede bivirkninger anæmi, kvalme, nedsat antal hvide blodlegemer, diarré, opkastning og nedsat trombocyttal.</w:t>
      </w:r>
    </w:p>
    <w:p w14:paraId="2062DB8D" w14:textId="77777777" w:rsidR="00200B99" w:rsidRPr="000C059E" w:rsidRDefault="00200B99" w:rsidP="00773EAE">
      <w:pPr>
        <w:ind w:left="851"/>
        <w:rPr>
          <w:sz w:val="24"/>
          <w:szCs w:val="24"/>
        </w:rPr>
      </w:pPr>
    </w:p>
    <w:p w14:paraId="0B8D7CA7" w14:textId="77777777" w:rsidR="00200B99" w:rsidRPr="000C059E" w:rsidRDefault="00200B99" w:rsidP="00773EAE">
      <w:pPr>
        <w:ind w:left="851"/>
        <w:rPr>
          <w:sz w:val="24"/>
          <w:szCs w:val="24"/>
        </w:rPr>
      </w:pPr>
      <w:r w:rsidRPr="000C059E">
        <w:rPr>
          <w:sz w:val="24"/>
          <w:szCs w:val="24"/>
        </w:rPr>
        <w:t>I fase 1 (dosisbestemmende kombinationskohorte) i studie 216 var de hyppigst (≥ 40 %) rapporterede bivirkninger hypertension, hypothyroidisme, hypertriglyceridæmi, abdominalsmerter og diarré, og i fase 2 (ekspansions-kombinationskohorte) var de hyppigst rapporterede (≥ 35 %) bivirkninger hypertriglyceridæmi, proteinuri, diarré, nedsat antal lymfocytter, nedsat antal hvide blodlegemer, forhøjet niveau af kolesterol i blodet, træthed og nedsat trombocyttal.</w:t>
      </w:r>
    </w:p>
    <w:p w14:paraId="4DF3D0A2" w14:textId="77777777" w:rsidR="00200B99" w:rsidRPr="000C059E" w:rsidRDefault="00200B99" w:rsidP="00773EAE">
      <w:pPr>
        <w:ind w:left="851"/>
        <w:rPr>
          <w:sz w:val="24"/>
          <w:szCs w:val="24"/>
        </w:rPr>
      </w:pPr>
    </w:p>
    <w:p w14:paraId="1D97B903" w14:textId="77777777" w:rsidR="00200B99" w:rsidRPr="000C059E" w:rsidRDefault="00200B99" w:rsidP="00773EAE">
      <w:pPr>
        <w:ind w:left="851"/>
        <w:rPr>
          <w:sz w:val="24"/>
          <w:szCs w:val="24"/>
        </w:rPr>
      </w:pPr>
      <w:r w:rsidRPr="000C059E">
        <w:rPr>
          <w:sz w:val="24"/>
          <w:szCs w:val="24"/>
        </w:rPr>
        <w:t>I OLIE-studiet (studie 230) var de hyppigst (≥ 35 %) rapporterede bivirkninger hypothyroidisme, anæmi, kvalme, nedsat trombocyttal, proteinuri, opkastning, rygsmerter, febril neutropeni, hypertension, obstipation, diarré, nedsat neutrofiltal og pyreksi.</w:t>
      </w:r>
    </w:p>
    <w:p w14:paraId="60A1599E" w14:textId="77777777" w:rsidR="00200B99" w:rsidRPr="000C059E" w:rsidRDefault="00200B99" w:rsidP="00773EAE">
      <w:pPr>
        <w:ind w:left="851"/>
        <w:rPr>
          <w:sz w:val="24"/>
          <w:szCs w:val="24"/>
        </w:rPr>
      </w:pPr>
    </w:p>
    <w:p w14:paraId="28F7DEB6" w14:textId="77777777" w:rsidR="00200B99" w:rsidRPr="000C059E" w:rsidRDefault="00200B99" w:rsidP="00773EAE">
      <w:pPr>
        <w:ind w:left="851"/>
        <w:rPr>
          <w:sz w:val="24"/>
          <w:szCs w:val="24"/>
        </w:rPr>
      </w:pPr>
      <w:r w:rsidRPr="000C059E">
        <w:rPr>
          <w:sz w:val="24"/>
          <w:szCs w:val="24"/>
        </w:rPr>
        <w:t>I studie 231 var de hyppigst rapporterede (≥ 15 %) bivirkninger hypothyroidisme, hypertension, proteinuri, nedsat appetit, diarré og nedsat trombocyttal.</w:t>
      </w:r>
    </w:p>
    <w:p w14:paraId="4827BD90" w14:textId="77777777" w:rsidR="00200B99" w:rsidRPr="000C059E" w:rsidRDefault="00200B99" w:rsidP="00773EAE">
      <w:pPr>
        <w:ind w:left="851"/>
        <w:rPr>
          <w:sz w:val="24"/>
          <w:szCs w:val="24"/>
        </w:rPr>
      </w:pPr>
    </w:p>
    <w:p w14:paraId="37A02829" w14:textId="77777777" w:rsidR="00200B99" w:rsidRPr="00260B68" w:rsidRDefault="00200B99" w:rsidP="00773EAE">
      <w:pPr>
        <w:ind w:left="851"/>
        <w:rPr>
          <w:sz w:val="24"/>
          <w:szCs w:val="24"/>
          <w:u w:val="single"/>
        </w:rPr>
      </w:pPr>
      <w:r w:rsidRPr="00260B68">
        <w:rPr>
          <w:sz w:val="24"/>
          <w:szCs w:val="24"/>
          <w:u w:val="single"/>
        </w:rPr>
        <w:t>Andre særlige populationer</w:t>
      </w:r>
    </w:p>
    <w:p w14:paraId="1631877C" w14:textId="77777777" w:rsidR="00200B99" w:rsidRPr="000C059E" w:rsidRDefault="00200B99" w:rsidP="00773EAE">
      <w:pPr>
        <w:ind w:left="851"/>
        <w:rPr>
          <w:sz w:val="24"/>
          <w:szCs w:val="24"/>
        </w:rPr>
      </w:pPr>
    </w:p>
    <w:p w14:paraId="05276AAE" w14:textId="77777777" w:rsidR="00200B99" w:rsidRPr="00260B68" w:rsidRDefault="00200B99" w:rsidP="00773EAE">
      <w:pPr>
        <w:ind w:left="851"/>
        <w:rPr>
          <w:i/>
          <w:sz w:val="24"/>
          <w:szCs w:val="24"/>
          <w:u w:val="single"/>
        </w:rPr>
      </w:pPr>
      <w:r w:rsidRPr="00260B68">
        <w:rPr>
          <w:i/>
          <w:sz w:val="24"/>
          <w:szCs w:val="24"/>
          <w:u w:val="single"/>
        </w:rPr>
        <w:t>Ældre</w:t>
      </w:r>
    </w:p>
    <w:p w14:paraId="54344564" w14:textId="77777777" w:rsidR="00200B99" w:rsidRPr="000C059E" w:rsidRDefault="00200B99" w:rsidP="00773EAE">
      <w:pPr>
        <w:ind w:left="851"/>
        <w:rPr>
          <w:i/>
          <w:sz w:val="24"/>
          <w:szCs w:val="24"/>
        </w:rPr>
      </w:pPr>
    </w:p>
    <w:p w14:paraId="7456DF4C" w14:textId="77777777" w:rsidR="00200B99" w:rsidRPr="000C059E" w:rsidRDefault="00200B99" w:rsidP="00773EAE">
      <w:pPr>
        <w:ind w:left="851"/>
        <w:rPr>
          <w:i/>
          <w:sz w:val="24"/>
          <w:szCs w:val="24"/>
        </w:rPr>
      </w:pPr>
      <w:r w:rsidRPr="000C059E">
        <w:rPr>
          <w:i/>
          <w:sz w:val="24"/>
          <w:szCs w:val="24"/>
        </w:rPr>
        <w:t>DTC</w:t>
      </w:r>
    </w:p>
    <w:p w14:paraId="43C15BDF" w14:textId="77777777" w:rsidR="00200B99" w:rsidRPr="000C059E" w:rsidRDefault="00200B99" w:rsidP="00773EAE">
      <w:pPr>
        <w:ind w:left="851"/>
        <w:rPr>
          <w:i/>
          <w:sz w:val="24"/>
          <w:szCs w:val="24"/>
        </w:rPr>
      </w:pPr>
    </w:p>
    <w:p w14:paraId="6BEE5E30" w14:textId="77777777" w:rsidR="00200B99" w:rsidRPr="000C059E" w:rsidRDefault="00200B99" w:rsidP="00773EAE">
      <w:pPr>
        <w:ind w:left="851"/>
        <w:rPr>
          <w:sz w:val="24"/>
          <w:szCs w:val="24"/>
        </w:rPr>
      </w:pPr>
      <w:r w:rsidRPr="000C059E">
        <w:rPr>
          <w:sz w:val="24"/>
          <w:szCs w:val="24"/>
        </w:rPr>
        <w:t>Patienter i alderen ≥ 75 år havde en større tendens til grad 3- eller 4-hypertension, proteinuri, nedsat appetit og dehydrering.</w:t>
      </w:r>
    </w:p>
    <w:p w14:paraId="32A05205" w14:textId="77777777" w:rsidR="00200B99" w:rsidRPr="000C059E" w:rsidRDefault="00200B99" w:rsidP="00773EAE">
      <w:pPr>
        <w:ind w:left="851"/>
        <w:rPr>
          <w:sz w:val="24"/>
          <w:szCs w:val="24"/>
        </w:rPr>
      </w:pPr>
    </w:p>
    <w:p w14:paraId="4B7769F3" w14:textId="77777777" w:rsidR="00200B99" w:rsidRPr="000C059E" w:rsidRDefault="00200B99" w:rsidP="00773EAE">
      <w:pPr>
        <w:ind w:left="851"/>
        <w:rPr>
          <w:i/>
          <w:sz w:val="24"/>
          <w:szCs w:val="24"/>
        </w:rPr>
      </w:pPr>
      <w:r w:rsidRPr="000C059E">
        <w:rPr>
          <w:i/>
          <w:sz w:val="24"/>
          <w:szCs w:val="24"/>
        </w:rPr>
        <w:t>HCC</w:t>
      </w:r>
    </w:p>
    <w:p w14:paraId="3F286AD7" w14:textId="77777777" w:rsidR="00200B99" w:rsidRPr="000C059E" w:rsidRDefault="00200B99" w:rsidP="00773EAE">
      <w:pPr>
        <w:ind w:left="851"/>
        <w:rPr>
          <w:i/>
          <w:sz w:val="24"/>
          <w:szCs w:val="24"/>
        </w:rPr>
      </w:pPr>
    </w:p>
    <w:p w14:paraId="0C979299" w14:textId="77777777" w:rsidR="00200B99" w:rsidRPr="000C059E" w:rsidRDefault="00200B99" w:rsidP="00773EAE">
      <w:pPr>
        <w:ind w:left="851"/>
        <w:rPr>
          <w:sz w:val="24"/>
          <w:szCs w:val="24"/>
        </w:rPr>
      </w:pPr>
      <w:r w:rsidRPr="000C059E">
        <w:rPr>
          <w:sz w:val="24"/>
          <w:szCs w:val="24"/>
        </w:rPr>
        <w:t xml:space="preserve">Patienter i alderen ≥ 75 år havde en større tendens til hypertension, proteinuri, nedsat appetit, asteni, dehydrering, svimmelhed, utilpashed, perifert ødem, pruritus og hepatisk encefalopati. Hepatisk encefalopati forekom mere end to gange så hyppigt hos patienter i alderen ≥ 75 år (17,2 %) end hos dem &lt; 75 år (7,1 %). Hepatisk encefalopati tenderede til at være forbundet med ugunstige sygdomskarakteristika ved </w:t>
      </w:r>
      <w:r w:rsidRPr="000C059E">
        <w:rPr>
          <w:i/>
          <w:iCs/>
          <w:sz w:val="24"/>
          <w:szCs w:val="24"/>
        </w:rPr>
        <w:t>baseline</w:t>
      </w:r>
      <w:r w:rsidRPr="000C059E">
        <w:rPr>
          <w:sz w:val="24"/>
          <w:szCs w:val="24"/>
        </w:rPr>
        <w:t xml:space="preserve"> eller med samtidig brug af lægemidler. Arterielle tromboemboliske hændelser forekom også med en forøget hyppighed i denne aldersgruppe.</w:t>
      </w:r>
    </w:p>
    <w:p w14:paraId="2DDFBEEA" w14:textId="77777777" w:rsidR="00200B99" w:rsidRPr="000C059E" w:rsidRDefault="00200B99" w:rsidP="00773EAE">
      <w:pPr>
        <w:ind w:left="851"/>
        <w:rPr>
          <w:sz w:val="24"/>
          <w:szCs w:val="24"/>
        </w:rPr>
      </w:pPr>
    </w:p>
    <w:p w14:paraId="7BABEDD9" w14:textId="77777777" w:rsidR="00200B99" w:rsidRPr="000C059E" w:rsidRDefault="00200B99" w:rsidP="00773EAE">
      <w:pPr>
        <w:ind w:left="851"/>
        <w:rPr>
          <w:i/>
          <w:sz w:val="24"/>
          <w:szCs w:val="24"/>
        </w:rPr>
      </w:pPr>
      <w:r w:rsidRPr="000C059E">
        <w:rPr>
          <w:i/>
          <w:sz w:val="24"/>
          <w:szCs w:val="24"/>
        </w:rPr>
        <w:t>EC</w:t>
      </w:r>
    </w:p>
    <w:p w14:paraId="0DD08BAE" w14:textId="77777777" w:rsidR="00200B99" w:rsidRPr="000C059E" w:rsidRDefault="00200B99" w:rsidP="00773EAE">
      <w:pPr>
        <w:ind w:left="851"/>
        <w:rPr>
          <w:i/>
          <w:sz w:val="24"/>
          <w:szCs w:val="24"/>
        </w:rPr>
      </w:pPr>
    </w:p>
    <w:p w14:paraId="148B50C7" w14:textId="77777777" w:rsidR="00200B99" w:rsidRPr="000C059E" w:rsidRDefault="00200B99" w:rsidP="00773EAE">
      <w:pPr>
        <w:ind w:left="851"/>
        <w:rPr>
          <w:sz w:val="24"/>
          <w:szCs w:val="24"/>
        </w:rPr>
      </w:pPr>
      <w:r w:rsidRPr="000C059E">
        <w:rPr>
          <w:sz w:val="24"/>
          <w:szCs w:val="24"/>
        </w:rPr>
        <w:t>Patienter i alderen ≥ 75 år havde en større tendens til at få urinvejsinfektion og hypertension af grad ≥ 3 (≥ 10 % stigning i forhold til patienter i alderen &lt; 65 år).</w:t>
      </w:r>
    </w:p>
    <w:p w14:paraId="3FA6AF78" w14:textId="639E5D09" w:rsidR="00C44B05" w:rsidRDefault="00C44B05">
      <w:pPr>
        <w:rPr>
          <w:sz w:val="24"/>
          <w:szCs w:val="24"/>
        </w:rPr>
      </w:pPr>
      <w:r>
        <w:rPr>
          <w:sz w:val="24"/>
          <w:szCs w:val="24"/>
        </w:rPr>
        <w:br w:type="page"/>
      </w:r>
    </w:p>
    <w:p w14:paraId="4D640660" w14:textId="77777777" w:rsidR="00200B99" w:rsidRPr="000C059E" w:rsidRDefault="00200B99" w:rsidP="00773EAE">
      <w:pPr>
        <w:ind w:left="851"/>
        <w:rPr>
          <w:sz w:val="24"/>
          <w:szCs w:val="24"/>
        </w:rPr>
      </w:pPr>
    </w:p>
    <w:p w14:paraId="78A66BE0" w14:textId="77777777" w:rsidR="00200B99" w:rsidRPr="00260B68" w:rsidRDefault="00200B99" w:rsidP="00773EAE">
      <w:pPr>
        <w:ind w:left="851"/>
        <w:rPr>
          <w:i/>
          <w:sz w:val="24"/>
          <w:szCs w:val="24"/>
          <w:u w:val="single"/>
        </w:rPr>
      </w:pPr>
      <w:r w:rsidRPr="00260B68">
        <w:rPr>
          <w:i/>
          <w:sz w:val="24"/>
          <w:szCs w:val="24"/>
          <w:u w:val="single"/>
        </w:rPr>
        <w:t>Køn</w:t>
      </w:r>
    </w:p>
    <w:p w14:paraId="2385760D" w14:textId="77777777" w:rsidR="00200B99" w:rsidRPr="000C059E" w:rsidRDefault="00200B99" w:rsidP="00773EAE">
      <w:pPr>
        <w:ind w:left="851"/>
        <w:rPr>
          <w:i/>
          <w:sz w:val="24"/>
          <w:szCs w:val="24"/>
        </w:rPr>
      </w:pPr>
    </w:p>
    <w:p w14:paraId="520E85FF" w14:textId="77777777" w:rsidR="00200B99" w:rsidRPr="000C059E" w:rsidRDefault="00200B99" w:rsidP="00773EAE">
      <w:pPr>
        <w:ind w:left="851"/>
        <w:rPr>
          <w:i/>
          <w:sz w:val="24"/>
          <w:szCs w:val="24"/>
        </w:rPr>
      </w:pPr>
      <w:r w:rsidRPr="000C059E">
        <w:rPr>
          <w:i/>
          <w:sz w:val="24"/>
          <w:szCs w:val="24"/>
        </w:rPr>
        <w:t>DTC</w:t>
      </w:r>
    </w:p>
    <w:p w14:paraId="12376719" w14:textId="77777777" w:rsidR="00200B99" w:rsidRPr="000C059E" w:rsidRDefault="00200B99" w:rsidP="00773EAE">
      <w:pPr>
        <w:ind w:left="851"/>
        <w:rPr>
          <w:i/>
          <w:sz w:val="24"/>
          <w:szCs w:val="24"/>
        </w:rPr>
      </w:pPr>
    </w:p>
    <w:p w14:paraId="727AED4A" w14:textId="77777777" w:rsidR="00200B99" w:rsidRPr="000C059E" w:rsidRDefault="00200B99" w:rsidP="00773EAE">
      <w:pPr>
        <w:ind w:left="851"/>
        <w:rPr>
          <w:sz w:val="24"/>
          <w:szCs w:val="24"/>
        </w:rPr>
      </w:pPr>
      <w:r w:rsidRPr="000C059E">
        <w:rPr>
          <w:sz w:val="24"/>
          <w:szCs w:val="24"/>
        </w:rPr>
        <w:t>Kvinder havde en større forekomst af hypertension (herunder grad 3- eller grad 4-hypertension), proteinuri og PPE, og mænd havde en større forekomst af nedsat uddrivningsfraktion og mave-tarm-perforation og fisteldannelse.</w:t>
      </w:r>
    </w:p>
    <w:p w14:paraId="70EE2D76" w14:textId="77777777" w:rsidR="00200B99" w:rsidRPr="000C059E" w:rsidRDefault="00200B99" w:rsidP="00773EAE">
      <w:pPr>
        <w:ind w:left="851"/>
        <w:rPr>
          <w:sz w:val="24"/>
          <w:szCs w:val="24"/>
        </w:rPr>
      </w:pPr>
    </w:p>
    <w:p w14:paraId="7C52F230" w14:textId="77777777" w:rsidR="00200B99" w:rsidRPr="000C059E" w:rsidRDefault="00200B99" w:rsidP="00773EAE">
      <w:pPr>
        <w:ind w:left="851"/>
        <w:rPr>
          <w:i/>
          <w:sz w:val="24"/>
          <w:szCs w:val="24"/>
        </w:rPr>
      </w:pPr>
      <w:r w:rsidRPr="000C059E">
        <w:rPr>
          <w:i/>
          <w:sz w:val="24"/>
          <w:szCs w:val="24"/>
        </w:rPr>
        <w:t>HCC</w:t>
      </w:r>
    </w:p>
    <w:p w14:paraId="1522120D" w14:textId="77777777" w:rsidR="00200B99" w:rsidRPr="000C059E" w:rsidRDefault="00200B99" w:rsidP="00773EAE">
      <w:pPr>
        <w:ind w:left="851"/>
        <w:rPr>
          <w:i/>
          <w:sz w:val="24"/>
          <w:szCs w:val="24"/>
        </w:rPr>
      </w:pPr>
    </w:p>
    <w:p w14:paraId="571B44E1" w14:textId="77777777" w:rsidR="00200B99" w:rsidRPr="000C059E" w:rsidRDefault="00200B99" w:rsidP="00773EAE">
      <w:pPr>
        <w:ind w:left="851"/>
        <w:rPr>
          <w:sz w:val="24"/>
          <w:szCs w:val="24"/>
        </w:rPr>
      </w:pPr>
      <w:r w:rsidRPr="000C059E">
        <w:rPr>
          <w:sz w:val="24"/>
          <w:szCs w:val="24"/>
        </w:rPr>
        <w:t>Kvinder havde en højere forekomst af hypertension, træthed, EKG QT-forlængelse og alopeci. Mænd havde højere forekomst (26,5 %) af dysfoni end kvinder (12,3 %), vægttab og nedsat trombocyttal.</w:t>
      </w:r>
    </w:p>
    <w:p w14:paraId="4C2E4281" w14:textId="77777777" w:rsidR="00200B99" w:rsidRPr="000C059E" w:rsidRDefault="00200B99" w:rsidP="00773EAE">
      <w:pPr>
        <w:ind w:left="851"/>
        <w:rPr>
          <w:sz w:val="24"/>
          <w:szCs w:val="24"/>
        </w:rPr>
      </w:pPr>
      <w:r w:rsidRPr="000C059E">
        <w:rPr>
          <w:sz w:val="24"/>
          <w:szCs w:val="24"/>
        </w:rPr>
        <w:t>Leversvigt blev kun observeret hos mandlige patienter.</w:t>
      </w:r>
    </w:p>
    <w:p w14:paraId="25BA35BE" w14:textId="77777777" w:rsidR="00200B99" w:rsidRPr="000C059E" w:rsidRDefault="00200B99" w:rsidP="00773EAE">
      <w:pPr>
        <w:ind w:left="851"/>
        <w:rPr>
          <w:sz w:val="24"/>
          <w:szCs w:val="24"/>
        </w:rPr>
      </w:pPr>
    </w:p>
    <w:p w14:paraId="73AC7C8F" w14:textId="77777777" w:rsidR="00200B99" w:rsidRPr="00260B68" w:rsidRDefault="00200B99" w:rsidP="00773EAE">
      <w:pPr>
        <w:ind w:left="851"/>
        <w:rPr>
          <w:i/>
          <w:sz w:val="24"/>
          <w:szCs w:val="24"/>
          <w:u w:val="single"/>
        </w:rPr>
      </w:pPr>
      <w:r w:rsidRPr="00260B68">
        <w:rPr>
          <w:i/>
          <w:sz w:val="24"/>
          <w:szCs w:val="24"/>
          <w:u w:val="single"/>
        </w:rPr>
        <w:t>Etnisk oprindelse</w:t>
      </w:r>
    </w:p>
    <w:p w14:paraId="3B335F2E" w14:textId="77777777" w:rsidR="00200B99" w:rsidRPr="000C059E" w:rsidRDefault="00200B99" w:rsidP="00773EAE">
      <w:pPr>
        <w:ind w:left="851"/>
        <w:rPr>
          <w:i/>
          <w:sz w:val="24"/>
          <w:szCs w:val="24"/>
        </w:rPr>
      </w:pPr>
    </w:p>
    <w:p w14:paraId="3CD72A79" w14:textId="77777777" w:rsidR="00200B99" w:rsidRPr="000C059E" w:rsidRDefault="00200B99" w:rsidP="00773EAE">
      <w:pPr>
        <w:ind w:left="851"/>
        <w:rPr>
          <w:i/>
          <w:sz w:val="24"/>
          <w:szCs w:val="24"/>
        </w:rPr>
      </w:pPr>
      <w:r w:rsidRPr="000C059E">
        <w:rPr>
          <w:i/>
          <w:sz w:val="24"/>
          <w:szCs w:val="24"/>
        </w:rPr>
        <w:t>DTC</w:t>
      </w:r>
    </w:p>
    <w:p w14:paraId="258537BB" w14:textId="77777777" w:rsidR="00200B99" w:rsidRPr="000C059E" w:rsidRDefault="00200B99" w:rsidP="00773EAE">
      <w:pPr>
        <w:ind w:left="851"/>
        <w:rPr>
          <w:i/>
          <w:sz w:val="24"/>
          <w:szCs w:val="24"/>
        </w:rPr>
      </w:pPr>
    </w:p>
    <w:p w14:paraId="02B7B743" w14:textId="77777777" w:rsidR="00200B99" w:rsidRPr="000C059E" w:rsidRDefault="00200B99" w:rsidP="00773EAE">
      <w:pPr>
        <w:ind w:left="851"/>
        <w:rPr>
          <w:sz w:val="24"/>
          <w:szCs w:val="24"/>
        </w:rPr>
      </w:pPr>
      <w:r w:rsidRPr="000C059E">
        <w:rPr>
          <w:sz w:val="24"/>
          <w:szCs w:val="24"/>
        </w:rPr>
        <w:t>Asiatiske patienter havde en højere (≥ 10 % forskel) forekomst end kaukasiske patienter af perifert ødem, hypertension, træthed, PPE, proteinuri, stomatitis, trombocytopeni og myalgi, mens kaukasiske patienter havde en højere forekomst af diarré, vægttab, kvalme, opkastning, forstoppelse, asteni, abdominalsmerter, ekstremitetssmerter og mundtørhed. En større andel af asiatiske patienter fik en dosisreduktion af lenvatinib sammenlignet med kaukasiske patienter. Mediantiden til første dosisreduktion og den gennemsnitlige daglige dosis, der blev taget, var lavere hos asiatiske patienter end hos kaukasiske patienter.</w:t>
      </w:r>
    </w:p>
    <w:p w14:paraId="5CFE2CE7" w14:textId="77777777" w:rsidR="00200B99" w:rsidRPr="000C059E" w:rsidRDefault="00200B99" w:rsidP="00773EAE">
      <w:pPr>
        <w:ind w:left="851"/>
        <w:rPr>
          <w:sz w:val="24"/>
          <w:szCs w:val="24"/>
        </w:rPr>
      </w:pPr>
    </w:p>
    <w:p w14:paraId="1E0D702A" w14:textId="77777777" w:rsidR="00200B99" w:rsidRPr="000C059E" w:rsidRDefault="00200B99" w:rsidP="00773EAE">
      <w:pPr>
        <w:ind w:left="851"/>
        <w:rPr>
          <w:i/>
          <w:sz w:val="24"/>
          <w:szCs w:val="24"/>
        </w:rPr>
      </w:pPr>
      <w:r w:rsidRPr="000C059E">
        <w:rPr>
          <w:i/>
          <w:sz w:val="24"/>
          <w:szCs w:val="24"/>
        </w:rPr>
        <w:t>HCC</w:t>
      </w:r>
    </w:p>
    <w:p w14:paraId="0494C85D" w14:textId="77777777" w:rsidR="00200B99" w:rsidRPr="000C059E" w:rsidRDefault="00200B99" w:rsidP="00773EAE">
      <w:pPr>
        <w:ind w:left="851"/>
        <w:rPr>
          <w:i/>
          <w:sz w:val="24"/>
          <w:szCs w:val="24"/>
        </w:rPr>
      </w:pPr>
    </w:p>
    <w:p w14:paraId="5AD747BD" w14:textId="77777777" w:rsidR="00200B99" w:rsidRPr="000C059E" w:rsidRDefault="00200B99" w:rsidP="00773EAE">
      <w:pPr>
        <w:ind w:left="851"/>
        <w:rPr>
          <w:sz w:val="24"/>
          <w:szCs w:val="24"/>
        </w:rPr>
      </w:pPr>
      <w:r w:rsidRPr="000C059E">
        <w:rPr>
          <w:sz w:val="24"/>
          <w:szCs w:val="24"/>
        </w:rPr>
        <w:t>Asiatiske patienter havde en højere forekomst end kaukasiske patienter af proteinuri, nedsat neutrocyttal, nedsat trombocyttal, nedsat antal hvide blodlegemer og PPE, mens kaukasiske patienter havde en højere forekomst af træthed, hepatisk encefalopati, akut nyreskade, angst, asteni, kvalme, trombocytopeni, og opkastning.</w:t>
      </w:r>
    </w:p>
    <w:p w14:paraId="0FE80118" w14:textId="77777777" w:rsidR="00200B99" w:rsidRPr="000C059E" w:rsidRDefault="00200B99" w:rsidP="00773EAE">
      <w:pPr>
        <w:ind w:left="851"/>
        <w:rPr>
          <w:sz w:val="24"/>
          <w:szCs w:val="24"/>
        </w:rPr>
      </w:pPr>
    </w:p>
    <w:p w14:paraId="527EAA9E" w14:textId="77777777" w:rsidR="00200B99" w:rsidRPr="000C059E" w:rsidRDefault="00200B99" w:rsidP="00773EAE">
      <w:pPr>
        <w:ind w:left="851"/>
        <w:rPr>
          <w:i/>
          <w:sz w:val="24"/>
          <w:szCs w:val="24"/>
        </w:rPr>
      </w:pPr>
      <w:r w:rsidRPr="000C059E">
        <w:rPr>
          <w:i/>
          <w:sz w:val="24"/>
          <w:szCs w:val="24"/>
        </w:rPr>
        <w:t>EC</w:t>
      </w:r>
    </w:p>
    <w:p w14:paraId="60645261" w14:textId="77777777" w:rsidR="00200B99" w:rsidRPr="000C059E" w:rsidRDefault="00200B99" w:rsidP="00773EAE">
      <w:pPr>
        <w:ind w:left="851"/>
        <w:rPr>
          <w:i/>
          <w:sz w:val="24"/>
          <w:szCs w:val="24"/>
        </w:rPr>
      </w:pPr>
    </w:p>
    <w:p w14:paraId="03B92B0F" w14:textId="77777777" w:rsidR="00200B99" w:rsidRPr="000C059E" w:rsidRDefault="00200B99" w:rsidP="00773EAE">
      <w:pPr>
        <w:ind w:left="851"/>
        <w:rPr>
          <w:sz w:val="24"/>
          <w:szCs w:val="24"/>
        </w:rPr>
      </w:pPr>
      <w:r w:rsidRPr="000C059E">
        <w:rPr>
          <w:sz w:val="24"/>
          <w:szCs w:val="24"/>
        </w:rPr>
        <w:t>Asiatiske patienter havde en højere forekomst (≥ 10 % forskel) end kaukasiske patienter af anæmi</w:t>
      </w:r>
      <w:r w:rsidRPr="000C059E">
        <w:rPr>
          <w:color w:val="4C5055"/>
          <w:sz w:val="24"/>
          <w:szCs w:val="24"/>
        </w:rPr>
        <w:t xml:space="preserve">, </w:t>
      </w:r>
      <w:r w:rsidRPr="000C059E">
        <w:rPr>
          <w:sz w:val="24"/>
          <w:szCs w:val="24"/>
        </w:rPr>
        <w:t>utilpashed, nedsat neutrofiltal, stomatitis, nedsat trombocyttal, proteinuri og PPE, mens kaukasiske patienter havde en højere forekomst af mukosal inflammation, abdominalsmerter, diarré, urinvejsinfektion, vægttab, hypomagnesiæmi, svimmelhed, asteni og træthed.</w:t>
      </w:r>
    </w:p>
    <w:p w14:paraId="71B58D6D" w14:textId="77777777" w:rsidR="00200B99" w:rsidRPr="000C059E" w:rsidRDefault="00200B99" w:rsidP="00773EAE">
      <w:pPr>
        <w:ind w:left="851"/>
        <w:rPr>
          <w:sz w:val="24"/>
          <w:szCs w:val="24"/>
        </w:rPr>
      </w:pPr>
    </w:p>
    <w:p w14:paraId="5CFF8A87" w14:textId="77777777" w:rsidR="00200B99" w:rsidRPr="00260B68" w:rsidRDefault="00200B99" w:rsidP="00773EAE">
      <w:pPr>
        <w:ind w:left="851"/>
        <w:rPr>
          <w:i/>
          <w:sz w:val="24"/>
          <w:szCs w:val="24"/>
          <w:u w:val="single"/>
        </w:rPr>
      </w:pPr>
      <w:r w:rsidRPr="00260B68">
        <w:rPr>
          <w:i/>
          <w:sz w:val="24"/>
          <w:szCs w:val="24"/>
          <w:u w:val="single"/>
        </w:rPr>
        <w:t>Hypertension ved baseline</w:t>
      </w:r>
    </w:p>
    <w:p w14:paraId="527247AA" w14:textId="77777777" w:rsidR="00200B99" w:rsidRPr="000C059E" w:rsidRDefault="00200B99" w:rsidP="00773EAE">
      <w:pPr>
        <w:ind w:left="851"/>
        <w:rPr>
          <w:i/>
          <w:sz w:val="24"/>
          <w:szCs w:val="24"/>
        </w:rPr>
      </w:pPr>
    </w:p>
    <w:p w14:paraId="053430CF" w14:textId="77777777" w:rsidR="00200B99" w:rsidRPr="000C059E" w:rsidRDefault="00200B99" w:rsidP="00773EAE">
      <w:pPr>
        <w:ind w:left="851"/>
        <w:rPr>
          <w:i/>
          <w:sz w:val="24"/>
          <w:szCs w:val="24"/>
        </w:rPr>
      </w:pPr>
      <w:r w:rsidRPr="000C059E">
        <w:rPr>
          <w:i/>
          <w:sz w:val="24"/>
          <w:szCs w:val="24"/>
        </w:rPr>
        <w:t>DTC</w:t>
      </w:r>
    </w:p>
    <w:p w14:paraId="3E4125D4" w14:textId="77777777" w:rsidR="00200B99" w:rsidRPr="000C059E" w:rsidRDefault="00200B99" w:rsidP="00773EAE">
      <w:pPr>
        <w:ind w:left="851"/>
        <w:rPr>
          <w:i/>
          <w:sz w:val="24"/>
          <w:szCs w:val="24"/>
        </w:rPr>
      </w:pPr>
    </w:p>
    <w:p w14:paraId="64550B6F" w14:textId="77777777" w:rsidR="00200B99" w:rsidRPr="000C059E" w:rsidRDefault="00200B99" w:rsidP="00773EAE">
      <w:pPr>
        <w:ind w:left="851"/>
        <w:rPr>
          <w:sz w:val="24"/>
          <w:szCs w:val="24"/>
        </w:rPr>
      </w:pPr>
      <w:r w:rsidRPr="000C059E">
        <w:rPr>
          <w:sz w:val="24"/>
          <w:szCs w:val="24"/>
        </w:rPr>
        <w:t xml:space="preserve">Patienter med hypertension ved </w:t>
      </w:r>
      <w:r w:rsidRPr="000C059E">
        <w:rPr>
          <w:i/>
          <w:iCs/>
          <w:sz w:val="24"/>
          <w:szCs w:val="24"/>
        </w:rPr>
        <w:t>baseline</w:t>
      </w:r>
      <w:r w:rsidRPr="000C059E">
        <w:rPr>
          <w:sz w:val="24"/>
          <w:szCs w:val="24"/>
        </w:rPr>
        <w:t xml:space="preserve"> havde en større forekomst af grad 3- eller grad 4-hypertension, proteinuri, diarré og dehydrering og oplevede mere alvorlige tilfælde af dehydrering, hypotension, lungeemboli, malign pleuraeffusion, atrieflimmer og mave-tarm-symptomer (abdominalsmerter, diarré, opkastning).</w:t>
      </w:r>
    </w:p>
    <w:p w14:paraId="2DA47DDD" w14:textId="77777777" w:rsidR="00200B99" w:rsidRPr="000C059E" w:rsidRDefault="00200B99" w:rsidP="00773EAE">
      <w:pPr>
        <w:ind w:left="851"/>
        <w:rPr>
          <w:sz w:val="24"/>
          <w:szCs w:val="24"/>
        </w:rPr>
      </w:pPr>
    </w:p>
    <w:p w14:paraId="1A7D4747" w14:textId="77777777" w:rsidR="00200B99" w:rsidRPr="00260B68" w:rsidRDefault="00200B99" w:rsidP="00773EAE">
      <w:pPr>
        <w:ind w:left="851"/>
        <w:rPr>
          <w:i/>
          <w:sz w:val="24"/>
          <w:szCs w:val="24"/>
          <w:u w:val="single"/>
        </w:rPr>
      </w:pPr>
      <w:r w:rsidRPr="00260B68">
        <w:rPr>
          <w:i/>
          <w:sz w:val="24"/>
          <w:szCs w:val="24"/>
          <w:u w:val="single"/>
        </w:rPr>
        <w:t>Nedsat leverfunktion</w:t>
      </w:r>
    </w:p>
    <w:p w14:paraId="532426EA" w14:textId="77777777" w:rsidR="00200B99" w:rsidRPr="000C059E" w:rsidRDefault="00200B99" w:rsidP="00773EAE">
      <w:pPr>
        <w:ind w:left="851"/>
        <w:rPr>
          <w:i/>
          <w:sz w:val="24"/>
          <w:szCs w:val="24"/>
        </w:rPr>
      </w:pPr>
    </w:p>
    <w:p w14:paraId="2CF5BAB9" w14:textId="77777777" w:rsidR="00200B99" w:rsidRPr="000C059E" w:rsidRDefault="00200B99" w:rsidP="00773EAE">
      <w:pPr>
        <w:ind w:left="851"/>
        <w:rPr>
          <w:i/>
          <w:sz w:val="24"/>
          <w:szCs w:val="24"/>
        </w:rPr>
      </w:pPr>
      <w:r w:rsidRPr="000C059E">
        <w:rPr>
          <w:i/>
          <w:sz w:val="24"/>
          <w:szCs w:val="24"/>
        </w:rPr>
        <w:t>DTC</w:t>
      </w:r>
    </w:p>
    <w:p w14:paraId="6A090B45" w14:textId="77777777" w:rsidR="00200B99" w:rsidRPr="000C059E" w:rsidRDefault="00200B99" w:rsidP="00773EAE">
      <w:pPr>
        <w:ind w:left="851"/>
        <w:rPr>
          <w:i/>
          <w:sz w:val="24"/>
          <w:szCs w:val="24"/>
        </w:rPr>
      </w:pPr>
    </w:p>
    <w:p w14:paraId="78023B84" w14:textId="77777777" w:rsidR="00200B99" w:rsidRPr="000C059E" w:rsidRDefault="00200B99" w:rsidP="00773EAE">
      <w:pPr>
        <w:ind w:left="851"/>
        <w:rPr>
          <w:sz w:val="24"/>
          <w:szCs w:val="24"/>
        </w:rPr>
      </w:pPr>
      <w:r w:rsidRPr="000C059E">
        <w:rPr>
          <w:sz w:val="24"/>
          <w:szCs w:val="24"/>
        </w:rPr>
        <w:t xml:space="preserve">Patienter med nedsat leverfunktion ved </w:t>
      </w:r>
      <w:r w:rsidRPr="000C059E">
        <w:rPr>
          <w:i/>
          <w:iCs/>
          <w:sz w:val="24"/>
          <w:szCs w:val="24"/>
        </w:rPr>
        <w:t>baseline</w:t>
      </w:r>
      <w:r w:rsidRPr="000C059E">
        <w:rPr>
          <w:sz w:val="24"/>
          <w:szCs w:val="24"/>
        </w:rPr>
        <w:t xml:space="preserve"> havde en større forekomst af hypertension og PPE og en større forekomst af grad 3- eller grad 4-hypertension, asteni, træthed og hypocalcæmi sammenlignet med patienter med normal leverfunktion.</w:t>
      </w:r>
    </w:p>
    <w:p w14:paraId="08B234E9" w14:textId="77777777" w:rsidR="00200B99" w:rsidRPr="000C059E" w:rsidRDefault="00200B99" w:rsidP="00773EAE">
      <w:pPr>
        <w:ind w:left="851"/>
        <w:rPr>
          <w:sz w:val="24"/>
          <w:szCs w:val="24"/>
        </w:rPr>
      </w:pPr>
    </w:p>
    <w:p w14:paraId="37A48F29" w14:textId="77777777" w:rsidR="00200B99" w:rsidRPr="000C059E" w:rsidRDefault="00200B99" w:rsidP="00773EAE">
      <w:pPr>
        <w:ind w:left="851"/>
        <w:rPr>
          <w:i/>
          <w:sz w:val="24"/>
          <w:szCs w:val="24"/>
        </w:rPr>
      </w:pPr>
      <w:r w:rsidRPr="000C059E">
        <w:rPr>
          <w:i/>
          <w:sz w:val="24"/>
          <w:szCs w:val="24"/>
        </w:rPr>
        <w:t>HCC</w:t>
      </w:r>
    </w:p>
    <w:p w14:paraId="3F14DA6E" w14:textId="77777777" w:rsidR="00200B99" w:rsidRPr="000C059E" w:rsidRDefault="00200B99" w:rsidP="00773EAE">
      <w:pPr>
        <w:ind w:left="851"/>
        <w:rPr>
          <w:i/>
          <w:sz w:val="24"/>
          <w:szCs w:val="24"/>
        </w:rPr>
      </w:pPr>
    </w:p>
    <w:p w14:paraId="1E0C9331" w14:textId="77777777" w:rsidR="00200B99" w:rsidRPr="000C059E" w:rsidRDefault="00200B99" w:rsidP="00773EAE">
      <w:pPr>
        <w:ind w:left="851"/>
        <w:rPr>
          <w:sz w:val="24"/>
          <w:szCs w:val="24"/>
        </w:rPr>
      </w:pPr>
      <w:r w:rsidRPr="000C059E">
        <w:rPr>
          <w:sz w:val="24"/>
          <w:szCs w:val="24"/>
        </w:rPr>
        <w:t xml:space="preserve">Patienter med </w:t>
      </w:r>
      <w:r w:rsidRPr="000C059E">
        <w:rPr>
          <w:i/>
          <w:iCs/>
          <w:sz w:val="24"/>
          <w:szCs w:val="24"/>
        </w:rPr>
        <w:t>baseline</w:t>
      </w:r>
      <w:r w:rsidRPr="000C059E">
        <w:rPr>
          <w:sz w:val="24"/>
          <w:szCs w:val="24"/>
        </w:rPr>
        <w:t xml:space="preserve"> Child-Pugh (CP) score på 6 (omtrent 20 % af patienterne i REFLECT-studiet) havde en højere forekomst af nedsat appetit, træthed, proteinuri, hepatisk encefalopati og leversvigt sammenlignet med patienter med en </w:t>
      </w:r>
      <w:r w:rsidRPr="000C059E">
        <w:rPr>
          <w:i/>
          <w:iCs/>
          <w:sz w:val="24"/>
          <w:szCs w:val="24"/>
        </w:rPr>
        <w:t>baseline</w:t>
      </w:r>
      <w:r w:rsidRPr="000C059E">
        <w:rPr>
          <w:sz w:val="24"/>
          <w:szCs w:val="24"/>
        </w:rPr>
        <w:t xml:space="preserve"> CP-score på 5. Hændelser med hepatotoksicitet og hændelser med blødning forekom også med en højere hyppighed i CP-score 6 patienter sammenlignet med CP-score 5 patienter.</w:t>
      </w:r>
    </w:p>
    <w:p w14:paraId="6377817C" w14:textId="77777777" w:rsidR="00200B99" w:rsidRPr="000C059E" w:rsidRDefault="00200B99" w:rsidP="00773EAE">
      <w:pPr>
        <w:ind w:left="851"/>
        <w:rPr>
          <w:sz w:val="24"/>
          <w:szCs w:val="24"/>
        </w:rPr>
      </w:pPr>
    </w:p>
    <w:p w14:paraId="7AAF6535" w14:textId="77777777" w:rsidR="00200B99" w:rsidRPr="00260B68" w:rsidRDefault="00200B99" w:rsidP="00773EAE">
      <w:pPr>
        <w:ind w:left="851"/>
        <w:rPr>
          <w:i/>
          <w:sz w:val="24"/>
          <w:szCs w:val="24"/>
          <w:u w:val="single"/>
        </w:rPr>
      </w:pPr>
      <w:r w:rsidRPr="00260B68">
        <w:rPr>
          <w:i/>
          <w:sz w:val="24"/>
          <w:szCs w:val="24"/>
          <w:u w:val="single"/>
        </w:rPr>
        <w:t>Nedsat nyrefunktion</w:t>
      </w:r>
    </w:p>
    <w:p w14:paraId="35CAA96D" w14:textId="77777777" w:rsidR="00200B99" w:rsidRPr="000C059E" w:rsidRDefault="00200B99" w:rsidP="00773EAE">
      <w:pPr>
        <w:ind w:left="851"/>
        <w:rPr>
          <w:i/>
          <w:sz w:val="24"/>
          <w:szCs w:val="24"/>
        </w:rPr>
      </w:pPr>
    </w:p>
    <w:p w14:paraId="3AD28826" w14:textId="77777777" w:rsidR="00200B99" w:rsidRPr="000C059E" w:rsidRDefault="00200B99" w:rsidP="00773EAE">
      <w:pPr>
        <w:ind w:left="851"/>
        <w:rPr>
          <w:i/>
          <w:sz w:val="24"/>
          <w:szCs w:val="24"/>
        </w:rPr>
      </w:pPr>
      <w:r w:rsidRPr="000C059E">
        <w:rPr>
          <w:i/>
          <w:sz w:val="24"/>
          <w:szCs w:val="24"/>
        </w:rPr>
        <w:t>DTC</w:t>
      </w:r>
    </w:p>
    <w:p w14:paraId="39BDF392" w14:textId="77777777" w:rsidR="00200B99" w:rsidRPr="000C059E" w:rsidRDefault="00200B99" w:rsidP="00773EAE">
      <w:pPr>
        <w:ind w:left="851"/>
        <w:rPr>
          <w:i/>
          <w:sz w:val="24"/>
          <w:szCs w:val="24"/>
        </w:rPr>
      </w:pPr>
    </w:p>
    <w:p w14:paraId="4735F2BE" w14:textId="77777777" w:rsidR="00200B99" w:rsidRPr="000C059E" w:rsidRDefault="00200B99" w:rsidP="00773EAE">
      <w:pPr>
        <w:ind w:left="851"/>
        <w:rPr>
          <w:sz w:val="24"/>
          <w:szCs w:val="24"/>
        </w:rPr>
      </w:pPr>
      <w:r w:rsidRPr="000C059E">
        <w:rPr>
          <w:sz w:val="24"/>
          <w:szCs w:val="24"/>
        </w:rPr>
        <w:t xml:space="preserve">Patienter med nedsat nyrefunktion ved </w:t>
      </w:r>
      <w:r w:rsidRPr="000C059E">
        <w:rPr>
          <w:i/>
          <w:iCs/>
          <w:sz w:val="24"/>
          <w:szCs w:val="24"/>
        </w:rPr>
        <w:t>baseline</w:t>
      </w:r>
      <w:r w:rsidRPr="000C059E">
        <w:rPr>
          <w:sz w:val="24"/>
          <w:szCs w:val="24"/>
        </w:rPr>
        <w:t xml:space="preserve"> havde en større forekomst af grad 3- eller grad 4-hypertension, proteinuri, træthed, stomatitis, perifert ødem, trombocytopeni, dehydrering, QT</w:t>
      </w:r>
      <w:r w:rsidRPr="000C059E">
        <w:rPr>
          <w:sz w:val="24"/>
          <w:szCs w:val="24"/>
        </w:rPr>
        <w:noBreakHyphen/>
        <w:t>forlængelse, hypothyroidisme, hyponatriæmi, forhøjet niveau af thyreoideastimulerende hormon i blodet, pneumoni sammenlignet med personer med normal nyrefunktion. Disse patienter havde også en højere forekomst af nyrereaktioner og en tendens til en højere forekomst af leverreaktioner.</w:t>
      </w:r>
    </w:p>
    <w:p w14:paraId="7BAE4088" w14:textId="77777777" w:rsidR="00200B99" w:rsidRPr="000C059E" w:rsidRDefault="00200B99" w:rsidP="00773EAE">
      <w:pPr>
        <w:ind w:left="851"/>
        <w:rPr>
          <w:sz w:val="24"/>
          <w:szCs w:val="24"/>
        </w:rPr>
      </w:pPr>
    </w:p>
    <w:p w14:paraId="66EE959E" w14:textId="77777777" w:rsidR="00200B99" w:rsidRPr="000C059E" w:rsidRDefault="00200B99" w:rsidP="00773EAE">
      <w:pPr>
        <w:ind w:left="851"/>
        <w:rPr>
          <w:i/>
          <w:sz w:val="24"/>
          <w:szCs w:val="24"/>
        </w:rPr>
      </w:pPr>
      <w:r w:rsidRPr="000C059E">
        <w:rPr>
          <w:i/>
          <w:sz w:val="24"/>
          <w:szCs w:val="24"/>
        </w:rPr>
        <w:t>HCC</w:t>
      </w:r>
    </w:p>
    <w:p w14:paraId="69EEC41C" w14:textId="77777777" w:rsidR="00200B99" w:rsidRPr="000C059E" w:rsidRDefault="00200B99" w:rsidP="00773EAE">
      <w:pPr>
        <w:ind w:left="851"/>
        <w:rPr>
          <w:i/>
          <w:sz w:val="24"/>
          <w:szCs w:val="24"/>
        </w:rPr>
      </w:pPr>
    </w:p>
    <w:p w14:paraId="07E64DBA" w14:textId="77777777" w:rsidR="00200B99" w:rsidRPr="000C059E" w:rsidRDefault="00200B99" w:rsidP="00773EAE">
      <w:pPr>
        <w:ind w:left="851"/>
        <w:rPr>
          <w:sz w:val="24"/>
          <w:szCs w:val="24"/>
        </w:rPr>
      </w:pPr>
      <w:r w:rsidRPr="000C059E">
        <w:rPr>
          <w:sz w:val="24"/>
          <w:szCs w:val="24"/>
        </w:rPr>
        <w:t xml:space="preserve">Patienter med nedsat nyrefunktion ved </w:t>
      </w:r>
      <w:r w:rsidRPr="000C059E">
        <w:rPr>
          <w:i/>
          <w:iCs/>
          <w:sz w:val="24"/>
          <w:szCs w:val="24"/>
        </w:rPr>
        <w:t>baseline</w:t>
      </w:r>
      <w:r w:rsidRPr="000C059E">
        <w:rPr>
          <w:sz w:val="24"/>
          <w:szCs w:val="24"/>
        </w:rPr>
        <w:t xml:space="preserve"> havde en højere forekomst af træthed, hypothyroidisme, dehydrering, diarré, nedsat appetit, proteinuri og hepatisk encefalopati. Disse patienter havde også en højere forekomst af nyrereaktioner og arterielle tromboemboliske hændelser.</w:t>
      </w:r>
    </w:p>
    <w:p w14:paraId="29408D19" w14:textId="77777777" w:rsidR="00200B99" w:rsidRPr="000C059E" w:rsidRDefault="00200B99" w:rsidP="00773EAE">
      <w:pPr>
        <w:ind w:left="851"/>
        <w:rPr>
          <w:sz w:val="24"/>
          <w:szCs w:val="24"/>
        </w:rPr>
      </w:pPr>
    </w:p>
    <w:p w14:paraId="2C71B839" w14:textId="77777777" w:rsidR="00200B99" w:rsidRPr="00260B68" w:rsidRDefault="00200B99" w:rsidP="00773EAE">
      <w:pPr>
        <w:ind w:left="851"/>
        <w:rPr>
          <w:i/>
          <w:sz w:val="24"/>
          <w:szCs w:val="24"/>
          <w:u w:val="single"/>
        </w:rPr>
      </w:pPr>
      <w:r w:rsidRPr="00260B68">
        <w:rPr>
          <w:i/>
          <w:sz w:val="24"/>
          <w:szCs w:val="24"/>
          <w:u w:val="single"/>
        </w:rPr>
        <w:t>Patienter med en legemsvægt &lt; 60 kg</w:t>
      </w:r>
    </w:p>
    <w:p w14:paraId="21B528C4" w14:textId="77777777" w:rsidR="00200B99" w:rsidRPr="000C059E" w:rsidRDefault="00200B99" w:rsidP="00773EAE">
      <w:pPr>
        <w:ind w:left="851"/>
        <w:rPr>
          <w:i/>
          <w:sz w:val="24"/>
          <w:szCs w:val="24"/>
        </w:rPr>
      </w:pPr>
    </w:p>
    <w:p w14:paraId="3DE9BAAC" w14:textId="77777777" w:rsidR="00200B99" w:rsidRPr="000C059E" w:rsidRDefault="00200B99" w:rsidP="00773EAE">
      <w:pPr>
        <w:ind w:left="851"/>
        <w:rPr>
          <w:i/>
          <w:sz w:val="24"/>
          <w:szCs w:val="24"/>
        </w:rPr>
      </w:pPr>
      <w:r w:rsidRPr="000C059E">
        <w:rPr>
          <w:i/>
          <w:sz w:val="24"/>
          <w:szCs w:val="24"/>
        </w:rPr>
        <w:t>DTC</w:t>
      </w:r>
    </w:p>
    <w:p w14:paraId="4AAB3FA9" w14:textId="77777777" w:rsidR="00200B99" w:rsidRPr="000C059E" w:rsidRDefault="00200B99" w:rsidP="00773EAE">
      <w:pPr>
        <w:ind w:left="851"/>
        <w:rPr>
          <w:i/>
          <w:sz w:val="24"/>
          <w:szCs w:val="24"/>
        </w:rPr>
      </w:pPr>
    </w:p>
    <w:p w14:paraId="26B614CE" w14:textId="11555E21" w:rsidR="00200B99" w:rsidRPr="000C059E" w:rsidRDefault="00200B99" w:rsidP="00773EAE">
      <w:pPr>
        <w:ind w:left="851"/>
        <w:rPr>
          <w:sz w:val="24"/>
          <w:szCs w:val="24"/>
        </w:rPr>
      </w:pPr>
      <w:r w:rsidRPr="000C059E">
        <w:rPr>
          <w:sz w:val="24"/>
          <w:szCs w:val="24"/>
        </w:rPr>
        <w:t>Patienter med lav legemsvægt (&lt; 60 kg) havde en højere forekomst af PPE, proteinuri, grad 3- eller grad 4-hypocalcæmi og hyponatriæmi og en tendens til en højere forekomst af grad 3- eller grad 4-nedsat appetit.</w:t>
      </w:r>
    </w:p>
    <w:p w14:paraId="3248F795" w14:textId="77777777" w:rsidR="00200B99" w:rsidRPr="000C059E" w:rsidRDefault="00200B99" w:rsidP="00773EAE">
      <w:pPr>
        <w:ind w:left="851"/>
        <w:rPr>
          <w:sz w:val="24"/>
          <w:szCs w:val="24"/>
        </w:rPr>
      </w:pPr>
    </w:p>
    <w:p w14:paraId="344ED351" w14:textId="77777777" w:rsidR="00200B99" w:rsidRPr="00260B68" w:rsidRDefault="00200B99" w:rsidP="00773EAE">
      <w:pPr>
        <w:ind w:left="851"/>
        <w:rPr>
          <w:sz w:val="24"/>
          <w:szCs w:val="24"/>
          <w:u w:val="single"/>
        </w:rPr>
      </w:pPr>
      <w:r w:rsidRPr="00260B68">
        <w:rPr>
          <w:sz w:val="24"/>
          <w:szCs w:val="24"/>
          <w:u w:val="single"/>
        </w:rPr>
        <w:t>Indberetning af formodede bivirkninger</w:t>
      </w:r>
    </w:p>
    <w:p w14:paraId="55530531" w14:textId="77777777" w:rsidR="00200B99" w:rsidRPr="000C059E" w:rsidRDefault="00200B99" w:rsidP="00773EAE">
      <w:pPr>
        <w:ind w:left="851"/>
        <w:rPr>
          <w:sz w:val="24"/>
          <w:szCs w:val="24"/>
        </w:rPr>
      </w:pPr>
      <w:r w:rsidRPr="000C059E">
        <w:rPr>
          <w:sz w:val="24"/>
          <w:szCs w:val="24"/>
        </w:rPr>
        <w:t xml:space="preserve">Når lægemidlet er godkendt, er indberetning af formodede bivirkninger vigtig. Det muliggør løbende overvågning af benefit/risk-forholdet for lægemidlet. Sundhedspersoner anmodes om at indberette alle formodede bivirkninger via </w:t>
      </w:r>
      <w:r w:rsidRPr="000C059E">
        <w:rPr>
          <w:sz w:val="24"/>
          <w:szCs w:val="24"/>
        </w:rPr>
        <w:br/>
      </w:r>
    </w:p>
    <w:p w14:paraId="6CFAFDD8" w14:textId="77777777" w:rsidR="00200B99" w:rsidRPr="000C059E" w:rsidRDefault="00200B99" w:rsidP="00773EAE">
      <w:pPr>
        <w:ind w:left="851"/>
        <w:rPr>
          <w:sz w:val="24"/>
          <w:szCs w:val="24"/>
        </w:rPr>
      </w:pPr>
      <w:r w:rsidRPr="000C059E">
        <w:rPr>
          <w:sz w:val="24"/>
          <w:szCs w:val="24"/>
        </w:rPr>
        <w:t>Lægemiddelstyrelsen</w:t>
      </w:r>
      <w:r w:rsidRPr="000C059E">
        <w:rPr>
          <w:sz w:val="24"/>
          <w:szCs w:val="24"/>
        </w:rPr>
        <w:br/>
        <w:t>Axel Heides Gade 1</w:t>
      </w:r>
      <w:r w:rsidRPr="000C059E">
        <w:rPr>
          <w:sz w:val="24"/>
          <w:szCs w:val="24"/>
        </w:rPr>
        <w:br/>
        <w:t>DK-2300 København S</w:t>
      </w:r>
      <w:r w:rsidRPr="000C059E">
        <w:rPr>
          <w:sz w:val="24"/>
          <w:szCs w:val="24"/>
        </w:rPr>
        <w:br/>
        <w:t xml:space="preserve">Websted: </w:t>
      </w:r>
      <w:hyperlink r:id="rId8" w:history="1">
        <w:r w:rsidRPr="000C059E">
          <w:rPr>
            <w:rStyle w:val="Hyperlink"/>
            <w:sz w:val="24"/>
            <w:szCs w:val="24"/>
          </w:rPr>
          <w:t>www.meldenbivirkning.dk</w:t>
        </w:r>
      </w:hyperlink>
    </w:p>
    <w:p w14:paraId="1DE91E9E" w14:textId="77777777" w:rsidR="009260DE" w:rsidRPr="000C059E" w:rsidRDefault="009260DE" w:rsidP="00A10294">
      <w:pPr>
        <w:tabs>
          <w:tab w:val="left" w:pos="851"/>
        </w:tabs>
        <w:ind w:left="851"/>
        <w:rPr>
          <w:sz w:val="24"/>
          <w:szCs w:val="24"/>
        </w:rPr>
      </w:pPr>
    </w:p>
    <w:p w14:paraId="1348515E" w14:textId="77777777" w:rsidR="009260DE" w:rsidRPr="000C059E" w:rsidRDefault="009260DE" w:rsidP="009260DE">
      <w:pPr>
        <w:tabs>
          <w:tab w:val="left" w:pos="851"/>
        </w:tabs>
        <w:ind w:left="851" w:hanging="851"/>
        <w:rPr>
          <w:b/>
          <w:sz w:val="24"/>
          <w:szCs w:val="24"/>
        </w:rPr>
      </w:pPr>
      <w:r w:rsidRPr="000C059E">
        <w:rPr>
          <w:b/>
          <w:sz w:val="24"/>
          <w:szCs w:val="24"/>
        </w:rPr>
        <w:t>4.9</w:t>
      </w:r>
      <w:r w:rsidRPr="000C059E">
        <w:rPr>
          <w:b/>
          <w:sz w:val="24"/>
          <w:szCs w:val="24"/>
        </w:rPr>
        <w:tab/>
        <w:t>Overdosering</w:t>
      </w:r>
    </w:p>
    <w:p w14:paraId="07824B80" w14:textId="77777777" w:rsidR="00200B99" w:rsidRPr="000C059E" w:rsidRDefault="00200B99" w:rsidP="00773EAE">
      <w:pPr>
        <w:ind w:left="851"/>
        <w:rPr>
          <w:sz w:val="24"/>
          <w:szCs w:val="24"/>
        </w:rPr>
      </w:pPr>
      <w:r w:rsidRPr="000C059E">
        <w:rPr>
          <w:sz w:val="24"/>
          <w:szCs w:val="24"/>
        </w:rPr>
        <w:t>De højeste doser af lenvatinib, der er undersøgt klinisk, er 32 mg og 40 mg dagligt. Utilsigtede medicineringsfejl, der førte til enkeltdoser på 40 til 48 mg, er også forekommet i kliniske studier. De hyppigst observerede bivirkninger ved disse doser var hypertension, kvalme, diarré, træthed, stomatitis, proteinuri, hovedpine og forværring af PPE. Der har også været rapporter om overdosering med lenvatinib med enkeltadministrationer på 6 til 10 gange den anbefalede daglige dosis. Disse tilfælde var forbundet med bivirkninger, der stemmer overens med den kendte sikkerhedsprofil for lenvatinib (dvs. nyre- og hjertesvigt), eller de var ikke forbundet med bivirkninger.</w:t>
      </w:r>
    </w:p>
    <w:p w14:paraId="2C972C97" w14:textId="77777777" w:rsidR="00200B99" w:rsidRPr="000C059E" w:rsidRDefault="00200B99" w:rsidP="00773EAE">
      <w:pPr>
        <w:ind w:left="851"/>
        <w:rPr>
          <w:sz w:val="24"/>
          <w:szCs w:val="24"/>
        </w:rPr>
      </w:pPr>
    </w:p>
    <w:p w14:paraId="3E967472" w14:textId="77777777" w:rsidR="00200B99" w:rsidRPr="000C059E" w:rsidRDefault="00200B99" w:rsidP="00773EAE">
      <w:pPr>
        <w:ind w:left="851"/>
        <w:rPr>
          <w:sz w:val="24"/>
          <w:szCs w:val="24"/>
        </w:rPr>
      </w:pPr>
      <w:r w:rsidRPr="000C059E">
        <w:rPr>
          <w:sz w:val="24"/>
          <w:szCs w:val="24"/>
          <w:u w:val="single"/>
        </w:rPr>
        <w:t>Symptomer og behandling</w:t>
      </w:r>
    </w:p>
    <w:p w14:paraId="2CFE2038" w14:textId="77777777" w:rsidR="00200B99" w:rsidRPr="000C059E" w:rsidRDefault="00200B99" w:rsidP="00773EAE">
      <w:pPr>
        <w:ind w:left="851"/>
        <w:rPr>
          <w:sz w:val="24"/>
          <w:szCs w:val="24"/>
        </w:rPr>
      </w:pPr>
    </w:p>
    <w:p w14:paraId="2C26BFEA" w14:textId="77777777" w:rsidR="00200B99" w:rsidRPr="000C059E" w:rsidRDefault="00200B99" w:rsidP="00773EAE">
      <w:pPr>
        <w:ind w:left="851"/>
        <w:rPr>
          <w:sz w:val="24"/>
          <w:szCs w:val="24"/>
        </w:rPr>
      </w:pPr>
      <w:r w:rsidRPr="000C059E">
        <w:rPr>
          <w:sz w:val="24"/>
          <w:szCs w:val="24"/>
        </w:rPr>
        <w:t>Der er ingen kendt antidot mod en overdosis af lenvatinib. I tilfælde af en formodet overdosering bør lenvatinib tilbageholdes, og der bør gives passende støttebehandling efter behov.</w:t>
      </w:r>
    </w:p>
    <w:p w14:paraId="65897B71" w14:textId="77777777" w:rsidR="009260DE" w:rsidRPr="000C059E" w:rsidRDefault="009260DE" w:rsidP="009260DE">
      <w:pPr>
        <w:tabs>
          <w:tab w:val="left" w:pos="851"/>
        </w:tabs>
        <w:ind w:left="851"/>
        <w:rPr>
          <w:sz w:val="24"/>
          <w:szCs w:val="24"/>
        </w:rPr>
      </w:pPr>
    </w:p>
    <w:p w14:paraId="66517A5C" w14:textId="77777777" w:rsidR="009260DE" w:rsidRPr="000C059E" w:rsidRDefault="009260DE" w:rsidP="009260DE">
      <w:pPr>
        <w:tabs>
          <w:tab w:val="left" w:pos="851"/>
        </w:tabs>
        <w:ind w:left="851" w:hanging="851"/>
        <w:rPr>
          <w:b/>
          <w:sz w:val="24"/>
          <w:szCs w:val="24"/>
        </w:rPr>
      </w:pPr>
      <w:r w:rsidRPr="000C059E">
        <w:rPr>
          <w:b/>
          <w:sz w:val="24"/>
          <w:szCs w:val="24"/>
        </w:rPr>
        <w:t>4.10</w:t>
      </w:r>
      <w:r w:rsidRPr="000C059E">
        <w:rPr>
          <w:b/>
          <w:sz w:val="24"/>
          <w:szCs w:val="24"/>
        </w:rPr>
        <w:tab/>
        <w:t>Udlevering</w:t>
      </w:r>
    </w:p>
    <w:p w14:paraId="5ED0133B" w14:textId="609D3AB3" w:rsidR="009260DE" w:rsidRPr="000C059E" w:rsidRDefault="00AA6814" w:rsidP="009260DE">
      <w:pPr>
        <w:tabs>
          <w:tab w:val="left" w:pos="851"/>
        </w:tabs>
        <w:ind w:left="851"/>
        <w:rPr>
          <w:sz w:val="24"/>
          <w:szCs w:val="24"/>
        </w:rPr>
      </w:pPr>
      <w:r w:rsidRPr="000C059E">
        <w:rPr>
          <w:sz w:val="24"/>
          <w:szCs w:val="24"/>
        </w:rPr>
        <w:t>BEGR (kun til sygehuse)</w:t>
      </w:r>
    </w:p>
    <w:p w14:paraId="6F7EA947" w14:textId="77777777" w:rsidR="009260DE" w:rsidRPr="000C059E" w:rsidRDefault="009260DE" w:rsidP="009260DE">
      <w:pPr>
        <w:tabs>
          <w:tab w:val="left" w:pos="851"/>
        </w:tabs>
        <w:ind w:left="851"/>
        <w:rPr>
          <w:sz w:val="24"/>
          <w:szCs w:val="24"/>
        </w:rPr>
      </w:pPr>
    </w:p>
    <w:p w14:paraId="693109BE" w14:textId="77777777" w:rsidR="009260DE" w:rsidRPr="000C059E" w:rsidRDefault="009260DE" w:rsidP="009260DE">
      <w:pPr>
        <w:tabs>
          <w:tab w:val="left" w:pos="851"/>
        </w:tabs>
        <w:ind w:left="851"/>
        <w:rPr>
          <w:sz w:val="24"/>
          <w:szCs w:val="24"/>
        </w:rPr>
      </w:pPr>
    </w:p>
    <w:p w14:paraId="194FAF18" w14:textId="77777777" w:rsidR="009260DE" w:rsidRPr="000C059E" w:rsidRDefault="009260DE" w:rsidP="009260DE">
      <w:pPr>
        <w:tabs>
          <w:tab w:val="left" w:pos="851"/>
        </w:tabs>
        <w:ind w:left="851" w:hanging="851"/>
        <w:rPr>
          <w:b/>
          <w:sz w:val="24"/>
          <w:szCs w:val="24"/>
        </w:rPr>
      </w:pPr>
      <w:r w:rsidRPr="000C059E">
        <w:rPr>
          <w:b/>
          <w:sz w:val="24"/>
          <w:szCs w:val="24"/>
        </w:rPr>
        <w:t>5.</w:t>
      </w:r>
      <w:r w:rsidRPr="000C059E">
        <w:rPr>
          <w:b/>
          <w:sz w:val="24"/>
          <w:szCs w:val="24"/>
        </w:rPr>
        <w:tab/>
        <w:t>FARMAKOLOGISKE EGENSKABER</w:t>
      </w:r>
    </w:p>
    <w:p w14:paraId="20FCE2DE" w14:textId="77777777" w:rsidR="009260DE" w:rsidRPr="000C059E" w:rsidRDefault="009260DE" w:rsidP="009260DE">
      <w:pPr>
        <w:tabs>
          <w:tab w:val="left" w:pos="851"/>
        </w:tabs>
        <w:ind w:left="851"/>
        <w:rPr>
          <w:sz w:val="24"/>
          <w:szCs w:val="24"/>
        </w:rPr>
      </w:pPr>
    </w:p>
    <w:p w14:paraId="20982C80" w14:textId="77777777" w:rsidR="009260DE" w:rsidRPr="000C059E" w:rsidRDefault="009260DE" w:rsidP="009260DE">
      <w:pPr>
        <w:tabs>
          <w:tab w:val="num" w:pos="851"/>
        </w:tabs>
        <w:ind w:left="851" w:hanging="851"/>
        <w:rPr>
          <w:b/>
          <w:sz w:val="24"/>
          <w:szCs w:val="24"/>
        </w:rPr>
      </w:pPr>
      <w:r w:rsidRPr="000C059E">
        <w:rPr>
          <w:b/>
          <w:sz w:val="24"/>
          <w:szCs w:val="24"/>
        </w:rPr>
        <w:t>5.1</w:t>
      </w:r>
      <w:r w:rsidRPr="000C059E">
        <w:rPr>
          <w:b/>
          <w:sz w:val="24"/>
          <w:szCs w:val="24"/>
        </w:rPr>
        <w:tab/>
        <w:t>Farmakodynamiske egenskaber</w:t>
      </w:r>
    </w:p>
    <w:p w14:paraId="78590526" w14:textId="77777777" w:rsidR="00200B99" w:rsidRPr="000C059E" w:rsidRDefault="00200B99" w:rsidP="00773EAE">
      <w:pPr>
        <w:ind w:left="851"/>
        <w:rPr>
          <w:sz w:val="24"/>
          <w:szCs w:val="24"/>
        </w:rPr>
      </w:pPr>
      <w:r w:rsidRPr="000C059E">
        <w:rPr>
          <w:sz w:val="24"/>
          <w:szCs w:val="24"/>
        </w:rPr>
        <w:t>Farmakoterapeutisk klassifikation: Antineoplastiske stoffer, proteinkinasehæmmere, ATC-kode: L01EX08.</w:t>
      </w:r>
    </w:p>
    <w:p w14:paraId="0A278782" w14:textId="77777777" w:rsidR="00200B99" w:rsidRPr="000C059E" w:rsidRDefault="00200B99" w:rsidP="00773EAE">
      <w:pPr>
        <w:ind w:left="851"/>
        <w:rPr>
          <w:sz w:val="24"/>
          <w:szCs w:val="24"/>
        </w:rPr>
      </w:pPr>
    </w:p>
    <w:p w14:paraId="29862DB7" w14:textId="77777777" w:rsidR="00200B99" w:rsidRPr="000C059E" w:rsidRDefault="00200B99" w:rsidP="00773EAE">
      <w:pPr>
        <w:ind w:left="851"/>
        <w:rPr>
          <w:sz w:val="24"/>
          <w:szCs w:val="24"/>
        </w:rPr>
      </w:pPr>
      <w:r w:rsidRPr="000C059E">
        <w:rPr>
          <w:sz w:val="24"/>
          <w:szCs w:val="24"/>
        </w:rPr>
        <w:t xml:space="preserve">Lenvatinib er en multikinasehæmmer, som har vist hovedsageligt antiangiogene egenskaber </w:t>
      </w:r>
      <w:r w:rsidRPr="000C059E">
        <w:rPr>
          <w:i/>
          <w:iCs/>
          <w:sz w:val="24"/>
          <w:szCs w:val="24"/>
        </w:rPr>
        <w:t>in vitro</w:t>
      </w:r>
      <w:r w:rsidRPr="000C059E">
        <w:rPr>
          <w:sz w:val="24"/>
          <w:szCs w:val="24"/>
        </w:rPr>
        <w:t xml:space="preserve"> og </w:t>
      </w:r>
      <w:r w:rsidRPr="000C059E">
        <w:rPr>
          <w:i/>
          <w:iCs/>
          <w:sz w:val="24"/>
          <w:szCs w:val="24"/>
        </w:rPr>
        <w:t>in vivo</w:t>
      </w:r>
      <w:r w:rsidRPr="000C059E">
        <w:rPr>
          <w:sz w:val="24"/>
          <w:szCs w:val="24"/>
        </w:rPr>
        <w:t xml:space="preserve">, og direkte hæmning af tumorvæksten blev også observeret i </w:t>
      </w:r>
      <w:r w:rsidRPr="000C059E">
        <w:rPr>
          <w:i/>
          <w:iCs/>
          <w:sz w:val="24"/>
          <w:szCs w:val="24"/>
        </w:rPr>
        <w:t>in vitro</w:t>
      </w:r>
      <w:r w:rsidRPr="000C059E">
        <w:rPr>
          <w:sz w:val="24"/>
          <w:szCs w:val="24"/>
        </w:rPr>
        <w:t>-modeller.</w:t>
      </w:r>
    </w:p>
    <w:p w14:paraId="1B9494C2" w14:textId="77777777" w:rsidR="00200B99" w:rsidRPr="000C059E" w:rsidRDefault="00200B99" w:rsidP="00773EAE">
      <w:pPr>
        <w:ind w:left="851"/>
        <w:rPr>
          <w:sz w:val="24"/>
          <w:szCs w:val="24"/>
          <w:u w:val="single"/>
        </w:rPr>
      </w:pPr>
    </w:p>
    <w:p w14:paraId="2E1B90B3" w14:textId="77777777" w:rsidR="00200B99" w:rsidRPr="000C059E" w:rsidRDefault="00200B99" w:rsidP="00773EAE">
      <w:pPr>
        <w:ind w:left="851"/>
        <w:rPr>
          <w:sz w:val="24"/>
          <w:szCs w:val="24"/>
        </w:rPr>
      </w:pPr>
      <w:r w:rsidRPr="000C059E">
        <w:rPr>
          <w:sz w:val="24"/>
          <w:szCs w:val="24"/>
          <w:u w:val="single"/>
        </w:rPr>
        <w:t>Virkningsmekanisme</w:t>
      </w:r>
    </w:p>
    <w:p w14:paraId="728ADBAC" w14:textId="380027B1" w:rsidR="00200B99" w:rsidRPr="000C059E" w:rsidRDefault="00200B99" w:rsidP="00773EAE">
      <w:pPr>
        <w:ind w:left="851"/>
        <w:rPr>
          <w:sz w:val="24"/>
          <w:szCs w:val="24"/>
        </w:rPr>
      </w:pPr>
      <w:r w:rsidRPr="000C059E">
        <w:rPr>
          <w:sz w:val="24"/>
          <w:szCs w:val="24"/>
        </w:rPr>
        <w:t>Lenvatinib er en receptortyrosinkinase (RTK)-hæmmer, der selektivt hæmmer kinaseaktiviteterne af vaskulær endothelial vækstfaktor (VEGF)-receptorer VEGFR1 (FLT1), VEGFR2 (KDR) og VEGFR3 (FLT4) foruden andre proangiogene og onkogene reaktionsvejsrelaterede RTK'er, herunder fibroblastvækstfaktor (FGF)-receptorer FGFR1, 2, 3 og 4, trombocytderiveret vækstfaktor (PDGF)-receptor PDGFRα, KIT og RET.</w:t>
      </w:r>
    </w:p>
    <w:p w14:paraId="541A3B9C" w14:textId="77777777" w:rsidR="00200B99" w:rsidRPr="000C059E" w:rsidRDefault="00200B99" w:rsidP="00773EAE">
      <w:pPr>
        <w:ind w:left="851"/>
        <w:rPr>
          <w:sz w:val="24"/>
          <w:szCs w:val="24"/>
        </w:rPr>
      </w:pPr>
    </w:p>
    <w:p w14:paraId="0D6DBFB1" w14:textId="77777777" w:rsidR="00200B99" w:rsidRPr="000C059E" w:rsidRDefault="00200B99" w:rsidP="00773EAE">
      <w:pPr>
        <w:ind w:left="851"/>
        <w:rPr>
          <w:sz w:val="24"/>
          <w:szCs w:val="24"/>
        </w:rPr>
      </w:pPr>
      <w:r w:rsidRPr="000C059E">
        <w:rPr>
          <w:sz w:val="24"/>
          <w:szCs w:val="24"/>
        </w:rPr>
        <w:t>Derudover havde lenvatinib selektiv, direkte antiproliferativ aktivitet i de hepatocellulære cellelinjer afhængig af aktiveret FGFR-signalering, som tilskrives lenvatinibs hæmning af FGFR-signalering.</w:t>
      </w:r>
    </w:p>
    <w:p w14:paraId="465FB1FB" w14:textId="77777777" w:rsidR="00200B99" w:rsidRPr="000C059E" w:rsidRDefault="00200B99" w:rsidP="00773EAE">
      <w:pPr>
        <w:ind w:left="851"/>
        <w:rPr>
          <w:sz w:val="24"/>
          <w:szCs w:val="24"/>
        </w:rPr>
      </w:pPr>
    </w:p>
    <w:p w14:paraId="603BCB5D" w14:textId="77777777" w:rsidR="00200B99" w:rsidRPr="000C059E" w:rsidRDefault="00200B99" w:rsidP="00773EAE">
      <w:pPr>
        <w:ind w:left="851"/>
        <w:rPr>
          <w:sz w:val="24"/>
          <w:szCs w:val="24"/>
        </w:rPr>
      </w:pPr>
      <w:r w:rsidRPr="000C059E">
        <w:rPr>
          <w:sz w:val="24"/>
          <w:szCs w:val="24"/>
        </w:rPr>
        <w:t>I syngene musetumormodeller reducerede lenvatinib antallet af tumorassocierede makrofager, øgede antallet af aktiverede cytotoksiske T-celler og udviste større antitumoraktivitet i kombination med et anti-PD-1 monoklonalt antistof sammenlignet med de enkelte behandlinger hver for sig.</w:t>
      </w:r>
    </w:p>
    <w:p w14:paraId="70F59F2D" w14:textId="77777777" w:rsidR="00200B99" w:rsidRPr="000C059E" w:rsidRDefault="00200B99" w:rsidP="00773EAE">
      <w:pPr>
        <w:ind w:left="851"/>
        <w:rPr>
          <w:sz w:val="24"/>
          <w:szCs w:val="24"/>
        </w:rPr>
      </w:pPr>
    </w:p>
    <w:p w14:paraId="19E86CDF" w14:textId="77777777" w:rsidR="00200B99" w:rsidRPr="000C059E" w:rsidRDefault="00200B99" w:rsidP="00773EAE">
      <w:pPr>
        <w:ind w:left="851"/>
        <w:rPr>
          <w:sz w:val="24"/>
          <w:szCs w:val="24"/>
        </w:rPr>
      </w:pPr>
      <w:r w:rsidRPr="000C059E">
        <w:rPr>
          <w:sz w:val="24"/>
          <w:szCs w:val="24"/>
        </w:rPr>
        <w:t>Selvom virkningsmekanismen for hypertension ikke blev undersøgt direkte med lenvatinib, postuleres det, at den er medieret via hæmningen af VEGFR2 i vaskulære endotelceller. På samme måde postuleres det, selvom det ikke er blevet undersøgt direkte, at virkningsmekanismen for proteinuri medieres via VEGFR1 og VEGFR2 i podocytterne i glomerulus.</w:t>
      </w:r>
    </w:p>
    <w:p w14:paraId="04A573AB" w14:textId="77777777" w:rsidR="00200B99" w:rsidRPr="000C059E" w:rsidRDefault="00200B99" w:rsidP="00773EAE">
      <w:pPr>
        <w:ind w:left="851"/>
        <w:rPr>
          <w:sz w:val="24"/>
          <w:szCs w:val="24"/>
        </w:rPr>
      </w:pPr>
    </w:p>
    <w:p w14:paraId="5A5313A1" w14:textId="77777777" w:rsidR="00200B99" w:rsidRPr="000C059E" w:rsidRDefault="00200B99" w:rsidP="00773EAE">
      <w:pPr>
        <w:ind w:left="851"/>
        <w:rPr>
          <w:sz w:val="24"/>
          <w:szCs w:val="24"/>
        </w:rPr>
      </w:pPr>
      <w:r w:rsidRPr="000C059E">
        <w:rPr>
          <w:sz w:val="24"/>
          <w:szCs w:val="24"/>
        </w:rPr>
        <w:t xml:space="preserve">Virkningsmekanismen for hypothyroidisme er ikke fuldt belyst. </w:t>
      </w:r>
    </w:p>
    <w:p w14:paraId="4024DD48" w14:textId="77777777" w:rsidR="00200B99" w:rsidRPr="000C059E" w:rsidRDefault="00200B99" w:rsidP="00773EAE">
      <w:pPr>
        <w:ind w:left="851"/>
        <w:rPr>
          <w:sz w:val="24"/>
          <w:szCs w:val="24"/>
        </w:rPr>
      </w:pPr>
    </w:p>
    <w:p w14:paraId="6149EC2B" w14:textId="77777777" w:rsidR="00200B99" w:rsidRPr="000C059E" w:rsidRDefault="00200B99" w:rsidP="00773EAE">
      <w:pPr>
        <w:ind w:left="851"/>
        <w:rPr>
          <w:sz w:val="24"/>
          <w:szCs w:val="24"/>
          <w:u w:val="single"/>
        </w:rPr>
      </w:pPr>
      <w:r w:rsidRPr="000C059E">
        <w:rPr>
          <w:sz w:val="24"/>
          <w:szCs w:val="24"/>
          <w:u w:val="single"/>
        </w:rPr>
        <w:t>Klinisk virkning</w:t>
      </w:r>
    </w:p>
    <w:p w14:paraId="6BF625BB" w14:textId="77777777" w:rsidR="00200B99" w:rsidRPr="000C059E" w:rsidRDefault="00200B99" w:rsidP="00773EAE">
      <w:pPr>
        <w:ind w:left="851"/>
        <w:rPr>
          <w:sz w:val="24"/>
          <w:szCs w:val="24"/>
        </w:rPr>
      </w:pPr>
    </w:p>
    <w:p w14:paraId="5D12574A" w14:textId="77777777" w:rsidR="00200B99" w:rsidRPr="000C059E" w:rsidRDefault="00200B99" w:rsidP="00773EAE">
      <w:pPr>
        <w:ind w:left="851"/>
        <w:rPr>
          <w:i/>
          <w:sz w:val="24"/>
          <w:szCs w:val="24"/>
        </w:rPr>
      </w:pPr>
      <w:r w:rsidRPr="000C059E">
        <w:rPr>
          <w:i/>
          <w:sz w:val="24"/>
          <w:szCs w:val="24"/>
          <w:u w:val="single"/>
        </w:rPr>
        <w:t>Radioaktivt jod-refraktær differentieret thyreoideacancer</w:t>
      </w:r>
    </w:p>
    <w:p w14:paraId="23ABA281" w14:textId="77777777" w:rsidR="00200B99" w:rsidRPr="000C059E" w:rsidRDefault="00200B99" w:rsidP="00773EAE">
      <w:pPr>
        <w:ind w:left="851"/>
        <w:rPr>
          <w:i/>
          <w:sz w:val="24"/>
          <w:szCs w:val="24"/>
        </w:rPr>
      </w:pPr>
    </w:p>
    <w:p w14:paraId="4D5194E4" w14:textId="78FF73AF" w:rsidR="00200B99" w:rsidRPr="000C059E" w:rsidRDefault="00200B99" w:rsidP="00773EAE">
      <w:pPr>
        <w:ind w:left="851"/>
        <w:rPr>
          <w:sz w:val="24"/>
          <w:szCs w:val="24"/>
        </w:rPr>
      </w:pPr>
      <w:r w:rsidRPr="000C059E">
        <w:rPr>
          <w:sz w:val="24"/>
          <w:szCs w:val="24"/>
        </w:rPr>
        <w:t>SELECT-studiet var et randomiseret, dobbeltblindet, placebokontrolleret multicenter</w:t>
      </w:r>
      <w:r w:rsidR="00C44B05">
        <w:rPr>
          <w:sz w:val="24"/>
          <w:szCs w:val="24"/>
        </w:rPr>
        <w:softHyphen/>
      </w:r>
      <w:r w:rsidRPr="000C059E">
        <w:rPr>
          <w:sz w:val="24"/>
          <w:szCs w:val="24"/>
        </w:rPr>
        <w:t>studie, der blev udført med 392 patienter med radioaktivt jod-refraktær differentieret thyreoideacancer, hvor der var uafhængigt, centralt gennemgået, radiografisk evidens for sygdomsprogression inden for 12 måneder (+ vindue på 1 måned) før inklusion. Den refraktære egenskab over for radioaktivt jod blev defineret som en eller flere målelige læsioner enten med manglende jodoptagelse eller med progression trods behandling med radioaktivt jod (radioactive-iodine, RAI) eller med en kumulativ aktivitet af RAI</w:t>
      </w:r>
      <w:r w:rsidR="00260B68">
        <w:rPr>
          <w:sz w:val="24"/>
          <w:szCs w:val="24"/>
        </w:rPr>
        <w:t xml:space="preserve"> </w:t>
      </w:r>
      <w:r w:rsidRPr="000C059E">
        <w:rPr>
          <w:sz w:val="24"/>
          <w:szCs w:val="24"/>
        </w:rPr>
        <w:t>på &gt;</w:t>
      </w:r>
      <w:r w:rsidR="00C44B05">
        <w:rPr>
          <w:sz w:val="24"/>
          <w:szCs w:val="24"/>
        </w:rPr>
        <w:t> </w:t>
      </w:r>
      <w:r w:rsidRPr="000C059E">
        <w:rPr>
          <w:sz w:val="24"/>
          <w:szCs w:val="24"/>
        </w:rPr>
        <w:t>600</w:t>
      </w:r>
      <w:r w:rsidR="00C44B05">
        <w:rPr>
          <w:sz w:val="24"/>
          <w:szCs w:val="24"/>
        </w:rPr>
        <w:t> </w:t>
      </w:r>
      <w:r w:rsidRPr="000C059E">
        <w:rPr>
          <w:sz w:val="24"/>
          <w:szCs w:val="24"/>
        </w:rPr>
        <w:t>mCi eller 22 GBq med den sidste dosis mindst 6 måneder før indgåelse i studiet. Randomiseringen blev stratificeret efter geografisk region (Europa, Nordamerika og andet), tidligere VEGF/VEGFR-målrettet behandling (patienter kan have fået 0 eller 1 tidligere VEGF/VEGFR-målrettet behandling) og alder (≤ 65 år eller &gt; 65 år). Det primære virkningsudfald var progressionsfri overlevelse (PFS) bestemt via blindet, uafhængig radiologisk gennemgang ved brug af Response Evaluation Criteria in Solid Tumours (RECIST) 1.1. Sekundære målinger af virkningsudfaldet omfattede samlet responsrate og samlet overlevelse. Patienter i placeboarmen kunne vælge at få lenvatinibbehandling på tidspunktet for bekræftet sygdomsprogression.</w:t>
      </w:r>
    </w:p>
    <w:p w14:paraId="4DC9BBDB" w14:textId="77777777" w:rsidR="00200B99" w:rsidRPr="000C059E" w:rsidRDefault="00200B99" w:rsidP="00773EAE">
      <w:pPr>
        <w:ind w:left="851"/>
        <w:rPr>
          <w:sz w:val="24"/>
          <w:szCs w:val="24"/>
        </w:rPr>
      </w:pPr>
    </w:p>
    <w:p w14:paraId="4F388FE8" w14:textId="77777777" w:rsidR="00200B99" w:rsidRPr="000C059E" w:rsidRDefault="00200B99" w:rsidP="00773EAE">
      <w:pPr>
        <w:ind w:left="851"/>
        <w:rPr>
          <w:sz w:val="24"/>
          <w:szCs w:val="24"/>
        </w:rPr>
      </w:pPr>
      <w:r w:rsidRPr="000C059E">
        <w:rPr>
          <w:sz w:val="24"/>
          <w:szCs w:val="24"/>
        </w:rPr>
        <w:t>Egnede patienter, hvor sygdommen kunne måles i henhold til RECIST 1.1, blev randomiseret i forholdet 2:1 til at få lenvatinib 24 mg én gang dagligt (n = 261) eller placebo (n = 131).</w:t>
      </w:r>
    </w:p>
    <w:p w14:paraId="47F59ED5" w14:textId="77777777" w:rsidR="00200B99" w:rsidRPr="000C059E" w:rsidRDefault="00200B99" w:rsidP="00773EAE">
      <w:pPr>
        <w:ind w:left="851"/>
        <w:rPr>
          <w:sz w:val="24"/>
          <w:szCs w:val="24"/>
        </w:rPr>
      </w:pPr>
      <w:r w:rsidRPr="000C059E">
        <w:rPr>
          <w:i/>
          <w:iCs/>
          <w:sz w:val="24"/>
          <w:szCs w:val="24"/>
        </w:rPr>
        <w:t>Baseline</w:t>
      </w:r>
      <w:r w:rsidRPr="000C059E">
        <w:rPr>
          <w:sz w:val="24"/>
          <w:szCs w:val="24"/>
        </w:rPr>
        <w:t>-demografi og sygdomskarakteristika var velafbalancerede i begge behandlingsgrupper. Ud af de 392 randomiserede patienter var 76,3 % naive med hensyn til tidligere VEGF/VEGFR-målrettede behandlinger, 49,0 % var kvinder, 49,7 % var fra Europa, og medianalderen var 63 år. Histologisk havde 66,1 % en bekræftet diagnose på papillær thyreoideacancer, og 33,9 % havde follikulær thyreoideacancer, som omfattede Hürthle-celle 14,8 % og clear-celle 3,8 %. Der var metastaser til stede hos 99 % af patienterne: i lungerne hos 89,3 %, i lymfeknuderne hos 51,5 %, i knoglerne hos 38,8 %, i leveren hos 18,1 %, i pleura hos 16,3 % og i hjernen hos 4,1 %. Hovedparten af patienterne havde en ECOG-præstationsstatus på 0, 42,1 % havde en status på 1, 3,9 % havde en status over 1. Median</w:t>
      </w:r>
      <w:r w:rsidRPr="000C059E">
        <w:rPr>
          <w:spacing w:val="-4"/>
          <w:sz w:val="24"/>
          <w:szCs w:val="24"/>
        </w:rPr>
        <w:t xml:space="preserve"> </w:t>
      </w:r>
      <w:r w:rsidRPr="000C059E">
        <w:rPr>
          <w:sz w:val="24"/>
          <w:szCs w:val="24"/>
        </w:rPr>
        <w:t>kumulative</w:t>
      </w:r>
      <w:r w:rsidRPr="000C059E">
        <w:rPr>
          <w:spacing w:val="-4"/>
          <w:sz w:val="24"/>
          <w:szCs w:val="24"/>
        </w:rPr>
        <w:t xml:space="preserve"> </w:t>
      </w:r>
      <w:r w:rsidRPr="000C059E">
        <w:rPr>
          <w:sz w:val="24"/>
          <w:szCs w:val="24"/>
        </w:rPr>
        <w:t>RAI-aktivitet</w:t>
      </w:r>
      <w:r w:rsidRPr="000C059E">
        <w:rPr>
          <w:spacing w:val="-5"/>
          <w:sz w:val="24"/>
          <w:szCs w:val="24"/>
        </w:rPr>
        <w:t xml:space="preserve"> </w:t>
      </w:r>
      <w:r w:rsidRPr="000C059E">
        <w:rPr>
          <w:sz w:val="24"/>
          <w:szCs w:val="24"/>
        </w:rPr>
        <w:t>administreret</w:t>
      </w:r>
      <w:r w:rsidRPr="000C059E">
        <w:rPr>
          <w:spacing w:val="-4"/>
          <w:sz w:val="24"/>
          <w:szCs w:val="24"/>
        </w:rPr>
        <w:t xml:space="preserve"> </w:t>
      </w:r>
      <w:r w:rsidRPr="000C059E">
        <w:rPr>
          <w:sz w:val="24"/>
          <w:szCs w:val="24"/>
        </w:rPr>
        <w:t>før</w:t>
      </w:r>
      <w:r w:rsidRPr="000C059E">
        <w:rPr>
          <w:spacing w:val="-5"/>
          <w:sz w:val="24"/>
          <w:szCs w:val="24"/>
        </w:rPr>
        <w:t xml:space="preserve"> </w:t>
      </w:r>
      <w:r w:rsidRPr="000C059E">
        <w:rPr>
          <w:sz w:val="24"/>
          <w:szCs w:val="24"/>
        </w:rPr>
        <w:t>indgåelse</w:t>
      </w:r>
      <w:r w:rsidRPr="000C059E">
        <w:rPr>
          <w:spacing w:val="-4"/>
          <w:sz w:val="24"/>
          <w:szCs w:val="24"/>
        </w:rPr>
        <w:t xml:space="preserve"> </w:t>
      </w:r>
      <w:r w:rsidRPr="000C059E">
        <w:rPr>
          <w:sz w:val="24"/>
          <w:szCs w:val="24"/>
        </w:rPr>
        <w:t>i</w:t>
      </w:r>
      <w:r w:rsidRPr="000C059E">
        <w:rPr>
          <w:spacing w:val="-8"/>
          <w:sz w:val="24"/>
          <w:szCs w:val="24"/>
        </w:rPr>
        <w:t xml:space="preserve"> </w:t>
      </w:r>
      <w:r w:rsidRPr="000C059E">
        <w:rPr>
          <w:sz w:val="24"/>
          <w:szCs w:val="24"/>
        </w:rPr>
        <w:t>studiet</w:t>
      </w:r>
      <w:r w:rsidRPr="000C059E">
        <w:rPr>
          <w:spacing w:val="-4"/>
          <w:sz w:val="24"/>
          <w:szCs w:val="24"/>
        </w:rPr>
        <w:t xml:space="preserve"> </w:t>
      </w:r>
      <w:r w:rsidRPr="000C059E">
        <w:rPr>
          <w:sz w:val="24"/>
          <w:szCs w:val="24"/>
        </w:rPr>
        <w:t>var</w:t>
      </w:r>
      <w:r w:rsidRPr="000C059E">
        <w:rPr>
          <w:spacing w:val="-5"/>
          <w:sz w:val="24"/>
          <w:szCs w:val="24"/>
        </w:rPr>
        <w:t xml:space="preserve"> </w:t>
      </w:r>
      <w:r w:rsidRPr="000C059E">
        <w:rPr>
          <w:sz w:val="24"/>
          <w:szCs w:val="24"/>
        </w:rPr>
        <w:t>350</w:t>
      </w:r>
      <w:r w:rsidRPr="000C059E">
        <w:rPr>
          <w:spacing w:val="-5"/>
          <w:sz w:val="24"/>
          <w:szCs w:val="24"/>
        </w:rPr>
        <w:t xml:space="preserve"> </w:t>
      </w:r>
      <w:r w:rsidRPr="000C059E">
        <w:rPr>
          <w:sz w:val="24"/>
          <w:szCs w:val="24"/>
        </w:rPr>
        <w:t>mCi</w:t>
      </w:r>
      <w:r w:rsidRPr="000C059E">
        <w:rPr>
          <w:spacing w:val="-5"/>
          <w:sz w:val="24"/>
          <w:szCs w:val="24"/>
        </w:rPr>
        <w:t xml:space="preserve"> </w:t>
      </w:r>
      <w:r w:rsidRPr="000C059E">
        <w:rPr>
          <w:sz w:val="24"/>
          <w:szCs w:val="24"/>
        </w:rPr>
        <w:t>(12,95</w:t>
      </w:r>
      <w:r w:rsidRPr="000C059E">
        <w:rPr>
          <w:spacing w:val="-6"/>
          <w:sz w:val="24"/>
          <w:szCs w:val="24"/>
        </w:rPr>
        <w:t xml:space="preserve"> </w:t>
      </w:r>
      <w:r w:rsidRPr="000C059E">
        <w:rPr>
          <w:sz w:val="24"/>
          <w:szCs w:val="24"/>
        </w:rPr>
        <w:t>GBq).</w:t>
      </w:r>
    </w:p>
    <w:p w14:paraId="34DB2C45" w14:textId="77777777" w:rsidR="00200B99" w:rsidRPr="000C059E" w:rsidRDefault="00200B99" w:rsidP="00773EAE">
      <w:pPr>
        <w:ind w:left="851"/>
        <w:rPr>
          <w:sz w:val="24"/>
          <w:szCs w:val="24"/>
        </w:rPr>
      </w:pPr>
    </w:p>
    <w:p w14:paraId="573E1334" w14:textId="77777777" w:rsidR="00200B99" w:rsidRPr="000C059E" w:rsidRDefault="00200B99" w:rsidP="00773EAE">
      <w:pPr>
        <w:ind w:left="851"/>
        <w:rPr>
          <w:sz w:val="24"/>
          <w:szCs w:val="24"/>
        </w:rPr>
      </w:pPr>
      <w:r w:rsidRPr="000C059E">
        <w:rPr>
          <w:sz w:val="24"/>
          <w:szCs w:val="24"/>
        </w:rPr>
        <w:t>En statistisk signifikant forlængelse i PFS blev demonstreret hos lenvatinib-behandlede patienter sammenlignet med patienter, der fik placebo (p &lt; 0,0001) (se figur 1). Den positive virkning på PFS blev set i alle aldersundergrupperne (over eller under 65 år), køn, race, histologisk undertype, geografisk</w:t>
      </w:r>
      <w:r w:rsidRPr="000C059E">
        <w:rPr>
          <w:spacing w:val="-5"/>
          <w:sz w:val="24"/>
          <w:szCs w:val="24"/>
        </w:rPr>
        <w:t xml:space="preserve"> </w:t>
      </w:r>
      <w:r w:rsidRPr="000C059E">
        <w:rPr>
          <w:sz w:val="24"/>
          <w:szCs w:val="24"/>
        </w:rPr>
        <w:t>region,</w:t>
      </w:r>
      <w:r w:rsidRPr="000C059E">
        <w:rPr>
          <w:spacing w:val="-4"/>
          <w:sz w:val="24"/>
          <w:szCs w:val="24"/>
        </w:rPr>
        <w:t xml:space="preserve"> </w:t>
      </w:r>
      <w:r w:rsidRPr="000C059E">
        <w:rPr>
          <w:sz w:val="24"/>
          <w:szCs w:val="24"/>
        </w:rPr>
        <w:t>og</w:t>
      </w:r>
      <w:r w:rsidRPr="000C059E">
        <w:rPr>
          <w:spacing w:val="-4"/>
          <w:sz w:val="24"/>
          <w:szCs w:val="24"/>
        </w:rPr>
        <w:t xml:space="preserve"> </w:t>
      </w:r>
      <w:r w:rsidRPr="000C059E">
        <w:rPr>
          <w:sz w:val="24"/>
          <w:szCs w:val="24"/>
        </w:rPr>
        <w:t>hos</w:t>
      </w:r>
      <w:r w:rsidRPr="000C059E">
        <w:rPr>
          <w:spacing w:val="-5"/>
          <w:sz w:val="24"/>
          <w:szCs w:val="24"/>
        </w:rPr>
        <w:t xml:space="preserve"> </w:t>
      </w:r>
      <w:r w:rsidRPr="000C059E">
        <w:rPr>
          <w:sz w:val="24"/>
          <w:szCs w:val="24"/>
        </w:rPr>
        <w:t>dem,</w:t>
      </w:r>
      <w:r w:rsidRPr="000C059E">
        <w:rPr>
          <w:spacing w:val="-4"/>
          <w:sz w:val="24"/>
          <w:szCs w:val="24"/>
        </w:rPr>
        <w:t xml:space="preserve"> </w:t>
      </w:r>
      <w:r w:rsidRPr="000C059E">
        <w:rPr>
          <w:sz w:val="24"/>
          <w:szCs w:val="24"/>
        </w:rPr>
        <w:t>der</w:t>
      </w:r>
      <w:r w:rsidRPr="000C059E">
        <w:rPr>
          <w:spacing w:val="-4"/>
          <w:sz w:val="24"/>
          <w:szCs w:val="24"/>
        </w:rPr>
        <w:t xml:space="preserve"> </w:t>
      </w:r>
      <w:r w:rsidRPr="000C059E">
        <w:rPr>
          <w:sz w:val="24"/>
          <w:szCs w:val="24"/>
        </w:rPr>
        <w:t>havde</w:t>
      </w:r>
      <w:r w:rsidRPr="000C059E">
        <w:rPr>
          <w:spacing w:val="-5"/>
          <w:sz w:val="24"/>
          <w:szCs w:val="24"/>
        </w:rPr>
        <w:t xml:space="preserve"> </w:t>
      </w:r>
      <w:r w:rsidRPr="000C059E">
        <w:rPr>
          <w:sz w:val="24"/>
          <w:szCs w:val="24"/>
        </w:rPr>
        <w:t>fået</w:t>
      </w:r>
      <w:r w:rsidRPr="000C059E">
        <w:rPr>
          <w:spacing w:val="-4"/>
          <w:sz w:val="24"/>
          <w:szCs w:val="24"/>
        </w:rPr>
        <w:t xml:space="preserve"> </w:t>
      </w:r>
      <w:r w:rsidRPr="000C059E">
        <w:rPr>
          <w:sz w:val="24"/>
          <w:szCs w:val="24"/>
        </w:rPr>
        <w:t>0</w:t>
      </w:r>
      <w:r w:rsidRPr="000C059E">
        <w:rPr>
          <w:spacing w:val="-4"/>
          <w:sz w:val="24"/>
          <w:szCs w:val="24"/>
        </w:rPr>
        <w:t xml:space="preserve"> </w:t>
      </w:r>
      <w:r w:rsidRPr="000C059E">
        <w:rPr>
          <w:sz w:val="24"/>
          <w:szCs w:val="24"/>
        </w:rPr>
        <w:t>eller</w:t>
      </w:r>
      <w:r w:rsidRPr="000C059E">
        <w:rPr>
          <w:spacing w:val="-5"/>
          <w:sz w:val="24"/>
          <w:szCs w:val="24"/>
        </w:rPr>
        <w:t xml:space="preserve"> </w:t>
      </w:r>
      <w:r w:rsidRPr="000C059E">
        <w:rPr>
          <w:sz w:val="24"/>
          <w:szCs w:val="24"/>
        </w:rPr>
        <w:t>1</w:t>
      </w:r>
      <w:r w:rsidRPr="000C059E">
        <w:rPr>
          <w:spacing w:val="-4"/>
          <w:sz w:val="24"/>
          <w:szCs w:val="24"/>
        </w:rPr>
        <w:t xml:space="preserve"> </w:t>
      </w:r>
      <w:r w:rsidRPr="000C059E">
        <w:rPr>
          <w:sz w:val="24"/>
          <w:szCs w:val="24"/>
        </w:rPr>
        <w:t>tidligere</w:t>
      </w:r>
      <w:r w:rsidRPr="000C059E">
        <w:rPr>
          <w:spacing w:val="-4"/>
          <w:sz w:val="24"/>
          <w:szCs w:val="24"/>
        </w:rPr>
        <w:t xml:space="preserve"> </w:t>
      </w:r>
      <w:r w:rsidRPr="000C059E">
        <w:rPr>
          <w:sz w:val="24"/>
          <w:szCs w:val="24"/>
        </w:rPr>
        <w:t>VEGF/VEGFR-målrettet</w:t>
      </w:r>
      <w:r w:rsidRPr="000C059E">
        <w:rPr>
          <w:spacing w:val="-5"/>
          <w:sz w:val="24"/>
          <w:szCs w:val="24"/>
        </w:rPr>
        <w:t xml:space="preserve"> </w:t>
      </w:r>
      <w:r w:rsidRPr="000C059E">
        <w:rPr>
          <w:sz w:val="24"/>
          <w:szCs w:val="24"/>
        </w:rPr>
        <w:t>behandling. Ved bekræftelse af sygdomsprogression efter uafhængig gennemgang havde 109 (83,2 %) af patienterne, der blev randomiseret til placebo, overkrydset til åben lenvatinib på tidspunktet for den primære virkningsanalyse.</w:t>
      </w:r>
    </w:p>
    <w:p w14:paraId="03739E51" w14:textId="77777777" w:rsidR="00200B99" w:rsidRPr="000C059E" w:rsidRDefault="00200B99" w:rsidP="00773EAE">
      <w:pPr>
        <w:ind w:left="851"/>
        <w:rPr>
          <w:sz w:val="24"/>
          <w:szCs w:val="24"/>
        </w:rPr>
      </w:pPr>
    </w:p>
    <w:p w14:paraId="058D3689" w14:textId="77777777" w:rsidR="00200B99" w:rsidRPr="000C059E" w:rsidRDefault="00200B99" w:rsidP="00773EAE">
      <w:pPr>
        <w:ind w:left="851"/>
        <w:rPr>
          <w:sz w:val="24"/>
          <w:szCs w:val="24"/>
        </w:rPr>
      </w:pPr>
      <w:r w:rsidRPr="000C059E">
        <w:rPr>
          <w:sz w:val="24"/>
          <w:szCs w:val="24"/>
        </w:rPr>
        <w:t xml:space="preserve">Den objektive responsrate (fuldstændigt respons [CR] plus delvist respons [PR]) pr. uafhængig radiologisk gennemgang var signifikant (p&lt;0,0001) højere i den lenvatinib-behandlede gruppe (64,8 %) end i den placebobehandlede gruppe (1,5 %). 4 (1,5 %) personer behandlet med lenvatinib opnåede et CR, og 165 personer (63,2 %) havde </w:t>
      </w:r>
      <w:proofErr w:type="gramStart"/>
      <w:r w:rsidRPr="000C059E">
        <w:rPr>
          <w:sz w:val="24"/>
          <w:szCs w:val="24"/>
        </w:rPr>
        <w:t>et PR</w:t>
      </w:r>
      <w:proofErr w:type="gramEnd"/>
      <w:r w:rsidRPr="000C059E">
        <w:rPr>
          <w:sz w:val="24"/>
          <w:szCs w:val="24"/>
        </w:rPr>
        <w:t>, mens ingen personer behandlet med placebo havde et CR, og 2 (1,5 %) personer havde et PR.</w:t>
      </w:r>
    </w:p>
    <w:p w14:paraId="1571E696" w14:textId="77777777" w:rsidR="00200B99" w:rsidRPr="000C059E" w:rsidRDefault="00200B99" w:rsidP="00773EAE">
      <w:pPr>
        <w:ind w:left="851"/>
        <w:rPr>
          <w:sz w:val="24"/>
          <w:szCs w:val="24"/>
        </w:rPr>
      </w:pPr>
    </w:p>
    <w:p w14:paraId="379242E1" w14:textId="2E3FE3C9" w:rsidR="00200B99" w:rsidRPr="000C059E" w:rsidRDefault="00200B99" w:rsidP="00773EAE">
      <w:pPr>
        <w:ind w:left="851"/>
        <w:rPr>
          <w:sz w:val="24"/>
          <w:szCs w:val="24"/>
        </w:rPr>
      </w:pPr>
      <w:r w:rsidRPr="000C059E">
        <w:rPr>
          <w:sz w:val="24"/>
          <w:szCs w:val="24"/>
        </w:rPr>
        <w:t>Mediantiden til første dosisreduktion var 2,8 måneder. Mediantiden til objektivt respons var 2,0 (95 % CI: 1,9; 3,5) måneder. Ud af de patienter, der oplevede et fuldstændigt eller delvist respons på lenvatinib, blev det imidlertid observeret, at 70,4 % udviklede et respons ved eller inden for</w:t>
      </w:r>
      <w:r w:rsidR="00260B68">
        <w:rPr>
          <w:sz w:val="24"/>
          <w:szCs w:val="24"/>
        </w:rPr>
        <w:t xml:space="preserve"> </w:t>
      </w:r>
      <w:r w:rsidRPr="000C059E">
        <w:rPr>
          <w:sz w:val="24"/>
          <w:szCs w:val="24"/>
        </w:rPr>
        <w:t xml:space="preserve">30 dage, efter de påbegyndte </w:t>
      </w:r>
      <w:r w:rsidR="00DF7CC9" w:rsidRPr="000C059E">
        <w:rPr>
          <w:sz w:val="24"/>
          <w:szCs w:val="24"/>
        </w:rPr>
        <w:t>dos</w:t>
      </w:r>
      <w:r w:rsidR="00DF7CC9">
        <w:rPr>
          <w:sz w:val="24"/>
          <w:szCs w:val="24"/>
        </w:rPr>
        <w:t>er</w:t>
      </w:r>
      <w:r w:rsidRPr="000C059E">
        <w:rPr>
          <w:sz w:val="24"/>
          <w:szCs w:val="24"/>
        </w:rPr>
        <w:t xml:space="preserve"> på 24 mg.</w:t>
      </w:r>
    </w:p>
    <w:p w14:paraId="011C75ED" w14:textId="77777777" w:rsidR="00200B99" w:rsidRPr="000C059E" w:rsidRDefault="00200B99" w:rsidP="00773EAE">
      <w:pPr>
        <w:ind w:left="851"/>
        <w:rPr>
          <w:sz w:val="24"/>
          <w:szCs w:val="24"/>
        </w:rPr>
      </w:pPr>
    </w:p>
    <w:p w14:paraId="3BE4C3D0" w14:textId="77777777" w:rsidR="00200B99" w:rsidRPr="000C059E" w:rsidRDefault="00200B99" w:rsidP="00773EAE">
      <w:pPr>
        <w:ind w:left="851"/>
        <w:rPr>
          <w:sz w:val="24"/>
          <w:szCs w:val="24"/>
        </w:rPr>
      </w:pPr>
      <w:r w:rsidRPr="000C059E">
        <w:rPr>
          <w:sz w:val="24"/>
          <w:szCs w:val="24"/>
        </w:rPr>
        <w:t>Den samlede overlevelsesanalyse var kompliceret af den kendsgerning, at de placebobehandlede personer med bekræftet sygdomsprogression havde muligheden for at overkrydse til åben lenvatinib. Der var ingen statistisk signifikant forskel i samlet overlevelse mellem behandlingsgrupperne på tidspunktet for den primære virkningsanalyse (HR=0,73, 95 % CI: 0,50; 1,07, p=0,1032). Median samlede overlevelse (OS) blev ikke nået, hverken for lenvatinib-gruppen eller placebo- overkrydsningsgruppen.</w:t>
      </w:r>
    </w:p>
    <w:p w14:paraId="5238DDAD" w14:textId="77777777" w:rsidR="00200B99" w:rsidRPr="000C059E" w:rsidRDefault="00200B99" w:rsidP="00773EAE">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1"/>
        <w:gridCol w:w="2120"/>
        <w:gridCol w:w="1997"/>
      </w:tblGrid>
      <w:tr w:rsidR="00200B99" w:rsidRPr="000C059E" w14:paraId="276F791A" w14:textId="77777777" w:rsidTr="00773EAE">
        <w:trPr>
          <w:trHeight w:val="503"/>
        </w:trPr>
        <w:tc>
          <w:tcPr>
            <w:tcW w:w="5000" w:type="pct"/>
            <w:gridSpan w:val="3"/>
            <w:tcBorders>
              <w:top w:val="single" w:sz="4" w:space="0" w:color="000000"/>
              <w:left w:val="single" w:sz="4" w:space="0" w:color="000000"/>
              <w:bottom w:val="single" w:sz="4" w:space="0" w:color="000000"/>
              <w:right w:val="single" w:sz="4" w:space="0" w:color="000000"/>
            </w:tcBorders>
            <w:hideMark/>
          </w:tcPr>
          <w:p w14:paraId="6A9D165A" w14:textId="77777777" w:rsidR="00200B99" w:rsidRPr="00A3364A" w:rsidRDefault="00200B99" w:rsidP="00A3364A">
            <w:pPr>
              <w:pStyle w:val="TableParagraph"/>
              <w:ind w:left="133" w:right="131"/>
              <w:rPr>
                <w:b/>
                <w:lang w:val="da-DK"/>
              </w:rPr>
            </w:pPr>
            <w:r w:rsidRPr="00A3364A">
              <w:rPr>
                <w:b/>
                <w:lang w:val="da-DK"/>
              </w:rPr>
              <w:t>Tabel 7 Virkningsresultater hos DTC-patienter</w:t>
            </w:r>
          </w:p>
        </w:tc>
      </w:tr>
      <w:tr w:rsidR="00200B99" w:rsidRPr="000C059E" w14:paraId="6D78DD8F" w14:textId="77777777" w:rsidTr="00773EAE">
        <w:trPr>
          <w:trHeight w:val="460"/>
        </w:trPr>
        <w:tc>
          <w:tcPr>
            <w:tcW w:w="2862" w:type="pct"/>
            <w:tcBorders>
              <w:top w:val="single" w:sz="4" w:space="0" w:color="000000"/>
              <w:left w:val="single" w:sz="4" w:space="0" w:color="000000"/>
              <w:bottom w:val="single" w:sz="4" w:space="0" w:color="000000"/>
              <w:right w:val="single" w:sz="4" w:space="0" w:color="000000"/>
            </w:tcBorders>
          </w:tcPr>
          <w:p w14:paraId="7A859E54" w14:textId="77777777" w:rsidR="00200B99" w:rsidRPr="00A3364A" w:rsidRDefault="00200B99" w:rsidP="00A3364A">
            <w:pPr>
              <w:pStyle w:val="TableParagraph"/>
              <w:ind w:left="133" w:right="131"/>
              <w:rPr>
                <w:lang w:val="da-DK"/>
              </w:rPr>
            </w:pPr>
          </w:p>
        </w:tc>
        <w:tc>
          <w:tcPr>
            <w:tcW w:w="1101" w:type="pct"/>
            <w:tcBorders>
              <w:top w:val="single" w:sz="4" w:space="0" w:color="000000"/>
              <w:left w:val="single" w:sz="4" w:space="0" w:color="000000"/>
              <w:bottom w:val="single" w:sz="4" w:space="0" w:color="000000"/>
              <w:right w:val="single" w:sz="4" w:space="0" w:color="000000"/>
            </w:tcBorders>
            <w:hideMark/>
          </w:tcPr>
          <w:p w14:paraId="7317EC15" w14:textId="77777777" w:rsidR="00200B99" w:rsidRPr="00A3364A" w:rsidRDefault="00200B99" w:rsidP="00A3364A">
            <w:pPr>
              <w:pStyle w:val="TableParagraph"/>
              <w:ind w:left="133" w:right="131"/>
              <w:rPr>
                <w:b/>
                <w:lang w:val="da-DK"/>
              </w:rPr>
            </w:pPr>
            <w:r w:rsidRPr="00A3364A">
              <w:rPr>
                <w:b/>
                <w:lang w:val="da-DK"/>
              </w:rPr>
              <w:t>Lenvatinib N = 261</w:t>
            </w:r>
          </w:p>
        </w:tc>
        <w:tc>
          <w:tcPr>
            <w:tcW w:w="1037" w:type="pct"/>
            <w:tcBorders>
              <w:top w:val="single" w:sz="4" w:space="0" w:color="000000"/>
              <w:left w:val="single" w:sz="4" w:space="0" w:color="000000"/>
              <w:bottom w:val="single" w:sz="4" w:space="0" w:color="000000"/>
              <w:right w:val="single" w:sz="4" w:space="0" w:color="000000"/>
            </w:tcBorders>
            <w:hideMark/>
          </w:tcPr>
          <w:p w14:paraId="77C8CD4C" w14:textId="77777777" w:rsidR="00200B99" w:rsidRPr="00A3364A" w:rsidRDefault="00200B99" w:rsidP="00A3364A">
            <w:pPr>
              <w:pStyle w:val="TableParagraph"/>
              <w:ind w:left="133" w:right="131"/>
              <w:rPr>
                <w:b/>
                <w:lang w:val="da-DK"/>
              </w:rPr>
            </w:pPr>
            <w:r w:rsidRPr="00A3364A">
              <w:rPr>
                <w:b/>
                <w:lang w:val="da-DK"/>
              </w:rPr>
              <w:t>Placebo N = 131</w:t>
            </w:r>
          </w:p>
        </w:tc>
      </w:tr>
      <w:tr w:rsidR="00200B99" w:rsidRPr="000C059E" w14:paraId="22B27F0A" w14:textId="77777777" w:rsidTr="00773EAE">
        <w:trPr>
          <w:trHeight w:val="23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0D8A804" w14:textId="77777777" w:rsidR="00200B99" w:rsidRPr="00A3364A" w:rsidRDefault="00200B99" w:rsidP="00A3364A">
            <w:pPr>
              <w:pStyle w:val="TableParagraph"/>
              <w:ind w:left="133" w:right="131"/>
              <w:rPr>
                <w:b/>
                <w:lang w:val="da-DK"/>
              </w:rPr>
            </w:pPr>
            <w:r w:rsidRPr="00A3364A">
              <w:rPr>
                <w:b/>
                <w:lang w:val="da-DK"/>
              </w:rPr>
              <w:t>Progressionsfri overlevelse (PFS)</w:t>
            </w:r>
            <w:r w:rsidRPr="00A3364A">
              <w:rPr>
                <w:b/>
                <w:vertAlign w:val="superscript"/>
                <w:lang w:val="da-DK"/>
              </w:rPr>
              <w:t>a</w:t>
            </w:r>
          </w:p>
        </w:tc>
      </w:tr>
      <w:tr w:rsidR="00200B99" w:rsidRPr="000C059E" w14:paraId="25F03461"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34C07774" w14:textId="77777777" w:rsidR="00200B99" w:rsidRPr="00A3364A" w:rsidRDefault="00200B99" w:rsidP="00A3364A">
            <w:pPr>
              <w:pStyle w:val="TableParagraph"/>
              <w:ind w:left="133" w:right="131"/>
              <w:rPr>
                <w:lang w:val="da-DK"/>
              </w:rPr>
            </w:pPr>
            <w:r w:rsidRPr="00A3364A">
              <w:rPr>
                <w:lang w:val="da-DK"/>
              </w:rPr>
              <w:t>Antal progressioner eller dødsfald (%)</w:t>
            </w:r>
          </w:p>
        </w:tc>
        <w:tc>
          <w:tcPr>
            <w:tcW w:w="1101" w:type="pct"/>
            <w:tcBorders>
              <w:top w:val="single" w:sz="4" w:space="0" w:color="000000"/>
              <w:left w:val="single" w:sz="4" w:space="0" w:color="000000"/>
              <w:bottom w:val="single" w:sz="4" w:space="0" w:color="000000"/>
              <w:right w:val="single" w:sz="4" w:space="0" w:color="000000"/>
            </w:tcBorders>
            <w:hideMark/>
          </w:tcPr>
          <w:p w14:paraId="56B3684B" w14:textId="77777777" w:rsidR="00200B99" w:rsidRPr="00A3364A" w:rsidRDefault="00200B99" w:rsidP="00A3364A">
            <w:pPr>
              <w:pStyle w:val="TableParagraph"/>
              <w:ind w:left="133" w:right="131"/>
              <w:jc w:val="center"/>
              <w:rPr>
                <w:lang w:val="da-DK"/>
              </w:rPr>
            </w:pPr>
            <w:r w:rsidRPr="00A3364A">
              <w:rPr>
                <w:lang w:val="da-DK"/>
              </w:rPr>
              <w:t>107 (41,0)</w:t>
            </w:r>
          </w:p>
        </w:tc>
        <w:tc>
          <w:tcPr>
            <w:tcW w:w="1037" w:type="pct"/>
            <w:tcBorders>
              <w:top w:val="single" w:sz="4" w:space="0" w:color="000000"/>
              <w:left w:val="single" w:sz="4" w:space="0" w:color="000000"/>
              <w:bottom w:val="single" w:sz="4" w:space="0" w:color="000000"/>
              <w:right w:val="single" w:sz="4" w:space="0" w:color="000000"/>
            </w:tcBorders>
            <w:hideMark/>
          </w:tcPr>
          <w:p w14:paraId="3BB4E634" w14:textId="77777777" w:rsidR="00200B99" w:rsidRPr="00A3364A" w:rsidRDefault="00200B99" w:rsidP="00A3364A">
            <w:pPr>
              <w:pStyle w:val="TableParagraph"/>
              <w:ind w:left="133" w:right="131"/>
              <w:jc w:val="center"/>
              <w:rPr>
                <w:lang w:val="da-DK"/>
              </w:rPr>
            </w:pPr>
            <w:r w:rsidRPr="00A3364A">
              <w:rPr>
                <w:lang w:val="da-DK"/>
              </w:rPr>
              <w:t>113 (86,3)</w:t>
            </w:r>
          </w:p>
        </w:tc>
      </w:tr>
      <w:tr w:rsidR="00200B99" w:rsidRPr="000C059E" w14:paraId="0C8978A3"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0B163EC4" w14:textId="77777777" w:rsidR="00200B99" w:rsidRPr="00A3364A" w:rsidRDefault="00200B99" w:rsidP="00A3364A">
            <w:pPr>
              <w:pStyle w:val="TableParagraph"/>
              <w:ind w:left="133" w:right="131"/>
              <w:rPr>
                <w:lang w:val="da-DK"/>
              </w:rPr>
            </w:pPr>
            <w:r w:rsidRPr="00A3364A">
              <w:rPr>
                <w:lang w:val="da-DK"/>
              </w:rPr>
              <w:t>Median PFS i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6F728A4A" w14:textId="77777777" w:rsidR="00200B99" w:rsidRPr="00A3364A" w:rsidRDefault="00200B99" w:rsidP="00A3364A">
            <w:pPr>
              <w:pStyle w:val="TableParagraph"/>
              <w:ind w:left="133" w:right="131"/>
              <w:jc w:val="center"/>
              <w:rPr>
                <w:lang w:val="da-DK"/>
              </w:rPr>
            </w:pPr>
            <w:r w:rsidRPr="00A3364A">
              <w:rPr>
                <w:lang w:val="da-DK"/>
              </w:rPr>
              <w:t>18,3 (15,1; NE)</w:t>
            </w:r>
          </w:p>
        </w:tc>
        <w:tc>
          <w:tcPr>
            <w:tcW w:w="1037" w:type="pct"/>
            <w:tcBorders>
              <w:top w:val="single" w:sz="4" w:space="0" w:color="000000"/>
              <w:left w:val="single" w:sz="4" w:space="0" w:color="000000"/>
              <w:bottom w:val="single" w:sz="4" w:space="0" w:color="000000"/>
              <w:right w:val="single" w:sz="4" w:space="0" w:color="000000"/>
            </w:tcBorders>
            <w:hideMark/>
          </w:tcPr>
          <w:p w14:paraId="183035B7" w14:textId="77777777" w:rsidR="00200B99" w:rsidRPr="00A3364A" w:rsidRDefault="00200B99" w:rsidP="00A3364A">
            <w:pPr>
              <w:pStyle w:val="TableParagraph"/>
              <w:ind w:left="133" w:right="131"/>
              <w:jc w:val="center"/>
              <w:rPr>
                <w:lang w:val="da-DK"/>
              </w:rPr>
            </w:pPr>
            <w:r w:rsidRPr="00A3364A">
              <w:rPr>
                <w:lang w:val="da-DK"/>
              </w:rPr>
              <w:t>3,6 (2,2; 3,7)</w:t>
            </w:r>
          </w:p>
        </w:tc>
      </w:tr>
      <w:tr w:rsidR="00200B99" w:rsidRPr="000C059E" w14:paraId="60BD8875"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10E5BFD0" w14:textId="77777777" w:rsidR="00200B99" w:rsidRPr="00A3364A" w:rsidRDefault="00200B99" w:rsidP="00A3364A">
            <w:pPr>
              <w:pStyle w:val="TableParagraph"/>
              <w:ind w:left="133" w:right="131"/>
            </w:pPr>
            <w:r w:rsidRPr="00A3364A">
              <w:rPr>
                <w:i/>
                <w:iCs/>
              </w:rPr>
              <w:t>Hazard ratio</w:t>
            </w:r>
            <w:r w:rsidRPr="00A3364A">
              <w:t xml:space="preserve"> (99 % </w:t>
            </w:r>
            <w:proofErr w:type="gramStart"/>
            <w:r w:rsidRPr="00A3364A">
              <w:t>CI)</w:t>
            </w:r>
            <w:r w:rsidRPr="00A3364A">
              <w:rPr>
                <w:vertAlign w:val="superscript"/>
              </w:rPr>
              <w:t>b</w:t>
            </w:r>
            <w:proofErr w:type="gramEnd"/>
            <w:r w:rsidRPr="00A3364A">
              <w:rPr>
                <w:vertAlign w:val="superscript"/>
              </w:rPr>
              <w:t>,c</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58FC43AF" w14:textId="77777777" w:rsidR="00200B99" w:rsidRPr="00A3364A" w:rsidRDefault="00200B99" w:rsidP="00A3364A">
            <w:pPr>
              <w:pStyle w:val="TableParagraph"/>
              <w:ind w:left="133" w:right="131"/>
              <w:jc w:val="center"/>
              <w:rPr>
                <w:lang w:val="da-DK"/>
              </w:rPr>
            </w:pPr>
            <w:r w:rsidRPr="00A3364A">
              <w:rPr>
                <w:lang w:val="da-DK"/>
              </w:rPr>
              <w:t>0,21 (0,14; 0,31)</w:t>
            </w:r>
          </w:p>
        </w:tc>
      </w:tr>
      <w:tr w:rsidR="00200B99" w:rsidRPr="000C059E" w14:paraId="0CEAC0FC"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6228E251" w14:textId="77777777" w:rsidR="00200B99" w:rsidRPr="00A3364A" w:rsidRDefault="00200B99" w:rsidP="00A3364A">
            <w:pPr>
              <w:pStyle w:val="TableParagraph"/>
              <w:ind w:left="133" w:right="131"/>
              <w:rPr>
                <w:lang w:val="da-DK"/>
              </w:rPr>
            </w:pPr>
            <w:r w:rsidRPr="00A3364A">
              <w:rPr>
                <w:lang w:val="da-DK"/>
              </w:rPr>
              <w:t>P-værdi</w:t>
            </w:r>
            <w:r w:rsidRPr="00A3364A">
              <w:rPr>
                <w:vertAlign w:val="superscript"/>
              </w:rPr>
              <w:t>b</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557F3A41" w14:textId="77777777" w:rsidR="00200B99" w:rsidRPr="00A3364A" w:rsidRDefault="00200B99" w:rsidP="00A3364A">
            <w:pPr>
              <w:pStyle w:val="TableParagraph"/>
              <w:ind w:left="133" w:right="131"/>
              <w:jc w:val="center"/>
              <w:rPr>
                <w:lang w:val="da-DK"/>
              </w:rPr>
            </w:pPr>
            <w:r w:rsidRPr="00A3364A">
              <w:rPr>
                <w:lang w:val="da-DK"/>
              </w:rPr>
              <w:t>&lt; 0,0001</w:t>
            </w:r>
          </w:p>
        </w:tc>
      </w:tr>
      <w:tr w:rsidR="00200B99" w:rsidRPr="000C059E" w14:paraId="7FDE7C43" w14:textId="77777777" w:rsidTr="00773EAE">
        <w:trPr>
          <w:trHeight w:val="460"/>
        </w:trPr>
        <w:tc>
          <w:tcPr>
            <w:tcW w:w="2862" w:type="pct"/>
            <w:tcBorders>
              <w:top w:val="single" w:sz="4" w:space="0" w:color="000000"/>
              <w:left w:val="single" w:sz="4" w:space="0" w:color="000000"/>
              <w:bottom w:val="single" w:sz="4" w:space="0" w:color="000000"/>
              <w:right w:val="single" w:sz="4" w:space="0" w:color="000000"/>
            </w:tcBorders>
            <w:hideMark/>
          </w:tcPr>
          <w:p w14:paraId="24FA3035" w14:textId="77777777" w:rsidR="00200B99" w:rsidRPr="00A3364A" w:rsidRDefault="00200B99" w:rsidP="00A3364A">
            <w:pPr>
              <w:pStyle w:val="TableParagraph"/>
              <w:ind w:left="133" w:right="131"/>
              <w:rPr>
                <w:b/>
                <w:lang w:val="da-DK"/>
              </w:rPr>
            </w:pPr>
            <w:r w:rsidRPr="00A3364A">
              <w:rPr>
                <w:b/>
                <w:lang w:val="da-DK"/>
              </w:rPr>
              <w:t>Patienter, som har fået 0 tidligere VEGF/VEGFR-målrettede behandlinger (%)</w:t>
            </w:r>
          </w:p>
        </w:tc>
        <w:tc>
          <w:tcPr>
            <w:tcW w:w="1101" w:type="pct"/>
            <w:tcBorders>
              <w:top w:val="single" w:sz="4" w:space="0" w:color="000000"/>
              <w:left w:val="single" w:sz="4" w:space="0" w:color="000000"/>
              <w:bottom w:val="single" w:sz="4" w:space="0" w:color="000000"/>
              <w:right w:val="single" w:sz="4" w:space="0" w:color="000000"/>
            </w:tcBorders>
            <w:hideMark/>
          </w:tcPr>
          <w:p w14:paraId="2D181E9F" w14:textId="77777777" w:rsidR="00200B99" w:rsidRPr="00A3364A" w:rsidRDefault="00200B99" w:rsidP="00A3364A">
            <w:pPr>
              <w:pStyle w:val="TableParagraph"/>
              <w:ind w:left="133" w:right="131"/>
              <w:jc w:val="center"/>
              <w:rPr>
                <w:lang w:val="da-DK"/>
              </w:rPr>
            </w:pPr>
            <w:r w:rsidRPr="00A3364A">
              <w:rPr>
                <w:lang w:val="da-DK"/>
              </w:rPr>
              <w:t>195 (74,7)</w:t>
            </w:r>
          </w:p>
        </w:tc>
        <w:tc>
          <w:tcPr>
            <w:tcW w:w="1037" w:type="pct"/>
            <w:tcBorders>
              <w:top w:val="single" w:sz="4" w:space="0" w:color="000000"/>
              <w:left w:val="single" w:sz="4" w:space="0" w:color="000000"/>
              <w:bottom w:val="single" w:sz="4" w:space="0" w:color="000000"/>
              <w:right w:val="single" w:sz="4" w:space="0" w:color="000000"/>
            </w:tcBorders>
            <w:hideMark/>
          </w:tcPr>
          <w:p w14:paraId="115B8A8A" w14:textId="77777777" w:rsidR="00200B99" w:rsidRPr="00A3364A" w:rsidRDefault="00200B99" w:rsidP="00A3364A">
            <w:pPr>
              <w:pStyle w:val="TableParagraph"/>
              <w:ind w:left="133" w:right="131"/>
              <w:jc w:val="center"/>
              <w:rPr>
                <w:lang w:val="da-DK"/>
              </w:rPr>
            </w:pPr>
            <w:r w:rsidRPr="00A3364A">
              <w:rPr>
                <w:lang w:val="da-DK"/>
              </w:rPr>
              <w:t>104 (79,4)</w:t>
            </w:r>
          </w:p>
        </w:tc>
      </w:tr>
      <w:tr w:rsidR="00200B99" w:rsidRPr="000C059E" w14:paraId="63DF12E5"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15521605" w14:textId="77777777" w:rsidR="00200B99" w:rsidRPr="00A3364A" w:rsidRDefault="00200B99" w:rsidP="00A3364A">
            <w:pPr>
              <w:pStyle w:val="TableParagraph"/>
              <w:ind w:left="133" w:right="131"/>
              <w:rPr>
                <w:lang w:val="da-DK"/>
              </w:rPr>
            </w:pPr>
            <w:r w:rsidRPr="00A3364A">
              <w:rPr>
                <w:lang w:val="da-DK"/>
              </w:rPr>
              <w:t>Antal progressioner eller dødsfald</w:t>
            </w:r>
          </w:p>
        </w:tc>
        <w:tc>
          <w:tcPr>
            <w:tcW w:w="1101" w:type="pct"/>
            <w:tcBorders>
              <w:top w:val="single" w:sz="4" w:space="0" w:color="000000"/>
              <w:left w:val="single" w:sz="4" w:space="0" w:color="000000"/>
              <w:bottom w:val="single" w:sz="4" w:space="0" w:color="000000"/>
              <w:right w:val="single" w:sz="4" w:space="0" w:color="000000"/>
            </w:tcBorders>
            <w:hideMark/>
          </w:tcPr>
          <w:p w14:paraId="09238514" w14:textId="77777777" w:rsidR="00200B99" w:rsidRPr="00A3364A" w:rsidRDefault="00200B99" w:rsidP="00A3364A">
            <w:pPr>
              <w:pStyle w:val="TableParagraph"/>
              <w:ind w:left="133" w:right="131"/>
              <w:jc w:val="center"/>
              <w:rPr>
                <w:lang w:val="da-DK"/>
              </w:rPr>
            </w:pPr>
            <w:r w:rsidRPr="00A3364A">
              <w:rPr>
                <w:lang w:val="da-DK"/>
              </w:rPr>
              <w:t>76</w:t>
            </w:r>
          </w:p>
        </w:tc>
        <w:tc>
          <w:tcPr>
            <w:tcW w:w="1037" w:type="pct"/>
            <w:tcBorders>
              <w:top w:val="single" w:sz="4" w:space="0" w:color="000000"/>
              <w:left w:val="single" w:sz="4" w:space="0" w:color="000000"/>
              <w:bottom w:val="single" w:sz="4" w:space="0" w:color="000000"/>
              <w:right w:val="single" w:sz="4" w:space="0" w:color="000000"/>
            </w:tcBorders>
            <w:hideMark/>
          </w:tcPr>
          <w:p w14:paraId="32B4F9C7" w14:textId="77777777" w:rsidR="00200B99" w:rsidRPr="00A3364A" w:rsidRDefault="00200B99" w:rsidP="00A3364A">
            <w:pPr>
              <w:pStyle w:val="TableParagraph"/>
              <w:ind w:left="133" w:right="131"/>
              <w:jc w:val="center"/>
              <w:rPr>
                <w:lang w:val="da-DK"/>
              </w:rPr>
            </w:pPr>
            <w:r w:rsidRPr="00A3364A">
              <w:rPr>
                <w:lang w:val="da-DK"/>
              </w:rPr>
              <w:t>88</w:t>
            </w:r>
          </w:p>
        </w:tc>
      </w:tr>
      <w:tr w:rsidR="00200B99" w:rsidRPr="000C059E" w14:paraId="69B61137"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7FE4BF97" w14:textId="77777777" w:rsidR="00200B99" w:rsidRPr="00A3364A" w:rsidRDefault="00200B99" w:rsidP="00A3364A">
            <w:pPr>
              <w:pStyle w:val="TableParagraph"/>
              <w:ind w:left="133" w:right="131"/>
              <w:rPr>
                <w:lang w:val="da-DK"/>
              </w:rPr>
            </w:pPr>
            <w:r w:rsidRPr="00A3364A">
              <w:rPr>
                <w:lang w:val="da-DK"/>
              </w:rPr>
              <w:t>Median PFS i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05971359" w14:textId="77777777" w:rsidR="00200B99" w:rsidRPr="00A3364A" w:rsidRDefault="00200B99" w:rsidP="00A3364A">
            <w:pPr>
              <w:pStyle w:val="TableParagraph"/>
              <w:ind w:left="133" w:right="131"/>
              <w:jc w:val="center"/>
              <w:rPr>
                <w:lang w:val="da-DK"/>
              </w:rPr>
            </w:pPr>
            <w:r w:rsidRPr="00A3364A">
              <w:rPr>
                <w:lang w:val="da-DK"/>
              </w:rPr>
              <w:t>18,7 (16,4; NE)</w:t>
            </w:r>
          </w:p>
        </w:tc>
        <w:tc>
          <w:tcPr>
            <w:tcW w:w="1037" w:type="pct"/>
            <w:tcBorders>
              <w:top w:val="single" w:sz="4" w:space="0" w:color="000000"/>
              <w:left w:val="single" w:sz="4" w:space="0" w:color="000000"/>
              <w:bottom w:val="single" w:sz="4" w:space="0" w:color="000000"/>
              <w:right w:val="single" w:sz="4" w:space="0" w:color="000000"/>
            </w:tcBorders>
            <w:hideMark/>
          </w:tcPr>
          <w:p w14:paraId="0FCDEAD1" w14:textId="77777777" w:rsidR="00200B99" w:rsidRPr="00A3364A" w:rsidRDefault="00200B99" w:rsidP="00A3364A">
            <w:pPr>
              <w:pStyle w:val="TableParagraph"/>
              <w:ind w:left="133" w:right="131"/>
              <w:jc w:val="center"/>
              <w:rPr>
                <w:lang w:val="da-DK"/>
              </w:rPr>
            </w:pPr>
            <w:r w:rsidRPr="00A3364A">
              <w:rPr>
                <w:lang w:val="da-DK"/>
              </w:rPr>
              <w:t>3,6 (2,1; 5,3)</w:t>
            </w:r>
          </w:p>
        </w:tc>
      </w:tr>
      <w:tr w:rsidR="00200B99" w:rsidRPr="000C059E" w14:paraId="3A75E32D"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08BF5B27" w14:textId="77777777" w:rsidR="00200B99" w:rsidRPr="00A3364A" w:rsidRDefault="00200B99" w:rsidP="00A3364A">
            <w:pPr>
              <w:pStyle w:val="TableParagraph"/>
              <w:ind w:left="133" w:right="131"/>
            </w:pPr>
            <w:r w:rsidRPr="00A3364A">
              <w:rPr>
                <w:i/>
                <w:iCs/>
              </w:rPr>
              <w:t>Hazard ratio</w:t>
            </w:r>
            <w:r w:rsidRPr="00A3364A">
              <w:t xml:space="preserve"> (95 % </w:t>
            </w:r>
            <w:proofErr w:type="gramStart"/>
            <w:r w:rsidRPr="00A3364A">
              <w:t>CI)</w:t>
            </w:r>
            <w:r w:rsidRPr="00A3364A">
              <w:rPr>
                <w:vertAlign w:val="superscript"/>
              </w:rPr>
              <w:t>b</w:t>
            </w:r>
            <w:proofErr w:type="gramEnd"/>
            <w:r w:rsidRPr="00A3364A">
              <w:rPr>
                <w:vertAlign w:val="superscript"/>
              </w:rPr>
              <w:t>,c</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3018976C" w14:textId="77777777" w:rsidR="00200B99" w:rsidRPr="00A3364A" w:rsidRDefault="00200B99" w:rsidP="00A3364A">
            <w:pPr>
              <w:pStyle w:val="TableParagraph"/>
              <w:ind w:left="133" w:right="131"/>
              <w:jc w:val="center"/>
              <w:rPr>
                <w:lang w:val="da-DK"/>
              </w:rPr>
            </w:pPr>
            <w:r w:rsidRPr="00A3364A">
              <w:rPr>
                <w:lang w:val="da-DK"/>
              </w:rPr>
              <w:t>0,20 (0,14; 0,27)</w:t>
            </w:r>
          </w:p>
        </w:tc>
      </w:tr>
      <w:tr w:rsidR="00200B99" w:rsidRPr="000C059E" w14:paraId="4DAD0EC8" w14:textId="77777777" w:rsidTr="00773EAE">
        <w:trPr>
          <w:trHeight w:val="460"/>
        </w:trPr>
        <w:tc>
          <w:tcPr>
            <w:tcW w:w="2862" w:type="pct"/>
            <w:tcBorders>
              <w:top w:val="single" w:sz="4" w:space="0" w:color="000000"/>
              <w:left w:val="single" w:sz="4" w:space="0" w:color="000000"/>
              <w:bottom w:val="single" w:sz="4" w:space="0" w:color="000000"/>
              <w:right w:val="single" w:sz="4" w:space="0" w:color="000000"/>
            </w:tcBorders>
            <w:hideMark/>
          </w:tcPr>
          <w:p w14:paraId="57990020" w14:textId="77777777" w:rsidR="00200B99" w:rsidRPr="00A3364A" w:rsidRDefault="00200B99" w:rsidP="00A3364A">
            <w:pPr>
              <w:pStyle w:val="TableParagraph"/>
              <w:ind w:left="133" w:right="131"/>
              <w:rPr>
                <w:b/>
                <w:lang w:val="da-DK"/>
              </w:rPr>
            </w:pPr>
            <w:r w:rsidRPr="00A3364A">
              <w:rPr>
                <w:b/>
                <w:lang w:val="da-DK"/>
              </w:rPr>
              <w:t>Patienter, som har fået 1 tidligere VEGF/VEGFR-målrettet behandling (%)</w:t>
            </w:r>
          </w:p>
        </w:tc>
        <w:tc>
          <w:tcPr>
            <w:tcW w:w="1101" w:type="pct"/>
            <w:tcBorders>
              <w:top w:val="single" w:sz="4" w:space="0" w:color="000000"/>
              <w:left w:val="single" w:sz="4" w:space="0" w:color="000000"/>
              <w:bottom w:val="single" w:sz="4" w:space="0" w:color="000000"/>
              <w:right w:val="single" w:sz="4" w:space="0" w:color="000000"/>
            </w:tcBorders>
            <w:hideMark/>
          </w:tcPr>
          <w:p w14:paraId="23A6B01B" w14:textId="77777777" w:rsidR="00200B99" w:rsidRPr="00A3364A" w:rsidRDefault="00200B99" w:rsidP="00A3364A">
            <w:pPr>
              <w:pStyle w:val="TableParagraph"/>
              <w:ind w:left="133" w:right="131"/>
              <w:jc w:val="center"/>
              <w:rPr>
                <w:lang w:val="da-DK"/>
              </w:rPr>
            </w:pPr>
            <w:r w:rsidRPr="00A3364A">
              <w:rPr>
                <w:lang w:val="da-DK"/>
              </w:rPr>
              <w:t>66 (25,3)</w:t>
            </w:r>
          </w:p>
        </w:tc>
        <w:tc>
          <w:tcPr>
            <w:tcW w:w="1037" w:type="pct"/>
            <w:tcBorders>
              <w:top w:val="single" w:sz="4" w:space="0" w:color="000000"/>
              <w:left w:val="single" w:sz="4" w:space="0" w:color="000000"/>
              <w:bottom w:val="single" w:sz="4" w:space="0" w:color="000000"/>
              <w:right w:val="single" w:sz="4" w:space="0" w:color="000000"/>
            </w:tcBorders>
            <w:hideMark/>
          </w:tcPr>
          <w:p w14:paraId="4CBEC58A" w14:textId="77777777" w:rsidR="00200B99" w:rsidRPr="00A3364A" w:rsidRDefault="00200B99" w:rsidP="00A3364A">
            <w:pPr>
              <w:pStyle w:val="TableParagraph"/>
              <w:ind w:left="133" w:right="131"/>
              <w:jc w:val="center"/>
              <w:rPr>
                <w:lang w:val="da-DK"/>
              </w:rPr>
            </w:pPr>
            <w:r w:rsidRPr="00A3364A">
              <w:rPr>
                <w:lang w:val="da-DK"/>
              </w:rPr>
              <w:t>27 (20,6)</w:t>
            </w:r>
          </w:p>
        </w:tc>
      </w:tr>
      <w:tr w:rsidR="00200B99" w:rsidRPr="000C059E" w14:paraId="1DDF8DCC"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031CEBB9" w14:textId="77777777" w:rsidR="00200B99" w:rsidRPr="00A3364A" w:rsidRDefault="00200B99" w:rsidP="00A3364A">
            <w:pPr>
              <w:pStyle w:val="TableParagraph"/>
              <w:ind w:left="133" w:right="131"/>
              <w:rPr>
                <w:lang w:val="da-DK"/>
              </w:rPr>
            </w:pPr>
            <w:r w:rsidRPr="00A3364A">
              <w:rPr>
                <w:lang w:val="da-DK"/>
              </w:rPr>
              <w:t>Antal progressioner eller dødsfald</w:t>
            </w:r>
          </w:p>
        </w:tc>
        <w:tc>
          <w:tcPr>
            <w:tcW w:w="1101" w:type="pct"/>
            <w:tcBorders>
              <w:top w:val="single" w:sz="4" w:space="0" w:color="000000"/>
              <w:left w:val="single" w:sz="4" w:space="0" w:color="000000"/>
              <w:bottom w:val="single" w:sz="4" w:space="0" w:color="000000"/>
              <w:right w:val="single" w:sz="4" w:space="0" w:color="000000"/>
            </w:tcBorders>
            <w:hideMark/>
          </w:tcPr>
          <w:p w14:paraId="078BBC40" w14:textId="77777777" w:rsidR="00200B99" w:rsidRPr="00A3364A" w:rsidRDefault="00200B99" w:rsidP="00A3364A">
            <w:pPr>
              <w:pStyle w:val="TableParagraph"/>
              <w:ind w:left="133" w:right="131"/>
              <w:jc w:val="center"/>
              <w:rPr>
                <w:lang w:val="da-DK"/>
              </w:rPr>
            </w:pPr>
            <w:r w:rsidRPr="00A3364A">
              <w:rPr>
                <w:lang w:val="da-DK"/>
              </w:rPr>
              <w:t>31</w:t>
            </w:r>
          </w:p>
        </w:tc>
        <w:tc>
          <w:tcPr>
            <w:tcW w:w="1037" w:type="pct"/>
            <w:tcBorders>
              <w:top w:val="single" w:sz="4" w:space="0" w:color="000000"/>
              <w:left w:val="single" w:sz="4" w:space="0" w:color="000000"/>
              <w:bottom w:val="single" w:sz="4" w:space="0" w:color="000000"/>
              <w:right w:val="single" w:sz="4" w:space="0" w:color="000000"/>
            </w:tcBorders>
            <w:hideMark/>
          </w:tcPr>
          <w:p w14:paraId="16C1A4E4" w14:textId="77777777" w:rsidR="00200B99" w:rsidRPr="00A3364A" w:rsidRDefault="00200B99" w:rsidP="00A3364A">
            <w:pPr>
              <w:pStyle w:val="TableParagraph"/>
              <w:ind w:left="133" w:right="131"/>
              <w:jc w:val="center"/>
              <w:rPr>
                <w:lang w:val="da-DK"/>
              </w:rPr>
            </w:pPr>
            <w:r w:rsidRPr="00A3364A">
              <w:rPr>
                <w:lang w:val="da-DK"/>
              </w:rPr>
              <w:t>25</w:t>
            </w:r>
          </w:p>
        </w:tc>
      </w:tr>
      <w:tr w:rsidR="00200B99" w:rsidRPr="000C059E" w14:paraId="1BA831E8"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244F8093" w14:textId="77777777" w:rsidR="00200B99" w:rsidRPr="00A3364A" w:rsidRDefault="00200B99" w:rsidP="00A3364A">
            <w:pPr>
              <w:pStyle w:val="TableParagraph"/>
              <w:ind w:left="133" w:right="131"/>
              <w:rPr>
                <w:lang w:val="da-DK"/>
              </w:rPr>
            </w:pPr>
            <w:r w:rsidRPr="00A3364A">
              <w:rPr>
                <w:lang w:val="da-DK"/>
              </w:rPr>
              <w:t>Median PFS i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19043EBD" w14:textId="77777777" w:rsidR="00200B99" w:rsidRPr="00A3364A" w:rsidRDefault="00200B99" w:rsidP="00A3364A">
            <w:pPr>
              <w:pStyle w:val="TableParagraph"/>
              <w:ind w:left="133" w:right="131"/>
              <w:jc w:val="center"/>
              <w:rPr>
                <w:lang w:val="da-DK"/>
              </w:rPr>
            </w:pPr>
            <w:r w:rsidRPr="00A3364A">
              <w:rPr>
                <w:lang w:val="da-DK"/>
              </w:rPr>
              <w:t>15,1 (8,8; NE)</w:t>
            </w:r>
          </w:p>
        </w:tc>
        <w:tc>
          <w:tcPr>
            <w:tcW w:w="1037" w:type="pct"/>
            <w:tcBorders>
              <w:top w:val="single" w:sz="4" w:space="0" w:color="000000"/>
              <w:left w:val="single" w:sz="4" w:space="0" w:color="000000"/>
              <w:bottom w:val="single" w:sz="4" w:space="0" w:color="000000"/>
              <w:right w:val="single" w:sz="4" w:space="0" w:color="000000"/>
            </w:tcBorders>
            <w:hideMark/>
          </w:tcPr>
          <w:p w14:paraId="52E7A4C0" w14:textId="77777777" w:rsidR="00200B99" w:rsidRPr="00A3364A" w:rsidRDefault="00200B99" w:rsidP="00A3364A">
            <w:pPr>
              <w:pStyle w:val="TableParagraph"/>
              <w:ind w:left="133" w:right="131"/>
              <w:jc w:val="center"/>
              <w:rPr>
                <w:lang w:val="da-DK"/>
              </w:rPr>
            </w:pPr>
            <w:r w:rsidRPr="00A3364A">
              <w:rPr>
                <w:lang w:val="da-DK"/>
              </w:rPr>
              <w:t>3,6 (1,9; 3,7)</w:t>
            </w:r>
          </w:p>
        </w:tc>
      </w:tr>
      <w:tr w:rsidR="00200B99" w:rsidRPr="000C059E" w14:paraId="0F275DF0"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1E8F4C7A" w14:textId="77777777" w:rsidR="00200B99" w:rsidRPr="00A3364A" w:rsidRDefault="00200B99" w:rsidP="00A3364A">
            <w:pPr>
              <w:pStyle w:val="TableParagraph"/>
              <w:ind w:left="133" w:right="131"/>
            </w:pPr>
            <w:r w:rsidRPr="00A3364A">
              <w:rPr>
                <w:i/>
                <w:iCs/>
              </w:rPr>
              <w:t>Hazard ratio</w:t>
            </w:r>
            <w:r w:rsidRPr="00A3364A">
              <w:t xml:space="preserve"> (95 % </w:t>
            </w:r>
            <w:proofErr w:type="gramStart"/>
            <w:r w:rsidRPr="00A3364A">
              <w:t>CI)</w:t>
            </w:r>
            <w:r w:rsidRPr="00A3364A">
              <w:rPr>
                <w:vertAlign w:val="superscript"/>
              </w:rPr>
              <w:t>b</w:t>
            </w:r>
            <w:proofErr w:type="gramEnd"/>
            <w:r w:rsidRPr="00A3364A">
              <w:rPr>
                <w:vertAlign w:val="superscript"/>
              </w:rPr>
              <w:t>,c</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7A75AAD3" w14:textId="77777777" w:rsidR="00200B99" w:rsidRPr="00A3364A" w:rsidRDefault="00200B99" w:rsidP="00A3364A">
            <w:pPr>
              <w:pStyle w:val="TableParagraph"/>
              <w:ind w:left="133" w:right="131"/>
              <w:jc w:val="center"/>
              <w:rPr>
                <w:lang w:val="da-DK"/>
              </w:rPr>
            </w:pPr>
            <w:r w:rsidRPr="00A3364A">
              <w:rPr>
                <w:lang w:val="da-DK"/>
              </w:rPr>
              <w:t>0,22 (0,12; 0,41)</w:t>
            </w:r>
          </w:p>
        </w:tc>
      </w:tr>
      <w:tr w:rsidR="00200B99" w:rsidRPr="000C059E" w14:paraId="0BEC2617" w14:textId="77777777" w:rsidTr="00773EAE">
        <w:trPr>
          <w:trHeight w:val="230"/>
        </w:trPr>
        <w:tc>
          <w:tcPr>
            <w:tcW w:w="5000" w:type="pct"/>
            <w:gridSpan w:val="3"/>
            <w:tcBorders>
              <w:top w:val="single" w:sz="4" w:space="0" w:color="000000"/>
              <w:left w:val="single" w:sz="4" w:space="0" w:color="000000"/>
              <w:bottom w:val="single" w:sz="4" w:space="0" w:color="000000"/>
              <w:right w:val="single" w:sz="4" w:space="0" w:color="000000"/>
            </w:tcBorders>
            <w:hideMark/>
          </w:tcPr>
          <w:p w14:paraId="744B6845" w14:textId="77777777" w:rsidR="00200B99" w:rsidRPr="00A3364A" w:rsidRDefault="00200B99" w:rsidP="00A3364A">
            <w:pPr>
              <w:pStyle w:val="TableParagraph"/>
              <w:ind w:left="133" w:right="131"/>
              <w:rPr>
                <w:b/>
                <w:lang w:val="da-DK"/>
              </w:rPr>
            </w:pPr>
            <w:r w:rsidRPr="00A3364A">
              <w:rPr>
                <w:b/>
                <w:lang w:val="da-DK"/>
              </w:rPr>
              <w:t>Objektiv responsrate</w:t>
            </w:r>
            <w:r w:rsidRPr="00A3364A">
              <w:rPr>
                <w:b/>
                <w:vertAlign w:val="superscript"/>
                <w:lang w:val="da-DK"/>
              </w:rPr>
              <w:t>a</w:t>
            </w:r>
          </w:p>
        </w:tc>
      </w:tr>
      <w:tr w:rsidR="00200B99" w:rsidRPr="000C059E" w14:paraId="419987C1" w14:textId="77777777" w:rsidTr="00773EAE">
        <w:trPr>
          <w:trHeight w:val="229"/>
        </w:trPr>
        <w:tc>
          <w:tcPr>
            <w:tcW w:w="2862" w:type="pct"/>
            <w:tcBorders>
              <w:top w:val="single" w:sz="4" w:space="0" w:color="000000"/>
              <w:left w:val="single" w:sz="4" w:space="0" w:color="000000"/>
              <w:bottom w:val="single" w:sz="4" w:space="0" w:color="000000"/>
              <w:right w:val="single" w:sz="4" w:space="0" w:color="000000"/>
            </w:tcBorders>
            <w:hideMark/>
          </w:tcPr>
          <w:p w14:paraId="7D7E001E" w14:textId="77777777" w:rsidR="00200B99" w:rsidRPr="00A3364A" w:rsidRDefault="00200B99" w:rsidP="00A3364A">
            <w:pPr>
              <w:pStyle w:val="TableParagraph"/>
              <w:ind w:left="133" w:right="131"/>
              <w:rPr>
                <w:lang w:val="da-DK"/>
              </w:rPr>
            </w:pPr>
            <w:r w:rsidRPr="00A3364A">
              <w:rPr>
                <w:lang w:val="da-DK"/>
              </w:rPr>
              <w:t>Antal objektivt responderende personer (%)</w:t>
            </w:r>
          </w:p>
        </w:tc>
        <w:tc>
          <w:tcPr>
            <w:tcW w:w="1101" w:type="pct"/>
            <w:tcBorders>
              <w:top w:val="single" w:sz="4" w:space="0" w:color="000000"/>
              <w:left w:val="single" w:sz="4" w:space="0" w:color="000000"/>
              <w:bottom w:val="single" w:sz="4" w:space="0" w:color="000000"/>
              <w:right w:val="single" w:sz="4" w:space="0" w:color="000000"/>
            </w:tcBorders>
            <w:hideMark/>
          </w:tcPr>
          <w:p w14:paraId="65D76ED7" w14:textId="77777777" w:rsidR="00200B99" w:rsidRPr="00A3364A" w:rsidRDefault="00200B99" w:rsidP="00A3364A">
            <w:pPr>
              <w:pStyle w:val="TableParagraph"/>
              <w:ind w:left="133" w:right="131"/>
              <w:jc w:val="center"/>
              <w:rPr>
                <w:lang w:val="da-DK"/>
              </w:rPr>
            </w:pPr>
            <w:r w:rsidRPr="00A3364A">
              <w:rPr>
                <w:lang w:val="da-DK"/>
              </w:rPr>
              <w:t>169 (64,8)</w:t>
            </w:r>
          </w:p>
        </w:tc>
        <w:tc>
          <w:tcPr>
            <w:tcW w:w="1037" w:type="pct"/>
            <w:tcBorders>
              <w:top w:val="single" w:sz="4" w:space="0" w:color="000000"/>
              <w:left w:val="single" w:sz="4" w:space="0" w:color="000000"/>
              <w:bottom w:val="single" w:sz="4" w:space="0" w:color="000000"/>
              <w:right w:val="single" w:sz="4" w:space="0" w:color="000000"/>
            </w:tcBorders>
            <w:hideMark/>
          </w:tcPr>
          <w:p w14:paraId="14C41655" w14:textId="77777777" w:rsidR="00200B99" w:rsidRPr="00A3364A" w:rsidRDefault="00200B99" w:rsidP="00A3364A">
            <w:pPr>
              <w:pStyle w:val="TableParagraph"/>
              <w:ind w:left="133" w:right="131"/>
              <w:jc w:val="center"/>
              <w:rPr>
                <w:lang w:val="da-DK"/>
              </w:rPr>
            </w:pPr>
            <w:r w:rsidRPr="00A3364A">
              <w:rPr>
                <w:lang w:val="da-DK"/>
              </w:rPr>
              <w:t>2 (1,5)</w:t>
            </w:r>
          </w:p>
        </w:tc>
      </w:tr>
      <w:tr w:rsidR="00200B99" w:rsidRPr="000C059E" w14:paraId="31DB3615"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39F9DEE4" w14:textId="77777777" w:rsidR="00200B99" w:rsidRPr="00A3364A" w:rsidRDefault="00200B99" w:rsidP="00A3364A">
            <w:pPr>
              <w:pStyle w:val="TableParagraph"/>
              <w:ind w:left="133" w:right="131"/>
              <w:rPr>
                <w:lang w:val="da-DK"/>
              </w:rPr>
            </w:pPr>
            <w:r w:rsidRPr="00A3364A">
              <w:rPr>
                <w:lang w:val="da-DK"/>
              </w:rPr>
              <w:t>(95 % CI)</w:t>
            </w:r>
          </w:p>
        </w:tc>
        <w:tc>
          <w:tcPr>
            <w:tcW w:w="1101" w:type="pct"/>
            <w:tcBorders>
              <w:top w:val="single" w:sz="4" w:space="0" w:color="000000"/>
              <w:left w:val="single" w:sz="4" w:space="0" w:color="000000"/>
              <w:bottom w:val="single" w:sz="4" w:space="0" w:color="000000"/>
              <w:right w:val="single" w:sz="4" w:space="0" w:color="000000"/>
            </w:tcBorders>
            <w:hideMark/>
          </w:tcPr>
          <w:p w14:paraId="41E89A42" w14:textId="77777777" w:rsidR="00200B99" w:rsidRPr="00A3364A" w:rsidRDefault="00200B99" w:rsidP="00A3364A">
            <w:pPr>
              <w:pStyle w:val="TableParagraph"/>
              <w:ind w:left="133" w:right="131"/>
              <w:jc w:val="center"/>
              <w:rPr>
                <w:lang w:val="da-DK"/>
              </w:rPr>
            </w:pPr>
            <w:r w:rsidRPr="00A3364A">
              <w:rPr>
                <w:lang w:val="da-DK"/>
              </w:rPr>
              <w:t>(59,0; 70,5)</w:t>
            </w:r>
          </w:p>
        </w:tc>
        <w:tc>
          <w:tcPr>
            <w:tcW w:w="1037" w:type="pct"/>
            <w:tcBorders>
              <w:top w:val="single" w:sz="4" w:space="0" w:color="000000"/>
              <w:left w:val="single" w:sz="4" w:space="0" w:color="000000"/>
              <w:bottom w:val="single" w:sz="4" w:space="0" w:color="000000"/>
              <w:right w:val="single" w:sz="4" w:space="0" w:color="000000"/>
            </w:tcBorders>
            <w:hideMark/>
          </w:tcPr>
          <w:p w14:paraId="1372B01E" w14:textId="77777777" w:rsidR="00200B99" w:rsidRPr="00A3364A" w:rsidRDefault="00200B99" w:rsidP="00A3364A">
            <w:pPr>
              <w:pStyle w:val="TableParagraph"/>
              <w:ind w:left="133" w:right="131"/>
              <w:jc w:val="center"/>
              <w:rPr>
                <w:lang w:val="da-DK"/>
              </w:rPr>
            </w:pPr>
            <w:r w:rsidRPr="00A3364A">
              <w:rPr>
                <w:lang w:val="da-DK"/>
              </w:rPr>
              <w:t>(0,0; 3,6)</w:t>
            </w:r>
          </w:p>
        </w:tc>
      </w:tr>
      <w:tr w:rsidR="00200B99" w:rsidRPr="000C059E" w14:paraId="3AD64CCE"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41B68C89" w14:textId="77777777" w:rsidR="00200B99" w:rsidRPr="00A3364A" w:rsidRDefault="00200B99" w:rsidP="00A3364A">
            <w:pPr>
              <w:pStyle w:val="TableParagraph"/>
              <w:ind w:left="133" w:right="131"/>
              <w:rPr>
                <w:lang w:val="da-DK"/>
              </w:rPr>
            </w:pPr>
            <w:r w:rsidRPr="00A3364A">
              <w:rPr>
                <w:lang w:val="da-DK"/>
              </w:rPr>
              <w:t>P-værdi</w:t>
            </w:r>
            <w:r w:rsidRPr="00A3364A">
              <w:rPr>
                <w:vertAlign w:val="superscript"/>
              </w:rPr>
              <w:t>b</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133A337F" w14:textId="77777777" w:rsidR="00200B99" w:rsidRPr="00A3364A" w:rsidRDefault="00200B99" w:rsidP="00A3364A">
            <w:pPr>
              <w:pStyle w:val="TableParagraph"/>
              <w:ind w:left="133" w:right="131"/>
              <w:jc w:val="center"/>
              <w:rPr>
                <w:lang w:val="da-DK"/>
              </w:rPr>
            </w:pPr>
            <w:r w:rsidRPr="00A3364A">
              <w:rPr>
                <w:lang w:val="da-DK"/>
              </w:rPr>
              <w:t>&lt; 0,0001</w:t>
            </w:r>
          </w:p>
        </w:tc>
      </w:tr>
      <w:tr w:rsidR="00200B99" w:rsidRPr="000C059E" w14:paraId="3DA0460F"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4A4D411E" w14:textId="77777777" w:rsidR="00200B99" w:rsidRPr="00A3364A" w:rsidRDefault="00200B99" w:rsidP="00A3364A">
            <w:pPr>
              <w:pStyle w:val="TableParagraph"/>
              <w:ind w:left="133" w:right="131"/>
              <w:rPr>
                <w:lang w:val="da-DK"/>
              </w:rPr>
            </w:pPr>
            <w:r w:rsidRPr="00A3364A">
              <w:rPr>
                <w:lang w:val="da-DK"/>
              </w:rPr>
              <w:t>Antal fuldstændigt respons</w:t>
            </w:r>
          </w:p>
        </w:tc>
        <w:tc>
          <w:tcPr>
            <w:tcW w:w="1101" w:type="pct"/>
            <w:tcBorders>
              <w:top w:val="single" w:sz="4" w:space="0" w:color="000000"/>
              <w:left w:val="single" w:sz="4" w:space="0" w:color="000000"/>
              <w:bottom w:val="single" w:sz="4" w:space="0" w:color="000000"/>
              <w:right w:val="single" w:sz="4" w:space="0" w:color="000000"/>
            </w:tcBorders>
            <w:hideMark/>
          </w:tcPr>
          <w:p w14:paraId="10C80447" w14:textId="77777777" w:rsidR="00200B99" w:rsidRPr="00A3364A" w:rsidRDefault="00200B99" w:rsidP="00A3364A">
            <w:pPr>
              <w:pStyle w:val="TableParagraph"/>
              <w:ind w:left="133" w:right="131"/>
              <w:jc w:val="center"/>
              <w:rPr>
                <w:lang w:val="da-DK"/>
              </w:rPr>
            </w:pPr>
            <w:r w:rsidRPr="00A3364A">
              <w:rPr>
                <w:lang w:val="da-DK"/>
              </w:rPr>
              <w:t>4</w:t>
            </w:r>
          </w:p>
        </w:tc>
        <w:tc>
          <w:tcPr>
            <w:tcW w:w="1037" w:type="pct"/>
            <w:tcBorders>
              <w:top w:val="single" w:sz="4" w:space="0" w:color="000000"/>
              <w:left w:val="single" w:sz="4" w:space="0" w:color="000000"/>
              <w:bottom w:val="single" w:sz="4" w:space="0" w:color="000000"/>
              <w:right w:val="single" w:sz="4" w:space="0" w:color="000000"/>
            </w:tcBorders>
            <w:hideMark/>
          </w:tcPr>
          <w:p w14:paraId="6458CC3E" w14:textId="77777777" w:rsidR="00200B99" w:rsidRPr="00A3364A" w:rsidRDefault="00200B99" w:rsidP="00A3364A">
            <w:pPr>
              <w:pStyle w:val="TableParagraph"/>
              <w:ind w:left="133" w:right="131"/>
              <w:jc w:val="center"/>
              <w:rPr>
                <w:lang w:val="da-DK"/>
              </w:rPr>
            </w:pPr>
            <w:r w:rsidRPr="00A3364A">
              <w:rPr>
                <w:lang w:val="da-DK"/>
              </w:rPr>
              <w:t>0</w:t>
            </w:r>
          </w:p>
        </w:tc>
      </w:tr>
      <w:tr w:rsidR="00200B99" w:rsidRPr="000C059E" w14:paraId="53EE35AB"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48AC77A1" w14:textId="77777777" w:rsidR="00200B99" w:rsidRPr="00A3364A" w:rsidRDefault="00200B99" w:rsidP="00A3364A">
            <w:pPr>
              <w:pStyle w:val="TableParagraph"/>
              <w:ind w:left="133" w:right="131"/>
              <w:rPr>
                <w:lang w:val="da-DK"/>
              </w:rPr>
            </w:pPr>
            <w:r w:rsidRPr="00A3364A">
              <w:rPr>
                <w:lang w:val="da-DK"/>
              </w:rPr>
              <w:t>Antal delvist respons</w:t>
            </w:r>
          </w:p>
        </w:tc>
        <w:tc>
          <w:tcPr>
            <w:tcW w:w="1101" w:type="pct"/>
            <w:tcBorders>
              <w:top w:val="single" w:sz="4" w:space="0" w:color="000000"/>
              <w:left w:val="single" w:sz="4" w:space="0" w:color="000000"/>
              <w:bottom w:val="single" w:sz="4" w:space="0" w:color="000000"/>
              <w:right w:val="single" w:sz="4" w:space="0" w:color="000000"/>
            </w:tcBorders>
            <w:hideMark/>
          </w:tcPr>
          <w:p w14:paraId="1B762E96" w14:textId="77777777" w:rsidR="00200B99" w:rsidRPr="00A3364A" w:rsidRDefault="00200B99" w:rsidP="00A3364A">
            <w:pPr>
              <w:pStyle w:val="TableParagraph"/>
              <w:ind w:left="133" w:right="131"/>
              <w:jc w:val="center"/>
              <w:rPr>
                <w:lang w:val="da-DK"/>
              </w:rPr>
            </w:pPr>
            <w:r w:rsidRPr="00A3364A">
              <w:rPr>
                <w:lang w:val="da-DK"/>
              </w:rPr>
              <w:t>165</w:t>
            </w:r>
          </w:p>
        </w:tc>
        <w:tc>
          <w:tcPr>
            <w:tcW w:w="1037" w:type="pct"/>
            <w:tcBorders>
              <w:top w:val="single" w:sz="4" w:space="0" w:color="000000"/>
              <w:left w:val="single" w:sz="4" w:space="0" w:color="000000"/>
              <w:bottom w:val="single" w:sz="4" w:space="0" w:color="000000"/>
              <w:right w:val="single" w:sz="4" w:space="0" w:color="000000"/>
            </w:tcBorders>
            <w:hideMark/>
          </w:tcPr>
          <w:p w14:paraId="1FE5F4D4" w14:textId="77777777" w:rsidR="00200B99" w:rsidRPr="00A3364A" w:rsidRDefault="00200B99" w:rsidP="00A3364A">
            <w:pPr>
              <w:pStyle w:val="TableParagraph"/>
              <w:ind w:left="133" w:right="131"/>
              <w:jc w:val="center"/>
              <w:rPr>
                <w:lang w:val="da-DK"/>
              </w:rPr>
            </w:pPr>
            <w:r w:rsidRPr="00A3364A">
              <w:rPr>
                <w:lang w:val="da-DK"/>
              </w:rPr>
              <w:t>2</w:t>
            </w:r>
          </w:p>
        </w:tc>
      </w:tr>
      <w:tr w:rsidR="00200B99" w:rsidRPr="000C059E" w14:paraId="450DCF7E"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748DB3FD" w14:textId="77777777" w:rsidR="00200B99" w:rsidRPr="00A3364A" w:rsidRDefault="00200B99" w:rsidP="00A3364A">
            <w:pPr>
              <w:pStyle w:val="TableParagraph"/>
              <w:ind w:left="133" w:right="131"/>
              <w:rPr>
                <w:lang w:val="da-DK"/>
              </w:rPr>
            </w:pPr>
            <w:r w:rsidRPr="00A3364A">
              <w:rPr>
                <w:lang w:val="da-DK"/>
              </w:rPr>
              <w:t xml:space="preserve">Mediantid til objektivt </w:t>
            </w:r>
            <w:proofErr w:type="gramStart"/>
            <w:r w:rsidRPr="00A3364A">
              <w:rPr>
                <w:lang w:val="da-DK"/>
              </w:rPr>
              <w:t>respons,</w:t>
            </w:r>
            <w:r w:rsidRPr="00A3364A">
              <w:rPr>
                <w:vertAlign w:val="superscript"/>
                <w:lang w:val="da-DK"/>
              </w:rPr>
              <w:t>d</w:t>
            </w:r>
            <w:proofErr w:type="gramEnd"/>
            <w:r w:rsidRPr="00A3364A">
              <w:rPr>
                <w:lang w:val="da-DK"/>
              </w:rPr>
              <w:t xml:space="preserve">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7B3EED10" w14:textId="77777777" w:rsidR="00200B99" w:rsidRPr="00A3364A" w:rsidRDefault="00200B99" w:rsidP="00A3364A">
            <w:pPr>
              <w:pStyle w:val="TableParagraph"/>
              <w:ind w:left="133" w:right="131"/>
              <w:jc w:val="center"/>
              <w:rPr>
                <w:lang w:val="da-DK"/>
              </w:rPr>
            </w:pPr>
            <w:r w:rsidRPr="00A3364A">
              <w:rPr>
                <w:lang w:val="da-DK"/>
              </w:rPr>
              <w:t>2,0 (1,9; 3,5)</w:t>
            </w:r>
          </w:p>
        </w:tc>
        <w:tc>
          <w:tcPr>
            <w:tcW w:w="1037" w:type="pct"/>
            <w:tcBorders>
              <w:top w:val="single" w:sz="4" w:space="0" w:color="000000"/>
              <w:left w:val="single" w:sz="4" w:space="0" w:color="000000"/>
              <w:bottom w:val="single" w:sz="4" w:space="0" w:color="000000"/>
              <w:right w:val="single" w:sz="4" w:space="0" w:color="000000"/>
            </w:tcBorders>
            <w:hideMark/>
          </w:tcPr>
          <w:p w14:paraId="38197E44" w14:textId="77777777" w:rsidR="00200B99" w:rsidRPr="00A3364A" w:rsidRDefault="00200B99" w:rsidP="00A3364A">
            <w:pPr>
              <w:pStyle w:val="TableParagraph"/>
              <w:ind w:left="133" w:right="131"/>
              <w:jc w:val="center"/>
              <w:rPr>
                <w:lang w:val="da-DK"/>
              </w:rPr>
            </w:pPr>
            <w:r w:rsidRPr="00A3364A">
              <w:rPr>
                <w:lang w:val="da-DK"/>
              </w:rPr>
              <w:t>5,6 (1,8; 9,4)</w:t>
            </w:r>
          </w:p>
        </w:tc>
      </w:tr>
      <w:tr w:rsidR="00200B99" w:rsidRPr="000C059E" w14:paraId="1197B604"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3DDDF7FB" w14:textId="77777777" w:rsidR="00200B99" w:rsidRPr="00A3364A" w:rsidRDefault="00200B99" w:rsidP="00A3364A">
            <w:pPr>
              <w:pStyle w:val="TableParagraph"/>
              <w:ind w:left="133" w:right="131"/>
              <w:rPr>
                <w:lang w:val="da-DK"/>
              </w:rPr>
            </w:pPr>
            <w:r w:rsidRPr="00A3364A">
              <w:rPr>
                <w:lang w:val="da-DK"/>
              </w:rPr>
              <w:t xml:space="preserve">Varighed af </w:t>
            </w:r>
            <w:proofErr w:type="gramStart"/>
            <w:r w:rsidRPr="00A3364A">
              <w:rPr>
                <w:lang w:val="da-DK"/>
              </w:rPr>
              <w:t>respons,</w:t>
            </w:r>
            <w:r w:rsidRPr="00DF7CC9">
              <w:rPr>
                <w:vertAlign w:val="superscript"/>
                <w:lang w:val="da-DK"/>
              </w:rPr>
              <w:t>d</w:t>
            </w:r>
            <w:proofErr w:type="gramEnd"/>
            <w:r w:rsidRPr="00DF7CC9">
              <w:rPr>
                <w:lang w:val="da-DK"/>
              </w:rPr>
              <w:t xml:space="preserve"> </w:t>
            </w:r>
            <w:r w:rsidRPr="00A3364A">
              <w:rPr>
                <w:lang w:val="da-DK"/>
              </w:rPr>
              <w:t>måneder, median (95 % CI)</w:t>
            </w:r>
          </w:p>
        </w:tc>
        <w:tc>
          <w:tcPr>
            <w:tcW w:w="1101" w:type="pct"/>
            <w:tcBorders>
              <w:top w:val="single" w:sz="4" w:space="0" w:color="000000"/>
              <w:left w:val="single" w:sz="4" w:space="0" w:color="000000"/>
              <w:bottom w:val="single" w:sz="4" w:space="0" w:color="000000"/>
              <w:right w:val="single" w:sz="4" w:space="0" w:color="000000"/>
            </w:tcBorders>
            <w:hideMark/>
          </w:tcPr>
          <w:p w14:paraId="077F1E8C" w14:textId="77777777" w:rsidR="00200B99" w:rsidRPr="00A3364A" w:rsidRDefault="00200B99" w:rsidP="00A3364A">
            <w:pPr>
              <w:pStyle w:val="TableParagraph"/>
              <w:ind w:left="133" w:right="131"/>
              <w:jc w:val="center"/>
              <w:rPr>
                <w:lang w:val="da-DK"/>
              </w:rPr>
            </w:pPr>
            <w:r w:rsidRPr="00A3364A">
              <w:rPr>
                <w:lang w:val="da-DK"/>
              </w:rPr>
              <w:t>NE (16,8; NE)</w:t>
            </w:r>
          </w:p>
        </w:tc>
        <w:tc>
          <w:tcPr>
            <w:tcW w:w="1037" w:type="pct"/>
            <w:tcBorders>
              <w:top w:val="single" w:sz="4" w:space="0" w:color="000000"/>
              <w:left w:val="single" w:sz="4" w:space="0" w:color="000000"/>
              <w:bottom w:val="single" w:sz="4" w:space="0" w:color="000000"/>
              <w:right w:val="single" w:sz="4" w:space="0" w:color="000000"/>
            </w:tcBorders>
            <w:hideMark/>
          </w:tcPr>
          <w:p w14:paraId="32C3837A" w14:textId="77777777" w:rsidR="00200B99" w:rsidRPr="00A3364A" w:rsidRDefault="00200B99" w:rsidP="00A3364A">
            <w:pPr>
              <w:pStyle w:val="TableParagraph"/>
              <w:ind w:left="133" w:right="131"/>
              <w:jc w:val="center"/>
              <w:rPr>
                <w:lang w:val="da-DK"/>
              </w:rPr>
            </w:pPr>
            <w:r w:rsidRPr="00A3364A">
              <w:rPr>
                <w:lang w:val="da-DK"/>
              </w:rPr>
              <w:t>NE (NE, NE)</w:t>
            </w:r>
          </w:p>
        </w:tc>
      </w:tr>
      <w:tr w:rsidR="00200B99" w:rsidRPr="000C059E" w14:paraId="04B1D3A9" w14:textId="77777777" w:rsidTr="00773EAE">
        <w:trPr>
          <w:trHeight w:val="230"/>
        </w:trPr>
        <w:tc>
          <w:tcPr>
            <w:tcW w:w="5000" w:type="pct"/>
            <w:gridSpan w:val="3"/>
            <w:tcBorders>
              <w:top w:val="single" w:sz="4" w:space="0" w:color="000000"/>
              <w:left w:val="single" w:sz="4" w:space="0" w:color="000000"/>
              <w:bottom w:val="single" w:sz="4" w:space="0" w:color="000000"/>
              <w:right w:val="single" w:sz="4" w:space="0" w:color="000000"/>
            </w:tcBorders>
            <w:hideMark/>
          </w:tcPr>
          <w:p w14:paraId="042E7101" w14:textId="77777777" w:rsidR="00200B99" w:rsidRPr="00A3364A" w:rsidRDefault="00200B99" w:rsidP="00A3364A">
            <w:pPr>
              <w:pStyle w:val="TableParagraph"/>
              <w:ind w:left="133" w:right="131"/>
              <w:rPr>
                <w:b/>
                <w:bCs/>
                <w:lang w:val="da-DK"/>
              </w:rPr>
            </w:pPr>
            <w:r w:rsidRPr="00A3364A">
              <w:rPr>
                <w:b/>
                <w:bCs/>
                <w:lang w:val="da-DK"/>
              </w:rPr>
              <w:t>Samlet overlevelse</w:t>
            </w:r>
          </w:p>
        </w:tc>
      </w:tr>
      <w:tr w:rsidR="00200B99" w:rsidRPr="000C059E" w14:paraId="56FAE6C3"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3511B8E3" w14:textId="77777777" w:rsidR="00200B99" w:rsidRPr="00A3364A" w:rsidRDefault="00200B99" w:rsidP="00A3364A">
            <w:pPr>
              <w:pStyle w:val="TableParagraph"/>
              <w:ind w:left="133" w:right="131"/>
              <w:rPr>
                <w:lang w:val="da-DK"/>
              </w:rPr>
            </w:pPr>
            <w:r w:rsidRPr="00A3364A">
              <w:rPr>
                <w:lang w:val="da-DK"/>
              </w:rPr>
              <w:t>Antal dødsfald (%)</w:t>
            </w:r>
          </w:p>
        </w:tc>
        <w:tc>
          <w:tcPr>
            <w:tcW w:w="1101" w:type="pct"/>
            <w:tcBorders>
              <w:top w:val="single" w:sz="4" w:space="0" w:color="000000"/>
              <w:left w:val="single" w:sz="4" w:space="0" w:color="000000"/>
              <w:bottom w:val="single" w:sz="4" w:space="0" w:color="000000"/>
              <w:right w:val="single" w:sz="4" w:space="0" w:color="000000"/>
            </w:tcBorders>
            <w:hideMark/>
          </w:tcPr>
          <w:p w14:paraId="03EEA2AD" w14:textId="77777777" w:rsidR="00200B99" w:rsidRPr="00A3364A" w:rsidRDefault="00200B99" w:rsidP="00A3364A">
            <w:pPr>
              <w:pStyle w:val="TableParagraph"/>
              <w:ind w:left="133" w:right="131"/>
              <w:jc w:val="center"/>
              <w:rPr>
                <w:lang w:val="da-DK"/>
              </w:rPr>
            </w:pPr>
            <w:r w:rsidRPr="00A3364A">
              <w:rPr>
                <w:lang w:val="da-DK"/>
              </w:rPr>
              <w:t>71 (27,2)</w:t>
            </w:r>
          </w:p>
        </w:tc>
        <w:tc>
          <w:tcPr>
            <w:tcW w:w="1037" w:type="pct"/>
            <w:tcBorders>
              <w:top w:val="single" w:sz="4" w:space="0" w:color="000000"/>
              <w:left w:val="single" w:sz="4" w:space="0" w:color="000000"/>
              <w:bottom w:val="single" w:sz="4" w:space="0" w:color="000000"/>
              <w:right w:val="single" w:sz="4" w:space="0" w:color="000000"/>
            </w:tcBorders>
            <w:hideMark/>
          </w:tcPr>
          <w:p w14:paraId="74E381E3" w14:textId="77777777" w:rsidR="00200B99" w:rsidRPr="00A3364A" w:rsidRDefault="00200B99" w:rsidP="00A3364A">
            <w:pPr>
              <w:pStyle w:val="TableParagraph"/>
              <w:ind w:left="133" w:right="131"/>
              <w:jc w:val="center"/>
              <w:rPr>
                <w:lang w:val="da-DK"/>
              </w:rPr>
            </w:pPr>
            <w:r w:rsidRPr="00A3364A">
              <w:rPr>
                <w:lang w:val="da-DK"/>
              </w:rPr>
              <w:t>47 (35,9)</w:t>
            </w:r>
          </w:p>
        </w:tc>
      </w:tr>
      <w:tr w:rsidR="00200B99" w:rsidRPr="000C059E" w14:paraId="6CDD9D56"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7273A612" w14:textId="77777777" w:rsidR="00200B99" w:rsidRPr="00A3364A" w:rsidRDefault="00200B99" w:rsidP="00A3364A">
            <w:pPr>
              <w:pStyle w:val="TableParagraph"/>
              <w:ind w:left="133" w:right="131"/>
              <w:rPr>
                <w:lang w:val="da-DK"/>
              </w:rPr>
            </w:pPr>
            <w:r w:rsidRPr="00A3364A">
              <w:rPr>
                <w:lang w:val="da-DK"/>
              </w:rPr>
              <w:t>Median OS i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59B6FB92" w14:textId="77777777" w:rsidR="00200B99" w:rsidRPr="00A3364A" w:rsidRDefault="00200B99" w:rsidP="00A3364A">
            <w:pPr>
              <w:pStyle w:val="TableParagraph"/>
              <w:ind w:left="133" w:right="131"/>
              <w:jc w:val="center"/>
              <w:rPr>
                <w:lang w:val="da-DK"/>
              </w:rPr>
            </w:pPr>
            <w:r w:rsidRPr="00A3364A">
              <w:rPr>
                <w:lang w:val="da-DK"/>
              </w:rPr>
              <w:t>NE (22,0; NE)</w:t>
            </w:r>
          </w:p>
        </w:tc>
        <w:tc>
          <w:tcPr>
            <w:tcW w:w="1037" w:type="pct"/>
            <w:tcBorders>
              <w:top w:val="single" w:sz="4" w:space="0" w:color="000000"/>
              <w:left w:val="single" w:sz="4" w:space="0" w:color="000000"/>
              <w:bottom w:val="single" w:sz="4" w:space="0" w:color="000000"/>
              <w:right w:val="single" w:sz="4" w:space="0" w:color="000000"/>
            </w:tcBorders>
            <w:hideMark/>
          </w:tcPr>
          <w:p w14:paraId="5BDDF3C4" w14:textId="77777777" w:rsidR="00200B99" w:rsidRPr="00A3364A" w:rsidRDefault="00200B99" w:rsidP="00A3364A">
            <w:pPr>
              <w:pStyle w:val="TableParagraph"/>
              <w:ind w:left="133" w:right="131"/>
              <w:jc w:val="center"/>
              <w:rPr>
                <w:lang w:val="da-DK"/>
              </w:rPr>
            </w:pPr>
            <w:r w:rsidRPr="00A3364A">
              <w:rPr>
                <w:lang w:val="da-DK"/>
              </w:rPr>
              <w:t>NE (20,3; NE)</w:t>
            </w:r>
          </w:p>
        </w:tc>
      </w:tr>
      <w:tr w:rsidR="00200B99" w:rsidRPr="000C059E" w14:paraId="192BB2F8"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0CE9E51B" w14:textId="77777777" w:rsidR="00200B99" w:rsidRPr="00A3364A" w:rsidRDefault="00200B99" w:rsidP="00A3364A">
            <w:pPr>
              <w:pStyle w:val="TableParagraph"/>
              <w:ind w:left="133" w:right="131"/>
            </w:pPr>
            <w:r w:rsidRPr="00A3364A">
              <w:rPr>
                <w:i/>
                <w:iCs/>
              </w:rPr>
              <w:t>Hazard ratio</w:t>
            </w:r>
            <w:r w:rsidRPr="00A3364A">
              <w:t xml:space="preserve"> (95 % </w:t>
            </w:r>
            <w:proofErr w:type="gramStart"/>
            <w:r w:rsidRPr="00A3364A">
              <w:t>CI)</w:t>
            </w:r>
            <w:r w:rsidRPr="00A3364A">
              <w:rPr>
                <w:vertAlign w:val="superscript"/>
              </w:rPr>
              <w:t>b</w:t>
            </w:r>
            <w:proofErr w:type="gramEnd"/>
            <w:r w:rsidRPr="00A3364A">
              <w:rPr>
                <w:vertAlign w:val="superscript"/>
              </w:rPr>
              <w:t>, e</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0406EFD7" w14:textId="77777777" w:rsidR="00200B99" w:rsidRPr="00A3364A" w:rsidRDefault="00200B99" w:rsidP="00A3364A">
            <w:pPr>
              <w:pStyle w:val="TableParagraph"/>
              <w:ind w:left="133" w:right="131"/>
              <w:jc w:val="center"/>
              <w:rPr>
                <w:lang w:val="da-DK"/>
              </w:rPr>
            </w:pPr>
            <w:r w:rsidRPr="00A3364A">
              <w:rPr>
                <w:lang w:val="da-DK"/>
              </w:rPr>
              <w:t>0,73 (0,50; 1,07)</w:t>
            </w:r>
          </w:p>
        </w:tc>
      </w:tr>
      <w:tr w:rsidR="00200B99" w:rsidRPr="000C059E" w14:paraId="1286CD16" w14:textId="77777777" w:rsidTr="00773EAE">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3C7D9FD9" w14:textId="77777777" w:rsidR="00200B99" w:rsidRPr="00A3364A" w:rsidRDefault="00200B99" w:rsidP="00A3364A">
            <w:pPr>
              <w:pStyle w:val="TableParagraph"/>
              <w:ind w:left="133" w:right="131"/>
              <w:rPr>
                <w:lang w:val="da-DK"/>
              </w:rPr>
            </w:pPr>
            <w:r w:rsidRPr="00A3364A">
              <w:rPr>
                <w:lang w:val="da-DK"/>
              </w:rPr>
              <w:t xml:space="preserve">P-værdi </w:t>
            </w:r>
            <w:proofErr w:type="gramStart"/>
            <w:r w:rsidRPr="00A3364A">
              <w:rPr>
                <w:vertAlign w:val="superscript"/>
              </w:rPr>
              <w:t>b,e</w:t>
            </w:r>
            <w:proofErr w:type="gramEnd"/>
          </w:p>
        </w:tc>
        <w:tc>
          <w:tcPr>
            <w:tcW w:w="2138" w:type="pct"/>
            <w:gridSpan w:val="2"/>
            <w:tcBorders>
              <w:top w:val="single" w:sz="4" w:space="0" w:color="000000"/>
              <w:left w:val="single" w:sz="4" w:space="0" w:color="000000"/>
              <w:bottom w:val="single" w:sz="4" w:space="0" w:color="000000"/>
              <w:right w:val="single" w:sz="4" w:space="0" w:color="000000"/>
            </w:tcBorders>
            <w:hideMark/>
          </w:tcPr>
          <w:p w14:paraId="3A6A13CF" w14:textId="77777777" w:rsidR="00200B99" w:rsidRPr="00A3364A" w:rsidRDefault="00200B99" w:rsidP="00A3364A">
            <w:pPr>
              <w:pStyle w:val="TableParagraph"/>
              <w:ind w:left="133" w:right="131"/>
              <w:jc w:val="center"/>
              <w:rPr>
                <w:lang w:val="da-DK"/>
              </w:rPr>
            </w:pPr>
            <w:r w:rsidRPr="00A3364A">
              <w:rPr>
                <w:lang w:val="da-DK"/>
              </w:rPr>
              <w:t>0,1032</w:t>
            </w:r>
          </w:p>
        </w:tc>
      </w:tr>
      <w:tr w:rsidR="00200B99" w:rsidRPr="000C059E" w14:paraId="24DD0100" w14:textId="77777777" w:rsidTr="00773EAE">
        <w:trPr>
          <w:trHeight w:val="23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8767326" w14:textId="77777777" w:rsidR="00200B99" w:rsidRPr="00A3364A" w:rsidRDefault="00200B99" w:rsidP="00A3364A">
            <w:pPr>
              <w:pStyle w:val="TableParagraph"/>
              <w:ind w:left="133" w:right="131"/>
              <w:rPr>
                <w:lang w:val="da-DK"/>
              </w:rPr>
            </w:pPr>
            <w:r w:rsidRPr="00A3364A">
              <w:rPr>
                <w:lang w:val="da-DK"/>
              </w:rPr>
              <w:t xml:space="preserve">CI: konfidensinterval, NE: kunne ikke estimeres, OS: samlet overlevelse, PFS: progressionsfri overlevelse, RPSFT: </w:t>
            </w:r>
            <w:r w:rsidRPr="00A3364A">
              <w:rPr>
                <w:i/>
                <w:iCs/>
                <w:lang w:val="da-DK"/>
              </w:rPr>
              <w:t>rank preserving structural failure time</w:t>
            </w:r>
            <w:r w:rsidRPr="00A3364A">
              <w:rPr>
                <w:lang w:val="da-DK"/>
              </w:rPr>
              <w:t xml:space="preserve">-model, VEGF/VEGFR: vaskulær endotelvækstfaktor/vaskulær endotel vækstfaktorreceptor. </w:t>
            </w:r>
          </w:p>
          <w:p w14:paraId="532C4E72" w14:textId="496DE3F6" w:rsidR="00200B99" w:rsidRPr="00A3364A" w:rsidRDefault="00200B99" w:rsidP="00C44921">
            <w:pPr>
              <w:pStyle w:val="TableParagraph"/>
              <w:tabs>
                <w:tab w:val="left" w:pos="462"/>
              </w:tabs>
              <w:ind w:left="133" w:right="131"/>
              <w:rPr>
                <w:lang w:val="da-DK"/>
              </w:rPr>
            </w:pPr>
            <w:r w:rsidRPr="00A3364A">
              <w:rPr>
                <w:lang w:val="da-DK"/>
              </w:rPr>
              <w:t xml:space="preserve">a: </w:t>
            </w:r>
            <w:r w:rsidR="00C44921">
              <w:rPr>
                <w:lang w:val="da-DK"/>
              </w:rPr>
              <w:tab/>
            </w:r>
            <w:r w:rsidRPr="00A3364A">
              <w:rPr>
                <w:lang w:val="da-DK"/>
              </w:rPr>
              <w:t>Uafhængig radiologisk gennemgang.</w:t>
            </w:r>
          </w:p>
          <w:p w14:paraId="65CA5CDA" w14:textId="027A1570" w:rsidR="00200B99" w:rsidRPr="00A3364A" w:rsidRDefault="00200B99" w:rsidP="00C44921">
            <w:pPr>
              <w:pStyle w:val="TableParagraph"/>
              <w:tabs>
                <w:tab w:val="left" w:pos="462"/>
              </w:tabs>
              <w:ind w:left="133" w:right="131"/>
              <w:rPr>
                <w:lang w:val="da-DK"/>
              </w:rPr>
            </w:pPr>
            <w:r w:rsidRPr="00A3364A">
              <w:rPr>
                <w:lang w:val="da-DK"/>
              </w:rPr>
              <w:t xml:space="preserve">b: </w:t>
            </w:r>
            <w:r w:rsidR="00C44921">
              <w:rPr>
                <w:lang w:val="da-DK"/>
              </w:rPr>
              <w:tab/>
            </w:r>
            <w:r w:rsidRPr="00A3364A">
              <w:rPr>
                <w:lang w:val="da-DK"/>
              </w:rPr>
              <w:t xml:space="preserve">Stratificeret efter region (Europa </w:t>
            </w:r>
            <w:r w:rsidRPr="00A3364A">
              <w:rPr>
                <w:i/>
                <w:lang w:val="da-DK"/>
              </w:rPr>
              <w:t xml:space="preserve">versus </w:t>
            </w:r>
            <w:r w:rsidRPr="00A3364A">
              <w:rPr>
                <w:lang w:val="da-DK"/>
              </w:rPr>
              <w:t xml:space="preserve">Nordamerika </w:t>
            </w:r>
            <w:r w:rsidRPr="00A3364A">
              <w:rPr>
                <w:i/>
                <w:lang w:val="da-DK"/>
              </w:rPr>
              <w:t xml:space="preserve">versus </w:t>
            </w:r>
            <w:r w:rsidRPr="00A3364A">
              <w:rPr>
                <w:lang w:val="da-DK"/>
              </w:rPr>
              <w:t xml:space="preserve">andet), aldersgruppe (≤ 65 år </w:t>
            </w:r>
            <w:r w:rsidRPr="00A3364A">
              <w:rPr>
                <w:i/>
                <w:lang w:val="da-DK"/>
              </w:rPr>
              <w:t xml:space="preserve">versus </w:t>
            </w:r>
            <w:r w:rsidRPr="00A3364A">
              <w:rPr>
                <w:lang w:val="da-DK"/>
              </w:rPr>
              <w:t xml:space="preserve">&gt; 65 </w:t>
            </w:r>
            <w:r w:rsidR="00C44921">
              <w:rPr>
                <w:lang w:val="da-DK"/>
              </w:rPr>
              <w:tab/>
            </w:r>
            <w:r w:rsidRPr="00A3364A">
              <w:rPr>
                <w:lang w:val="da-DK"/>
              </w:rPr>
              <w:t xml:space="preserve">år) samt tidligere VEGF/VEGFR-målrettet behandling (0 </w:t>
            </w:r>
            <w:r w:rsidRPr="00A3364A">
              <w:rPr>
                <w:i/>
                <w:lang w:val="da-DK"/>
              </w:rPr>
              <w:t xml:space="preserve">versus </w:t>
            </w:r>
            <w:r w:rsidRPr="00A3364A">
              <w:rPr>
                <w:lang w:val="da-DK"/>
              </w:rPr>
              <w:t>1).</w:t>
            </w:r>
          </w:p>
          <w:p w14:paraId="1F59178D" w14:textId="2095208A" w:rsidR="00200B99" w:rsidRPr="00A3364A" w:rsidRDefault="00200B99" w:rsidP="00C44921">
            <w:pPr>
              <w:pStyle w:val="TableParagraph"/>
              <w:tabs>
                <w:tab w:val="left" w:pos="462"/>
              </w:tabs>
              <w:ind w:left="133" w:right="131"/>
              <w:rPr>
                <w:lang w:val="da-DK"/>
              </w:rPr>
            </w:pPr>
            <w:r w:rsidRPr="00A3364A">
              <w:rPr>
                <w:lang w:val="da-DK"/>
              </w:rPr>
              <w:t xml:space="preserve">c: </w:t>
            </w:r>
            <w:r w:rsidR="00C44921">
              <w:rPr>
                <w:lang w:val="da-DK"/>
              </w:rPr>
              <w:tab/>
            </w:r>
            <w:r w:rsidRPr="00A3364A">
              <w:rPr>
                <w:lang w:val="da-DK"/>
              </w:rPr>
              <w:t xml:space="preserve">Estimeret med </w:t>
            </w:r>
            <w:r w:rsidRPr="00A3364A">
              <w:rPr>
                <w:i/>
                <w:iCs/>
                <w:lang w:val="da-DK"/>
              </w:rPr>
              <w:t>Cox proportional hazards</w:t>
            </w:r>
            <w:r w:rsidRPr="00A3364A">
              <w:rPr>
                <w:lang w:val="da-DK"/>
              </w:rPr>
              <w:t>-model.</w:t>
            </w:r>
          </w:p>
          <w:p w14:paraId="37E93578" w14:textId="115A2ED8" w:rsidR="00200B99" w:rsidRPr="00A3364A" w:rsidRDefault="00200B99" w:rsidP="00C44921">
            <w:pPr>
              <w:pStyle w:val="TableParagraph"/>
              <w:tabs>
                <w:tab w:val="left" w:pos="462"/>
              </w:tabs>
              <w:ind w:left="133" w:right="131"/>
              <w:rPr>
                <w:lang w:val="da-DK"/>
              </w:rPr>
            </w:pPr>
            <w:r w:rsidRPr="00A3364A">
              <w:rPr>
                <w:lang w:val="da-DK"/>
              </w:rPr>
              <w:t xml:space="preserve">d: </w:t>
            </w:r>
            <w:r w:rsidR="00C44921">
              <w:rPr>
                <w:lang w:val="da-DK"/>
              </w:rPr>
              <w:tab/>
            </w:r>
            <w:r w:rsidRPr="00A3364A">
              <w:rPr>
                <w:lang w:val="da-DK"/>
              </w:rPr>
              <w:t xml:space="preserve">Estimeret med Kaplan-Meier-metoden. 95 % CI blev dannet med en generaliseret Brookmeyer og </w:t>
            </w:r>
            <w:r w:rsidR="00C44921">
              <w:rPr>
                <w:lang w:val="da-DK"/>
              </w:rPr>
              <w:tab/>
            </w:r>
            <w:r w:rsidRPr="00A3364A">
              <w:rPr>
                <w:lang w:val="da-DK"/>
              </w:rPr>
              <w:t xml:space="preserve">Crowley-metode hos patienter med det bedste samlede respons på fuldstændigt respons eller delvist </w:t>
            </w:r>
            <w:r w:rsidR="00C44921">
              <w:rPr>
                <w:lang w:val="da-DK"/>
              </w:rPr>
              <w:tab/>
            </w:r>
            <w:r w:rsidRPr="00A3364A">
              <w:rPr>
                <w:lang w:val="da-DK"/>
              </w:rPr>
              <w:t>respons.</w:t>
            </w:r>
          </w:p>
          <w:p w14:paraId="08B50DBF" w14:textId="4BC3DC06" w:rsidR="00200B99" w:rsidRPr="00A3364A" w:rsidRDefault="00200B99" w:rsidP="00C44921">
            <w:pPr>
              <w:pStyle w:val="TableParagraph"/>
              <w:tabs>
                <w:tab w:val="left" w:pos="462"/>
              </w:tabs>
              <w:ind w:left="133" w:right="131"/>
              <w:rPr>
                <w:lang w:val="da-DK"/>
              </w:rPr>
            </w:pPr>
            <w:r w:rsidRPr="00A3364A">
              <w:rPr>
                <w:lang w:val="da-DK"/>
              </w:rPr>
              <w:t xml:space="preserve">e: </w:t>
            </w:r>
            <w:r w:rsidR="00C44921">
              <w:rPr>
                <w:lang w:val="da-DK"/>
              </w:rPr>
              <w:tab/>
            </w:r>
            <w:r w:rsidRPr="00A3364A">
              <w:rPr>
                <w:lang w:val="da-DK"/>
              </w:rPr>
              <w:t>Ikke justeret for overkrydsningsvirkningen.</w:t>
            </w:r>
          </w:p>
        </w:tc>
      </w:tr>
    </w:tbl>
    <w:p w14:paraId="04B0B185" w14:textId="77777777" w:rsidR="00200B99" w:rsidRPr="000C059E" w:rsidRDefault="00200B99" w:rsidP="00200B99">
      <w:pPr>
        <w:pStyle w:val="Brdtekst"/>
        <w:rPr>
          <w:sz w:val="24"/>
          <w:szCs w:val="24"/>
          <w:lang w:val="da-DK"/>
        </w:rPr>
      </w:pPr>
    </w:p>
    <w:p w14:paraId="0996EC9F" w14:textId="7DE72C62" w:rsidR="00200B99" w:rsidRPr="00C44921" w:rsidRDefault="00200B99" w:rsidP="00C44B05">
      <w:pPr>
        <w:keepNext/>
        <w:rPr>
          <w:b/>
          <w:sz w:val="24"/>
          <w:szCs w:val="24"/>
        </w:rPr>
      </w:pPr>
      <w:r w:rsidRPr="00C44921">
        <w:rPr>
          <w:b/>
          <w:sz w:val="24"/>
          <w:szCs w:val="24"/>
        </w:rPr>
        <w:t>Figur 1</w:t>
      </w:r>
      <w:r w:rsidR="00C44B05">
        <w:rPr>
          <w:b/>
          <w:sz w:val="24"/>
          <w:szCs w:val="24"/>
        </w:rPr>
        <w:t>.</w:t>
      </w:r>
      <w:r w:rsidRPr="00C44921">
        <w:rPr>
          <w:b/>
          <w:sz w:val="24"/>
          <w:szCs w:val="24"/>
        </w:rPr>
        <w:tab/>
        <w:t>Kaplan-Meier-kurve for progressionsfri overlevelse -</w:t>
      </w:r>
      <w:r w:rsidRPr="00C44921">
        <w:rPr>
          <w:b/>
          <w:spacing w:val="-4"/>
          <w:sz w:val="24"/>
          <w:szCs w:val="24"/>
        </w:rPr>
        <w:t xml:space="preserve"> </w:t>
      </w:r>
      <w:r w:rsidRPr="00C44921">
        <w:rPr>
          <w:b/>
          <w:sz w:val="24"/>
          <w:szCs w:val="24"/>
        </w:rPr>
        <w:t>DTC</w:t>
      </w:r>
    </w:p>
    <w:p w14:paraId="7E00572A" w14:textId="77777777" w:rsidR="00200B99" w:rsidRPr="00D84B1B" w:rsidRDefault="00200B99" w:rsidP="00C44B05">
      <w:pPr>
        <w:pStyle w:val="Brdtekst"/>
        <w:keepNext/>
        <w:widowControl/>
        <w:rPr>
          <w:sz w:val="24"/>
          <w:szCs w:val="24"/>
          <w:lang w:val="da-DK"/>
        </w:rPr>
      </w:pPr>
    </w:p>
    <w:p w14:paraId="6E1CEA6E" w14:textId="3CB0FCC2" w:rsidR="00200B99" w:rsidRPr="00D84B1B" w:rsidRDefault="00D84B1B" w:rsidP="00C44B05">
      <w:pPr>
        <w:pStyle w:val="Brdtekst"/>
        <w:keepNext/>
        <w:widowControl/>
        <w:rPr>
          <w:sz w:val="24"/>
          <w:szCs w:val="24"/>
          <w:lang w:val="da-DK"/>
        </w:rPr>
      </w:pPr>
      <w:r>
        <w:rPr>
          <w:noProof/>
        </w:rPr>
        <w:drawing>
          <wp:inline distT="0" distB="0" distL="0" distR="0" wp14:anchorId="6CDD69C7" wp14:editId="6148EA3D">
            <wp:extent cx="6120130" cy="3167380"/>
            <wp:effectExtent l="0" t="0" r="0" b="0"/>
            <wp:docPr id="61" name="Billed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3167380"/>
                    </a:xfrm>
                    <a:prstGeom prst="rect">
                      <a:avLst/>
                    </a:prstGeom>
                  </pic:spPr>
                </pic:pic>
              </a:graphicData>
            </a:graphic>
          </wp:inline>
        </w:drawing>
      </w:r>
    </w:p>
    <w:p w14:paraId="720906E1" w14:textId="4E667C00" w:rsidR="00200B99" w:rsidRPr="000C059E" w:rsidRDefault="00200B99" w:rsidP="00C44B05">
      <w:pPr>
        <w:keepNext/>
        <w:ind w:left="851"/>
        <w:jc w:val="center"/>
        <w:rPr>
          <w:sz w:val="24"/>
          <w:szCs w:val="24"/>
        </w:rPr>
      </w:pPr>
      <w:r w:rsidRPr="000C059E">
        <w:rPr>
          <w:sz w:val="24"/>
          <w:szCs w:val="24"/>
        </w:rPr>
        <w:t>CI: konfidensinterval, NE: kan ikke estimeres.</w:t>
      </w:r>
    </w:p>
    <w:p w14:paraId="5F59D9F3" w14:textId="77777777" w:rsidR="00200B99" w:rsidRPr="000C059E" w:rsidRDefault="00200B99" w:rsidP="00773EAE">
      <w:pPr>
        <w:ind w:left="851"/>
        <w:rPr>
          <w:sz w:val="24"/>
          <w:szCs w:val="24"/>
        </w:rPr>
      </w:pPr>
    </w:p>
    <w:p w14:paraId="150B34FE" w14:textId="77777777" w:rsidR="00200B99" w:rsidRPr="000C059E" w:rsidRDefault="00200B99" w:rsidP="00773EAE">
      <w:pPr>
        <w:ind w:left="851"/>
        <w:rPr>
          <w:i/>
          <w:sz w:val="24"/>
          <w:szCs w:val="24"/>
        </w:rPr>
      </w:pPr>
      <w:r w:rsidRPr="000C059E">
        <w:rPr>
          <w:i/>
          <w:sz w:val="24"/>
          <w:szCs w:val="24"/>
          <w:u w:val="single"/>
        </w:rPr>
        <w:t>Hepatocellulært karcinom</w:t>
      </w:r>
    </w:p>
    <w:p w14:paraId="69FCB575" w14:textId="77777777" w:rsidR="00200B99" w:rsidRPr="000C059E" w:rsidRDefault="00200B99" w:rsidP="00773EAE">
      <w:pPr>
        <w:ind w:left="851"/>
        <w:rPr>
          <w:i/>
          <w:sz w:val="24"/>
          <w:szCs w:val="24"/>
        </w:rPr>
      </w:pPr>
    </w:p>
    <w:p w14:paraId="1ECA4AC2" w14:textId="77777777" w:rsidR="00200B99" w:rsidRPr="000C059E" w:rsidRDefault="00200B99" w:rsidP="00773EAE">
      <w:pPr>
        <w:ind w:left="851"/>
        <w:rPr>
          <w:sz w:val="24"/>
          <w:szCs w:val="24"/>
        </w:rPr>
      </w:pPr>
      <w:r w:rsidRPr="000C059E">
        <w:rPr>
          <w:sz w:val="24"/>
          <w:szCs w:val="24"/>
        </w:rPr>
        <w:t>Den kliniske virkning og sikkerhed af lenvatinib er blevet evalueret i et internationalt, open-label, randomiseret fase III-multicenterstudie (REFLECT) hos patienter med ikke-resektabelt hepatocellulært karcinom (HCC).</w:t>
      </w:r>
    </w:p>
    <w:p w14:paraId="51A2B49D" w14:textId="77777777" w:rsidR="00200B99" w:rsidRPr="000C059E" w:rsidRDefault="00200B99" w:rsidP="00773EAE">
      <w:pPr>
        <w:ind w:left="851"/>
        <w:rPr>
          <w:sz w:val="24"/>
          <w:szCs w:val="24"/>
        </w:rPr>
      </w:pPr>
    </w:p>
    <w:p w14:paraId="69F7D774" w14:textId="77777777" w:rsidR="00200B99" w:rsidRPr="000C059E" w:rsidRDefault="00200B99" w:rsidP="00773EAE">
      <w:pPr>
        <w:ind w:left="851"/>
        <w:rPr>
          <w:sz w:val="24"/>
          <w:szCs w:val="24"/>
        </w:rPr>
      </w:pPr>
      <w:r w:rsidRPr="000C059E">
        <w:rPr>
          <w:sz w:val="24"/>
          <w:szCs w:val="24"/>
        </w:rPr>
        <w:t>I alt blev 954 patienter randomiseret 1:1 til at få enten lenvatinib (12 mg [</w:t>
      </w:r>
      <w:r w:rsidRPr="000C059E">
        <w:rPr>
          <w:i/>
          <w:iCs/>
          <w:sz w:val="24"/>
          <w:szCs w:val="24"/>
        </w:rPr>
        <w:t>baseline</w:t>
      </w:r>
      <w:r w:rsidRPr="000C059E">
        <w:rPr>
          <w:sz w:val="24"/>
          <w:szCs w:val="24"/>
        </w:rPr>
        <w:t>-kropsvægt ≥ 60 kg] eller 8 mg [</w:t>
      </w:r>
      <w:r w:rsidRPr="000C059E">
        <w:rPr>
          <w:i/>
          <w:iCs/>
          <w:sz w:val="24"/>
          <w:szCs w:val="24"/>
        </w:rPr>
        <w:t>baseline</w:t>
      </w:r>
      <w:r w:rsidRPr="000C059E">
        <w:rPr>
          <w:sz w:val="24"/>
          <w:szCs w:val="24"/>
        </w:rPr>
        <w:t>-kropsvægt &lt; 60 kg]) givet oralt én gang dagligt eller sorafenib 400 mg givet oralt to gange dagligt.</w:t>
      </w:r>
    </w:p>
    <w:p w14:paraId="641176F9" w14:textId="77777777" w:rsidR="00200B99" w:rsidRPr="000C059E" w:rsidRDefault="00200B99" w:rsidP="00773EAE">
      <w:pPr>
        <w:ind w:left="851"/>
        <w:rPr>
          <w:sz w:val="24"/>
          <w:szCs w:val="24"/>
        </w:rPr>
      </w:pPr>
    </w:p>
    <w:p w14:paraId="0D0E15A3" w14:textId="063D4CCC" w:rsidR="00200B99" w:rsidRPr="000C059E" w:rsidRDefault="00200B99" w:rsidP="00773EAE">
      <w:pPr>
        <w:ind w:left="851"/>
        <w:rPr>
          <w:sz w:val="24"/>
          <w:szCs w:val="24"/>
        </w:rPr>
      </w:pPr>
      <w:r w:rsidRPr="000C059E">
        <w:rPr>
          <w:sz w:val="24"/>
          <w:szCs w:val="24"/>
        </w:rPr>
        <w:t xml:space="preserve">Patienter var kvalificeret til at deltage, hvis de havde en leverfunktion med Child-Pugh klasse A og </w:t>
      </w:r>
      <w:r w:rsidRPr="000C059E">
        <w:rPr>
          <w:i/>
          <w:iCs/>
          <w:sz w:val="24"/>
          <w:szCs w:val="24"/>
        </w:rPr>
        <w:t>Eastern Cooperative Oncology Group Performance Status</w:t>
      </w:r>
      <w:r w:rsidRPr="000C059E">
        <w:rPr>
          <w:sz w:val="24"/>
          <w:szCs w:val="24"/>
        </w:rPr>
        <w:t xml:space="preserve"> (ECOG PS) 0 or 1. Patienter blev ekskluderet, hvis de tidligere havde fået systemisk anticancer-behandling for fremskreden/ikke-resektabelt HCC eller tidligere havde fået anti-VEGF-behandling. Mållæsionerne, der tidligere var blevet behandlet med strålebehandling eller lokal/regional behandling, skulle vise radiografiske tegn på sygdomsprogression. Patienter blev også ekskluderet, hvis de havde ≥ 50 % okkupation af leveren, tydelig invasion i galdegangen eller i en hovedgren af portalvenen (Vp4) ved billeddiagnostik.</w:t>
      </w:r>
    </w:p>
    <w:p w14:paraId="7060C642" w14:textId="77777777" w:rsidR="00200B99" w:rsidRPr="000C059E" w:rsidRDefault="00200B99" w:rsidP="00773EAE">
      <w:pPr>
        <w:ind w:left="851"/>
        <w:rPr>
          <w:sz w:val="24"/>
          <w:szCs w:val="24"/>
        </w:rPr>
      </w:pPr>
    </w:p>
    <w:p w14:paraId="4BA2CD15" w14:textId="77777777" w:rsidR="00200B99" w:rsidRPr="00DF7CC9" w:rsidRDefault="00200B99" w:rsidP="002072E6">
      <w:pPr>
        <w:pStyle w:val="Listeafsnit"/>
        <w:numPr>
          <w:ilvl w:val="0"/>
          <w:numId w:val="11"/>
        </w:numPr>
        <w:ind w:left="1276" w:hanging="425"/>
        <w:rPr>
          <w:sz w:val="24"/>
          <w:szCs w:val="24"/>
          <w:lang w:val="da-DK"/>
        </w:rPr>
      </w:pPr>
      <w:r w:rsidRPr="00DF7CC9">
        <w:rPr>
          <w:sz w:val="24"/>
          <w:szCs w:val="24"/>
          <w:lang w:val="da-DK"/>
        </w:rPr>
        <w:t xml:space="preserve">Demografiske og </w:t>
      </w:r>
      <w:r w:rsidRPr="00DF7CC9">
        <w:rPr>
          <w:i/>
          <w:iCs/>
          <w:sz w:val="24"/>
          <w:szCs w:val="24"/>
          <w:lang w:val="da-DK"/>
        </w:rPr>
        <w:t>baseline</w:t>
      </w:r>
      <w:r w:rsidRPr="00DF7CC9">
        <w:rPr>
          <w:sz w:val="24"/>
          <w:szCs w:val="24"/>
          <w:lang w:val="da-DK"/>
        </w:rPr>
        <w:t xml:space="preserve"> sygdomskarakteristika var ens mellem grupperne med lenvatinib og sorafenib og vises herunder for alle 954 randomiserede</w:t>
      </w:r>
      <w:r w:rsidRPr="00DF7CC9">
        <w:rPr>
          <w:spacing w:val="-13"/>
          <w:sz w:val="24"/>
          <w:szCs w:val="24"/>
          <w:lang w:val="da-DK"/>
        </w:rPr>
        <w:t xml:space="preserve"> </w:t>
      </w:r>
      <w:r w:rsidRPr="00DF7CC9">
        <w:rPr>
          <w:sz w:val="24"/>
          <w:szCs w:val="24"/>
          <w:lang w:val="da-DK"/>
        </w:rPr>
        <w:t>patienter:</w:t>
      </w:r>
    </w:p>
    <w:p w14:paraId="3FA28941" w14:textId="77777777" w:rsidR="00200B99" w:rsidRPr="002072E6" w:rsidRDefault="00200B99" w:rsidP="002072E6">
      <w:pPr>
        <w:pStyle w:val="Listeafsnit"/>
        <w:numPr>
          <w:ilvl w:val="0"/>
          <w:numId w:val="11"/>
        </w:numPr>
        <w:ind w:left="1276" w:hanging="425"/>
        <w:rPr>
          <w:sz w:val="24"/>
          <w:szCs w:val="24"/>
        </w:rPr>
      </w:pPr>
      <w:r w:rsidRPr="002072E6">
        <w:rPr>
          <w:sz w:val="24"/>
          <w:szCs w:val="24"/>
        </w:rPr>
        <w:t>Median alder: 62</w:t>
      </w:r>
      <w:r w:rsidRPr="002072E6">
        <w:rPr>
          <w:spacing w:val="-4"/>
          <w:sz w:val="24"/>
          <w:szCs w:val="24"/>
        </w:rPr>
        <w:t xml:space="preserve"> </w:t>
      </w:r>
      <w:r w:rsidRPr="002072E6">
        <w:rPr>
          <w:sz w:val="24"/>
          <w:szCs w:val="24"/>
        </w:rPr>
        <w:t>år</w:t>
      </w:r>
    </w:p>
    <w:p w14:paraId="5978484C" w14:textId="77777777" w:rsidR="00200B99" w:rsidRPr="002072E6" w:rsidRDefault="00200B99" w:rsidP="002072E6">
      <w:pPr>
        <w:pStyle w:val="Listeafsnit"/>
        <w:numPr>
          <w:ilvl w:val="0"/>
          <w:numId w:val="11"/>
        </w:numPr>
        <w:ind w:left="1276" w:hanging="425"/>
        <w:rPr>
          <w:sz w:val="24"/>
          <w:szCs w:val="24"/>
        </w:rPr>
      </w:pPr>
      <w:r w:rsidRPr="002072E6">
        <w:rPr>
          <w:sz w:val="24"/>
          <w:szCs w:val="24"/>
        </w:rPr>
        <w:t>Hankøn: 84</w:t>
      </w:r>
      <w:r w:rsidRPr="002072E6">
        <w:rPr>
          <w:spacing w:val="2"/>
          <w:sz w:val="24"/>
          <w:szCs w:val="24"/>
        </w:rPr>
        <w:t xml:space="preserve"> </w:t>
      </w:r>
      <w:r w:rsidRPr="002072E6">
        <w:rPr>
          <w:sz w:val="24"/>
          <w:szCs w:val="24"/>
        </w:rPr>
        <w:t>%</w:t>
      </w:r>
    </w:p>
    <w:p w14:paraId="767A6299" w14:textId="77777777" w:rsidR="00200B99" w:rsidRPr="00DF7CC9" w:rsidRDefault="00200B99" w:rsidP="002072E6">
      <w:pPr>
        <w:pStyle w:val="Listeafsnit"/>
        <w:numPr>
          <w:ilvl w:val="0"/>
          <w:numId w:val="11"/>
        </w:numPr>
        <w:ind w:left="1276" w:hanging="425"/>
        <w:rPr>
          <w:sz w:val="24"/>
          <w:szCs w:val="24"/>
          <w:lang w:val="da-DK"/>
        </w:rPr>
      </w:pPr>
      <w:r w:rsidRPr="00DF7CC9">
        <w:rPr>
          <w:sz w:val="24"/>
          <w:szCs w:val="24"/>
          <w:lang w:val="da-DK"/>
        </w:rPr>
        <w:t>Hvide: 29 %, asiatiske: 69 %, sorte eller afroamerikanere: 1,4</w:t>
      </w:r>
      <w:r w:rsidRPr="00DF7CC9">
        <w:rPr>
          <w:spacing w:val="-9"/>
          <w:sz w:val="24"/>
          <w:szCs w:val="24"/>
          <w:lang w:val="da-DK"/>
        </w:rPr>
        <w:t xml:space="preserve"> </w:t>
      </w:r>
      <w:r w:rsidRPr="00DF7CC9">
        <w:rPr>
          <w:sz w:val="24"/>
          <w:szCs w:val="24"/>
          <w:lang w:val="da-DK"/>
        </w:rPr>
        <w:t>%</w:t>
      </w:r>
    </w:p>
    <w:p w14:paraId="5025835D" w14:textId="77777777" w:rsidR="00200B99" w:rsidRPr="002072E6" w:rsidRDefault="00200B99" w:rsidP="002072E6">
      <w:pPr>
        <w:pStyle w:val="Listeafsnit"/>
        <w:numPr>
          <w:ilvl w:val="0"/>
          <w:numId w:val="11"/>
        </w:numPr>
        <w:ind w:left="1276" w:hanging="425"/>
        <w:rPr>
          <w:sz w:val="24"/>
          <w:szCs w:val="24"/>
        </w:rPr>
      </w:pPr>
      <w:r w:rsidRPr="002072E6">
        <w:rPr>
          <w:sz w:val="24"/>
          <w:szCs w:val="24"/>
        </w:rPr>
        <w:t xml:space="preserve">Kropsvægt: &lt; 60 kg -31 %, 60-80 kg -50 %, &gt; 80 kg </w:t>
      </w:r>
      <w:r w:rsidRPr="002072E6">
        <w:rPr>
          <w:spacing w:val="-18"/>
          <w:sz w:val="24"/>
          <w:szCs w:val="24"/>
        </w:rPr>
        <w:t>-</w:t>
      </w:r>
      <w:r w:rsidRPr="002072E6">
        <w:rPr>
          <w:sz w:val="24"/>
          <w:szCs w:val="24"/>
        </w:rPr>
        <w:t>19 %</w:t>
      </w:r>
    </w:p>
    <w:p w14:paraId="4A2D6352" w14:textId="77777777" w:rsidR="00200B99" w:rsidRPr="002072E6" w:rsidRDefault="00200B99" w:rsidP="002072E6">
      <w:pPr>
        <w:pStyle w:val="Listeafsnit"/>
        <w:numPr>
          <w:ilvl w:val="0"/>
          <w:numId w:val="11"/>
        </w:numPr>
        <w:ind w:left="1276" w:hanging="425"/>
        <w:rPr>
          <w:sz w:val="24"/>
          <w:szCs w:val="24"/>
        </w:rPr>
      </w:pPr>
      <w:r w:rsidRPr="002072E6">
        <w:rPr>
          <w:i/>
          <w:iCs/>
          <w:sz w:val="24"/>
          <w:szCs w:val="24"/>
        </w:rPr>
        <w:t>Eastern Cooperative Oncology Group Performance Status</w:t>
      </w:r>
      <w:r w:rsidRPr="002072E6">
        <w:rPr>
          <w:sz w:val="24"/>
          <w:szCs w:val="24"/>
        </w:rPr>
        <w:t xml:space="preserve"> (ECOG PS) på 0: 63 %, ECOG PS på 1: 37 %</w:t>
      </w:r>
    </w:p>
    <w:p w14:paraId="4A482724" w14:textId="77777777" w:rsidR="00200B99" w:rsidRPr="002072E6" w:rsidRDefault="00200B99" w:rsidP="002072E6">
      <w:pPr>
        <w:pStyle w:val="Listeafsnit"/>
        <w:numPr>
          <w:ilvl w:val="0"/>
          <w:numId w:val="11"/>
        </w:numPr>
        <w:ind w:left="1276" w:hanging="425"/>
        <w:rPr>
          <w:sz w:val="24"/>
          <w:szCs w:val="24"/>
        </w:rPr>
      </w:pPr>
      <w:r w:rsidRPr="002072E6">
        <w:rPr>
          <w:sz w:val="24"/>
          <w:szCs w:val="24"/>
        </w:rPr>
        <w:t>Child-Pugh A: 99 %, Child-Pugh B: 1</w:t>
      </w:r>
      <w:r w:rsidRPr="002072E6">
        <w:rPr>
          <w:spacing w:val="-8"/>
          <w:sz w:val="24"/>
          <w:szCs w:val="24"/>
        </w:rPr>
        <w:t xml:space="preserve"> </w:t>
      </w:r>
      <w:r w:rsidRPr="002072E6">
        <w:rPr>
          <w:sz w:val="24"/>
          <w:szCs w:val="24"/>
        </w:rPr>
        <w:t>%</w:t>
      </w:r>
    </w:p>
    <w:p w14:paraId="4D126E90" w14:textId="77777777" w:rsidR="00200B99" w:rsidRPr="00DF7CC9" w:rsidRDefault="00200B99" w:rsidP="002072E6">
      <w:pPr>
        <w:pStyle w:val="Listeafsnit"/>
        <w:numPr>
          <w:ilvl w:val="0"/>
          <w:numId w:val="11"/>
        </w:numPr>
        <w:ind w:left="1276" w:hanging="425"/>
        <w:rPr>
          <w:sz w:val="24"/>
          <w:szCs w:val="24"/>
          <w:lang w:val="da-DK"/>
        </w:rPr>
      </w:pPr>
      <w:r w:rsidRPr="00DF7CC9">
        <w:rPr>
          <w:sz w:val="24"/>
          <w:szCs w:val="24"/>
          <w:lang w:val="da-DK"/>
        </w:rPr>
        <w:t>Ætiologi: hepatitis B (50 %), hepatitis C (23 %), alkohol (6</w:t>
      </w:r>
      <w:r w:rsidRPr="00DF7CC9">
        <w:rPr>
          <w:spacing w:val="-6"/>
          <w:sz w:val="24"/>
          <w:szCs w:val="24"/>
          <w:lang w:val="da-DK"/>
        </w:rPr>
        <w:t xml:space="preserve"> </w:t>
      </w:r>
      <w:r w:rsidRPr="00DF7CC9">
        <w:rPr>
          <w:sz w:val="24"/>
          <w:szCs w:val="24"/>
          <w:lang w:val="da-DK"/>
        </w:rPr>
        <w:t>%)</w:t>
      </w:r>
    </w:p>
    <w:p w14:paraId="57286606" w14:textId="77777777" w:rsidR="00200B99" w:rsidRPr="00DF7CC9" w:rsidRDefault="00200B99" w:rsidP="002072E6">
      <w:pPr>
        <w:pStyle w:val="Listeafsnit"/>
        <w:numPr>
          <w:ilvl w:val="0"/>
          <w:numId w:val="11"/>
        </w:numPr>
        <w:ind w:left="1276" w:hanging="425"/>
        <w:rPr>
          <w:sz w:val="24"/>
          <w:szCs w:val="24"/>
          <w:lang w:val="da-DK"/>
        </w:rPr>
      </w:pPr>
      <w:r w:rsidRPr="00DF7CC9">
        <w:rPr>
          <w:sz w:val="24"/>
          <w:szCs w:val="24"/>
          <w:lang w:val="da-DK"/>
        </w:rPr>
        <w:t>Fravær af makroskopisk portalvene invasion (MPVI): 79</w:t>
      </w:r>
      <w:r w:rsidRPr="00DF7CC9">
        <w:rPr>
          <w:spacing w:val="-8"/>
          <w:sz w:val="24"/>
          <w:szCs w:val="24"/>
          <w:lang w:val="da-DK"/>
        </w:rPr>
        <w:t xml:space="preserve"> </w:t>
      </w:r>
      <w:r w:rsidRPr="00DF7CC9">
        <w:rPr>
          <w:sz w:val="24"/>
          <w:szCs w:val="24"/>
          <w:lang w:val="da-DK"/>
        </w:rPr>
        <w:t>%</w:t>
      </w:r>
    </w:p>
    <w:p w14:paraId="43DEDA9B" w14:textId="77777777" w:rsidR="00200B99" w:rsidRPr="00DF7CC9" w:rsidRDefault="00200B99" w:rsidP="002072E6">
      <w:pPr>
        <w:pStyle w:val="Listeafsnit"/>
        <w:numPr>
          <w:ilvl w:val="0"/>
          <w:numId w:val="11"/>
        </w:numPr>
        <w:ind w:left="1276" w:hanging="425"/>
        <w:rPr>
          <w:sz w:val="24"/>
          <w:szCs w:val="24"/>
          <w:lang w:val="da-DK"/>
        </w:rPr>
      </w:pPr>
      <w:r w:rsidRPr="00DF7CC9">
        <w:rPr>
          <w:sz w:val="24"/>
          <w:szCs w:val="24"/>
          <w:lang w:val="da-DK"/>
        </w:rPr>
        <w:t>Fravær af MPVI, ekstrahepatisk tumorspredning (EHS) eller begge: 30</w:t>
      </w:r>
      <w:r w:rsidRPr="00DF7CC9">
        <w:rPr>
          <w:spacing w:val="-16"/>
          <w:sz w:val="24"/>
          <w:szCs w:val="24"/>
          <w:lang w:val="da-DK"/>
        </w:rPr>
        <w:t xml:space="preserve"> </w:t>
      </w:r>
      <w:r w:rsidRPr="00DF7CC9">
        <w:rPr>
          <w:sz w:val="24"/>
          <w:szCs w:val="24"/>
          <w:lang w:val="da-DK"/>
        </w:rPr>
        <w:t>%</w:t>
      </w:r>
    </w:p>
    <w:p w14:paraId="577551C3" w14:textId="77777777" w:rsidR="00200B99" w:rsidRPr="00DF7CC9" w:rsidRDefault="00200B99" w:rsidP="002072E6">
      <w:pPr>
        <w:pStyle w:val="Listeafsnit"/>
        <w:numPr>
          <w:ilvl w:val="0"/>
          <w:numId w:val="11"/>
        </w:numPr>
        <w:ind w:left="1276" w:hanging="425"/>
        <w:rPr>
          <w:sz w:val="24"/>
          <w:szCs w:val="24"/>
          <w:lang w:val="da-DK"/>
        </w:rPr>
      </w:pPr>
      <w:r w:rsidRPr="00DF7CC9">
        <w:rPr>
          <w:sz w:val="24"/>
          <w:szCs w:val="24"/>
          <w:lang w:val="da-DK"/>
        </w:rPr>
        <w:t>Underliggende cirrose (ved en uafhængig vurdering af billeddiagnostik): 75</w:t>
      </w:r>
      <w:r w:rsidRPr="00DF7CC9">
        <w:rPr>
          <w:spacing w:val="-15"/>
          <w:sz w:val="24"/>
          <w:szCs w:val="24"/>
          <w:lang w:val="da-DK"/>
        </w:rPr>
        <w:t xml:space="preserve"> </w:t>
      </w:r>
      <w:r w:rsidRPr="00DF7CC9">
        <w:rPr>
          <w:sz w:val="24"/>
          <w:szCs w:val="24"/>
          <w:lang w:val="da-DK"/>
        </w:rPr>
        <w:t>%</w:t>
      </w:r>
    </w:p>
    <w:p w14:paraId="4ACE7D6E" w14:textId="77777777" w:rsidR="00200B99" w:rsidRPr="002072E6" w:rsidRDefault="00200B99" w:rsidP="002072E6">
      <w:pPr>
        <w:pStyle w:val="Listeafsnit"/>
        <w:numPr>
          <w:ilvl w:val="0"/>
          <w:numId w:val="11"/>
        </w:numPr>
        <w:ind w:left="1276" w:hanging="425"/>
        <w:rPr>
          <w:sz w:val="24"/>
          <w:szCs w:val="24"/>
        </w:rPr>
      </w:pPr>
      <w:r w:rsidRPr="002072E6">
        <w:rPr>
          <w:i/>
          <w:iCs/>
          <w:sz w:val="24"/>
          <w:szCs w:val="24"/>
        </w:rPr>
        <w:t>Barcelona Clinic Liver Cancer</w:t>
      </w:r>
      <w:r w:rsidRPr="002072E6">
        <w:rPr>
          <w:sz w:val="24"/>
          <w:szCs w:val="24"/>
        </w:rPr>
        <w:t xml:space="preserve"> (BCLC) stadie B: 20 %; BCLC-stadie C: 80</w:t>
      </w:r>
      <w:r w:rsidRPr="002072E6">
        <w:rPr>
          <w:spacing w:val="-17"/>
          <w:sz w:val="24"/>
          <w:szCs w:val="24"/>
        </w:rPr>
        <w:t xml:space="preserve"> </w:t>
      </w:r>
      <w:r w:rsidRPr="002072E6">
        <w:rPr>
          <w:sz w:val="24"/>
          <w:szCs w:val="24"/>
        </w:rPr>
        <w:t>%</w:t>
      </w:r>
    </w:p>
    <w:p w14:paraId="6EAECBC3" w14:textId="77777777" w:rsidR="00200B99" w:rsidRPr="00DF7CC9" w:rsidRDefault="00200B99" w:rsidP="002072E6">
      <w:pPr>
        <w:pStyle w:val="Listeafsnit"/>
        <w:numPr>
          <w:ilvl w:val="0"/>
          <w:numId w:val="11"/>
        </w:numPr>
        <w:ind w:left="1276" w:hanging="425"/>
        <w:rPr>
          <w:sz w:val="24"/>
          <w:szCs w:val="24"/>
          <w:lang w:val="da-DK"/>
        </w:rPr>
      </w:pPr>
      <w:r w:rsidRPr="00DF7CC9">
        <w:rPr>
          <w:sz w:val="24"/>
          <w:szCs w:val="24"/>
          <w:lang w:val="da-DK"/>
        </w:rPr>
        <w:t>Tidligere behandlinger: hepatektomi (28 %), strålebehandling (11 %), lokale/regionale behandlinger inclusive transarteriel (kemo) embolisering (52 %), radiofrekvensablation (21 %) og perkutan ethanol injektion (4</w:t>
      </w:r>
      <w:r w:rsidRPr="00DF7CC9">
        <w:rPr>
          <w:spacing w:val="-9"/>
          <w:sz w:val="24"/>
          <w:szCs w:val="24"/>
          <w:lang w:val="da-DK"/>
        </w:rPr>
        <w:t xml:space="preserve"> </w:t>
      </w:r>
      <w:r w:rsidRPr="00DF7CC9">
        <w:rPr>
          <w:sz w:val="24"/>
          <w:szCs w:val="24"/>
          <w:lang w:val="da-DK"/>
        </w:rPr>
        <w:t>%).</w:t>
      </w:r>
    </w:p>
    <w:p w14:paraId="42CBD9C5" w14:textId="77777777" w:rsidR="00200B99" w:rsidRPr="000C059E" w:rsidRDefault="00200B99" w:rsidP="00773EAE">
      <w:pPr>
        <w:ind w:left="851"/>
        <w:rPr>
          <w:sz w:val="24"/>
          <w:szCs w:val="24"/>
        </w:rPr>
      </w:pPr>
    </w:p>
    <w:p w14:paraId="216E43FE" w14:textId="77777777" w:rsidR="00200B99" w:rsidRPr="000C059E" w:rsidRDefault="00200B99" w:rsidP="00773EAE">
      <w:pPr>
        <w:ind w:left="851"/>
        <w:rPr>
          <w:sz w:val="24"/>
          <w:szCs w:val="24"/>
        </w:rPr>
      </w:pPr>
      <w:r w:rsidRPr="000C059E">
        <w:rPr>
          <w:sz w:val="24"/>
          <w:szCs w:val="24"/>
        </w:rPr>
        <w:t xml:space="preserve">Det primære effekt-endepunkt var samlet overlevelse (OS). Lenvatinib var non-inferior i forhold til sorafenib, hvad angår OS, med HR = 0,92 (95 % CI 0,79, 1,06) og en median OS på 13,6 måneder </w:t>
      </w:r>
      <w:r w:rsidRPr="000C059E">
        <w:rPr>
          <w:i/>
          <w:iCs/>
          <w:sz w:val="24"/>
          <w:szCs w:val="24"/>
        </w:rPr>
        <w:t>versus</w:t>
      </w:r>
      <w:r w:rsidRPr="000C059E">
        <w:rPr>
          <w:sz w:val="24"/>
          <w:szCs w:val="24"/>
        </w:rPr>
        <w:t xml:space="preserve"> 12,3 måneder (se tabel 8 og figur 2). Resultaterne for surrogate endepunkter (PFS og QRR) vises i tabel 8 herunder.</w:t>
      </w:r>
    </w:p>
    <w:p w14:paraId="1E33308E" w14:textId="77777777" w:rsidR="00200B99" w:rsidRPr="000C059E" w:rsidRDefault="00200B99" w:rsidP="00200B99">
      <w:pPr>
        <w:pStyle w:val="Brdtekst"/>
        <w:rPr>
          <w:sz w:val="24"/>
          <w:szCs w:val="24"/>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71"/>
        <w:gridCol w:w="1708"/>
        <w:gridCol w:w="1336"/>
        <w:gridCol w:w="2051"/>
        <w:gridCol w:w="1862"/>
      </w:tblGrid>
      <w:tr w:rsidR="00200B99" w:rsidRPr="002072E6" w14:paraId="55FEABCE" w14:textId="77777777" w:rsidTr="002072E6">
        <w:trPr>
          <w:trHeight w:val="508"/>
        </w:trPr>
        <w:tc>
          <w:tcPr>
            <w:tcW w:w="5000" w:type="pct"/>
            <w:gridSpan w:val="5"/>
            <w:tcBorders>
              <w:top w:val="single" w:sz="4" w:space="0" w:color="000000"/>
              <w:left w:val="single" w:sz="4" w:space="0" w:color="000000"/>
              <w:bottom w:val="single" w:sz="4" w:space="0" w:color="000000"/>
              <w:right w:val="single" w:sz="4" w:space="0" w:color="000000"/>
            </w:tcBorders>
            <w:hideMark/>
          </w:tcPr>
          <w:p w14:paraId="2CDA83CA" w14:textId="77777777" w:rsidR="00200B99" w:rsidRPr="002072E6" w:rsidRDefault="00200B99" w:rsidP="002072E6">
            <w:pPr>
              <w:pStyle w:val="TableParagraph"/>
              <w:ind w:left="133" w:right="131"/>
              <w:rPr>
                <w:b/>
                <w:lang w:val="da-DK"/>
              </w:rPr>
            </w:pPr>
            <w:r w:rsidRPr="002072E6">
              <w:rPr>
                <w:b/>
                <w:lang w:val="da-DK"/>
              </w:rPr>
              <w:t>Tabel 8 Effektresultater fra REFLECT-studiet med HCC</w:t>
            </w:r>
          </w:p>
        </w:tc>
      </w:tr>
      <w:tr w:rsidR="00200B99" w:rsidRPr="002072E6" w14:paraId="61A21A43" w14:textId="77777777" w:rsidTr="002072E6">
        <w:trPr>
          <w:trHeight w:val="230"/>
        </w:trPr>
        <w:tc>
          <w:tcPr>
            <w:tcW w:w="1387" w:type="pct"/>
            <w:vMerge w:val="restart"/>
            <w:tcBorders>
              <w:top w:val="single" w:sz="4" w:space="0" w:color="000000"/>
              <w:left w:val="single" w:sz="4" w:space="0" w:color="000000"/>
              <w:bottom w:val="single" w:sz="4" w:space="0" w:color="000000"/>
              <w:right w:val="single" w:sz="4" w:space="0" w:color="000000"/>
            </w:tcBorders>
          </w:tcPr>
          <w:p w14:paraId="2611EC5B" w14:textId="77777777" w:rsidR="00200B99" w:rsidRPr="002072E6" w:rsidRDefault="00200B99" w:rsidP="002072E6">
            <w:pPr>
              <w:pStyle w:val="TableParagraph"/>
              <w:ind w:left="133" w:right="131"/>
              <w:rPr>
                <w:lang w:val="da-DK"/>
              </w:rPr>
            </w:pPr>
          </w:p>
          <w:p w14:paraId="18A535D4" w14:textId="77777777" w:rsidR="00200B99" w:rsidRPr="002072E6" w:rsidRDefault="00200B99" w:rsidP="002072E6">
            <w:pPr>
              <w:pStyle w:val="TableParagraph"/>
              <w:ind w:left="133" w:right="131"/>
              <w:rPr>
                <w:b/>
                <w:lang w:val="da-DK"/>
              </w:rPr>
            </w:pPr>
            <w:r w:rsidRPr="002072E6">
              <w:rPr>
                <w:b/>
                <w:lang w:val="da-DK"/>
              </w:rPr>
              <w:t>Effektparameter</w:t>
            </w:r>
          </w:p>
        </w:tc>
        <w:tc>
          <w:tcPr>
            <w:tcW w:w="887" w:type="pct"/>
            <w:vMerge w:val="restart"/>
            <w:tcBorders>
              <w:top w:val="single" w:sz="4" w:space="0" w:color="000000"/>
              <w:left w:val="single" w:sz="4" w:space="0" w:color="000000"/>
              <w:bottom w:val="single" w:sz="4" w:space="0" w:color="000000"/>
              <w:right w:val="single" w:sz="4" w:space="0" w:color="000000"/>
            </w:tcBorders>
            <w:hideMark/>
          </w:tcPr>
          <w:p w14:paraId="150EC688" w14:textId="77777777" w:rsidR="00200B99" w:rsidRPr="002072E6" w:rsidRDefault="00200B99" w:rsidP="002072E6">
            <w:pPr>
              <w:pStyle w:val="TableParagraph"/>
              <w:ind w:left="133" w:right="131"/>
              <w:rPr>
                <w:b/>
                <w:lang w:val="da-DK"/>
              </w:rPr>
            </w:pPr>
            <w:r w:rsidRPr="002072E6">
              <w:rPr>
                <w:b/>
                <w:i/>
                <w:iCs/>
                <w:lang w:val="da-DK"/>
              </w:rPr>
              <w:t>Hazard ratio</w:t>
            </w:r>
            <w:r w:rsidRPr="002072E6">
              <w:rPr>
                <w:b/>
                <w:vertAlign w:val="superscript"/>
                <w:lang w:val="da-DK"/>
              </w:rPr>
              <w:t>a,</w:t>
            </w:r>
            <w:r w:rsidRPr="002072E6">
              <w:rPr>
                <w:b/>
                <w:lang w:val="da-DK"/>
              </w:rPr>
              <w:t xml:space="preserve"> </w:t>
            </w:r>
            <w:r w:rsidRPr="002072E6">
              <w:rPr>
                <w:b/>
                <w:vertAlign w:val="superscript"/>
                <w:lang w:val="da-DK"/>
              </w:rPr>
              <w:t>b</w:t>
            </w:r>
          </w:p>
          <w:p w14:paraId="72E311F1" w14:textId="77777777" w:rsidR="00200B99" w:rsidRPr="002072E6" w:rsidRDefault="00200B99" w:rsidP="002072E6">
            <w:pPr>
              <w:pStyle w:val="TableParagraph"/>
              <w:ind w:left="133" w:right="131"/>
              <w:rPr>
                <w:b/>
                <w:lang w:val="da-DK"/>
              </w:rPr>
            </w:pPr>
            <w:r w:rsidRPr="002072E6">
              <w:rPr>
                <w:b/>
                <w:lang w:val="da-DK"/>
              </w:rPr>
              <w:t>(95 % CI)</w:t>
            </w:r>
          </w:p>
        </w:tc>
        <w:tc>
          <w:tcPr>
            <w:tcW w:w="694" w:type="pct"/>
            <w:vMerge w:val="restart"/>
            <w:tcBorders>
              <w:top w:val="single" w:sz="4" w:space="0" w:color="000000"/>
              <w:left w:val="single" w:sz="4" w:space="0" w:color="000000"/>
              <w:bottom w:val="single" w:sz="4" w:space="0" w:color="000000"/>
              <w:right w:val="single" w:sz="4" w:space="0" w:color="000000"/>
            </w:tcBorders>
          </w:tcPr>
          <w:p w14:paraId="0C342FC8" w14:textId="77777777" w:rsidR="00200B99" w:rsidRPr="002072E6" w:rsidRDefault="00200B99" w:rsidP="002072E6">
            <w:pPr>
              <w:pStyle w:val="TableParagraph"/>
              <w:ind w:left="133" w:right="131"/>
              <w:rPr>
                <w:lang w:val="da-DK"/>
              </w:rPr>
            </w:pPr>
          </w:p>
          <w:p w14:paraId="4919CE6B" w14:textId="77777777" w:rsidR="00200B99" w:rsidRPr="002072E6" w:rsidRDefault="00200B99" w:rsidP="002072E6">
            <w:pPr>
              <w:pStyle w:val="TableParagraph"/>
              <w:ind w:left="133" w:right="131"/>
              <w:rPr>
                <w:b/>
                <w:lang w:val="da-DK"/>
              </w:rPr>
            </w:pPr>
            <w:r w:rsidRPr="002072E6">
              <w:rPr>
                <w:b/>
                <w:lang w:val="da-DK"/>
              </w:rPr>
              <w:t>P-værdi</w:t>
            </w:r>
            <w:r w:rsidRPr="002072E6">
              <w:rPr>
                <w:b/>
                <w:vertAlign w:val="superscript"/>
                <w:lang w:val="da-DK"/>
              </w:rPr>
              <w:t>d</w:t>
            </w:r>
          </w:p>
        </w:tc>
        <w:tc>
          <w:tcPr>
            <w:tcW w:w="2032" w:type="pct"/>
            <w:gridSpan w:val="2"/>
            <w:tcBorders>
              <w:top w:val="single" w:sz="4" w:space="0" w:color="000000"/>
              <w:left w:val="single" w:sz="4" w:space="0" w:color="000000"/>
              <w:bottom w:val="single" w:sz="4" w:space="0" w:color="000000"/>
              <w:right w:val="single" w:sz="4" w:space="0" w:color="000000"/>
            </w:tcBorders>
            <w:hideMark/>
          </w:tcPr>
          <w:p w14:paraId="7E10B2A3" w14:textId="77777777" w:rsidR="00200B99" w:rsidRPr="002072E6" w:rsidRDefault="00200B99" w:rsidP="002072E6">
            <w:pPr>
              <w:pStyle w:val="TableParagraph"/>
              <w:ind w:left="133" w:right="131"/>
              <w:rPr>
                <w:b/>
                <w:lang w:val="da-DK"/>
              </w:rPr>
            </w:pPr>
            <w:r w:rsidRPr="002072E6">
              <w:rPr>
                <w:b/>
                <w:lang w:val="da-DK"/>
              </w:rPr>
              <w:t xml:space="preserve">Median (95 % CI) </w:t>
            </w:r>
            <w:r w:rsidRPr="002072E6">
              <w:rPr>
                <w:b/>
                <w:vertAlign w:val="superscript"/>
                <w:lang w:val="da-DK"/>
              </w:rPr>
              <w:t>e</w:t>
            </w:r>
          </w:p>
        </w:tc>
      </w:tr>
      <w:tr w:rsidR="00200B99" w:rsidRPr="002072E6" w14:paraId="63C00A78" w14:textId="77777777" w:rsidTr="002072E6">
        <w:trPr>
          <w:trHeight w:val="460"/>
        </w:trPr>
        <w:tc>
          <w:tcPr>
            <w:tcW w:w="1387" w:type="pct"/>
            <w:vMerge/>
            <w:tcBorders>
              <w:top w:val="single" w:sz="4" w:space="0" w:color="000000"/>
              <w:left w:val="single" w:sz="4" w:space="0" w:color="000000"/>
              <w:bottom w:val="single" w:sz="4" w:space="0" w:color="000000"/>
              <w:right w:val="single" w:sz="4" w:space="0" w:color="000000"/>
            </w:tcBorders>
            <w:vAlign w:val="center"/>
            <w:hideMark/>
          </w:tcPr>
          <w:p w14:paraId="22D670B5" w14:textId="77777777" w:rsidR="00200B99" w:rsidRPr="002072E6" w:rsidRDefault="00200B99" w:rsidP="002072E6">
            <w:pPr>
              <w:ind w:left="133" w:right="131"/>
              <w:rPr>
                <w:b/>
                <w:sz w:val="22"/>
                <w:szCs w:val="22"/>
              </w:rPr>
            </w:pPr>
          </w:p>
        </w:tc>
        <w:tc>
          <w:tcPr>
            <w:tcW w:w="887" w:type="pct"/>
            <w:vMerge/>
            <w:tcBorders>
              <w:top w:val="single" w:sz="4" w:space="0" w:color="000000"/>
              <w:left w:val="single" w:sz="4" w:space="0" w:color="000000"/>
              <w:bottom w:val="single" w:sz="4" w:space="0" w:color="000000"/>
              <w:right w:val="single" w:sz="4" w:space="0" w:color="000000"/>
            </w:tcBorders>
            <w:vAlign w:val="center"/>
            <w:hideMark/>
          </w:tcPr>
          <w:p w14:paraId="17AE869B" w14:textId="77777777" w:rsidR="00200B99" w:rsidRPr="002072E6" w:rsidRDefault="00200B99" w:rsidP="002072E6">
            <w:pPr>
              <w:ind w:left="133" w:right="131"/>
              <w:rPr>
                <w:b/>
                <w:sz w:val="22"/>
                <w:szCs w:val="22"/>
              </w:rPr>
            </w:pPr>
          </w:p>
        </w:tc>
        <w:tc>
          <w:tcPr>
            <w:tcW w:w="694" w:type="pct"/>
            <w:vMerge/>
            <w:tcBorders>
              <w:top w:val="single" w:sz="4" w:space="0" w:color="000000"/>
              <w:left w:val="single" w:sz="4" w:space="0" w:color="000000"/>
              <w:bottom w:val="single" w:sz="4" w:space="0" w:color="000000"/>
              <w:right w:val="single" w:sz="4" w:space="0" w:color="000000"/>
            </w:tcBorders>
            <w:vAlign w:val="center"/>
            <w:hideMark/>
          </w:tcPr>
          <w:p w14:paraId="1D6E9A4A" w14:textId="77777777" w:rsidR="00200B99" w:rsidRPr="002072E6" w:rsidRDefault="00200B99" w:rsidP="002072E6">
            <w:pPr>
              <w:ind w:left="133" w:right="131"/>
              <w:rPr>
                <w:b/>
                <w:sz w:val="22"/>
                <w:szCs w:val="22"/>
              </w:rPr>
            </w:pPr>
          </w:p>
        </w:tc>
        <w:tc>
          <w:tcPr>
            <w:tcW w:w="1065" w:type="pct"/>
            <w:tcBorders>
              <w:top w:val="single" w:sz="4" w:space="0" w:color="000000"/>
              <w:left w:val="single" w:sz="4" w:space="0" w:color="000000"/>
              <w:bottom w:val="single" w:sz="4" w:space="0" w:color="000000"/>
              <w:right w:val="single" w:sz="4" w:space="0" w:color="000000"/>
            </w:tcBorders>
            <w:hideMark/>
          </w:tcPr>
          <w:p w14:paraId="4D419F76" w14:textId="77777777" w:rsidR="002072E6" w:rsidRDefault="00200B99" w:rsidP="002072E6">
            <w:pPr>
              <w:pStyle w:val="TableParagraph"/>
              <w:ind w:left="133" w:right="131"/>
              <w:rPr>
                <w:b/>
                <w:lang w:val="da-DK"/>
              </w:rPr>
            </w:pPr>
            <w:r w:rsidRPr="002072E6">
              <w:rPr>
                <w:b/>
                <w:lang w:val="da-DK"/>
              </w:rPr>
              <w:t xml:space="preserve">Lenvatinib </w:t>
            </w:r>
          </w:p>
          <w:p w14:paraId="3721C247" w14:textId="3CA62762" w:rsidR="00200B99" w:rsidRPr="002072E6" w:rsidRDefault="00200B99" w:rsidP="002072E6">
            <w:pPr>
              <w:pStyle w:val="TableParagraph"/>
              <w:ind w:left="133" w:right="131"/>
              <w:rPr>
                <w:b/>
                <w:lang w:val="da-DK"/>
              </w:rPr>
            </w:pPr>
            <w:r w:rsidRPr="002072E6">
              <w:rPr>
                <w:b/>
                <w:lang w:val="da-DK"/>
              </w:rPr>
              <w:t>(N = 478)</w:t>
            </w:r>
          </w:p>
        </w:tc>
        <w:tc>
          <w:tcPr>
            <w:tcW w:w="967" w:type="pct"/>
            <w:tcBorders>
              <w:top w:val="single" w:sz="4" w:space="0" w:color="000000"/>
              <w:left w:val="single" w:sz="4" w:space="0" w:color="000000"/>
              <w:bottom w:val="single" w:sz="4" w:space="0" w:color="000000"/>
              <w:right w:val="single" w:sz="4" w:space="0" w:color="000000"/>
            </w:tcBorders>
            <w:hideMark/>
          </w:tcPr>
          <w:p w14:paraId="38EDD536" w14:textId="77777777" w:rsidR="002072E6" w:rsidRDefault="00200B99" w:rsidP="002072E6">
            <w:pPr>
              <w:pStyle w:val="TableParagraph"/>
              <w:ind w:left="133" w:right="131"/>
              <w:rPr>
                <w:b/>
                <w:lang w:val="da-DK"/>
              </w:rPr>
            </w:pPr>
            <w:r w:rsidRPr="002072E6">
              <w:rPr>
                <w:b/>
                <w:lang w:val="da-DK"/>
              </w:rPr>
              <w:t xml:space="preserve">Sorafenib </w:t>
            </w:r>
          </w:p>
          <w:p w14:paraId="2526FCE1" w14:textId="698F48EF" w:rsidR="00200B99" w:rsidRPr="002072E6" w:rsidRDefault="00200B99" w:rsidP="002072E6">
            <w:pPr>
              <w:pStyle w:val="TableParagraph"/>
              <w:ind w:left="133" w:right="131"/>
              <w:rPr>
                <w:b/>
                <w:lang w:val="da-DK"/>
              </w:rPr>
            </w:pPr>
            <w:r w:rsidRPr="002072E6">
              <w:rPr>
                <w:b/>
                <w:lang w:val="da-DK"/>
              </w:rPr>
              <w:t>(N = 476)</w:t>
            </w:r>
          </w:p>
        </w:tc>
      </w:tr>
      <w:tr w:rsidR="00200B99" w:rsidRPr="002072E6" w14:paraId="35D6C450" w14:textId="77777777" w:rsidTr="002072E6">
        <w:trPr>
          <w:trHeight w:val="230"/>
        </w:trPr>
        <w:tc>
          <w:tcPr>
            <w:tcW w:w="1387" w:type="pct"/>
            <w:tcBorders>
              <w:top w:val="single" w:sz="4" w:space="0" w:color="000000"/>
              <w:left w:val="single" w:sz="4" w:space="0" w:color="000000"/>
              <w:bottom w:val="single" w:sz="4" w:space="0" w:color="000000"/>
              <w:right w:val="single" w:sz="4" w:space="0" w:color="000000"/>
            </w:tcBorders>
            <w:hideMark/>
          </w:tcPr>
          <w:p w14:paraId="595E896A" w14:textId="77777777" w:rsidR="00200B99" w:rsidRPr="002072E6" w:rsidRDefault="00200B99" w:rsidP="002072E6">
            <w:pPr>
              <w:pStyle w:val="TableParagraph"/>
              <w:ind w:left="133" w:right="131"/>
              <w:rPr>
                <w:b/>
                <w:lang w:val="da-DK"/>
              </w:rPr>
            </w:pPr>
            <w:r w:rsidRPr="002072E6">
              <w:rPr>
                <w:b/>
                <w:lang w:val="da-DK"/>
              </w:rPr>
              <w:t>OS</w:t>
            </w:r>
          </w:p>
        </w:tc>
        <w:tc>
          <w:tcPr>
            <w:tcW w:w="887" w:type="pct"/>
            <w:tcBorders>
              <w:top w:val="single" w:sz="4" w:space="0" w:color="000000"/>
              <w:left w:val="single" w:sz="4" w:space="0" w:color="000000"/>
              <w:bottom w:val="single" w:sz="4" w:space="0" w:color="000000"/>
              <w:right w:val="single" w:sz="4" w:space="0" w:color="000000"/>
            </w:tcBorders>
            <w:hideMark/>
          </w:tcPr>
          <w:p w14:paraId="1ACA8FF6" w14:textId="77777777" w:rsidR="00200B99" w:rsidRPr="002072E6" w:rsidRDefault="00200B99" w:rsidP="002072E6">
            <w:pPr>
              <w:pStyle w:val="TableParagraph"/>
              <w:ind w:left="133" w:right="131"/>
              <w:rPr>
                <w:lang w:val="da-DK"/>
              </w:rPr>
            </w:pPr>
            <w:r w:rsidRPr="002072E6">
              <w:rPr>
                <w:lang w:val="da-DK"/>
              </w:rPr>
              <w:t>0,92 (0,79; 1,06)</w:t>
            </w:r>
          </w:p>
        </w:tc>
        <w:tc>
          <w:tcPr>
            <w:tcW w:w="694" w:type="pct"/>
            <w:tcBorders>
              <w:top w:val="single" w:sz="4" w:space="0" w:color="000000"/>
              <w:left w:val="single" w:sz="4" w:space="0" w:color="000000"/>
              <w:bottom w:val="single" w:sz="4" w:space="0" w:color="000000"/>
              <w:right w:val="single" w:sz="4" w:space="0" w:color="000000"/>
            </w:tcBorders>
            <w:hideMark/>
          </w:tcPr>
          <w:p w14:paraId="68018BC9" w14:textId="77777777" w:rsidR="00200B99" w:rsidRPr="002072E6" w:rsidRDefault="00200B99" w:rsidP="002072E6">
            <w:pPr>
              <w:pStyle w:val="TableParagraph"/>
              <w:ind w:left="133" w:right="131"/>
              <w:rPr>
                <w:lang w:val="da-DK"/>
              </w:rPr>
            </w:pPr>
            <w:r w:rsidRPr="002072E6">
              <w:rPr>
                <w:lang w:val="da-DK"/>
              </w:rPr>
              <w:t>NA</w:t>
            </w:r>
          </w:p>
        </w:tc>
        <w:tc>
          <w:tcPr>
            <w:tcW w:w="1065" w:type="pct"/>
            <w:tcBorders>
              <w:top w:val="single" w:sz="4" w:space="0" w:color="000000"/>
              <w:left w:val="single" w:sz="4" w:space="0" w:color="000000"/>
              <w:bottom w:val="single" w:sz="4" w:space="0" w:color="000000"/>
              <w:right w:val="single" w:sz="4" w:space="0" w:color="000000"/>
            </w:tcBorders>
            <w:hideMark/>
          </w:tcPr>
          <w:p w14:paraId="1E5C796F" w14:textId="77777777" w:rsidR="00200B99" w:rsidRPr="002072E6" w:rsidRDefault="00200B99" w:rsidP="002072E6">
            <w:pPr>
              <w:pStyle w:val="TableParagraph"/>
              <w:ind w:left="133" w:right="131"/>
              <w:rPr>
                <w:lang w:val="da-DK"/>
              </w:rPr>
            </w:pPr>
            <w:r w:rsidRPr="002072E6">
              <w:rPr>
                <w:lang w:val="da-DK"/>
              </w:rPr>
              <w:t>13,6 (12,1; 14,9)</w:t>
            </w:r>
          </w:p>
        </w:tc>
        <w:tc>
          <w:tcPr>
            <w:tcW w:w="967" w:type="pct"/>
            <w:tcBorders>
              <w:top w:val="single" w:sz="4" w:space="0" w:color="000000"/>
              <w:left w:val="single" w:sz="4" w:space="0" w:color="000000"/>
              <w:bottom w:val="single" w:sz="4" w:space="0" w:color="000000"/>
              <w:right w:val="single" w:sz="4" w:space="0" w:color="000000"/>
            </w:tcBorders>
            <w:hideMark/>
          </w:tcPr>
          <w:p w14:paraId="5CAB61E0" w14:textId="77777777" w:rsidR="00200B99" w:rsidRPr="002072E6" w:rsidRDefault="00200B99" w:rsidP="002072E6">
            <w:pPr>
              <w:pStyle w:val="TableParagraph"/>
              <w:ind w:left="133" w:right="131"/>
              <w:rPr>
                <w:lang w:val="da-DK"/>
              </w:rPr>
            </w:pPr>
            <w:r w:rsidRPr="002072E6">
              <w:rPr>
                <w:lang w:val="da-DK"/>
              </w:rPr>
              <w:t>12,3 (10,4; 13,9)</w:t>
            </w:r>
          </w:p>
        </w:tc>
      </w:tr>
      <w:tr w:rsidR="00200B99" w:rsidRPr="002072E6" w14:paraId="5A6E9F9D" w14:textId="77777777" w:rsidTr="002072E6">
        <w:trPr>
          <w:trHeight w:val="230"/>
        </w:trPr>
        <w:tc>
          <w:tcPr>
            <w:tcW w:w="1387" w:type="pct"/>
            <w:tcBorders>
              <w:top w:val="single" w:sz="4" w:space="0" w:color="000000"/>
              <w:left w:val="single" w:sz="4" w:space="0" w:color="000000"/>
              <w:bottom w:val="single" w:sz="4" w:space="0" w:color="000000"/>
              <w:right w:val="single" w:sz="4" w:space="0" w:color="000000"/>
            </w:tcBorders>
            <w:hideMark/>
          </w:tcPr>
          <w:p w14:paraId="0B360729" w14:textId="77777777" w:rsidR="00200B99" w:rsidRPr="002072E6" w:rsidRDefault="00200B99" w:rsidP="002072E6">
            <w:pPr>
              <w:pStyle w:val="TableParagraph"/>
              <w:ind w:left="133" w:right="131"/>
              <w:rPr>
                <w:lang w:val="da-DK"/>
              </w:rPr>
            </w:pPr>
            <w:r w:rsidRPr="002072E6">
              <w:rPr>
                <w:lang w:val="da-DK"/>
              </w:rPr>
              <w:t>PFS</w:t>
            </w:r>
            <w:r w:rsidRPr="002072E6">
              <w:rPr>
                <w:vertAlign w:val="superscript"/>
              </w:rPr>
              <w:t>g</w:t>
            </w:r>
            <w:r w:rsidRPr="002072E6">
              <w:t xml:space="preserve"> </w:t>
            </w:r>
            <w:r w:rsidRPr="002072E6">
              <w:rPr>
                <w:lang w:val="da-DK"/>
              </w:rPr>
              <w:t>(mRECIST)</w:t>
            </w:r>
          </w:p>
        </w:tc>
        <w:tc>
          <w:tcPr>
            <w:tcW w:w="887" w:type="pct"/>
            <w:tcBorders>
              <w:top w:val="single" w:sz="4" w:space="0" w:color="000000"/>
              <w:left w:val="single" w:sz="4" w:space="0" w:color="000000"/>
              <w:bottom w:val="single" w:sz="4" w:space="0" w:color="000000"/>
              <w:right w:val="single" w:sz="4" w:space="0" w:color="000000"/>
            </w:tcBorders>
            <w:hideMark/>
          </w:tcPr>
          <w:p w14:paraId="32BD580F" w14:textId="77777777" w:rsidR="00200B99" w:rsidRPr="002072E6" w:rsidRDefault="00200B99" w:rsidP="002072E6">
            <w:pPr>
              <w:pStyle w:val="TableParagraph"/>
              <w:ind w:left="133" w:right="131"/>
              <w:rPr>
                <w:lang w:val="da-DK"/>
              </w:rPr>
            </w:pPr>
            <w:r w:rsidRPr="002072E6">
              <w:rPr>
                <w:lang w:val="da-DK"/>
              </w:rPr>
              <w:t>0,64 (0,55; 0,75)</w:t>
            </w:r>
          </w:p>
        </w:tc>
        <w:tc>
          <w:tcPr>
            <w:tcW w:w="694" w:type="pct"/>
            <w:tcBorders>
              <w:top w:val="single" w:sz="4" w:space="0" w:color="000000"/>
              <w:left w:val="single" w:sz="4" w:space="0" w:color="000000"/>
              <w:bottom w:val="single" w:sz="4" w:space="0" w:color="000000"/>
              <w:right w:val="single" w:sz="4" w:space="0" w:color="000000"/>
            </w:tcBorders>
            <w:hideMark/>
          </w:tcPr>
          <w:p w14:paraId="24E7F8B7" w14:textId="77777777" w:rsidR="00200B99" w:rsidRPr="002072E6" w:rsidRDefault="00200B99" w:rsidP="002072E6">
            <w:pPr>
              <w:pStyle w:val="TableParagraph"/>
              <w:ind w:left="133" w:right="131"/>
              <w:rPr>
                <w:lang w:val="da-DK"/>
              </w:rPr>
            </w:pPr>
            <w:r w:rsidRPr="002072E6">
              <w:rPr>
                <w:lang w:val="da-DK"/>
              </w:rPr>
              <w:t>&lt;0,00001</w:t>
            </w:r>
          </w:p>
        </w:tc>
        <w:tc>
          <w:tcPr>
            <w:tcW w:w="1065" w:type="pct"/>
            <w:tcBorders>
              <w:top w:val="single" w:sz="4" w:space="0" w:color="000000"/>
              <w:left w:val="single" w:sz="4" w:space="0" w:color="000000"/>
              <w:bottom w:val="single" w:sz="4" w:space="0" w:color="000000"/>
              <w:right w:val="single" w:sz="4" w:space="0" w:color="000000"/>
            </w:tcBorders>
            <w:hideMark/>
          </w:tcPr>
          <w:p w14:paraId="723D3FF9" w14:textId="77777777" w:rsidR="00200B99" w:rsidRPr="002072E6" w:rsidRDefault="00200B99" w:rsidP="002072E6">
            <w:pPr>
              <w:pStyle w:val="TableParagraph"/>
              <w:ind w:left="133" w:right="131"/>
              <w:rPr>
                <w:lang w:val="da-DK"/>
              </w:rPr>
            </w:pPr>
            <w:r w:rsidRPr="002072E6">
              <w:rPr>
                <w:lang w:val="da-DK"/>
              </w:rPr>
              <w:t>7,3 (5,6; 7,5)</w:t>
            </w:r>
          </w:p>
        </w:tc>
        <w:tc>
          <w:tcPr>
            <w:tcW w:w="967" w:type="pct"/>
            <w:tcBorders>
              <w:top w:val="single" w:sz="4" w:space="0" w:color="000000"/>
              <w:left w:val="single" w:sz="4" w:space="0" w:color="000000"/>
              <w:bottom w:val="single" w:sz="4" w:space="0" w:color="000000"/>
              <w:right w:val="single" w:sz="4" w:space="0" w:color="000000"/>
            </w:tcBorders>
            <w:hideMark/>
          </w:tcPr>
          <w:p w14:paraId="32CC15D7" w14:textId="77777777" w:rsidR="00200B99" w:rsidRPr="002072E6" w:rsidRDefault="00200B99" w:rsidP="002072E6">
            <w:pPr>
              <w:pStyle w:val="TableParagraph"/>
              <w:ind w:left="133" w:right="131"/>
              <w:rPr>
                <w:lang w:val="da-DK"/>
              </w:rPr>
            </w:pPr>
            <w:r w:rsidRPr="002072E6">
              <w:rPr>
                <w:lang w:val="da-DK"/>
              </w:rPr>
              <w:t>3,6 (3,6; 3,7)</w:t>
            </w:r>
          </w:p>
        </w:tc>
      </w:tr>
      <w:tr w:rsidR="00200B99" w:rsidRPr="002072E6" w14:paraId="7CADE92E" w14:textId="77777777" w:rsidTr="002072E6">
        <w:trPr>
          <w:trHeight w:val="230"/>
        </w:trPr>
        <w:tc>
          <w:tcPr>
            <w:tcW w:w="1387" w:type="pct"/>
            <w:tcBorders>
              <w:top w:val="single" w:sz="4" w:space="0" w:color="000000"/>
              <w:left w:val="single" w:sz="4" w:space="0" w:color="000000"/>
              <w:bottom w:val="single" w:sz="4" w:space="0" w:color="000000"/>
              <w:right w:val="single" w:sz="4" w:space="0" w:color="000000"/>
            </w:tcBorders>
          </w:tcPr>
          <w:p w14:paraId="60EE20F3" w14:textId="77777777" w:rsidR="00200B99" w:rsidRPr="002072E6" w:rsidRDefault="00200B99" w:rsidP="002072E6">
            <w:pPr>
              <w:pStyle w:val="TableParagraph"/>
              <w:ind w:left="133" w:right="131"/>
              <w:rPr>
                <w:lang w:val="da-DK"/>
              </w:rPr>
            </w:pPr>
          </w:p>
        </w:tc>
        <w:tc>
          <w:tcPr>
            <w:tcW w:w="887" w:type="pct"/>
            <w:tcBorders>
              <w:top w:val="single" w:sz="4" w:space="0" w:color="000000"/>
              <w:left w:val="single" w:sz="4" w:space="0" w:color="000000"/>
              <w:bottom w:val="single" w:sz="4" w:space="0" w:color="000000"/>
              <w:right w:val="single" w:sz="4" w:space="0" w:color="000000"/>
            </w:tcBorders>
          </w:tcPr>
          <w:p w14:paraId="2A72FF18" w14:textId="77777777" w:rsidR="00200B99" w:rsidRPr="002072E6" w:rsidRDefault="00200B99" w:rsidP="002072E6">
            <w:pPr>
              <w:pStyle w:val="TableParagraph"/>
              <w:ind w:left="133" w:right="131"/>
              <w:rPr>
                <w:lang w:val="da-DK"/>
              </w:rPr>
            </w:pPr>
          </w:p>
        </w:tc>
        <w:tc>
          <w:tcPr>
            <w:tcW w:w="694" w:type="pct"/>
            <w:tcBorders>
              <w:top w:val="single" w:sz="4" w:space="0" w:color="000000"/>
              <w:left w:val="single" w:sz="4" w:space="0" w:color="000000"/>
              <w:bottom w:val="single" w:sz="4" w:space="0" w:color="000000"/>
              <w:right w:val="single" w:sz="4" w:space="0" w:color="000000"/>
            </w:tcBorders>
          </w:tcPr>
          <w:p w14:paraId="18B0F604" w14:textId="77777777" w:rsidR="00200B99" w:rsidRPr="002072E6" w:rsidRDefault="00200B99" w:rsidP="002072E6">
            <w:pPr>
              <w:pStyle w:val="TableParagraph"/>
              <w:ind w:left="133" w:right="131"/>
              <w:rPr>
                <w:lang w:val="da-DK"/>
              </w:rPr>
            </w:pPr>
          </w:p>
        </w:tc>
        <w:tc>
          <w:tcPr>
            <w:tcW w:w="2032" w:type="pct"/>
            <w:gridSpan w:val="2"/>
            <w:tcBorders>
              <w:top w:val="single" w:sz="4" w:space="0" w:color="000000"/>
              <w:left w:val="single" w:sz="4" w:space="0" w:color="000000"/>
              <w:bottom w:val="single" w:sz="4" w:space="0" w:color="000000"/>
              <w:right w:val="single" w:sz="4" w:space="0" w:color="000000"/>
            </w:tcBorders>
            <w:hideMark/>
          </w:tcPr>
          <w:p w14:paraId="57DAB711" w14:textId="77777777" w:rsidR="00200B99" w:rsidRPr="002072E6" w:rsidRDefault="00200B99" w:rsidP="002072E6">
            <w:pPr>
              <w:pStyle w:val="TableParagraph"/>
              <w:ind w:left="133" w:right="131"/>
              <w:rPr>
                <w:lang w:val="da-DK"/>
              </w:rPr>
            </w:pPr>
            <w:r w:rsidRPr="002072E6">
              <w:rPr>
                <w:lang w:val="da-DK"/>
              </w:rPr>
              <w:t>Procenter (95 % CI)</w:t>
            </w:r>
          </w:p>
        </w:tc>
      </w:tr>
      <w:tr w:rsidR="00200B99" w:rsidRPr="002072E6" w14:paraId="252BE9D8" w14:textId="77777777" w:rsidTr="002072E6">
        <w:trPr>
          <w:trHeight w:val="230"/>
        </w:trPr>
        <w:tc>
          <w:tcPr>
            <w:tcW w:w="1387" w:type="pct"/>
            <w:tcBorders>
              <w:top w:val="single" w:sz="4" w:space="0" w:color="000000"/>
              <w:left w:val="single" w:sz="4" w:space="0" w:color="000000"/>
              <w:bottom w:val="single" w:sz="4" w:space="0" w:color="000000"/>
              <w:right w:val="single" w:sz="4" w:space="0" w:color="000000"/>
            </w:tcBorders>
            <w:hideMark/>
          </w:tcPr>
          <w:p w14:paraId="36D77A08" w14:textId="77777777" w:rsidR="00200B99" w:rsidRPr="002072E6" w:rsidRDefault="00200B99" w:rsidP="002072E6">
            <w:pPr>
              <w:pStyle w:val="TableParagraph"/>
              <w:ind w:left="133" w:right="131"/>
              <w:rPr>
                <w:lang w:val="da-DK"/>
              </w:rPr>
            </w:pPr>
            <w:r w:rsidRPr="002072E6">
              <w:rPr>
                <w:lang w:val="da-DK"/>
              </w:rPr>
              <w:t>ORR</w:t>
            </w:r>
            <w:r w:rsidRPr="002072E6">
              <w:rPr>
                <w:vertAlign w:val="superscript"/>
              </w:rPr>
              <w:t xml:space="preserve">c, f, g </w:t>
            </w:r>
            <w:r w:rsidRPr="002072E6">
              <w:rPr>
                <w:lang w:val="da-DK"/>
              </w:rPr>
              <w:t>(mRECIST)</w:t>
            </w:r>
          </w:p>
        </w:tc>
        <w:tc>
          <w:tcPr>
            <w:tcW w:w="887" w:type="pct"/>
            <w:tcBorders>
              <w:top w:val="single" w:sz="4" w:space="0" w:color="000000"/>
              <w:left w:val="single" w:sz="4" w:space="0" w:color="000000"/>
              <w:bottom w:val="single" w:sz="4" w:space="0" w:color="000000"/>
              <w:right w:val="single" w:sz="4" w:space="0" w:color="000000"/>
            </w:tcBorders>
            <w:hideMark/>
          </w:tcPr>
          <w:p w14:paraId="0371432D" w14:textId="77777777" w:rsidR="00200B99" w:rsidRPr="002072E6" w:rsidRDefault="00200B99" w:rsidP="002072E6">
            <w:pPr>
              <w:pStyle w:val="TableParagraph"/>
              <w:ind w:left="133" w:right="131"/>
              <w:rPr>
                <w:lang w:val="da-DK"/>
              </w:rPr>
            </w:pPr>
            <w:r w:rsidRPr="002072E6">
              <w:rPr>
                <w:lang w:val="da-DK"/>
              </w:rPr>
              <w:t>NA</w:t>
            </w:r>
          </w:p>
        </w:tc>
        <w:tc>
          <w:tcPr>
            <w:tcW w:w="694" w:type="pct"/>
            <w:tcBorders>
              <w:top w:val="single" w:sz="4" w:space="0" w:color="000000"/>
              <w:left w:val="single" w:sz="4" w:space="0" w:color="000000"/>
              <w:bottom w:val="single" w:sz="4" w:space="0" w:color="000000"/>
              <w:right w:val="single" w:sz="4" w:space="0" w:color="000000"/>
            </w:tcBorders>
            <w:hideMark/>
          </w:tcPr>
          <w:p w14:paraId="2B2AC6A7" w14:textId="77777777" w:rsidR="00200B99" w:rsidRPr="002072E6" w:rsidRDefault="00200B99" w:rsidP="002072E6">
            <w:pPr>
              <w:pStyle w:val="TableParagraph"/>
              <w:ind w:left="133" w:right="131"/>
              <w:rPr>
                <w:lang w:val="da-DK"/>
              </w:rPr>
            </w:pPr>
            <w:r w:rsidRPr="002072E6">
              <w:rPr>
                <w:lang w:val="da-DK"/>
              </w:rPr>
              <w:t>&lt;0,00001</w:t>
            </w:r>
          </w:p>
        </w:tc>
        <w:tc>
          <w:tcPr>
            <w:tcW w:w="1065" w:type="pct"/>
            <w:tcBorders>
              <w:top w:val="single" w:sz="4" w:space="0" w:color="000000"/>
              <w:left w:val="single" w:sz="4" w:space="0" w:color="000000"/>
              <w:bottom w:val="single" w:sz="4" w:space="0" w:color="000000"/>
              <w:right w:val="single" w:sz="4" w:space="0" w:color="000000"/>
            </w:tcBorders>
            <w:hideMark/>
          </w:tcPr>
          <w:p w14:paraId="2313BC14" w14:textId="77777777" w:rsidR="00200B99" w:rsidRPr="002072E6" w:rsidRDefault="00200B99" w:rsidP="002072E6">
            <w:pPr>
              <w:pStyle w:val="TableParagraph"/>
              <w:ind w:left="133" w:right="131"/>
              <w:rPr>
                <w:lang w:val="da-DK"/>
              </w:rPr>
            </w:pPr>
            <w:r w:rsidRPr="002072E6">
              <w:rPr>
                <w:lang w:val="da-DK"/>
              </w:rPr>
              <w:t>41 % (36 %; 45 %)</w:t>
            </w:r>
          </w:p>
        </w:tc>
        <w:tc>
          <w:tcPr>
            <w:tcW w:w="967" w:type="pct"/>
            <w:tcBorders>
              <w:top w:val="single" w:sz="4" w:space="0" w:color="000000"/>
              <w:left w:val="single" w:sz="4" w:space="0" w:color="000000"/>
              <w:bottom w:val="single" w:sz="4" w:space="0" w:color="000000"/>
              <w:right w:val="single" w:sz="4" w:space="0" w:color="000000"/>
            </w:tcBorders>
            <w:hideMark/>
          </w:tcPr>
          <w:p w14:paraId="472302B6" w14:textId="77777777" w:rsidR="00200B99" w:rsidRPr="002072E6" w:rsidRDefault="00200B99" w:rsidP="002072E6">
            <w:pPr>
              <w:pStyle w:val="TableParagraph"/>
              <w:ind w:left="133" w:right="131"/>
              <w:rPr>
                <w:lang w:val="da-DK"/>
              </w:rPr>
            </w:pPr>
            <w:r w:rsidRPr="002072E6">
              <w:rPr>
                <w:lang w:val="da-DK"/>
              </w:rPr>
              <w:t>12 % (9 %; 15 %)</w:t>
            </w:r>
          </w:p>
        </w:tc>
      </w:tr>
      <w:tr w:rsidR="00200B99" w:rsidRPr="002072E6" w14:paraId="723D8E17" w14:textId="77777777" w:rsidTr="002072E6">
        <w:trPr>
          <w:trHeight w:val="2543"/>
        </w:trPr>
        <w:tc>
          <w:tcPr>
            <w:tcW w:w="5000" w:type="pct"/>
            <w:gridSpan w:val="5"/>
            <w:tcBorders>
              <w:top w:val="single" w:sz="4" w:space="0" w:color="000000"/>
              <w:left w:val="single" w:sz="4" w:space="0" w:color="000000"/>
              <w:bottom w:val="single" w:sz="4" w:space="0" w:color="000000"/>
              <w:right w:val="single" w:sz="4" w:space="0" w:color="000000"/>
            </w:tcBorders>
            <w:hideMark/>
          </w:tcPr>
          <w:p w14:paraId="20B6C243" w14:textId="77777777" w:rsidR="00200B99" w:rsidRPr="002072E6" w:rsidRDefault="00200B99" w:rsidP="002072E6">
            <w:pPr>
              <w:pStyle w:val="TableParagraph"/>
              <w:ind w:left="133" w:right="131"/>
              <w:rPr>
                <w:lang w:val="da-DK"/>
              </w:rPr>
            </w:pPr>
            <w:r w:rsidRPr="002072E6">
              <w:rPr>
                <w:lang w:val="da-DK"/>
              </w:rPr>
              <w:t>Skæringsdato for data: 13. november 2016.</w:t>
            </w:r>
          </w:p>
          <w:p w14:paraId="1E47400F" w14:textId="414686A2" w:rsidR="00200B99" w:rsidRPr="002072E6" w:rsidRDefault="00200B99" w:rsidP="002072E6">
            <w:pPr>
              <w:pStyle w:val="TableParagraph"/>
              <w:tabs>
                <w:tab w:val="left" w:pos="416"/>
              </w:tabs>
              <w:ind w:left="133" w:right="131"/>
              <w:rPr>
                <w:lang w:val="da-DK"/>
              </w:rPr>
            </w:pPr>
            <w:r w:rsidRPr="002072E6">
              <w:rPr>
                <w:lang w:val="da-DK"/>
              </w:rPr>
              <w:t xml:space="preserve">a: </w:t>
            </w:r>
            <w:r w:rsidR="002072E6">
              <w:rPr>
                <w:lang w:val="da-DK"/>
              </w:rPr>
              <w:tab/>
            </w:r>
            <w:r w:rsidRPr="002072E6">
              <w:rPr>
                <w:i/>
                <w:iCs/>
                <w:lang w:val="da-DK"/>
              </w:rPr>
              <w:t>Hazard ratio</w:t>
            </w:r>
            <w:r w:rsidRPr="002072E6">
              <w:rPr>
                <w:lang w:val="da-DK"/>
              </w:rPr>
              <w:t xml:space="preserve"> (HR) er for lenvatinib </w:t>
            </w:r>
            <w:r w:rsidRPr="002072E6">
              <w:rPr>
                <w:i/>
                <w:iCs/>
                <w:lang w:val="da-DK"/>
              </w:rPr>
              <w:t>versus</w:t>
            </w:r>
            <w:r w:rsidRPr="002072E6">
              <w:rPr>
                <w:lang w:val="da-DK"/>
              </w:rPr>
              <w:t xml:space="preserve"> Sorafenib, baseret på en Cox-model, der inkluderer </w:t>
            </w:r>
            <w:r w:rsidR="002072E6">
              <w:rPr>
                <w:lang w:val="da-DK"/>
              </w:rPr>
              <w:tab/>
            </w:r>
            <w:r w:rsidRPr="002072E6">
              <w:rPr>
                <w:lang w:val="da-DK"/>
              </w:rPr>
              <w:t>behandlingsgruppe som en faktor.</w:t>
            </w:r>
          </w:p>
          <w:p w14:paraId="2E715060" w14:textId="2F5DB735" w:rsidR="00200B99" w:rsidRPr="002072E6" w:rsidRDefault="00200B99" w:rsidP="002072E6">
            <w:pPr>
              <w:pStyle w:val="TableParagraph"/>
              <w:tabs>
                <w:tab w:val="left" w:pos="416"/>
              </w:tabs>
              <w:ind w:left="133" w:right="131"/>
              <w:rPr>
                <w:lang w:val="da-DK"/>
              </w:rPr>
            </w:pPr>
            <w:r w:rsidRPr="002072E6">
              <w:rPr>
                <w:lang w:val="da-DK"/>
              </w:rPr>
              <w:t xml:space="preserve">b: </w:t>
            </w:r>
            <w:r w:rsidR="002072E6">
              <w:rPr>
                <w:lang w:val="da-DK"/>
              </w:rPr>
              <w:tab/>
            </w:r>
            <w:r w:rsidRPr="002072E6">
              <w:rPr>
                <w:lang w:val="da-DK"/>
              </w:rPr>
              <w:t xml:space="preserve">Stratificeret efter region (Region 1: Asien-Stillehavet; Region 2: Vesten), makroskopisk portalvene </w:t>
            </w:r>
            <w:r w:rsidR="002072E6">
              <w:rPr>
                <w:lang w:val="da-DK"/>
              </w:rPr>
              <w:tab/>
            </w:r>
            <w:r w:rsidRPr="002072E6">
              <w:rPr>
                <w:lang w:val="da-DK"/>
              </w:rPr>
              <w:t xml:space="preserve">invasion eller ekstrahepatisk spredning eller begge (ja, nej), ECOG PS (0, 1) og kropsvægt (&lt; 60 kg, ≥ </w:t>
            </w:r>
            <w:r w:rsidR="002072E6">
              <w:rPr>
                <w:lang w:val="da-DK"/>
              </w:rPr>
              <w:tab/>
            </w:r>
            <w:r w:rsidRPr="002072E6">
              <w:rPr>
                <w:lang w:val="da-DK"/>
              </w:rPr>
              <w:t>60 kg).</w:t>
            </w:r>
          </w:p>
          <w:p w14:paraId="4C252CF2" w14:textId="74CC3676" w:rsidR="00200B99" w:rsidRPr="002072E6" w:rsidRDefault="00200B99" w:rsidP="002072E6">
            <w:pPr>
              <w:pStyle w:val="TableParagraph"/>
              <w:tabs>
                <w:tab w:val="left" w:pos="416"/>
              </w:tabs>
              <w:ind w:left="133" w:right="131"/>
              <w:rPr>
                <w:lang w:val="da-DK"/>
              </w:rPr>
            </w:pPr>
            <w:r w:rsidRPr="002072E6">
              <w:rPr>
                <w:lang w:val="da-DK"/>
              </w:rPr>
              <w:t xml:space="preserve">c: </w:t>
            </w:r>
            <w:r w:rsidR="002072E6">
              <w:rPr>
                <w:lang w:val="da-DK"/>
              </w:rPr>
              <w:tab/>
            </w:r>
            <w:r w:rsidRPr="002072E6">
              <w:rPr>
                <w:lang w:val="da-DK"/>
              </w:rPr>
              <w:t>Result</w:t>
            </w:r>
            <w:r w:rsidR="002072E6">
              <w:rPr>
                <w:lang w:val="da-DK"/>
              </w:rPr>
              <w:t>at</w:t>
            </w:r>
            <w:r w:rsidRPr="002072E6">
              <w:rPr>
                <w:lang w:val="da-DK"/>
              </w:rPr>
              <w:t xml:space="preserve">er er baseret på bekræftede og ikke-bekræftede responser. </w:t>
            </w:r>
          </w:p>
          <w:p w14:paraId="493A10FC" w14:textId="595249EC" w:rsidR="00200B99" w:rsidRPr="002072E6" w:rsidRDefault="00200B99" w:rsidP="002072E6">
            <w:pPr>
              <w:pStyle w:val="TableParagraph"/>
              <w:tabs>
                <w:tab w:val="left" w:pos="416"/>
              </w:tabs>
              <w:ind w:left="133" w:right="131"/>
              <w:rPr>
                <w:lang w:val="da-DK"/>
              </w:rPr>
            </w:pPr>
            <w:r w:rsidRPr="002072E6">
              <w:rPr>
                <w:lang w:val="da-DK"/>
              </w:rPr>
              <w:t xml:space="preserve">d: </w:t>
            </w:r>
            <w:r w:rsidR="002072E6">
              <w:rPr>
                <w:lang w:val="da-DK"/>
              </w:rPr>
              <w:tab/>
            </w:r>
            <w:r w:rsidRPr="002072E6">
              <w:rPr>
                <w:lang w:val="da-DK"/>
              </w:rPr>
              <w:t xml:space="preserve">P-værdi er for test for superioritet af lenvatinib </w:t>
            </w:r>
            <w:r w:rsidRPr="002072E6">
              <w:rPr>
                <w:i/>
                <w:iCs/>
                <w:lang w:val="da-DK"/>
              </w:rPr>
              <w:t>versus</w:t>
            </w:r>
            <w:r w:rsidRPr="002072E6">
              <w:rPr>
                <w:lang w:val="da-DK"/>
              </w:rPr>
              <w:t xml:space="preserve"> sorafenib.</w:t>
            </w:r>
          </w:p>
          <w:p w14:paraId="53AA81EA" w14:textId="7D3CDA77" w:rsidR="00200B99" w:rsidRPr="002072E6" w:rsidRDefault="00200B99" w:rsidP="002072E6">
            <w:pPr>
              <w:pStyle w:val="TableParagraph"/>
              <w:tabs>
                <w:tab w:val="left" w:pos="416"/>
              </w:tabs>
              <w:ind w:left="133" w:right="131"/>
              <w:rPr>
                <w:lang w:val="da-DK"/>
              </w:rPr>
            </w:pPr>
            <w:r w:rsidRPr="002072E6">
              <w:rPr>
                <w:lang w:val="da-DK"/>
              </w:rPr>
              <w:t xml:space="preserve">e: </w:t>
            </w:r>
            <w:r w:rsidR="002072E6">
              <w:rPr>
                <w:lang w:val="da-DK"/>
              </w:rPr>
              <w:tab/>
            </w:r>
            <w:r w:rsidRPr="002072E6">
              <w:rPr>
                <w:lang w:val="da-DK"/>
              </w:rPr>
              <w:t xml:space="preserve">Kvartiler er estimeret med Kaplan-Meier-metoden, og 95 % CI er estimeret med en generaliseret </w:t>
            </w:r>
            <w:r w:rsidR="002072E6">
              <w:rPr>
                <w:lang w:val="da-DK"/>
              </w:rPr>
              <w:tab/>
            </w:r>
            <w:r w:rsidRPr="002072E6">
              <w:rPr>
                <w:lang w:val="da-DK"/>
              </w:rPr>
              <w:t>Brookmeyer og Crowley-metode.</w:t>
            </w:r>
          </w:p>
          <w:p w14:paraId="4F46DD33" w14:textId="22960E54" w:rsidR="00200B99" w:rsidRPr="002072E6" w:rsidRDefault="00200B99" w:rsidP="002072E6">
            <w:pPr>
              <w:pStyle w:val="TableParagraph"/>
              <w:tabs>
                <w:tab w:val="left" w:pos="416"/>
              </w:tabs>
              <w:ind w:left="133" w:right="131"/>
              <w:rPr>
                <w:lang w:val="da-DK"/>
              </w:rPr>
            </w:pPr>
            <w:r w:rsidRPr="002072E6">
              <w:rPr>
                <w:lang w:val="da-DK"/>
              </w:rPr>
              <w:t xml:space="preserve">f: </w:t>
            </w:r>
            <w:r w:rsidR="002072E6">
              <w:rPr>
                <w:lang w:val="da-DK"/>
              </w:rPr>
              <w:tab/>
            </w:r>
            <w:r w:rsidRPr="002072E6">
              <w:rPr>
                <w:lang w:val="da-DK"/>
              </w:rPr>
              <w:t>Responsrate (fuldstændigt eller delvist respons).</w:t>
            </w:r>
          </w:p>
          <w:p w14:paraId="6CA0DCA5" w14:textId="6880E15E" w:rsidR="00200B99" w:rsidRPr="002072E6" w:rsidRDefault="00200B99" w:rsidP="002072E6">
            <w:pPr>
              <w:pStyle w:val="TableParagraph"/>
              <w:tabs>
                <w:tab w:val="left" w:pos="416"/>
              </w:tabs>
              <w:ind w:left="133" w:right="131"/>
              <w:rPr>
                <w:lang w:val="da-DK"/>
              </w:rPr>
            </w:pPr>
            <w:r w:rsidRPr="002072E6">
              <w:rPr>
                <w:lang w:val="da-DK"/>
              </w:rPr>
              <w:t xml:space="preserve">g: </w:t>
            </w:r>
            <w:r w:rsidR="002072E6">
              <w:rPr>
                <w:lang w:val="da-DK"/>
              </w:rPr>
              <w:tab/>
            </w:r>
            <w:r w:rsidRPr="002072E6">
              <w:rPr>
                <w:lang w:val="da-DK"/>
              </w:rPr>
              <w:t xml:space="preserve">Uafhængig radiologisk gennemgang ved retrospektiv analyse. Median varighed af objektivt respons </w:t>
            </w:r>
            <w:r w:rsidR="002072E6">
              <w:rPr>
                <w:lang w:val="da-DK"/>
              </w:rPr>
              <w:tab/>
            </w:r>
            <w:r w:rsidRPr="002072E6">
              <w:rPr>
                <w:lang w:val="da-DK"/>
              </w:rPr>
              <w:t>var 7,3 (95 % CI 5,6; 7,4) måneder i lenvatinib-armen og 6,2 (95 % CI 3,7; 11,2) måneder i sorafenib-</w:t>
            </w:r>
            <w:r w:rsidR="002072E6">
              <w:rPr>
                <w:lang w:val="da-DK"/>
              </w:rPr>
              <w:tab/>
            </w:r>
            <w:r w:rsidRPr="002072E6">
              <w:rPr>
                <w:lang w:val="da-DK"/>
              </w:rPr>
              <w:t>armen.</w:t>
            </w:r>
          </w:p>
        </w:tc>
      </w:tr>
    </w:tbl>
    <w:p w14:paraId="2D8FC3A7" w14:textId="77777777" w:rsidR="002072E6" w:rsidRDefault="002072E6" w:rsidP="002072E6"/>
    <w:p w14:paraId="743B49D6" w14:textId="78B7E28E" w:rsidR="00200B99" w:rsidRPr="002072E6" w:rsidRDefault="00200B99" w:rsidP="00774F0A">
      <w:pPr>
        <w:keepNext/>
        <w:rPr>
          <w:b/>
          <w:sz w:val="24"/>
          <w:szCs w:val="24"/>
        </w:rPr>
      </w:pPr>
      <w:r w:rsidRPr="002072E6">
        <w:rPr>
          <w:b/>
          <w:sz w:val="24"/>
          <w:szCs w:val="24"/>
        </w:rPr>
        <w:t>Figur</w:t>
      </w:r>
      <w:r w:rsidRPr="002072E6">
        <w:rPr>
          <w:b/>
          <w:spacing w:val="1"/>
          <w:sz w:val="24"/>
          <w:szCs w:val="24"/>
        </w:rPr>
        <w:t xml:space="preserve"> </w:t>
      </w:r>
      <w:r w:rsidRPr="002072E6">
        <w:rPr>
          <w:b/>
          <w:sz w:val="24"/>
          <w:szCs w:val="24"/>
        </w:rPr>
        <w:t>2</w:t>
      </w:r>
      <w:r w:rsidR="00774F0A">
        <w:rPr>
          <w:b/>
          <w:sz w:val="24"/>
          <w:szCs w:val="24"/>
        </w:rPr>
        <w:t>.</w:t>
      </w:r>
      <w:r w:rsidRPr="002072E6">
        <w:rPr>
          <w:b/>
          <w:sz w:val="24"/>
          <w:szCs w:val="24"/>
        </w:rPr>
        <w:t xml:space="preserve"> Kaplan-Meier-kurve med samlet overlevelse -</w:t>
      </w:r>
      <w:r w:rsidRPr="002072E6">
        <w:rPr>
          <w:b/>
          <w:spacing w:val="-7"/>
          <w:sz w:val="24"/>
          <w:szCs w:val="24"/>
        </w:rPr>
        <w:t xml:space="preserve"> </w:t>
      </w:r>
      <w:r w:rsidRPr="002072E6">
        <w:rPr>
          <w:b/>
          <w:sz w:val="24"/>
          <w:szCs w:val="24"/>
        </w:rPr>
        <w:t>HCC</w:t>
      </w:r>
    </w:p>
    <w:p w14:paraId="218C84E4" w14:textId="39663C97" w:rsidR="00200B99" w:rsidRPr="002072E6" w:rsidRDefault="00200B99" w:rsidP="00774F0A">
      <w:pPr>
        <w:pStyle w:val="Brdtekst"/>
        <w:keepNext/>
        <w:widowControl/>
        <w:rPr>
          <w:sz w:val="24"/>
          <w:szCs w:val="24"/>
          <w:lang w:val="da-DK"/>
        </w:rPr>
      </w:pPr>
    </w:p>
    <w:p w14:paraId="222F4C17" w14:textId="3EC5E330" w:rsidR="002072E6" w:rsidRPr="00BC3643" w:rsidRDefault="002072E6" w:rsidP="00774F0A">
      <w:pPr>
        <w:pStyle w:val="Brdtekst"/>
        <w:keepNext/>
        <w:widowControl/>
        <w:rPr>
          <w:sz w:val="24"/>
          <w:szCs w:val="24"/>
          <w:lang w:val="da-DK"/>
        </w:rPr>
      </w:pPr>
      <w:r>
        <w:rPr>
          <w:noProof/>
        </w:rPr>
        <w:drawing>
          <wp:inline distT="0" distB="0" distL="0" distR="0" wp14:anchorId="48A98B31" wp14:editId="4F465893">
            <wp:extent cx="6120130" cy="3311525"/>
            <wp:effectExtent l="0" t="0" r="0" b="3175"/>
            <wp:docPr id="62" name="Billed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3311525"/>
                    </a:xfrm>
                    <a:prstGeom prst="rect">
                      <a:avLst/>
                    </a:prstGeom>
                  </pic:spPr>
                </pic:pic>
              </a:graphicData>
            </a:graphic>
          </wp:inline>
        </w:drawing>
      </w:r>
    </w:p>
    <w:p w14:paraId="4977B735" w14:textId="77777777" w:rsidR="00200B99" w:rsidRPr="000C059E" w:rsidRDefault="00200B99" w:rsidP="00774F0A">
      <w:pPr>
        <w:pStyle w:val="Listeafsnit"/>
        <w:keepNext/>
        <w:widowControl/>
        <w:numPr>
          <w:ilvl w:val="0"/>
          <w:numId w:val="12"/>
        </w:numPr>
      </w:pPr>
      <w:r w:rsidRPr="000C059E">
        <w:t>Skæringsdato for data = 13. november</w:t>
      </w:r>
      <w:r w:rsidRPr="00BC3643">
        <w:rPr>
          <w:spacing w:val="-8"/>
        </w:rPr>
        <w:t xml:space="preserve"> </w:t>
      </w:r>
      <w:r w:rsidRPr="000C059E">
        <w:t>2016.</w:t>
      </w:r>
    </w:p>
    <w:p w14:paraId="10BC3D7B" w14:textId="77777777" w:rsidR="00200B99" w:rsidRPr="000C059E" w:rsidRDefault="00200B99" w:rsidP="00774F0A">
      <w:pPr>
        <w:pStyle w:val="Listeafsnit"/>
        <w:keepNext/>
        <w:widowControl/>
        <w:numPr>
          <w:ilvl w:val="0"/>
          <w:numId w:val="12"/>
        </w:numPr>
      </w:pPr>
      <w:r w:rsidRPr="000C059E">
        <w:t xml:space="preserve">Noninferioritets margen for </w:t>
      </w:r>
      <w:r w:rsidRPr="00BC3643">
        <w:rPr>
          <w:i/>
          <w:iCs/>
        </w:rPr>
        <w:t>hazard ratio</w:t>
      </w:r>
      <w:r w:rsidRPr="000C059E">
        <w:t xml:space="preserve"> (HR: lenvatinib </w:t>
      </w:r>
      <w:r w:rsidRPr="00BC3643">
        <w:rPr>
          <w:i/>
          <w:iCs/>
        </w:rPr>
        <w:t>versus</w:t>
      </w:r>
      <w:r w:rsidRPr="000C059E">
        <w:t xml:space="preserve"> sorafenib =</w:t>
      </w:r>
      <w:r w:rsidRPr="00BC3643">
        <w:rPr>
          <w:spacing w:val="-12"/>
        </w:rPr>
        <w:t xml:space="preserve"> </w:t>
      </w:r>
      <w:r w:rsidRPr="00BC3643">
        <w:rPr>
          <w:spacing w:val="-2"/>
        </w:rPr>
        <w:t>1,08).</w:t>
      </w:r>
    </w:p>
    <w:p w14:paraId="208F4744" w14:textId="77777777" w:rsidR="00200B99" w:rsidRPr="00DF7CC9" w:rsidRDefault="00200B99" w:rsidP="00774F0A">
      <w:pPr>
        <w:pStyle w:val="Listeafsnit"/>
        <w:keepNext/>
        <w:widowControl/>
        <w:numPr>
          <w:ilvl w:val="0"/>
          <w:numId w:val="12"/>
        </w:numPr>
        <w:rPr>
          <w:lang w:val="da-DK"/>
        </w:rPr>
      </w:pPr>
      <w:r w:rsidRPr="00DF7CC9">
        <w:rPr>
          <w:lang w:val="da-DK"/>
        </w:rPr>
        <w:t>Median blev bedømt med Kaplan-Meier-metoden, og 95 % konfidensinterval blev udformet med en generaliseret Brookmeyer og</w:t>
      </w:r>
      <w:r w:rsidRPr="00DF7CC9">
        <w:rPr>
          <w:spacing w:val="-2"/>
          <w:lang w:val="da-DK"/>
        </w:rPr>
        <w:t xml:space="preserve"> </w:t>
      </w:r>
      <w:r w:rsidRPr="00DF7CC9">
        <w:rPr>
          <w:lang w:val="da-DK"/>
        </w:rPr>
        <w:t>Crowley-metode.</w:t>
      </w:r>
    </w:p>
    <w:p w14:paraId="33ADBC4B" w14:textId="77777777" w:rsidR="00200B99" w:rsidRPr="000C059E" w:rsidRDefault="00200B99" w:rsidP="00774F0A">
      <w:pPr>
        <w:pStyle w:val="Listeafsnit"/>
        <w:keepNext/>
        <w:widowControl/>
        <w:numPr>
          <w:ilvl w:val="0"/>
          <w:numId w:val="12"/>
        </w:numPr>
      </w:pPr>
      <w:r w:rsidRPr="00DF7CC9">
        <w:rPr>
          <w:lang w:val="da-DK"/>
        </w:rPr>
        <w:t xml:space="preserve">HR blev estimeret fra Cox proportional </w:t>
      </w:r>
      <w:r w:rsidRPr="00DF7CC9">
        <w:rPr>
          <w:i/>
          <w:iCs/>
          <w:lang w:val="da-DK"/>
        </w:rPr>
        <w:t>hazard</w:t>
      </w:r>
      <w:r w:rsidRPr="00DF7CC9">
        <w:rPr>
          <w:lang w:val="da-DK"/>
        </w:rPr>
        <w:t xml:space="preserve">-model med behandling som uafhængig variabel og stratificeret med IxRS stratifikations-faktorer. </w:t>
      </w:r>
      <w:r w:rsidRPr="000C059E">
        <w:t>Efron-metoden blev anvendt til</w:t>
      </w:r>
      <w:r w:rsidRPr="00BC3643">
        <w:rPr>
          <w:spacing w:val="-21"/>
        </w:rPr>
        <w:t xml:space="preserve"> </w:t>
      </w:r>
      <w:r w:rsidRPr="000C059E">
        <w:t>forbindelser.</w:t>
      </w:r>
    </w:p>
    <w:p w14:paraId="2B1D52C1" w14:textId="43019FEB" w:rsidR="00200B99" w:rsidRPr="000C059E" w:rsidRDefault="00200B99" w:rsidP="00774F0A">
      <w:pPr>
        <w:pStyle w:val="Listeafsnit"/>
        <w:keepNext/>
        <w:widowControl/>
        <w:numPr>
          <w:ilvl w:val="0"/>
          <w:numId w:val="12"/>
        </w:numPr>
      </w:pPr>
      <w:r w:rsidRPr="000C059E">
        <w:t>+ = censurerede</w:t>
      </w:r>
      <w:r w:rsidRPr="00BC3643">
        <w:rPr>
          <w:spacing w:val="-4"/>
        </w:rPr>
        <w:t xml:space="preserve"> </w:t>
      </w:r>
      <w:r w:rsidRPr="000C059E">
        <w:t>observationer.</w:t>
      </w:r>
    </w:p>
    <w:p w14:paraId="1EFC70DC" w14:textId="77777777" w:rsidR="00200B99" w:rsidRPr="000C059E" w:rsidRDefault="00200B99" w:rsidP="00200B99">
      <w:pPr>
        <w:pStyle w:val="Brdtekst"/>
        <w:rPr>
          <w:sz w:val="24"/>
          <w:szCs w:val="24"/>
          <w:lang w:val="da-DK"/>
        </w:rPr>
      </w:pPr>
    </w:p>
    <w:p w14:paraId="55826AFB" w14:textId="77777777" w:rsidR="00200B99" w:rsidRPr="000C059E" w:rsidRDefault="00200B99" w:rsidP="00773EAE">
      <w:pPr>
        <w:ind w:left="851"/>
        <w:rPr>
          <w:sz w:val="24"/>
          <w:szCs w:val="24"/>
        </w:rPr>
      </w:pPr>
      <w:r w:rsidRPr="000C059E">
        <w:rPr>
          <w:sz w:val="24"/>
          <w:szCs w:val="24"/>
        </w:rPr>
        <w:t>I subgruppe-analyser med stratificerings-faktorer (tilstedeværelse eller fravær af MPVI eller EHS eller begge, ECOG PS 0 eller 1, kropsvægt &lt; 60 kg eller ≥ 60 kg og region) favoriserede HR konstant lenvatinib frem for sorafenib med undtagelse af den vestlige region [HR på 1,08 (95 % CI 0,82; 1,42], patienter uden EHS [HR på 1,01 (95 % CI 0,78; 1,30)] og patienter uden MPVI, EHS eller begge [HR på 1,05 (0,79; 1,40)]. Resultaterne af subgruppe-analyserne skal fortolkes med forsigtighed.</w:t>
      </w:r>
    </w:p>
    <w:p w14:paraId="074F0ED5" w14:textId="77777777" w:rsidR="00200B99" w:rsidRPr="000C059E" w:rsidRDefault="00200B99" w:rsidP="00773EAE">
      <w:pPr>
        <w:ind w:left="851"/>
        <w:rPr>
          <w:sz w:val="24"/>
          <w:szCs w:val="24"/>
        </w:rPr>
      </w:pPr>
    </w:p>
    <w:p w14:paraId="7EF8A737" w14:textId="77777777" w:rsidR="00200B99" w:rsidRPr="000C059E" w:rsidRDefault="00200B99" w:rsidP="00773EAE">
      <w:pPr>
        <w:ind w:left="851"/>
        <w:rPr>
          <w:sz w:val="24"/>
          <w:szCs w:val="24"/>
        </w:rPr>
      </w:pPr>
      <w:r w:rsidRPr="000C059E">
        <w:rPr>
          <w:sz w:val="24"/>
          <w:szCs w:val="24"/>
        </w:rPr>
        <w:t>Median varighed af behandling var 5,7 måneder (Q1: 2,9; Q3: 11,1) i lenvatinib-armen og 3,7 måneder (Q1: 1,8; Q3: 7,4) i sorafenib-armen.</w:t>
      </w:r>
    </w:p>
    <w:p w14:paraId="2433DEC5" w14:textId="77777777" w:rsidR="00200B99" w:rsidRPr="000C059E" w:rsidRDefault="00200B99" w:rsidP="00773EAE">
      <w:pPr>
        <w:ind w:left="851"/>
        <w:rPr>
          <w:sz w:val="24"/>
          <w:szCs w:val="24"/>
        </w:rPr>
      </w:pPr>
    </w:p>
    <w:p w14:paraId="1A93D6FA" w14:textId="408B5961" w:rsidR="00200B99" w:rsidRPr="000C059E" w:rsidRDefault="00200B99" w:rsidP="00773EAE">
      <w:pPr>
        <w:ind w:left="851"/>
        <w:rPr>
          <w:sz w:val="24"/>
          <w:szCs w:val="24"/>
        </w:rPr>
      </w:pPr>
      <w:r w:rsidRPr="000C059E">
        <w:rPr>
          <w:sz w:val="24"/>
          <w:szCs w:val="24"/>
        </w:rPr>
        <w:t>I begge behandlingsarme i REFLECT-studiet var median OS ca. 9 måneder længere for forsøgspersoner, der fik post-behandling med anticancerterapi i forhold til dem, der ikke fik det. I lenvatinib-armen var median OS 19,5 % (95 % CI: 15,7; 23,0) for forsøgspersoner, der fik post- behandling med anticancerterapi (43 %) og 10,5 måneder (95</w:t>
      </w:r>
      <w:r w:rsidR="00774F0A">
        <w:rPr>
          <w:sz w:val="24"/>
          <w:szCs w:val="24"/>
        </w:rPr>
        <w:t> </w:t>
      </w:r>
      <w:r w:rsidRPr="000C059E">
        <w:rPr>
          <w:sz w:val="24"/>
          <w:szCs w:val="24"/>
        </w:rPr>
        <w:t>% CI: 8,6; 12,2) for dem, der ikke</w:t>
      </w:r>
      <w:r w:rsidR="00774F0A">
        <w:rPr>
          <w:sz w:val="24"/>
          <w:szCs w:val="24"/>
        </w:rPr>
        <w:t xml:space="preserve"> </w:t>
      </w:r>
      <w:r w:rsidRPr="000C059E">
        <w:rPr>
          <w:sz w:val="24"/>
          <w:szCs w:val="24"/>
        </w:rPr>
        <w:t>gjorde det. I sorafenib-armen var median OS 17,0 måneder (95 % CI: 14,2, 18,8) for forsøgspersoner, der fik post-behandling med anticancerterapi (51 %) og 7,9 måneder (95 % CI: 6,6; 9,7) for dem, der ikke gjorde det. Median OS var ca. 2,5 måneder længere i lenvatinib-armen sammenlignet med sorafenib-armen i begge undergrupper af forsøgspersoner (med eller uden post-behandling med anticancerterapi).</w:t>
      </w:r>
    </w:p>
    <w:p w14:paraId="34AAF57C" w14:textId="3CF0C198" w:rsidR="00774F0A" w:rsidRDefault="00774F0A">
      <w:pPr>
        <w:rPr>
          <w:sz w:val="24"/>
          <w:szCs w:val="24"/>
        </w:rPr>
      </w:pPr>
      <w:r>
        <w:rPr>
          <w:sz w:val="24"/>
          <w:szCs w:val="24"/>
        </w:rPr>
        <w:br w:type="page"/>
      </w:r>
    </w:p>
    <w:p w14:paraId="7B3FB883" w14:textId="77777777" w:rsidR="00200B99" w:rsidRPr="000C059E" w:rsidRDefault="00200B99" w:rsidP="00773EAE">
      <w:pPr>
        <w:ind w:left="851"/>
        <w:rPr>
          <w:sz w:val="24"/>
          <w:szCs w:val="24"/>
        </w:rPr>
      </w:pPr>
    </w:p>
    <w:p w14:paraId="1D986686" w14:textId="77777777" w:rsidR="00200B99" w:rsidRPr="000C059E" w:rsidRDefault="00200B99" w:rsidP="00773EAE">
      <w:pPr>
        <w:ind w:left="851"/>
        <w:rPr>
          <w:i/>
          <w:sz w:val="24"/>
          <w:szCs w:val="24"/>
        </w:rPr>
      </w:pPr>
      <w:r w:rsidRPr="000C059E">
        <w:rPr>
          <w:i/>
          <w:sz w:val="24"/>
          <w:szCs w:val="24"/>
          <w:u w:val="single"/>
        </w:rPr>
        <w:t>Endometriekarcinom</w:t>
      </w:r>
    </w:p>
    <w:p w14:paraId="7AA1D94D" w14:textId="77777777" w:rsidR="00200B99" w:rsidRPr="000C059E" w:rsidRDefault="00200B99" w:rsidP="00773EAE">
      <w:pPr>
        <w:ind w:left="851"/>
        <w:rPr>
          <w:i/>
          <w:sz w:val="24"/>
          <w:szCs w:val="24"/>
        </w:rPr>
      </w:pPr>
    </w:p>
    <w:p w14:paraId="416699B0" w14:textId="4A083DD7" w:rsidR="00200B99" w:rsidRPr="000C059E" w:rsidRDefault="00200B99" w:rsidP="00773EAE">
      <w:pPr>
        <w:ind w:left="851"/>
        <w:rPr>
          <w:sz w:val="24"/>
          <w:szCs w:val="24"/>
        </w:rPr>
      </w:pPr>
      <w:r w:rsidRPr="000C059E">
        <w:rPr>
          <w:sz w:val="24"/>
          <w:szCs w:val="24"/>
        </w:rPr>
        <w:t>Virkningen af lenvatinib i kombination med pembrolizumab blev undersøgt i studie 309, et randomiseret, åbent, aktivt kontrolleret multicenterstudie, der blev gennemført med patienter med fremskreden EC, som tidligere var blevet behandlet med mindst ét platinbaseret kemoterapiregime uanset forhold, herunder neoadjuverende og adjuverende forhold. Deltagerne kunne have fået op til 2 behandlinger med platin i alt, så længe den ene blev givet under neoadjuverende eller adjuverende</w:t>
      </w:r>
      <w:r w:rsidR="00BC3643">
        <w:rPr>
          <w:sz w:val="24"/>
          <w:szCs w:val="24"/>
        </w:rPr>
        <w:t xml:space="preserve"> </w:t>
      </w:r>
      <w:r w:rsidRPr="000C059E">
        <w:rPr>
          <w:sz w:val="24"/>
          <w:szCs w:val="24"/>
        </w:rPr>
        <w:t>behandlingsforhold. Studiet ekskluderede patienter med endometriesarkom (herunder karcinosarkom) og patienter, som havde aktiv autoimmun sygdom, eller hvis sygdom krævede</w:t>
      </w:r>
      <w:r w:rsidRPr="000C059E">
        <w:rPr>
          <w:spacing w:val="-22"/>
          <w:sz w:val="24"/>
          <w:szCs w:val="24"/>
        </w:rPr>
        <w:t xml:space="preserve"> </w:t>
      </w:r>
      <w:r w:rsidRPr="000C059E">
        <w:rPr>
          <w:sz w:val="24"/>
          <w:szCs w:val="24"/>
        </w:rPr>
        <w:t>immunsuppression.</w:t>
      </w:r>
    </w:p>
    <w:p w14:paraId="1822D2E6" w14:textId="77777777" w:rsidR="00200B99" w:rsidRPr="000C059E" w:rsidRDefault="00200B99" w:rsidP="00773EAE">
      <w:pPr>
        <w:ind w:left="851"/>
        <w:rPr>
          <w:sz w:val="24"/>
          <w:szCs w:val="24"/>
        </w:rPr>
      </w:pPr>
      <w:r w:rsidRPr="000C059E">
        <w:rPr>
          <w:sz w:val="24"/>
          <w:szCs w:val="24"/>
        </w:rPr>
        <w:t>Randomisering blev stratificeret efter MMR-status (</w:t>
      </w:r>
      <w:r w:rsidRPr="000C059E">
        <w:rPr>
          <w:i/>
          <w:sz w:val="24"/>
          <w:szCs w:val="24"/>
        </w:rPr>
        <w:t xml:space="preserve">mismatch repair) </w:t>
      </w:r>
      <w:r w:rsidRPr="000C059E">
        <w:rPr>
          <w:sz w:val="24"/>
          <w:szCs w:val="24"/>
        </w:rPr>
        <w:t>(dMMR eller pMMR</w:t>
      </w:r>
      <w:r w:rsidRPr="000C059E">
        <w:rPr>
          <w:spacing w:val="-29"/>
          <w:sz w:val="24"/>
          <w:szCs w:val="24"/>
        </w:rPr>
        <w:t xml:space="preserve"> </w:t>
      </w:r>
      <w:r w:rsidRPr="000C059E">
        <w:rPr>
          <w:sz w:val="24"/>
          <w:szCs w:val="24"/>
        </w:rPr>
        <w:t>[ikke dMMR]) vha. en valideret IHC-test. pMMR-stratummet blev yderligere stratificeret efter ECOG-performancestatus, geografisk region samt tidligere bestråling af pelvis. Patienterne blev randomiseret (1:1) til en af følgende behandlingsarme:</w:t>
      </w:r>
    </w:p>
    <w:p w14:paraId="0B0192DB" w14:textId="77777777" w:rsidR="00200B99" w:rsidRPr="00DF7CC9" w:rsidRDefault="00200B99" w:rsidP="00BC3643">
      <w:pPr>
        <w:pStyle w:val="Listeafsnit"/>
        <w:numPr>
          <w:ilvl w:val="0"/>
          <w:numId w:val="13"/>
        </w:numPr>
        <w:ind w:left="1276" w:hanging="425"/>
        <w:rPr>
          <w:sz w:val="24"/>
          <w:szCs w:val="24"/>
          <w:lang w:val="da-DK"/>
        </w:rPr>
      </w:pPr>
      <w:r w:rsidRPr="00DF7CC9">
        <w:rPr>
          <w:sz w:val="24"/>
          <w:szCs w:val="24"/>
          <w:lang w:val="da-DK"/>
        </w:rPr>
        <w:t>lenvatinib 20 mg oralt én gang dagligt i kombination med pembrolizumab 200 mg intravenøst hver 3.</w:t>
      </w:r>
      <w:r w:rsidRPr="00DF7CC9">
        <w:rPr>
          <w:spacing w:val="2"/>
          <w:sz w:val="24"/>
          <w:szCs w:val="24"/>
          <w:lang w:val="da-DK"/>
        </w:rPr>
        <w:t xml:space="preserve"> </w:t>
      </w:r>
      <w:r w:rsidRPr="00DF7CC9">
        <w:rPr>
          <w:sz w:val="24"/>
          <w:szCs w:val="24"/>
          <w:lang w:val="da-DK"/>
        </w:rPr>
        <w:t>uge.</w:t>
      </w:r>
    </w:p>
    <w:p w14:paraId="566B921B" w14:textId="77777777" w:rsidR="00200B99" w:rsidRPr="00DF7CC9" w:rsidRDefault="00200B99" w:rsidP="00BC3643">
      <w:pPr>
        <w:pStyle w:val="Listeafsnit"/>
        <w:numPr>
          <w:ilvl w:val="0"/>
          <w:numId w:val="13"/>
        </w:numPr>
        <w:ind w:left="1276" w:hanging="425"/>
        <w:rPr>
          <w:sz w:val="24"/>
          <w:szCs w:val="24"/>
          <w:lang w:val="da-DK"/>
        </w:rPr>
      </w:pPr>
      <w:r w:rsidRPr="00DF7CC9">
        <w:rPr>
          <w:sz w:val="24"/>
          <w:szCs w:val="24"/>
          <w:lang w:val="da-DK"/>
        </w:rPr>
        <w:t>investigators valg af enten doxorubicin 60 mg/m</w:t>
      </w:r>
      <w:r w:rsidRPr="00DF7CC9">
        <w:rPr>
          <w:sz w:val="24"/>
          <w:szCs w:val="24"/>
          <w:vertAlign w:val="superscript"/>
          <w:lang w:val="da-DK"/>
        </w:rPr>
        <w:t>2</w:t>
      </w:r>
      <w:r w:rsidRPr="00DF7CC9">
        <w:rPr>
          <w:sz w:val="24"/>
          <w:szCs w:val="24"/>
          <w:lang w:val="da-DK"/>
        </w:rPr>
        <w:t xml:space="preserve"> hver 3. uge eller paclitaxel 80 mg/m</w:t>
      </w:r>
      <w:r w:rsidRPr="00DF7CC9">
        <w:rPr>
          <w:sz w:val="24"/>
          <w:szCs w:val="24"/>
          <w:vertAlign w:val="superscript"/>
          <w:lang w:val="da-DK"/>
        </w:rPr>
        <w:t>2</w:t>
      </w:r>
      <w:r w:rsidRPr="00DF7CC9">
        <w:rPr>
          <w:sz w:val="24"/>
          <w:szCs w:val="24"/>
          <w:lang w:val="da-DK"/>
        </w:rPr>
        <w:t xml:space="preserve"> i cyklusser med administration én gang om ugen i 3 uger og derefter 1 uge</w:t>
      </w:r>
      <w:r w:rsidRPr="00DF7CC9">
        <w:rPr>
          <w:spacing w:val="-23"/>
          <w:sz w:val="24"/>
          <w:szCs w:val="24"/>
          <w:lang w:val="da-DK"/>
        </w:rPr>
        <w:t xml:space="preserve"> </w:t>
      </w:r>
      <w:r w:rsidRPr="00DF7CC9">
        <w:rPr>
          <w:sz w:val="24"/>
          <w:szCs w:val="24"/>
          <w:lang w:val="da-DK"/>
        </w:rPr>
        <w:t>uden.</w:t>
      </w:r>
    </w:p>
    <w:p w14:paraId="77D0F8A3" w14:textId="77777777" w:rsidR="00200B99" w:rsidRPr="000C059E" w:rsidRDefault="00200B99" w:rsidP="00773EAE">
      <w:pPr>
        <w:ind w:left="851"/>
        <w:rPr>
          <w:sz w:val="24"/>
          <w:szCs w:val="24"/>
        </w:rPr>
      </w:pPr>
    </w:p>
    <w:p w14:paraId="26DF7576" w14:textId="77777777" w:rsidR="00200B99" w:rsidRPr="000C059E" w:rsidRDefault="00200B99" w:rsidP="00773EAE">
      <w:pPr>
        <w:ind w:left="851"/>
        <w:rPr>
          <w:sz w:val="24"/>
          <w:szCs w:val="24"/>
        </w:rPr>
      </w:pPr>
      <w:r w:rsidRPr="000C059E">
        <w:rPr>
          <w:sz w:val="24"/>
          <w:szCs w:val="24"/>
        </w:rPr>
        <w:t xml:space="preserve">Behandling med lenvatinib og pembrolizumab forsatte indtil RECIST v1.1-defineret progression af sygdommen, som verificeret med </w:t>
      </w:r>
      <w:r w:rsidRPr="000C059E">
        <w:rPr>
          <w:i/>
          <w:iCs/>
          <w:sz w:val="24"/>
          <w:szCs w:val="24"/>
        </w:rPr>
        <w:t>Blinded Independent Central Review</w:t>
      </w:r>
      <w:r w:rsidRPr="000C059E">
        <w:rPr>
          <w:sz w:val="24"/>
          <w:szCs w:val="24"/>
        </w:rPr>
        <w:t xml:space="preserve"> (BICR), uacceptabel toksicitet eller for pembrolizumabs vedkommende i højst 24 måneder. Administration af studiebehandlingen var tilladt efter RECIST-defineret sygdomsprogression, hvis den behandlende investigator mente, at patienten ville have klinisk gavn af det, og behandlingen tolereredes. I alt 121/411 (29 %) af patienter behandlet med lenvatinib og pembrolizumab fortsatte med studiebehandlingen efter RECIST-defineret sygdomsprogression. Median varighed af behandling efter progression var 2,8 måneder.</w:t>
      </w:r>
    </w:p>
    <w:p w14:paraId="65A9E73D" w14:textId="77777777" w:rsidR="00200B99" w:rsidRPr="000C059E" w:rsidRDefault="00200B99" w:rsidP="00773EAE">
      <w:pPr>
        <w:ind w:left="851"/>
        <w:rPr>
          <w:sz w:val="24"/>
          <w:szCs w:val="24"/>
        </w:rPr>
      </w:pPr>
      <w:r w:rsidRPr="000C059E">
        <w:rPr>
          <w:sz w:val="24"/>
          <w:szCs w:val="24"/>
        </w:rPr>
        <w:t>Tumorstatus blev vurderet hver 8. uge.</w:t>
      </w:r>
    </w:p>
    <w:p w14:paraId="4218F1EA" w14:textId="77777777" w:rsidR="00200B99" w:rsidRPr="000C059E" w:rsidRDefault="00200B99" w:rsidP="00773EAE">
      <w:pPr>
        <w:ind w:left="851"/>
        <w:rPr>
          <w:sz w:val="24"/>
          <w:szCs w:val="24"/>
        </w:rPr>
      </w:pPr>
    </w:p>
    <w:p w14:paraId="3923B6DD" w14:textId="2F2121B6" w:rsidR="00200B99" w:rsidRPr="000C059E" w:rsidRDefault="00200B99" w:rsidP="00773EAE">
      <w:pPr>
        <w:ind w:left="851"/>
        <w:rPr>
          <w:sz w:val="24"/>
          <w:szCs w:val="24"/>
        </w:rPr>
      </w:pPr>
      <w:r w:rsidRPr="000C059E">
        <w:rPr>
          <w:sz w:val="24"/>
          <w:szCs w:val="24"/>
        </w:rPr>
        <w:t>I alt 827 patienter deltog og blev randomiseret til lenvatinib i kombination med pembrolizumab</w:t>
      </w:r>
      <w:r w:rsidR="00BC3643">
        <w:rPr>
          <w:sz w:val="24"/>
          <w:szCs w:val="24"/>
        </w:rPr>
        <w:t xml:space="preserve"> </w:t>
      </w:r>
      <w:r w:rsidRPr="000C059E">
        <w:rPr>
          <w:sz w:val="24"/>
          <w:szCs w:val="24"/>
        </w:rPr>
        <w:t xml:space="preserve">(n = 411) eller investigators valg af doxorubicin (n = 306) eller paclitaxel (n = 110). Karakteristika ved </w:t>
      </w:r>
      <w:r w:rsidRPr="000C059E">
        <w:rPr>
          <w:i/>
          <w:iCs/>
          <w:sz w:val="24"/>
          <w:szCs w:val="24"/>
        </w:rPr>
        <w:t>baseline</w:t>
      </w:r>
      <w:r w:rsidRPr="000C059E">
        <w:rPr>
          <w:sz w:val="24"/>
          <w:szCs w:val="24"/>
        </w:rPr>
        <w:t xml:space="preserve"> for disse patienter var: medianalder 65 år (interval 30 til 86), 50 % i alderen 65 eller derover; 61 % hvide, 21 % asiatiske og 4 % sorte; ECOG PS på 0 (59 %) eller 1 (41 %), og 84 % med pMMR- tumorstatus, og 16 % med dMMR-tumorstatus. De histologiske undertyper var endometrioidt karcinom (60 %), serøst (26 %), clear cell-karcinom (6 %), blandet (5 %) og andre (3 %). Alle 827 af disse patienter havde tidligere fået systemisk behandling mod EC: 69 % havde fået én, 28 % havde fået to og 3</w:t>
      </w:r>
      <w:r w:rsidR="00DF7CC9">
        <w:rPr>
          <w:sz w:val="24"/>
          <w:szCs w:val="24"/>
        </w:rPr>
        <w:t> </w:t>
      </w:r>
      <w:r w:rsidRPr="000C059E">
        <w:rPr>
          <w:sz w:val="24"/>
          <w:szCs w:val="24"/>
        </w:rPr>
        <w:t>% havde fået tre eller flere tidligere systemiske behandlinger. 37 % af patienterne modtog kun tidligere neoadjuverende eller adjuverende</w:t>
      </w:r>
      <w:r w:rsidRPr="000C059E">
        <w:rPr>
          <w:spacing w:val="-8"/>
          <w:sz w:val="24"/>
          <w:szCs w:val="24"/>
        </w:rPr>
        <w:t xml:space="preserve"> </w:t>
      </w:r>
      <w:r w:rsidRPr="000C059E">
        <w:rPr>
          <w:sz w:val="24"/>
          <w:szCs w:val="24"/>
        </w:rPr>
        <w:t>behandling. Median varighed af studiebehandlingen var 7,6 måneder (interval 1 dag til 26,8 måneder). Median varighed af eksponering for lenvatinib var 6,9 måneder (interval 1 dag til 26,8 måneder).</w:t>
      </w:r>
    </w:p>
    <w:p w14:paraId="2A2B10BB" w14:textId="77777777" w:rsidR="00200B99" w:rsidRPr="000C059E" w:rsidRDefault="00200B99" w:rsidP="00773EAE">
      <w:pPr>
        <w:ind w:left="851"/>
        <w:rPr>
          <w:sz w:val="24"/>
          <w:szCs w:val="24"/>
        </w:rPr>
      </w:pPr>
    </w:p>
    <w:p w14:paraId="512DA49C" w14:textId="77777777" w:rsidR="00200B99" w:rsidRPr="000C059E" w:rsidRDefault="00200B99" w:rsidP="00773EAE">
      <w:pPr>
        <w:ind w:left="851"/>
        <w:rPr>
          <w:sz w:val="24"/>
          <w:szCs w:val="24"/>
        </w:rPr>
      </w:pPr>
      <w:r w:rsidRPr="000C059E">
        <w:rPr>
          <w:sz w:val="24"/>
          <w:szCs w:val="24"/>
        </w:rPr>
        <w:t>Det primære effektresultat blev målt som OS og PFS (som vurderet med BICR vha. RECIST 1.1). Sekundære effektresultater blev målt som bl.a. ORR, som vurderet med BICR vha. RECIST 1.1. Ved den på forhånd planlagte foreløbige analyse med en median opfølgningstid på 11,4 måneder (interval: 0,3 til 26,9 måneder) viste studiet statistisk væsentlig forbedring af OS og PFS i hele den deltagende population.</w:t>
      </w:r>
    </w:p>
    <w:p w14:paraId="5F10C3DF" w14:textId="77777777" w:rsidR="00200B99" w:rsidRPr="000C059E" w:rsidRDefault="00200B99" w:rsidP="00773EAE">
      <w:pPr>
        <w:ind w:left="851"/>
        <w:rPr>
          <w:sz w:val="24"/>
          <w:szCs w:val="24"/>
        </w:rPr>
      </w:pPr>
    </w:p>
    <w:p w14:paraId="21371BA1" w14:textId="77777777" w:rsidR="00200B99" w:rsidRPr="000C059E" w:rsidRDefault="00200B99" w:rsidP="00773EAE">
      <w:pPr>
        <w:ind w:left="851"/>
        <w:rPr>
          <w:sz w:val="24"/>
          <w:szCs w:val="24"/>
        </w:rPr>
      </w:pPr>
      <w:r w:rsidRPr="000C059E">
        <w:rPr>
          <w:sz w:val="24"/>
          <w:szCs w:val="24"/>
        </w:rPr>
        <w:t xml:space="preserve">Effektresultater efter MMR-undergrupper stemte overens med de samlede studieresultater. </w:t>
      </w:r>
    </w:p>
    <w:p w14:paraId="5A2BAC41" w14:textId="77777777" w:rsidR="00200B99" w:rsidRPr="000C059E" w:rsidRDefault="00200B99" w:rsidP="00773EAE">
      <w:pPr>
        <w:ind w:left="851"/>
        <w:rPr>
          <w:sz w:val="24"/>
          <w:szCs w:val="24"/>
        </w:rPr>
      </w:pPr>
    </w:p>
    <w:p w14:paraId="587C1F5D" w14:textId="569495E3" w:rsidR="00200B99" w:rsidRPr="000C059E" w:rsidRDefault="00200B99" w:rsidP="00773EAE">
      <w:pPr>
        <w:ind w:left="851"/>
        <w:rPr>
          <w:sz w:val="24"/>
          <w:szCs w:val="24"/>
        </w:rPr>
      </w:pPr>
      <w:r w:rsidRPr="000C059E">
        <w:rPr>
          <w:sz w:val="24"/>
          <w:szCs w:val="24"/>
        </w:rPr>
        <w:t>Den på forhånd planlagte endelige OS-analyse med en opfølgningsperiode på yderligere ca. 16 måneder efter den foreløbige analyse (samlet median opfølgningstid på 14,7 måneder [interval:</w:t>
      </w:r>
      <w:r w:rsidRPr="000C059E">
        <w:rPr>
          <w:spacing w:val="-21"/>
          <w:sz w:val="24"/>
          <w:szCs w:val="24"/>
        </w:rPr>
        <w:t xml:space="preserve"> </w:t>
      </w:r>
      <w:r w:rsidRPr="000C059E">
        <w:rPr>
          <w:sz w:val="24"/>
          <w:szCs w:val="24"/>
        </w:rPr>
        <w:t>0,3 til 43,0 måneder]) blev udført uden justering for multiplicitet. Effektresultaterne i hele den deltagende population er opsummeret i tabel 9. Kaplan-Meier-kurver for de endelige OS- og foreløbige PFS-analyser er vist i hhv. figur 3 og 4.</w:t>
      </w:r>
    </w:p>
    <w:p w14:paraId="2CCC2640" w14:textId="77777777" w:rsidR="00200B99" w:rsidRPr="000C059E" w:rsidRDefault="00200B99" w:rsidP="00773EAE">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75"/>
        <w:gridCol w:w="2189"/>
        <w:gridCol w:w="2164"/>
      </w:tblGrid>
      <w:tr w:rsidR="00200B99" w:rsidRPr="00E04698" w14:paraId="04CE0D1C" w14:textId="77777777" w:rsidTr="00773EAE">
        <w:trPr>
          <w:trHeight w:val="484"/>
        </w:trPr>
        <w:tc>
          <w:tcPr>
            <w:tcW w:w="5000" w:type="pct"/>
            <w:gridSpan w:val="3"/>
            <w:tcBorders>
              <w:top w:val="single" w:sz="4" w:space="0" w:color="000000"/>
              <w:left w:val="single" w:sz="4" w:space="0" w:color="000000"/>
              <w:bottom w:val="single" w:sz="4" w:space="0" w:color="000000"/>
              <w:right w:val="single" w:sz="4" w:space="0" w:color="000000"/>
            </w:tcBorders>
            <w:hideMark/>
          </w:tcPr>
          <w:p w14:paraId="2EE43B92" w14:textId="77777777" w:rsidR="00200B99" w:rsidRPr="00E04698" w:rsidRDefault="00200B99">
            <w:pPr>
              <w:pStyle w:val="TableParagraph"/>
              <w:ind w:left="0"/>
              <w:rPr>
                <w:b/>
                <w:lang w:val="da-DK"/>
              </w:rPr>
            </w:pPr>
            <w:r w:rsidRPr="00E04698">
              <w:rPr>
                <w:b/>
                <w:lang w:val="da-DK"/>
              </w:rPr>
              <w:t>Tabel 9 Effektresultater ved endometriekarcinom i studie 309</w:t>
            </w:r>
          </w:p>
        </w:tc>
      </w:tr>
      <w:tr w:rsidR="00200B99" w:rsidRPr="00E04698" w14:paraId="23CA0420" w14:textId="77777777" w:rsidTr="00773EAE">
        <w:trPr>
          <w:trHeight w:val="690"/>
        </w:trPr>
        <w:tc>
          <w:tcPr>
            <w:tcW w:w="2739" w:type="pct"/>
            <w:tcBorders>
              <w:top w:val="single" w:sz="4" w:space="0" w:color="000000"/>
              <w:left w:val="single" w:sz="4" w:space="0" w:color="000000"/>
              <w:bottom w:val="single" w:sz="4" w:space="0" w:color="000000"/>
              <w:right w:val="single" w:sz="4" w:space="0" w:color="000000"/>
            </w:tcBorders>
            <w:hideMark/>
          </w:tcPr>
          <w:p w14:paraId="6FD9A012" w14:textId="77777777" w:rsidR="00200B99" w:rsidRPr="00E04698" w:rsidRDefault="00200B99">
            <w:pPr>
              <w:pStyle w:val="TableParagraph"/>
              <w:ind w:left="0"/>
              <w:rPr>
                <w:b/>
                <w:lang w:val="da-DK"/>
              </w:rPr>
            </w:pPr>
            <w:r w:rsidRPr="00E04698">
              <w:rPr>
                <w:b/>
                <w:lang w:val="da-DK"/>
              </w:rPr>
              <w:t>Endepunkt</w:t>
            </w:r>
          </w:p>
        </w:tc>
        <w:tc>
          <w:tcPr>
            <w:tcW w:w="1137" w:type="pct"/>
            <w:tcBorders>
              <w:top w:val="single" w:sz="4" w:space="0" w:color="000000"/>
              <w:left w:val="single" w:sz="4" w:space="0" w:color="000000"/>
              <w:bottom w:val="single" w:sz="4" w:space="0" w:color="000000"/>
              <w:right w:val="single" w:sz="4" w:space="0" w:color="000000"/>
            </w:tcBorders>
            <w:hideMark/>
          </w:tcPr>
          <w:p w14:paraId="0ADEB586" w14:textId="6B13C630" w:rsidR="00200B99" w:rsidRPr="00E04698" w:rsidRDefault="00200B99">
            <w:pPr>
              <w:pStyle w:val="TableParagraph"/>
              <w:ind w:left="0"/>
              <w:jc w:val="center"/>
              <w:rPr>
                <w:b/>
                <w:lang w:val="da-DK"/>
              </w:rPr>
            </w:pPr>
            <w:r w:rsidRPr="00E04698">
              <w:rPr>
                <w:b/>
                <w:bCs/>
                <w:lang w:val="da-DK"/>
              </w:rPr>
              <w:t>Lenvatinib med</w:t>
            </w:r>
            <w:r w:rsidRPr="00E04698">
              <w:rPr>
                <w:b/>
                <w:lang w:val="da-DK"/>
              </w:rPr>
              <w:t xml:space="preserve"> pembrolizumab N</w:t>
            </w:r>
            <w:r w:rsidR="00342BB7">
              <w:rPr>
                <w:b/>
                <w:lang w:val="da-DK"/>
              </w:rPr>
              <w:t> </w:t>
            </w:r>
            <w:r w:rsidRPr="00E04698">
              <w:rPr>
                <w:b/>
                <w:lang w:val="da-DK"/>
              </w:rPr>
              <w:t>=</w:t>
            </w:r>
            <w:r w:rsidR="00342BB7">
              <w:rPr>
                <w:b/>
                <w:lang w:val="da-DK"/>
              </w:rPr>
              <w:t> </w:t>
            </w:r>
            <w:r w:rsidRPr="00E04698">
              <w:rPr>
                <w:b/>
                <w:lang w:val="da-DK"/>
              </w:rPr>
              <w:t>411</w:t>
            </w:r>
          </w:p>
        </w:tc>
        <w:tc>
          <w:tcPr>
            <w:tcW w:w="1124" w:type="pct"/>
            <w:tcBorders>
              <w:top w:val="single" w:sz="4" w:space="0" w:color="000000"/>
              <w:left w:val="single" w:sz="4" w:space="0" w:color="000000"/>
              <w:bottom w:val="single" w:sz="4" w:space="0" w:color="000000"/>
              <w:right w:val="single" w:sz="4" w:space="0" w:color="000000"/>
            </w:tcBorders>
            <w:hideMark/>
          </w:tcPr>
          <w:p w14:paraId="1CE68736" w14:textId="77777777" w:rsidR="00200B99" w:rsidRPr="00E04698" w:rsidRDefault="00200B99">
            <w:pPr>
              <w:pStyle w:val="TableParagraph"/>
              <w:ind w:left="0"/>
              <w:jc w:val="center"/>
              <w:rPr>
                <w:b/>
                <w:lang w:val="da-DK"/>
              </w:rPr>
            </w:pPr>
            <w:r w:rsidRPr="00E04698">
              <w:rPr>
                <w:b/>
                <w:lang w:val="da-DK"/>
              </w:rPr>
              <w:t>Doxorubicin eller paclitaxel</w:t>
            </w:r>
          </w:p>
          <w:p w14:paraId="52DDD891" w14:textId="77777777" w:rsidR="00200B99" w:rsidRPr="00E04698" w:rsidRDefault="00200B99">
            <w:pPr>
              <w:pStyle w:val="TableParagraph"/>
              <w:ind w:left="0"/>
              <w:jc w:val="center"/>
              <w:rPr>
                <w:b/>
                <w:lang w:val="da-DK"/>
              </w:rPr>
            </w:pPr>
            <w:r w:rsidRPr="00E04698">
              <w:rPr>
                <w:b/>
                <w:lang w:val="da-DK"/>
              </w:rPr>
              <w:t>N = 416</w:t>
            </w:r>
          </w:p>
        </w:tc>
      </w:tr>
      <w:tr w:rsidR="00200B99" w:rsidRPr="00E04698" w14:paraId="6F736922"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180D041D" w14:textId="77777777" w:rsidR="00200B99" w:rsidRPr="00E04698" w:rsidRDefault="00200B99">
            <w:pPr>
              <w:pStyle w:val="TableParagraph"/>
              <w:ind w:left="0"/>
              <w:rPr>
                <w:b/>
                <w:lang w:val="da-DK"/>
              </w:rPr>
            </w:pPr>
            <w:r w:rsidRPr="00E04698">
              <w:rPr>
                <w:b/>
                <w:lang w:val="da-DK"/>
              </w:rPr>
              <w:t>OS</w:t>
            </w:r>
          </w:p>
        </w:tc>
        <w:tc>
          <w:tcPr>
            <w:tcW w:w="1137" w:type="pct"/>
            <w:tcBorders>
              <w:top w:val="single" w:sz="4" w:space="0" w:color="000000"/>
              <w:left w:val="single" w:sz="4" w:space="0" w:color="000000"/>
              <w:bottom w:val="single" w:sz="4" w:space="0" w:color="000000"/>
              <w:right w:val="single" w:sz="4" w:space="0" w:color="000000"/>
            </w:tcBorders>
          </w:tcPr>
          <w:p w14:paraId="466380C3" w14:textId="77777777" w:rsidR="00200B99" w:rsidRPr="00E04698" w:rsidRDefault="00200B99">
            <w:pPr>
              <w:pStyle w:val="TableParagraph"/>
              <w:ind w:left="0"/>
              <w:rPr>
                <w:lang w:val="da-DK"/>
              </w:rPr>
            </w:pPr>
          </w:p>
        </w:tc>
        <w:tc>
          <w:tcPr>
            <w:tcW w:w="1124" w:type="pct"/>
            <w:tcBorders>
              <w:top w:val="single" w:sz="4" w:space="0" w:color="000000"/>
              <w:left w:val="single" w:sz="4" w:space="0" w:color="000000"/>
              <w:bottom w:val="single" w:sz="4" w:space="0" w:color="000000"/>
              <w:right w:val="single" w:sz="4" w:space="0" w:color="000000"/>
            </w:tcBorders>
          </w:tcPr>
          <w:p w14:paraId="724F8377" w14:textId="77777777" w:rsidR="00200B99" w:rsidRPr="00E04698" w:rsidRDefault="00200B99">
            <w:pPr>
              <w:pStyle w:val="TableParagraph"/>
              <w:ind w:left="0"/>
              <w:rPr>
                <w:lang w:val="da-DK"/>
              </w:rPr>
            </w:pPr>
          </w:p>
        </w:tc>
      </w:tr>
      <w:tr w:rsidR="00200B99" w:rsidRPr="00E04698" w14:paraId="097E342E"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399535C3" w14:textId="77777777" w:rsidR="00200B99" w:rsidRPr="00E04698" w:rsidRDefault="00200B99">
            <w:pPr>
              <w:pStyle w:val="TableParagraph"/>
              <w:ind w:left="0"/>
              <w:rPr>
                <w:lang w:val="da-DK"/>
              </w:rPr>
            </w:pPr>
            <w:r w:rsidRPr="00E04698">
              <w:rPr>
                <w:lang w:val="da-DK"/>
              </w:rPr>
              <w:t>Antal (%) patienter med hændelse</w:t>
            </w:r>
          </w:p>
        </w:tc>
        <w:tc>
          <w:tcPr>
            <w:tcW w:w="1137" w:type="pct"/>
            <w:tcBorders>
              <w:top w:val="single" w:sz="4" w:space="0" w:color="000000"/>
              <w:left w:val="single" w:sz="4" w:space="0" w:color="000000"/>
              <w:bottom w:val="single" w:sz="4" w:space="0" w:color="000000"/>
              <w:right w:val="single" w:sz="4" w:space="0" w:color="000000"/>
            </w:tcBorders>
            <w:hideMark/>
          </w:tcPr>
          <w:p w14:paraId="2C3C4FC9" w14:textId="77777777" w:rsidR="00200B99" w:rsidRPr="00E04698" w:rsidRDefault="00200B99">
            <w:pPr>
              <w:pStyle w:val="TableParagraph"/>
              <w:ind w:left="0"/>
              <w:jc w:val="center"/>
              <w:rPr>
                <w:lang w:val="da-DK"/>
              </w:rPr>
            </w:pPr>
            <w:r w:rsidRPr="00E04698">
              <w:rPr>
                <w:lang w:val="da-DK"/>
              </w:rPr>
              <w:t>276 (67 %)</w:t>
            </w:r>
          </w:p>
        </w:tc>
        <w:tc>
          <w:tcPr>
            <w:tcW w:w="1124" w:type="pct"/>
            <w:tcBorders>
              <w:top w:val="single" w:sz="4" w:space="0" w:color="000000"/>
              <w:left w:val="single" w:sz="4" w:space="0" w:color="000000"/>
              <w:bottom w:val="single" w:sz="4" w:space="0" w:color="000000"/>
              <w:right w:val="single" w:sz="4" w:space="0" w:color="000000"/>
            </w:tcBorders>
            <w:hideMark/>
          </w:tcPr>
          <w:p w14:paraId="20CD929C" w14:textId="77777777" w:rsidR="00200B99" w:rsidRPr="00E04698" w:rsidRDefault="00200B99">
            <w:pPr>
              <w:pStyle w:val="TableParagraph"/>
              <w:ind w:left="0"/>
              <w:jc w:val="center"/>
              <w:rPr>
                <w:lang w:val="da-DK"/>
              </w:rPr>
            </w:pPr>
            <w:r w:rsidRPr="00E04698">
              <w:rPr>
                <w:lang w:val="da-DK"/>
              </w:rPr>
              <w:t>329 (79 %)</w:t>
            </w:r>
          </w:p>
        </w:tc>
      </w:tr>
      <w:tr w:rsidR="00200B99" w:rsidRPr="00E04698" w14:paraId="22E38C35"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49A48374" w14:textId="77777777" w:rsidR="00200B99" w:rsidRPr="00E04698" w:rsidRDefault="00200B99">
            <w:pPr>
              <w:pStyle w:val="TableParagraph"/>
              <w:ind w:left="0"/>
              <w:rPr>
                <w:lang w:val="da-DK"/>
              </w:rPr>
            </w:pPr>
            <w:r w:rsidRPr="00E04698">
              <w:rPr>
                <w:lang w:val="da-DK"/>
              </w:rPr>
              <w:t>Median i måneder (95 % CI)</w:t>
            </w:r>
          </w:p>
        </w:tc>
        <w:tc>
          <w:tcPr>
            <w:tcW w:w="1137" w:type="pct"/>
            <w:tcBorders>
              <w:top w:val="single" w:sz="4" w:space="0" w:color="000000"/>
              <w:left w:val="single" w:sz="4" w:space="0" w:color="000000"/>
              <w:bottom w:val="single" w:sz="4" w:space="0" w:color="000000"/>
              <w:right w:val="single" w:sz="4" w:space="0" w:color="000000"/>
            </w:tcBorders>
            <w:hideMark/>
          </w:tcPr>
          <w:p w14:paraId="4753E291" w14:textId="77777777" w:rsidR="00200B99" w:rsidRPr="00E04698" w:rsidRDefault="00200B99">
            <w:pPr>
              <w:pStyle w:val="TableParagraph"/>
              <w:ind w:left="0"/>
              <w:jc w:val="center"/>
              <w:rPr>
                <w:lang w:val="da-DK"/>
              </w:rPr>
            </w:pPr>
            <w:r w:rsidRPr="00E04698">
              <w:rPr>
                <w:lang w:val="da-DK"/>
              </w:rPr>
              <w:t>18,7 (15,6; 21,3)</w:t>
            </w:r>
          </w:p>
        </w:tc>
        <w:tc>
          <w:tcPr>
            <w:tcW w:w="1124" w:type="pct"/>
            <w:tcBorders>
              <w:top w:val="single" w:sz="4" w:space="0" w:color="000000"/>
              <w:left w:val="single" w:sz="4" w:space="0" w:color="000000"/>
              <w:bottom w:val="single" w:sz="4" w:space="0" w:color="000000"/>
              <w:right w:val="single" w:sz="4" w:space="0" w:color="000000"/>
            </w:tcBorders>
            <w:hideMark/>
          </w:tcPr>
          <w:p w14:paraId="78279DF4" w14:textId="77777777" w:rsidR="00200B99" w:rsidRPr="00E04698" w:rsidRDefault="00200B99">
            <w:pPr>
              <w:pStyle w:val="TableParagraph"/>
              <w:ind w:left="0"/>
              <w:jc w:val="center"/>
              <w:rPr>
                <w:lang w:val="da-DK"/>
              </w:rPr>
            </w:pPr>
            <w:r w:rsidRPr="00E04698">
              <w:rPr>
                <w:lang w:val="da-DK"/>
              </w:rPr>
              <w:t>11,9 (10,7; 13,3)</w:t>
            </w:r>
          </w:p>
        </w:tc>
      </w:tr>
      <w:tr w:rsidR="00200B99" w:rsidRPr="00E04698" w14:paraId="57DD61CE"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0E869CC2" w14:textId="77777777" w:rsidR="00200B99" w:rsidRPr="00E04698" w:rsidRDefault="00200B99">
            <w:pPr>
              <w:pStyle w:val="TableParagraph"/>
              <w:ind w:left="0"/>
              <w:rPr>
                <w:lang w:val="da-DK"/>
              </w:rPr>
            </w:pPr>
            <w:r w:rsidRPr="00E04698">
              <w:rPr>
                <w:i/>
                <w:iCs/>
                <w:lang w:val="da-DK"/>
              </w:rPr>
              <w:t>Hazard ratio</w:t>
            </w:r>
            <w:r w:rsidRPr="00E04698">
              <w:rPr>
                <w:vertAlign w:val="superscript"/>
              </w:rPr>
              <w:t xml:space="preserve">a </w:t>
            </w:r>
            <w:r w:rsidRPr="00E04698">
              <w:rPr>
                <w:lang w:val="da-DK"/>
              </w:rPr>
              <w:t>(95 % CI)</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5D38673C" w14:textId="77777777" w:rsidR="00200B99" w:rsidRPr="00E04698" w:rsidRDefault="00200B99">
            <w:pPr>
              <w:pStyle w:val="TableParagraph"/>
              <w:ind w:left="0"/>
              <w:jc w:val="center"/>
              <w:rPr>
                <w:lang w:val="da-DK"/>
              </w:rPr>
            </w:pPr>
            <w:r w:rsidRPr="00E04698">
              <w:rPr>
                <w:lang w:val="da-DK"/>
              </w:rPr>
              <w:t>0,65 (0,55; 0,77)</w:t>
            </w:r>
          </w:p>
        </w:tc>
      </w:tr>
      <w:tr w:rsidR="00200B99" w:rsidRPr="00E04698" w14:paraId="55EA3522" w14:textId="77777777" w:rsidTr="00773EAE">
        <w:trPr>
          <w:trHeight w:val="229"/>
        </w:trPr>
        <w:tc>
          <w:tcPr>
            <w:tcW w:w="2739" w:type="pct"/>
            <w:tcBorders>
              <w:top w:val="single" w:sz="4" w:space="0" w:color="000000"/>
              <w:left w:val="single" w:sz="4" w:space="0" w:color="000000"/>
              <w:bottom w:val="single" w:sz="4" w:space="0" w:color="000000"/>
              <w:right w:val="single" w:sz="4" w:space="0" w:color="000000"/>
            </w:tcBorders>
            <w:hideMark/>
          </w:tcPr>
          <w:p w14:paraId="62FE0316" w14:textId="77777777" w:rsidR="00200B99" w:rsidRPr="00E04698" w:rsidRDefault="00200B99">
            <w:pPr>
              <w:pStyle w:val="TableParagraph"/>
              <w:ind w:left="0"/>
              <w:rPr>
                <w:lang w:val="da-DK"/>
              </w:rPr>
            </w:pPr>
            <w:r w:rsidRPr="00E04698">
              <w:rPr>
                <w:lang w:val="da-DK"/>
              </w:rPr>
              <w:t>P-værdi</w:t>
            </w:r>
            <w:r w:rsidRPr="00E04698">
              <w:rPr>
                <w:vertAlign w:val="superscript"/>
              </w:rPr>
              <w:t>b</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45C9485F" w14:textId="77777777" w:rsidR="00200B99" w:rsidRPr="00E04698" w:rsidRDefault="00200B99">
            <w:pPr>
              <w:pStyle w:val="TableParagraph"/>
              <w:ind w:left="0"/>
              <w:jc w:val="center"/>
              <w:rPr>
                <w:lang w:val="da-DK"/>
              </w:rPr>
            </w:pPr>
            <w:r w:rsidRPr="00E04698">
              <w:rPr>
                <w:lang w:val="da-DK"/>
              </w:rPr>
              <w:t>&lt; 0,0001</w:t>
            </w:r>
          </w:p>
        </w:tc>
      </w:tr>
      <w:tr w:rsidR="00200B99" w:rsidRPr="00E04698" w14:paraId="3C9FF1CA"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15054447" w14:textId="77777777" w:rsidR="00200B99" w:rsidRPr="00E04698" w:rsidRDefault="00200B99">
            <w:pPr>
              <w:pStyle w:val="TableParagraph"/>
              <w:ind w:left="0"/>
              <w:rPr>
                <w:b/>
                <w:lang w:val="da-DK"/>
              </w:rPr>
            </w:pPr>
            <w:r w:rsidRPr="00E04698">
              <w:rPr>
                <w:b/>
                <w:lang w:val="da-DK"/>
              </w:rPr>
              <w:t>PFS</w:t>
            </w:r>
            <w:r w:rsidRPr="00E04698">
              <w:rPr>
                <w:b/>
                <w:vertAlign w:val="superscript"/>
                <w:lang w:val="da-DK"/>
              </w:rPr>
              <w:t>d</w:t>
            </w:r>
          </w:p>
        </w:tc>
        <w:tc>
          <w:tcPr>
            <w:tcW w:w="1137" w:type="pct"/>
            <w:tcBorders>
              <w:top w:val="single" w:sz="4" w:space="0" w:color="000000"/>
              <w:left w:val="single" w:sz="4" w:space="0" w:color="000000"/>
              <w:bottom w:val="single" w:sz="4" w:space="0" w:color="000000"/>
              <w:right w:val="single" w:sz="4" w:space="0" w:color="000000"/>
            </w:tcBorders>
          </w:tcPr>
          <w:p w14:paraId="061912FD" w14:textId="77777777" w:rsidR="00200B99" w:rsidRPr="00E04698" w:rsidRDefault="00200B99">
            <w:pPr>
              <w:pStyle w:val="TableParagraph"/>
              <w:ind w:left="0"/>
              <w:rPr>
                <w:lang w:val="da-DK"/>
              </w:rPr>
            </w:pPr>
          </w:p>
        </w:tc>
        <w:tc>
          <w:tcPr>
            <w:tcW w:w="1124" w:type="pct"/>
            <w:tcBorders>
              <w:top w:val="single" w:sz="4" w:space="0" w:color="000000"/>
              <w:left w:val="single" w:sz="4" w:space="0" w:color="000000"/>
              <w:bottom w:val="single" w:sz="4" w:space="0" w:color="000000"/>
              <w:right w:val="single" w:sz="4" w:space="0" w:color="000000"/>
            </w:tcBorders>
          </w:tcPr>
          <w:p w14:paraId="0AFA3A6C" w14:textId="77777777" w:rsidR="00200B99" w:rsidRPr="00E04698" w:rsidRDefault="00200B99">
            <w:pPr>
              <w:pStyle w:val="TableParagraph"/>
              <w:ind w:left="0"/>
              <w:rPr>
                <w:lang w:val="da-DK"/>
              </w:rPr>
            </w:pPr>
          </w:p>
        </w:tc>
      </w:tr>
      <w:tr w:rsidR="00200B99" w:rsidRPr="00E04698" w14:paraId="799F81E4"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5F0BA0D5" w14:textId="77777777" w:rsidR="00200B99" w:rsidRPr="00E04698" w:rsidRDefault="00200B99">
            <w:pPr>
              <w:pStyle w:val="TableParagraph"/>
              <w:ind w:left="0"/>
              <w:rPr>
                <w:lang w:val="da-DK"/>
              </w:rPr>
            </w:pPr>
            <w:r w:rsidRPr="00E04698">
              <w:rPr>
                <w:lang w:val="da-DK"/>
              </w:rPr>
              <w:t>Antal (%) af patienter med hændelse</w:t>
            </w:r>
          </w:p>
        </w:tc>
        <w:tc>
          <w:tcPr>
            <w:tcW w:w="1137" w:type="pct"/>
            <w:tcBorders>
              <w:top w:val="single" w:sz="4" w:space="0" w:color="000000"/>
              <w:left w:val="single" w:sz="4" w:space="0" w:color="000000"/>
              <w:bottom w:val="single" w:sz="4" w:space="0" w:color="000000"/>
              <w:right w:val="single" w:sz="4" w:space="0" w:color="000000"/>
            </w:tcBorders>
            <w:hideMark/>
          </w:tcPr>
          <w:p w14:paraId="5C25EC09" w14:textId="77777777" w:rsidR="00200B99" w:rsidRPr="00E04698" w:rsidRDefault="00200B99">
            <w:pPr>
              <w:pStyle w:val="TableParagraph"/>
              <w:ind w:left="0"/>
              <w:jc w:val="center"/>
              <w:rPr>
                <w:lang w:val="da-DK"/>
              </w:rPr>
            </w:pPr>
            <w:r w:rsidRPr="00E04698">
              <w:rPr>
                <w:lang w:val="da-DK"/>
              </w:rPr>
              <w:t>281 (68 %)</w:t>
            </w:r>
          </w:p>
        </w:tc>
        <w:tc>
          <w:tcPr>
            <w:tcW w:w="1124" w:type="pct"/>
            <w:tcBorders>
              <w:top w:val="single" w:sz="4" w:space="0" w:color="000000"/>
              <w:left w:val="single" w:sz="4" w:space="0" w:color="000000"/>
              <w:bottom w:val="single" w:sz="4" w:space="0" w:color="000000"/>
              <w:right w:val="single" w:sz="4" w:space="0" w:color="000000"/>
            </w:tcBorders>
            <w:hideMark/>
          </w:tcPr>
          <w:p w14:paraId="35DCFB3F" w14:textId="77777777" w:rsidR="00200B99" w:rsidRPr="00E04698" w:rsidRDefault="00200B99">
            <w:pPr>
              <w:pStyle w:val="TableParagraph"/>
              <w:ind w:left="0"/>
              <w:jc w:val="center"/>
              <w:rPr>
                <w:lang w:val="da-DK"/>
              </w:rPr>
            </w:pPr>
            <w:r w:rsidRPr="00E04698">
              <w:rPr>
                <w:lang w:val="da-DK"/>
              </w:rPr>
              <w:t>286 (69 %)</w:t>
            </w:r>
          </w:p>
        </w:tc>
      </w:tr>
      <w:tr w:rsidR="00200B99" w:rsidRPr="00E04698" w14:paraId="5A85829B"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7746F825" w14:textId="77777777" w:rsidR="00200B99" w:rsidRPr="00E04698" w:rsidRDefault="00200B99">
            <w:pPr>
              <w:pStyle w:val="TableParagraph"/>
              <w:ind w:left="0"/>
              <w:rPr>
                <w:lang w:val="da-DK"/>
              </w:rPr>
            </w:pPr>
            <w:r w:rsidRPr="00E04698">
              <w:rPr>
                <w:lang w:val="da-DK"/>
              </w:rPr>
              <w:t>Median i måneder (95 % CI)</w:t>
            </w:r>
          </w:p>
        </w:tc>
        <w:tc>
          <w:tcPr>
            <w:tcW w:w="1137" w:type="pct"/>
            <w:tcBorders>
              <w:top w:val="single" w:sz="4" w:space="0" w:color="000000"/>
              <w:left w:val="single" w:sz="4" w:space="0" w:color="000000"/>
              <w:bottom w:val="single" w:sz="4" w:space="0" w:color="000000"/>
              <w:right w:val="single" w:sz="4" w:space="0" w:color="000000"/>
            </w:tcBorders>
            <w:hideMark/>
          </w:tcPr>
          <w:p w14:paraId="78AA8811" w14:textId="77777777" w:rsidR="00200B99" w:rsidRPr="00E04698" w:rsidRDefault="00200B99">
            <w:pPr>
              <w:pStyle w:val="TableParagraph"/>
              <w:ind w:left="0"/>
              <w:jc w:val="center"/>
              <w:rPr>
                <w:lang w:val="da-DK"/>
              </w:rPr>
            </w:pPr>
            <w:r w:rsidRPr="00E04698">
              <w:rPr>
                <w:lang w:val="da-DK"/>
              </w:rPr>
              <w:t>7,2 (5,7; 7,6)</w:t>
            </w:r>
          </w:p>
        </w:tc>
        <w:tc>
          <w:tcPr>
            <w:tcW w:w="1124" w:type="pct"/>
            <w:tcBorders>
              <w:top w:val="single" w:sz="4" w:space="0" w:color="000000"/>
              <w:left w:val="single" w:sz="4" w:space="0" w:color="000000"/>
              <w:bottom w:val="single" w:sz="4" w:space="0" w:color="000000"/>
              <w:right w:val="single" w:sz="4" w:space="0" w:color="000000"/>
            </w:tcBorders>
            <w:hideMark/>
          </w:tcPr>
          <w:p w14:paraId="4132F248" w14:textId="77777777" w:rsidR="00200B99" w:rsidRPr="00E04698" w:rsidRDefault="00200B99">
            <w:pPr>
              <w:pStyle w:val="TableParagraph"/>
              <w:ind w:left="0"/>
              <w:jc w:val="center"/>
              <w:rPr>
                <w:lang w:val="da-DK"/>
              </w:rPr>
            </w:pPr>
            <w:r w:rsidRPr="00E04698">
              <w:rPr>
                <w:lang w:val="da-DK"/>
              </w:rPr>
              <w:t>3,8 (3,6; 4,2)</w:t>
            </w:r>
          </w:p>
        </w:tc>
      </w:tr>
      <w:tr w:rsidR="00200B99" w:rsidRPr="00E04698" w14:paraId="79959AC2"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4EF054F7" w14:textId="77777777" w:rsidR="00200B99" w:rsidRPr="00E04698" w:rsidRDefault="00200B99">
            <w:pPr>
              <w:pStyle w:val="TableParagraph"/>
              <w:ind w:left="0"/>
              <w:rPr>
                <w:lang w:val="da-DK"/>
              </w:rPr>
            </w:pPr>
            <w:r w:rsidRPr="00E04698">
              <w:rPr>
                <w:i/>
                <w:iCs/>
                <w:lang w:val="da-DK"/>
              </w:rPr>
              <w:t>Hazard ratio</w:t>
            </w:r>
            <w:r w:rsidRPr="00E04698">
              <w:rPr>
                <w:vertAlign w:val="superscript"/>
              </w:rPr>
              <w:t xml:space="preserve">a </w:t>
            </w:r>
            <w:r w:rsidRPr="00E04698">
              <w:rPr>
                <w:lang w:val="da-DK"/>
              </w:rPr>
              <w:t>(95 % CI)</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74F86DB4" w14:textId="77777777" w:rsidR="00200B99" w:rsidRPr="00E04698" w:rsidRDefault="00200B99">
            <w:pPr>
              <w:pStyle w:val="TableParagraph"/>
              <w:ind w:left="0"/>
              <w:jc w:val="center"/>
              <w:rPr>
                <w:lang w:val="da-DK"/>
              </w:rPr>
            </w:pPr>
            <w:r w:rsidRPr="00E04698">
              <w:rPr>
                <w:lang w:val="da-DK"/>
              </w:rPr>
              <w:t>0,56 (0,47; 0,66)</w:t>
            </w:r>
          </w:p>
        </w:tc>
      </w:tr>
      <w:tr w:rsidR="00200B99" w:rsidRPr="00E04698" w14:paraId="6B68DE9D"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7B5EF4CA" w14:textId="77777777" w:rsidR="00200B99" w:rsidRPr="00E04698" w:rsidRDefault="00200B99">
            <w:pPr>
              <w:pStyle w:val="TableParagraph"/>
              <w:ind w:left="0"/>
              <w:rPr>
                <w:lang w:val="da-DK"/>
              </w:rPr>
            </w:pPr>
            <w:r w:rsidRPr="00E04698">
              <w:rPr>
                <w:lang w:val="da-DK"/>
              </w:rPr>
              <w:t>P-værdi</w:t>
            </w:r>
            <w:r w:rsidRPr="00E04698">
              <w:rPr>
                <w:vertAlign w:val="superscript"/>
              </w:rPr>
              <w:t>c</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04E1F461" w14:textId="77777777" w:rsidR="00200B99" w:rsidRPr="00E04698" w:rsidRDefault="00200B99">
            <w:pPr>
              <w:pStyle w:val="TableParagraph"/>
              <w:ind w:left="0"/>
              <w:jc w:val="center"/>
              <w:rPr>
                <w:lang w:val="da-DK"/>
              </w:rPr>
            </w:pPr>
            <w:r w:rsidRPr="00E04698">
              <w:rPr>
                <w:lang w:val="da-DK"/>
              </w:rPr>
              <w:t>&lt; 0,0001</w:t>
            </w:r>
          </w:p>
        </w:tc>
      </w:tr>
      <w:tr w:rsidR="00200B99" w:rsidRPr="00E04698" w14:paraId="3F85CC82"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7FF2B290" w14:textId="77777777" w:rsidR="00200B99" w:rsidRPr="00E04698" w:rsidRDefault="00200B99">
            <w:pPr>
              <w:pStyle w:val="TableParagraph"/>
              <w:ind w:left="0"/>
              <w:rPr>
                <w:b/>
                <w:lang w:val="da-DK"/>
              </w:rPr>
            </w:pPr>
            <w:r w:rsidRPr="00E04698">
              <w:rPr>
                <w:b/>
                <w:lang w:val="da-DK"/>
              </w:rPr>
              <w:t>ORR</w:t>
            </w:r>
            <w:r w:rsidRPr="00E04698">
              <w:rPr>
                <w:b/>
                <w:vertAlign w:val="superscript"/>
                <w:lang w:val="da-DK"/>
              </w:rPr>
              <w:t>d</w:t>
            </w:r>
          </w:p>
        </w:tc>
        <w:tc>
          <w:tcPr>
            <w:tcW w:w="1137" w:type="pct"/>
            <w:tcBorders>
              <w:top w:val="single" w:sz="4" w:space="0" w:color="000000"/>
              <w:left w:val="single" w:sz="4" w:space="0" w:color="000000"/>
              <w:bottom w:val="single" w:sz="4" w:space="0" w:color="000000"/>
              <w:right w:val="single" w:sz="4" w:space="0" w:color="000000"/>
            </w:tcBorders>
          </w:tcPr>
          <w:p w14:paraId="1CB93A52" w14:textId="77777777" w:rsidR="00200B99" w:rsidRPr="00E04698" w:rsidRDefault="00200B99">
            <w:pPr>
              <w:pStyle w:val="TableParagraph"/>
              <w:ind w:left="0"/>
              <w:rPr>
                <w:lang w:val="da-DK"/>
              </w:rPr>
            </w:pPr>
          </w:p>
        </w:tc>
        <w:tc>
          <w:tcPr>
            <w:tcW w:w="1124" w:type="pct"/>
            <w:tcBorders>
              <w:top w:val="single" w:sz="4" w:space="0" w:color="000000"/>
              <w:left w:val="single" w:sz="4" w:space="0" w:color="000000"/>
              <w:bottom w:val="single" w:sz="4" w:space="0" w:color="000000"/>
              <w:right w:val="single" w:sz="4" w:space="0" w:color="000000"/>
            </w:tcBorders>
          </w:tcPr>
          <w:p w14:paraId="08FF26F2" w14:textId="77777777" w:rsidR="00200B99" w:rsidRPr="00E04698" w:rsidRDefault="00200B99">
            <w:pPr>
              <w:pStyle w:val="TableParagraph"/>
              <w:ind w:left="0"/>
              <w:rPr>
                <w:lang w:val="da-DK"/>
              </w:rPr>
            </w:pPr>
          </w:p>
        </w:tc>
      </w:tr>
      <w:tr w:rsidR="00200B99" w:rsidRPr="00E04698" w14:paraId="03259D66"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0B0372B8" w14:textId="77777777" w:rsidR="00200B99" w:rsidRPr="00E04698" w:rsidRDefault="00200B99">
            <w:pPr>
              <w:pStyle w:val="TableParagraph"/>
              <w:ind w:left="0"/>
              <w:rPr>
                <w:lang w:val="da-DK"/>
              </w:rPr>
            </w:pPr>
            <w:r w:rsidRPr="00E04698">
              <w:rPr>
                <w:lang w:val="da-DK"/>
              </w:rPr>
              <w:t>ORR</w:t>
            </w:r>
            <w:r w:rsidRPr="00E04698">
              <w:rPr>
                <w:vertAlign w:val="superscript"/>
              </w:rPr>
              <w:t xml:space="preserve">e </w:t>
            </w:r>
            <w:r w:rsidRPr="00E04698">
              <w:rPr>
                <w:lang w:val="da-DK"/>
              </w:rPr>
              <w:t>(95 % CI)</w:t>
            </w:r>
          </w:p>
        </w:tc>
        <w:tc>
          <w:tcPr>
            <w:tcW w:w="1137" w:type="pct"/>
            <w:tcBorders>
              <w:top w:val="single" w:sz="4" w:space="0" w:color="000000"/>
              <w:left w:val="single" w:sz="4" w:space="0" w:color="000000"/>
              <w:bottom w:val="single" w:sz="4" w:space="0" w:color="000000"/>
              <w:right w:val="single" w:sz="4" w:space="0" w:color="000000"/>
            </w:tcBorders>
            <w:hideMark/>
          </w:tcPr>
          <w:p w14:paraId="1E54A801" w14:textId="77777777" w:rsidR="00200B99" w:rsidRPr="00E04698" w:rsidRDefault="00200B99">
            <w:pPr>
              <w:pStyle w:val="TableParagraph"/>
              <w:ind w:left="0"/>
              <w:jc w:val="center"/>
              <w:rPr>
                <w:lang w:val="da-DK"/>
              </w:rPr>
            </w:pPr>
            <w:r w:rsidRPr="00E04698">
              <w:rPr>
                <w:lang w:val="da-DK"/>
              </w:rPr>
              <w:t>32 % (27; 37)</w:t>
            </w:r>
          </w:p>
        </w:tc>
        <w:tc>
          <w:tcPr>
            <w:tcW w:w="1124" w:type="pct"/>
            <w:tcBorders>
              <w:top w:val="single" w:sz="4" w:space="0" w:color="000000"/>
              <w:left w:val="single" w:sz="4" w:space="0" w:color="000000"/>
              <w:bottom w:val="single" w:sz="4" w:space="0" w:color="000000"/>
              <w:right w:val="single" w:sz="4" w:space="0" w:color="000000"/>
            </w:tcBorders>
            <w:hideMark/>
          </w:tcPr>
          <w:p w14:paraId="30BDF9D1" w14:textId="77777777" w:rsidR="00200B99" w:rsidRPr="00E04698" w:rsidRDefault="00200B99">
            <w:pPr>
              <w:pStyle w:val="TableParagraph"/>
              <w:ind w:left="0"/>
              <w:jc w:val="center"/>
              <w:rPr>
                <w:lang w:val="da-DK"/>
              </w:rPr>
            </w:pPr>
            <w:r w:rsidRPr="00E04698">
              <w:rPr>
                <w:lang w:val="da-DK"/>
              </w:rPr>
              <w:t>15 % (11; 18)</w:t>
            </w:r>
          </w:p>
        </w:tc>
      </w:tr>
      <w:tr w:rsidR="00200B99" w:rsidRPr="00E04698" w14:paraId="0968078F"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5513F6B2" w14:textId="77777777" w:rsidR="00200B99" w:rsidRPr="00E04698" w:rsidRDefault="00200B99">
            <w:pPr>
              <w:pStyle w:val="TableParagraph"/>
              <w:ind w:left="0"/>
              <w:rPr>
                <w:lang w:val="da-DK"/>
              </w:rPr>
            </w:pPr>
            <w:r w:rsidRPr="00E04698">
              <w:rPr>
                <w:lang w:val="da-DK"/>
              </w:rPr>
              <w:t>Komplet respons</w:t>
            </w:r>
          </w:p>
        </w:tc>
        <w:tc>
          <w:tcPr>
            <w:tcW w:w="1137" w:type="pct"/>
            <w:tcBorders>
              <w:top w:val="single" w:sz="4" w:space="0" w:color="000000"/>
              <w:left w:val="single" w:sz="4" w:space="0" w:color="000000"/>
              <w:bottom w:val="single" w:sz="4" w:space="0" w:color="000000"/>
              <w:right w:val="single" w:sz="4" w:space="0" w:color="000000"/>
            </w:tcBorders>
            <w:hideMark/>
          </w:tcPr>
          <w:p w14:paraId="79EBDDAF" w14:textId="77777777" w:rsidR="00200B99" w:rsidRPr="00E04698" w:rsidRDefault="00200B99">
            <w:pPr>
              <w:pStyle w:val="TableParagraph"/>
              <w:ind w:left="0"/>
              <w:jc w:val="center"/>
              <w:rPr>
                <w:lang w:val="da-DK"/>
              </w:rPr>
            </w:pPr>
            <w:r w:rsidRPr="00E04698">
              <w:rPr>
                <w:lang w:val="da-DK"/>
              </w:rPr>
              <w:t>7 %</w:t>
            </w:r>
          </w:p>
        </w:tc>
        <w:tc>
          <w:tcPr>
            <w:tcW w:w="1124" w:type="pct"/>
            <w:tcBorders>
              <w:top w:val="single" w:sz="4" w:space="0" w:color="000000"/>
              <w:left w:val="single" w:sz="4" w:space="0" w:color="000000"/>
              <w:bottom w:val="single" w:sz="4" w:space="0" w:color="000000"/>
              <w:right w:val="single" w:sz="4" w:space="0" w:color="000000"/>
            </w:tcBorders>
            <w:hideMark/>
          </w:tcPr>
          <w:p w14:paraId="68A47D4E" w14:textId="77777777" w:rsidR="00200B99" w:rsidRPr="00E04698" w:rsidRDefault="00200B99">
            <w:pPr>
              <w:pStyle w:val="TableParagraph"/>
              <w:ind w:left="0"/>
              <w:jc w:val="center"/>
              <w:rPr>
                <w:lang w:val="da-DK"/>
              </w:rPr>
            </w:pPr>
            <w:r w:rsidRPr="00E04698">
              <w:rPr>
                <w:lang w:val="da-DK"/>
              </w:rPr>
              <w:t>3 %</w:t>
            </w:r>
          </w:p>
        </w:tc>
      </w:tr>
      <w:tr w:rsidR="00200B99" w:rsidRPr="00E04698" w14:paraId="6010A5BF"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76F6B3D7" w14:textId="77777777" w:rsidR="00200B99" w:rsidRPr="00E04698" w:rsidRDefault="00200B99">
            <w:pPr>
              <w:pStyle w:val="TableParagraph"/>
              <w:ind w:left="0"/>
              <w:rPr>
                <w:lang w:val="da-DK"/>
              </w:rPr>
            </w:pPr>
            <w:r w:rsidRPr="00E04698">
              <w:rPr>
                <w:lang w:val="da-DK"/>
              </w:rPr>
              <w:t>Partielt respons</w:t>
            </w:r>
          </w:p>
        </w:tc>
        <w:tc>
          <w:tcPr>
            <w:tcW w:w="1137" w:type="pct"/>
            <w:tcBorders>
              <w:top w:val="single" w:sz="4" w:space="0" w:color="000000"/>
              <w:left w:val="single" w:sz="4" w:space="0" w:color="000000"/>
              <w:bottom w:val="single" w:sz="4" w:space="0" w:color="000000"/>
              <w:right w:val="single" w:sz="4" w:space="0" w:color="000000"/>
            </w:tcBorders>
            <w:hideMark/>
          </w:tcPr>
          <w:p w14:paraId="715E3677" w14:textId="77777777" w:rsidR="00200B99" w:rsidRPr="00E04698" w:rsidRDefault="00200B99">
            <w:pPr>
              <w:pStyle w:val="TableParagraph"/>
              <w:ind w:left="0"/>
              <w:jc w:val="center"/>
              <w:rPr>
                <w:lang w:val="da-DK"/>
              </w:rPr>
            </w:pPr>
            <w:r w:rsidRPr="00E04698">
              <w:rPr>
                <w:lang w:val="da-DK"/>
              </w:rPr>
              <w:t>25 %</w:t>
            </w:r>
          </w:p>
        </w:tc>
        <w:tc>
          <w:tcPr>
            <w:tcW w:w="1124" w:type="pct"/>
            <w:tcBorders>
              <w:top w:val="single" w:sz="4" w:space="0" w:color="000000"/>
              <w:left w:val="single" w:sz="4" w:space="0" w:color="000000"/>
              <w:bottom w:val="single" w:sz="4" w:space="0" w:color="000000"/>
              <w:right w:val="single" w:sz="4" w:space="0" w:color="000000"/>
            </w:tcBorders>
            <w:hideMark/>
          </w:tcPr>
          <w:p w14:paraId="465C5AB5" w14:textId="77777777" w:rsidR="00200B99" w:rsidRPr="00E04698" w:rsidRDefault="00200B99">
            <w:pPr>
              <w:pStyle w:val="TableParagraph"/>
              <w:ind w:left="0"/>
              <w:jc w:val="center"/>
              <w:rPr>
                <w:lang w:val="da-DK"/>
              </w:rPr>
            </w:pPr>
            <w:r w:rsidRPr="00E04698">
              <w:rPr>
                <w:lang w:val="da-DK"/>
              </w:rPr>
              <w:t>12 %</w:t>
            </w:r>
          </w:p>
        </w:tc>
      </w:tr>
      <w:tr w:rsidR="00200B99" w:rsidRPr="00E04698" w14:paraId="4996E5D4"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79B381FA" w14:textId="77777777" w:rsidR="00200B99" w:rsidRPr="00E04698" w:rsidRDefault="00200B99">
            <w:pPr>
              <w:pStyle w:val="TableParagraph"/>
              <w:ind w:left="0"/>
              <w:rPr>
                <w:lang w:val="da-DK"/>
              </w:rPr>
            </w:pPr>
            <w:r w:rsidRPr="00E04698">
              <w:rPr>
                <w:lang w:val="da-DK"/>
              </w:rPr>
              <w:t>P-værdi</w:t>
            </w:r>
            <w:r w:rsidRPr="00E04698">
              <w:rPr>
                <w:vertAlign w:val="superscript"/>
              </w:rPr>
              <w:t>f</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768E3BBE" w14:textId="77777777" w:rsidR="00200B99" w:rsidRPr="00E04698" w:rsidRDefault="00200B99">
            <w:pPr>
              <w:pStyle w:val="TableParagraph"/>
              <w:ind w:left="0"/>
              <w:jc w:val="center"/>
              <w:rPr>
                <w:lang w:val="da-DK"/>
              </w:rPr>
            </w:pPr>
            <w:r w:rsidRPr="00E04698">
              <w:rPr>
                <w:lang w:val="da-DK"/>
              </w:rPr>
              <w:t>&lt; 0,0001</w:t>
            </w:r>
          </w:p>
        </w:tc>
      </w:tr>
      <w:tr w:rsidR="00200B99" w:rsidRPr="00E04698" w14:paraId="2F68A072"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3CFBCEF5" w14:textId="77777777" w:rsidR="00200B99" w:rsidRPr="00E04698" w:rsidRDefault="00200B99">
            <w:pPr>
              <w:pStyle w:val="TableParagraph"/>
              <w:ind w:left="0"/>
              <w:rPr>
                <w:b/>
                <w:lang w:val="da-DK"/>
              </w:rPr>
            </w:pPr>
            <w:r w:rsidRPr="00E04698">
              <w:rPr>
                <w:b/>
                <w:lang w:val="da-DK"/>
              </w:rPr>
              <w:t>Varighed af respons</w:t>
            </w:r>
            <w:r w:rsidRPr="00E04698">
              <w:rPr>
                <w:vertAlign w:val="superscript"/>
              </w:rPr>
              <w:t>d</w:t>
            </w:r>
          </w:p>
        </w:tc>
        <w:tc>
          <w:tcPr>
            <w:tcW w:w="1137" w:type="pct"/>
            <w:tcBorders>
              <w:top w:val="single" w:sz="4" w:space="0" w:color="000000"/>
              <w:left w:val="single" w:sz="4" w:space="0" w:color="000000"/>
              <w:bottom w:val="single" w:sz="4" w:space="0" w:color="000000"/>
              <w:right w:val="single" w:sz="4" w:space="0" w:color="000000"/>
            </w:tcBorders>
          </w:tcPr>
          <w:p w14:paraId="233F57C9" w14:textId="77777777" w:rsidR="00200B99" w:rsidRPr="00E04698" w:rsidRDefault="00200B99">
            <w:pPr>
              <w:pStyle w:val="TableParagraph"/>
              <w:ind w:left="0"/>
              <w:rPr>
                <w:lang w:val="da-DK"/>
              </w:rPr>
            </w:pPr>
          </w:p>
        </w:tc>
        <w:tc>
          <w:tcPr>
            <w:tcW w:w="1124" w:type="pct"/>
            <w:tcBorders>
              <w:top w:val="single" w:sz="4" w:space="0" w:color="000000"/>
              <w:left w:val="single" w:sz="4" w:space="0" w:color="000000"/>
              <w:bottom w:val="single" w:sz="4" w:space="0" w:color="000000"/>
              <w:right w:val="single" w:sz="4" w:space="0" w:color="000000"/>
            </w:tcBorders>
          </w:tcPr>
          <w:p w14:paraId="50177822" w14:textId="77777777" w:rsidR="00200B99" w:rsidRPr="00E04698" w:rsidRDefault="00200B99">
            <w:pPr>
              <w:pStyle w:val="TableParagraph"/>
              <w:ind w:left="0"/>
              <w:rPr>
                <w:lang w:val="da-DK"/>
              </w:rPr>
            </w:pPr>
          </w:p>
        </w:tc>
      </w:tr>
      <w:tr w:rsidR="00200B99" w:rsidRPr="00E04698" w14:paraId="0B80B44C" w14:textId="77777777" w:rsidTr="00773EAE">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5BE00510" w14:textId="77777777" w:rsidR="00200B99" w:rsidRPr="00E04698" w:rsidRDefault="00200B99">
            <w:pPr>
              <w:pStyle w:val="TableParagraph"/>
              <w:ind w:left="0"/>
              <w:rPr>
                <w:lang w:val="da-DK"/>
              </w:rPr>
            </w:pPr>
            <w:r w:rsidRPr="00E04698">
              <w:rPr>
                <w:lang w:val="da-DK"/>
              </w:rPr>
              <w:t>Median i måneder</w:t>
            </w:r>
            <w:r w:rsidRPr="00E04698">
              <w:rPr>
                <w:vertAlign w:val="superscript"/>
              </w:rPr>
              <w:t xml:space="preserve">g </w:t>
            </w:r>
            <w:r w:rsidRPr="00E04698">
              <w:rPr>
                <w:lang w:val="da-DK"/>
              </w:rPr>
              <w:t>(interval)</w:t>
            </w:r>
          </w:p>
        </w:tc>
        <w:tc>
          <w:tcPr>
            <w:tcW w:w="1137" w:type="pct"/>
            <w:tcBorders>
              <w:top w:val="single" w:sz="4" w:space="0" w:color="000000"/>
              <w:left w:val="single" w:sz="4" w:space="0" w:color="000000"/>
              <w:bottom w:val="single" w:sz="4" w:space="0" w:color="000000"/>
              <w:right w:val="single" w:sz="4" w:space="0" w:color="000000"/>
            </w:tcBorders>
            <w:hideMark/>
          </w:tcPr>
          <w:p w14:paraId="3C2F13E0" w14:textId="77777777" w:rsidR="00200B99" w:rsidRPr="00E04698" w:rsidRDefault="00200B99">
            <w:pPr>
              <w:pStyle w:val="TableParagraph"/>
              <w:ind w:left="0"/>
              <w:jc w:val="center"/>
              <w:rPr>
                <w:lang w:val="da-DK"/>
              </w:rPr>
            </w:pPr>
            <w:r w:rsidRPr="00E04698">
              <w:rPr>
                <w:lang w:val="da-DK"/>
              </w:rPr>
              <w:t>14,4 (1,6+; 23,7)</w:t>
            </w:r>
          </w:p>
        </w:tc>
        <w:tc>
          <w:tcPr>
            <w:tcW w:w="1124" w:type="pct"/>
            <w:tcBorders>
              <w:top w:val="single" w:sz="4" w:space="0" w:color="000000"/>
              <w:left w:val="single" w:sz="4" w:space="0" w:color="000000"/>
              <w:bottom w:val="single" w:sz="4" w:space="0" w:color="000000"/>
              <w:right w:val="single" w:sz="4" w:space="0" w:color="000000"/>
            </w:tcBorders>
            <w:hideMark/>
          </w:tcPr>
          <w:p w14:paraId="751A42C7" w14:textId="77777777" w:rsidR="00200B99" w:rsidRPr="00E04698" w:rsidRDefault="00200B99">
            <w:pPr>
              <w:pStyle w:val="TableParagraph"/>
              <w:ind w:left="0"/>
              <w:jc w:val="center"/>
              <w:rPr>
                <w:lang w:val="da-DK"/>
              </w:rPr>
            </w:pPr>
            <w:r w:rsidRPr="00E04698">
              <w:rPr>
                <w:lang w:val="da-DK"/>
              </w:rPr>
              <w:t>5,7 (0,0+; 24,2)</w:t>
            </w:r>
          </w:p>
        </w:tc>
      </w:tr>
      <w:tr w:rsidR="00200B99" w:rsidRPr="00E04698" w14:paraId="128D5757" w14:textId="77777777" w:rsidTr="00773EAE">
        <w:trPr>
          <w:trHeight w:val="2289"/>
        </w:trPr>
        <w:tc>
          <w:tcPr>
            <w:tcW w:w="5000" w:type="pct"/>
            <w:gridSpan w:val="3"/>
            <w:tcBorders>
              <w:top w:val="single" w:sz="4" w:space="0" w:color="000000"/>
              <w:left w:val="single" w:sz="4" w:space="0" w:color="000000"/>
              <w:bottom w:val="single" w:sz="4" w:space="0" w:color="000000"/>
              <w:right w:val="single" w:sz="4" w:space="0" w:color="000000"/>
            </w:tcBorders>
            <w:hideMark/>
          </w:tcPr>
          <w:p w14:paraId="63917F94" w14:textId="1F6F3325" w:rsidR="00200B99" w:rsidRPr="00E04698" w:rsidRDefault="00200B99" w:rsidP="00E04698">
            <w:pPr>
              <w:pStyle w:val="TableParagraph"/>
              <w:tabs>
                <w:tab w:val="left" w:pos="417"/>
              </w:tabs>
              <w:ind w:left="0"/>
              <w:rPr>
                <w:lang w:val="da-DK"/>
              </w:rPr>
            </w:pPr>
            <w:r w:rsidRPr="00E04698">
              <w:rPr>
                <w:lang w:val="da-DK"/>
              </w:rPr>
              <w:t xml:space="preserve">a: </w:t>
            </w:r>
            <w:r w:rsidR="00E04698" w:rsidRPr="00E04698">
              <w:rPr>
                <w:lang w:val="da-DK"/>
              </w:rPr>
              <w:tab/>
            </w:r>
            <w:r w:rsidRPr="00E04698">
              <w:rPr>
                <w:lang w:val="da-DK"/>
              </w:rPr>
              <w:t>Baseret på stratificeret Cox-regressionsmodel.</w:t>
            </w:r>
          </w:p>
          <w:p w14:paraId="5FD844E7" w14:textId="0D5EC7D0" w:rsidR="00200B99" w:rsidRPr="00E04698" w:rsidRDefault="00200B99" w:rsidP="00E04698">
            <w:pPr>
              <w:pStyle w:val="TableParagraph"/>
              <w:tabs>
                <w:tab w:val="left" w:pos="417"/>
              </w:tabs>
              <w:ind w:left="0"/>
              <w:rPr>
                <w:lang w:val="da-DK"/>
              </w:rPr>
            </w:pPr>
            <w:r w:rsidRPr="00E04698">
              <w:rPr>
                <w:lang w:val="da-DK"/>
              </w:rPr>
              <w:t xml:space="preserve">b: </w:t>
            </w:r>
            <w:r w:rsidR="00E04698" w:rsidRPr="00E04698">
              <w:rPr>
                <w:lang w:val="da-DK"/>
              </w:rPr>
              <w:tab/>
            </w:r>
            <w:r w:rsidRPr="00E04698">
              <w:rPr>
                <w:lang w:val="da-DK"/>
              </w:rPr>
              <w:t xml:space="preserve">Énsidet nominel p-værdi baseret på stratificeret log-rank-test (endelig analyse). Ved den på </w:t>
            </w:r>
            <w:r w:rsidR="00E04698" w:rsidRPr="00E04698">
              <w:rPr>
                <w:lang w:val="da-DK"/>
              </w:rPr>
              <w:tab/>
            </w:r>
            <w:r w:rsidRPr="00E04698">
              <w:rPr>
                <w:lang w:val="da-DK"/>
              </w:rPr>
              <w:t xml:space="preserve">forhånd planlagte foreløbige analyse af OS med en median opfølgningstid på 11,4 måneder </w:t>
            </w:r>
            <w:r w:rsidR="00E04698" w:rsidRPr="00E04698">
              <w:rPr>
                <w:lang w:val="da-DK"/>
              </w:rPr>
              <w:tab/>
            </w:r>
            <w:r w:rsidRPr="00E04698">
              <w:rPr>
                <w:lang w:val="da-DK"/>
              </w:rPr>
              <w:t>(interval: 0,3 til 26,9 måneder) blev der opnået statistisk væsentlig superioritet for OS ved s</w:t>
            </w:r>
            <w:r w:rsidR="00E04698" w:rsidRPr="00E04698">
              <w:rPr>
                <w:lang w:val="da-DK"/>
              </w:rPr>
              <w:tab/>
            </w:r>
            <w:r w:rsidRPr="00E04698">
              <w:rPr>
                <w:lang w:val="da-DK"/>
              </w:rPr>
              <w:t xml:space="preserve">ammenligning af kombinationen af lenvatinib og pembrolizumab i forhold til doxorubicin eller </w:t>
            </w:r>
            <w:r w:rsidR="00E04698" w:rsidRPr="00E04698">
              <w:rPr>
                <w:lang w:val="da-DK"/>
              </w:rPr>
              <w:tab/>
            </w:r>
            <w:r w:rsidRPr="00E04698">
              <w:rPr>
                <w:lang w:val="da-DK"/>
              </w:rPr>
              <w:t>paclitaxel (HR: 0,62 [95 % CI: 0,51; 0,75] p-værdi &lt; 0,0001).</w:t>
            </w:r>
          </w:p>
          <w:p w14:paraId="06D84097" w14:textId="08242698" w:rsidR="00200B99" w:rsidRPr="00E04698" w:rsidRDefault="00200B99" w:rsidP="00E04698">
            <w:pPr>
              <w:pStyle w:val="TableParagraph"/>
              <w:tabs>
                <w:tab w:val="left" w:pos="417"/>
              </w:tabs>
              <w:ind w:left="0"/>
              <w:rPr>
                <w:lang w:val="da-DK"/>
              </w:rPr>
            </w:pPr>
            <w:r w:rsidRPr="00E04698">
              <w:rPr>
                <w:lang w:val="da-DK"/>
              </w:rPr>
              <w:t xml:space="preserve">c: </w:t>
            </w:r>
            <w:r w:rsidR="00E04698" w:rsidRPr="00E04698">
              <w:rPr>
                <w:lang w:val="da-DK"/>
              </w:rPr>
              <w:tab/>
            </w:r>
            <w:r w:rsidRPr="00E04698">
              <w:rPr>
                <w:lang w:val="da-DK"/>
              </w:rPr>
              <w:t xml:space="preserve">Énsidet p-værdi baseret på stratificeret log-rank-test </w:t>
            </w:r>
          </w:p>
          <w:p w14:paraId="31329F32" w14:textId="6DE95940" w:rsidR="00200B99" w:rsidRPr="00E04698" w:rsidRDefault="00200B99" w:rsidP="00E04698">
            <w:pPr>
              <w:pStyle w:val="TableParagraph"/>
              <w:tabs>
                <w:tab w:val="left" w:pos="417"/>
              </w:tabs>
              <w:ind w:left="0"/>
              <w:rPr>
                <w:lang w:val="da-DK"/>
              </w:rPr>
            </w:pPr>
            <w:r w:rsidRPr="00E04698">
              <w:rPr>
                <w:lang w:val="da-DK"/>
              </w:rPr>
              <w:t xml:space="preserve">d: </w:t>
            </w:r>
            <w:r w:rsidR="00E04698" w:rsidRPr="00E04698">
              <w:rPr>
                <w:lang w:val="da-DK"/>
              </w:rPr>
              <w:tab/>
            </w:r>
            <w:r w:rsidRPr="00E04698">
              <w:rPr>
                <w:lang w:val="da-DK"/>
              </w:rPr>
              <w:t>Ved på forhånd planlagt foreløbig analyse.</w:t>
            </w:r>
          </w:p>
          <w:p w14:paraId="7E121FCC" w14:textId="2C11E9C2" w:rsidR="00200B99" w:rsidRPr="00E04698" w:rsidRDefault="00200B99" w:rsidP="00E04698">
            <w:pPr>
              <w:pStyle w:val="TableParagraph"/>
              <w:tabs>
                <w:tab w:val="left" w:pos="417"/>
              </w:tabs>
              <w:ind w:left="0"/>
              <w:rPr>
                <w:lang w:val="da-DK"/>
              </w:rPr>
            </w:pPr>
            <w:r w:rsidRPr="00E04698">
              <w:rPr>
                <w:lang w:val="da-DK"/>
              </w:rPr>
              <w:t xml:space="preserve">e: </w:t>
            </w:r>
            <w:r w:rsidR="00E04698" w:rsidRPr="00E04698">
              <w:rPr>
                <w:lang w:val="da-DK"/>
              </w:rPr>
              <w:tab/>
            </w:r>
            <w:r w:rsidRPr="00E04698">
              <w:rPr>
                <w:lang w:val="da-DK"/>
              </w:rPr>
              <w:t>Respons: Bedste objektive respons som bekræftet komplet respons eller partielt respons.</w:t>
            </w:r>
          </w:p>
          <w:p w14:paraId="185ABEC3" w14:textId="5820D3C2" w:rsidR="00200B99" w:rsidRPr="00E04698" w:rsidRDefault="00200B99" w:rsidP="00E04698">
            <w:pPr>
              <w:pStyle w:val="TableParagraph"/>
              <w:tabs>
                <w:tab w:val="left" w:pos="417"/>
              </w:tabs>
              <w:ind w:left="0"/>
              <w:rPr>
                <w:lang w:val="da-DK"/>
              </w:rPr>
            </w:pPr>
            <w:r w:rsidRPr="00E04698">
              <w:rPr>
                <w:lang w:val="da-DK"/>
              </w:rPr>
              <w:t xml:space="preserve">f: </w:t>
            </w:r>
            <w:r w:rsidR="00E04698" w:rsidRPr="00E04698">
              <w:rPr>
                <w:lang w:val="da-DK"/>
              </w:rPr>
              <w:tab/>
            </w:r>
            <w:r w:rsidRPr="00E04698">
              <w:rPr>
                <w:lang w:val="da-DK"/>
              </w:rPr>
              <w:t xml:space="preserve">Baseret på Miettinen og Nurminen-metoden stratificeret efter ECOG-performancestatus, </w:t>
            </w:r>
            <w:r w:rsidR="00E04698" w:rsidRPr="00E04698">
              <w:rPr>
                <w:lang w:val="da-DK"/>
              </w:rPr>
              <w:tab/>
            </w:r>
            <w:r w:rsidRPr="00E04698">
              <w:rPr>
                <w:lang w:val="da-DK"/>
              </w:rPr>
              <w:t>geografisk region og tidligere bestråling af pelvis.</w:t>
            </w:r>
          </w:p>
          <w:p w14:paraId="6C54F6CF" w14:textId="7E689C74" w:rsidR="00200B99" w:rsidRPr="00E04698" w:rsidRDefault="00200B99" w:rsidP="00E04698">
            <w:pPr>
              <w:pStyle w:val="TableParagraph"/>
              <w:tabs>
                <w:tab w:val="left" w:pos="417"/>
              </w:tabs>
              <w:ind w:left="0"/>
              <w:rPr>
                <w:lang w:val="da-DK"/>
              </w:rPr>
            </w:pPr>
            <w:r w:rsidRPr="00E04698">
              <w:rPr>
                <w:lang w:val="da-DK"/>
              </w:rPr>
              <w:t xml:space="preserve">g: </w:t>
            </w:r>
            <w:r w:rsidR="00E04698" w:rsidRPr="00E04698">
              <w:rPr>
                <w:lang w:val="da-DK"/>
              </w:rPr>
              <w:tab/>
            </w:r>
            <w:r w:rsidRPr="00E04698">
              <w:rPr>
                <w:lang w:val="da-DK"/>
              </w:rPr>
              <w:t>Baseret på Kaplan-Meier-estimat.</w:t>
            </w:r>
          </w:p>
        </w:tc>
      </w:tr>
    </w:tbl>
    <w:p w14:paraId="535C6D0F" w14:textId="77777777" w:rsidR="00200B99" w:rsidRPr="000C059E" w:rsidRDefault="00200B99" w:rsidP="00200B99">
      <w:pPr>
        <w:pStyle w:val="Brdtekst"/>
        <w:rPr>
          <w:sz w:val="24"/>
          <w:szCs w:val="24"/>
          <w:lang w:val="da-DK"/>
        </w:rPr>
      </w:pPr>
    </w:p>
    <w:p w14:paraId="1BD0CB18" w14:textId="4823F621" w:rsidR="00200B99" w:rsidRPr="000C059E" w:rsidRDefault="00200B99" w:rsidP="00342BB7">
      <w:pPr>
        <w:keepNext/>
        <w:rPr>
          <w:b/>
          <w:sz w:val="24"/>
          <w:szCs w:val="24"/>
        </w:rPr>
      </w:pPr>
      <w:r w:rsidRPr="000C059E">
        <w:rPr>
          <w:b/>
          <w:sz w:val="24"/>
          <w:szCs w:val="24"/>
        </w:rPr>
        <w:t>Figur 3</w:t>
      </w:r>
      <w:r w:rsidR="009F06ED">
        <w:rPr>
          <w:b/>
          <w:sz w:val="24"/>
          <w:szCs w:val="24"/>
        </w:rPr>
        <w:t>.</w:t>
      </w:r>
      <w:r w:rsidRPr="000C059E">
        <w:rPr>
          <w:b/>
          <w:sz w:val="24"/>
          <w:szCs w:val="24"/>
        </w:rPr>
        <w:t xml:space="preserve"> Kaplan-Meier-kurver for samlet overlevelse i studie</w:t>
      </w:r>
      <w:r w:rsidRPr="000C059E">
        <w:rPr>
          <w:b/>
          <w:spacing w:val="-11"/>
          <w:sz w:val="24"/>
          <w:szCs w:val="24"/>
        </w:rPr>
        <w:t xml:space="preserve"> </w:t>
      </w:r>
      <w:r w:rsidRPr="000C059E">
        <w:rPr>
          <w:b/>
          <w:sz w:val="24"/>
          <w:szCs w:val="24"/>
        </w:rPr>
        <w:t>309*</w:t>
      </w:r>
    </w:p>
    <w:p w14:paraId="340C07C0" w14:textId="743B51D6" w:rsidR="00200B99" w:rsidRPr="009F06ED" w:rsidRDefault="00200B99" w:rsidP="00342BB7">
      <w:pPr>
        <w:pStyle w:val="Brdtekst"/>
        <w:keepNext/>
        <w:widowControl/>
        <w:rPr>
          <w:sz w:val="24"/>
          <w:szCs w:val="24"/>
          <w:lang w:val="da-DK"/>
        </w:rPr>
      </w:pPr>
    </w:p>
    <w:p w14:paraId="30570499" w14:textId="26A628C8" w:rsidR="00200B99" w:rsidRPr="009F06ED" w:rsidRDefault="009F06ED" w:rsidP="00342BB7">
      <w:pPr>
        <w:pStyle w:val="Brdtekst"/>
        <w:keepNext/>
        <w:widowControl/>
        <w:rPr>
          <w:sz w:val="24"/>
          <w:szCs w:val="24"/>
          <w:lang w:val="da-DK"/>
        </w:rPr>
      </w:pPr>
      <w:r>
        <w:rPr>
          <w:noProof/>
        </w:rPr>
        <w:drawing>
          <wp:inline distT="0" distB="0" distL="0" distR="0" wp14:anchorId="0A3F1370" wp14:editId="02245D82">
            <wp:extent cx="6120130" cy="3493770"/>
            <wp:effectExtent l="0" t="0" r="0" b="0"/>
            <wp:docPr id="63" name="Billed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3493770"/>
                    </a:xfrm>
                    <a:prstGeom prst="rect">
                      <a:avLst/>
                    </a:prstGeom>
                  </pic:spPr>
                </pic:pic>
              </a:graphicData>
            </a:graphic>
          </wp:inline>
        </w:drawing>
      </w:r>
    </w:p>
    <w:p w14:paraId="5D7EC54E" w14:textId="77777777" w:rsidR="00200B99" w:rsidRPr="00A46B81" w:rsidRDefault="00200B99" w:rsidP="00342BB7">
      <w:pPr>
        <w:keepNext/>
        <w:rPr>
          <w:sz w:val="22"/>
          <w:szCs w:val="22"/>
        </w:rPr>
      </w:pPr>
      <w:r w:rsidRPr="00A46B81">
        <w:rPr>
          <w:sz w:val="22"/>
          <w:szCs w:val="22"/>
        </w:rPr>
        <w:t>*Baseret på den endelige analyse planlagt i protokollen.</w:t>
      </w:r>
    </w:p>
    <w:p w14:paraId="63643C97" w14:textId="77777777" w:rsidR="00200B99" w:rsidRPr="000C059E" w:rsidRDefault="00200B99" w:rsidP="00200B99">
      <w:pPr>
        <w:rPr>
          <w:sz w:val="24"/>
          <w:szCs w:val="24"/>
        </w:rPr>
      </w:pPr>
    </w:p>
    <w:p w14:paraId="0DBD9772" w14:textId="446B3AE9" w:rsidR="00200B99" w:rsidRPr="000C059E" w:rsidRDefault="00200B99" w:rsidP="00342BB7">
      <w:pPr>
        <w:keepNext/>
        <w:rPr>
          <w:b/>
          <w:bCs/>
          <w:sz w:val="24"/>
          <w:szCs w:val="24"/>
        </w:rPr>
      </w:pPr>
      <w:r w:rsidRPr="000C059E">
        <w:rPr>
          <w:b/>
          <w:sz w:val="24"/>
          <w:szCs w:val="24"/>
        </w:rPr>
        <w:t>Figur 4 Kaplan-Meier-kurver for progressionsfri overlevelse i studie</w:t>
      </w:r>
      <w:r w:rsidRPr="000C059E">
        <w:rPr>
          <w:b/>
          <w:spacing w:val="-13"/>
          <w:sz w:val="24"/>
          <w:szCs w:val="24"/>
        </w:rPr>
        <w:t xml:space="preserve"> </w:t>
      </w:r>
      <w:r w:rsidRPr="000C059E">
        <w:rPr>
          <w:b/>
          <w:sz w:val="24"/>
          <w:szCs w:val="24"/>
        </w:rPr>
        <w:t>309</w:t>
      </w:r>
    </w:p>
    <w:p w14:paraId="3D67A5EA" w14:textId="29810271" w:rsidR="00200B99" w:rsidRPr="00A46B81" w:rsidRDefault="00200B99" w:rsidP="00342BB7">
      <w:pPr>
        <w:pStyle w:val="Brdtekst"/>
        <w:keepNext/>
        <w:widowControl/>
        <w:rPr>
          <w:sz w:val="24"/>
          <w:szCs w:val="24"/>
          <w:lang w:val="da-DK"/>
        </w:rPr>
      </w:pPr>
    </w:p>
    <w:p w14:paraId="554780B7" w14:textId="38392E50" w:rsidR="009F06ED" w:rsidRPr="00A46B81" w:rsidRDefault="009F06ED" w:rsidP="00342BB7">
      <w:pPr>
        <w:pStyle w:val="Brdtekst"/>
        <w:keepNext/>
        <w:widowControl/>
        <w:rPr>
          <w:sz w:val="24"/>
          <w:szCs w:val="24"/>
          <w:lang w:val="da-DK"/>
        </w:rPr>
      </w:pPr>
      <w:r>
        <w:rPr>
          <w:noProof/>
        </w:rPr>
        <w:drawing>
          <wp:inline distT="0" distB="0" distL="0" distR="0" wp14:anchorId="04B278C0" wp14:editId="0E27FA08">
            <wp:extent cx="6120130" cy="3269615"/>
            <wp:effectExtent l="0" t="0" r="0" b="6985"/>
            <wp:docPr id="64" name="Billed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3269615"/>
                    </a:xfrm>
                    <a:prstGeom prst="rect">
                      <a:avLst/>
                    </a:prstGeom>
                  </pic:spPr>
                </pic:pic>
              </a:graphicData>
            </a:graphic>
          </wp:inline>
        </w:drawing>
      </w:r>
    </w:p>
    <w:p w14:paraId="503E4463" w14:textId="77777777" w:rsidR="00200B99" w:rsidRPr="00A46B81" w:rsidRDefault="00200B99" w:rsidP="00A46B81">
      <w:pPr>
        <w:pStyle w:val="Brdtekst"/>
        <w:ind w:left="851"/>
        <w:rPr>
          <w:sz w:val="24"/>
          <w:szCs w:val="24"/>
          <w:lang w:val="da-DK"/>
        </w:rPr>
      </w:pPr>
    </w:p>
    <w:p w14:paraId="7FD26B4B" w14:textId="77777777" w:rsidR="00200B99" w:rsidRPr="00A46B81" w:rsidRDefault="00200B99" w:rsidP="00773EAE">
      <w:pPr>
        <w:ind w:left="851"/>
        <w:rPr>
          <w:i/>
          <w:sz w:val="24"/>
          <w:szCs w:val="24"/>
          <w:u w:val="single"/>
        </w:rPr>
      </w:pPr>
      <w:r w:rsidRPr="00A46B81">
        <w:rPr>
          <w:i/>
          <w:sz w:val="24"/>
          <w:szCs w:val="24"/>
          <w:u w:val="single"/>
        </w:rPr>
        <w:t>Forlængelse af QT-intervallet</w:t>
      </w:r>
    </w:p>
    <w:p w14:paraId="466B1A93" w14:textId="77777777" w:rsidR="00200B99" w:rsidRPr="000C059E" w:rsidRDefault="00200B99" w:rsidP="00773EAE">
      <w:pPr>
        <w:ind w:left="851"/>
        <w:rPr>
          <w:sz w:val="24"/>
          <w:szCs w:val="24"/>
        </w:rPr>
      </w:pPr>
    </w:p>
    <w:p w14:paraId="15E75CD6" w14:textId="77777777" w:rsidR="00200B99" w:rsidRPr="000C059E" w:rsidRDefault="00200B99" w:rsidP="00773EAE">
      <w:pPr>
        <w:ind w:left="851"/>
        <w:rPr>
          <w:sz w:val="24"/>
          <w:szCs w:val="24"/>
        </w:rPr>
      </w:pPr>
      <w:r w:rsidRPr="000C059E">
        <w:rPr>
          <w:sz w:val="24"/>
          <w:szCs w:val="24"/>
        </w:rPr>
        <w:t>En enkelt dosis på 32 mg lenvatinib forlængede ikke QT/QTc-intervallet, baseret på resultater fra et grundigt QT-studie af raske frivillige. Forlængelse af QT/QTc-intervallet er imidlertid blevet rapporteret med en større forekomst hos patienter i behandling med lenvatinib end hos patienter i behandling med placebo (se pkt. 4.4 og 4.8).</w:t>
      </w:r>
    </w:p>
    <w:p w14:paraId="67E132A4" w14:textId="77777777" w:rsidR="00200B99" w:rsidRPr="000C059E" w:rsidRDefault="00200B99" w:rsidP="00773EAE">
      <w:pPr>
        <w:ind w:left="851"/>
        <w:rPr>
          <w:sz w:val="24"/>
          <w:szCs w:val="24"/>
        </w:rPr>
      </w:pPr>
    </w:p>
    <w:p w14:paraId="4560A08F" w14:textId="77777777" w:rsidR="00200B99" w:rsidRPr="00A46B81" w:rsidRDefault="00200B99" w:rsidP="00773EAE">
      <w:pPr>
        <w:ind w:left="851"/>
        <w:rPr>
          <w:sz w:val="24"/>
          <w:szCs w:val="24"/>
          <w:u w:val="single"/>
        </w:rPr>
      </w:pPr>
      <w:r w:rsidRPr="00A46B81">
        <w:rPr>
          <w:sz w:val="24"/>
          <w:szCs w:val="24"/>
          <w:u w:val="single"/>
        </w:rPr>
        <w:t>Pædiatrisk population</w:t>
      </w:r>
    </w:p>
    <w:p w14:paraId="26FC65C4" w14:textId="77777777" w:rsidR="00200B99" w:rsidRPr="000C059E" w:rsidRDefault="00200B99" w:rsidP="00773EAE">
      <w:pPr>
        <w:ind w:left="851"/>
        <w:rPr>
          <w:sz w:val="24"/>
          <w:szCs w:val="24"/>
        </w:rPr>
      </w:pPr>
    </w:p>
    <w:p w14:paraId="3BD8E58C" w14:textId="77777777" w:rsidR="00200B99" w:rsidRPr="000C059E" w:rsidRDefault="00200B99" w:rsidP="00773EAE">
      <w:pPr>
        <w:ind w:left="851"/>
        <w:rPr>
          <w:sz w:val="24"/>
          <w:szCs w:val="24"/>
        </w:rPr>
      </w:pPr>
      <w:r w:rsidRPr="000C059E">
        <w:rPr>
          <w:sz w:val="24"/>
          <w:szCs w:val="24"/>
        </w:rPr>
        <w:t>Det Europæiske Lægemiddelagentur har udsat forpligtelsen til at fremlægge resultaterne af studier med lenvatinib i en eller flere undergrupper af den pædiatriske population til behandling af hepatocellulært karcinom (HCC) og endometriekarcinom (EC) (se pkt. 4.2 for oplysninger om pædiatrisk brug).</w:t>
      </w:r>
    </w:p>
    <w:p w14:paraId="0AEB016E" w14:textId="77777777" w:rsidR="00200B99" w:rsidRPr="000C059E" w:rsidRDefault="00200B99" w:rsidP="00773EAE">
      <w:pPr>
        <w:ind w:left="851"/>
        <w:rPr>
          <w:sz w:val="24"/>
          <w:szCs w:val="24"/>
        </w:rPr>
      </w:pPr>
    </w:p>
    <w:p w14:paraId="74A29D11" w14:textId="77777777" w:rsidR="00200B99" w:rsidRPr="00A46B81" w:rsidRDefault="00200B99" w:rsidP="00773EAE">
      <w:pPr>
        <w:ind w:left="851"/>
        <w:rPr>
          <w:i/>
          <w:sz w:val="24"/>
          <w:szCs w:val="24"/>
          <w:u w:val="single"/>
        </w:rPr>
      </w:pPr>
      <w:r w:rsidRPr="00A46B81">
        <w:rPr>
          <w:i/>
          <w:sz w:val="24"/>
          <w:szCs w:val="24"/>
          <w:u w:val="single"/>
        </w:rPr>
        <w:t>Pædiatriske studier</w:t>
      </w:r>
    </w:p>
    <w:p w14:paraId="1D7099A7" w14:textId="77777777" w:rsidR="00200B99" w:rsidRPr="000C059E" w:rsidRDefault="00200B99" w:rsidP="00773EAE">
      <w:pPr>
        <w:ind w:left="851"/>
        <w:rPr>
          <w:sz w:val="24"/>
          <w:szCs w:val="24"/>
        </w:rPr>
      </w:pPr>
    </w:p>
    <w:p w14:paraId="03C3548B" w14:textId="77777777" w:rsidR="00200B99" w:rsidRPr="000C059E" w:rsidRDefault="00200B99" w:rsidP="00773EAE">
      <w:pPr>
        <w:ind w:left="851"/>
        <w:rPr>
          <w:sz w:val="24"/>
          <w:szCs w:val="24"/>
        </w:rPr>
      </w:pPr>
      <w:r w:rsidRPr="000C059E">
        <w:rPr>
          <w:sz w:val="24"/>
          <w:szCs w:val="24"/>
        </w:rPr>
        <w:t>Lenvatinibs virkning blev vurderet men ikke klarlagt i fire åbne studier:</w:t>
      </w:r>
    </w:p>
    <w:p w14:paraId="778F06CC" w14:textId="77777777" w:rsidR="00200B99" w:rsidRPr="000C059E" w:rsidRDefault="00200B99" w:rsidP="00773EAE">
      <w:pPr>
        <w:ind w:left="851"/>
        <w:rPr>
          <w:sz w:val="24"/>
          <w:szCs w:val="24"/>
        </w:rPr>
      </w:pPr>
    </w:p>
    <w:p w14:paraId="4504CA0D" w14:textId="77777777" w:rsidR="00200B99" w:rsidRPr="000C059E" w:rsidRDefault="00200B99" w:rsidP="00773EAE">
      <w:pPr>
        <w:ind w:left="851"/>
        <w:rPr>
          <w:sz w:val="24"/>
          <w:szCs w:val="24"/>
        </w:rPr>
      </w:pPr>
      <w:r w:rsidRPr="000C059E">
        <w:rPr>
          <w:sz w:val="24"/>
          <w:szCs w:val="24"/>
        </w:rPr>
        <w:t>Studie 207 var et fase 1/2, åbent, dosisbestemmende og aktivitetsestimerende multicenterstudie af lenvatinib som enkeltstof og i kombination med ifosfamid og etoposid hos pædiatriske patienter (i alderen 2 til &lt; 18 år; 2 til &lt; 25 år for osteosarkom) med recidiverende eller refraktære faste tumorer. I alt 97 patienter blev indskrevet. I den dosisbestemmende enkeltstofskohorte med lenvatinib blev der indskrevet 23 patienter, som fik lenvatinib oralt én gang dagligt i 3 dosisniveauer (11, 14 eller 17 mg/m</w:t>
      </w:r>
      <w:r w:rsidRPr="000C059E">
        <w:rPr>
          <w:sz w:val="24"/>
          <w:szCs w:val="24"/>
          <w:vertAlign w:val="superscript"/>
        </w:rPr>
        <w:t>2</w:t>
      </w:r>
      <w:r w:rsidRPr="000C059E">
        <w:rPr>
          <w:sz w:val="24"/>
          <w:szCs w:val="24"/>
        </w:rPr>
        <w:t>). I den dosisbestemmende kohorte med lenvatinib i kombination med ifosfamid og etoposid blev der i alt indskrevet 22 patienter, som fik lenvatinib i 2 dosisniveauer (11 eller 14 mg/m</w:t>
      </w:r>
      <w:r w:rsidRPr="000C059E">
        <w:rPr>
          <w:sz w:val="24"/>
          <w:szCs w:val="24"/>
          <w:vertAlign w:val="superscript"/>
        </w:rPr>
        <w:t>2</w:t>
      </w:r>
      <w:r w:rsidRPr="000C059E">
        <w:rPr>
          <w:sz w:val="24"/>
          <w:szCs w:val="24"/>
        </w:rPr>
        <w:t>). Den anbefalede dosis af lenvatinib som enkeltstof og i kombination med ifosfamid og etoposid blev bestemt til 14 mg/m</w:t>
      </w:r>
      <w:r w:rsidRPr="000C059E">
        <w:rPr>
          <w:sz w:val="24"/>
          <w:szCs w:val="24"/>
          <w:vertAlign w:val="superscript"/>
        </w:rPr>
        <w:t>2</w:t>
      </w:r>
      <w:r w:rsidRPr="000C059E">
        <w:rPr>
          <w:sz w:val="24"/>
          <w:szCs w:val="24"/>
        </w:rPr>
        <w:t xml:space="preserve"> oralt én gang</w:t>
      </w:r>
      <w:r w:rsidRPr="000C059E">
        <w:rPr>
          <w:spacing w:val="-1"/>
          <w:sz w:val="24"/>
          <w:szCs w:val="24"/>
        </w:rPr>
        <w:t xml:space="preserve"> </w:t>
      </w:r>
      <w:r w:rsidRPr="000C059E">
        <w:rPr>
          <w:sz w:val="24"/>
          <w:szCs w:val="24"/>
        </w:rPr>
        <w:t>dagligt.</w:t>
      </w:r>
    </w:p>
    <w:p w14:paraId="63C83DFF" w14:textId="77777777" w:rsidR="00200B99" w:rsidRPr="000C059E" w:rsidRDefault="00200B99" w:rsidP="00773EAE">
      <w:pPr>
        <w:ind w:left="851"/>
        <w:rPr>
          <w:sz w:val="24"/>
          <w:szCs w:val="24"/>
        </w:rPr>
      </w:pPr>
    </w:p>
    <w:p w14:paraId="13FF4159" w14:textId="1536F21C" w:rsidR="00200B99" w:rsidRPr="000C059E" w:rsidRDefault="00200B99" w:rsidP="00773EAE">
      <w:pPr>
        <w:ind w:left="851"/>
        <w:rPr>
          <w:sz w:val="24"/>
          <w:szCs w:val="24"/>
        </w:rPr>
      </w:pPr>
      <w:r w:rsidRPr="000C059E">
        <w:rPr>
          <w:sz w:val="24"/>
          <w:szCs w:val="24"/>
        </w:rPr>
        <w:t>I ekspansions-enkeltstofskohorten med lenvatinib til recidiverende eller refraktær DTC var det primære virkningsudfald objektiv responsrate (ORR; fuldstændigt respons [CR] + delvist respons [PR]). Der blev indskrevet én patient, og denne patient opnåede PR. Både i ekspansions-enkeltstofskohorten med lenvatinib og ekspansionskohorten med lenvatinib i kombination med ifosfamid og etoposid til recividerende eller refraktært osteosarkom var det primære virkningsudfald en progressionsfri overlevelsesrate efter 4 måneder (PFS-4). PFS-4 ved binomialt estimat, der omfattede alle 31 patienter, som blev behandlet med lenvatinib som enkeltstof, var 29 % (95 % CI: 14,2; 48,0). PFS-4 ved binomialt estimat hos alle 20 patienter, som blev behandlet med lenvatinib i kombination med ifosfamid og etoposid i ekspansionskohorten, var 50 % (95 % CI: 27,2; 72,8).</w:t>
      </w:r>
    </w:p>
    <w:p w14:paraId="427AA16A" w14:textId="77777777" w:rsidR="00200B99" w:rsidRPr="000C059E" w:rsidRDefault="00200B99" w:rsidP="00773EAE">
      <w:pPr>
        <w:ind w:left="851"/>
        <w:rPr>
          <w:sz w:val="24"/>
          <w:szCs w:val="24"/>
        </w:rPr>
      </w:pPr>
    </w:p>
    <w:p w14:paraId="10EB9047" w14:textId="7DCF3AC8" w:rsidR="00200B99" w:rsidRPr="000C059E" w:rsidRDefault="00200B99" w:rsidP="00773EAE">
      <w:pPr>
        <w:ind w:left="851"/>
        <w:rPr>
          <w:sz w:val="24"/>
          <w:szCs w:val="24"/>
        </w:rPr>
      </w:pPr>
      <w:r w:rsidRPr="000C059E">
        <w:rPr>
          <w:sz w:val="24"/>
          <w:szCs w:val="24"/>
        </w:rPr>
        <w:t>Studie 216 var et multicenter, åbent, enkeltarmet fase 1/2-studie til at bestemme sikkerheden, tolerabiliteten og antitumoraktiviteten af lenvatinib, der blev administreret i kombination med everolimus til pædiatriske patienter (og unge voksne i alderen ≤ 21 år) med recidiverende eller refraktære faste maligniteter, herunder CNS-tumorer. I alt 64 patienter blev indskrevet og behandlet. I fase 1 (dosisbestemmende kombinationskohorte) blev 23 patienter indskrevet og behandlet: 5 ved dosisniveauet –1 (lenvatinib 8 mg/m</w:t>
      </w:r>
      <w:r w:rsidRPr="000C059E">
        <w:rPr>
          <w:sz w:val="24"/>
          <w:szCs w:val="24"/>
          <w:vertAlign w:val="superscript"/>
        </w:rPr>
        <w:t>2</w:t>
      </w:r>
      <w:r w:rsidRPr="000C059E">
        <w:rPr>
          <w:sz w:val="24"/>
          <w:szCs w:val="24"/>
        </w:rPr>
        <w:t xml:space="preserve"> og everolimus 3 mg/m</w:t>
      </w:r>
      <w:r w:rsidRPr="000C059E">
        <w:rPr>
          <w:sz w:val="24"/>
          <w:szCs w:val="24"/>
          <w:vertAlign w:val="superscript"/>
        </w:rPr>
        <w:t>2</w:t>
      </w:r>
      <w:r w:rsidRPr="000C059E">
        <w:rPr>
          <w:sz w:val="24"/>
          <w:szCs w:val="24"/>
        </w:rPr>
        <w:t>) og 18 ved dosisniveauet 1 (lenvatinib 11 mg/m</w:t>
      </w:r>
      <w:r w:rsidRPr="000C059E">
        <w:rPr>
          <w:sz w:val="24"/>
          <w:szCs w:val="24"/>
          <w:vertAlign w:val="superscript"/>
        </w:rPr>
        <w:t>2</w:t>
      </w:r>
      <w:r w:rsidRPr="000C059E">
        <w:rPr>
          <w:sz w:val="24"/>
          <w:szCs w:val="24"/>
        </w:rPr>
        <w:t xml:space="preserve"> og everolimus 3</w:t>
      </w:r>
      <w:r w:rsidR="00342BB7">
        <w:rPr>
          <w:sz w:val="24"/>
          <w:szCs w:val="24"/>
        </w:rPr>
        <w:t> </w:t>
      </w:r>
      <w:r w:rsidRPr="000C059E">
        <w:rPr>
          <w:sz w:val="24"/>
          <w:szCs w:val="24"/>
        </w:rPr>
        <w:t>mg/m</w:t>
      </w:r>
      <w:r w:rsidRPr="000C059E">
        <w:rPr>
          <w:sz w:val="24"/>
          <w:szCs w:val="24"/>
          <w:vertAlign w:val="superscript"/>
        </w:rPr>
        <w:t>2</w:t>
      </w:r>
      <w:r w:rsidRPr="000C059E">
        <w:rPr>
          <w:sz w:val="24"/>
          <w:szCs w:val="24"/>
        </w:rPr>
        <w:t>). Den anbefalede dosis af kombinationen var lenvatinib 11 mg/m</w:t>
      </w:r>
      <w:r w:rsidRPr="000C059E">
        <w:rPr>
          <w:sz w:val="24"/>
          <w:szCs w:val="24"/>
          <w:vertAlign w:val="superscript"/>
        </w:rPr>
        <w:t>2</w:t>
      </w:r>
      <w:r w:rsidRPr="000C059E">
        <w:rPr>
          <w:sz w:val="24"/>
          <w:szCs w:val="24"/>
        </w:rPr>
        <w:t xml:space="preserve"> og everolimus 3</w:t>
      </w:r>
      <w:r w:rsidR="00342BB7">
        <w:rPr>
          <w:sz w:val="24"/>
          <w:szCs w:val="24"/>
        </w:rPr>
        <w:t> </w:t>
      </w:r>
      <w:r w:rsidRPr="000C059E">
        <w:rPr>
          <w:sz w:val="24"/>
          <w:szCs w:val="24"/>
        </w:rPr>
        <w:t>mg/m</w:t>
      </w:r>
      <w:r w:rsidRPr="000C059E">
        <w:rPr>
          <w:sz w:val="24"/>
          <w:szCs w:val="24"/>
          <w:vertAlign w:val="superscript"/>
        </w:rPr>
        <w:t>2</w:t>
      </w:r>
      <w:r w:rsidRPr="000C059E">
        <w:rPr>
          <w:sz w:val="24"/>
          <w:szCs w:val="24"/>
        </w:rPr>
        <w:t>, som blev taget én gang dagligt. I fase 2 (ekspansions-kombinationskohorte) blev 41 patienter indskrevet og behandlet med den anbefalede dosis i følgende kohorter: Ewings sarkom (EWS, n = 10), rhabdomyosarkom (RMS, n = 20) og højgradsgliom (HGG, n</w:t>
      </w:r>
      <w:r w:rsidR="00342BB7">
        <w:rPr>
          <w:sz w:val="24"/>
          <w:szCs w:val="24"/>
        </w:rPr>
        <w:t> </w:t>
      </w:r>
      <w:r w:rsidRPr="000C059E">
        <w:rPr>
          <w:sz w:val="24"/>
          <w:szCs w:val="24"/>
        </w:rPr>
        <w:t>=</w:t>
      </w:r>
      <w:r w:rsidR="00342BB7">
        <w:rPr>
          <w:sz w:val="24"/>
          <w:szCs w:val="24"/>
        </w:rPr>
        <w:t> </w:t>
      </w:r>
      <w:r w:rsidRPr="000C059E">
        <w:rPr>
          <w:sz w:val="24"/>
          <w:szCs w:val="24"/>
        </w:rPr>
        <w:t>11). Det primære</w:t>
      </w:r>
      <w:r w:rsidRPr="000C059E">
        <w:rPr>
          <w:spacing w:val="-5"/>
          <w:sz w:val="24"/>
          <w:szCs w:val="24"/>
        </w:rPr>
        <w:t xml:space="preserve"> </w:t>
      </w:r>
      <w:r w:rsidRPr="000C059E">
        <w:rPr>
          <w:sz w:val="24"/>
          <w:szCs w:val="24"/>
        </w:rPr>
        <w:t>virkningsudfald</w:t>
      </w:r>
      <w:r w:rsidRPr="000C059E">
        <w:rPr>
          <w:spacing w:val="-4"/>
          <w:sz w:val="24"/>
          <w:szCs w:val="24"/>
        </w:rPr>
        <w:t xml:space="preserve"> </w:t>
      </w:r>
      <w:r w:rsidRPr="000C059E">
        <w:rPr>
          <w:sz w:val="24"/>
          <w:szCs w:val="24"/>
        </w:rPr>
        <w:t>var</w:t>
      </w:r>
      <w:r w:rsidRPr="000C059E">
        <w:rPr>
          <w:spacing w:val="-4"/>
          <w:sz w:val="24"/>
          <w:szCs w:val="24"/>
        </w:rPr>
        <w:t xml:space="preserve"> </w:t>
      </w:r>
      <w:r w:rsidRPr="000C059E">
        <w:rPr>
          <w:sz w:val="24"/>
          <w:szCs w:val="24"/>
        </w:rPr>
        <w:t>objektiv</w:t>
      </w:r>
      <w:r w:rsidRPr="000C059E">
        <w:rPr>
          <w:spacing w:val="-4"/>
          <w:sz w:val="24"/>
          <w:szCs w:val="24"/>
        </w:rPr>
        <w:t xml:space="preserve"> </w:t>
      </w:r>
      <w:r w:rsidRPr="000C059E">
        <w:rPr>
          <w:sz w:val="24"/>
          <w:szCs w:val="24"/>
        </w:rPr>
        <w:t>responsrate</w:t>
      </w:r>
      <w:r w:rsidRPr="000C059E">
        <w:rPr>
          <w:spacing w:val="-4"/>
          <w:sz w:val="24"/>
          <w:szCs w:val="24"/>
        </w:rPr>
        <w:t xml:space="preserve"> </w:t>
      </w:r>
      <w:r w:rsidRPr="000C059E">
        <w:rPr>
          <w:sz w:val="24"/>
          <w:szCs w:val="24"/>
        </w:rPr>
        <w:t>(ORR)</w:t>
      </w:r>
      <w:r w:rsidRPr="000C059E">
        <w:rPr>
          <w:spacing w:val="-4"/>
          <w:sz w:val="24"/>
          <w:szCs w:val="24"/>
        </w:rPr>
        <w:t xml:space="preserve"> </w:t>
      </w:r>
      <w:r w:rsidRPr="000C059E">
        <w:rPr>
          <w:sz w:val="24"/>
          <w:szCs w:val="24"/>
        </w:rPr>
        <w:t>i</w:t>
      </w:r>
      <w:r w:rsidRPr="000C059E">
        <w:rPr>
          <w:spacing w:val="-4"/>
          <w:sz w:val="24"/>
          <w:szCs w:val="24"/>
        </w:rPr>
        <w:t xml:space="preserve"> </w:t>
      </w:r>
      <w:r w:rsidRPr="000C059E">
        <w:rPr>
          <w:sz w:val="24"/>
          <w:szCs w:val="24"/>
        </w:rPr>
        <w:t>uge</w:t>
      </w:r>
      <w:r w:rsidRPr="000C059E">
        <w:rPr>
          <w:spacing w:val="-4"/>
          <w:sz w:val="24"/>
          <w:szCs w:val="24"/>
        </w:rPr>
        <w:t xml:space="preserve"> </w:t>
      </w:r>
      <w:r w:rsidRPr="000C059E">
        <w:rPr>
          <w:sz w:val="24"/>
          <w:szCs w:val="24"/>
        </w:rPr>
        <w:t>16</w:t>
      </w:r>
      <w:r w:rsidRPr="000C059E">
        <w:rPr>
          <w:spacing w:val="-5"/>
          <w:sz w:val="24"/>
          <w:szCs w:val="24"/>
        </w:rPr>
        <w:t xml:space="preserve"> </w:t>
      </w:r>
      <w:r w:rsidRPr="000C059E">
        <w:rPr>
          <w:sz w:val="24"/>
          <w:szCs w:val="24"/>
        </w:rPr>
        <w:t>hos</w:t>
      </w:r>
      <w:r w:rsidRPr="000C059E">
        <w:rPr>
          <w:spacing w:val="-5"/>
          <w:sz w:val="24"/>
          <w:szCs w:val="24"/>
        </w:rPr>
        <w:t xml:space="preserve"> </w:t>
      </w:r>
      <w:r w:rsidRPr="000C059E">
        <w:rPr>
          <w:sz w:val="24"/>
          <w:szCs w:val="24"/>
        </w:rPr>
        <w:t>evaluerbare</w:t>
      </w:r>
      <w:r w:rsidRPr="000C059E">
        <w:rPr>
          <w:spacing w:val="-5"/>
          <w:sz w:val="24"/>
          <w:szCs w:val="24"/>
        </w:rPr>
        <w:t xml:space="preserve"> </w:t>
      </w:r>
      <w:r w:rsidRPr="000C059E">
        <w:rPr>
          <w:sz w:val="24"/>
          <w:szCs w:val="24"/>
        </w:rPr>
        <w:t>patienter</w:t>
      </w:r>
      <w:r w:rsidRPr="000C059E">
        <w:rPr>
          <w:spacing w:val="-5"/>
          <w:sz w:val="24"/>
          <w:szCs w:val="24"/>
        </w:rPr>
        <w:t xml:space="preserve"> </w:t>
      </w:r>
      <w:r w:rsidRPr="000C059E">
        <w:rPr>
          <w:sz w:val="24"/>
          <w:szCs w:val="24"/>
        </w:rPr>
        <w:t>baseret</w:t>
      </w:r>
      <w:r w:rsidRPr="000C059E">
        <w:rPr>
          <w:spacing w:val="-1"/>
          <w:sz w:val="24"/>
          <w:szCs w:val="24"/>
        </w:rPr>
        <w:t xml:space="preserve"> </w:t>
      </w:r>
      <w:r w:rsidRPr="000C059E">
        <w:rPr>
          <w:sz w:val="24"/>
          <w:szCs w:val="24"/>
        </w:rPr>
        <w:t>på</w:t>
      </w:r>
      <w:r w:rsidR="00A46B81">
        <w:rPr>
          <w:sz w:val="24"/>
          <w:szCs w:val="24"/>
        </w:rPr>
        <w:t xml:space="preserve"> </w:t>
      </w:r>
      <w:r w:rsidRPr="000C059E">
        <w:rPr>
          <w:sz w:val="24"/>
          <w:szCs w:val="24"/>
        </w:rPr>
        <w:t>investigators vurdering ved brug af RECIST v.1.1 eller RANO (til patienter med HGG). Der blev ikke observeret nogen objektiv respons i EWS- og HGG-kohorterne: 2 delvise responser blev observeret i RMS-kohorten for en ORR i uge 16 på 10 % (95 % CI: 1,2; 31,7).</w:t>
      </w:r>
    </w:p>
    <w:p w14:paraId="380AA71F" w14:textId="77777777" w:rsidR="00200B99" w:rsidRPr="000C059E" w:rsidRDefault="00200B99" w:rsidP="00773EAE">
      <w:pPr>
        <w:ind w:left="851"/>
        <w:rPr>
          <w:sz w:val="24"/>
          <w:szCs w:val="24"/>
        </w:rPr>
      </w:pPr>
    </w:p>
    <w:p w14:paraId="0BBA1400" w14:textId="77777777" w:rsidR="00200B99" w:rsidRPr="000C059E" w:rsidRDefault="00200B99" w:rsidP="00773EAE">
      <w:pPr>
        <w:ind w:left="851"/>
        <w:rPr>
          <w:sz w:val="24"/>
          <w:szCs w:val="24"/>
        </w:rPr>
      </w:pPr>
      <w:r w:rsidRPr="000C059E">
        <w:rPr>
          <w:sz w:val="24"/>
          <w:szCs w:val="24"/>
        </w:rPr>
        <w:t>OLIE-studiet (studie 230) var et fase 2, åbent, randomiseret, kontrolleret multicenterstudie med patienter (i alderen 2 til &lt; 25 år) med recidiverende eller refraktært osteosarkom. I alt 81 patienter blev randomiseret i forholdet 1:1 (78 behandlede, 39 i hver arm) til lenvatinib 14 mg/m</w:t>
      </w:r>
      <w:r w:rsidRPr="000C059E">
        <w:rPr>
          <w:sz w:val="24"/>
          <w:szCs w:val="24"/>
          <w:vertAlign w:val="superscript"/>
        </w:rPr>
        <w:t>2</w:t>
      </w:r>
      <w:r w:rsidRPr="000C059E">
        <w:rPr>
          <w:sz w:val="24"/>
          <w:szCs w:val="24"/>
        </w:rPr>
        <w:t xml:space="preserve"> i kombination med ifosfamid 3000 mg/m</w:t>
      </w:r>
      <w:r w:rsidRPr="000C059E">
        <w:rPr>
          <w:sz w:val="24"/>
          <w:szCs w:val="24"/>
          <w:vertAlign w:val="superscript"/>
        </w:rPr>
        <w:t>2</w:t>
      </w:r>
      <w:r w:rsidRPr="000C059E">
        <w:rPr>
          <w:sz w:val="24"/>
          <w:szCs w:val="24"/>
        </w:rPr>
        <w:t xml:space="preserve"> og etoposid 100 mg/m</w:t>
      </w:r>
      <w:r w:rsidRPr="000C059E">
        <w:rPr>
          <w:sz w:val="24"/>
          <w:szCs w:val="24"/>
          <w:vertAlign w:val="superscript"/>
        </w:rPr>
        <w:t>2</w:t>
      </w:r>
      <w:r w:rsidRPr="000C059E">
        <w:rPr>
          <w:sz w:val="24"/>
          <w:szCs w:val="24"/>
        </w:rPr>
        <w:t xml:space="preserve"> (Arm A) eller ifosfamid 3000 mg/m</w:t>
      </w:r>
      <w:r w:rsidRPr="000C059E">
        <w:rPr>
          <w:sz w:val="24"/>
          <w:szCs w:val="24"/>
          <w:vertAlign w:val="superscript"/>
        </w:rPr>
        <w:t>2</w:t>
      </w:r>
      <w:r w:rsidRPr="000C059E">
        <w:rPr>
          <w:sz w:val="24"/>
          <w:szCs w:val="24"/>
        </w:rPr>
        <w:t xml:space="preserve"> og etoposid 100 mg/m</w:t>
      </w:r>
      <w:r w:rsidRPr="000C059E">
        <w:rPr>
          <w:sz w:val="24"/>
          <w:szCs w:val="24"/>
          <w:vertAlign w:val="superscript"/>
        </w:rPr>
        <w:t>2</w:t>
      </w:r>
      <w:r w:rsidRPr="000C059E">
        <w:rPr>
          <w:sz w:val="24"/>
          <w:szCs w:val="24"/>
        </w:rPr>
        <w:t xml:space="preserve"> (Arm B). Ifosfamid og etoposid blev administreret intravenøst på dag 1 til 3 i hver 21-dages cyklus i højst 5 cyklusser. Behandling med lenvatinib var tilladt indtil RECIST v.1.1-defineret progression af sygdommen, som verificeret med </w:t>
      </w:r>
      <w:r w:rsidRPr="000C059E">
        <w:rPr>
          <w:iCs/>
          <w:sz w:val="24"/>
          <w:szCs w:val="24"/>
        </w:rPr>
        <w:t>Blinded Independent Central Review</w:t>
      </w:r>
      <w:r w:rsidRPr="000C059E">
        <w:rPr>
          <w:sz w:val="24"/>
          <w:szCs w:val="24"/>
        </w:rPr>
        <w:t xml:space="preserve"> (BICR) eller uacceptabel toksicitet. Det primære virkningsudfald var progressionsfri overlevelse (PFS) i henhold til RECIST 1.1 med BICR. Studiet viste ikke en statistisk signifikant forskel i median PFS: 6,5 måneder (95 % CI: 5,7; 8,2) for lenvatinib i kombination med ifosfamid og etoposid versus 5,5 måneder (95 % CI: 2,9; 6,5) for ifosfamid og etoposid (HR=0,54 [95 % CI: 0,27; 1,08]). Studie 230 var ikke sat op til at detektere en statistisk signifikant forskel i OS. Ved slutningen af studieanalysen var HR 0,93 (95 % CI: 0,53; 1,62) for sammenligningen af lenvatinib i kombination med ifosfamid og etoposid versus ifosfamid og etoposid med en median OS på hhv. 12,4 måneder (95 % CI: 10,4; 19,8) versus 17,2 måneder (95 % CI: 11,1; 22,3) og en median opfølgningstid på hhv. 24,1 måneder og 29,5 måneder.</w:t>
      </w:r>
    </w:p>
    <w:p w14:paraId="7C9DFF44" w14:textId="77777777" w:rsidR="00200B99" w:rsidRPr="000C059E" w:rsidRDefault="00200B99" w:rsidP="00773EAE">
      <w:pPr>
        <w:ind w:left="851"/>
        <w:rPr>
          <w:sz w:val="24"/>
          <w:szCs w:val="24"/>
        </w:rPr>
      </w:pPr>
    </w:p>
    <w:p w14:paraId="5456C78B" w14:textId="03638871" w:rsidR="00200B99" w:rsidRPr="000C059E" w:rsidRDefault="00200B99" w:rsidP="00773EAE">
      <w:pPr>
        <w:ind w:left="851"/>
        <w:rPr>
          <w:sz w:val="24"/>
          <w:szCs w:val="24"/>
        </w:rPr>
      </w:pPr>
      <w:r w:rsidRPr="000C059E">
        <w:rPr>
          <w:sz w:val="24"/>
          <w:szCs w:val="24"/>
        </w:rPr>
        <w:t>Studie 231 er et multicenter, åbent, fase 2-kurvestudie til evaluering af antitumoraktiviteten og sikkerheden af lenvatinib hos børn, unge og unge voksne mellem 2 og ≤ 21 år med recidiverende eller refraktære faste maligniteter, herunder EWS, RMS og HGG. I alt 127 patienter blev indskrevet og behandlet med den anbefalede dosis lenvatinib (14 mg/m</w:t>
      </w:r>
      <w:r w:rsidRPr="000C059E">
        <w:rPr>
          <w:sz w:val="24"/>
          <w:szCs w:val="24"/>
          <w:vertAlign w:val="superscript"/>
        </w:rPr>
        <w:t>2</w:t>
      </w:r>
      <w:r w:rsidRPr="000C059E">
        <w:rPr>
          <w:sz w:val="24"/>
          <w:szCs w:val="24"/>
        </w:rPr>
        <w:t>) i følgende kohorter: EWS (n = 9), RMS (n = 17), HGG (n = 8) og andre faste tumorer (n</w:t>
      </w:r>
      <w:r w:rsidR="00342BB7">
        <w:rPr>
          <w:sz w:val="24"/>
          <w:szCs w:val="24"/>
        </w:rPr>
        <w:t> </w:t>
      </w:r>
      <w:r w:rsidRPr="000C059E">
        <w:rPr>
          <w:sz w:val="24"/>
          <w:szCs w:val="24"/>
        </w:rPr>
        <w:t>=</w:t>
      </w:r>
      <w:r w:rsidR="00342BB7">
        <w:rPr>
          <w:sz w:val="24"/>
          <w:szCs w:val="24"/>
        </w:rPr>
        <w:t> </w:t>
      </w:r>
      <w:r w:rsidRPr="000C059E">
        <w:rPr>
          <w:sz w:val="24"/>
          <w:szCs w:val="24"/>
        </w:rPr>
        <w:t>9</w:t>
      </w:r>
      <w:r w:rsidR="00342BB7">
        <w:rPr>
          <w:sz w:val="24"/>
          <w:szCs w:val="24"/>
        </w:rPr>
        <w:t>)</w:t>
      </w:r>
      <w:r w:rsidRPr="000C059E">
        <w:rPr>
          <w:sz w:val="24"/>
          <w:szCs w:val="24"/>
        </w:rPr>
        <w:t xml:space="preserve"> hver for diffust midtlinje gliom, medulloblastom og ependymom, n = 66 for alle andre faste tumorer). Det primære virkningsudfald var ORR i uge 16 hos evaluerbare patienter baseret på investigators vurdering ved brug af RECIST v.1.1 eller RANO (til patienter med HGG). Der blev ikke observeret nogen objektiv respons hos patienter med HGG, diffust midtlinje gliom, medulloblastom eller ependymom. To delvise responser blev observeret i både EWS- og RMS-kohorterne for en ORR i uge 16 på hhv. 22,2 % (95</w:t>
      </w:r>
      <w:r w:rsidR="00342BB7">
        <w:rPr>
          <w:sz w:val="24"/>
          <w:szCs w:val="24"/>
        </w:rPr>
        <w:t> </w:t>
      </w:r>
      <w:r w:rsidRPr="000C059E">
        <w:rPr>
          <w:sz w:val="24"/>
          <w:szCs w:val="24"/>
        </w:rPr>
        <w:t>% CI: 2,8; 60.0) og 11,8 % (95 % CI: 1,5; 36,4). Fem delvise responser (hos patienter med synovialt sarkom [n = 2], kaposiformt hæmangioendotheliom [n = 1], Wilms' tumornefroblastom [n = 1] og clear cell-karcinom [n = 1]) blev observeret blandt alle andre faste tumorer for en ORR i uge 16 på 7,7 % (95 % CI: 2,5; 17,0).</w:t>
      </w:r>
    </w:p>
    <w:p w14:paraId="794E0182" w14:textId="77777777" w:rsidR="009260DE" w:rsidRPr="000C059E" w:rsidRDefault="009260DE" w:rsidP="009260DE">
      <w:pPr>
        <w:tabs>
          <w:tab w:val="left" w:pos="851"/>
        </w:tabs>
        <w:ind w:left="851"/>
        <w:rPr>
          <w:sz w:val="24"/>
          <w:szCs w:val="24"/>
        </w:rPr>
      </w:pPr>
    </w:p>
    <w:p w14:paraId="409CDD99" w14:textId="77777777" w:rsidR="009260DE" w:rsidRPr="000C059E" w:rsidRDefault="009260DE" w:rsidP="009260DE">
      <w:pPr>
        <w:tabs>
          <w:tab w:val="left" w:pos="851"/>
        </w:tabs>
        <w:ind w:left="851" w:hanging="851"/>
        <w:rPr>
          <w:b/>
          <w:sz w:val="24"/>
          <w:szCs w:val="24"/>
        </w:rPr>
      </w:pPr>
      <w:r w:rsidRPr="000C059E">
        <w:rPr>
          <w:b/>
          <w:sz w:val="24"/>
          <w:szCs w:val="24"/>
        </w:rPr>
        <w:t>5.2</w:t>
      </w:r>
      <w:r w:rsidRPr="000C059E">
        <w:rPr>
          <w:b/>
          <w:sz w:val="24"/>
          <w:szCs w:val="24"/>
        </w:rPr>
        <w:tab/>
        <w:t>Farmakokinetiske egenskaber</w:t>
      </w:r>
    </w:p>
    <w:p w14:paraId="334FABB8" w14:textId="77777777" w:rsidR="00200B99" w:rsidRPr="000C059E" w:rsidRDefault="00200B99" w:rsidP="00773EAE">
      <w:pPr>
        <w:ind w:left="851"/>
        <w:rPr>
          <w:sz w:val="24"/>
          <w:szCs w:val="24"/>
        </w:rPr>
      </w:pPr>
      <w:r w:rsidRPr="000C059E">
        <w:rPr>
          <w:sz w:val="24"/>
          <w:szCs w:val="24"/>
        </w:rPr>
        <w:t>Farmakokinetiske parametre for lenvatinib er blevet undersøgt hos raske vokse personer, voksne personer med nedsat leverfunktion, nedsat nyrefunktion og faste tumorer.</w:t>
      </w:r>
    </w:p>
    <w:p w14:paraId="127B7462" w14:textId="77777777" w:rsidR="00200B99" w:rsidRPr="000C059E" w:rsidRDefault="00200B99" w:rsidP="00773EAE">
      <w:pPr>
        <w:ind w:left="851"/>
        <w:rPr>
          <w:sz w:val="24"/>
          <w:szCs w:val="24"/>
        </w:rPr>
      </w:pPr>
    </w:p>
    <w:p w14:paraId="252C9278" w14:textId="77777777" w:rsidR="00200B99" w:rsidRPr="000C059E" w:rsidRDefault="00200B99" w:rsidP="00773EAE">
      <w:pPr>
        <w:ind w:left="851"/>
        <w:rPr>
          <w:sz w:val="24"/>
          <w:szCs w:val="24"/>
        </w:rPr>
      </w:pPr>
      <w:r w:rsidRPr="000C059E">
        <w:rPr>
          <w:sz w:val="24"/>
          <w:szCs w:val="24"/>
          <w:u w:val="single"/>
        </w:rPr>
        <w:t>Absorption</w:t>
      </w:r>
    </w:p>
    <w:p w14:paraId="39FBC848" w14:textId="77777777" w:rsidR="00200B99" w:rsidRPr="000C059E" w:rsidRDefault="00200B99" w:rsidP="00773EAE">
      <w:pPr>
        <w:ind w:left="851"/>
        <w:rPr>
          <w:sz w:val="24"/>
          <w:szCs w:val="24"/>
        </w:rPr>
      </w:pPr>
    </w:p>
    <w:p w14:paraId="0B3F3EF6" w14:textId="77777777" w:rsidR="00200B99" w:rsidRPr="00342BB7" w:rsidRDefault="00200B99" w:rsidP="00342BB7">
      <w:pPr>
        <w:ind w:left="851"/>
        <w:rPr>
          <w:sz w:val="24"/>
          <w:szCs w:val="24"/>
        </w:rPr>
      </w:pPr>
      <w:r w:rsidRPr="00342BB7">
        <w:rPr>
          <w:sz w:val="24"/>
          <w:szCs w:val="24"/>
        </w:rPr>
        <w:t>Lenvatinib absorberes hurtigt efter oral administration med t</w:t>
      </w:r>
      <w:r w:rsidRPr="00342BB7">
        <w:rPr>
          <w:sz w:val="24"/>
          <w:szCs w:val="24"/>
          <w:vertAlign w:val="subscript"/>
        </w:rPr>
        <w:t>maks</w:t>
      </w:r>
      <w:r w:rsidRPr="00342BB7">
        <w:rPr>
          <w:sz w:val="24"/>
          <w:szCs w:val="24"/>
        </w:rPr>
        <w:t>, der typisk observeres fra 1 til 4 timer efter dosering. Mad påvirker ikke absorptionsgraden, men sænker absorptionshastigheden. Når lenvatinib administreres sammen med mad til raske personer, udsættes de maksimale plasmakoncentrationer med 2 timer. Den absolutte biotilgængelighed er ikke blevet bestemt hos mennesker. Data fra et masse-balance-studie tyder imidlertid på, at den er i størrelsesordenen 85 %.</w:t>
      </w:r>
    </w:p>
    <w:p w14:paraId="145F1DD0" w14:textId="77777777" w:rsidR="00200B99" w:rsidRPr="000C059E" w:rsidRDefault="00200B99" w:rsidP="00773EAE">
      <w:pPr>
        <w:ind w:left="851"/>
        <w:rPr>
          <w:sz w:val="24"/>
          <w:szCs w:val="24"/>
        </w:rPr>
      </w:pPr>
      <w:r w:rsidRPr="000C059E">
        <w:rPr>
          <w:sz w:val="24"/>
          <w:szCs w:val="24"/>
        </w:rPr>
        <w:t xml:space="preserve">Lenvatinib udviste god oral biotilgængelighed hos hunde (70,4 %) og aber (78,4 %). </w:t>
      </w:r>
    </w:p>
    <w:p w14:paraId="2007821E" w14:textId="1C761611" w:rsidR="00342BB7" w:rsidRDefault="00342BB7">
      <w:pPr>
        <w:rPr>
          <w:sz w:val="24"/>
          <w:szCs w:val="24"/>
        </w:rPr>
      </w:pPr>
      <w:r>
        <w:rPr>
          <w:sz w:val="24"/>
          <w:szCs w:val="24"/>
        </w:rPr>
        <w:br w:type="page"/>
      </w:r>
    </w:p>
    <w:p w14:paraId="79395ACC" w14:textId="77777777" w:rsidR="00200B99" w:rsidRPr="000C059E" w:rsidRDefault="00200B99" w:rsidP="00773EAE">
      <w:pPr>
        <w:ind w:left="851"/>
        <w:rPr>
          <w:sz w:val="24"/>
          <w:szCs w:val="24"/>
        </w:rPr>
      </w:pPr>
    </w:p>
    <w:p w14:paraId="5B176C4C" w14:textId="77777777" w:rsidR="00200B99" w:rsidRPr="000C059E" w:rsidRDefault="00200B99" w:rsidP="00773EAE">
      <w:pPr>
        <w:ind w:left="851"/>
        <w:rPr>
          <w:sz w:val="24"/>
          <w:szCs w:val="24"/>
        </w:rPr>
      </w:pPr>
      <w:r w:rsidRPr="000C059E">
        <w:rPr>
          <w:sz w:val="24"/>
          <w:szCs w:val="24"/>
          <w:u w:val="single"/>
        </w:rPr>
        <w:t>Fordeling</w:t>
      </w:r>
    </w:p>
    <w:p w14:paraId="2CA290AD" w14:textId="77777777" w:rsidR="00200B99" w:rsidRPr="000C059E" w:rsidRDefault="00200B99" w:rsidP="00773EAE">
      <w:pPr>
        <w:ind w:left="851"/>
        <w:rPr>
          <w:sz w:val="24"/>
          <w:szCs w:val="24"/>
        </w:rPr>
      </w:pPr>
      <w:r w:rsidRPr="000C059E">
        <w:rPr>
          <w:i/>
          <w:sz w:val="24"/>
          <w:szCs w:val="24"/>
        </w:rPr>
        <w:t>In vitro</w:t>
      </w:r>
      <w:r w:rsidRPr="000C059E">
        <w:rPr>
          <w:sz w:val="24"/>
          <w:szCs w:val="24"/>
        </w:rPr>
        <w:t>-binding af lenvatinib til humane plasmaproteiner er høj og i intervallet fra 98 % til 99 % (0,3- 30 μg/ml, mesilat). Denne binding var primært til albumin med en mindre binding til α1-syre glykoprotein og γ-globulin.</w:t>
      </w:r>
    </w:p>
    <w:p w14:paraId="73951A5B" w14:textId="77777777" w:rsidR="00200B99" w:rsidRPr="000C059E" w:rsidRDefault="00200B99" w:rsidP="00773EAE">
      <w:pPr>
        <w:ind w:left="851"/>
        <w:rPr>
          <w:sz w:val="24"/>
          <w:szCs w:val="24"/>
        </w:rPr>
      </w:pPr>
      <w:r w:rsidRPr="000C059E">
        <w:rPr>
          <w:i/>
          <w:sz w:val="24"/>
          <w:szCs w:val="24"/>
        </w:rPr>
        <w:t xml:space="preserve">In vitro </w:t>
      </w:r>
      <w:r w:rsidRPr="000C059E">
        <w:rPr>
          <w:sz w:val="24"/>
          <w:szCs w:val="24"/>
        </w:rPr>
        <w:t>var lenvatinib-blod-til-plasma-koncentrationsforholdet i intervallet fra 0,589 til 0,608 (0,1-10 μg/ml, mesilat).</w:t>
      </w:r>
    </w:p>
    <w:p w14:paraId="3A210946" w14:textId="77777777" w:rsidR="00200B99" w:rsidRPr="000C059E" w:rsidRDefault="00200B99" w:rsidP="00773EAE">
      <w:pPr>
        <w:ind w:left="851"/>
        <w:rPr>
          <w:sz w:val="24"/>
          <w:szCs w:val="24"/>
        </w:rPr>
      </w:pPr>
    </w:p>
    <w:p w14:paraId="206D91C8" w14:textId="77777777" w:rsidR="00200B99" w:rsidRPr="000C059E" w:rsidRDefault="00200B99" w:rsidP="00773EAE">
      <w:pPr>
        <w:ind w:left="851"/>
        <w:rPr>
          <w:sz w:val="24"/>
          <w:szCs w:val="24"/>
        </w:rPr>
      </w:pPr>
      <w:r w:rsidRPr="000C059E">
        <w:rPr>
          <w:sz w:val="24"/>
          <w:szCs w:val="24"/>
        </w:rPr>
        <w:t>Lenvatinib er et substrat for P-gp og BCRP. Lenvatinib er ikke et substrat for OAT1, OAT3, OATP1B1, OATP1B3, OCT1, OCT2, MATE1, MATE2-K eller galdesalt-eksportpumpen BSEP.</w:t>
      </w:r>
    </w:p>
    <w:p w14:paraId="267E66D9" w14:textId="77777777" w:rsidR="00200B99" w:rsidRPr="000C059E" w:rsidRDefault="00200B99" w:rsidP="00773EAE">
      <w:pPr>
        <w:ind w:left="851"/>
        <w:rPr>
          <w:sz w:val="24"/>
          <w:szCs w:val="24"/>
        </w:rPr>
      </w:pPr>
    </w:p>
    <w:p w14:paraId="5A3C475B" w14:textId="5D0EFC59" w:rsidR="00200B99" w:rsidRPr="000C059E" w:rsidRDefault="00200B99" w:rsidP="00773EAE">
      <w:pPr>
        <w:ind w:left="851"/>
        <w:rPr>
          <w:sz w:val="24"/>
          <w:szCs w:val="24"/>
        </w:rPr>
      </w:pPr>
      <w:r w:rsidRPr="000C059E">
        <w:rPr>
          <w:sz w:val="24"/>
          <w:szCs w:val="24"/>
        </w:rPr>
        <w:t>Hos patienterne lå det mediane tilsyneladende fordelingsvolumen (Vz/F) for den første dosis i intervallet fra 50,5 l til 92 l, og det var generelt konsistent i dosisgrupperne fra 3,2</w:t>
      </w:r>
      <w:r w:rsidR="00342BB7">
        <w:rPr>
          <w:sz w:val="24"/>
          <w:szCs w:val="24"/>
        </w:rPr>
        <w:t> </w:t>
      </w:r>
      <w:r w:rsidRPr="000C059E">
        <w:rPr>
          <w:sz w:val="24"/>
          <w:szCs w:val="24"/>
        </w:rPr>
        <w:t xml:space="preserve">mg til 32 mg. Det analoge mediane tilsyneladende fordelingsvolumen ved </w:t>
      </w:r>
      <w:r w:rsidRPr="000C059E">
        <w:rPr>
          <w:i/>
          <w:sz w:val="24"/>
          <w:szCs w:val="24"/>
        </w:rPr>
        <w:t xml:space="preserve">steady state </w:t>
      </w:r>
      <w:r w:rsidRPr="000C059E">
        <w:rPr>
          <w:sz w:val="24"/>
          <w:szCs w:val="24"/>
        </w:rPr>
        <w:t>(Vz/Fss) var også generelt konsistent og i intervallet fra 43,2 l til 121 l.</w:t>
      </w:r>
    </w:p>
    <w:p w14:paraId="558A548F" w14:textId="77777777" w:rsidR="00200B99" w:rsidRPr="000C059E" w:rsidRDefault="00200B99" w:rsidP="00773EAE">
      <w:pPr>
        <w:ind w:left="851"/>
        <w:rPr>
          <w:sz w:val="24"/>
          <w:szCs w:val="24"/>
        </w:rPr>
      </w:pPr>
    </w:p>
    <w:p w14:paraId="36DADE5F" w14:textId="77777777" w:rsidR="00200B99" w:rsidRPr="000C059E" w:rsidRDefault="00200B99" w:rsidP="00773EAE">
      <w:pPr>
        <w:ind w:left="851"/>
        <w:rPr>
          <w:sz w:val="24"/>
          <w:szCs w:val="24"/>
        </w:rPr>
      </w:pPr>
      <w:r w:rsidRPr="000C059E">
        <w:rPr>
          <w:sz w:val="24"/>
          <w:szCs w:val="24"/>
          <w:u w:val="single"/>
        </w:rPr>
        <w:t>Biotransformation</w:t>
      </w:r>
    </w:p>
    <w:p w14:paraId="0591B5FC" w14:textId="77777777" w:rsidR="00200B99" w:rsidRPr="000C059E" w:rsidRDefault="00200B99" w:rsidP="00773EAE">
      <w:pPr>
        <w:ind w:left="851"/>
        <w:rPr>
          <w:sz w:val="24"/>
          <w:szCs w:val="24"/>
        </w:rPr>
      </w:pPr>
    </w:p>
    <w:p w14:paraId="41FF455C" w14:textId="77777777" w:rsidR="00200B99" w:rsidRPr="000C059E" w:rsidRDefault="00200B99" w:rsidP="00773EAE">
      <w:pPr>
        <w:ind w:left="851"/>
        <w:rPr>
          <w:sz w:val="24"/>
          <w:szCs w:val="24"/>
        </w:rPr>
      </w:pPr>
      <w:r w:rsidRPr="000C059E">
        <w:rPr>
          <w:sz w:val="24"/>
          <w:szCs w:val="24"/>
        </w:rPr>
        <w:t xml:space="preserve">Cytokrom P450 3A4 blev </w:t>
      </w:r>
      <w:r w:rsidRPr="000C059E">
        <w:rPr>
          <w:i/>
          <w:sz w:val="24"/>
          <w:szCs w:val="24"/>
        </w:rPr>
        <w:t xml:space="preserve">in vitro </w:t>
      </w:r>
      <w:r w:rsidRPr="000C059E">
        <w:rPr>
          <w:sz w:val="24"/>
          <w:szCs w:val="24"/>
        </w:rPr>
        <w:t xml:space="preserve">demonstreret som den primære (&gt; 80 %) isoform involveret i den P450-medierede metabolisme af lenvatinib. </w:t>
      </w:r>
      <w:r w:rsidRPr="000C059E">
        <w:rPr>
          <w:i/>
          <w:sz w:val="24"/>
          <w:szCs w:val="24"/>
        </w:rPr>
        <w:t>In vivo-</w:t>
      </w:r>
      <w:r w:rsidRPr="000C059E">
        <w:rPr>
          <w:sz w:val="24"/>
          <w:szCs w:val="24"/>
        </w:rPr>
        <w:t xml:space="preserve">data indikerede imidlertid, at metaboliseringsveje, som ikke var medieret af cytokrom P450, udgjorde en signifikant andel af den samlede lenvatinib-metabolisme. Som følge heraf havde inducere og hæmmere af CYP 3A4 </w:t>
      </w:r>
      <w:r w:rsidRPr="000C059E">
        <w:rPr>
          <w:i/>
          <w:sz w:val="24"/>
          <w:szCs w:val="24"/>
        </w:rPr>
        <w:t xml:space="preserve">in vivo </w:t>
      </w:r>
      <w:r w:rsidRPr="000C059E">
        <w:rPr>
          <w:sz w:val="24"/>
          <w:szCs w:val="24"/>
        </w:rPr>
        <w:t>en minimal virkning på lenvatinib-eksponeringen (se pkt. 4.5).</w:t>
      </w:r>
    </w:p>
    <w:p w14:paraId="7914B8D4" w14:textId="77777777" w:rsidR="00200B99" w:rsidRPr="000C059E" w:rsidRDefault="00200B99" w:rsidP="00773EAE">
      <w:pPr>
        <w:ind w:left="851"/>
        <w:rPr>
          <w:sz w:val="24"/>
          <w:szCs w:val="24"/>
        </w:rPr>
      </w:pPr>
    </w:p>
    <w:p w14:paraId="2B039820" w14:textId="77777777" w:rsidR="00200B99" w:rsidRPr="000C059E" w:rsidRDefault="00200B99" w:rsidP="00773EAE">
      <w:pPr>
        <w:ind w:left="851"/>
        <w:rPr>
          <w:sz w:val="24"/>
          <w:szCs w:val="24"/>
        </w:rPr>
      </w:pPr>
      <w:r w:rsidRPr="000C059E">
        <w:rPr>
          <w:sz w:val="24"/>
          <w:szCs w:val="24"/>
        </w:rPr>
        <w:t xml:space="preserve">I humane levermikrosomer blev den demethylerede form af lenvatinib (M2) identificeret som den primære metabolit. M2’ og M3’, de primære metabolitter i </w:t>
      </w:r>
      <w:proofErr w:type="gramStart"/>
      <w:r w:rsidRPr="000C059E">
        <w:rPr>
          <w:sz w:val="24"/>
          <w:szCs w:val="24"/>
        </w:rPr>
        <w:t>human</w:t>
      </w:r>
      <w:proofErr w:type="gramEnd"/>
      <w:r w:rsidRPr="000C059E">
        <w:rPr>
          <w:sz w:val="24"/>
          <w:szCs w:val="24"/>
        </w:rPr>
        <w:t xml:space="preserve"> fæces, blev dannet fra hhv. M2 og lenvatinib af aldehydoxidase.</w:t>
      </w:r>
    </w:p>
    <w:p w14:paraId="43EFC7E2" w14:textId="77777777" w:rsidR="00200B99" w:rsidRPr="000C059E" w:rsidRDefault="00200B99" w:rsidP="00773EAE">
      <w:pPr>
        <w:ind w:left="851"/>
        <w:rPr>
          <w:sz w:val="24"/>
          <w:szCs w:val="24"/>
        </w:rPr>
      </w:pPr>
    </w:p>
    <w:p w14:paraId="60D41525" w14:textId="77777777" w:rsidR="00200B99" w:rsidRPr="000C059E" w:rsidRDefault="00200B99" w:rsidP="00773EAE">
      <w:pPr>
        <w:ind w:left="851"/>
        <w:rPr>
          <w:sz w:val="24"/>
          <w:szCs w:val="24"/>
        </w:rPr>
      </w:pPr>
      <w:r w:rsidRPr="000C059E">
        <w:rPr>
          <w:sz w:val="24"/>
          <w:szCs w:val="24"/>
        </w:rPr>
        <w:t>I plasmaprøver, der blev indsamlet op til 24 timer efter administration, udgjorde lenvatinib 97 % af radioaktiviteten i plasma-radiokromatogrammer, og M2-metabolitten udgjorde yderligere 2,5 %.</w:t>
      </w:r>
    </w:p>
    <w:p w14:paraId="433C29CC" w14:textId="77777777" w:rsidR="00200B99" w:rsidRPr="001D7204" w:rsidRDefault="00200B99" w:rsidP="001D7204">
      <w:pPr>
        <w:ind w:left="851"/>
        <w:rPr>
          <w:sz w:val="24"/>
          <w:szCs w:val="24"/>
        </w:rPr>
      </w:pPr>
      <w:r w:rsidRPr="001D7204">
        <w:rPr>
          <w:sz w:val="24"/>
          <w:szCs w:val="24"/>
        </w:rPr>
        <w:t xml:space="preserve">Baseret på </w:t>
      </w:r>
      <w:proofErr w:type="gramStart"/>
      <w:r w:rsidRPr="001D7204">
        <w:rPr>
          <w:sz w:val="24"/>
          <w:szCs w:val="24"/>
        </w:rPr>
        <w:t>AUC</w:t>
      </w:r>
      <w:r w:rsidRPr="001F14D5">
        <w:rPr>
          <w:sz w:val="24"/>
          <w:szCs w:val="24"/>
          <w:vertAlign w:val="subscript"/>
        </w:rPr>
        <w:t>(</w:t>
      </w:r>
      <w:proofErr w:type="gramEnd"/>
      <w:r w:rsidRPr="001F14D5">
        <w:rPr>
          <w:sz w:val="24"/>
          <w:szCs w:val="24"/>
          <w:vertAlign w:val="subscript"/>
        </w:rPr>
        <w:t>0 – inf)</w:t>
      </w:r>
      <w:r w:rsidRPr="001D7204">
        <w:rPr>
          <w:sz w:val="24"/>
          <w:szCs w:val="24"/>
        </w:rPr>
        <w:t xml:space="preserve"> udgjorde lenvatinib 60 % og 64 % af den totale radioaktivitet i hhv. plasma og blod.</w:t>
      </w:r>
    </w:p>
    <w:p w14:paraId="761C4C86" w14:textId="77777777" w:rsidR="00200B99" w:rsidRPr="000C059E" w:rsidRDefault="00200B99" w:rsidP="00773EAE">
      <w:pPr>
        <w:ind w:left="851"/>
        <w:rPr>
          <w:sz w:val="24"/>
          <w:szCs w:val="24"/>
        </w:rPr>
      </w:pPr>
    </w:p>
    <w:p w14:paraId="36B0B395" w14:textId="77777777" w:rsidR="00200B99" w:rsidRPr="000C059E" w:rsidRDefault="00200B99" w:rsidP="00773EAE">
      <w:pPr>
        <w:ind w:left="851"/>
        <w:rPr>
          <w:sz w:val="24"/>
          <w:szCs w:val="24"/>
        </w:rPr>
      </w:pPr>
      <w:r w:rsidRPr="000C059E">
        <w:rPr>
          <w:sz w:val="24"/>
          <w:szCs w:val="24"/>
        </w:rPr>
        <w:t xml:space="preserve">Data fra et masse-balance/udskillelsesstudie hos mennesker indikerer, at lenvatinib i omfattende grad metaboliseres hos mennesker. De primære metaboliske veje hos mennesker blev identificeret som oxidation ved hjælp af aldehydoxidase, demethylering via CYP3A4, glutathionkonjugering med elimination af O-arylgruppen (chlorphenyl-delen) og kombinationer af disse metabolismeveje, efterfulgt af videre biotransformationer (f.eks. glukuronidation, hydrolyse af glutathion-delen, degradering af cysteindelen og intramolekulær omlejring af cysteinylglycin- og cysteinkonjugater med efterfølgende dimerisering). Disse metabolismeveje </w:t>
      </w:r>
      <w:r w:rsidRPr="000C059E">
        <w:rPr>
          <w:i/>
          <w:sz w:val="24"/>
          <w:szCs w:val="24"/>
        </w:rPr>
        <w:t xml:space="preserve">in vivo </w:t>
      </w:r>
      <w:r w:rsidRPr="000C059E">
        <w:rPr>
          <w:sz w:val="24"/>
          <w:szCs w:val="24"/>
        </w:rPr>
        <w:t xml:space="preserve">er i overensstemmelse med de data, der foreligger fra </w:t>
      </w:r>
      <w:r w:rsidRPr="000C059E">
        <w:rPr>
          <w:i/>
          <w:sz w:val="24"/>
          <w:szCs w:val="24"/>
        </w:rPr>
        <w:t>in vitro</w:t>
      </w:r>
      <w:r w:rsidRPr="000C059E">
        <w:rPr>
          <w:sz w:val="24"/>
          <w:szCs w:val="24"/>
        </w:rPr>
        <w:t>-studier med humant biomateriale.</w:t>
      </w:r>
    </w:p>
    <w:p w14:paraId="33E61B32" w14:textId="77777777" w:rsidR="00200B99" w:rsidRPr="000C059E" w:rsidRDefault="00200B99" w:rsidP="00773EAE">
      <w:pPr>
        <w:ind w:left="851"/>
        <w:rPr>
          <w:sz w:val="24"/>
          <w:szCs w:val="24"/>
        </w:rPr>
      </w:pPr>
    </w:p>
    <w:p w14:paraId="1DAE0C42" w14:textId="77777777" w:rsidR="00200B99" w:rsidRPr="000C059E" w:rsidRDefault="00200B99" w:rsidP="00773EAE">
      <w:pPr>
        <w:ind w:left="851"/>
        <w:rPr>
          <w:i/>
          <w:sz w:val="24"/>
          <w:szCs w:val="24"/>
        </w:rPr>
      </w:pPr>
      <w:r w:rsidRPr="000C059E">
        <w:rPr>
          <w:i/>
          <w:sz w:val="24"/>
          <w:szCs w:val="24"/>
          <w:u w:val="single"/>
        </w:rPr>
        <w:t>In vitro-transporterstudier</w:t>
      </w:r>
    </w:p>
    <w:p w14:paraId="3918F135" w14:textId="77777777" w:rsidR="00200B99" w:rsidRPr="000C059E" w:rsidRDefault="00200B99" w:rsidP="00773EAE">
      <w:pPr>
        <w:ind w:left="851"/>
        <w:rPr>
          <w:i/>
          <w:sz w:val="24"/>
          <w:szCs w:val="24"/>
        </w:rPr>
      </w:pPr>
    </w:p>
    <w:p w14:paraId="0CEA3EB2" w14:textId="77777777" w:rsidR="00200B99" w:rsidRPr="001F14D5" w:rsidRDefault="00200B99" w:rsidP="001F14D5">
      <w:pPr>
        <w:ind w:left="851"/>
        <w:rPr>
          <w:sz w:val="24"/>
          <w:szCs w:val="24"/>
        </w:rPr>
      </w:pPr>
      <w:r w:rsidRPr="001F14D5">
        <w:rPr>
          <w:sz w:val="24"/>
          <w:szCs w:val="24"/>
        </w:rPr>
        <w:t>For de følgende transportere, OAT1, OAT3, OATP1B1, OCT1, OCT2, eller BSEP, blev klinisk relevant hæmning ekskluderet på basis af en afskæring på IC50 &gt; 50 × C</w:t>
      </w:r>
      <w:r w:rsidRPr="001F14D5">
        <w:rPr>
          <w:sz w:val="24"/>
          <w:szCs w:val="24"/>
          <w:vertAlign w:val="subscript"/>
        </w:rPr>
        <w:t>max</w:t>
      </w:r>
      <w:r w:rsidRPr="001F14D5">
        <w:rPr>
          <w:sz w:val="24"/>
          <w:szCs w:val="24"/>
        </w:rPr>
        <w:t>, ubundet.</w:t>
      </w:r>
    </w:p>
    <w:p w14:paraId="1173EE3C" w14:textId="77777777" w:rsidR="00200B99" w:rsidRPr="000C059E" w:rsidRDefault="00200B99" w:rsidP="00773EAE">
      <w:pPr>
        <w:ind w:left="851"/>
        <w:rPr>
          <w:sz w:val="24"/>
          <w:szCs w:val="24"/>
        </w:rPr>
      </w:pPr>
    </w:p>
    <w:p w14:paraId="278736C9" w14:textId="22F3D14E" w:rsidR="00200B99" w:rsidRPr="000C059E" w:rsidRDefault="00200B99" w:rsidP="00773EAE">
      <w:pPr>
        <w:ind w:left="851"/>
        <w:rPr>
          <w:sz w:val="24"/>
          <w:szCs w:val="24"/>
        </w:rPr>
      </w:pPr>
      <w:r w:rsidRPr="000C059E">
        <w:rPr>
          <w:sz w:val="24"/>
          <w:szCs w:val="24"/>
        </w:rPr>
        <w:t>Lenvatinib viste minimal eller ingen hæmmende aktivitet mod P-gp-medierede og brystkræft-resistent protein (BCRP)-medierede transportaktiviteter. Ligeledes blev der ikke observeret en induktion af P-gp mRNA-ekspression.</w:t>
      </w:r>
    </w:p>
    <w:p w14:paraId="094D7F56" w14:textId="77777777" w:rsidR="00200B99" w:rsidRPr="000C059E" w:rsidRDefault="00200B99" w:rsidP="00773EAE">
      <w:pPr>
        <w:ind w:left="851"/>
        <w:rPr>
          <w:sz w:val="24"/>
          <w:szCs w:val="24"/>
        </w:rPr>
      </w:pPr>
    </w:p>
    <w:p w14:paraId="7D1AB033" w14:textId="77777777" w:rsidR="00200B99" w:rsidRPr="000C059E" w:rsidRDefault="00200B99" w:rsidP="00773EAE">
      <w:pPr>
        <w:ind w:left="851"/>
        <w:rPr>
          <w:sz w:val="24"/>
          <w:szCs w:val="24"/>
        </w:rPr>
      </w:pPr>
      <w:r w:rsidRPr="000C059E">
        <w:rPr>
          <w:sz w:val="24"/>
          <w:szCs w:val="24"/>
        </w:rPr>
        <w:t>Lenvatinib viste en minimal eller ingen hæmmende virkning på OATP1B3 og MATE2-K. Lenvatinib hæmmer MATE1 svagt. I humant levercytosol hæmmede lenvatinib ikke aldehydoxidase-aktiviteten.</w:t>
      </w:r>
    </w:p>
    <w:p w14:paraId="03E689F2" w14:textId="77777777" w:rsidR="00200B99" w:rsidRPr="000C059E" w:rsidRDefault="00200B99" w:rsidP="00773EAE">
      <w:pPr>
        <w:ind w:left="851"/>
        <w:rPr>
          <w:sz w:val="24"/>
          <w:szCs w:val="24"/>
        </w:rPr>
      </w:pPr>
    </w:p>
    <w:p w14:paraId="3E46AE4E" w14:textId="77777777" w:rsidR="00200B99" w:rsidRPr="000C059E" w:rsidRDefault="00200B99" w:rsidP="00773EAE">
      <w:pPr>
        <w:ind w:left="851"/>
        <w:rPr>
          <w:sz w:val="24"/>
          <w:szCs w:val="24"/>
        </w:rPr>
      </w:pPr>
      <w:r w:rsidRPr="000C059E">
        <w:rPr>
          <w:sz w:val="24"/>
          <w:szCs w:val="24"/>
          <w:u w:val="single"/>
        </w:rPr>
        <w:t>Elimination</w:t>
      </w:r>
    </w:p>
    <w:p w14:paraId="3899B250" w14:textId="77777777" w:rsidR="00200B99" w:rsidRPr="000C059E" w:rsidRDefault="00200B99" w:rsidP="00773EAE">
      <w:pPr>
        <w:ind w:left="851"/>
        <w:rPr>
          <w:sz w:val="24"/>
          <w:szCs w:val="24"/>
        </w:rPr>
      </w:pPr>
    </w:p>
    <w:p w14:paraId="7B5A87F1" w14:textId="77777777" w:rsidR="00200B99" w:rsidRPr="00342BB7" w:rsidRDefault="00200B99" w:rsidP="00342BB7">
      <w:pPr>
        <w:ind w:left="851"/>
        <w:rPr>
          <w:sz w:val="24"/>
          <w:szCs w:val="24"/>
        </w:rPr>
      </w:pPr>
      <w:r w:rsidRPr="00342BB7">
        <w:rPr>
          <w:sz w:val="24"/>
          <w:szCs w:val="24"/>
        </w:rPr>
        <w:t>Plasmakoncentrationerne falder bieksponentielt efter C</w:t>
      </w:r>
      <w:r w:rsidRPr="00342BB7">
        <w:rPr>
          <w:sz w:val="24"/>
          <w:szCs w:val="24"/>
          <w:vertAlign w:val="subscript"/>
        </w:rPr>
        <w:t>maks</w:t>
      </w:r>
      <w:r w:rsidRPr="00342BB7">
        <w:rPr>
          <w:sz w:val="24"/>
          <w:szCs w:val="24"/>
        </w:rPr>
        <w:t>. Den gennemsnitlige terminale eksponentielle halveringstid for lenvatinib er omkring 28 timer.</w:t>
      </w:r>
    </w:p>
    <w:p w14:paraId="5B1E236F" w14:textId="77777777" w:rsidR="00200B99" w:rsidRPr="000C059E" w:rsidRDefault="00200B99" w:rsidP="00773EAE">
      <w:pPr>
        <w:ind w:left="851"/>
        <w:rPr>
          <w:sz w:val="24"/>
          <w:szCs w:val="24"/>
        </w:rPr>
      </w:pPr>
    </w:p>
    <w:p w14:paraId="2E422EF8" w14:textId="740D5015" w:rsidR="00200B99" w:rsidRPr="000C059E" w:rsidRDefault="00200B99" w:rsidP="00773EAE">
      <w:pPr>
        <w:ind w:left="851"/>
        <w:rPr>
          <w:sz w:val="24"/>
          <w:szCs w:val="24"/>
        </w:rPr>
      </w:pPr>
      <w:r w:rsidRPr="000C059E">
        <w:rPr>
          <w:sz w:val="24"/>
          <w:szCs w:val="24"/>
        </w:rPr>
        <w:t>Efter administration af radioaktivt mærket lenvatinib til 6 patienter med faste tumorer blev ca. to tredjedele og en fjerdedel af den radioaktive mærkning elimineret i hhv. fæces og urin. M3-metabolitten var den primære analyt i excreta (~17 % af dosis), efterfulgt af M2’ (~11 % af dosis) og M2 (~4,4 af dosis).</w:t>
      </w:r>
    </w:p>
    <w:p w14:paraId="3C10AB2C" w14:textId="77777777" w:rsidR="00200B99" w:rsidRPr="000C059E" w:rsidRDefault="00200B99" w:rsidP="00773EAE">
      <w:pPr>
        <w:ind w:left="851"/>
        <w:rPr>
          <w:sz w:val="24"/>
          <w:szCs w:val="24"/>
        </w:rPr>
      </w:pPr>
    </w:p>
    <w:p w14:paraId="668390F9" w14:textId="77777777" w:rsidR="00200B99" w:rsidRPr="000C059E" w:rsidRDefault="00200B99" w:rsidP="00773EAE">
      <w:pPr>
        <w:ind w:left="851"/>
        <w:rPr>
          <w:sz w:val="24"/>
          <w:szCs w:val="24"/>
        </w:rPr>
      </w:pPr>
      <w:r w:rsidRPr="000C059E">
        <w:rPr>
          <w:sz w:val="24"/>
          <w:szCs w:val="24"/>
          <w:u w:val="single"/>
        </w:rPr>
        <w:t>Linearitet/non-linearitet</w:t>
      </w:r>
    </w:p>
    <w:p w14:paraId="605D8010" w14:textId="77777777" w:rsidR="00200B99" w:rsidRPr="000C059E" w:rsidRDefault="00200B99" w:rsidP="00773EAE">
      <w:pPr>
        <w:ind w:left="851"/>
        <w:rPr>
          <w:sz w:val="24"/>
          <w:szCs w:val="24"/>
        </w:rPr>
      </w:pPr>
    </w:p>
    <w:p w14:paraId="7E06DD52" w14:textId="77777777" w:rsidR="00200B99" w:rsidRPr="000C059E" w:rsidRDefault="00200B99" w:rsidP="00773EAE">
      <w:pPr>
        <w:ind w:left="851"/>
        <w:rPr>
          <w:i/>
          <w:sz w:val="24"/>
          <w:szCs w:val="24"/>
        </w:rPr>
      </w:pPr>
      <w:r w:rsidRPr="000C059E">
        <w:rPr>
          <w:i/>
          <w:sz w:val="24"/>
          <w:szCs w:val="24"/>
          <w:u w:val="single"/>
        </w:rPr>
        <w:t>Dosisproportionalitet og akkumulering</w:t>
      </w:r>
    </w:p>
    <w:p w14:paraId="68658820" w14:textId="77777777" w:rsidR="00200B99" w:rsidRPr="001F14D5" w:rsidRDefault="00200B99" w:rsidP="001F14D5">
      <w:pPr>
        <w:ind w:left="851"/>
        <w:rPr>
          <w:sz w:val="24"/>
          <w:szCs w:val="24"/>
        </w:rPr>
      </w:pPr>
    </w:p>
    <w:p w14:paraId="1A241EDA" w14:textId="77777777" w:rsidR="00200B99" w:rsidRPr="001F14D5" w:rsidRDefault="00200B99" w:rsidP="001F14D5">
      <w:pPr>
        <w:ind w:left="851"/>
        <w:rPr>
          <w:sz w:val="24"/>
          <w:szCs w:val="24"/>
        </w:rPr>
      </w:pPr>
      <w:r w:rsidRPr="001F14D5">
        <w:rPr>
          <w:sz w:val="24"/>
          <w:szCs w:val="24"/>
        </w:rPr>
        <w:t>Hos patienter med faste tumorer, der fik administreret enkelte og flere doser af lenvatinib én gang dagligt, var eksponeringen for lenvatinib (C</w:t>
      </w:r>
      <w:r w:rsidRPr="001F14D5">
        <w:rPr>
          <w:sz w:val="24"/>
          <w:szCs w:val="24"/>
          <w:vertAlign w:val="subscript"/>
        </w:rPr>
        <w:t>maks</w:t>
      </w:r>
      <w:r w:rsidRPr="001F14D5">
        <w:rPr>
          <w:sz w:val="24"/>
          <w:szCs w:val="24"/>
        </w:rPr>
        <w:t xml:space="preserve"> og AUC) forhøjet direkte proportionalt med den administrerede dosis i intervallet fra 3,2 til 32 mg én gang dagligt.</w:t>
      </w:r>
    </w:p>
    <w:p w14:paraId="76C041E5" w14:textId="77777777" w:rsidR="00200B99" w:rsidRPr="000C059E" w:rsidRDefault="00200B99" w:rsidP="00773EAE">
      <w:pPr>
        <w:ind w:left="851"/>
        <w:rPr>
          <w:sz w:val="24"/>
          <w:szCs w:val="24"/>
        </w:rPr>
      </w:pPr>
    </w:p>
    <w:p w14:paraId="48ACF0F1" w14:textId="77777777" w:rsidR="00200B99" w:rsidRPr="000C059E" w:rsidRDefault="00200B99" w:rsidP="00773EAE">
      <w:pPr>
        <w:ind w:left="851"/>
        <w:rPr>
          <w:sz w:val="24"/>
          <w:szCs w:val="24"/>
        </w:rPr>
      </w:pPr>
      <w:r w:rsidRPr="000C059E">
        <w:rPr>
          <w:sz w:val="24"/>
          <w:szCs w:val="24"/>
        </w:rPr>
        <w:t xml:space="preserve">Lenvatinib udviser minimal akkumulering ved </w:t>
      </w:r>
      <w:r w:rsidRPr="000C059E">
        <w:rPr>
          <w:i/>
          <w:sz w:val="24"/>
          <w:szCs w:val="24"/>
        </w:rPr>
        <w:t>steady state</w:t>
      </w:r>
      <w:r w:rsidRPr="000C059E">
        <w:rPr>
          <w:sz w:val="24"/>
          <w:szCs w:val="24"/>
        </w:rPr>
        <w:t>. I dette interval var det mediane akkumulationsindeks (Rac) i intervallet fra 0,96 (20 mg) til 1,54 (6,4 mg). Rac hos personer med HCC med let eller moderat leversvigt var tilsvarende det, der var rapporteret for andre solide tumorer.</w:t>
      </w:r>
    </w:p>
    <w:p w14:paraId="2DA4260B" w14:textId="77777777" w:rsidR="00200B99" w:rsidRPr="000C059E" w:rsidRDefault="00200B99" w:rsidP="00773EAE">
      <w:pPr>
        <w:ind w:left="851"/>
        <w:rPr>
          <w:sz w:val="24"/>
          <w:szCs w:val="24"/>
        </w:rPr>
      </w:pPr>
    </w:p>
    <w:p w14:paraId="0D543B55" w14:textId="77777777" w:rsidR="00200B99" w:rsidRPr="000C059E" w:rsidRDefault="00200B99" w:rsidP="00773EAE">
      <w:pPr>
        <w:ind w:left="851"/>
        <w:rPr>
          <w:sz w:val="24"/>
          <w:szCs w:val="24"/>
        </w:rPr>
      </w:pPr>
      <w:r w:rsidRPr="000C059E">
        <w:rPr>
          <w:sz w:val="24"/>
          <w:szCs w:val="24"/>
          <w:u w:val="single"/>
        </w:rPr>
        <w:t>Særlige populationer</w:t>
      </w:r>
    </w:p>
    <w:p w14:paraId="7374DC5B" w14:textId="77777777" w:rsidR="00200B99" w:rsidRPr="000C059E" w:rsidRDefault="00200B99" w:rsidP="00773EAE">
      <w:pPr>
        <w:ind w:left="851"/>
        <w:rPr>
          <w:sz w:val="24"/>
          <w:szCs w:val="24"/>
        </w:rPr>
      </w:pPr>
    </w:p>
    <w:p w14:paraId="65367CE7" w14:textId="77777777" w:rsidR="00200B99" w:rsidRPr="000C059E" w:rsidRDefault="00200B99" w:rsidP="00773EAE">
      <w:pPr>
        <w:ind w:left="851"/>
        <w:rPr>
          <w:i/>
          <w:sz w:val="24"/>
          <w:szCs w:val="24"/>
        </w:rPr>
      </w:pPr>
      <w:r w:rsidRPr="000C059E">
        <w:rPr>
          <w:i/>
          <w:sz w:val="24"/>
          <w:szCs w:val="24"/>
          <w:u w:val="single"/>
        </w:rPr>
        <w:t>Nedsat leverfunktion</w:t>
      </w:r>
    </w:p>
    <w:p w14:paraId="76628ED8" w14:textId="77777777" w:rsidR="00200B99" w:rsidRPr="000C059E" w:rsidRDefault="00200B99" w:rsidP="00773EAE">
      <w:pPr>
        <w:ind w:left="851"/>
        <w:rPr>
          <w:i/>
          <w:sz w:val="24"/>
          <w:szCs w:val="24"/>
        </w:rPr>
      </w:pPr>
    </w:p>
    <w:p w14:paraId="3E0EE802" w14:textId="77777777" w:rsidR="00200B99" w:rsidRPr="000C059E" w:rsidRDefault="00200B99" w:rsidP="00773EAE">
      <w:pPr>
        <w:ind w:left="851"/>
        <w:rPr>
          <w:sz w:val="24"/>
          <w:szCs w:val="24"/>
        </w:rPr>
      </w:pPr>
      <w:r w:rsidRPr="000C059E">
        <w:rPr>
          <w:sz w:val="24"/>
          <w:szCs w:val="24"/>
        </w:rPr>
        <w:t>Lenvatinibs farmakokinetik efter en enkelt dosis på 10 mg blev evalueret hos 6 personer med let og moderat nedsat leverfunktion (Child-Pugh A hhv. Child-Pugh B). En 5 mg-dosis blev evalueret hos 6 personer med svært nedsat leverfunktion (Child-Pugh C). Otte raske, demografisk matchede personer var kontroller og fik en dosis på 10 mg. Lenvatinib-eksponeringen baseret på dosisjusterede data for AUC</w:t>
      </w:r>
      <w:r w:rsidRPr="000C059E">
        <w:rPr>
          <w:sz w:val="24"/>
          <w:szCs w:val="24"/>
          <w:vertAlign w:val="subscript"/>
        </w:rPr>
        <w:t xml:space="preserve">0-t </w:t>
      </w:r>
      <w:r w:rsidRPr="000C059E">
        <w:rPr>
          <w:sz w:val="24"/>
          <w:szCs w:val="24"/>
        </w:rPr>
        <w:t>og AUC</w:t>
      </w:r>
      <w:r w:rsidRPr="000C059E">
        <w:rPr>
          <w:sz w:val="24"/>
          <w:szCs w:val="24"/>
          <w:vertAlign w:val="subscript"/>
        </w:rPr>
        <w:t xml:space="preserve">0-inf </w:t>
      </w:r>
      <w:r w:rsidRPr="000C059E">
        <w:rPr>
          <w:sz w:val="24"/>
          <w:szCs w:val="24"/>
        </w:rPr>
        <w:t>var 119 %, 107 % og 180 % af normalen for personer med hhv. let, moderat og svært nedsat leverfunktion. Det er blevet fastslået, at plasmaproteinbinding i plasma fra personer med nedsat leverfunktion lignede de respektive matchede raske personer, og der blev ikke observeret nogen koncentrationsafhængighed. Se pkt. 4.2 for doseringsvejledning.</w:t>
      </w:r>
    </w:p>
    <w:p w14:paraId="5CE77229" w14:textId="77777777" w:rsidR="00200B99" w:rsidRPr="000C059E" w:rsidRDefault="00200B99" w:rsidP="00773EAE">
      <w:pPr>
        <w:ind w:left="851"/>
        <w:rPr>
          <w:sz w:val="24"/>
          <w:szCs w:val="24"/>
        </w:rPr>
      </w:pPr>
    </w:p>
    <w:p w14:paraId="36137C24" w14:textId="77777777" w:rsidR="00200B99" w:rsidRPr="000C059E" w:rsidRDefault="00200B99" w:rsidP="00773EAE">
      <w:pPr>
        <w:ind w:left="851"/>
        <w:rPr>
          <w:sz w:val="24"/>
          <w:szCs w:val="24"/>
        </w:rPr>
      </w:pPr>
      <w:r w:rsidRPr="000C059E">
        <w:rPr>
          <w:sz w:val="24"/>
          <w:szCs w:val="24"/>
        </w:rPr>
        <w:t>Der er ikke tilstrækkelige data for HCC-patienter med Child-Pugh B (moderat nedsat leverfunktion; 3 patienter behandlet med lenvatinib i det pivotale studie), og ingen tilgængelige data for Child-Pugh C HCC-patienter (svært nedsat leverfunktion). Lenvatinib elimineres hovedsageligt via leveren og eksponering vil kunne være forøget hos disse patientpopulationer.</w:t>
      </w:r>
    </w:p>
    <w:p w14:paraId="248E447A" w14:textId="77777777" w:rsidR="00200B99" w:rsidRPr="000C059E" w:rsidRDefault="00200B99" w:rsidP="00773EAE">
      <w:pPr>
        <w:ind w:left="851"/>
        <w:rPr>
          <w:sz w:val="24"/>
          <w:szCs w:val="24"/>
        </w:rPr>
      </w:pPr>
    </w:p>
    <w:p w14:paraId="00E5B62B" w14:textId="63F58DB6" w:rsidR="00200B99" w:rsidRPr="000C059E" w:rsidRDefault="00200B99" w:rsidP="00773EAE">
      <w:pPr>
        <w:ind w:left="851"/>
        <w:rPr>
          <w:sz w:val="24"/>
          <w:szCs w:val="24"/>
        </w:rPr>
      </w:pPr>
      <w:r w:rsidRPr="000C059E">
        <w:rPr>
          <w:sz w:val="24"/>
          <w:szCs w:val="24"/>
        </w:rPr>
        <w:t>Median halveringstid var sammenlignelig hos personer med let, moderat og svært nedsat leverfunktion samt hos personer med normal leverfunktion og lå i intervallet fra 26 timer til 31 timer. Procentdelen af dosis af lenvatinib udskilt i urinen var lav i alle kohorter (&lt;</w:t>
      </w:r>
      <w:r w:rsidR="00342BB7">
        <w:rPr>
          <w:sz w:val="24"/>
          <w:szCs w:val="24"/>
        </w:rPr>
        <w:t> </w:t>
      </w:r>
      <w:r w:rsidRPr="000C059E">
        <w:rPr>
          <w:sz w:val="24"/>
          <w:szCs w:val="24"/>
        </w:rPr>
        <w:t>2,16 % på tværs af behandlingskohorter).</w:t>
      </w:r>
    </w:p>
    <w:p w14:paraId="078A4BCB" w14:textId="77777777" w:rsidR="00200B99" w:rsidRPr="000C059E" w:rsidRDefault="00200B99" w:rsidP="00773EAE">
      <w:pPr>
        <w:ind w:left="851"/>
        <w:rPr>
          <w:sz w:val="24"/>
          <w:szCs w:val="24"/>
        </w:rPr>
      </w:pPr>
    </w:p>
    <w:p w14:paraId="5F8A58C0" w14:textId="77777777" w:rsidR="00200B99" w:rsidRPr="000C059E" w:rsidRDefault="00200B99" w:rsidP="00773EAE">
      <w:pPr>
        <w:ind w:left="851"/>
        <w:rPr>
          <w:i/>
          <w:sz w:val="24"/>
          <w:szCs w:val="24"/>
        </w:rPr>
      </w:pPr>
      <w:r w:rsidRPr="000C059E">
        <w:rPr>
          <w:i/>
          <w:sz w:val="24"/>
          <w:szCs w:val="24"/>
          <w:u w:val="single"/>
        </w:rPr>
        <w:t>Nedsat nyrefunktion</w:t>
      </w:r>
    </w:p>
    <w:p w14:paraId="597BB752" w14:textId="77777777" w:rsidR="00200B99" w:rsidRPr="000C059E" w:rsidRDefault="00200B99" w:rsidP="00773EAE">
      <w:pPr>
        <w:ind w:left="851"/>
        <w:rPr>
          <w:i/>
          <w:sz w:val="24"/>
          <w:szCs w:val="24"/>
        </w:rPr>
      </w:pPr>
    </w:p>
    <w:p w14:paraId="7A34A6CB" w14:textId="77777777" w:rsidR="00200B99" w:rsidRPr="000C059E" w:rsidRDefault="00200B99" w:rsidP="00773EAE">
      <w:pPr>
        <w:ind w:left="851"/>
        <w:rPr>
          <w:sz w:val="24"/>
          <w:szCs w:val="24"/>
        </w:rPr>
      </w:pPr>
      <w:r w:rsidRPr="000C059E">
        <w:rPr>
          <w:sz w:val="24"/>
          <w:szCs w:val="24"/>
        </w:rPr>
        <w:t>Lenvatinibs farmakokinetik efter en enkelt dosis på 24 mg blev evalueret hos 6 personer med let, moderat og svært nedsat nyrefunktion og sammenlignet med 8 raske, demografisk matchede personer. Personer med nyresygdom i slutstadiet blev ikke undersøgt.</w:t>
      </w:r>
    </w:p>
    <w:p w14:paraId="50EFAA10" w14:textId="77777777" w:rsidR="00200B99" w:rsidRPr="000C059E" w:rsidRDefault="00200B99" w:rsidP="00773EAE">
      <w:pPr>
        <w:ind w:left="851"/>
        <w:rPr>
          <w:sz w:val="24"/>
          <w:szCs w:val="24"/>
        </w:rPr>
      </w:pPr>
    </w:p>
    <w:p w14:paraId="155C0C72" w14:textId="77777777" w:rsidR="00200B99" w:rsidRPr="001F14D5" w:rsidRDefault="00200B99" w:rsidP="001F14D5">
      <w:pPr>
        <w:ind w:left="851"/>
        <w:rPr>
          <w:sz w:val="24"/>
          <w:szCs w:val="24"/>
        </w:rPr>
      </w:pPr>
      <w:r w:rsidRPr="001F14D5">
        <w:rPr>
          <w:sz w:val="24"/>
          <w:szCs w:val="24"/>
        </w:rPr>
        <w:t>Lenvatinib-eksponeringen, baseret på data for AUC</w:t>
      </w:r>
      <w:r w:rsidRPr="001F14D5">
        <w:rPr>
          <w:sz w:val="24"/>
          <w:szCs w:val="24"/>
          <w:vertAlign w:val="subscript"/>
        </w:rPr>
        <w:t>0-inf</w:t>
      </w:r>
      <w:r w:rsidRPr="001F14D5">
        <w:rPr>
          <w:sz w:val="24"/>
          <w:szCs w:val="24"/>
        </w:rPr>
        <w:t xml:space="preserve"> var 101 %, 90 % og 122 % af normalen for personer med hhv. let, moderat og svært nedsat nyrefunktion. Det er blevet fastslået, at plasmaproteinbinding i plasma fra personer med nedsat nyrefunktion lignede de respektive matchede raske personer, og der blev ikke observeret nogen koncentrationsafhængighed. Se pkt. 4.2 for doseringsvejledning.</w:t>
      </w:r>
    </w:p>
    <w:p w14:paraId="075622B8" w14:textId="77777777" w:rsidR="00200B99" w:rsidRPr="001F14D5" w:rsidRDefault="00200B99" w:rsidP="001F14D5">
      <w:pPr>
        <w:ind w:left="851"/>
        <w:rPr>
          <w:sz w:val="24"/>
          <w:szCs w:val="24"/>
        </w:rPr>
      </w:pPr>
    </w:p>
    <w:p w14:paraId="0E7EB441" w14:textId="77777777" w:rsidR="00200B99" w:rsidRPr="000C059E" w:rsidRDefault="00200B99" w:rsidP="00773EAE">
      <w:pPr>
        <w:ind w:left="851"/>
        <w:rPr>
          <w:i/>
          <w:sz w:val="24"/>
          <w:szCs w:val="24"/>
        </w:rPr>
      </w:pPr>
      <w:r w:rsidRPr="000C059E">
        <w:rPr>
          <w:i/>
          <w:sz w:val="24"/>
          <w:szCs w:val="24"/>
          <w:u w:val="single"/>
        </w:rPr>
        <w:t>Alder, køn, vægt, race</w:t>
      </w:r>
    </w:p>
    <w:p w14:paraId="2DD5D910" w14:textId="77777777" w:rsidR="00200B99" w:rsidRPr="000C059E" w:rsidRDefault="00200B99" w:rsidP="00773EAE">
      <w:pPr>
        <w:ind w:left="851"/>
        <w:rPr>
          <w:i/>
          <w:sz w:val="24"/>
          <w:szCs w:val="24"/>
        </w:rPr>
      </w:pPr>
    </w:p>
    <w:p w14:paraId="7FF4FE2B" w14:textId="77777777" w:rsidR="00200B99" w:rsidRPr="000C059E" w:rsidRDefault="00200B99" w:rsidP="00773EAE">
      <w:pPr>
        <w:ind w:left="851"/>
        <w:rPr>
          <w:sz w:val="24"/>
          <w:szCs w:val="24"/>
        </w:rPr>
      </w:pPr>
      <w:r w:rsidRPr="000C059E">
        <w:rPr>
          <w:sz w:val="24"/>
          <w:szCs w:val="24"/>
        </w:rPr>
        <w:t xml:space="preserve">Baseret på en populationsfarmakokinetisk analyse af patienter, der fik op til 24 mg lenvatinib én gang dagligt, havde alder, køn, vægt og race (japanske </w:t>
      </w:r>
      <w:r w:rsidRPr="000C059E">
        <w:rPr>
          <w:i/>
          <w:sz w:val="24"/>
          <w:szCs w:val="24"/>
        </w:rPr>
        <w:t xml:space="preserve">versus </w:t>
      </w:r>
      <w:r w:rsidRPr="000C059E">
        <w:rPr>
          <w:sz w:val="24"/>
          <w:szCs w:val="24"/>
        </w:rPr>
        <w:t xml:space="preserve">andet, kaukasiske </w:t>
      </w:r>
      <w:r w:rsidRPr="000C059E">
        <w:rPr>
          <w:i/>
          <w:sz w:val="24"/>
          <w:szCs w:val="24"/>
        </w:rPr>
        <w:t xml:space="preserve">versus </w:t>
      </w:r>
      <w:r w:rsidRPr="000C059E">
        <w:rPr>
          <w:sz w:val="24"/>
          <w:szCs w:val="24"/>
        </w:rPr>
        <w:t>andet) ingen klinisk relevant virkning på clearance (se pkt. 4.2).</w:t>
      </w:r>
    </w:p>
    <w:p w14:paraId="74C7C322" w14:textId="77777777" w:rsidR="00200B99" w:rsidRPr="000C059E" w:rsidRDefault="00200B99" w:rsidP="00773EAE">
      <w:pPr>
        <w:ind w:left="851"/>
        <w:rPr>
          <w:sz w:val="24"/>
          <w:szCs w:val="24"/>
        </w:rPr>
      </w:pPr>
    </w:p>
    <w:p w14:paraId="2E95F7F2" w14:textId="77777777" w:rsidR="00200B99" w:rsidRPr="000C059E" w:rsidRDefault="00200B99" w:rsidP="00773EAE">
      <w:pPr>
        <w:ind w:left="851"/>
        <w:rPr>
          <w:i/>
          <w:sz w:val="24"/>
          <w:szCs w:val="24"/>
        </w:rPr>
      </w:pPr>
      <w:r w:rsidRPr="000C059E">
        <w:rPr>
          <w:i/>
          <w:sz w:val="24"/>
          <w:szCs w:val="24"/>
          <w:u w:val="single"/>
        </w:rPr>
        <w:t>Pædiatrisk population</w:t>
      </w:r>
    </w:p>
    <w:p w14:paraId="4A55DDD9" w14:textId="77777777" w:rsidR="00200B99" w:rsidRPr="000C059E" w:rsidRDefault="00200B99" w:rsidP="00773EAE">
      <w:pPr>
        <w:ind w:left="851"/>
        <w:rPr>
          <w:i/>
          <w:sz w:val="24"/>
          <w:szCs w:val="24"/>
        </w:rPr>
      </w:pPr>
    </w:p>
    <w:p w14:paraId="5BF559F9" w14:textId="52F68B40" w:rsidR="00200B99" w:rsidRPr="000C059E" w:rsidRDefault="00200B99" w:rsidP="00773EAE">
      <w:pPr>
        <w:ind w:left="851"/>
        <w:rPr>
          <w:sz w:val="24"/>
          <w:szCs w:val="24"/>
        </w:rPr>
      </w:pPr>
      <w:r w:rsidRPr="000C059E">
        <w:rPr>
          <w:sz w:val="24"/>
          <w:szCs w:val="24"/>
        </w:rPr>
        <w:t>Baseret på en populationsfarmakokinetisk analyse af pædiatriske patienter i alderen 2 til 12 år, som omfattede data fra 3 pædiatriske patienter i alderen 2 til &lt; 3 år, 28 pædiatriske patienter i alderen</w:t>
      </w:r>
      <w:r w:rsidR="001F14D5">
        <w:rPr>
          <w:sz w:val="24"/>
          <w:szCs w:val="24"/>
        </w:rPr>
        <w:t xml:space="preserve"> </w:t>
      </w:r>
      <w:r w:rsidRPr="000C059E">
        <w:rPr>
          <w:sz w:val="24"/>
          <w:szCs w:val="24"/>
        </w:rPr>
        <w:t xml:space="preserve">≥ 3 til &lt; 6 år og 89 pædiatriske patienter i alderen 6 til ≤ 12 år på tværs af det pædiatriske program med lenvatinib, blev oral clearance (CL/F) for lenvatinib påvirket af kropsvægt, men ikke alder. De forudsagte eksponeringsniveauer i form af areal under kurven ved </w:t>
      </w:r>
      <w:r w:rsidRPr="000C059E">
        <w:rPr>
          <w:i/>
          <w:sz w:val="24"/>
          <w:szCs w:val="24"/>
        </w:rPr>
        <w:t xml:space="preserve">steady state </w:t>
      </w:r>
      <w:r w:rsidRPr="000C059E">
        <w:rPr>
          <w:sz w:val="24"/>
          <w:szCs w:val="24"/>
        </w:rPr>
        <w:t>(AUC</w:t>
      </w:r>
      <w:r w:rsidRPr="000C059E">
        <w:rPr>
          <w:sz w:val="24"/>
          <w:szCs w:val="24"/>
          <w:vertAlign w:val="subscript"/>
        </w:rPr>
        <w:t>ss</w:t>
      </w:r>
      <w:r w:rsidRPr="000C059E">
        <w:rPr>
          <w:sz w:val="24"/>
          <w:szCs w:val="24"/>
        </w:rPr>
        <w:t>) hos pædiatriske patienter, der fik 14 mg/m</w:t>
      </w:r>
      <w:r w:rsidRPr="000C059E">
        <w:rPr>
          <w:sz w:val="24"/>
          <w:szCs w:val="24"/>
          <w:vertAlign w:val="superscript"/>
        </w:rPr>
        <w:t>2</w:t>
      </w:r>
      <w:r w:rsidRPr="000C059E">
        <w:rPr>
          <w:sz w:val="24"/>
          <w:szCs w:val="24"/>
        </w:rPr>
        <w:t>, var sammenlignelige med dem hos voksne patienter, der fik en fast dosis på 24 mg. I disse studier var der ingen tydelige forskelle i det aktive stof lenvatinibs farmakokinetik blandt børn (2-12 år), unge og unge voksne patienter med undersøgte tumortyper, men data fra børn er relativt begrænsede til, at der kan drages sikre konklusioner (se pkt.</w:t>
      </w:r>
      <w:r w:rsidRPr="000C059E">
        <w:rPr>
          <w:spacing w:val="-15"/>
          <w:sz w:val="24"/>
          <w:szCs w:val="24"/>
        </w:rPr>
        <w:t xml:space="preserve"> </w:t>
      </w:r>
      <w:r w:rsidRPr="000C059E">
        <w:rPr>
          <w:sz w:val="24"/>
          <w:szCs w:val="24"/>
        </w:rPr>
        <w:t>4.2).</w:t>
      </w:r>
    </w:p>
    <w:p w14:paraId="35D03BB3" w14:textId="77777777" w:rsidR="009260DE" w:rsidRPr="000C059E" w:rsidRDefault="009260DE" w:rsidP="009260DE">
      <w:pPr>
        <w:tabs>
          <w:tab w:val="left" w:pos="851"/>
        </w:tabs>
        <w:ind w:left="851"/>
        <w:rPr>
          <w:sz w:val="24"/>
          <w:szCs w:val="24"/>
        </w:rPr>
      </w:pPr>
    </w:p>
    <w:p w14:paraId="108F03BE" w14:textId="77777777" w:rsidR="009260DE" w:rsidRPr="000C059E" w:rsidRDefault="009260DE" w:rsidP="009260DE">
      <w:pPr>
        <w:tabs>
          <w:tab w:val="left" w:pos="851"/>
        </w:tabs>
        <w:ind w:left="851" w:hanging="851"/>
        <w:rPr>
          <w:b/>
          <w:sz w:val="24"/>
          <w:szCs w:val="24"/>
        </w:rPr>
      </w:pPr>
      <w:r w:rsidRPr="000C059E">
        <w:rPr>
          <w:b/>
          <w:sz w:val="24"/>
          <w:szCs w:val="24"/>
        </w:rPr>
        <w:t>5.3</w:t>
      </w:r>
      <w:r w:rsidRPr="000C059E">
        <w:rPr>
          <w:b/>
          <w:sz w:val="24"/>
          <w:szCs w:val="24"/>
        </w:rPr>
        <w:tab/>
      </w:r>
      <w:r w:rsidR="00BD7931" w:rsidRPr="000C059E">
        <w:rPr>
          <w:b/>
          <w:sz w:val="24"/>
          <w:szCs w:val="24"/>
        </w:rPr>
        <w:t>Non-</w:t>
      </w:r>
      <w:r w:rsidRPr="000C059E">
        <w:rPr>
          <w:b/>
          <w:sz w:val="24"/>
          <w:szCs w:val="24"/>
        </w:rPr>
        <w:t>kliniske sikkerhedsdata</w:t>
      </w:r>
    </w:p>
    <w:p w14:paraId="50836581" w14:textId="77777777" w:rsidR="00200B99" w:rsidRPr="000C059E" w:rsidRDefault="00200B99" w:rsidP="00773EAE">
      <w:pPr>
        <w:ind w:left="851"/>
        <w:rPr>
          <w:sz w:val="24"/>
          <w:szCs w:val="24"/>
        </w:rPr>
      </w:pPr>
      <w:r w:rsidRPr="000C059E">
        <w:rPr>
          <w:sz w:val="24"/>
          <w:szCs w:val="24"/>
        </w:rPr>
        <w:t>I toksicitetsstudierne med gentagne doser (op til 39 uger) forårsagede lenvatinib toksikologiske ændringer i forskellige organer og væv relateret til de forventede farmakologiske virkninger af lenvatinib, herunder glomerulopati, testikulær hypocellularitet, follikulær atresi af ovarierne, mave- tarm-ændringer, knogleændringer, ændringer af binyrerne (rotter og hunde) og arterielle (arteriel fibrinoid nekrose, medial degeneration eller blødning) læsioner hos rotter, hunde og cynomolgus-aber. Forhøjede transaminaseniveauer forbundet med tegn på hepatotoksicitet blev også observeret hos rotter, hunde og aber. Reversibilitet af de toksikologiske ændringer blev observeret ved slutningen af en 4-ugers rekonvalescensperiode hos alle de undersøgte dyrearter.</w:t>
      </w:r>
    </w:p>
    <w:p w14:paraId="5BD9E47F" w14:textId="77777777" w:rsidR="00200B99" w:rsidRPr="000C059E" w:rsidRDefault="00200B99" w:rsidP="00773EAE">
      <w:pPr>
        <w:ind w:left="851"/>
        <w:rPr>
          <w:sz w:val="24"/>
          <w:szCs w:val="24"/>
        </w:rPr>
      </w:pPr>
    </w:p>
    <w:p w14:paraId="511FC5C9" w14:textId="77777777" w:rsidR="00200B99" w:rsidRPr="000C059E" w:rsidRDefault="00200B99" w:rsidP="00773EAE">
      <w:pPr>
        <w:ind w:left="851"/>
        <w:rPr>
          <w:sz w:val="24"/>
          <w:szCs w:val="24"/>
        </w:rPr>
      </w:pPr>
      <w:r w:rsidRPr="000C059E">
        <w:rPr>
          <w:sz w:val="24"/>
          <w:szCs w:val="24"/>
          <w:u w:val="single"/>
        </w:rPr>
        <w:t>Genotoksicitet</w:t>
      </w:r>
    </w:p>
    <w:p w14:paraId="4AF38E34" w14:textId="77777777" w:rsidR="00200B99" w:rsidRPr="000C059E" w:rsidRDefault="00200B99" w:rsidP="00773EAE">
      <w:pPr>
        <w:ind w:left="851"/>
        <w:rPr>
          <w:sz w:val="24"/>
          <w:szCs w:val="24"/>
        </w:rPr>
      </w:pPr>
    </w:p>
    <w:p w14:paraId="7CA34717" w14:textId="77777777" w:rsidR="00200B99" w:rsidRPr="000C059E" w:rsidRDefault="00200B99" w:rsidP="00773EAE">
      <w:pPr>
        <w:ind w:left="851"/>
        <w:rPr>
          <w:sz w:val="24"/>
          <w:szCs w:val="24"/>
        </w:rPr>
      </w:pPr>
      <w:r w:rsidRPr="000C059E">
        <w:rPr>
          <w:sz w:val="24"/>
          <w:szCs w:val="24"/>
        </w:rPr>
        <w:t>Lenvatinib var ikke genotoksisk.</w:t>
      </w:r>
    </w:p>
    <w:p w14:paraId="1EEB3445" w14:textId="77777777" w:rsidR="00200B99" w:rsidRPr="000C059E" w:rsidRDefault="00200B99" w:rsidP="00773EAE">
      <w:pPr>
        <w:ind w:left="851"/>
        <w:rPr>
          <w:sz w:val="24"/>
          <w:szCs w:val="24"/>
        </w:rPr>
      </w:pPr>
    </w:p>
    <w:p w14:paraId="4040F8BC" w14:textId="77777777" w:rsidR="00200B99" w:rsidRPr="000C059E" w:rsidRDefault="00200B99" w:rsidP="00773EAE">
      <w:pPr>
        <w:ind w:left="851"/>
        <w:rPr>
          <w:sz w:val="24"/>
          <w:szCs w:val="24"/>
        </w:rPr>
      </w:pPr>
      <w:r w:rsidRPr="000C059E">
        <w:rPr>
          <w:sz w:val="24"/>
          <w:szCs w:val="24"/>
        </w:rPr>
        <w:t xml:space="preserve">Der er ikke udført karcinogenicitetsstudier med lenvatinib. </w:t>
      </w:r>
    </w:p>
    <w:p w14:paraId="17930A95" w14:textId="77777777" w:rsidR="00200B99" w:rsidRPr="000C059E" w:rsidRDefault="00200B99" w:rsidP="00773EAE">
      <w:pPr>
        <w:ind w:left="851"/>
        <w:rPr>
          <w:sz w:val="24"/>
          <w:szCs w:val="24"/>
        </w:rPr>
      </w:pPr>
    </w:p>
    <w:p w14:paraId="7F09B823" w14:textId="77777777" w:rsidR="00200B99" w:rsidRPr="000C059E" w:rsidRDefault="00200B99" w:rsidP="00773EAE">
      <w:pPr>
        <w:ind w:left="851"/>
        <w:rPr>
          <w:sz w:val="24"/>
          <w:szCs w:val="24"/>
        </w:rPr>
      </w:pPr>
      <w:r w:rsidRPr="000C059E">
        <w:rPr>
          <w:sz w:val="24"/>
          <w:szCs w:val="24"/>
          <w:u w:val="single"/>
        </w:rPr>
        <w:t>Reproduktions- og udviklingstoksicitet</w:t>
      </w:r>
    </w:p>
    <w:p w14:paraId="32EA17E4" w14:textId="77777777" w:rsidR="00200B99" w:rsidRPr="000C059E" w:rsidRDefault="00200B99" w:rsidP="00773EAE">
      <w:pPr>
        <w:ind w:left="851"/>
        <w:rPr>
          <w:sz w:val="24"/>
          <w:szCs w:val="24"/>
        </w:rPr>
      </w:pPr>
      <w:r w:rsidRPr="000C059E">
        <w:rPr>
          <w:sz w:val="24"/>
          <w:szCs w:val="24"/>
        </w:rPr>
        <w:t>Der er ikke udført nogen specifikke studier med lenvatinib hos dyr for at evaluere virkningen på fertilitet. Testikelændringer (hypocellularitet af det seminiferøse epitel) samt ovarieændringer (follikulær atresi) blev imidlertid observeret i toksicitetsstudier med gentagne doser hos dyr ved eksponeringer, der var 11 til 15 gange (rotte) eller 0,6 til 7 gange (abe) den forventede kliniske eksponering (baseret på AUC) ved den maksimalt tolererede humane dosis. Disse fund var reversible ved slutningen af en 4-ugers rekonvalescensperiode.</w:t>
      </w:r>
    </w:p>
    <w:p w14:paraId="59A3655C" w14:textId="77777777" w:rsidR="00200B99" w:rsidRPr="000C059E" w:rsidRDefault="00200B99" w:rsidP="00773EAE">
      <w:pPr>
        <w:ind w:left="851"/>
        <w:rPr>
          <w:sz w:val="24"/>
          <w:szCs w:val="24"/>
        </w:rPr>
      </w:pPr>
    </w:p>
    <w:p w14:paraId="6C746AF6" w14:textId="77777777" w:rsidR="00200B99" w:rsidRPr="000C059E" w:rsidRDefault="00200B99" w:rsidP="00773EAE">
      <w:pPr>
        <w:ind w:left="851"/>
        <w:rPr>
          <w:sz w:val="24"/>
          <w:szCs w:val="24"/>
        </w:rPr>
      </w:pPr>
      <w:r w:rsidRPr="000C059E">
        <w:rPr>
          <w:sz w:val="24"/>
          <w:szCs w:val="24"/>
        </w:rPr>
        <w:t>Administration af lenvatinib i løbet af organogenesen førte til embryoletalitet og teratogenicitet hos rotter (føtale eksterne anomalier og skeleletanomalier) ved eksponeringer under den kliniske eksponering (baseret på AUC) ved den maksimalt tolererede humane dosis og hos kaniner (føtale eksterne, viscerale anomalier eller skeletanomalier) ved eksponeringer under den kliniske eksponering (baseret på legemsoverfladearealet, mg/m</w:t>
      </w:r>
      <w:r w:rsidRPr="000C059E">
        <w:rPr>
          <w:sz w:val="24"/>
          <w:szCs w:val="24"/>
          <w:vertAlign w:val="superscript"/>
        </w:rPr>
        <w:t>2</w:t>
      </w:r>
      <w:r w:rsidRPr="000C059E">
        <w:rPr>
          <w:sz w:val="24"/>
          <w:szCs w:val="24"/>
        </w:rPr>
        <w:t>) ved den maksimalt tolererede humane dosis. Disse fund indikerer, at lenvatinib har et teratogent potentiale, der sandsynligvis er relateret til den farmakologiske aktivitet af lenvatinib som et antiangiogent stof.</w:t>
      </w:r>
    </w:p>
    <w:p w14:paraId="493858D3" w14:textId="77777777" w:rsidR="00200B99" w:rsidRPr="000C059E" w:rsidRDefault="00200B99" w:rsidP="00773EAE">
      <w:pPr>
        <w:ind w:left="851"/>
        <w:rPr>
          <w:sz w:val="24"/>
          <w:szCs w:val="24"/>
        </w:rPr>
      </w:pPr>
    </w:p>
    <w:p w14:paraId="11B4816E" w14:textId="77777777" w:rsidR="00200B99" w:rsidRPr="000C059E" w:rsidRDefault="00200B99" w:rsidP="00773EAE">
      <w:pPr>
        <w:ind w:left="851"/>
        <w:rPr>
          <w:sz w:val="24"/>
          <w:szCs w:val="24"/>
        </w:rPr>
      </w:pPr>
      <w:r w:rsidRPr="000C059E">
        <w:rPr>
          <w:sz w:val="24"/>
          <w:szCs w:val="24"/>
        </w:rPr>
        <w:t xml:space="preserve">Lenvatinib og dets metabolitter udskilles i rottemælk. </w:t>
      </w:r>
    </w:p>
    <w:p w14:paraId="54D60637" w14:textId="77777777" w:rsidR="00200B99" w:rsidRPr="000C059E" w:rsidRDefault="00200B99" w:rsidP="00773EAE">
      <w:pPr>
        <w:ind w:left="851"/>
        <w:rPr>
          <w:sz w:val="24"/>
          <w:szCs w:val="24"/>
        </w:rPr>
      </w:pPr>
    </w:p>
    <w:p w14:paraId="31B96118" w14:textId="77777777" w:rsidR="00200B99" w:rsidRPr="000C059E" w:rsidRDefault="00200B99" w:rsidP="00773EAE">
      <w:pPr>
        <w:ind w:left="851"/>
        <w:rPr>
          <w:sz w:val="24"/>
          <w:szCs w:val="24"/>
        </w:rPr>
      </w:pPr>
      <w:r w:rsidRPr="000C059E">
        <w:rPr>
          <w:sz w:val="24"/>
          <w:szCs w:val="24"/>
          <w:u w:val="single"/>
        </w:rPr>
        <w:t>Juvenile dyretoksicitetsstudier</w:t>
      </w:r>
    </w:p>
    <w:p w14:paraId="2FCEABE3" w14:textId="77777777" w:rsidR="00200B99" w:rsidRPr="000C059E" w:rsidRDefault="00200B99" w:rsidP="00773EAE">
      <w:pPr>
        <w:ind w:left="851"/>
        <w:rPr>
          <w:sz w:val="24"/>
          <w:szCs w:val="24"/>
        </w:rPr>
      </w:pPr>
      <w:r w:rsidRPr="000C059E">
        <w:rPr>
          <w:sz w:val="24"/>
          <w:szCs w:val="24"/>
        </w:rPr>
        <w:t>Mortalitet var den dosisbegrænsende toksicitet hos juvenile rotter, hvor dosering blev påbegyndt på den postnatale dag (PND) 7 eller PND21, og blev observeret ved eksponeringer, der var hhv. 125 eller 12 gange lavere sammenlignet med eksponeringen, hvor der blev observeret mortalitet hos voksne rotter, hvilket tyder på en øget følsomhed i forhold til toksicitet ved faldende alder. Derfor kunne mortaliteten tilskrives komplikationer i relation til primære duodenale læsioner med et muligt bidrag fra ekstra toksiciteter i umodne målorganer.</w:t>
      </w:r>
    </w:p>
    <w:p w14:paraId="26A4F8F6" w14:textId="77777777" w:rsidR="00200B99" w:rsidRPr="000C059E" w:rsidRDefault="00200B99" w:rsidP="00773EAE">
      <w:pPr>
        <w:ind w:left="851"/>
        <w:rPr>
          <w:sz w:val="24"/>
          <w:szCs w:val="24"/>
        </w:rPr>
      </w:pPr>
    </w:p>
    <w:p w14:paraId="21EFB283" w14:textId="77777777" w:rsidR="00200B99" w:rsidRPr="001F14D5" w:rsidRDefault="00200B99" w:rsidP="001F14D5">
      <w:pPr>
        <w:ind w:left="851"/>
        <w:rPr>
          <w:sz w:val="24"/>
          <w:szCs w:val="24"/>
        </w:rPr>
      </w:pPr>
      <w:r w:rsidRPr="001F14D5">
        <w:rPr>
          <w:sz w:val="24"/>
          <w:szCs w:val="24"/>
        </w:rPr>
        <w:t>Toksiciteten af lenvatinib var mere fremtrædende hos yngre rotter (doseringen blev påbegyndt på PND7) sammenlignet med de rotter, hvor doseringen blev påbegyndt på PND21 og mortalitet og nogle toksiciteter blev observeret tidligere hos juvenile rotter ved 10 mg/kg sammenlignet med voksne rotter, der blev administreret ved det samme doseringsniveau. Vækstretardation, sekundær forsinkelse af fysisk udvikling og læsioner, der kan tilskrives farmakologiske virkninger (incisorer, femur [epifyse-vækstplade], nyrer, binyrer og duodenum) blev også observeret hos juvenile rotter.</w:t>
      </w:r>
    </w:p>
    <w:p w14:paraId="69D52362" w14:textId="77777777" w:rsidR="009260DE" w:rsidRPr="000C059E" w:rsidRDefault="009260DE" w:rsidP="009260DE">
      <w:pPr>
        <w:tabs>
          <w:tab w:val="left" w:pos="851"/>
        </w:tabs>
        <w:ind w:left="851"/>
        <w:rPr>
          <w:sz w:val="24"/>
          <w:szCs w:val="24"/>
        </w:rPr>
      </w:pPr>
    </w:p>
    <w:p w14:paraId="30BB55A6" w14:textId="77777777" w:rsidR="009260DE" w:rsidRPr="000C059E" w:rsidRDefault="009260DE" w:rsidP="009260DE">
      <w:pPr>
        <w:tabs>
          <w:tab w:val="left" w:pos="851"/>
        </w:tabs>
        <w:ind w:left="851"/>
        <w:rPr>
          <w:sz w:val="24"/>
          <w:szCs w:val="24"/>
        </w:rPr>
      </w:pPr>
    </w:p>
    <w:p w14:paraId="1DD17C20" w14:textId="77777777" w:rsidR="009260DE" w:rsidRPr="000C059E" w:rsidRDefault="009260DE" w:rsidP="009260DE">
      <w:pPr>
        <w:tabs>
          <w:tab w:val="left" w:pos="851"/>
        </w:tabs>
        <w:ind w:left="851" w:hanging="851"/>
        <w:rPr>
          <w:b/>
          <w:sz w:val="24"/>
          <w:szCs w:val="24"/>
        </w:rPr>
      </w:pPr>
      <w:r w:rsidRPr="000C059E">
        <w:rPr>
          <w:b/>
          <w:sz w:val="24"/>
          <w:szCs w:val="24"/>
        </w:rPr>
        <w:t>6.</w:t>
      </w:r>
      <w:r w:rsidRPr="000C059E">
        <w:rPr>
          <w:b/>
          <w:sz w:val="24"/>
          <w:szCs w:val="24"/>
        </w:rPr>
        <w:tab/>
        <w:t>FARMACEUTISKE OPLYSNINGER</w:t>
      </w:r>
    </w:p>
    <w:p w14:paraId="0893A1A8" w14:textId="77777777" w:rsidR="009260DE" w:rsidRPr="000C059E" w:rsidRDefault="009260DE" w:rsidP="009260DE">
      <w:pPr>
        <w:tabs>
          <w:tab w:val="left" w:pos="851"/>
        </w:tabs>
        <w:ind w:left="851"/>
        <w:rPr>
          <w:sz w:val="24"/>
          <w:szCs w:val="24"/>
        </w:rPr>
      </w:pPr>
    </w:p>
    <w:p w14:paraId="22AD6F31" w14:textId="77777777" w:rsidR="009260DE" w:rsidRPr="000C059E" w:rsidRDefault="009260DE" w:rsidP="009260DE">
      <w:pPr>
        <w:tabs>
          <w:tab w:val="left" w:pos="851"/>
        </w:tabs>
        <w:ind w:left="851" w:hanging="851"/>
        <w:rPr>
          <w:b/>
          <w:sz w:val="24"/>
          <w:szCs w:val="24"/>
        </w:rPr>
      </w:pPr>
      <w:r w:rsidRPr="000C059E">
        <w:rPr>
          <w:b/>
          <w:sz w:val="24"/>
          <w:szCs w:val="24"/>
        </w:rPr>
        <w:t>6.1</w:t>
      </w:r>
      <w:r w:rsidRPr="000C059E">
        <w:rPr>
          <w:b/>
          <w:sz w:val="24"/>
          <w:szCs w:val="24"/>
        </w:rPr>
        <w:tab/>
        <w:t>Hjælpestoffer</w:t>
      </w:r>
    </w:p>
    <w:p w14:paraId="7F1EF2F1" w14:textId="77777777" w:rsidR="00E62732" w:rsidRDefault="00E62732" w:rsidP="00773EAE">
      <w:pPr>
        <w:ind w:left="851"/>
        <w:rPr>
          <w:sz w:val="24"/>
          <w:szCs w:val="24"/>
        </w:rPr>
      </w:pPr>
    </w:p>
    <w:p w14:paraId="1F2492E3" w14:textId="706573F8" w:rsidR="00541230" w:rsidRPr="00E62732" w:rsidRDefault="00541230" w:rsidP="00773EAE">
      <w:pPr>
        <w:ind w:left="851"/>
        <w:rPr>
          <w:sz w:val="24"/>
          <w:szCs w:val="24"/>
          <w:u w:val="single"/>
        </w:rPr>
      </w:pPr>
      <w:r w:rsidRPr="00E62732">
        <w:rPr>
          <w:sz w:val="24"/>
          <w:szCs w:val="24"/>
          <w:u w:val="single"/>
        </w:rPr>
        <w:t xml:space="preserve">Kapselindhold </w:t>
      </w:r>
    </w:p>
    <w:p w14:paraId="5923DB1E" w14:textId="77777777" w:rsidR="00541230" w:rsidRPr="000C059E" w:rsidRDefault="00541230" w:rsidP="00773EAE">
      <w:pPr>
        <w:ind w:left="851"/>
        <w:rPr>
          <w:sz w:val="24"/>
          <w:szCs w:val="24"/>
        </w:rPr>
      </w:pPr>
      <w:r w:rsidRPr="000C059E">
        <w:rPr>
          <w:sz w:val="24"/>
          <w:szCs w:val="24"/>
        </w:rPr>
        <w:t>Natriumhydrogencarbonat</w:t>
      </w:r>
    </w:p>
    <w:p w14:paraId="4F99E0C5" w14:textId="77777777" w:rsidR="00541230" w:rsidRPr="000C059E" w:rsidRDefault="00541230" w:rsidP="00773EAE">
      <w:pPr>
        <w:ind w:left="851"/>
        <w:rPr>
          <w:sz w:val="24"/>
          <w:szCs w:val="24"/>
        </w:rPr>
      </w:pPr>
      <w:r w:rsidRPr="000C059E">
        <w:rPr>
          <w:sz w:val="24"/>
          <w:szCs w:val="24"/>
        </w:rPr>
        <w:t>Mannitol</w:t>
      </w:r>
    </w:p>
    <w:p w14:paraId="5D50BB5C" w14:textId="77777777" w:rsidR="00541230" w:rsidRPr="000C059E" w:rsidRDefault="00541230" w:rsidP="00773EAE">
      <w:pPr>
        <w:ind w:left="851"/>
        <w:rPr>
          <w:sz w:val="24"/>
          <w:szCs w:val="24"/>
        </w:rPr>
      </w:pPr>
      <w:r w:rsidRPr="000C059E">
        <w:rPr>
          <w:sz w:val="24"/>
          <w:szCs w:val="24"/>
        </w:rPr>
        <w:t>Mikrokrystallinsk cellulose</w:t>
      </w:r>
    </w:p>
    <w:p w14:paraId="7D30916F" w14:textId="77777777" w:rsidR="00541230" w:rsidRPr="000C059E" w:rsidRDefault="00541230" w:rsidP="00773EAE">
      <w:pPr>
        <w:ind w:left="851"/>
        <w:rPr>
          <w:sz w:val="24"/>
          <w:szCs w:val="24"/>
        </w:rPr>
      </w:pPr>
      <w:r w:rsidRPr="000C059E">
        <w:rPr>
          <w:sz w:val="24"/>
          <w:szCs w:val="24"/>
        </w:rPr>
        <w:t>Hydroxypropylcellulose</w:t>
      </w:r>
    </w:p>
    <w:p w14:paraId="4B48476F" w14:textId="77777777" w:rsidR="00541230" w:rsidRPr="000C059E" w:rsidRDefault="00541230" w:rsidP="00773EAE">
      <w:pPr>
        <w:ind w:left="851"/>
        <w:rPr>
          <w:sz w:val="24"/>
          <w:szCs w:val="24"/>
        </w:rPr>
      </w:pPr>
      <w:r w:rsidRPr="000C059E">
        <w:rPr>
          <w:sz w:val="24"/>
          <w:szCs w:val="24"/>
        </w:rPr>
        <w:t>Lavsubstitueret hydroxypropylcellulose</w:t>
      </w:r>
    </w:p>
    <w:p w14:paraId="2EE94DC2" w14:textId="77777777" w:rsidR="00541230" w:rsidRPr="000C059E" w:rsidRDefault="00541230" w:rsidP="00773EAE">
      <w:pPr>
        <w:ind w:left="851"/>
        <w:rPr>
          <w:sz w:val="24"/>
          <w:szCs w:val="24"/>
        </w:rPr>
      </w:pPr>
      <w:r w:rsidRPr="000C059E">
        <w:rPr>
          <w:sz w:val="24"/>
          <w:szCs w:val="24"/>
        </w:rPr>
        <w:t>Talcum</w:t>
      </w:r>
    </w:p>
    <w:p w14:paraId="4758DC8D" w14:textId="77777777" w:rsidR="00541230" w:rsidRPr="000C059E" w:rsidRDefault="00541230" w:rsidP="00773EAE">
      <w:pPr>
        <w:ind w:left="851"/>
        <w:rPr>
          <w:sz w:val="24"/>
          <w:szCs w:val="24"/>
        </w:rPr>
      </w:pPr>
    </w:p>
    <w:p w14:paraId="3711D53B" w14:textId="77777777" w:rsidR="00541230" w:rsidRPr="00E62732" w:rsidRDefault="00541230" w:rsidP="00773EAE">
      <w:pPr>
        <w:ind w:left="851"/>
        <w:rPr>
          <w:sz w:val="24"/>
          <w:szCs w:val="24"/>
          <w:u w:val="single"/>
        </w:rPr>
      </w:pPr>
      <w:r w:rsidRPr="00E62732">
        <w:rPr>
          <w:sz w:val="24"/>
          <w:szCs w:val="24"/>
          <w:u w:val="single"/>
        </w:rPr>
        <w:t xml:space="preserve">Kapselskal 4 mg </w:t>
      </w:r>
    </w:p>
    <w:p w14:paraId="422E0144" w14:textId="77777777" w:rsidR="00541230" w:rsidRPr="000C059E" w:rsidRDefault="00541230" w:rsidP="00773EAE">
      <w:pPr>
        <w:ind w:left="851"/>
        <w:rPr>
          <w:sz w:val="24"/>
          <w:szCs w:val="24"/>
        </w:rPr>
      </w:pPr>
      <w:r w:rsidRPr="000C059E">
        <w:rPr>
          <w:sz w:val="24"/>
          <w:szCs w:val="24"/>
        </w:rPr>
        <w:t xml:space="preserve">Hypromellose </w:t>
      </w:r>
    </w:p>
    <w:p w14:paraId="79F35675" w14:textId="77777777" w:rsidR="00541230" w:rsidRPr="000C059E" w:rsidRDefault="00541230" w:rsidP="00773EAE">
      <w:pPr>
        <w:ind w:left="851"/>
        <w:rPr>
          <w:sz w:val="24"/>
          <w:szCs w:val="24"/>
        </w:rPr>
      </w:pPr>
      <w:r w:rsidRPr="000C059E">
        <w:rPr>
          <w:sz w:val="24"/>
          <w:szCs w:val="24"/>
        </w:rPr>
        <w:t>Sort jernoxid (E172)</w:t>
      </w:r>
    </w:p>
    <w:p w14:paraId="0748AEA8" w14:textId="77777777" w:rsidR="00541230" w:rsidRPr="000C059E" w:rsidRDefault="00541230" w:rsidP="00773EAE">
      <w:pPr>
        <w:ind w:left="851"/>
        <w:rPr>
          <w:sz w:val="24"/>
          <w:szCs w:val="24"/>
        </w:rPr>
      </w:pPr>
      <w:r w:rsidRPr="000C059E">
        <w:rPr>
          <w:sz w:val="24"/>
          <w:szCs w:val="24"/>
        </w:rPr>
        <w:t xml:space="preserve">Gul jernoxid (E172) </w:t>
      </w:r>
    </w:p>
    <w:p w14:paraId="0A612918" w14:textId="77777777" w:rsidR="00541230" w:rsidRPr="000C059E" w:rsidRDefault="00541230" w:rsidP="00773EAE">
      <w:pPr>
        <w:ind w:left="851"/>
        <w:rPr>
          <w:sz w:val="24"/>
          <w:szCs w:val="24"/>
        </w:rPr>
      </w:pPr>
      <w:r w:rsidRPr="000C059E">
        <w:rPr>
          <w:sz w:val="24"/>
          <w:szCs w:val="24"/>
        </w:rPr>
        <w:t>Rød jernoxid (E172)</w:t>
      </w:r>
    </w:p>
    <w:p w14:paraId="4C722AD3" w14:textId="77777777" w:rsidR="00541230" w:rsidRPr="000C059E" w:rsidRDefault="00541230" w:rsidP="00773EAE">
      <w:pPr>
        <w:ind w:left="851"/>
        <w:rPr>
          <w:sz w:val="24"/>
          <w:szCs w:val="24"/>
        </w:rPr>
      </w:pPr>
      <w:r w:rsidRPr="000C059E">
        <w:rPr>
          <w:sz w:val="24"/>
          <w:szCs w:val="24"/>
        </w:rPr>
        <w:t>Titandioxid</w:t>
      </w:r>
    </w:p>
    <w:p w14:paraId="52E1C7D4" w14:textId="77777777" w:rsidR="00541230" w:rsidRPr="000C059E" w:rsidRDefault="00541230" w:rsidP="00773EAE">
      <w:pPr>
        <w:ind w:left="851"/>
        <w:rPr>
          <w:sz w:val="24"/>
          <w:szCs w:val="24"/>
        </w:rPr>
      </w:pPr>
    </w:p>
    <w:p w14:paraId="3ABBEE6D" w14:textId="77777777" w:rsidR="00541230" w:rsidRPr="00E62732" w:rsidRDefault="00541230" w:rsidP="00773EAE">
      <w:pPr>
        <w:ind w:left="851"/>
        <w:rPr>
          <w:sz w:val="24"/>
          <w:szCs w:val="24"/>
          <w:u w:val="single"/>
        </w:rPr>
      </w:pPr>
      <w:r w:rsidRPr="00E62732">
        <w:rPr>
          <w:sz w:val="24"/>
          <w:szCs w:val="24"/>
          <w:u w:val="single"/>
        </w:rPr>
        <w:t xml:space="preserve">Kapselskal 10 mg </w:t>
      </w:r>
    </w:p>
    <w:p w14:paraId="56B6A057" w14:textId="77777777" w:rsidR="00541230" w:rsidRPr="000C059E" w:rsidRDefault="00541230" w:rsidP="00773EAE">
      <w:pPr>
        <w:ind w:left="851"/>
        <w:rPr>
          <w:sz w:val="24"/>
          <w:szCs w:val="24"/>
        </w:rPr>
      </w:pPr>
      <w:r w:rsidRPr="000C059E">
        <w:rPr>
          <w:sz w:val="24"/>
          <w:szCs w:val="24"/>
        </w:rPr>
        <w:t xml:space="preserve">Hypromellose </w:t>
      </w:r>
    </w:p>
    <w:p w14:paraId="37321428" w14:textId="77777777" w:rsidR="00541230" w:rsidRPr="000C059E" w:rsidRDefault="00541230" w:rsidP="00773EAE">
      <w:pPr>
        <w:ind w:left="851"/>
        <w:rPr>
          <w:sz w:val="24"/>
          <w:szCs w:val="24"/>
        </w:rPr>
      </w:pPr>
      <w:r w:rsidRPr="000C059E">
        <w:rPr>
          <w:sz w:val="24"/>
          <w:szCs w:val="24"/>
        </w:rPr>
        <w:t xml:space="preserve">Gul jernoxid (E172) </w:t>
      </w:r>
    </w:p>
    <w:p w14:paraId="173C0140" w14:textId="77777777" w:rsidR="00541230" w:rsidRPr="000C059E" w:rsidRDefault="00541230" w:rsidP="00773EAE">
      <w:pPr>
        <w:ind w:left="851"/>
        <w:rPr>
          <w:sz w:val="24"/>
          <w:szCs w:val="24"/>
        </w:rPr>
      </w:pPr>
      <w:r w:rsidRPr="000C059E">
        <w:rPr>
          <w:sz w:val="24"/>
          <w:szCs w:val="24"/>
        </w:rPr>
        <w:t>Titandioxid</w:t>
      </w:r>
    </w:p>
    <w:p w14:paraId="7408A8FF" w14:textId="77777777" w:rsidR="00541230" w:rsidRPr="000C059E" w:rsidRDefault="00541230" w:rsidP="00773EAE">
      <w:pPr>
        <w:ind w:left="851"/>
        <w:rPr>
          <w:sz w:val="24"/>
          <w:szCs w:val="24"/>
        </w:rPr>
      </w:pPr>
    </w:p>
    <w:p w14:paraId="0B483A0C" w14:textId="77777777" w:rsidR="00541230" w:rsidRPr="00E62732" w:rsidRDefault="00541230" w:rsidP="00773EAE">
      <w:pPr>
        <w:ind w:left="851"/>
        <w:rPr>
          <w:sz w:val="24"/>
          <w:szCs w:val="24"/>
          <w:u w:val="single"/>
        </w:rPr>
      </w:pPr>
      <w:r w:rsidRPr="00E62732">
        <w:rPr>
          <w:sz w:val="24"/>
          <w:szCs w:val="24"/>
          <w:u w:val="single"/>
        </w:rPr>
        <w:t>Kapselhætte</w:t>
      </w:r>
    </w:p>
    <w:p w14:paraId="6CE79820" w14:textId="77777777" w:rsidR="00541230" w:rsidRPr="000C059E" w:rsidRDefault="00541230" w:rsidP="00773EAE">
      <w:pPr>
        <w:ind w:left="851"/>
        <w:rPr>
          <w:sz w:val="24"/>
          <w:szCs w:val="24"/>
        </w:rPr>
      </w:pPr>
      <w:r w:rsidRPr="000C059E">
        <w:rPr>
          <w:sz w:val="24"/>
          <w:szCs w:val="24"/>
        </w:rPr>
        <w:t xml:space="preserve">Hypromellose </w:t>
      </w:r>
    </w:p>
    <w:p w14:paraId="0BC4058E" w14:textId="77777777" w:rsidR="00541230" w:rsidRPr="000C059E" w:rsidRDefault="00541230" w:rsidP="00773EAE">
      <w:pPr>
        <w:ind w:left="851"/>
        <w:rPr>
          <w:sz w:val="24"/>
          <w:szCs w:val="24"/>
        </w:rPr>
      </w:pPr>
      <w:r w:rsidRPr="000C059E">
        <w:rPr>
          <w:sz w:val="24"/>
          <w:szCs w:val="24"/>
        </w:rPr>
        <w:t>Sort jernoxid (E172)</w:t>
      </w:r>
    </w:p>
    <w:p w14:paraId="7A15CADC" w14:textId="77777777" w:rsidR="00541230" w:rsidRPr="000C059E" w:rsidRDefault="00541230" w:rsidP="00773EAE">
      <w:pPr>
        <w:ind w:left="851"/>
        <w:rPr>
          <w:sz w:val="24"/>
          <w:szCs w:val="24"/>
        </w:rPr>
      </w:pPr>
      <w:r w:rsidRPr="000C059E">
        <w:rPr>
          <w:sz w:val="24"/>
          <w:szCs w:val="24"/>
        </w:rPr>
        <w:t xml:space="preserve">Gul jernoxid (E172) </w:t>
      </w:r>
    </w:p>
    <w:p w14:paraId="3114558E" w14:textId="77777777" w:rsidR="00541230" w:rsidRPr="000C059E" w:rsidRDefault="00541230" w:rsidP="00773EAE">
      <w:pPr>
        <w:ind w:left="851"/>
        <w:rPr>
          <w:sz w:val="24"/>
          <w:szCs w:val="24"/>
        </w:rPr>
      </w:pPr>
      <w:r w:rsidRPr="000C059E">
        <w:rPr>
          <w:sz w:val="24"/>
          <w:szCs w:val="24"/>
        </w:rPr>
        <w:t>Rød jernoxid (E172)</w:t>
      </w:r>
    </w:p>
    <w:p w14:paraId="7422F755" w14:textId="77777777" w:rsidR="00541230" w:rsidRPr="000C059E" w:rsidRDefault="00541230" w:rsidP="00773EAE">
      <w:pPr>
        <w:ind w:left="851"/>
        <w:rPr>
          <w:sz w:val="24"/>
          <w:szCs w:val="24"/>
        </w:rPr>
      </w:pPr>
      <w:r w:rsidRPr="000C059E">
        <w:rPr>
          <w:sz w:val="24"/>
          <w:szCs w:val="24"/>
        </w:rPr>
        <w:t>Titandioxid</w:t>
      </w:r>
    </w:p>
    <w:p w14:paraId="7C777468" w14:textId="77777777" w:rsidR="00541230" w:rsidRPr="000C059E" w:rsidRDefault="00541230" w:rsidP="00773EAE">
      <w:pPr>
        <w:ind w:left="851"/>
        <w:rPr>
          <w:sz w:val="24"/>
          <w:szCs w:val="24"/>
        </w:rPr>
      </w:pPr>
    </w:p>
    <w:p w14:paraId="0DB9B5CA" w14:textId="77777777" w:rsidR="00541230" w:rsidRPr="00E62732" w:rsidRDefault="00541230" w:rsidP="00773EAE">
      <w:pPr>
        <w:ind w:left="851"/>
        <w:rPr>
          <w:sz w:val="24"/>
          <w:szCs w:val="24"/>
          <w:u w:val="single"/>
        </w:rPr>
      </w:pPr>
      <w:r w:rsidRPr="00E62732">
        <w:rPr>
          <w:sz w:val="24"/>
          <w:szCs w:val="24"/>
          <w:u w:val="single"/>
        </w:rPr>
        <w:t xml:space="preserve">Prægeblæk </w:t>
      </w:r>
    </w:p>
    <w:p w14:paraId="287FD18A" w14:textId="77777777" w:rsidR="00541230" w:rsidRPr="000C059E" w:rsidRDefault="00541230" w:rsidP="00773EAE">
      <w:pPr>
        <w:ind w:left="851"/>
        <w:rPr>
          <w:sz w:val="24"/>
          <w:szCs w:val="24"/>
        </w:rPr>
      </w:pPr>
      <w:r w:rsidRPr="000C059E">
        <w:rPr>
          <w:sz w:val="24"/>
          <w:szCs w:val="24"/>
        </w:rPr>
        <w:t>Shellac</w:t>
      </w:r>
    </w:p>
    <w:p w14:paraId="4A9655BA" w14:textId="77777777" w:rsidR="00541230" w:rsidRPr="000C059E" w:rsidRDefault="00541230" w:rsidP="00773EAE">
      <w:pPr>
        <w:ind w:left="851"/>
        <w:rPr>
          <w:sz w:val="24"/>
          <w:szCs w:val="24"/>
        </w:rPr>
      </w:pPr>
      <w:r w:rsidRPr="000C059E">
        <w:rPr>
          <w:sz w:val="24"/>
          <w:szCs w:val="24"/>
        </w:rPr>
        <w:t xml:space="preserve">Kaliumhydroxid </w:t>
      </w:r>
    </w:p>
    <w:p w14:paraId="04639C10" w14:textId="77777777" w:rsidR="00541230" w:rsidRPr="000C059E" w:rsidRDefault="00541230" w:rsidP="00773EAE">
      <w:pPr>
        <w:ind w:left="851"/>
        <w:rPr>
          <w:sz w:val="24"/>
          <w:szCs w:val="24"/>
        </w:rPr>
      </w:pPr>
      <w:r w:rsidRPr="000C059E">
        <w:rPr>
          <w:sz w:val="24"/>
          <w:szCs w:val="24"/>
        </w:rPr>
        <w:t xml:space="preserve">Sort jernoxid (E172) </w:t>
      </w:r>
    </w:p>
    <w:p w14:paraId="04E39025" w14:textId="77777777" w:rsidR="009260DE" w:rsidRPr="000C059E" w:rsidRDefault="009260DE" w:rsidP="009260DE">
      <w:pPr>
        <w:tabs>
          <w:tab w:val="left" w:pos="851"/>
        </w:tabs>
        <w:ind w:left="851"/>
        <w:rPr>
          <w:sz w:val="24"/>
          <w:szCs w:val="24"/>
        </w:rPr>
      </w:pPr>
    </w:p>
    <w:p w14:paraId="291D8F12" w14:textId="77777777" w:rsidR="009260DE" w:rsidRPr="000C059E" w:rsidRDefault="009260DE" w:rsidP="009260DE">
      <w:pPr>
        <w:tabs>
          <w:tab w:val="left" w:pos="851"/>
        </w:tabs>
        <w:ind w:left="851" w:hanging="851"/>
        <w:rPr>
          <w:b/>
          <w:sz w:val="24"/>
          <w:szCs w:val="24"/>
        </w:rPr>
      </w:pPr>
      <w:r w:rsidRPr="000C059E">
        <w:rPr>
          <w:b/>
          <w:sz w:val="24"/>
          <w:szCs w:val="24"/>
        </w:rPr>
        <w:t>6.2</w:t>
      </w:r>
      <w:r w:rsidRPr="000C059E">
        <w:rPr>
          <w:b/>
          <w:sz w:val="24"/>
          <w:szCs w:val="24"/>
        </w:rPr>
        <w:tab/>
        <w:t>Uforligeligheder</w:t>
      </w:r>
    </w:p>
    <w:p w14:paraId="723BF2B2" w14:textId="77777777" w:rsidR="00541230" w:rsidRPr="000C059E" w:rsidRDefault="00541230" w:rsidP="00773EAE">
      <w:pPr>
        <w:ind w:left="851"/>
        <w:rPr>
          <w:sz w:val="24"/>
          <w:szCs w:val="24"/>
        </w:rPr>
      </w:pPr>
      <w:r w:rsidRPr="000C059E">
        <w:rPr>
          <w:sz w:val="24"/>
          <w:szCs w:val="24"/>
        </w:rPr>
        <w:t>Ikke relevant.</w:t>
      </w:r>
    </w:p>
    <w:p w14:paraId="056F162C" w14:textId="77777777" w:rsidR="009260DE" w:rsidRPr="000C059E" w:rsidRDefault="009260DE" w:rsidP="009260DE">
      <w:pPr>
        <w:tabs>
          <w:tab w:val="left" w:pos="851"/>
        </w:tabs>
        <w:ind w:left="851"/>
        <w:rPr>
          <w:sz w:val="24"/>
          <w:szCs w:val="24"/>
        </w:rPr>
      </w:pPr>
    </w:p>
    <w:p w14:paraId="11B23EAC" w14:textId="77777777" w:rsidR="009260DE" w:rsidRPr="000C059E" w:rsidRDefault="009260DE" w:rsidP="009260DE">
      <w:pPr>
        <w:tabs>
          <w:tab w:val="left" w:pos="851"/>
        </w:tabs>
        <w:ind w:left="851" w:hanging="851"/>
        <w:rPr>
          <w:b/>
          <w:sz w:val="24"/>
          <w:szCs w:val="24"/>
        </w:rPr>
      </w:pPr>
      <w:r w:rsidRPr="000C059E">
        <w:rPr>
          <w:b/>
          <w:sz w:val="24"/>
          <w:szCs w:val="24"/>
        </w:rPr>
        <w:t>6.3</w:t>
      </w:r>
      <w:r w:rsidRPr="000C059E">
        <w:rPr>
          <w:b/>
          <w:sz w:val="24"/>
          <w:szCs w:val="24"/>
        </w:rPr>
        <w:tab/>
        <w:t>Opbevaringstid</w:t>
      </w:r>
    </w:p>
    <w:p w14:paraId="637E9885" w14:textId="77777777" w:rsidR="00541230" w:rsidRPr="000C059E" w:rsidRDefault="00541230" w:rsidP="00773EAE">
      <w:pPr>
        <w:ind w:left="851"/>
        <w:rPr>
          <w:sz w:val="24"/>
          <w:szCs w:val="24"/>
        </w:rPr>
      </w:pPr>
      <w:r w:rsidRPr="000C059E">
        <w:rPr>
          <w:sz w:val="24"/>
          <w:szCs w:val="24"/>
        </w:rPr>
        <w:t>2 år</w:t>
      </w:r>
    </w:p>
    <w:p w14:paraId="707AC844" w14:textId="77777777" w:rsidR="009260DE" w:rsidRPr="000C059E" w:rsidRDefault="009260DE" w:rsidP="009260DE">
      <w:pPr>
        <w:tabs>
          <w:tab w:val="left" w:pos="851"/>
        </w:tabs>
        <w:ind w:left="851"/>
        <w:rPr>
          <w:sz w:val="24"/>
          <w:szCs w:val="24"/>
        </w:rPr>
      </w:pPr>
    </w:p>
    <w:p w14:paraId="3161BDC8" w14:textId="77777777" w:rsidR="009260DE" w:rsidRPr="000C059E" w:rsidRDefault="009260DE" w:rsidP="009260DE">
      <w:pPr>
        <w:tabs>
          <w:tab w:val="left" w:pos="851"/>
        </w:tabs>
        <w:ind w:left="851" w:hanging="851"/>
        <w:rPr>
          <w:b/>
          <w:sz w:val="24"/>
          <w:szCs w:val="24"/>
        </w:rPr>
      </w:pPr>
      <w:r w:rsidRPr="000C059E">
        <w:rPr>
          <w:b/>
          <w:sz w:val="24"/>
          <w:szCs w:val="24"/>
        </w:rPr>
        <w:t>6.4</w:t>
      </w:r>
      <w:r w:rsidRPr="000C059E">
        <w:rPr>
          <w:b/>
          <w:sz w:val="24"/>
          <w:szCs w:val="24"/>
        </w:rPr>
        <w:tab/>
        <w:t>Særlige opbevaringsforhold</w:t>
      </w:r>
    </w:p>
    <w:p w14:paraId="1C30F586" w14:textId="77777777" w:rsidR="00541230" w:rsidRPr="000C059E" w:rsidRDefault="00541230" w:rsidP="00773EAE">
      <w:pPr>
        <w:ind w:left="851"/>
        <w:rPr>
          <w:sz w:val="24"/>
          <w:szCs w:val="24"/>
        </w:rPr>
      </w:pPr>
      <w:r w:rsidRPr="000C059E">
        <w:rPr>
          <w:sz w:val="24"/>
          <w:szCs w:val="24"/>
        </w:rPr>
        <w:t>Opbevares i den originale emballage for at beskytte mod fugt.</w:t>
      </w:r>
    </w:p>
    <w:p w14:paraId="4654467B" w14:textId="77777777" w:rsidR="009260DE" w:rsidRPr="000C059E" w:rsidRDefault="009260DE" w:rsidP="009260DE">
      <w:pPr>
        <w:tabs>
          <w:tab w:val="left" w:pos="851"/>
        </w:tabs>
        <w:ind w:left="851"/>
        <w:rPr>
          <w:sz w:val="24"/>
          <w:szCs w:val="24"/>
        </w:rPr>
      </w:pPr>
    </w:p>
    <w:p w14:paraId="2A20B89F" w14:textId="77777777" w:rsidR="009260DE" w:rsidRPr="000C059E" w:rsidRDefault="009260DE" w:rsidP="009260DE">
      <w:pPr>
        <w:tabs>
          <w:tab w:val="left" w:pos="851"/>
        </w:tabs>
        <w:ind w:left="851" w:hanging="851"/>
        <w:rPr>
          <w:b/>
          <w:sz w:val="24"/>
          <w:szCs w:val="24"/>
        </w:rPr>
      </w:pPr>
      <w:r w:rsidRPr="000C059E">
        <w:rPr>
          <w:b/>
          <w:sz w:val="24"/>
          <w:szCs w:val="24"/>
        </w:rPr>
        <w:t>6.5</w:t>
      </w:r>
      <w:r w:rsidRPr="000C059E">
        <w:rPr>
          <w:b/>
          <w:sz w:val="24"/>
          <w:szCs w:val="24"/>
        </w:rPr>
        <w:tab/>
        <w:t>Emballagetype og pakningsstørrelser</w:t>
      </w:r>
    </w:p>
    <w:p w14:paraId="044C828F" w14:textId="71A4D1D9" w:rsidR="00541230" w:rsidRPr="000C059E" w:rsidRDefault="00541230" w:rsidP="00773EAE">
      <w:pPr>
        <w:ind w:left="851"/>
        <w:rPr>
          <w:sz w:val="24"/>
          <w:szCs w:val="24"/>
        </w:rPr>
      </w:pPr>
      <w:r w:rsidRPr="000C059E">
        <w:rPr>
          <w:sz w:val="24"/>
          <w:szCs w:val="24"/>
        </w:rPr>
        <w:t>Hver æske indeholder 30, 60 eller 90 hårde kapsler i oPA/Al/PVC/Al-blistre eller 30</w:t>
      </w:r>
      <w:r w:rsidR="00E62732">
        <w:rPr>
          <w:sz w:val="24"/>
          <w:szCs w:val="24"/>
        </w:rPr>
        <w:t>×</w:t>
      </w:r>
      <w:r w:rsidRPr="000C059E">
        <w:rPr>
          <w:sz w:val="24"/>
          <w:szCs w:val="24"/>
        </w:rPr>
        <w:t>1, 60</w:t>
      </w:r>
      <w:r w:rsidR="00E62732">
        <w:rPr>
          <w:sz w:val="24"/>
          <w:szCs w:val="24"/>
        </w:rPr>
        <w:t>×</w:t>
      </w:r>
      <w:r w:rsidRPr="000C059E">
        <w:rPr>
          <w:sz w:val="24"/>
          <w:szCs w:val="24"/>
        </w:rPr>
        <w:t>1 eller 90</w:t>
      </w:r>
      <w:r w:rsidR="00E62732">
        <w:rPr>
          <w:sz w:val="24"/>
          <w:szCs w:val="24"/>
        </w:rPr>
        <w:t>×</w:t>
      </w:r>
      <w:r w:rsidRPr="000C059E">
        <w:rPr>
          <w:sz w:val="24"/>
          <w:szCs w:val="24"/>
        </w:rPr>
        <w:t>1 hårde kapsler i oPA/Al/PVC/Al enkeltdosis-blisterpakning.</w:t>
      </w:r>
    </w:p>
    <w:p w14:paraId="06394EEA" w14:textId="77777777" w:rsidR="00541230" w:rsidRPr="000C059E" w:rsidRDefault="00541230" w:rsidP="00773EAE">
      <w:pPr>
        <w:ind w:left="851"/>
        <w:rPr>
          <w:sz w:val="24"/>
          <w:szCs w:val="24"/>
        </w:rPr>
      </w:pPr>
    </w:p>
    <w:p w14:paraId="5F952BDE" w14:textId="661FA6A7" w:rsidR="00541230" w:rsidRPr="000C059E" w:rsidRDefault="00541230" w:rsidP="00773EAE">
      <w:pPr>
        <w:ind w:left="851"/>
        <w:rPr>
          <w:sz w:val="24"/>
          <w:szCs w:val="24"/>
        </w:rPr>
      </w:pPr>
      <w:r w:rsidRPr="000C059E">
        <w:rPr>
          <w:sz w:val="24"/>
          <w:szCs w:val="24"/>
        </w:rPr>
        <w:t>Hver æske indeholder 30, 60 eller 90 hårde kapsler i oPA/Al/PVC/PE/Al-blistre med tørremiddel eller 30</w:t>
      </w:r>
      <w:r w:rsidR="00E62732">
        <w:rPr>
          <w:sz w:val="24"/>
          <w:szCs w:val="24"/>
        </w:rPr>
        <w:t>×</w:t>
      </w:r>
      <w:r w:rsidRPr="000C059E">
        <w:rPr>
          <w:sz w:val="24"/>
          <w:szCs w:val="24"/>
        </w:rPr>
        <w:t>1, 60</w:t>
      </w:r>
      <w:r w:rsidR="00E62732">
        <w:rPr>
          <w:sz w:val="24"/>
          <w:szCs w:val="24"/>
        </w:rPr>
        <w:t>×</w:t>
      </w:r>
      <w:r w:rsidRPr="000C059E">
        <w:rPr>
          <w:sz w:val="24"/>
          <w:szCs w:val="24"/>
        </w:rPr>
        <w:t>1 eller 90</w:t>
      </w:r>
      <w:r w:rsidR="00E62732">
        <w:rPr>
          <w:sz w:val="24"/>
          <w:szCs w:val="24"/>
        </w:rPr>
        <w:t>×</w:t>
      </w:r>
      <w:r w:rsidRPr="000C059E">
        <w:rPr>
          <w:sz w:val="24"/>
          <w:szCs w:val="24"/>
        </w:rPr>
        <w:t>1 hårde kapsler i oPA/Al/PVC/PE/Al enkeltdosis-blisterpakning med tørremiddel.</w:t>
      </w:r>
    </w:p>
    <w:p w14:paraId="78C0BAB6" w14:textId="77777777" w:rsidR="00541230" w:rsidRPr="000C059E" w:rsidRDefault="00541230" w:rsidP="00773EAE">
      <w:pPr>
        <w:ind w:left="851"/>
        <w:rPr>
          <w:sz w:val="24"/>
          <w:szCs w:val="24"/>
        </w:rPr>
      </w:pPr>
    </w:p>
    <w:p w14:paraId="14C7DADF" w14:textId="77777777" w:rsidR="00541230" w:rsidRPr="000C059E" w:rsidRDefault="00541230" w:rsidP="00773EAE">
      <w:pPr>
        <w:ind w:left="851"/>
        <w:rPr>
          <w:sz w:val="24"/>
          <w:szCs w:val="24"/>
        </w:rPr>
      </w:pPr>
      <w:r w:rsidRPr="000C059E">
        <w:rPr>
          <w:sz w:val="24"/>
          <w:szCs w:val="24"/>
        </w:rPr>
        <w:t>Ikke alle pakningsstørrelser er nødvendigvis markedsført.</w:t>
      </w:r>
    </w:p>
    <w:p w14:paraId="6BF25F05" w14:textId="77777777" w:rsidR="009260DE" w:rsidRPr="000C059E" w:rsidRDefault="009260DE" w:rsidP="00773EAE">
      <w:pPr>
        <w:ind w:left="851"/>
        <w:rPr>
          <w:sz w:val="24"/>
          <w:szCs w:val="24"/>
        </w:rPr>
      </w:pPr>
    </w:p>
    <w:p w14:paraId="4C3441E5" w14:textId="77777777" w:rsidR="009260DE" w:rsidRPr="000C059E" w:rsidRDefault="009260DE" w:rsidP="009260DE">
      <w:pPr>
        <w:tabs>
          <w:tab w:val="left" w:pos="851"/>
        </w:tabs>
        <w:ind w:left="851" w:hanging="851"/>
        <w:rPr>
          <w:b/>
          <w:sz w:val="24"/>
          <w:szCs w:val="24"/>
        </w:rPr>
      </w:pPr>
      <w:r w:rsidRPr="000C059E">
        <w:rPr>
          <w:b/>
          <w:sz w:val="24"/>
          <w:szCs w:val="24"/>
        </w:rPr>
        <w:t>6.6</w:t>
      </w:r>
      <w:r w:rsidRPr="000C059E">
        <w:rPr>
          <w:b/>
          <w:sz w:val="24"/>
          <w:szCs w:val="24"/>
        </w:rPr>
        <w:tab/>
        <w:t xml:space="preserve">Regler for </w:t>
      </w:r>
      <w:r w:rsidR="00BD7931" w:rsidRPr="000C059E">
        <w:rPr>
          <w:b/>
          <w:sz w:val="24"/>
          <w:szCs w:val="24"/>
        </w:rPr>
        <w:t>bortskaffelse</w:t>
      </w:r>
      <w:r w:rsidRPr="000C059E">
        <w:rPr>
          <w:b/>
          <w:sz w:val="24"/>
          <w:szCs w:val="24"/>
        </w:rPr>
        <w:t xml:space="preserve"> og anden håndtering</w:t>
      </w:r>
    </w:p>
    <w:p w14:paraId="4827321E" w14:textId="77777777" w:rsidR="00541230" w:rsidRPr="000C059E" w:rsidRDefault="00541230" w:rsidP="00773EAE">
      <w:pPr>
        <w:ind w:left="851"/>
        <w:rPr>
          <w:sz w:val="24"/>
          <w:szCs w:val="24"/>
        </w:rPr>
      </w:pPr>
      <w:r w:rsidRPr="000C059E">
        <w:rPr>
          <w:sz w:val="24"/>
          <w:szCs w:val="24"/>
        </w:rPr>
        <w:t>For at undgå gentagen eksponering for indholdet i kapslen bør plejepersonale ikke åbne kapslen.</w:t>
      </w:r>
    </w:p>
    <w:p w14:paraId="22BA92A0" w14:textId="77777777" w:rsidR="00541230" w:rsidRPr="000C059E" w:rsidRDefault="00541230" w:rsidP="00773EAE">
      <w:pPr>
        <w:ind w:left="851"/>
        <w:rPr>
          <w:sz w:val="24"/>
          <w:szCs w:val="24"/>
        </w:rPr>
      </w:pPr>
    </w:p>
    <w:p w14:paraId="6A97C2EA" w14:textId="77777777" w:rsidR="00541230" w:rsidRPr="000C059E" w:rsidRDefault="00541230" w:rsidP="00773EAE">
      <w:pPr>
        <w:ind w:left="851"/>
        <w:rPr>
          <w:sz w:val="24"/>
          <w:szCs w:val="24"/>
        </w:rPr>
      </w:pPr>
      <w:r w:rsidRPr="000C059E">
        <w:rPr>
          <w:sz w:val="24"/>
          <w:szCs w:val="24"/>
        </w:rPr>
        <w:t>Ikke anvendt lægemiddel samt affald heraf skal bortskaffes i henhold til lokale retningslinjer.</w:t>
      </w:r>
    </w:p>
    <w:p w14:paraId="63F2A870" w14:textId="77777777" w:rsidR="009260DE" w:rsidRPr="000C059E" w:rsidRDefault="009260DE" w:rsidP="000730CA">
      <w:pPr>
        <w:tabs>
          <w:tab w:val="left" w:pos="851"/>
        </w:tabs>
        <w:ind w:left="851"/>
        <w:rPr>
          <w:sz w:val="24"/>
          <w:szCs w:val="24"/>
        </w:rPr>
      </w:pPr>
    </w:p>
    <w:p w14:paraId="6F34BFA7" w14:textId="77777777" w:rsidR="009260DE" w:rsidRPr="000C059E" w:rsidRDefault="009260DE" w:rsidP="009260DE">
      <w:pPr>
        <w:tabs>
          <w:tab w:val="left" w:pos="851"/>
        </w:tabs>
        <w:ind w:left="851" w:hanging="851"/>
        <w:rPr>
          <w:b/>
          <w:sz w:val="24"/>
          <w:szCs w:val="24"/>
        </w:rPr>
      </w:pPr>
      <w:r w:rsidRPr="000C059E">
        <w:rPr>
          <w:b/>
          <w:sz w:val="24"/>
          <w:szCs w:val="24"/>
        </w:rPr>
        <w:t>7.</w:t>
      </w:r>
      <w:r w:rsidRPr="000C059E">
        <w:rPr>
          <w:b/>
          <w:sz w:val="24"/>
          <w:szCs w:val="24"/>
        </w:rPr>
        <w:tab/>
        <w:t>INDEHAVER AF MARKEDSFØRINGSTILLADELSEN</w:t>
      </w:r>
    </w:p>
    <w:p w14:paraId="643BB565" w14:textId="77777777" w:rsidR="00541230" w:rsidRPr="000C059E" w:rsidRDefault="00541230" w:rsidP="00773EAE">
      <w:pPr>
        <w:ind w:left="851"/>
        <w:rPr>
          <w:sz w:val="24"/>
          <w:szCs w:val="24"/>
        </w:rPr>
      </w:pPr>
      <w:r w:rsidRPr="000C059E">
        <w:rPr>
          <w:sz w:val="24"/>
          <w:szCs w:val="24"/>
        </w:rPr>
        <w:t>TEVA GmbH</w:t>
      </w:r>
    </w:p>
    <w:p w14:paraId="61AACCBD" w14:textId="77777777" w:rsidR="00541230" w:rsidRPr="000C059E" w:rsidRDefault="00541230" w:rsidP="00773EAE">
      <w:pPr>
        <w:ind w:left="851"/>
        <w:rPr>
          <w:sz w:val="24"/>
          <w:szCs w:val="24"/>
        </w:rPr>
      </w:pPr>
      <w:r w:rsidRPr="000C059E">
        <w:rPr>
          <w:sz w:val="24"/>
          <w:szCs w:val="24"/>
        </w:rPr>
        <w:t>Graf-Arco-Str. 3</w:t>
      </w:r>
    </w:p>
    <w:p w14:paraId="707D61D3" w14:textId="77777777" w:rsidR="00541230" w:rsidRPr="000C059E" w:rsidRDefault="00541230" w:rsidP="00773EAE">
      <w:pPr>
        <w:ind w:left="851"/>
        <w:rPr>
          <w:sz w:val="24"/>
          <w:szCs w:val="24"/>
        </w:rPr>
      </w:pPr>
      <w:r w:rsidRPr="000C059E">
        <w:rPr>
          <w:sz w:val="24"/>
          <w:szCs w:val="24"/>
        </w:rPr>
        <w:t>89079 Ulm</w:t>
      </w:r>
    </w:p>
    <w:p w14:paraId="151EBC76" w14:textId="77777777" w:rsidR="00541230" w:rsidRPr="000C059E" w:rsidRDefault="00541230" w:rsidP="00773EAE">
      <w:pPr>
        <w:ind w:left="851"/>
        <w:rPr>
          <w:sz w:val="24"/>
          <w:szCs w:val="24"/>
        </w:rPr>
      </w:pPr>
      <w:r w:rsidRPr="000C059E">
        <w:rPr>
          <w:sz w:val="24"/>
          <w:szCs w:val="24"/>
        </w:rPr>
        <w:t>Tyskland</w:t>
      </w:r>
    </w:p>
    <w:p w14:paraId="5F5DC109" w14:textId="77777777" w:rsidR="009260DE" w:rsidRPr="000C059E" w:rsidRDefault="009260DE" w:rsidP="00773EAE">
      <w:pPr>
        <w:ind w:left="851"/>
        <w:rPr>
          <w:sz w:val="24"/>
          <w:szCs w:val="24"/>
        </w:rPr>
      </w:pPr>
    </w:p>
    <w:p w14:paraId="2AC3616B" w14:textId="77777777" w:rsidR="00641C65" w:rsidRPr="000C059E" w:rsidRDefault="00641C65" w:rsidP="00773EAE">
      <w:pPr>
        <w:ind w:left="851"/>
        <w:rPr>
          <w:sz w:val="24"/>
          <w:szCs w:val="24"/>
        </w:rPr>
      </w:pPr>
      <w:r w:rsidRPr="000C059E">
        <w:rPr>
          <w:b/>
          <w:sz w:val="24"/>
          <w:szCs w:val="24"/>
        </w:rPr>
        <w:t>Repræsentant</w:t>
      </w:r>
    </w:p>
    <w:p w14:paraId="540AB3DD" w14:textId="77777777" w:rsidR="00541230" w:rsidRPr="000C059E" w:rsidRDefault="00541230" w:rsidP="00773EAE">
      <w:pPr>
        <w:ind w:left="851"/>
        <w:rPr>
          <w:sz w:val="24"/>
          <w:szCs w:val="24"/>
        </w:rPr>
      </w:pPr>
      <w:r w:rsidRPr="000C059E">
        <w:rPr>
          <w:sz w:val="24"/>
          <w:szCs w:val="24"/>
        </w:rPr>
        <w:t>Teva Denmark A/S</w:t>
      </w:r>
    </w:p>
    <w:p w14:paraId="39A30B6A" w14:textId="77777777" w:rsidR="00541230" w:rsidRPr="000C059E" w:rsidRDefault="00541230" w:rsidP="00773EAE">
      <w:pPr>
        <w:ind w:left="851"/>
        <w:rPr>
          <w:sz w:val="24"/>
          <w:szCs w:val="24"/>
        </w:rPr>
      </w:pPr>
      <w:r w:rsidRPr="000C059E">
        <w:rPr>
          <w:sz w:val="24"/>
          <w:szCs w:val="24"/>
        </w:rPr>
        <w:t>Vandtårnsvej 83A</w:t>
      </w:r>
    </w:p>
    <w:p w14:paraId="3EF9AB16" w14:textId="77777777" w:rsidR="00541230" w:rsidRPr="000C059E" w:rsidRDefault="00541230" w:rsidP="00773EAE">
      <w:pPr>
        <w:ind w:left="851"/>
        <w:rPr>
          <w:sz w:val="24"/>
          <w:szCs w:val="24"/>
        </w:rPr>
      </w:pPr>
      <w:r w:rsidRPr="000C059E">
        <w:rPr>
          <w:sz w:val="24"/>
          <w:szCs w:val="24"/>
        </w:rPr>
        <w:t>2860 Søborg</w:t>
      </w:r>
    </w:p>
    <w:p w14:paraId="6DC0AB99" w14:textId="77777777" w:rsidR="00641C65" w:rsidRPr="000C059E" w:rsidRDefault="00641C65" w:rsidP="009260DE">
      <w:pPr>
        <w:tabs>
          <w:tab w:val="left" w:pos="851"/>
        </w:tabs>
        <w:ind w:left="851"/>
        <w:rPr>
          <w:sz w:val="24"/>
          <w:szCs w:val="24"/>
        </w:rPr>
      </w:pPr>
    </w:p>
    <w:p w14:paraId="13840AFD" w14:textId="77777777" w:rsidR="009260DE" w:rsidRPr="000C059E" w:rsidRDefault="009260DE" w:rsidP="009260DE">
      <w:pPr>
        <w:tabs>
          <w:tab w:val="left" w:pos="851"/>
        </w:tabs>
        <w:ind w:left="851" w:hanging="851"/>
        <w:rPr>
          <w:b/>
          <w:sz w:val="24"/>
          <w:szCs w:val="24"/>
        </w:rPr>
      </w:pPr>
      <w:r w:rsidRPr="000C059E">
        <w:rPr>
          <w:b/>
          <w:sz w:val="24"/>
          <w:szCs w:val="24"/>
        </w:rPr>
        <w:t>8.</w:t>
      </w:r>
      <w:r w:rsidRPr="000C059E">
        <w:rPr>
          <w:b/>
          <w:sz w:val="24"/>
          <w:szCs w:val="24"/>
        </w:rPr>
        <w:tab/>
        <w:t>MARKEDSFØRINGSTILLADELSESNUMMER (</w:t>
      </w:r>
      <w:r w:rsidR="00BF6243" w:rsidRPr="000C059E">
        <w:rPr>
          <w:b/>
          <w:sz w:val="24"/>
          <w:szCs w:val="24"/>
        </w:rPr>
        <w:t>-</w:t>
      </w:r>
      <w:r w:rsidRPr="000C059E">
        <w:rPr>
          <w:b/>
          <w:sz w:val="24"/>
          <w:szCs w:val="24"/>
        </w:rPr>
        <w:t>NUMRE)</w:t>
      </w:r>
    </w:p>
    <w:p w14:paraId="4BA64FDF" w14:textId="227F3EE8" w:rsidR="009260DE" w:rsidRPr="000C059E" w:rsidRDefault="00541230" w:rsidP="00773EAE">
      <w:pPr>
        <w:tabs>
          <w:tab w:val="left" w:pos="851"/>
          <w:tab w:val="left" w:pos="1843"/>
        </w:tabs>
        <w:ind w:left="851"/>
        <w:rPr>
          <w:sz w:val="24"/>
          <w:szCs w:val="24"/>
        </w:rPr>
      </w:pPr>
      <w:r w:rsidRPr="000C059E">
        <w:rPr>
          <w:sz w:val="24"/>
          <w:szCs w:val="24"/>
        </w:rPr>
        <w:t xml:space="preserve">4 mg: </w:t>
      </w:r>
      <w:r w:rsidR="00773EAE" w:rsidRPr="000C059E">
        <w:rPr>
          <w:sz w:val="24"/>
          <w:szCs w:val="24"/>
        </w:rPr>
        <w:tab/>
      </w:r>
      <w:r w:rsidRPr="000C059E">
        <w:rPr>
          <w:sz w:val="24"/>
          <w:szCs w:val="24"/>
        </w:rPr>
        <w:t>72896</w:t>
      </w:r>
    </w:p>
    <w:p w14:paraId="07F785AD" w14:textId="069D1AD5" w:rsidR="00541230" w:rsidRPr="000C059E" w:rsidRDefault="00541230" w:rsidP="00773EAE">
      <w:pPr>
        <w:tabs>
          <w:tab w:val="left" w:pos="851"/>
          <w:tab w:val="left" w:pos="1843"/>
        </w:tabs>
        <w:ind w:left="851"/>
        <w:rPr>
          <w:sz w:val="24"/>
          <w:szCs w:val="24"/>
        </w:rPr>
      </w:pPr>
      <w:r w:rsidRPr="000C059E">
        <w:rPr>
          <w:sz w:val="24"/>
          <w:szCs w:val="24"/>
        </w:rPr>
        <w:t xml:space="preserve">10 mg: </w:t>
      </w:r>
      <w:r w:rsidR="00773EAE" w:rsidRPr="000C059E">
        <w:rPr>
          <w:sz w:val="24"/>
          <w:szCs w:val="24"/>
        </w:rPr>
        <w:tab/>
      </w:r>
      <w:r w:rsidRPr="000C059E">
        <w:rPr>
          <w:sz w:val="24"/>
          <w:szCs w:val="24"/>
        </w:rPr>
        <w:t>72898</w:t>
      </w:r>
    </w:p>
    <w:p w14:paraId="4652EE2F" w14:textId="77777777" w:rsidR="009260DE" w:rsidRPr="000C059E" w:rsidRDefault="009260DE" w:rsidP="009260DE">
      <w:pPr>
        <w:tabs>
          <w:tab w:val="left" w:pos="851"/>
        </w:tabs>
        <w:ind w:left="851"/>
        <w:jc w:val="both"/>
        <w:rPr>
          <w:sz w:val="24"/>
          <w:szCs w:val="24"/>
        </w:rPr>
      </w:pPr>
    </w:p>
    <w:p w14:paraId="7688688C" w14:textId="77777777" w:rsidR="009260DE" w:rsidRPr="000C059E" w:rsidRDefault="009260DE" w:rsidP="009260DE">
      <w:pPr>
        <w:tabs>
          <w:tab w:val="left" w:pos="851"/>
        </w:tabs>
        <w:ind w:left="851" w:hanging="851"/>
        <w:rPr>
          <w:b/>
          <w:sz w:val="24"/>
          <w:szCs w:val="24"/>
        </w:rPr>
      </w:pPr>
      <w:r w:rsidRPr="000C059E">
        <w:rPr>
          <w:b/>
          <w:sz w:val="24"/>
          <w:szCs w:val="24"/>
        </w:rPr>
        <w:t>9.</w:t>
      </w:r>
      <w:r w:rsidRPr="000C059E">
        <w:rPr>
          <w:b/>
          <w:sz w:val="24"/>
          <w:szCs w:val="24"/>
        </w:rPr>
        <w:tab/>
        <w:t>DATO FOR FØRSTE MARKEDSFØRINGSTILLADELSE</w:t>
      </w:r>
    </w:p>
    <w:p w14:paraId="6A1FBD24" w14:textId="61CC1A3D" w:rsidR="009260DE" w:rsidRPr="000C059E" w:rsidRDefault="00DF7CC9" w:rsidP="009260DE">
      <w:pPr>
        <w:tabs>
          <w:tab w:val="left" w:pos="851"/>
        </w:tabs>
        <w:ind w:left="851"/>
        <w:rPr>
          <w:sz w:val="24"/>
          <w:szCs w:val="24"/>
        </w:rPr>
      </w:pPr>
      <w:r>
        <w:rPr>
          <w:sz w:val="24"/>
          <w:szCs w:val="24"/>
        </w:rPr>
        <w:t>31. oktober 2025</w:t>
      </w:r>
    </w:p>
    <w:p w14:paraId="5EA7F8B3" w14:textId="77777777" w:rsidR="009260DE" w:rsidRPr="000C059E" w:rsidRDefault="009260DE" w:rsidP="009260DE">
      <w:pPr>
        <w:tabs>
          <w:tab w:val="left" w:pos="851"/>
        </w:tabs>
        <w:ind w:left="851"/>
        <w:rPr>
          <w:sz w:val="24"/>
          <w:szCs w:val="24"/>
        </w:rPr>
      </w:pPr>
    </w:p>
    <w:p w14:paraId="6CFCD712" w14:textId="77777777" w:rsidR="009260DE" w:rsidRPr="000C059E" w:rsidRDefault="009260DE" w:rsidP="009260DE">
      <w:pPr>
        <w:tabs>
          <w:tab w:val="left" w:pos="851"/>
        </w:tabs>
        <w:ind w:left="851" w:hanging="851"/>
        <w:rPr>
          <w:b/>
          <w:sz w:val="24"/>
          <w:szCs w:val="24"/>
        </w:rPr>
      </w:pPr>
      <w:r w:rsidRPr="000C059E">
        <w:rPr>
          <w:b/>
          <w:sz w:val="24"/>
          <w:szCs w:val="24"/>
        </w:rPr>
        <w:t>10.</w:t>
      </w:r>
      <w:r w:rsidRPr="000C059E">
        <w:rPr>
          <w:b/>
          <w:sz w:val="24"/>
          <w:szCs w:val="24"/>
        </w:rPr>
        <w:tab/>
        <w:t>DATO FOR ÆNDRING AF TEKSTEN</w:t>
      </w:r>
    </w:p>
    <w:p w14:paraId="3AD3CAE5" w14:textId="7CAB06CA" w:rsidR="009260DE" w:rsidRPr="000C059E" w:rsidRDefault="00541230" w:rsidP="009260DE">
      <w:pPr>
        <w:tabs>
          <w:tab w:val="left" w:pos="851"/>
        </w:tabs>
        <w:ind w:left="851"/>
        <w:rPr>
          <w:sz w:val="24"/>
          <w:szCs w:val="24"/>
        </w:rPr>
      </w:pPr>
      <w:r w:rsidRPr="000C059E">
        <w:rPr>
          <w:sz w:val="24"/>
          <w:szCs w:val="24"/>
        </w:rPr>
        <w:t>-</w:t>
      </w:r>
    </w:p>
    <w:sectPr w:rsidR="009260DE" w:rsidRPr="000C059E" w:rsidSect="000259B9">
      <w:footerReference w:type="default" r:id="rId13"/>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1CDCA" w14:textId="77777777" w:rsidR="006727CE" w:rsidRDefault="006727CE">
      <w:r>
        <w:separator/>
      </w:r>
    </w:p>
  </w:endnote>
  <w:endnote w:type="continuationSeparator" w:id="0">
    <w:p w14:paraId="20813601" w14:textId="77777777" w:rsidR="006727CE" w:rsidRDefault="0067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07BD" w14:textId="77777777" w:rsidR="006727CE" w:rsidRDefault="006727CE">
    <w:pPr>
      <w:pStyle w:val="Sidefod"/>
      <w:pBdr>
        <w:bottom w:val="single" w:sz="6" w:space="1" w:color="auto"/>
      </w:pBdr>
    </w:pPr>
  </w:p>
  <w:p w14:paraId="32B19C14" w14:textId="77777777" w:rsidR="006727CE" w:rsidRDefault="006727CE" w:rsidP="00C42586">
    <w:pPr>
      <w:pStyle w:val="Sidefod"/>
      <w:tabs>
        <w:tab w:val="clear" w:pos="4819"/>
        <w:tab w:val="left" w:pos="8505"/>
      </w:tabs>
      <w:rPr>
        <w:i/>
        <w:sz w:val="18"/>
        <w:szCs w:val="18"/>
      </w:rPr>
    </w:pPr>
  </w:p>
  <w:p w14:paraId="62BD6A81" w14:textId="5445DDE2" w:rsidR="006727CE" w:rsidRPr="00B373D7" w:rsidRDefault="006727CE"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81580C">
      <w:rPr>
        <w:i/>
        <w:noProof/>
        <w:sz w:val="18"/>
        <w:szCs w:val="18"/>
      </w:rPr>
      <w:t>Lenvatinib Teva, hårde kapsler 4 mg og 10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A9E02" w14:textId="77777777" w:rsidR="006727CE" w:rsidRDefault="006727CE">
      <w:r>
        <w:separator/>
      </w:r>
    </w:p>
  </w:footnote>
  <w:footnote w:type="continuationSeparator" w:id="0">
    <w:p w14:paraId="5D7A611B" w14:textId="77777777" w:rsidR="006727CE" w:rsidRDefault="0067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98866BA"/>
    <w:multiLevelType w:val="hybridMultilevel"/>
    <w:tmpl w:val="52ACEC64"/>
    <w:lvl w:ilvl="0" w:tplc="35845F74">
      <w:start w:val="1"/>
      <w:numFmt w:val="decimal"/>
      <w:lvlText w:val="%1."/>
      <w:lvlJc w:val="left"/>
      <w:pPr>
        <w:ind w:left="802" w:hanging="567"/>
      </w:pPr>
      <w:rPr>
        <w:rFonts w:ascii="Times New Roman" w:eastAsia="Times New Roman" w:hAnsi="Times New Roman" w:cs="Times New Roman" w:hint="default"/>
        <w:w w:val="100"/>
        <w:sz w:val="20"/>
        <w:szCs w:val="20"/>
      </w:rPr>
    </w:lvl>
    <w:lvl w:ilvl="1" w:tplc="75A0F480">
      <w:numFmt w:val="bullet"/>
      <w:lvlText w:val="•"/>
      <w:lvlJc w:val="left"/>
      <w:pPr>
        <w:ind w:left="1792" w:hanging="567"/>
      </w:pPr>
    </w:lvl>
    <w:lvl w:ilvl="2" w:tplc="89D652A6">
      <w:numFmt w:val="bullet"/>
      <w:lvlText w:val="•"/>
      <w:lvlJc w:val="left"/>
      <w:pPr>
        <w:ind w:left="2785" w:hanging="567"/>
      </w:pPr>
    </w:lvl>
    <w:lvl w:ilvl="3" w:tplc="2D5A3AE2">
      <w:numFmt w:val="bullet"/>
      <w:lvlText w:val="•"/>
      <w:lvlJc w:val="left"/>
      <w:pPr>
        <w:ind w:left="3777" w:hanging="567"/>
      </w:pPr>
    </w:lvl>
    <w:lvl w:ilvl="4" w:tplc="411C39BA">
      <w:numFmt w:val="bullet"/>
      <w:lvlText w:val="•"/>
      <w:lvlJc w:val="left"/>
      <w:pPr>
        <w:ind w:left="4770" w:hanging="567"/>
      </w:pPr>
    </w:lvl>
    <w:lvl w:ilvl="5" w:tplc="15DAAF7C">
      <w:numFmt w:val="bullet"/>
      <w:lvlText w:val="•"/>
      <w:lvlJc w:val="left"/>
      <w:pPr>
        <w:ind w:left="5762" w:hanging="567"/>
      </w:pPr>
    </w:lvl>
    <w:lvl w:ilvl="6" w:tplc="A86E2FD0">
      <w:numFmt w:val="bullet"/>
      <w:lvlText w:val="•"/>
      <w:lvlJc w:val="left"/>
      <w:pPr>
        <w:ind w:left="6755" w:hanging="567"/>
      </w:pPr>
    </w:lvl>
    <w:lvl w:ilvl="7" w:tplc="A0D0C81A">
      <w:numFmt w:val="bullet"/>
      <w:lvlText w:val="•"/>
      <w:lvlJc w:val="left"/>
      <w:pPr>
        <w:ind w:left="7747" w:hanging="567"/>
      </w:pPr>
    </w:lvl>
    <w:lvl w:ilvl="8" w:tplc="3ABEEFBC">
      <w:numFmt w:val="bullet"/>
      <w:lvlText w:val="•"/>
      <w:lvlJc w:val="left"/>
      <w:pPr>
        <w:ind w:left="8740" w:hanging="567"/>
      </w:pPr>
    </w:lvl>
  </w:abstractNum>
  <w:abstractNum w:abstractNumId="4" w15:restartNumberingAfterBreak="0">
    <w:nsid w:val="40537579"/>
    <w:multiLevelType w:val="hybridMultilevel"/>
    <w:tmpl w:val="EE0CEF8A"/>
    <w:lvl w:ilvl="0" w:tplc="251867CC">
      <w:numFmt w:val="bullet"/>
      <w:lvlText w:val=""/>
      <w:lvlJc w:val="left"/>
      <w:pPr>
        <w:ind w:left="3637" w:hanging="567"/>
      </w:pPr>
      <w:rPr>
        <w:rFonts w:ascii="Symbol" w:eastAsia="Symbol" w:hAnsi="Symbol" w:cs="Symbol" w:hint="default"/>
        <w:w w:val="100"/>
        <w:sz w:val="22"/>
        <w:szCs w:val="22"/>
      </w:rPr>
    </w:lvl>
    <w:lvl w:ilvl="1" w:tplc="9474CFDE">
      <w:numFmt w:val="bullet"/>
      <w:lvlText w:val="o"/>
      <w:lvlJc w:val="left"/>
      <w:pPr>
        <w:ind w:left="4203" w:hanging="567"/>
      </w:pPr>
      <w:rPr>
        <w:rFonts w:ascii="Courier New" w:eastAsia="Courier New" w:hAnsi="Courier New" w:cs="Courier New" w:hint="default"/>
        <w:w w:val="100"/>
        <w:sz w:val="22"/>
        <w:szCs w:val="22"/>
      </w:rPr>
    </w:lvl>
    <w:lvl w:ilvl="2" w:tplc="07BE68BE">
      <w:numFmt w:val="bullet"/>
      <w:lvlText w:val=""/>
      <w:lvlJc w:val="left"/>
      <w:pPr>
        <w:ind w:left="4770" w:hanging="567"/>
      </w:pPr>
      <w:rPr>
        <w:rFonts w:ascii="Wingdings" w:eastAsia="Wingdings" w:hAnsi="Wingdings" w:cs="Wingdings" w:hint="default"/>
        <w:w w:val="100"/>
        <w:sz w:val="22"/>
        <w:szCs w:val="22"/>
      </w:rPr>
    </w:lvl>
    <w:lvl w:ilvl="3" w:tplc="D31C5E40">
      <w:numFmt w:val="bullet"/>
      <w:lvlText w:val="•"/>
      <w:lvlJc w:val="left"/>
      <w:pPr>
        <w:ind w:left="5873" w:hanging="567"/>
      </w:pPr>
    </w:lvl>
    <w:lvl w:ilvl="4" w:tplc="4726F742">
      <w:numFmt w:val="bullet"/>
      <w:lvlText w:val="•"/>
      <w:lvlJc w:val="left"/>
      <w:pPr>
        <w:ind w:left="6971" w:hanging="567"/>
      </w:pPr>
    </w:lvl>
    <w:lvl w:ilvl="5" w:tplc="68B66F14">
      <w:numFmt w:val="bullet"/>
      <w:lvlText w:val="•"/>
      <w:lvlJc w:val="left"/>
      <w:pPr>
        <w:ind w:left="8069" w:hanging="567"/>
      </w:pPr>
    </w:lvl>
    <w:lvl w:ilvl="6" w:tplc="DFE030D0">
      <w:numFmt w:val="bullet"/>
      <w:lvlText w:val="•"/>
      <w:lvlJc w:val="left"/>
      <w:pPr>
        <w:ind w:left="9167" w:hanging="567"/>
      </w:pPr>
    </w:lvl>
    <w:lvl w:ilvl="7" w:tplc="FCCA5A5C">
      <w:numFmt w:val="bullet"/>
      <w:lvlText w:val="•"/>
      <w:lvlJc w:val="left"/>
      <w:pPr>
        <w:ind w:left="10265" w:hanging="567"/>
      </w:pPr>
    </w:lvl>
    <w:lvl w:ilvl="8" w:tplc="FE90A1E6">
      <w:numFmt w:val="bullet"/>
      <w:lvlText w:val="•"/>
      <w:lvlJc w:val="left"/>
      <w:pPr>
        <w:ind w:left="11363" w:hanging="567"/>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3605000"/>
    <w:multiLevelType w:val="hybridMultilevel"/>
    <w:tmpl w:val="AE3CEA9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54A2017E"/>
    <w:multiLevelType w:val="hybridMultilevel"/>
    <w:tmpl w:val="1B7CC492"/>
    <w:lvl w:ilvl="0" w:tplc="0406000F">
      <w:start w:val="1"/>
      <w:numFmt w:val="decimal"/>
      <w:lvlText w:val="%1."/>
      <w:lvlJc w:val="left"/>
      <w:pPr>
        <w:ind w:left="676" w:hanging="567"/>
      </w:pPr>
      <w:rPr>
        <w:w w:val="100"/>
        <w:sz w:val="20"/>
        <w:szCs w:val="20"/>
      </w:rPr>
    </w:lvl>
    <w:lvl w:ilvl="1" w:tplc="FFFFFFFF">
      <w:numFmt w:val="bullet"/>
      <w:lvlText w:val="•"/>
      <w:lvlJc w:val="left"/>
      <w:pPr>
        <w:ind w:left="1112" w:hanging="567"/>
      </w:pPr>
    </w:lvl>
    <w:lvl w:ilvl="2" w:tplc="FFFFFFFF">
      <w:numFmt w:val="bullet"/>
      <w:lvlText w:val="•"/>
      <w:lvlJc w:val="left"/>
      <w:pPr>
        <w:ind w:left="1544" w:hanging="567"/>
      </w:pPr>
    </w:lvl>
    <w:lvl w:ilvl="3" w:tplc="FFFFFFFF">
      <w:numFmt w:val="bullet"/>
      <w:lvlText w:val="•"/>
      <w:lvlJc w:val="left"/>
      <w:pPr>
        <w:ind w:left="1976" w:hanging="567"/>
      </w:pPr>
    </w:lvl>
    <w:lvl w:ilvl="4" w:tplc="FFFFFFFF">
      <w:numFmt w:val="bullet"/>
      <w:lvlText w:val="•"/>
      <w:lvlJc w:val="left"/>
      <w:pPr>
        <w:ind w:left="2408" w:hanging="567"/>
      </w:pPr>
    </w:lvl>
    <w:lvl w:ilvl="5" w:tplc="FFFFFFFF">
      <w:numFmt w:val="bullet"/>
      <w:lvlText w:val="•"/>
      <w:lvlJc w:val="left"/>
      <w:pPr>
        <w:ind w:left="2840" w:hanging="567"/>
      </w:pPr>
    </w:lvl>
    <w:lvl w:ilvl="6" w:tplc="FFFFFFFF">
      <w:numFmt w:val="bullet"/>
      <w:lvlText w:val="•"/>
      <w:lvlJc w:val="left"/>
      <w:pPr>
        <w:ind w:left="3272" w:hanging="567"/>
      </w:pPr>
    </w:lvl>
    <w:lvl w:ilvl="7" w:tplc="FFFFFFFF">
      <w:numFmt w:val="bullet"/>
      <w:lvlText w:val="•"/>
      <w:lvlJc w:val="left"/>
      <w:pPr>
        <w:ind w:left="3704" w:hanging="567"/>
      </w:pPr>
    </w:lvl>
    <w:lvl w:ilvl="8" w:tplc="FFFFFFFF">
      <w:numFmt w:val="bullet"/>
      <w:lvlText w:val="•"/>
      <w:lvlJc w:val="left"/>
      <w:pPr>
        <w:ind w:left="4136" w:hanging="567"/>
      </w:p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B324C9E"/>
    <w:multiLevelType w:val="hybridMultilevel"/>
    <w:tmpl w:val="211A6B4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63CD0AB4"/>
    <w:multiLevelType w:val="hybridMultilevel"/>
    <w:tmpl w:val="8452B5A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7F5491F"/>
    <w:multiLevelType w:val="hybridMultilevel"/>
    <w:tmpl w:val="BA3ADBE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6"/>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18"/>
    <w:rsid w:val="000259B9"/>
    <w:rsid w:val="00041491"/>
    <w:rsid w:val="00050D16"/>
    <w:rsid w:val="000730CA"/>
    <w:rsid w:val="00074F2A"/>
    <w:rsid w:val="000A1CA8"/>
    <w:rsid w:val="000A466B"/>
    <w:rsid w:val="000B058C"/>
    <w:rsid w:val="000C059E"/>
    <w:rsid w:val="000D68B0"/>
    <w:rsid w:val="000E4EE6"/>
    <w:rsid w:val="000E71CD"/>
    <w:rsid w:val="001454E2"/>
    <w:rsid w:val="001D7204"/>
    <w:rsid w:val="001F14D5"/>
    <w:rsid w:val="00200B99"/>
    <w:rsid w:val="00206CE8"/>
    <w:rsid w:val="002072E6"/>
    <w:rsid w:val="0021526C"/>
    <w:rsid w:val="00242ACB"/>
    <w:rsid w:val="00251424"/>
    <w:rsid w:val="00251F1D"/>
    <w:rsid w:val="00260B68"/>
    <w:rsid w:val="00283A2B"/>
    <w:rsid w:val="002B30AD"/>
    <w:rsid w:val="002C1EC0"/>
    <w:rsid w:val="002C2C01"/>
    <w:rsid w:val="00342BB7"/>
    <w:rsid w:val="003A29AE"/>
    <w:rsid w:val="003A32D7"/>
    <w:rsid w:val="003B4074"/>
    <w:rsid w:val="003C769A"/>
    <w:rsid w:val="003D3A90"/>
    <w:rsid w:val="003F1838"/>
    <w:rsid w:val="004251C1"/>
    <w:rsid w:val="0045746C"/>
    <w:rsid w:val="0049104B"/>
    <w:rsid w:val="004E3B12"/>
    <w:rsid w:val="0052321A"/>
    <w:rsid w:val="00532310"/>
    <w:rsid w:val="00541230"/>
    <w:rsid w:val="00565F0F"/>
    <w:rsid w:val="00594A86"/>
    <w:rsid w:val="00596D86"/>
    <w:rsid w:val="00637F5A"/>
    <w:rsid w:val="00641C65"/>
    <w:rsid w:val="006560B1"/>
    <w:rsid w:val="006727CE"/>
    <w:rsid w:val="006756DD"/>
    <w:rsid w:val="0071241E"/>
    <w:rsid w:val="00720BA8"/>
    <w:rsid w:val="00737275"/>
    <w:rsid w:val="00740EEC"/>
    <w:rsid w:val="00773EAE"/>
    <w:rsid w:val="00774F0A"/>
    <w:rsid w:val="0078011A"/>
    <w:rsid w:val="00782AF4"/>
    <w:rsid w:val="00790EE7"/>
    <w:rsid w:val="007B6649"/>
    <w:rsid w:val="0081580C"/>
    <w:rsid w:val="0082576E"/>
    <w:rsid w:val="0089346F"/>
    <w:rsid w:val="008B4BF6"/>
    <w:rsid w:val="008D3018"/>
    <w:rsid w:val="00907F75"/>
    <w:rsid w:val="009260DE"/>
    <w:rsid w:val="0093258A"/>
    <w:rsid w:val="009C7BA3"/>
    <w:rsid w:val="009D1F5A"/>
    <w:rsid w:val="009F06ED"/>
    <w:rsid w:val="00A10294"/>
    <w:rsid w:val="00A209D9"/>
    <w:rsid w:val="00A3364A"/>
    <w:rsid w:val="00A46B81"/>
    <w:rsid w:val="00AA6814"/>
    <w:rsid w:val="00B003BF"/>
    <w:rsid w:val="00B373D7"/>
    <w:rsid w:val="00B55271"/>
    <w:rsid w:val="00BC3643"/>
    <w:rsid w:val="00BD7931"/>
    <w:rsid w:val="00BF6243"/>
    <w:rsid w:val="00C36276"/>
    <w:rsid w:val="00C42586"/>
    <w:rsid w:val="00C44921"/>
    <w:rsid w:val="00C44B05"/>
    <w:rsid w:val="00C45F6B"/>
    <w:rsid w:val="00C60CCD"/>
    <w:rsid w:val="00C84483"/>
    <w:rsid w:val="00C95551"/>
    <w:rsid w:val="00CB20D7"/>
    <w:rsid w:val="00CD6EF3"/>
    <w:rsid w:val="00D020B0"/>
    <w:rsid w:val="00D11748"/>
    <w:rsid w:val="00D237F6"/>
    <w:rsid w:val="00D34D98"/>
    <w:rsid w:val="00D366CF"/>
    <w:rsid w:val="00D84B1B"/>
    <w:rsid w:val="00D93992"/>
    <w:rsid w:val="00DE2B71"/>
    <w:rsid w:val="00DF7CC9"/>
    <w:rsid w:val="00E04698"/>
    <w:rsid w:val="00E108AA"/>
    <w:rsid w:val="00E3749A"/>
    <w:rsid w:val="00E62732"/>
    <w:rsid w:val="00E7437F"/>
    <w:rsid w:val="00E865B8"/>
    <w:rsid w:val="00EC0B9B"/>
    <w:rsid w:val="00ED5E9F"/>
    <w:rsid w:val="00F62913"/>
    <w:rsid w:val="00F66D4F"/>
    <w:rsid w:val="00FA525A"/>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12EC0"/>
  <w15:chartTrackingRefBased/>
  <w15:docId w15:val="{49617739-35CB-455C-9C12-D1A3728D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200B99"/>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200B99"/>
    <w:rPr>
      <w:sz w:val="22"/>
      <w:szCs w:val="22"/>
      <w:lang w:val="en-US" w:eastAsia="en-US"/>
    </w:rPr>
  </w:style>
  <w:style w:type="paragraph" w:customStyle="1" w:styleId="TableParagraph">
    <w:name w:val="Table Paragraph"/>
    <w:basedOn w:val="Normal"/>
    <w:uiPriority w:val="1"/>
    <w:qFormat/>
    <w:rsid w:val="00200B99"/>
    <w:pPr>
      <w:widowControl w:val="0"/>
      <w:autoSpaceDE w:val="0"/>
      <w:autoSpaceDN w:val="0"/>
      <w:ind w:left="110"/>
    </w:pPr>
    <w:rPr>
      <w:sz w:val="22"/>
      <w:szCs w:val="22"/>
      <w:lang w:val="en-US"/>
    </w:rPr>
  </w:style>
  <w:style w:type="paragraph" w:customStyle="1" w:styleId="BodyText">
    <w:name w:val="|Body Text"/>
    <w:basedOn w:val="Brdtekst"/>
    <w:qFormat/>
    <w:rsid w:val="00200B99"/>
    <w:pPr>
      <w:widowControl/>
      <w:autoSpaceDE/>
      <w:autoSpaceDN/>
    </w:pPr>
    <w:rPr>
      <w:color w:val="000000" w:themeColor="text1"/>
      <w:szCs w:val="24"/>
      <w:lang w:val="en-GB"/>
    </w:rPr>
  </w:style>
  <w:style w:type="character" w:styleId="Hyperlink">
    <w:name w:val="Hyperlink"/>
    <w:basedOn w:val="Standardskrifttypeiafsnit"/>
    <w:uiPriority w:val="99"/>
    <w:semiHidden/>
    <w:unhideWhenUsed/>
    <w:rsid w:val="00200B99"/>
    <w:rPr>
      <w:color w:val="0563C1" w:themeColor="hyperlink"/>
      <w:u w:val="single"/>
    </w:rPr>
  </w:style>
  <w:style w:type="paragraph" w:styleId="Listeafsnit">
    <w:name w:val="List Paragraph"/>
    <w:basedOn w:val="Normal"/>
    <w:uiPriority w:val="1"/>
    <w:qFormat/>
    <w:rsid w:val="00200B99"/>
    <w:pPr>
      <w:widowControl w:val="0"/>
      <w:autoSpaceDE w:val="0"/>
      <w:autoSpaceDN w:val="0"/>
      <w:spacing w:line="269" w:lineRule="exact"/>
      <w:ind w:left="802" w:hanging="567"/>
    </w:pPr>
    <w:rPr>
      <w:sz w:val="22"/>
      <w:szCs w:val="22"/>
      <w:lang w:val="en-US"/>
    </w:rPr>
  </w:style>
  <w:style w:type="character" w:customStyle="1" w:styleId="Overskrift1Tegn">
    <w:name w:val="Overskrift 1 Tegn"/>
    <w:basedOn w:val="Standardskrifttypeiafsnit"/>
    <w:link w:val="Overskrift1"/>
    <w:uiPriority w:val="9"/>
    <w:rsid w:val="00200B99"/>
    <w:rPr>
      <w:rFonts w:ascii="Arial" w:hAnsi="Arial"/>
      <w:b/>
      <w:kern w:val="28"/>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314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2253857">
      <w:bodyDiv w:val="1"/>
      <w:marLeft w:val="0"/>
      <w:marRight w:val="0"/>
      <w:marTop w:val="0"/>
      <w:marBottom w:val="0"/>
      <w:divBdr>
        <w:top w:val="none" w:sz="0" w:space="0" w:color="auto"/>
        <w:left w:val="none" w:sz="0" w:space="0" w:color="auto"/>
        <w:bottom w:val="none" w:sz="0" w:space="0" w:color="auto"/>
        <w:right w:val="none" w:sz="0" w:space="0" w:color="auto"/>
      </w:divBdr>
    </w:div>
    <w:div w:id="236523382">
      <w:bodyDiv w:val="1"/>
      <w:marLeft w:val="0"/>
      <w:marRight w:val="0"/>
      <w:marTop w:val="0"/>
      <w:marBottom w:val="0"/>
      <w:divBdr>
        <w:top w:val="none" w:sz="0" w:space="0" w:color="auto"/>
        <w:left w:val="none" w:sz="0" w:space="0" w:color="auto"/>
        <w:bottom w:val="none" w:sz="0" w:space="0" w:color="auto"/>
        <w:right w:val="none" w:sz="0" w:space="0" w:color="auto"/>
      </w:divBdr>
    </w:div>
    <w:div w:id="298655763">
      <w:bodyDiv w:val="1"/>
      <w:marLeft w:val="0"/>
      <w:marRight w:val="0"/>
      <w:marTop w:val="0"/>
      <w:marBottom w:val="0"/>
      <w:divBdr>
        <w:top w:val="none" w:sz="0" w:space="0" w:color="auto"/>
        <w:left w:val="none" w:sz="0" w:space="0" w:color="auto"/>
        <w:bottom w:val="none" w:sz="0" w:space="0" w:color="auto"/>
        <w:right w:val="none" w:sz="0" w:space="0" w:color="auto"/>
      </w:divBdr>
    </w:div>
    <w:div w:id="398938178">
      <w:bodyDiv w:val="1"/>
      <w:marLeft w:val="0"/>
      <w:marRight w:val="0"/>
      <w:marTop w:val="0"/>
      <w:marBottom w:val="0"/>
      <w:divBdr>
        <w:top w:val="none" w:sz="0" w:space="0" w:color="auto"/>
        <w:left w:val="none" w:sz="0" w:space="0" w:color="auto"/>
        <w:bottom w:val="none" w:sz="0" w:space="0" w:color="auto"/>
        <w:right w:val="none" w:sz="0" w:space="0" w:color="auto"/>
      </w:divBdr>
    </w:div>
    <w:div w:id="457265707">
      <w:bodyDiv w:val="1"/>
      <w:marLeft w:val="0"/>
      <w:marRight w:val="0"/>
      <w:marTop w:val="0"/>
      <w:marBottom w:val="0"/>
      <w:divBdr>
        <w:top w:val="none" w:sz="0" w:space="0" w:color="auto"/>
        <w:left w:val="none" w:sz="0" w:space="0" w:color="auto"/>
        <w:bottom w:val="none" w:sz="0" w:space="0" w:color="auto"/>
        <w:right w:val="none" w:sz="0" w:space="0" w:color="auto"/>
      </w:divBdr>
    </w:div>
    <w:div w:id="525680592">
      <w:bodyDiv w:val="1"/>
      <w:marLeft w:val="0"/>
      <w:marRight w:val="0"/>
      <w:marTop w:val="0"/>
      <w:marBottom w:val="0"/>
      <w:divBdr>
        <w:top w:val="none" w:sz="0" w:space="0" w:color="auto"/>
        <w:left w:val="none" w:sz="0" w:space="0" w:color="auto"/>
        <w:bottom w:val="none" w:sz="0" w:space="0" w:color="auto"/>
        <w:right w:val="none" w:sz="0" w:space="0" w:color="auto"/>
      </w:divBdr>
    </w:div>
    <w:div w:id="533730201">
      <w:bodyDiv w:val="1"/>
      <w:marLeft w:val="0"/>
      <w:marRight w:val="0"/>
      <w:marTop w:val="0"/>
      <w:marBottom w:val="0"/>
      <w:divBdr>
        <w:top w:val="none" w:sz="0" w:space="0" w:color="auto"/>
        <w:left w:val="none" w:sz="0" w:space="0" w:color="auto"/>
        <w:bottom w:val="none" w:sz="0" w:space="0" w:color="auto"/>
        <w:right w:val="none" w:sz="0" w:space="0" w:color="auto"/>
      </w:divBdr>
    </w:div>
    <w:div w:id="644578756">
      <w:bodyDiv w:val="1"/>
      <w:marLeft w:val="0"/>
      <w:marRight w:val="0"/>
      <w:marTop w:val="0"/>
      <w:marBottom w:val="0"/>
      <w:divBdr>
        <w:top w:val="none" w:sz="0" w:space="0" w:color="auto"/>
        <w:left w:val="none" w:sz="0" w:space="0" w:color="auto"/>
        <w:bottom w:val="none" w:sz="0" w:space="0" w:color="auto"/>
        <w:right w:val="none" w:sz="0" w:space="0" w:color="auto"/>
      </w:divBdr>
    </w:div>
    <w:div w:id="896815422">
      <w:bodyDiv w:val="1"/>
      <w:marLeft w:val="0"/>
      <w:marRight w:val="0"/>
      <w:marTop w:val="0"/>
      <w:marBottom w:val="0"/>
      <w:divBdr>
        <w:top w:val="none" w:sz="0" w:space="0" w:color="auto"/>
        <w:left w:val="none" w:sz="0" w:space="0" w:color="auto"/>
        <w:bottom w:val="none" w:sz="0" w:space="0" w:color="auto"/>
        <w:right w:val="none" w:sz="0" w:space="0" w:color="auto"/>
      </w:divBdr>
    </w:div>
    <w:div w:id="903492667">
      <w:bodyDiv w:val="1"/>
      <w:marLeft w:val="0"/>
      <w:marRight w:val="0"/>
      <w:marTop w:val="0"/>
      <w:marBottom w:val="0"/>
      <w:divBdr>
        <w:top w:val="none" w:sz="0" w:space="0" w:color="auto"/>
        <w:left w:val="none" w:sz="0" w:space="0" w:color="auto"/>
        <w:bottom w:val="none" w:sz="0" w:space="0" w:color="auto"/>
        <w:right w:val="none" w:sz="0" w:space="0" w:color="auto"/>
      </w:divBdr>
    </w:div>
    <w:div w:id="1011758712">
      <w:bodyDiv w:val="1"/>
      <w:marLeft w:val="0"/>
      <w:marRight w:val="0"/>
      <w:marTop w:val="0"/>
      <w:marBottom w:val="0"/>
      <w:divBdr>
        <w:top w:val="none" w:sz="0" w:space="0" w:color="auto"/>
        <w:left w:val="none" w:sz="0" w:space="0" w:color="auto"/>
        <w:bottom w:val="none" w:sz="0" w:space="0" w:color="auto"/>
        <w:right w:val="none" w:sz="0" w:space="0" w:color="auto"/>
      </w:divBdr>
    </w:div>
    <w:div w:id="1197350446">
      <w:bodyDiv w:val="1"/>
      <w:marLeft w:val="0"/>
      <w:marRight w:val="0"/>
      <w:marTop w:val="0"/>
      <w:marBottom w:val="0"/>
      <w:divBdr>
        <w:top w:val="none" w:sz="0" w:space="0" w:color="auto"/>
        <w:left w:val="none" w:sz="0" w:space="0" w:color="auto"/>
        <w:bottom w:val="none" w:sz="0" w:space="0" w:color="auto"/>
        <w:right w:val="none" w:sz="0" w:space="0" w:color="auto"/>
      </w:divBdr>
    </w:div>
    <w:div w:id="1230653469">
      <w:bodyDiv w:val="1"/>
      <w:marLeft w:val="0"/>
      <w:marRight w:val="0"/>
      <w:marTop w:val="0"/>
      <w:marBottom w:val="0"/>
      <w:divBdr>
        <w:top w:val="none" w:sz="0" w:space="0" w:color="auto"/>
        <w:left w:val="none" w:sz="0" w:space="0" w:color="auto"/>
        <w:bottom w:val="none" w:sz="0" w:space="0" w:color="auto"/>
        <w:right w:val="none" w:sz="0" w:space="0" w:color="auto"/>
      </w:divBdr>
    </w:div>
    <w:div w:id="1278412455">
      <w:bodyDiv w:val="1"/>
      <w:marLeft w:val="0"/>
      <w:marRight w:val="0"/>
      <w:marTop w:val="0"/>
      <w:marBottom w:val="0"/>
      <w:divBdr>
        <w:top w:val="none" w:sz="0" w:space="0" w:color="auto"/>
        <w:left w:val="none" w:sz="0" w:space="0" w:color="auto"/>
        <w:bottom w:val="none" w:sz="0" w:space="0" w:color="auto"/>
        <w:right w:val="none" w:sz="0" w:space="0" w:color="auto"/>
      </w:divBdr>
    </w:div>
    <w:div w:id="1324356023">
      <w:bodyDiv w:val="1"/>
      <w:marLeft w:val="0"/>
      <w:marRight w:val="0"/>
      <w:marTop w:val="0"/>
      <w:marBottom w:val="0"/>
      <w:divBdr>
        <w:top w:val="none" w:sz="0" w:space="0" w:color="auto"/>
        <w:left w:val="none" w:sz="0" w:space="0" w:color="auto"/>
        <w:bottom w:val="none" w:sz="0" w:space="0" w:color="auto"/>
        <w:right w:val="none" w:sz="0" w:space="0" w:color="auto"/>
      </w:divBdr>
    </w:div>
    <w:div w:id="1620992058">
      <w:bodyDiv w:val="1"/>
      <w:marLeft w:val="0"/>
      <w:marRight w:val="0"/>
      <w:marTop w:val="0"/>
      <w:marBottom w:val="0"/>
      <w:divBdr>
        <w:top w:val="none" w:sz="0" w:space="0" w:color="auto"/>
        <w:left w:val="none" w:sz="0" w:space="0" w:color="auto"/>
        <w:bottom w:val="none" w:sz="0" w:space="0" w:color="auto"/>
        <w:right w:val="none" w:sz="0" w:space="0" w:color="auto"/>
      </w:divBdr>
    </w:div>
    <w:div w:id="1628587886">
      <w:bodyDiv w:val="1"/>
      <w:marLeft w:val="0"/>
      <w:marRight w:val="0"/>
      <w:marTop w:val="0"/>
      <w:marBottom w:val="0"/>
      <w:divBdr>
        <w:top w:val="none" w:sz="0" w:space="0" w:color="auto"/>
        <w:left w:val="none" w:sz="0" w:space="0" w:color="auto"/>
        <w:bottom w:val="none" w:sz="0" w:space="0" w:color="auto"/>
        <w:right w:val="none" w:sz="0" w:space="0" w:color="auto"/>
      </w:divBdr>
    </w:div>
    <w:div w:id="1864589466">
      <w:bodyDiv w:val="1"/>
      <w:marLeft w:val="0"/>
      <w:marRight w:val="0"/>
      <w:marTop w:val="0"/>
      <w:marBottom w:val="0"/>
      <w:divBdr>
        <w:top w:val="none" w:sz="0" w:space="0" w:color="auto"/>
        <w:left w:val="none" w:sz="0" w:space="0" w:color="auto"/>
        <w:bottom w:val="none" w:sz="0" w:space="0" w:color="auto"/>
        <w:right w:val="none" w:sz="0" w:space="0" w:color="auto"/>
      </w:divBdr>
    </w:div>
    <w:div w:id="1887717935">
      <w:bodyDiv w:val="1"/>
      <w:marLeft w:val="0"/>
      <w:marRight w:val="0"/>
      <w:marTop w:val="0"/>
      <w:marBottom w:val="0"/>
      <w:divBdr>
        <w:top w:val="none" w:sz="0" w:space="0" w:color="auto"/>
        <w:left w:val="none" w:sz="0" w:space="0" w:color="auto"/>
        <w:bottom w:val="none" w:sz="0" w:space="0" w:color="auto"/>
        <w:right w:val="none" w:sz="0" w:space="0" w:color="auto"/>
      </w:divBdr>
    </w:div>
    <w:div w:id="2051688379">
      <w:bodyDiv w:val="1"/>
      <w:marLeft w:val="0"/>
      <w:marRight w:val="0"/>
      <w:marTop w:val="0"/>
      <w:marBottom w:val="0"/>
      <w:divBdr>
        <w:top w:val="none" w:sz="0" w:space="0" w:color="auto"/>
        <w:left w:val="none" w:sz="0" w:space="0" w:color="auto"/>
        <w:bottom w:val="none" w:sz="0" w:space="0" w:color="auto"/>
        <w:right w:val="none" w:sz="0" w:space="0" w:color="auto"/>
      </w:divBdr>
    </w:div>
    <w:div w:id="20746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142</TotalTime>
  <Pages>48</Pages>
  <Words>16325</Words>
  <Characters>100572</Characters>
  <Application>Microsoft Office Word</Application>
  <DocSecurity>0</DocSecurity>
  <Lines>838</Lines>
  <Paragraphs>233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2024113508, MT</dc:description>
  <cp:lastModifiedBy>Gitte Jørgensen</cp:lastModifiedBy>
  <cp:revision>25</cp:revision>
  <cp:lastPrinted>2012-08-22T08:53:00Z</cp:lastPrinted>
  <dcterms:created xsi:type="dcterms:W3CDTF">2025-10-30T11:43:00Z</dcterms:created>
  <dcterms:modified xsi:type="dcterms:W3CDTF">2025-10-31T09:23:00Z</dcterms:modified>
</cp:coreProperties>
</file>