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0A6" w:rsidRPr="008F49E1" w:rsidRDefault="000A70A6" w:rsidP="000A70A6">
      <w:pPr>
        <w:rPr>
          <w:sz w:val="24"/>
          <w:szCs w:val="24"/>
        </w:rPr>
      </w:pPr>
      <w:bookmarkStart w:id="0" w:name="_GoBack"/>
      <w:bookmarkEnd w:id="0"/>
      <w:r w:rsidRPr="008F49E1">
        <w:rPr>
          <w:noProof/>
          <w:sz w:val="24"/>
          <w:szCs w:val="24"/>
          <w:lang w:eastAsia="da-DK"/>
        </w:rPr>
        <w:drawing>
          <wp:inline distT="0" distB="0" distL="0" distR="0" wp14:anchorId="33D518B4" wp14:editId="11218504">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0A70A6" w:rsidRDefault="000A70A6" w:rsidP="000A70A6"/>
    <w:p w:rsidR="000A70A6" w:rsidRDefault="000A70A6" w:rsidP="000A70A6"/>
    <w:p w:rsidR="000A70A6" w:rsidRPr="00907F75" w:rsidRDefault="000A70A6" w:rsidP="000A70A6">
      <w:pPr>
        <w:pStyle w:val="Titel"/>
        <w:tabs>
          <w:tab w:val="right" w:pos="9356"/>
        </w:tabs>
        <w:jc w:val="left"/>
        <w:rPr>
          <w:b w:val="0"/>
          <w:sz w:val="23"/>
          <w:lang w:eastAsia="en-US"/>
        </w:rPr>
      </w:pPr>
      <w:r>
        <w:rPr>
          <w:b w:val="0"/>
          <w:sz w:val="23"/>
          <w:lang w:eastAsia="en-US"/>
        </w:rPr>
        <w:tab/>
      </w:r>
      <w:r w:rsidR="0056044E">
        <w:rPr>
          <w:szCs w:val="24"/>
        </w:rPr>
        <w:t>3. februar 2021</w:t>
      </w:r>
    </w:p>
    <w:p w:rsidR="000A70A6" w:rsidRDefault="000A70A6" w:rsidP="000A70A6">
      <w:pPr>
        <w:pStyle w:val="Titel"/>
        <w:tabs>
          <w:tab w:val="left" w:pos="8222"/>
        </w:tabs>
        <w:jc w:val="left"/>
        <w:rPr>
          <w:b w:val="0"/>
        </w:rPr>
      </w:pPr>
    </w:p>
    <w:p w:rsidR="000A70A6" w:rsidRDefault="000A70A6" w:rsidP="000A70A6">
      <w:pPr>
        <w:pStyle w:val="Titel"/>
        <w:jc w:val="left"/>
        <w:rPr>
          <w:b w:val="0"/>
        </w:rPr>
      </w:pPr>
    </w:p>
    <w:p w:rsidR="000A70A6" w:rsidRPr="00EC0B9B" w:rsidRDefault="000A70A6" w:rsidP="000A70A6">
      <w:pPr>
        <w:jc w:val="center"/>
        <w:rPr>
          <w:b/>
          <w:sz w:val="24"/>
          <w:szCs w:val="24"/>
        </w:rPr>
      </w:pPr>
      <w:r w:rsidRPr="00EC0B9B">
        <w:rPr>
          <w:b/>
          <w:sz w:val="24"/>
          <w:szCs w:val="24"/>
        </w:rPr>
        <w:t>PRODUKTRESUMÉ</w:t>
      </w:r>
    </w:p>
    <w:p w:rsidR="000A70A6" w:rsidRPr="00EC0B9B" w:rsidRDefault="000A70A6" w:rsidP="000A70A6">
      <w:pPr>
        <w:tabs>
          <w:tab w:val="left" w:pos="250"/>
        </w:tabs>
        <w:rPr>
          <w:b/>
          <w:sz w:val="24"/>
          <w:szCs w:val="24"/>
        </w:rPr>
      </w:pPr>
      <w:r>
        <w:rPr>
          <w:b/>
          <w:sz w:val="24"/>
          <w:szCs w:val="24"/>
        </w:rPr>
        <w:tab/>
      </w:r>
    </w:p>
    <w:p w:rsidR="000A70A6" w:rsidRPr="00EC0B9B" w:rsidRDefault="000A70A6" w:rsidP="000A70A6">
      <w:pPr>
        <w:jc w:val="center"/>
        <w:rPr>
          <w:b/>
          <w:sz w:val="24"/>
          <w:szCs w:val="24"/>
        </w:rPr>
      </w:pPr>
      <w:r w:rsidRPr="00EC0B9B">
        <w:rPr>
          <w:b/>
          <w:sz w:val="24"/>
          <w:szCs w:val="24"/>
        </w:rPr>
        <w:t>for</w:t>
      </w:r>
    </w:p>
    <w:p w:rsidR="000A70A6" w:rsidRPr="00EC0B9B" w:rsidRDefault="000A70A6" w:rsidP="000A70A6">
      <w:pPr>
        <w:jc w:val="center"/>
        <w:rPr>
          <w:b/>
          <w:sz w:val="24"/>
          <w:szCs w:val="24"/>
        </w:rPr>
      </w:pPr>
    </w:p>
    <w:p w:rsidR="000A70A6" w:rsidRPr="0049104B" w:rsidRDefault="000A70A6" w:rsidP="000A70A6">
      <w:pPr>
        <w:jc w:val="center"/>
        <w:rPr>
          <w:b/>
          <w:sz w:val="24"/>
          <w:szCs w:val="24"/>
        </w:rPr>
      </w:pPr>
      <w:proofErr w:type="spellStart"/>
      <w:r>
        <w:rPr>
          <w:b/>
          <w:sz w:val="24"/>
          <w:szCs w:val="24"/>
        </w:rPr>
        <w:t>Letrozol</w:t>
      </w:r>
      <w:proofErr w:type="spellEnd"/>
      <w:r>
        <w:rPr>
          <w:b/>
          <w:sz w:val="24"/>
          <w:szCs w:val="24"/>
        </w:rPr>
        <w:t xml:space="preserve"> ”Medical Valley", filmovertrukne tabletter</w:t>
      </w:r>
    </w:p>
    <w:p w:rsidR="000A70A6" w:rsidRPr="00EC0B9B" w:rsidRDefault="000A70A6" w:rsidP="000A70A6">
      <w:pPr>
        <w:jc w:val="both"/>
        <w:rPr>
          <w:sz w:val="24"/>
          <w:szCs w:val="24"/>
        </w:rPr>
      </w:pPr>
    </w:p>
    <w:p w:rsidR="000A70A6" w:rsidRPr="001B4655" w:rsidRDefault="000A70A6" w:rsidP="000A70A6">
      <w:pPr>
        <w:ind w:left="851" w:hanging="851"/>
        <w:jc w:val="both"/>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0.</w:t>
      </w:r>
      <w:r w:rsidRPr="001B4655">
        <w:rPr>
          <w:b/>
          <w:sz w:val="24"/>
          <w:szCs w:val="24"/>
        </w:rPr>
        <w:tab/>
        <w:t>D.SP.NR.</w:t>
      </w:r>
    </w:p>
    <w:p w:rsidR="000A70A6" w:rsidRPr="001B4655" w:rsidRDefault="000A70A6" w:rsidP="000A70A6">
      <w:pPr>
        <w:tabs>
          <w:tab w:val="left" w:pos="851"/>
        </w:tabs>
        <w:ind w:left="851" w:hanging="851"/>
        <w:rPr>
          <w:sz w:val="24"/>
          <w:szCs w:val="24"/>
        </w:rPr>
      </w:pPr>
      <w:r w:rsidRPr="001B4655">
        <w:rPr>
          <w:sz w:val="24"/>
          <w:szCs w:val="24"/>
        </w:rPr>
        <w:tab/>
        <w:t>28189</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1.</w:t>
      </w:r>
      <w:r w:rsidRPr="001B4655">
        <w:rPr>
          <w:b/>
          <w:sz w:val="24"/>
          <w:szCs w:val="24"/>
        </w:rPr>
        <w:tab/>
        <w:t>LÆGEMIDLETS NAVN</w:t>
      </w:r>
    </w:p>
    <w:p w:rsidR="000A70A6" w:rsidRPr="001B4655" w:rsidRDefault="000A70A6" w:rsidP="000A70A6">
      <w:pPr>
        <w:tabs>
          <w:tab w:val="left" w:pos="851"/>
        </w:tabs>
        <w:ind w:left="851" w:hanging="851"/>
        <w:rPr>
          <w:sz w:val="24"/>
          <w:szCs w:val="24"/>
        </w:rPr>
      </w:pPr>
      <w:r w:rsidRPr="001B4655">
        <w:rPr>
          <w:sz w:val="24"/>
          <w:szCs w:val="24"/>
        </w:rPr>
        <w:tab/>
      </w:r>
      <w:proofErr w:type="spellStart"/>
      <w:r>
        <w:rPr>
          <w:sz w:val="24"/>
          <w:szCs w:val="24"/>
        </w:rPr>
        <w:t>Letrozol</w:t>
      </w:r>
      <w:proofErr w:type="spellEnd"/>
      <w:r>
        <w:rPr>
          <w:sz w:val="24"/>
          <w:szCs w:val="24"/>
        </w:rPr>
        <w:t xml:space="preserve"> ”Medical Valley</w:t>
      </w:r>
      <w:r w:rsidR="00F06180">
        <w:rPr>
          <w:sz w:val="24"/>
          <w:szCs w:val="24"/>
        </w:rPr>
        <w:t>”</w:t>
      </w:r>
    </w:p>
    <w:p w:rsidR="000A70A6" w:rsidRPr="001B4655" w:rsidRDefault="000A70A6" w:rsidP="000A70A6">
      <w:pPr>
        <w:tabs>
          <w:tab w:val="left" w:pos="851"/>
        </w:tabs>
        <w:ind w:left="851" w:hanging="851"/>
        <w:rPr>
          <w:sz w:val="24"/>
          <w:szCs w:val="24"/>
        </w:rPr>
      </w:pPr>
      <w:r w:rsidRPr="001B4655">
        <w:rPr>
          <w:sz w:val="24"/>
          <w:szCs w:val="24"/>
        </w:rPr>
        <w:tab/>
      </w:r>
    </w:p>
    <w:p w:rsidR="000A70A6" w:rsidRPr="001B4655" w:rsidRDefault="000A70A6" w:rsidP="000A70A6">
      <w:pPr>
        <w:tabs>
          <w:tab w:val="left" w:pos="851"/>
        </w:tabs>
        <w:ind w:left="851" w:hanging="851"/>
        <w:rPr>
          <w:b/>
          <w:sz w:val="24"/>
          <w:szCs w:val="24"/>
        </w:rPr>
      </w:pPr>
      <w:r w:rsidRPr="001B4655">
        <w:rPr>
          <w:b/>
          <w:sz w:val="24"/>
          <w:szCs w:val="24"/>
        </w:rPr>
        <w:t>2.</w:t>
      </w:r>
      <w:r w:rsidRPr="001B4655">
        <w:rPr>
          <w:b/>
          <w:sz w:val="24"/>
          <w:szCs w:val="24"/>
        </w:rPr>
        <w:tab/>
        <w:t>KVALITATIV OG KVANTITATIV SAMMENSÆTNING</w:t>
      </w:r>
    </w:p>
    <w:p w:rsidR="000A70A6" w:rsidRDefault="000A70A6" w:rsidP="000A70A6">
      <w:pPr>
        <w:tabs>
          <w:tab w:val="left" w:pos="851"/>
        </w:tabs>
        <w:ind w:left="851" w:hanging="851"/>
        <w:rPr>
          <w:sz w:val="24"/>
          <w:szCs w:val="24"/>
        </w:rPr>
      </w:pPr>
      <w:r w:rsidRPr="001B4655">
        <w:rPr>
          <w:sz w:val="24"/>
          <w:szCs w:val="24"/>
        </w:rPr>
        <w:tab/>
        <w:t xml:space="preserve">Hver filmovertrukket tablet indeholder 2,5 mg </w:t>
      </w:r>
      <w:proofErr w:type="spellStart"/>
      <w:r w:rsidRPr="001B4655">
        <w:rPr>
          <w:sz w:val="24"/>
          <w:szCs w:val="24"/>
        </w:rPr>
        <w:t>letrozol</w:t>
      </w:r>
      <w:proofErr w:type="spellEnd"/>
      <w:r>
        <w:rPr>
          <w:sz w:val="24"/>
          <w:szCs w:val="24"/>
        </w:rPr>
        <w:t>.</w:t>
      </w:r>
    </w:p>
    <w:p w:rsidR="000A70A6" w:rsidRDefault="000A70A6" w:rsidP="000A70A6">
      <w:pPr>
        <w:tabs>
          <w:tab w:val="left" w:pos="851"/>
        </w:tabs>
        <w:ind w:left="851" w:hanging="851"/>
        <w:rPr>
          <w:sz w:val="24"/>
          <w:szCs w:val="24"/>
        </w:rPr>
      </w:pPr>
    </w:p>
    <w:p w:rsidR="000A70A6" w:rsidRDefault="000A70A6" w:rsidP="000A70A6">
      <w:pPr>
        <w:tabs>
          <w:tab w:val="left" w:pos="851"/>
        </w:tabs>
        <w:ind w:left="851" w:hanging="851"/>
        <w:rPr>
          <w:sz w:val="24"/>
          <w:szCs w:val="24"/>
          <w:u w:val="single"/>
        </w:rPr>
      </w:pPr>
      <w:r>
        <w:rPr>
          <w:sz w:val="24"/>
          <w:szCs w:val="24"/>
        </w:rPr>
        <w:tab/>
      </w:r>
      <w:r w:rsidRPr="00C65972">
        <w:rPr>
          <w:sz w:val="24"/>
          <w:szCs w:val="24"/>
          <w:u w:val="single"/>
        </w:rPr>
        <w:t>Hjælpestoffer som behandleren skal være opmærksom på</w:t>
      </w:r>
    </w:p>
    <w:p w:rsidR="000A70A6" w:rsidRPr="001B4655" w:rsidRDefault="000A70A6" w:rsidP="000A70A6">
      <w:pPr>
        <w:tabs>
          <w:tab w:val="left" w:pos="851"/>
        </w:tabs>
        <w:ind w:left="851" w:hanging="851"/>
        <w:rPr>
          <w:sz w:val="24"/>
          <w:szCs w:val="24"/>
        </w:rPr>
      </w:pPr>
      <w:r>
        <w:rPr>
          <w:sz w:val="24"/>
          <w:szCs w:val="24"/>
        </w:rPr>
        <w:tab/>
        <w:t xml:space="preserve">Hver tablet indeholder 85,0 mg </w:t>
      </w:r>
      <w:proofErr w:type="spellStart"/>
      <w:r>
        <w:rPr>
          <w:sz w:val="24"/>
          <w:szCs w:val="24"/>
        </w:rPr>
        <w:t>lactose</w:t>
      </w:r>
      <w:proofErr w:type="spellEnd"/>
      <w:r>
        <w:rPr>
          <w:sz w:val="24"/>
          <w:szCs w:val="24"/>
        </w:rPr>
        <w:t>.</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sidRPr="001B4655">
        <w:rPr>
          <w:sz w:val="24"/>
          <w:szCs w:val="24"/>
        </w:rPr>
        <w:tab/>
        <w:t>Alle hjælpestoffer er anført under pkt. 6.1</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3.</w:t>
      </w:r>
      <w:r w:rsidRPr="001B4655">
        <w:rPr>
          <w:b/>
          <w:sz w:val="24"/>
          <w:szCs w:val="24"/>
        </w:rPr>
        <w:tab/>
        <w:t>LÆGEMIDDELFORM</w:t>
      </w:r>
    </w:p>
    <w:p w:rsidR="000A70A6" w:rsidRDefault="000A70A6" w:rsidP="000A70A6">
      <w:pPr>
        <w:tabs>
          <w:tab w:val="left" w:pos="851"/>
        </w:tabs>
        <w:ind w:left="851" w:hanging="851"/>
        <w:rPr>
          <w:sz w:val="24"/>
          <w:szCs w:val="24"/>
        </w:rPr>
      </w:pPr>
      <w:r w:rsidRPr="001B4655">
        <w:rPr>
          <w:sz w:val="24"/>
          <w:szCs w:val="24"/>
        </w:rPr>
        <w:tab/>
        <w:t>Filmovertrukne tabletter</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sidRPr="001B4655">
        <w:rPr>
          <w:sz w:val="24"/>
          <w:szCs w:val="24"/>
        </w:rPr>
        <w:tab/>
      </w:r>
      <w:r>
        <w:rPr>
          <w:sz w:val="24"/>
          <w:szCs w:val="24"/>
        </w:rPr>
        <w:t>M</w:t>
      </w:r>
      <w:r w:rsidRPr="001B4655">
        <w:rPr>
          <w:sz w:val="24"/>
          <w:szCs w:val="24"/>
        </w:rPr>
        <w:t xml:space="preserve">ørkegul, rund, svagt </w:t>
      </w:r>
      <w:proofErr w:type="spellStart"/>
      <w:r w:rsidRPr="001B4655">
        <w:rPr>
          <w:sz w:val="24"/>
          <w:szCs w:val="24"/>
        </w:rPr>
        <w:t>bikonveks</w:t>
      </w:r>
      <w:proofErr w:type="spellEnd"/>
      <w:r>
        <w:rPr>
          <w:sz w:val="24"/>
          <w:szCs w:val="24"/>
        </w:rPr>
        <w:t>, filmovertrukket tablet</w:t>
      </w:r>
      <w:r w:rsidRPr="001B4655">
        <w:rPr>
          <w:sz w:val="24"/>
          <w:szCs w:val="24"/>
        </w:rPr>
        <w:t xml:space="preserve"> med skrå kanter. Den ene side bærer prægningen ”5”, den anden ”H”.</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4.</w:t>
      </w:r>
      <w:r w:rsidRPr="001B4655">
        <w:rPr>
          <w:b/>
          <w:sz w:val="24"/>
          <w:szCs w:val="24"/>
        </w:rPr>
        <w:tab/>
        <w:t>KLINISKE OPLYSNINGER</w:t>
      </w:r>
    </w:p>
    <w:p w:rsidR="000A70A6" w:rsidRPr="001B4655" w:rsidRDefault="000A70A6" w:rsidP="000A70A6">
      <w:pPr>
        <w:tabs>
          <w:tab w:val="left" w:pos="851"/>
        </w:tabs>
        <w:ind w:left="851" w:hanging="851"/>
        <w:rPr>
          <w:b/>
          <w:sz w:val="24"/>
          <w:szCs w:val="24"/>
        </w:rPr>
      </w:pPr>
    </w:p>
    <w:p w:rsidR="000A70A6" w:rsidRPr="001B4655" w:rsidRDefault="000A70A6" w:rsidP="000A70A6">
      <w:pPr>
        <w:tabs>
          <w:tab w:val="left" w:pos="851"/>
        </w:tabs>
        <w:ind w:left="851" w:hanging="851"/>
        <w:rPr>
          <w:b/>
          <w:sz w:val="24"/>
          <w:szCs w:val="24"/>
          <w:u w:val="single"/>
        </w:rPr>
      </w:pPr>
      <w:r w:rsidRPr="001B4655">
        <w:rPr>
          <w:b/>
          <w:sz w:val="24"/>
          <w:szCs w:val="24"/>
        </w:rPr>
        <w:t>4.1</w:t>
      </w:r>
      <w:r w:rsidRPr="001B4655">
        <w:rPr>
          <w:b/>
          <w:sz w:val="24"/>
          <w:szCs w:val="24"/>
        </w:rPr>
        <w:tab/>
        <w:t>Terapeutiske indikationer</w:t>
      </w:r>
    </w:p>
    <w:p w:rsidR="000A70A6" w:rsidRPr="001B4655" w:rsidRDefault="000A70A6" w:rsidP="000A70A6">
      <w:pPr>
        <w:numPr>
          <w:ilvl w:val="0"/>
          <w:numId w:val="9"/>
        </w:numPr>
        <w:ind w:left="1134" w:hanging="283"/>
        <w:rPr>
          <w:sz w:val="24"/>
          <w:szCs w:val="24"/>
        </w:rPr>
      </w:pPr>
      <w:proofErr w:type="spellStart"/>
      <w:r w:rsidRPr="001B4655">
        <w:rPr>
          <w:sz w:val="24"/>
          <w:szCs w:val="24"/>
        </w:rPr>
        <w:t>Adjuverende</w:t>
      </w:r>
      <w:proofErr w:type="spellEnd"/>
      <w:r w:rsidRPr="001B4655">
        <w:rPr>
          <w:sz w:val="24"/>
          <w:szCs w:val="24"/>
        </w:rPr>
        <w:t xml:space="preserve"> behandling af </w:t>
      </w:r>
      <w:proofErr w:type="spellStart"/>
      <w:r w:rsidRPr="001B4655">
        <w:rPr>
          <w:sz w:val="24"/>
          <w:szCs w:val="24"/>
        </w:rPr>
        <w:t>postmenopausale</w:t>
      </w:r>
      <w:proofErr w:type="spellEnd"/>
      <w:r w:rsidRPr="001B4655">
        <w:rPr>
          <w:sz w:val="24"/>
          <w:szCs w:val="24"/>
        </w:rPr>
        <w:t xml:space="preserve"> kvinder med hormonreceptor-positiv invasiv tidlig brystcancer. </w:t>
      </w:r>
    </w:p>
    <w:p w:rsidR="000A70A6" w:rsidRPr="001B4655" w:rsidRDefault="000A70A6" w:rsidP="000A70A6">
      <w:pPr>
        <w:numPr>
          <w:ilvl w:val="0"/>
          <w:numId w:val="9"/>
        </w:numPr>
        <w:ind w:left="1134" w:hanging="283"/>
        <w:rPr>
          <w:sz w:val="24"/>
          <w:szCs w:val="24"/>
        </w:rPr>
      </w:pPr>
      <w:r w:rsidRPr="001B4655">
        <w:rPr>
          <w:sz w:val="24"/>
          <w:szCs w:val="24"/>
        </w:rPr>
        <w:t xml:space="preserve">Forlænget </w:t>
      </w:r>
      <w:proofErr w:type="spellStart"/>
      <w:r w:rsidRPr="001B4655">
        <w:rPr>
          <w:sz w:val="24"/>
          <w:szCs w:val="24"/>
        </w:rPr>
        <w:t>adjuverende</w:t>
      </w:r>
      <w:proofErr w:type="spellEnd"/>
      <w:r w:rsidRPr="001B4655">
        <w:rPr>
          <w:sz w:val="24"/>
          <w:szCs w:val="24"/>
        </w:rPr>
        <w:t xml:space="preserve"> behandling af hormonafhængig invasiv tidlig brystcancer hos </w:t>
      </w:r>
      <w:proofErr w:type="spellStart"/>
      <w:r w:rsidRPr="001B4655">
        <w:rPr>
          <w:sz w:val="24"/>
          <w:szCs w:val="24"/>
        </w:rPr>
        <w:t>postmenopausale</w:t>
      </w:r>
      <w:proofErr w:type="spellEnd"/>
      <w:r w:rsidRPr="001B4655">
        <w:rPr>
          <w:sz w:val="24"/>
          <w:szCs w:val="24"/>
        </w:rPr>
        <w:t xml:space="preserve"> kvinder, som forud har fået </w:t>
      </w:r>
      <w:proofErr w:type="spellStart"/>
      <w:r w:rsidRPr="001B4655">
        <w:rPr>
          <w:sz w:val="24"/>
          <w:szCs w:val="24"/>
        </w:rPr>
        <w:t>adjuverende</w:t>
      </w:r>
      <w:proofErr w:type="spellEnd"/>
      <w:r w:rsidRPr="001B4655">
        <w:rPr>
          <w:sz w:val="24"/>
          <w:szCs w:val="24"/>
        </w:rPr>
        <w:t xml:space="preserve"> standardbehandling med </w:t>
      </w:r>
      <w:proofErr w:type="spellStart"/>
      <w:r w:rsidRPr="001B4655">
        <w:rPr>
          <w:sz w:val="24"/>
          <w:szCs w:val="24"/>
        </w:rPr>
        <w:t>tamoxifen</w:t>
      </w:r>
      <w:proofErr w:type="spellEnd"/>
      <w:r w:rsidRPr="001B4655">
        <w:rPr>
          <w:sz w:val="24"/>
          <w:szCs w:val="24"/>
        </w:rPr>
        <w:t xml:space="preserve"> i 5 år. </w:t>
      </w:r>
    </w:p>
    <w:p w:rsidR="000A70A6" w:rsidRPr="001B4655" w:rsidRDefault="000A70A6" w:rsidP="000A70A6">
      <w:pPr>
        <w:numPr>
          <w:ilvl w:val="0"/>
          <w:numId w:val="9"/>
        </w:numPr>
        <w:ind w:left="1134" w:hanging="283"/>
        <w:rPr>
          <w:sz w:val="24"/>
          <w:szCs w:val="24"/>
        </w:rPr>
      </w:pPr>
      <w:r w:rsidRPr="001B4655">
        <w:rPr>
          <w:sz w:val="24"/>
          <w:szCs w:val="24"/>
        </w:rPr>
        <w:t xml:space="preserve">Førstevalgsbehandling til </w:t>
      </w:r>
      <w:proofErr w:type="spellStart"/>
      <w:r w:rsidRPr="001B4655">
        <w:rPr>
          <w:sz w:val="24"/>
          <w:szCs w:val="24"/>
        </w:rPr>
        <w:t>postmenopausale</w:t>
      </w:r>
      <w:proofErr w:type="spellEnd"/>
      <w:r w:rsidRPr="001B4655">
        <w:rPr>
          <w:sz w:val="24"/>
          <w:szCs w:val="24"/>
        </w:rPr>
        <w:t xml:space="preserve"> kvinder med hormonafhængig fremskreden brystcancer. </w:t>
      </w:r>
    </w:p>
    <w:p w:rsidR="000A70A6" w:rsidRPr="001B4655" w:rsidRDefault="000A70A6" w:rsidP="000A70A6">
      <w:pPr>
        <w:numPr>
          <w:ilvl w:val="0"/>
          <w:numId w:val="9"/>
        </w:numPr>
        <w:ind w:left="1134" w:hanging="283"/>
        <w:rPr>
          <w:sz w:val="24"/>
          <w:szCs w:val="24"/>
        </w:rPr>
      </w:pPr>
      <w:r w:rsidRPr="001B4655">
        <w:rPr>
          <w:sz w:val="24"/>
          <w:szCs w:val="24"/>
        </w:rPr>
        <w:t xml:space="preserve">Fremskreden brystcancer efter relaps eller progression hos kvinder i naturlig eller kunstigt induceret </w:t>
      </w:r>
      <w:proofErr w:type="spellStart"/>
      <w:r w:rsidRPr="001B4655">
        <w:rPr>
          <w:sz w:val="24"/>
          <w:szCs w:val="24"/>
        </w:rPr>
        <w:t>postmenopausal</w:t>
      </w:r>
      <w:proofErr w:type="spellEnd"/>
      <w:r w:rsidRPr="001B4655">
        <w:rPr>
          <w:sz w:val="24"/>
          <w:szCs w:val="24"/>
        </w:rPr>
        <w:t xml:space="preserve"> endokrin status, som tidligere har været i behandling med antiøstrogener. </w:t>
      </w:r>
    </w:p>
    <w:p w:rsidR="000A70A6" w:rsidRPr="001B4655" w:rsidRDefault="000A70A6" w:rsidP="000A70A6">
      <w:pPr>
        <w:numPr>
          <w:ilvl w:val="0"/>
          <w:numId w:val="9"/>
        </w:numPr>
        <w:ind w:left="1134" w:hanging="283"/>
        <w:rPr>
          <w:sz w:val="24"/>
          <w:szCs w:val="24"/>
        </w:rPr>
      </w:pPr>
      <w:r w:rsidRPr="001B4655">
        <w:rPr>
          <w:sz w:val="24"/>
          <w:szCs w:val="24"/>
        </w:rPr>
        <w:lastRenderedPageBreak/>
        <w:t>Neo-</w:t>
      </w:r>
      <w:proofErr w:type="spellStart"/>
      <w:r w:rsidRPr="001B4655">
        <w:rPr>
          <w:sz w:val="24"/>
          <w:szCs w:val="24"/>
        </w:rPr>
        <w:t>adjuverende</w:t>
      </w:r>
      <w:proofErr w:type="spellEnd"/>
      <w:r w:rsidRPr="001B4655">
        <w:rPr>
          <w:sz w:val="24"/>
          <w:szCs w:val="24"/>
        </w:rPr>
        <w:t xml:space="preserve"> behandling af </w:t>
      </w:r>
      <w:proofErr w:type="spellStart"/>
      <w:r w:rsidRPr="001B4655">
        <w:rPr>
          <w:sz w:val="24"/>
          <w:szCs w:val="24"/>
        </w:rPr>
        <w:t>postmenopausale</w:t>
      </w:r>
      <w:proofErr w:type="spellEnd"/>
      <w:r w:rsidRPr="001B4655">
        <w:rPr>
          <w:sz w:val="24"/>
          <w:szCs w:val="24"/>
        </w:rPr>
        <w:t xml:space="preserve"> kvinder med hormonreceptor-positiv, HER-2-negativ brystcancer, hvor kemoterapi ikke er egnet og operation ikke aktuel.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Effekten er ikke blevet påvist hos patienter med hormonreceptor-negativ brystcancer. </w:t>
      </w:r>
    </w:p>
    <w:p w:rsidR="000A70A6" w:rsidRPr="001B4655" w:rsidRDefault="000A70A6" w:rsidP="000A70A6">
      <w:pPr>
        <w:tabs>
          <w:tab w:val="left" w:pos="851"/>
        </w:tabs>
        <w:ind w:left="851" w:hanging="851"/>
        <w:rPr>
          <w:sz w:val="24"/>
          <w:szCs w:val="24"/>
        </w:rPr>
      </w:pPr>
    </w:p>
    <w:p w:rsidR="000A70A6" w:rsidRPr="00011329" w:rsidRDefault="000A70A6" w:rsidP="000A70A6">
      <w:pPr>
        <w:tabs>
          <w:tab w:val="left" w:pos="851"/>
        </w:tabs>
        <w:ind w:left="851" w:hanging="851"/>
        <w:rPr>
          <w:b/>
          <w:sz w:val="24"/>
          <w:szCs w:val="24"/>
        </w:rPr>
      </w:pPr>
      <w:r w:rsidRPr="001B4655">
        <w:rPr>
          <w:b/>
          <w:sz w:val="24"/>
          <w:szCs w:val="24"/>
        </w:rPr>
        <w:t>4.2</w:t>
      </w:r>
      <w:r w:rsidRPr="001B4655">
        <w:rPr>
          <w:b/>
          <w:sz w:val="24"/>
          <w:szCs w:val="24"/>
        </w:rPr>
        <w:tab/>
        <w:t>Dosering og indgivelsesmåde</w:t>
      </w:r>
    </w:p>
    <w:p w:rsidR="000A70A6" w:rsidRPr="00B93625" w:rsidRDefault="000A70A6" w:rsidP="000A70A6">
      <w:pPr>
        <w:autoSpaceDE w:val="0"/>
        <w:autoSpaceDN w:val="0"/>
        <w:adjustRightInd w:val="0"/>
        <w:ind w:firstLine="840"/>
        <w:rPr>
          <w:color w:val="000000"/>
          <w:sz w:val="24"/>
          <w:szCs w:val="24"/>
        </w:rPr>
      </w:pPr>
      <w:r w:rsidRPr="00B93625">
        <w:rPr>
          <w:color w:val="000000"/>
          <w:sz w:val="24"/>
          <w:szCs w:val="24"/>
          <w:u w:val="single"/>
        </w:rPr>
        <w:t xml:space="preserve">Dosering </w:t>
      </w:r>
    </w:p>
    <w:p w:rsidR="000A70A6" w:rsidRPr="00B93625" w:rsidRDefault="000A70A6" w:rsidP="000A70A6">
      <w:pPr>
        <w:autoSpaceDE w:val="0"/>
        <w:autoSpaceDN w:val="0"/>
        <w:adjustRightInd w:val="0"/>
        <w:ind w:left="840"/>
        <w:rPr>
          <w:color w:val="000000"/>
          <w:sz w:val="24"/>
          <w:szCs w:val="24"/>
        </w:rPr>
      </w:pPr>
      <w:r w:rsidRPr="00B93625">
        <w:rPr>
          <w:i/>
          <w:iCs/>
          <w:color w:val="000000"/>
          <w:sz w:val="24"/>
          <w:szCs w:val="24"/>
        </w:rPr>
        <w:t xml:space="preserve">Voksne og ældre patienter </w:t>
      </w:r>
    </w:p>
    <w:p w:rsidR="000A70A6" w:rsidRPr="00B93625" w:rsidRDefault="000A70A6" w:rsidP="000A70A6">
      <w:pPr>
        <w:autoSpaceDE w:val="0"/>
        <w:autoSpaceDN w:val="0"/>
        <w:adjustRightInd w:val="0"/>
        <w:ind w:left="840"/>
        <w:rPr>
          <w:color w:val="000000"/>
          <w:sz w:val="24"/>
          <w:szCs w:val="24"/>
        </w:rPr>
      </w:pPr>
      <w:r w:rsidRPr="00B93625">
        <w:rPr>
          <w:color w:val="000000"/>
          <w:sz w:val="24"/>
          <w:szCs w:val="24"/>
        </w:rPr>
        <w:t xml:space="preserve">Den anbefalede dosis af </w:t>
      </w:r>
      <w:proofErr w:type="spellStart"/>
      <w:r w:rsidRPr="00B93625">
        <w:rPr>
          <w:color w:val="000000"/>
          <w:sz w:val="24"/>
          <w:szCs w:val="24"/>
        </w:rPr>
        <w:t>Letrozol</w:t>
      </w:r>
      <w:proofErr w:type="spellEnd"/>
      <w:r w:rsidRPr="00B93625">
        <w:rPr>
          <w:color w:val="000000"/>
          <w:sz w:val="24"/>
          <w:szCs w:val="24"/>
        </w:rPr>
        <w:t xml:space="preserve"> ”Medical Valley” er 2,5 mg én gang daglig. Dosisjustering til ældre patienter er ikke nødvendig. </w:t>
      </w:r>
    </w:p>
    <w:p w:rsidR="000A70A6" w:rsidRPr="00B93625" w:rsidRDefault="000A70A6" w:rsidP="000A70A6">
      <w:pPr>
        <w:autoSpaceDE w:val="0"/>
        <w:autoSpaceDN w:val="0"/>
        <w:adjustRightInd w:val="0"/>
        <w:rPr>
          <w:color w:val="000000"/>
          <w:sz w:val="24"/>
          <w:szCs w:val="24"/>
        </w:rPr>
      </w:pPr>
    </w:p>
    <w:p w:rsidR="000A70A6" w:rsidRPr="00B93625" w:rsidRDefault="000A70A6" w:rsidP="000A70A6">
      <w:pPr>
        <w:autoSpaceDE w:val="0"/>
        <w:autoSpaceDN w:val="0"/>
        <w:adjustRightInd w:val="0"/>
        <w:ind w:left="840"/>
        <w:rPr>
          <w:color w:val="000000"/>
          <w:sz w:val="24"/>
          <w:szCs w:val="24"/>
        </w:rPr>
      </w:pPr>
      <w:r w:rsidRPr="00B93625">
        <w:rPr>
          <w:color w:val="000000"/>
          <w:sz w:val="24"/>
          <w:szCs w:val="24"/>
        </w:rPr>
        <w:t xml:space="preserve">Hos patienter med fremskreden eller metastaserende brystcancer bør behandling med </w:t>
      </w:r>
      <w:proofErr w:type="spellStart"/>
      <w:r w:rsidRPr="00B93625">
        <w:rPr>
          <w:color w:val="000000"/>
          <w:sz w:val="24"/>
          <w:szCs w:val="24"/>
        </w:rPr>
        <w:t>Letrozol</w:t>
      </w:r>
      <w:proofErr w:type="spellEnd"/>
      <w:r w:rsidRPr="00B93625">
        <w:rPr>
          <w:color w:val="000000"/>
          <w:sz w:val="24"/>
          <w:szCs w:val="24"/>
        </w:rPr>
        <w:t xml:space="preserve"> ”Medical Valley” fortsætte, indtil tumorprogression er evident. </w:t>
      </w:r>
    </w:p>
    <w:p w:rsidR="000A70A6" w:rsidRPr="00B93625" w:rsidRDefault="000A70A6" w:rsidP="000A70A6">
      <w:pPr>
        <w:autoSpaceDE w:val="0"/>
        <w:autoSpaceDN w:val="0"/>
        <w:adjustRightInd w:val="0"/>
        <w:rPr>
          <w:color w:val="000000"/>
          <w:sz w:val="24"/>
          <w:szCs w:val="24"/>
        </w:rPr>
      </w:pPr>
    </w:p>
    <w:p w:rsidR="000A70A6" w:rsidRPr="00B93625" w:rsidRDefault="000A70A6" w:rsidP="000A70A6">
      <w:pPr>
        <w:autoSpaceDE w:val="0"/>
        <w:autoSpaceDN w:val="0"/>
        <w:adjustRightInd w:val="0"/>
        <w:ind w:left="840"/>
        <w:rPr>
          <w:color w:val="000000"/>
          <w:sz w:val="24"/>
          <w:szCs w:val="24"/>
        </w:rPr>
      </w:pPr>
      <w:r w:rsidRPr="00B93625">
        <w:rPr>
          <w:color w:val="000000"/>
          <w:sz w:val="24"/>
          <w:szCs w:val="24"/>
        </w:rPr>
        <w:t xml:space="preserve">Ved </w:t>
      </w:r>
      <w:proofErr w:type="spellStart"/>
      <w:r w:rsidRPr="00B93625">
        <w:rPr>
          <w:color w:val="000000"/>
          <w:sz w:val="24"/>
          <w:szCs w:val="24"/>
        </w:rPr>
        <w:t>adjuverende</w:t>
      </w:r>
      <w:proofErr w:type="spellEnd"/>
      <w:r w:rsidRPr="00B93625">
        <w:rPr>
          <w:color w:val="000000"/>
          <w:sz w:val="24"/>
          <w:szCs w:val="24"/>
        </w:rPr>
        <w:t xml:space="preserve"> behandling og forlænget </w:t>
      </w:r>
      <w:proofErr w:type="spellStart"/>
      <w:r w:rsidRPr="00B93625">
        <w:rPr>
          <w:color w:val="000000"/>
          <w:sz w:val="24"/>
          <w:szCs w:val="24"/>
        </w:rPr>
        <w:t>adjuverende</w:t>
      </w:r>
      <w:proofErr w:type="spellEnd"/>
      <w:r w:rsidRPr="00B93625">
        <w:rPr>
          <w:color w:val="000000"/>
          <w:sz w:val="24"/>
          <w:szCs w:val="24"/>
        </w:rPr>
        <w:t xml:space="preserve"> behandling bør behandling med </w:t>
      </w:r>
      <w:proofErr w:type="spellStart"/>
      <w:r w:rsidRPr="00B93625">
        <w:rPr>
          <w:color w:val="000000"/>
          <w:sz w:val="24"/>
          <w:szCs w:val="24"/>
        </w:rPr>
        <w:t>Letrozol</w:t>
      </w:r>
      <w:proofErr w:type="spellEnd"/>
      <w:r w:rsidRPr="00B93625">
        <w:rPr>
          <w:color w:val="000000"/>
          <w:sz w:val="24"/>
          <w:szCs w:val="24"/>
        </w:rPr>
        <w:t xml:space="preserve"> ”Medical Valley” fortsætte i 5 år, eller indtil tumor recidiverer, afhængigt af hvad der indtræffer først. </w:t>
      </w:r>
    </w:p>
    <w:p w:rsidR="000A70A6" w:rsidRPr="00B93625" w:rsidRDefault="000A70A6" w:rsidP="000A70A6">
      <w:pPr>
        <w:autoSpaceDE w:val="0"/>
        <w:autoSpaceDN w:val="0"/>
        <w:adjustRightInd w:val="0"/>
        <w:rPr>
          <w:color w:val="000000"/>
          <w:sz w:val="24"/>
          <w:szCs w:val="24"/>
        </w:rPr>
      </w:pPr>
    </w:p>
    <w:p w:rsidR="000A70A6" w:rsidRPr="00B93625" w:rsidRDefault="000A70A6" w:rsidP="000A70A6">
      <w:pPr>
        <w:autoSpaceDE w:val="0"/>
        <w:autoSpaceDN w:val="0"/>
        <w:adjustRightInd w:val="0"/>
        <w:ind w:left="840"/>
        <w:rPr>
          <w:color w:val="000000"/>
          <w:sz w:val="24"/>
          <w:szCs w:val="24"/>
        </w:rPr>
      </w:pPr>
      <w:r w:rsidRPr="00B93625">
        <w:rPr>
          <w:color w:val="000000"/>
          <w:sz w:val="24"/>
          <w:szCs w:val="24"/>
        </w:rPr>
        <w:t xml:space="preserve">Ved </w:t>
      </w:r>
      <w:proofErr w:type="spellStart"/>
      <w:r w:rsidRPr="00B93625">
        <w:rPr>
          <w:color w:val="000000"/>
          <w:sz w:val="24"/>
          <w:szCs w:val="24"/>
        </w:rPr>
        <w:t>adjuverende</w:t>
      </w:r>
      <w:proofErr w:type="spellEnd"/>
      <w:r w:rsidRPr="00B93625">
        <w:rPr>
          <w:color w:val="000000"/>
          <w:sz w:val="24"/>
          <w:szCs w:val="24"/>
        </w:rPr>
        <w:t xml:space="preserve"> behandling kan det også overvejes at anvende et sekventielt behandlingsprogram (</w:t>
      </w:r>
      <w:proofErr w:type="spellStart"/>
      <w:r w:rsidRPr="00B93625">
        <w:rPr>
          <w:color w:val="000000"/>
          <w:sz w:val="24"/>
          <w:szCs w:val="24"/>
        </w:rPr>
        <w:t>letrozol</w:t>
      </w:r>
      <w:proofErr w:type="spellEnd"/>
      <w:r w:rsidRPr="00B93625">
        <w:rPr>
          <w:color w:val="000000"/>
          <w:sz w:val="24"/>
          <w:szCs w:val="24"/>
        </w:rPr>
        <w:t xml:space="preserve"> i 2 år efterfulgt af </w:t>
      </w:r>
      <w:proofErr w:type="spellStart"/>
      <w:r w:rsidRPr="00B93625">
        <w:rPr>
          <w:color w:val="000000"/>
          <w:sz w:val="24"/>
          <w:szCs w:val="24"/>
        </w:rPr>
        <w:t>tamoxifen</w:t>
      </w:r>
      <w:proofErr w:type="spellEnd"/>
      <w:r w:rsidRPr="00B93625">
        <w:rPr>
          <w:color w:val="000000"/>
          <w:sz w:val="24"/>
          <w:szCs w:val="24"/>
        </w:rPr>
        <w:t xml:space="preserve"> i 3 år) (se pkt. 4.4 og 5.1). </w:t>
      </w:r>
    </w:p>
    <w:p w:rsidR="000A70A6" w:rsidRPr="00B93625" w:rsidRDefault="000A70A6" w:rsidP="000A70A6">
      <w:pPr>
        <w:autoSpaceDE w:val="0"/>
        <w:autoSpaceDN w:val="0"/>
        <w:adjustRightInd w:val="0"/>
        <w:rPr>
          <w:color w:val="000000"/>
          <w:sz w:val="24"/>
          <w:szCs w:val="24"/>
        </w:rPr>
      </w:pPr>
    </w:p>
    <w:p w:rsidR="000A70A6" w:rsidRPr="00B93625" w:rsidRDefault="000A70A6" w:rsidP="000A70A6">
      <w:pPr>
        <w:autoSpaceDE w:val="0"/>
        <w:autoSpaceDN w:val="0"/>
        <w:adjustRightInd w:val="0"/>
        <w:ind w:left="840"/>
        <w:rPr>
          <w:color w:val="000000"/>
          <w:sz w:val="24"/>
          <w:szCs w:val="24"/>
        </w:rPr>
      </w:pPr>
      <w:r w:rsidRPr="00B93625">
        <w:rPr>
          <w:color w:val="000000"/>
          <w:sz w:val="24"/>
          <w:szCs w:val="24"/>
        </w:rPr>
        <w:t>Ved neo-</w:t>
      </w:r>
      <w:proofErr w:type="spellStart"/>
      <w:r w:rsidRPr="00B93625">
        <w:rPr>
          <w:color w:val="000000"/>
          <w:sz w:val="24"/>
          <w:szCs w:val="24"/>
        </w:rPr>
        <w:t>adjuverende</w:t>
      </w:r>
      <w:proofErr w:type="spellEnd"/>
      <w:r w:rsidRPr="00B93625">
        <w:rPr>
          <w:color w:val="000000"/>
          <w:sz w:val="24"/>
          <w:szCs w:val="24"/>
        </w:rPr>
        <w:t xml:space="preserve"> behandling kan behandling med </w:t>
      </w:r>
      <w:proofErr w:type="spellStart"/>
      <w:r w:rsidRPr="00B93625">
        <w:rPr>
          <w:color w:val="000000"/>
          <w:sz w:val="24"/>
          <w:szCs w:val="24"/>
        </w:rPr>
        <w:t>Letrozol</w:t>
      </w:r>
      <w:proofErr w:type="spellEnd"/>
      <w:r w:rsidRPr="00B93625">
        <w:rPr>
          <w:color w:val="000000"/>
          <w:sz w:val="24"/>
          <w:szCs w:val="24"/>
        </w:rPr>
        <w:t xml:space="preserve"> ”Medical Valley” fortsættes i 4 til 8 måneder for at opnå optimal tumorreduktion. Hvis responset ikke er tilstrækkeligt, bør </w:t>
      </w:r>
      <w:proofErr w:type="spellStart"/>
      <w:r w:rsidRPr="00B93625">
        <w:rPr>
          <w:color w:val="000000"/>
          <w:sz w:val="24"/>
          <w:szCs w:val="24"/>
        </w:rPr>
        <w:t>Letrozol</w:t>
      </w:r>
      <w:proofErr w:type="spellEnd"/>
      <w:r w:rsidRPr="00B93625">
        <w:rPr>
          <w:color w:val="000000"/>
          <w:sz w:val="24"/>
          <w:szCs w:val="24"/>
        </w:rPr>
        <w:t xml:space="preserve"> ”Medical Valley” seponeres og operation planlægges og/eller andre behandlingsmuligheder diskuteres med patienten. </w:t>
      </w:r>
    </w:p>
    <w:p w:rsidR="000A70A6" w:rsidRPr="00B93625" w:rsidRDefault="000A70A6" w:rsidP="000A70A6">
      <w:pPr>
        <w:autoSpaceDE w:val="0"/>
        <w:autoSpaceDN w:val="0"/>
        <w:adjustRightInd w:val="0"/>
        <w:rPr>
          <w:color w:val="000000"/>
          <w:sz w:val="24"/>
          <w:szCs w:val="24"/>
        </w:rPr>
      </w:pPr>
      <w:r w:rsidRPr="00B93625">
        <w:rPr>
          <w:color w:val="000000"/>
          <w:sz w:val="24"/>
          <w:szCs w:val="24"/>
        </w:rPr>
        <w:t xml:space="preserve"> </w:t>
      </w:r>
    </w:p>
    <w:p w:rsidR="000A70A6" w:rsidRPr="00B93625" w:rsidRDefault="000A70A6" w:rsidP="000A70A6">
      <w:pPr>
        <w:autoSpaceDE w:val="0"/>
        <w:autoSpaceDN w:val="0"/>
        <w:adjustRightInd w:val="0"/>
        <w:ind w:firstLine="840"/>
        <w:rPr>
          <w:sz w:val="24"/>
          <w:szCs w:val="24"/>
        </w:rPr>
      </w:pPr>
      <w:r w:rsidRPr="00B93625">
        <w:rPr>
          <w:i/>
          <w:color w:val="000000"/>
          <w:sz w:val="24"/>
          <w:szCs w:val="24"/>
        </w:rPr>
        <w:t>Pædiatrisk</w:t>
      </w:r>
      <w:r w:rsidRPr="00B93625">
        <w:rPr>
          <w:i/>
          <w:iCs/>
          <w:sz w:val="24"/>
          <w:szCs w:val="24"/>
        </w:rPr>
        <w:t xml:space="preserve"> population  </w:t>
      </w:r>
    </w:p>
    <w:p w:rsidR="000A70A6" w:rsidRPr="00B93625" w:rsidRDefault="000A70A6" w:rsidP="000A70A6">
      <w:pPr>
        <w:autoSpaceDE w:val="0"/>
        <w:autoSpaceDN w:val="0"/>
        <w:adjustRightInd w:val="0"/>
        <w:ind w:left="840"/>
        <w:rPr>
          <w:sz w:val="24"/>
          <w:szCs w:val="24"/>
        </w:rPr>
      </w:pPr>
      <w:proofErr w:type="spellStart"/>
      <w:r w:rsidRPr="00B93625">
        <w:rPr>
          <w:sz w:val="24"/>
          <w:szCs w:val="24"/>
        </w:rPr>
        <w:t>Letrozol</w:t>
      </w:r>
      <w:proofErr w:type="spellEnd"/>
      <w:r w:rsidRPr="00B93625">
        <w:rPr>
          <w:sz w:val="24"/>
          <w:szCs w:val="24"/>
        </w:rPr>
        <w:t xml:space="preserve"> ”Medical Valley” bør ikke anvendes til børn og unge. </w:t>
      </w:r>
      <w:proofErr w:type="spellStart"/>
      <w:r w:rsidR="00F06180" w:rsidRPr="00B93625">
        <w:rPr>
          <w:sz w:val="24"/>
          <w:szCs w:val="24"/>
        </w:rPr>
        <w:t>Letrozols</w:t>
      </w:r>
      <w:proofErr w:type="spellEnd"/>
      <w:r w:rsidR="00F06180" w:rsidRPr="00B93625">
        <w:rPr>
          <w:sz w:val="24"/>
          <w:szCs w:val="24"/>
        </w:rPr>
        <w:t xml:space="preserve"> </w:t>
      </w:r>
      <w:r w:rsidRPr="00B93625">
        <w:rPr>
          <w:sz w:val="24"/>
          <w:szCs w:val="24"/>
        </w:rPr>
        <w:t xml:space="preserve">sikkerhed og virkning hos børn i alderen op til 17 år er ikke klarlagt. Der foreligger begrænsede data, og der kan ikke gives nogen anbefalinger vedrørende dosering.  </w:t>
      </w:r>
    </w:p>
    <w:p w:rsidR="000A70A6" w:rsidRPr="00B93625" w:rsidRDefault="000A70A6" w:rsidP="000A70A6">
      <w:pPr>
        <w:autoSpaceDE w:val="0"/>
        <w:autoSpaceDN w:val="0"/>
        <w:adjustRightInd w:val="0"/>
        <w:rPr>
          <w:sz w:val="24"/>
          <w:szCs w:val="24"/>
        </w:rPr>
      </w:pPr>
    </w:p>
    <w:p w:rsidR="000A70A6" w:rsidRPr="00B93625" w:rsidRDefault="000A70A6" w:rsidP="000A70A6">
      <w:pPr>
        <w:autoSpaceDE w:val="0"/>
        <w:autoSpaceDN w:val="0"/>
        <w:adjustRightInd w:val="0"/>
        <w:ind w:firstLine="840"/>
        <w:rPr>
          <w:sz w:val="24"/>
          <w:szCs w:val="24"/>
        </w:rPr>
      </w:pPr>
      <w:r w:rsidRPr="00B93625">
        <w:rPr>
          <w:i/>
          <w:iCs/>
          <w:sz w:val="24"/>
          <w:szCs w:val="24"/>
        </w:rPr>
        <w:t xml:space="preserve">Nedsat nyrefunktion </w:t>
      </w:r>
    </w:p>
    <w:p w:rsidR="000A70A6" w:rsidRPr="00B93625" w:rsidRDefault="000A70A6" w:rsidP="000A70A6">
      <w:pPr>
        <w:autoSpaceDE w:val="0"/>
        <w:autoSpaceDN w:val="0"/>
        <w:adjustRightInd w:val="0"/>
        <w:ind w:left="840"/>
        <w:rPr>
          <w:sz w:val="24"/>
          <w:szCs w:val="24"/>
        </w:rPr>
      </w:pPr>
      <w:r w:rsidRPr="00B93625">
        <w:rPr>
          <w:sz w:val="24"/>
          <w:szCs w:val="24"/>
        </w:rPr>
        <w:t xml:space="preserve">Dosisjustering af </w:t>
      </w:r>
      <w:proofErr w:type="spellStart"/>
      <w:r w:rsidRPr="00B93625">
        <w:rPr>
          <w:sz w:val="24"/>
          <w:szCs w:val="24"/>
        </w:rPr>
        <w:t>Letrozol</w:t>
      </w:r>
      <w:proofErr w:type="spellEnd"/>
      <w:r w:rsidRPr="00B93625">
        <w:rPr>
          <w:sz w:val="24"/>
          <w:szCs w:val="24"/>
        </w:rPr>
        <w:t xml:space="preserve"> ”Medical Valley” er ikke nødvendig hos patienter med nedsat nyrefunktion, hvis </w:t>
      </w:r>
      <w:proofErr w:type="spellStart"/>
      <w:r w:rsidRPr="00B93625">
        <w:rPr>
          <w:sz w:val="24"/>
          <w:szCs w:val="24"/>
        </w:rPr>
        <w:t>kreatininclearance</w:t>
      </w:r>
      <w:proofErr w:type="spellEnd"/>
      <w:r w:rsidRPr="00B93625">
        <w:rPr>
          <w:sz w:val="24"/>
          <w:szCs w:val="24"/>
        </w:rPr>
        <w:t xml:space="preserve"> er ≥ 10 ml/min. Ved </w:t>
      </w:r>
      <w:proofErr w:type="spellStart"/>
      <w:r w:rsidRPr="00B93625">
        <w:rPr>
          <w:sz w:val="24"/>
          <w:szCs w:val="24"/>
        </w:rPr>
        <w:t>kreatininclearance</w:t>
      </w:r>
      <w:proofErr w:type="spellEnd"/>
      <w:r w:rsidRPr="00B93625">
        <w:rPr>
          <w:sz w:val="24"/>
          <w:szCs w:val="24"/>
        </w:rPr>
        <w:t xml:space="preserve"> mindre end 10 ml/min er data utilstrækkelige (se pkt. 4.4 og 5.2).  </w:t>
      </w:r>
    </w:p>
    <w:p w:rsidR="000A70A6" w:rsidRPr="00B93625" w:rsidRDefault="000A70A6" w:rsidP="000A70A6">
      <w:pPr>
        <w:autoSpaceDE w:val="0"/>
        <w:autoSpaceDN w:val="0"/>
        <w:adjustRightInd w:val="0"/>
        <w:rPr>
          <w:sz w:val="24"/>
          <w:szCs w:val="24"/>
        </w:rPr>
      </w:pPr>
    </w:p>
    <w:p w:rsidR="000A70A6" w:rsidRPr="00B93625" w:rsidRDefault="000A70A6" w:rsidP="000A70A6">
      <w:pPr>
        <w:autoSpaceDE w:val="0"/>
        <w:autoSpaceDN w:val="0"/>
        <w:adjustRightInd w:val="0"/>
        <w:ind w:left="840"/>
        <w:rPr>
          <w:sz w:val="24"/>
          <w:szCs w:val="24"/>
        </w:rPr>
      </w:pPr>
      <w:r w:rsidRPr="00B93625">
        <w:rPr>
          <w:i/>
          <w:iCs/>
          <w:sz w:val="24"/>
          <w:szCs w:val="24"/>
        </w:rPr>
        <w:t xml:space="preserve">Nedsat leverfunktion </w:t>
      </w:r>
    </w:p>
    <w:p w:rsidR="000A70A6" w:rsidRPr="00B93625" w:rsidRDefault="000A70A6" w:rsidP="000A70A6">
      <w:pPr>
        <w:autoSpaceDE w:val="0"/>
        <w:autoSpaceDN w:val="0"/>
        <w:adjustRightInd w:val="0"/>
        <w:ind w:left="840"/>
        <w:rPr>
          <w:sz w:val="24"/>
          <w:szCs w:val="24"/>
        </w:rPr>
      </w:pPr>
      <w:r w:rsidRPr="00B93625">
        <w:rPr>
          <w:sz w:val="24"/>
          <w:szCs w:val="24"/>
        </w:rPr>
        <w:t xml:space="preserve">Dosisjustering af </w:t>
      </w:r>
      <w:proofErr w:type="spellStart"/>
      <w:r w:rsidRPr="00B93625">
        <w:rPr>
          <w:sz w:val="24"/>
          <w:szCs w:val="24"/>
        </w:rPr>
        <w:t>Letrozol</w:t>
      </w:r>
      <w:proofErr w:type="spellEnd"/>
      <w:r w:rsidRPr="00B93625">
        <w:rPr>
          <w:sz w:val="24"/>
          <w:szCs w:val="24"/>
        </w:rPr>
        <w:t xml:space="preserve"> ”Medical Valley” er ikke nødvendig hos patienter med let til moderat nedsat leverfunktion (Child-</w:t>
      </w:r>
      <w:proofErr w:type="spellStart"/>
      <w:r w:rsidRPr="00B93625">
        <w:rPr>
          <w:sz w:val="24"/>
          <w:szCs w:val="24"/>
        </w:rPr>
        <w:t>Pugh</w:t>
      </w:r>
      <w:proofErr w:type="spellEnd"/>
      <w:r w:rsidRPr="00B93625">
        <w:rPr>
          <w:sz w:val="24"/>
          <w:szCs w:val="24"/>
        </w:rPr>
        <w:t xml:space="preserve"> A eller B). Ved svært nedsat leverfunktion er data utilstrækkelige. Tæt opfølgning er nødvendig hos patienter med svært nedsat leverfunktion (Child-</w:t>
      </w:r>
      <w:proofErr w:type="spellStart"/>
      <w:r w:rsidRPr="00B93625">
        <w:rPr>
          <w:sz w:val="24"/>
          <w:szCs w:val="24"/>
        </w:rPr>
        <w:t>Pugh</w:t>
      </w:r>
      <w:proofErr w:type="spellEnd"/>
      <w:r w:rsidRPr="00B93625">
        <w:rPr>
          <w:sz w:val="24"/>
          <w:szCs w:val="24"/>
        </w:rPr>
        <w:t xml:space="preserve"> C) (se pkt. 4.4 og 5.2).  </w:t>
      </w:r>
    </w:p>
    <w:p w:rsidR="000A70A6" w:rsidRPr="00B93625" w:rsidRDefault="000A70A6" w:rsidP="000A70A6">
      <w:pPr>
        <w:autoSpaceDE w:val="0"/>
        <w:autoSpaceDN w:val="0"/>
        <w:adjustRightInd w:val="0"/>
        <w:rPr>
          <w:sz w:val="24"/>
          <w:szCs w:val="24"/>
        </w:rPr>
      </w:pPr>
    </w:p>
    <w:p w:rsidR="000A70A6" w:rsidRPr="00B93625" w:rsidRDefault="000A70A6" w:rsidP="000A70A6">
      <w:pPr>
        <w:autoSpaceDE w:val="0"/>
        <w:autoSpaceDN w:val="0"/>
        <w:adjustRightInd w:val="0"/>
        <w:ind w:firstLine="840"/>
        <w:rPr>
          <w:sz w:val="24"/>
          <w:szCs w:val="24"/>
        </w:rPr>
      </w:pPr>
      <w:r w:rsidRPr="00B93625">
        <w:rPr>
          <w:sz w:val="24"/>
          <w:szCs w:val="24"/>
          <w:u w:val="single"/>
        </w:rPr>
        <w:t xml:space="preserve">Administration </w:t>
      </w:r>
    </w:p>
    <w:p w:rsidR="000A70A6" w:rsidRPr="00B93625" w:rsidRDefault="000A70A6" w:rsidP="000A70A6">
      <w:pPr>
        <w:autoSpaceDE w:val="0"/>
        <w:autoSpaceDN w:val="0"/>
        <w:adjustRightInd w:val="0"/>
        <w:ind w:firstLine="840"/>
        <w:rPr>
          <w:sz w:val="24"/>
          <w:szCs w:val="24"/>
        </w:rPr>
      </w:pPr>
      <w:proofErr w:type="spellStart"/>
      <w:r w:rsidRPr="00B93625">
        <w:rPr>
          <w:sz w:val="24"/>
          <w:szCs w:val="24"/>
        </w:rPr>
        <w:t>Letrozol</w:t>
      </w:r>
      <w:proofErr w:type="spellEnd"/>
      <w:r w:rsidRPr="00B93625">
        <w:rPr>
          <w:sz w:val="24"/>
          <w:szCs w:val="24"/>
        </w:rPr>
        <w:t xml:space="preserve"> ”Medical Valley” skal tages oralt og kan tages sammen med eller uden mad. </w:t>
      </w:r>
    </w:p>
    <w:p w:rsidR="000A70A6" w:rsidRPr="00B93625" w:rsidRDefault="000A70A6" w:rsidP="000A70A6">
      <w:pPr>
        <w:autoSpaceDE w:val="0"/>
        <w:autoSpaceDN w:val="0"/>
        <w:adjustRightInd w:val="0"/>
        <w:ind w:left="840"/>
        <w:rPr>
          <w:sz w:val="24"/>
          <w:szCs w:val="24"/>
        </w:rPr>
      </w:pPr>
      <w:r w:rsidRPr="00B93625">
        <w:rPr>
          <w:sz w:val="24"/>
          <w:szCs w:val="24"/>
        </w:rPr>
        <w:t>Den glemte dosis skal tages lige så snart patienten husker det. Hvis det næsten er tid til næste dosis (inden for 2 eller 3 timer), skal den næste dosis dog springes over, og patienten skal vende tilbage til det regelmæssige doseringsregime. Doser må ikke fordobles, da der blev observeret overproportionalitet ved systemisk eksponering ved doser over den anbefalede dosis på 2,5 mg dagligt (se pkt. 5.2).</w:t>
      </w:r>
    </w:p>
    <w:p w:rsidR="000A70A6" w:rsidRPr="00B93625" w:rsidRDefault="000A70A6" w:rsidP="000A70A6">
      <w:pPr>
        <w:tabs>
          <w:tab w:val="left" w:pos="851"/>
        </w:tabs>
        <w:ind w:left="851" w:hanging="851"/>
        <w:rPr>
          <w:sz w:val="24"/>
          <w:szCs w:val="24"/>
        </w:rPr>
      </w:pPr>
    </w:p>
    <w:p w:rsidR="000A70A6" w:rsidRPr="001B4655" w:rsidRDefault="000A70A6" w:rsidP="00B93625">
      <w:pPr>
        <w:keepNext/>
        <w:tabs>
          <w:tab w:val="left" w:pos="851"/>
        </w:tabs>
        <w:ind w:left="851" w:hanging="851"/>
        <w:rPr>
          <w:b/>
          <w:sz w:val="24"/>
          <w:szCs w:val="24"/>
        </w:rPr>
      </w:pPr>
      <w:r w:rsidRPr="001B4655">
        <w:rPr>
          <w:b/>
          <w:sz w:val="24"/>
          <w:szCs w:val="24"/>
        </w:rPr>
        <w:t>4.3</w:t>
      </w:r>
      <w:r w:rsidRPr="001B4655">
        <w:rPr>
          <w:b/>
          <w:sz w:val="24"/>
          <w:szCs w:val="24"/>
        </w:rPr>
        <w:tab/>
        <w:t>Kontraindikationer</w:t>
      </w:r>
    </w:p>
    <w:p w:rsidR="000A70A6" w:rsidRPr="001B4655" w:rsidRDefault="000A70A6" w:rsidP="000A70A6">
      <w:pPr>
        <w:numPr>
          <w:ilvl w:val="0"/>
          <w:numId w:val="10"/>
        </w:numPr>
        <w:ind w:left="1134" w:hanging="283"/>
        <w:rPr>
          <w:sz w:val="24"/>
          <w:szCs w:val="24"/>
        </w:rPr>
      </w:pPr>
      <w:r w:rsidRPr="001B4655">
        <w:rPr>
          <w:sz w:val="24"/>
          <w:szCs w:val="24"/>
        </w:rPr>
        <w:t xml:space="preserve">Overfølsomhed over for det aktive stof eller over for et eller flere af hjælpestofferne anført i pkt. 6.1. </w:t>
      </w:r>
    </w:p>
    <w:p w:rsidR="000A70A6" w:rsidRPr="001B4655" w:rsidRDefault="000A70A6" w:rsidP="000A70A6">
      <w:pPr>
        <w:numPr>
          <w:ilvl w:val="0"/>
          <w:numId w:val="10"/>
        </w:numPr>
        <w:ind w:left="1134" w:hanging="283"/>
        <w:rPr>
          <w:sz w:val="24"/>
          <w:szCs w:val="24"/>
          <w:lang w:val="en-US"/>
        </w:rPr>
      </w:pPr>
      <w:r w:rsidRPr="001B4655">
        <w:rPr>
          <w:sz w:val="24"/>
          <w:szCs w:val="24"/>
          <w:lang w:val="es-ES"/>
        </w:rPr>
        <w:lastRenderedPageBreak/>
        <w:t>Præmenopausal endo</w:t>
      </w:r>
      <w:proofErr w:type="spellStart"/>
      <w:r w:rsidRPr="001B4655">
        <w:rPr>
          <w:sz w:val="24"/>
          <w:szCs w:val="24"/>
          <w:lang w:val="en-US"/>
        </w:rPr>
        <w:t>krin</w:t>
      </w:r>
      <w:proofErr w:type="spellEnd"/>
      <w:r w:rsidRPr="001B4655">
        <w:rPr>
          <w:sz w:val="24"/>
          <w:szCs w:val="24"/>
          <w:lang w:val="en-US"/>
        </w:rPr>
        <w:t xml:space="preserve"> status. </w:t>
      </w:r>
    </w:p>
    <w:p w:rsidR="000A70A6" w:rsidRPr="001B4655" w:rsidRDefault="000A70A6" w:rsidP="000A70A6">
      <w:pPr>
        <w:numPr>
          <w:ilvl w:val="0"/>
          <w:numId w:val="10"/>
        </w:numPr>
        <w:ind w:left="1134" w:hanging="283"/>
        <w:rPr>
          <w:sz w:val="24"/>
          <w:szCs w:val="24"/>
          <w:lang w:val="en-US"/>
        </w:rPr>
      </w:pPr>
      <w:proofErr w:type="spellStart"/>
      <w:r w:rsidRPr="001B4655">
        <w:rPr>
          <w:sz w:val="24"/>
          <w:szCs w:val="24"/>
          <w:lang w:val="en-US"/>
        </w:rPr>
        <w:t>Graviditet</w:t>
      </w:r>
      <w:proofErr w:type="spellEnd"/>
      <w:r w:rsidRPr="001B4655">
        <w:rPr>
          <w:sz w:val="24"/>
          <w:szCs w:val="24"/>
          <w:lang w:val="en-US"/>
        </w:rPr>
        <w:t xml:space="preserve"> (se pkt. 4.6). </w:t>
      </w:r>
    </w:p>
    <w:p w:rsidR="000A70A6" w:rsidRPr="001B4655" w:rsidRDefault="000A70A6" w:rsidP="000A70A6">
      <w:pPr>
        <w:numPr>
          <w:ilvl w:val="0"/>
          <w:numId w:val="10"/>
        </w:numPr>
        <w:ind w:left="1134" w:hanging="283"/>
        <w:rPr>
          <w:sz w:val="24"/>
          <w:szCs w:val="24"/>
          <w:lang w:val="en-US"/>
        </w:rPr>
      </w:pPr>
      <w:proofErr w:type="spellStart"/>
      <w:r w:rsidRPr="001B4655">
        <w:rPr>
          <w:sz w:val="24"/>
          <w:szCs w:val="24"/>
          <w:lang w:val="en-US"/>
        </w:rPr>
        <w:t>Amning</w:t>
      </w:r>
      <w:proofErr w:type="spellEnd"/>
      <w:r w:rsidRPr="001B4655">
        <w:rPr>
          <w:sz w:val="24"/>
          <w:szCs w:val="24"/>
          <w:lang w:val="en-US"/>
        </w:rPr>
        <w:t xml:space="preserve"> (se pkt. 4.6). </w:t>
      </w:r>
    </w:p>
    <w:p w:rsidR="000A70A6" w:rsidRPr="001B4655" w:rsidRDefault="000A70A6" w:rsidP="000A70A6">
      <w:pPr>
        <w:tabs>
          <w:tab w:val="left" w:pos="851"/>
        </w:tabs>
        <w:ind w:left="851" w:hanging="851"/>
        <w:rPr>
          <w:sz w:val="24"/>
          <w:szCs w:val="24"/>
        </w:rPr>
      </w:pPr>
    </w:p>
    <w:p w:rsidR="000A70A6" w:rsidRPr="00011329" w:rsidRDefault="000A70A6" w:rsidP="000A70A6">
      <w:pPr>
        <w:tabs>
          <w:tab w:val="left" w:pos="851"/>
        </w:tabs>
        <w:ind w:left="851" w:hanging="851"/>
        <w:rPr>
          <w:b/>
          <w:sz w:val="24"/>
          <w:szCs w:val="24"/>
        </w:rPr>
      </w:pPr>
      <w:r w:rsidRPr="001B4655">
        <w:rPr>
          <w:b/>
          <w:sz w:val="24"/>
          <w:szCs w:val="24"/>
        </w:rPr>
        <w:t>4.4</w:t>
      </w:r>
      <w:r w:rsidRPr="001B4655">
        <w:rPr>
          <w:b/>
          <w:sz w:val="24"/>
          <w:szCs w:val="24"/>
        </w:rPr>
        <w:tab/>
        <w:t>Særlige advarsler og forsigtighedsregler vedrørende brugen</w:t>
      </w:r>
    </w:p>
    <w:p w:rsidR="000A70A6" w:rsidRPr="006C2510" w:rsidRDefault="000A70A6" w:rsidP="000A70A6">
      <w:pPr>
        <w:tabs>
          <w:tab w:val="left" w:pos="851"/>
        </w:tabs>
        <w:ind w:left="851" w:hanging="851"/>
        <w:rPr>
          <w:sz w:val="24"/>
          <w:szCs w:val="24"/>
        </w:rPr>
      </w:pPr>
      <w:r w:rsidRPr="001B4655">
        <w:rPr>
          <w:sz w:val="24"/>
          <w:szCs w:val="24"/>
        </w:rPr>
        <w:tab/>
      </w:r>
      <w:proofErr w:type="spellStart"/>
      <w:r w:rsidRPr="006C2510">
        <w:rPr>
          <w:sz w:val="24"/>
          <w:szCs w:val="24"/>
          <w:u w:val="single"/>
        </w:rPr>
        <w:t>Menopausal</w:t>
      </w:r>
      <w:proofErr w:type="spellEnd"/>
      <w:r w:rsidRPr="006C2510">
        <w:rPr>
          <w:sz w:val="24"/>
          <w:szCs w:val="24"/>
          <w:u w:val="single"/>
        </w:rPr>
        <w:t xml:space="preserve"> status </w:t>
      </w:r>
    </w:p>
    <w:p w:rsidR="000A70A6" w:rsidRPr="006C2510" w:rsidRDefault="000A70A6" w:rsidP="000A70A6">
      <w:pPr>
        <w:tabs>
          <w:tab w:val="left" w:pos="851"/>
        </w:tabs>
        <w:ind w:left="851" w:hanging="851"/>
        <w:rPr>
          <w:sz w:val="24"/>
          <w:szCs w:val="24"/>
        </w:rPr>
      </w:pPr>
      <w:r w:rsidRPr="006C2510">
        <w:rPr>
          <w:sz w:val="24"/>
          <w:szCs w:val="24"/>
        </w:rPr>
        <w:tab/>
        <w:t xml:space="preserve">Hos patienter, hvor </w:t>
      </w:r>
      <w:proofErr w:type="spellStart"/>
      <w:r w:rsidRPr="006C2510">
        <w:rPr>
          <w:sz w:val="24"/>
          <w:szCs w:val="24"/>
        </w:rPr>
        <w:t>menopausal</w:t>
      </w:r>
      <w:proofErr w:type="spellEnd"/>
      <w:r w:rsidRPr="006C2510">
        <w:rPr>
          <w:sz w:val="24"/>
          <w:szCs w:val="24"/>
        </w:rPr>
        <w:t xml:space="preserve"> status er uklar, skal serumkoncentrationen af </w:t>
      </w:r>
      <w:proofErr w:type="spellStart"/>
      <w:r w:rsidRPr="006C2510">
        <w:rPr>
          <w:sz w:val="24"/>
          <w:szCs w:val="24"/>
        </w:rPr>
        <w:t>luteiniserende</w:t>
      </w:r>
      <w:proofErr w:type="spellEnd"/>
      <w:r w:rsidRPr="006C2510">
        <w:rPr>
          <w:sz w:val="24"/>
          <w:szCs w:val="24"/>
        </w:rPr>
        <w:t xml:space="preserve"> hormon (LH), follikelstimulerende hormon (FSH) og/eller </w:t>
      </w:r>
      <w:proofErr w:type="spellStart"/>
      <w:r w:rsidRPr="006C2510">
        <w:rPr>
          <w:sz w:val="24"/>
          <w:szCs w:val="24"/>
        </w:rPr>
        <w:t>østradiol</w:t>
      </w:r>
      <w:proofErr w:type="spellEnd"/>
      <w:r w:rsidRPr="006C2510">
        <w:rPr>
          <w:sz w:val="24"/>
          <w:szCs w:val="24"/>
        </w:rPr>
        <w:t xml:space="preserve"> måles inden behandlingsstart. Kun kvinder i </w:t>
      </w:r>
      <w:proofErr w:type="spellStart"/>
      <w:r w:rsidRPr="006C2510">
        <w:rPr>
          <w:sz w:val="24"/>
          <w:szCs w:val="24"/>
        </w:rPr>
        <w:t>postmenopausal</w:t>
      </w:r>
      <w:proofErr w:type="spellEnd"/>
      <w:r w:rsidRPr="006C2510">
        <w:rPr>
          <w:sz w:val="24"/>
          <w:szCs w:val="24"/>
        </w:rPr>
        <w:t xml:space="preserve"> endokrin status må behandles med </w:t>
      </w:r>
      <w:proofErr w:type="spellStart"/>
      <w:r w:rsidRPr="006C2510">
        <w:rPr>
          <w:sz w:val="24"/>
          <w:szCs w:val="24"/>
        </w:rPr>
        <w:t>Letrozol</w:t>
      </w:r>
      <w:proofErr w:type="spellEnd"/>
      <w:r w:rsidRPr="006C2510">
        <w:rPr>
          <w:sz w:val="24"/>
          <w:szCs w:val="24"/>
        </w:rPr>
        <w:t xml:space="preserve"> ”Medical Valley</w:t>
      </w:r>
      <w:r w:rsidR="00EC5CED">
        <w:rPr>
          <w:sz w:val="24"/>
          <w:szCs w:val="24"/>
        </w:rPr>
        <w:t>”</w:t>
      </w:r>
      <w:r w:rsidRPr="006C2510">
        <w:rPr>
          <w:sz w:val="24"/>
          <w:szCs w:val="24"/>
        </w:rPr>
        <w:t xml:space="preserve">. </w:t>
      </w:r>
    </w:p>
    <w:p w:rsidR="000A70A6" w:rsidRPr="006C2510"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r w:rsidRPr="006C2510">
        <w:rPr>
          <w:sz w:val="24"/>
          <w:szCs w:val="24"/>
        </w:rPr>
        <w:tab/>
      </w:r>
      <w:r w:rsidRPr="006C2510">
        <w:rPr>
          <w:sz w:val="24"/>
          <w:szCs w:val="24"/>
          <w:u w:val="single"/>
        </w:rPr>
        <w:t xml:space="preserve">Nedsat nyrefunktion </w:t>
      </w:r>
    </w:p>
    <w:p w:rsidR="000A70A6" w:rsidRPr="006C2510" w:rsidRDefault="000A70A6" w:rsidP="000A70A6">
      <w:pPr>
        <w:tabs>
          <w:tab w:val="left" w:pos="851"/>
        </w:tabs>
        <w:ind w:left="851" w:hanging="851"/>
        <w:rPr>
          <w:sz w:val="24"/>
          <w:szCs w:val="24"/>
        </w:rPr>
      </w:pPr>
      <w:r w:rsidRPr="006C2510">
        <w:rPr>
          <w:sz w:val="24"/>
          <w:szCs w:val="24"/>
        </w:rPr>
        <w:tab/>
      </w:r>
      <w:proofErr w:type="spellStart"/>
      <w:r w:rsidRPr="006C2510">
        <w:rPr>
          <w:sz w:val="24"/>
          <w:szCs w:val="24"/>
        </w:rPr>
        <w:t>Letrozol</w:t>
      </w:r>
      <w:proofErr w:type="spellEnd"/>
      <w:r w:rsidRPr="006C2510">
        <w:rPr>
          <w:sz w:val="24"/>
          <w:szCs w:val="24"/>
        </w:rPr>
        <w:t xml:space="preserve"> er ikke undersøgt hos et tilstrækkeligt antal patienter med </w:t>
      </w:r>
      <w:proofErr w:type="spellStart"/>
      <w:r w:rsidRPr="006C2510">
        <w:rPr>
          <w:sz w:val="24"/>
          <w:szCs w:val="24"/>
        </w:rPr>
        <w:t>kreatininclearance</w:t>
      </w:r>
      <w:proofErr w:type="spellEnd"/>
      <w:r w:rsidRPr="006C2510">
        <w:rPr>
          <w:sz w:val="24"/>
          <w:szCs w:val="24"/>
        </w:rPr>
        <w:t xml:space="preserve"> &lt; 10 ml/min. Risk/benefit hos disse patienter skal overvejes nøje inden behandling med </w:t>
      </w:r>
      <w:proofErr w:type="spellStart"/>
      <w:r w:rsidRPr="006C2510">
        <w:rPr>
          <w:sz w:val="24"/>
          <w:szCs w:val="24"/>
        </w:rPr>
        <w:t>Letrozol</w:t>
      </w:r>
      <w:proofErr w:type="spellEnd"/>
      <w:r w:rsidRPr="006C2510">
        <w:rPr>
          <w:sz w:val="24"/>
          <w:szCs w:val="24"/>
        </w:rPr>
        <w:t xml:space="preserve"> ”Medical Valley</w:t>
      </w:r>
      <w:r w:rsidR="00EC5CED">
        <w:rPr>
          <w:sz w:val="24"/>
          <w:szCs w:val="24"/>
        </w:rPr>
        <w:t>”</w:t>
      </w:r>
      <w:r w:rsidRPr="006C2510">
        <w:rPr>
          <w:sz w:val="24"/>
          <w:szCs w:val="24"/>
        </w:rPr>
        <w:t xml:space="preserve">. </w:t>
      </w:r>
    </w:p>
    <w:p w:rsidR="000A70A6" w:rsidRPr="006C2510"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r w:rsidRPr="006C2510">
        <w:rPr>
          <w:sz w:val="24"/>
          <w:szCs w:val="24"/>
        </w:rPr>
        <w:tab/>
      </w:r>
      <w:r w:rsidRPr="006C2510">
        <w:rPr>
          <w:sz w:val="24"/>
          <w:szCs w:val="24"/>
          <w:u w:val="single"/>
        </w:rPr>
        <w:t xml:space="preserve">Nedsat leverfunktion </w:t>
      </w:r>
    </w:p>
    <w:p w:rsidR="000A70A6" w:rsidRPr="00BF3A7A" w:rsidRDefault="000A70A6" w:rsidP="000A70A6">
      <w:pPr>
        <w:tabs>
          <w:tab w:val="left" w:pos="851"/>
        </w:tabs>
        <w:ind w:left="851" w:hanging="851"/>
        <w:rPr>
          <w:sz w:val="24"/>
          <w:szCs w:val="24"/>
        </w:rPr>
      </w:pPr>
      <w:r w:rsidRPr="006C2510">
        <w:rPr>
          <w:sz w:val="24"/>
          <w:szCs w:val="24"/>
        </w:rPr>
        <w:tab/>
        <w:t>Hos patienter med svært nedsat leverfunktion (Child-</w:t>
      </w:r>
      <w:proofErr w:type="spellStart"/>
      <w:r w:rsidRPr="006C2510">
        <w:rPr>
          <w:sz w:val="24"/>
          <w:szCs w:val="24"/>
        </w:rPr>
        <w:t>Pugh</w:t>
      </w:r>
      <w:proofErr w:type="spellEnd"/>
      <w:r w:rsidRPr="006C2510">
        <w:rPr>
          <w:sz w:val="24"/>
          <w:szCs w:val="24"/>
        </w:rPr>
        <w:t xml:space="preserve"> C) var systemisk eksponering og terminal halveringstid næsten fordoblet sammenlignet med raske frivillige. </w:t>
      </w:r>
      <w:r w:rsidRPr="00BF3A7A">
        <w:rPr>
          <w:sz w:val="24"/>
          <w:szCs w:val="24"/>
        </w:rPr>
        <w:t xml:space="preserve">Disse patienter bør derfor følges tæt (se pkt. 5.2). </w:t>
      </w:r>
    </w:p>
    <w:p w:rsidR="000A70A6" w:rsidRPr="00BF3A7A" w:rsidRDefault="000A70A6" w:rsidP="000A70A6">
      <w:pPr>
        <w:tabs>
          <w:tab w:val="left" w:pos="851"/>
        </w:tabs>
        <w:ind w:left="851" w:hanging="851"/>
        <w:rPr>
          <w:sz w:val="24"/>
          <w:szCs w:val="24"/>
        </w:rPr>
      </w:pPr>
    </w:p>
    <w:p w:rsidR="000A70A6" w:rsidRPr="00BF3A7A" w:rsidRDefault="000A70A6" w:rsidP="000A70A6">
      <w:pPr>
        <w:tabs>
          <w:tab w:val="left" w:pos="851"/>
        </w:tabs>
        <w:ind w:left="851" w:hanging="851"/>
        <w:rPr>
          <w:sz w:val="24"/>
          <w:szCs w:val="24"/>
        </w:rPr>
      </w:pPr>
      <w:r w:rsidRPr="00BF3A7A">
        <w:rPr>
          <w:sz w:val="24"/>
          <w:szCs w:val="24"/>
        </w:rPr>
        <w:tab/>
      </w:r>
      <w:r w:rsidRPr="00BF3A7A">
        <w:rPr>
          <w:sz w:val="24"/>
          <w:szCs w:val="24"/>
          <w:u w:val="single"/>
        </w:rPr>
        <w:t xml:space="preserve">Effekter på knoglerne </w:t>
      </w:r>
    </w:p>
    <w:p w:rsidR="000A70A6" w:rsidRPr="00BF3A7A" w:rsidRDefault="000A70A6" w:rsidP="000A70A6">
      <w:pPr>
        <w:tabs>
          <w:tab w:val="left" w:pos="851"/>
        </w:tabs>
        <w:ind w:left="851" w:hanging="851"/>
        <w:rPr>
          <w:sz w:val="24"/>
          <w:szCs w:val="24"/>
        </w:rPr>
      </w:pPr>
      <w:r w:rsidRPr="00BF3A7A">
        <w:rPr>
          <w:sz w:val="24"/>
          <w:szCs w:val="24"/>
        </w:rPr>
        <w:tab/>
      </w:r>
      <w:proofErr w:type="spellStart"/>
      <w:r w:rsidRPr="00BF3A7A">
        <w:rPr>
          <w:sz w:val="24"/>
          <w:szCs w:val="24"/>
        </w:rPr>
        <w:t>Letrozol</w:t>
      </w:r>
      <w:proofErr w:type="spellEnd"/>
      <w:r w:rsidRPr="00BF3A7A">
        <w:rPr>
          <w:sz w:val="24"/>
          <w:szCs w:val="24"/>
        </w:rPr>
        <w:t xml:space="preserve"> er et potent østrogen-supprimerende stof. Kvinder med osteoporose og/eller knoglebrud i anamnesen, eller som har en øget risiko for osteoporose, skal have målt knoglemineraldensiteten før påbegyndelse af </w:t>
      </w:r>
      <w:proofErr w:type="spellStart"/>
      <w:r w:rsidRPr="00BF3A7A">
        <w:rPr>
          <w:sz w:val="24"/>
          <w:szCs w:val="24"/>
        </w:rPr>
        <w:t>adjuverende</w:t>
      </w:r>
      <w:proofErr w:type="spellEnd"/>
      <w:r w:rsidRPr="00BF3A7A">
        <w:rPr>
          <w:sz w:val="24"/>
          <w:szCs w:val="24"/>
        </w:rPr>
        <w:t xml:space="preserve"> og forlænget </w:t>
      </w:r>
      <w:proofErr w:type="spellStart"/>
      <w:r w:rsidRPr="00BF3A7A">
        <w:rPr>
          <w:sz w:val="24"/>
          <w:szCs w:val="24"/>
        </w:rPr>
        <w:t>adjuverende</w:t>
      </w:r>
      <w:proofErr w:type="spellEnd"/>
      <w:r w:rsidRPr="00BF3A7A">
        <w:rPr>
          <w:sz w:val="24"/>
          <w:szCs w:val="24"/>
        </w:rPr>
        <w:t xml:space="preserve"> behandling og skal monitoreres for udvikling af osteoporose under og efter behandling med </w:t>
      </w:r>
      <w:proofErr w:type="spellStart"/>
      <w:r w:rsidRPr="00BF3A7A">
        <w:rPr>
          <w:sz w:val="24"/>
          <w:szCs w:val="24"/>
        </w:rPr>
        <w:t>letrozol</w:t>
      </w:r>
      <w:proofErr w:type="spellEnd"/>
      <w:r w:rsidRPr="00BF3A7A">
        <w:rPr>
          <w:sz w:val="24"/>
          <w:szCs w:val="24"/>
        </w:rPr>
        <w:t xml:space="preserve">. Behandling eller forebyggelse af osteoporose bør initieres på passende vis og monitoreres omhyggeligt. Ved </w:t>
      </w:r>
      <w:proofErr w:type="spellStart"/>
      <w:r w:rsidRPr="00BF3A7A">
        <w:rPr>
          <w:sz w:val="24"/>
          <w:szCs w:val="24"/>
        </w:rPr>
        <w:t>adjuverende</w:t>
      </w:r>
      <w:proofErr w:type="spellEnd"/>
      <w:r w:rsidRPr="00BF3A7A">
        <w:rPr>
          <w:sz w:val="24"/>
          <w:szCs w:val="24"/>
        </w:rPr>
        <w:t xml:space="preserve"> behandling kan et sekventielt behandlingsprogram også overvejes (</w:t>
      </w:r>
      <w:proofErr w:type="spellStart"/>
      <w:r w:rsidRPr="00BF3A7A">
        <w:rPr>
          <w:sz w:val="24"/>
          <w:szCs w:val="24"/>
        </w:rPr>
        <w:t>letrozol</w:t>
      </w:r>
      <w:proofErr w:type="spellEnd"/>
      <w:r w:rsidRPr="00BF3A7A">
        <w:rPr>
          <w:sz w:val="24"/>
          <w:szCs w:val="24"/>
        </w:rPr>
        <w:t xml:space="preserve"> i 2 år efterfulgt af </w:t>
      </w:r>
      <w:proofErr w:type="spellStart"/>
      <w:r w:rsidRPr="00BF3A7A">
        <w:rPr>
          <w:sz w:val="24"/>
          <w:szCs w:val="24"/>
        </w:rPr>
        <w:t>tamoxifen</w:t>
      </w:r>
      <w:proofErr w:type="spellEnd"/>
      <w:r w:rsidRPr="00BF3A7A">
        <w:rPr>
          <w:sz w:val="24"/>
          <w:szCs w:val="24"/>
        </w:rPr>
        <w:t xml:space="preserve"> i 3 år) afhængigt af patientens sikkerhedsprofil (se pkt. 4.2, 4.8 og 5.1). </w:t>
      </w:r>
    </w:p>
    <w:p w:rsidR="000A70A6" w:rsidRPr="00BF3A7A" w:rsidRDefault="000A70A6" w:rsidP="000A70A6">
      <w:pPr>
        <w:tabs>
          <w:tab w:val="left" w:pos="851"/>
        </w:tabs>
        <w:ind w:left="851" w:hanging="851"/>
        <w:rPr>
          <w:sz w:val="24"/>
          <w:szCs w:val="24"/>
        </w:rPr>
      </w:pPr>
    </w:p>
    <w:p w:rsidR="000A70A6" w:rsidRPr="00BF3A7A" w:rsidRDefault="000A70A6" w:rsidP="000A70A6">
      <w:pPr>
        <w:tabs>
          <w:tab w:val="left" w:pos="851"/>
        </w:tabs>
        <w:ind w:left="851"/>
        <w:rPr>
          <w:sz w:val="24"/>
          <w:szCs w:val="24"/>
          <w:u w:val="single"/>
        </w:rPr>
      </w:pPr>
      <w:proofErr w:type="spellStart"/>
      <w:r w:rsidRPr="00BF3A7A">
        <w:rPr>
          <w:sz w:val="24"/>
          <w:szCs w:val="24"/>
          <w:u w:val="single"/>
        </w:rPr>
        <w:t>Tend</w:t>
      </w:r>
      <w:r w:rsidRPr="006C2510">
        <w:rPr>
          <w:sz w:val="24"/>
          <w:szCs w:val="24"/>
          <w:u w:val="single"/>
        </w:rPr>
        <w:t>i</w:t>
      </w:r>
      <w:r w:rsidRPr="00BF3A7A">
        <w:rPr>
          <w:sz w:val="24"/>
          <w:szCs w:val="24"/>
          <w:u w:val="single"/>
        </w:rPr>
        <w:t>nitis</w:t>
      </w:r>
      <w:proofErr w:type="spellEnd"/>
      <w:r w:rsidRPr="00BF3A7A">
        <w:rPr>
          <w:sz w:val="24"/>
          <w:szCs w:val="24"/>
          <w:u w:val="single"/>
        </w:rPr>
        <w:t xml:space="preserve"> og </w:t>
      </w:r>
      <w:proofErr w:type="spellStart"/>
      <w:r w:rsidRPr="00BF3A7A">
        <w:rPr>
          <w:sz w:val="24"/>
          <w:szCs w:val="24"/>
          <w:u w:val="single"/>
        </w:rPr>
        <w:t>seneruptur</w:t>
      </w:r>
      <w:proofErr w:type="spellEnd"/>
    </w:p>
    <w:p w:rsidR="000A70A6" w:rsidRDefault="000A70A6" w:rsidP="000A70A6">
      <w:pPr>
        <w:tabs>
          <w:tab w:val="left" w:pos="851"/>
        </w:tabs>
        <w:ind w:left="851"/>
        <w:rPr>
          <w:sz w:val="24"/>
          <w:szCs w:val="24"/>
        </w:rPr>
      </w:pPr>
      <w:proofErr w:type="spellStart"/>
      <w:r w:rsidRPr="00BF3A7A">
        <w:rPr>
          <w:sz w:val="24"/>
          <w:szCs w:val="24"/>
        </w:rPr>
        <w:t>Tend</w:t>
      </w:r>
      <w:r w:rsidRPr="006C2510">
        <w:rPr>
          <w:sz w:val="24"/>
          <w:szCs w:val="24"/>
        </w:rPr>
        <w:t>i</w:t>
      </w:r>
      <w:r w:rsidRPr="00BF3A7A">
        <w:rPr>
          <w:sz w:val="24"/>
          <w:szCs w:val="24"/>
        </w:rPr>
        <w:t>nitis</w:t>
      </w:r>
      <w:proofErr w:type="spellEnd"/>
      <w:r w:rsidRPr="00BF3A7A">
        <w:rPr>
          <w:sz w:val="24"/>
          <w:szCs w:val="24"/>
        </w:rPr>
        <w:t xml:space="preserve"> og </w:t>
      </w:r>
      <w:proofErr w:type="spellStart"/>
      <w:r w:rsidRPr="00BF3A7A">
        <w:rPr>
          <w:sz w:val="24"/>
          <w:szCs w:val="24"/>
        </w:rPr>
        <w:t>seneruptur</w:t>
      </w:r>
      <w:proofErr w:type="spellEnd"/>
      <w:r w:rsidRPr="00BF3A7A">
        <w:rPr>
          <w:sz w:val="24"/>
          <w:szCs w:val="24"/>
        </w:rPr>
        <w:t xml:space="preserve"> </w:t>
      </w:r>
      <w:r w:rsidRPr="004D0D5F">
        <w:rPr>
          <w:sz w:val="24"/>
          <w:szCs w:val="24"/>
        </w:rPr>
        <w:t xml:space="preserve">kan </w:t>
      </w:r>
      <w:r w:rsidRPr="00BF3A7A">
        <w:rPr>
          <w:sz w:val="24"/>
          <w:szCs w:val="24"/>
        </w:rPr>
        <w:t>(</w:t>
      </w:r>
      <w:r>
        <w:rPr>
          <w:sz w:val="24"/>
          <w:szCs w:val="24"/>
        </w:rPr>
        <w:t xml:space="preserve">i </w:t>
      </w:r>
      <w:r w:rsidRPr="00BF3A7A">
        <w:rPr>
          <w:sz w:val="24"/>
          <w:szCs w:val="24"/>
        </w:rPr>
        <w:t>sjældn</w:t>
      </w:r>
      <w:r>
        <w:rPr>
          <w:sz w:val="24"/>
          <w:szCs w:val="24"/>
        </w:rPr>
        <w:t>e til</w:t>
      </w:r>
      <w:r w:rsidRPr="00BF3A7A">
        <w:rPr>
          <w:sz w:val="24"/>
          <w:szCs w:val="24"/>
        </w:rPr>
        <w:t>) forekomme</w:t>
      </w:r>
      <w:r w:rsidRPr="006C2510">
        <w:rPr>
          <w:sz w:val="24"/>
          <w:szCs w:val="24"/>
        </w:rPr>
        <w:t xml:space="preserve">. </w:t>
      </w:r>
      <w:r w:rsidRPr="00D57AAD">
        <w:rPr>
          <w:sz w:val="24"/>
          <w:szCs w:val="24"/>
        </w:rPr>
        <w:t>Tæt overvågning af patienterne og passende foranstaltninger for den berørte sene (f.eks. immobilisering) skal iværksættes (se pkt. 4.8).</w:t>
      </w:r>
    </w:p>
    <w:p w:rsidR="00EC5CED" w:rsidRPr="00BF3A7A" w:rsidRDefault="00EC5CED" w:rsidP="000A70A6">
      <w:pPr>
        <w:tabs>
          <w:tab w:val="left" w:pos="851"/>
        </w:tabs>
        <w:ind w:left="851"/>
        <w:rPr>
          <w:sz w:val="24"/>
          <w:szCs w:val="24"/>
        </w:rPr>
      </w:pPr>
    </w:p>
    <w:p w:rsidR="000A70A6" w:rsidRPr="00BF3A7A" w:rsidRDefault="000A70A6" w:rsidP="000A70A6">
      <w:pPr>
        <w:tabs>
          <w:tab w:val="left" w:pos="851"/>
        </w:tabs>
        <w:ind w:left="851" w:hanging="851"/>
        <w:rPr>
          <w:sz w:val="24"/>
          <w:szCs w:val="24"/>
        </w:rPr>
      </w:pPr>
      <w:r w:rsidRPr="00BF3A7A">
        <w:rPr>
          <w:sz w:val="24"/>
          <w:szCs w:val="24"/>
        </w:rPr>
        <w:tab/>
      </w:r>
      <w:r w:rsidRPr="00BF3A7A">
        <w:rPr>
          <w:sz w:val="24"/>
          <w:szCs w:val="24"/>
          <w:u w:val="single"/>
        </w:rPr>
        <w:t xml:space="preserve">Andre advarsler </w:t>
      </w:r>
    </w:p>
    <w:p w:rsidR="000A70A6" w:rsidRPr="00BF3A7A" w:rsidRDefault="000A70A6" w:rsidP="000A70A6">
      <w:pPr>
        <w:tabs>
          <w:tab w:val="left" w:pos="851"/>
        </w:tabs>
        <w:ind w:left="851" w:hanging="851"/>
        <w:rPr>
          <w:sz w:val="24"/>
          <w:szCs w:val="24"/>
        </w:rPr>
      </w:pPr>
      <w:r w:rsidRPr="00BF3A7A">
        <w:rPr>
          <w:sz w:val="24"/>
          <w:szCs w:val="24"/>
        </w:rPr>
        <w:tab/>
        <w:t xml:space="preserve">Samtidig administration af </w:t>
      </w:r>
      <w:proofErr w:type="spellStart"/>
      <w:r w:rsidRPr="00BF3A7A">
        <w:rPr>
          <w:sz w:val="24"/>
          <w:szCs w:val="24"/>
        </w:rPr>
        <w:t>tamoxifen</w:t>
      </w:r>
      <w:proofErr w:type="spellEnd"/>
      <w:r w:rsidRPr="00BF3A7A">
        <w:rPr>
          <w:sz w:val="24"/>
          <w:szCs w:val="24"/>
        </w:rPr>
        <w:t xml:space="preserve">, andre antiøstrogener eller østrogener skal undgås, da disse stoffer kan nedsætte den farmakologiske virkning af </w:t>
      </w:r>
      <w:proofErr w:type="spellStart"/>
      <w:r w:rsidRPr="00BF3A7A">
        <w:rPr>
          <w:sz w:val="24"/>
          <w:szCs w:val="24"/>
        </w:rPr>
        <w:t>letrozol</w:t>
      </w:r>
      <w:proofErr w:type="spellEnd"/>
      <w:r w:rsidRPr="00BF3A7A">
        <w:rPr>
          <w:sz w:val="24"/>
          <w:szCs w:val="24"/>
        </w:rPr>
        <w:t xml:space="preserve"> (se pkt. 4.5). </w:t>
      </w:r>
    </w:p>
    <w:p w:rsidR="000A70A6" w:rsidRPr="00BF3A7A" w:rsidRDefault="000A70A6" w:rsidP="000A70A6">
      <w:pPr>
        <w:tabs>
          <w:tab w:val="left" w:pos="851"/>
        </w:tabs>
        <w:ind w:left="851" w:hanging="851"/>
        <w:rPr>
          <w:sz w:val="24"/>
          <w:szCs w:val="24"/>
        </w:rPr>
      </w:pPr>
    </w:p>
    <w:p w:rsidR="000A70A6" w:rsidRDefault="000A70A6" w:rsidP="000A70A6">
      <w:pPr>
        <w:tabs>
          <w:tab w:val="left" w:pos="851"/>
        </w:tabs>
        <w:ind w:left="851" w:hanging="851"/>
        <w:rPr>
          <w:sz w:val="24"/>
          <w:szCs w:val="24"/>
        </w:rPr>
      </w:pPr>
      <w:r w:rsidRPr="00BF3A7A">
        <w:rPr>
          <w:sz w:val="24"/>
          <w:szCs w:val="24"/>
        </w:rPr>
        <w:tab/>
        <w:t xml:space="preserve">Tabletterne indeholder </w:t>
      </w:r>
      <w:proofErr w:type="spellStart"/>
      <w:r w:rsidRPr="00BF3A7A">
        <w:rPr>
          <w:sz w:val="24"/>
          <w:szCs w:val="24"/>
        </w:rPr>
        <w:t>lactose</w:t>
      </w:r>
      <w:proofErr w:type="spellEnd"/>
      <w:r w:rsidRPr="00BF3A7A">
        <w:rPr>
          <w:sz w:val="24"/>
          <w:szCs w:val="24"/>
        </w:rPr>
        <w:t xml:space="preserve">, og </w:t>
      </w:r>
      <w:proofErr w:type="spellStart"/>
      <w:r w:rsidRPr="00BF3A7A">
        <w:rPr>
          <w:sz w:val="24"/>
          <w:szCs w:val="24"/>
        </w:rPr>
        <w:t>Letrozol</w:t>
      </w:r>
      <w:proofErr w:type="spellEnd"/>
      <w:r w:rsidRPr="00BF3A7A">
        <w:rPr>
          <w:sz w:val="24"/>
          <w:szCs w:val="24"/>
        </w:rPr>
        <w:t xml:space="preserve"> ”Medical Valley</w:t>
      </w:r>
      <w:r w:rsidR="00EC5CED">
        <w:rPr>
          <w:sz w:val="24"/>
          <w:szCs w:val="24"/>
        </w:rPr>
        <w:t>”</w:t>
      </w:r>
      <w:r w:rsidRPr="00BF3A7A">
        <w:rPr>
          <w:sz w:val="24"/>
          <w:szCs w:val="24"/>
        </w:rPr>
        <w:t xml:space="preserve"> bør ikke anvendes til patienter med arvelig </w:t>
      </w:r>
      <w:proofErr w:type="spellStart"/>
      <w:r w:rsidRPr="00BF3A7A">
        <w:rPr>
          <w:sz w:val="24"/>
          <w:szCs w:val="24"/>
        </w:rPr>
        <w:t>galactoseintolerans</w:t>
      </w:r>
      <w:proofErr w:type="spellEnd"/>
      <w:r w:rsidRPr="00BF3A7A">
        <w:rPr>
          <w:sz w:val="24"/>
          <w:szCs w:val="24"/>
        </w:rPr>
        <w:t xml:space="preserve">, en særlig form for arvelig </w:t>
      </w:r>
      <w:proofErr w:type="spellStart"/>
      <w:r w:rsidRPr="00BF3A7A">
        <w:rPr>
          <w:sz w:val="24"/>
          <w:szCs w:val="24"/>
        </w:rPr>
        <w:t>lactasemangel</w:t>
      </w:r>
      <w:proofErr w:type="spellEnd"/>
      <w:r w:rsidRPr="00BF3A7A">
        <w:rPr>
          <w:sz w:val="24"/>
          <w:szCs w:val="24"/>
        </w:rPr>
        <w:t xml:space="preserve"> (Lapp </w:t>
      </w:r>
      <w:proofErr w:type="spellStart"/>
      <w:r w:rsidRPr="00BF3A7A">
        <w:rPr>
          <w:sz w:val="24"/>
          <w:szCs w:val="24"/>
        </w:rPr>
        <w:t>Lactase</w:t>
      </w:r>
      <w:proofErr w:type="spellEnd"/>
      <w:r w:rsidRPr="00BF3A7A">
        <w:rPr>
          <w:sz w:val="24"/>
          <w:szCs w:val="24"/>
        </w:rPr>
        <w:t xml:space="preserve"> </w:t>
      </w:r>
      <w:proofErr w:type="spellStart"/>
      <w:r w:rsidRPr="00BF3A7A">
        <w:rPr>
          <w:sz w:val="24"/>
          <w:szCs w:val="24"/>
        </w:rPr>
        <w:t>defiency</w:t>
      </w:r>
      <w:proofErr w:type="spellEnd"/>
      <w:r w:rsidRPr="00BF3A7A">
        <w:rPr>
          <w:sz w:val="24"/>
          <w:szCs w:val="24"/>
        </w:rPr>
        <w:t xml:space="preserve">) eller </w:t>
      </w:r>
      <w:proofErr w:type="spellStart"/>
      <w:r w:rsidRPr="00BF3A7A">
        <w:rPr>
          <w:sz w:val="24"/>
          <w:szCs w:val="24"/>
        </w:rPr>
        <w:t>glucose</w:t>
      </w:r>
      <w:proofErr w:type="spellEnd"/>
      <w:r w:rsidRPr="00BF3A7A">
        <w:rPr>
          <w:sz w:val="24"/>
          <w:szCs w:val="24"/>
        </w:rPr>
        <w:t>/</w:t>
      </w:r>
      <w:proofErr w:type="spellStart"/>
      <w:r w:rsidRPr="00BF3A7A">
        <w:rPr>
          <w:sz w:val="24"/>
          <w:szCs w:val="24"/>
        </w:rPr>
        <w:t>galactose-malabsorption</w:t>
      </w:r>
      <w:proofErr w:type="spellEnd"/>
      <w:r w:rsidRPr="00BF3A7A">
        <w:rPr>
          <w:sz w:val="24"/>
          <w:szCs w:val="24"/>
        </w:rPr>
        <w:t>.</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4.5</w:t>
      </w:r>
      <w:r w:rsidRPr="001B4655">
        <w:rPr>
          <w:b/>
          <w:sz w:val="24"/>
          <w:szCs w:val="24"/>
        </w:rPr>
        <w:tab/>
        <w:t>Interaktion med andre lægemidler og andre former for interaktion</w:t>
      </w:r>
    </w:p>
    <w:p w:rsidR="000A70A6" w:rsidRPr="001B4655" w:rsidRDefault="000A70A6" w:rsidP="000A70A6">
      <w:pPr>
        <w:tabs>
          <w:tab w:val="left" w:pos="851"/>
        </w:tabs>
        <w:ind w:left="851" w:hanging="851"/>
        <w:rPr>
          <w:sz w:val="24"/>
          <w:szCs w:val="24"/>
        </w:rPr>
      </w:pPr>
      <w:r w:rsidRPr="001B4655">
        <w:rPr>
          <w:sz w:val="24"/>
          <w:szCs w:val="24"/>
        </w:rPr>
        <w:tab/>
      </w:r>
      <w:proofErr w:type="spellStart"/>
      <w:r w:rsidRPr="001B4655">
        <w:rPr>
          <w:sz w:val="24"/>
          <w:szCs w:val="24"/>
        </w:rPr>
        <w:t>Letrozols</w:t>
      </w:r>
      <w:proofErr w:type="spellEnd"/>
      <w:r w:rsidRPr="001B4655">
        <w:rPr>
          <w:sz w:val="24"/>
          <w:szCs w:val="24"/>
        </w:rPr>
        <w:t xml:space="preserve"> metabolisme er delvist medieret via CYP2A6 og CYP3A4. </w:t>
      </w:r>
      <w:proofErr w:type="spellStart"/>
      <w:r w:rsidRPr="001B4655">
        <w:rPr>
          <w:sz w:val="24"/>
          <w:szCs w:val="24"/>
        </w:rPr>
        <w:t>Cimetidin</w:t>
      </w:r>
      <w:proofErr w:type="spellEnd"/>
      <w:r w:rsidRPr="001B4655">
        <w:rPr>
          <w:sz w:val="24"/>
          <w:szCs w:val="24"/>
        </w:rPr>
        <w:t xml:space="preserve">, en svag, uspecifik CYP-hæmmer, påvirkede ikke plasmakoncentrationen af </w:t>
      </w:r>
      <w:proofErr w:type="spellStart"/>
      <w:r w:rsidRPr="001B4655">
        <w:rPr>
          <w:sz w:val="24"/>
          <w:szCs w:val="24"/>
        </w:rPr>
        <w:t>letrozol</w:t>
      </w:r>
      <w:proofErr w:type="spellEnd"/>
      <w:r w:rsidRPr="001B4655">
        <w:rPr>
          <w:sz w:val="24"/>
          <w:szCs w:val="24"/>
        </w:rPr>
        <w:t>. Effekten af potente CYP-</w:t>
      </w:r>
      <w:proofErr w:type="spellStart"/>
      <w:r w:rsidRPr="001B4655">
        <w:rPr>
          <w:sz w:val="24"/>
          <w:szCs w:val="24"/>
        </w:rPr>
        <w:t>hæmmere</w:t>
      </w:r>
      <w:proofErr w:type="spellEnd"/>
      <w:r w:rsidRPr="001B4655">
        <w:rPr>
          <w:sz w:val="24"/>
          <w:szCs w:val="24"/>
        </w:rPr>
        <w:t xml:space="preserve"> er ukendt.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Der er ingen klinisk erfaring vedrørende anvendelse af </w:t>
      </w:r>
      <w:proofErr w:type="spellStart"/>
      <w:r w:rsidR="00D15676">
        <w:rPr>
          <w:sz w:val="24"/>
          <w:szCs w:val="24"/>
        </w:rPr>
        <w:t>l</w:t>
      </w:r>
      <w:r>
        <w:rPr>
          <w:sz w:val="24"/>
          <w:szCs w:val="24"/>
        </w:rPr>
        <w:t>etrozol</w:t>
      </w:r>
      <w:proofErr w:type="spellEnd"/>
      <w:r>
        <w:rPr>
          <w:sz w:val="24"/>
          <w:szCs w:val="24"/>
        </w:rPr>
        <w:t xml:space="preserve"> </w:t>
      </w:r>
      <w:r w:rsidRPr="001B4655">
        <w:rPr>
          <w:sz w:val="24"/>
          <w:szCs w:val="24"/>
        </w:rPr>
        <w:t xml:space="preserve">i kombination med østrogener eller andre </w:t>
      </w:r>
      <w:proofErr w:type="spellStart"/>
      <w:r w:rsidRPr="001B4655">
        <w:rPr>
          <w:sz w:val="24"/>
          <w:szCs w:val="24"/>
        </w:rPr>
        <w:t>anticancermidler</w:t>
      </w:r>
      <w:proofErr w:type="spellEnd"/>
      <w:r w:rsidRPr="001B4655">
        <w:rPr>
          <w:sz w:val="24"/>
          <w:szCs w:val="24"/>
        </w:rPr>
        <w:t xml:space="preserve"> end </w:t>
      </w:r>
      <w:proofErr w:type="spellStart"/>
      <w:r w:rsidRPr="001B4655">
        <w:rPr>
          <w:sz w:val="24"/>
          <w:szCs w:val="24"/>
        </w:rPr>
        <w:t>tamoxifen</w:t>
      </w:r>
      <w:proofErr w:type="spellEnd"/>
      <w:r w:rsidRPr="001B4655">
        <w:rPr>
          <w:sz w:val="24"/>
          <w:szCs w:val="24"/>
        </w:rPr>
        <w:t xml:space="preserve">. </w:t>
      </w:r>
      <w:proofErr w:type="spellStart"/>
      <w:r w:rsidRPr="001B4655">
        <w:rPr>
          <w:sz w:val="24"/>
          <w:szCs w:val="24"/>
        </w:rPr>
        <w:t>Tamoxifen</w:t>
      </w:r>
      <w:proofErr w:type="spellEnd"/>
      <w:r w:rsidRPr="001B4655">
        <w:rPr>
          <w:sz w:val="24"/>
          <w:szCs w:val="24"/>
        </w:rPr>
        <w:t xml:space="preserve">, andre antiøstrogener eller østrogener kan nedsætte den farmakologiske virkning af </w:t>
      </w:r>
      <w:proofErr w:type="spellStart"/>
      <w:r w:rsidRPr="001B4655">
        <w:rPr>
          <w:sz w:val="24"/>
          <w:szCs w:val="24"/>
        </w:rPr>
        <w:t>letrozol</w:t>
      </w:r>
      <w:proofErr w:type="spellEnd"/>
      <w:r w:rsidRPr="001B4655">
        <w:rPr>
          <w:sz w:val="24"/>
          <w:szCs w:val="24"/>
        </w:rPr>
        <w:t xml:space="preserve">. </w:t>
      </w:r>
      <w:r w:rsidRPr="001B4655">
        <w:rPr>
          <w:sz w:val="24"/>
          <w:szCs w:val="24"/>
        </w:rPr>
        <w:lastRenderedPageBreak/>
        <w:t xml:space="preserve">Desuden har samtidig behandling med </w:t>
      </w:r>
      <w:proofErr w:type="spellStart"/>
      <w:r w:rsidRPr="001B4655">
        <w:rPr>
          <w:sz w:val="24"/>
          <w:szCs w:val="24"/>
        </w:rPr>
        <w:t>tamoxifen</w:t>
      </w:r>
      <w:proofErr w:type="spellEnd"/>
      <w:r w:rsidRPr="001B4655">
        <w:rPr>
          <w:sz w:val="24"/>
          <w:szCs w:val="24"/>
        </w:rPr>
        <w:t xml:space="preserve"> og </w:t>
      </w:r>
      <w:proofErr w:type="spellStart"/>
      <w:r w:rsidRPr="001B4655">
        <w:rPr>
          <w:sz w:val="24"/>
          <w:szCs w:val="24"/>
        </w:rPr>
        <w:t>letrozol</w:t>
      </w:r>
      <w:proofErr w:type="spellEnd"/>
      <w:r w:rsidRPr="001B4655">
        <w:rPr>
          <w:sz w:val="24"/>
          <w:szCs w:val="24"/>
        </w:rPr>
        <w:t xml:space="preserve"> vist at nedsætte plasmakoncentrationen af </w:t>
      </w:r>
      <w:proofErr w:type="spellStart"/>
      <w:r w:rsidRPr="001B4655">
        <w:rPr>
          <w:sz w:val="24"/>
          <w:szCs w:val="24"/>
        </w:rPr>
        <w:t>letrozol</w:t>
      </w:r>
      <w:proofErr w:type="spellEnd"/>
      <w:r w:rsidRPr="001B4655">
        <w:rPr>
          <w:sz w:val="24"/>
          <w:szCs w:val="24"/>
        </w:rPr>
        <w:t xml:space="preserve"> betydeligt. Samtidig administration af </w:t>
      </w:r>
      <w:proofErr w:type="spellStart"/>
      <w:r w:rsidRPr="001B4655">
        <w:rPr>
          <w:sz w:val="24"/>
          <w:szCs w:val="24"/>
        </w:rPr>
        <w:t>letrozol</w:t>
      </w:r>
      <w:proofErr w:type="spellEnd"/>
      <w:r w:rsidRPr="001B4655">
        <w:rPr>
          <w:sz w:val="24"/>
          <w:szCs w:val="24"/>
        </w:rPr>
        <w:t xml:space="preserve"> og </w:t>
      </w:r>
      <w:proofErr w:type="spellStart"/>
      <w:r w:rsidRPr="001B4655">
        <w:rPr>
          <w:sz w:val="24"/>
          <w:szCs w:val="24"/>
        </w:rPr>
        <w:t>tamoxifen</w:t>
      </w:r>
      <w:proofErr w:type="spellEnd"/>
      <w:r w:rsidRPr="001B4655">
        <w:rPr>
          <w:sz w:val="24"/>
          <w:szCs w:val="24"/>
        </w:rPr>
        <w:t xml:space="preserve">, andre antiøstrogener eller østrogener bør undgås.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i/>
          <w:iCs/>
          <w:sz w:val="24"/>
          <w:szCs w:val="24"/>
        </w:rPr>
        <w:tab/>
      </w:r>
      <w:r w:rsidRPr="001B4655">
        <w:rPr>
          <w:i/>
          <w:iCs/>
          <w:sz w:val="24"/>
          <w:szCs w:val="24"/>
        </w:rPr>
        <w:t xml:space="preserve">In </w:t>
      </w:r>
      <w:proofErr w:type="spellStart"/>
      <w:r w:rsidRPr="001B4655">
        <w:rPr>
          <w:i/>
          <w:iCs/>
          <w:sz w:val="24"/>
          <w:szCs w:val="24"/>
        </w:rPr>
        <w:t>vitro</w:t>
      </w:r>
      <w:proofErr w:type="spellEnd"/>
      <w:r w:rsidRPr="001B4655">
        <w:rPr>
          <w:i/>
          <w:iCs/>
          <w:sz w:val="24"/>
          <w:szCs w:val="24"/>
        </w:rPr>
        <w:t xml:space="preserve"> </w:t>
      </w:r>
      <w:r w:rsidRPr="001B4655">
        <w:rPr>
          <w:sz w:val="24"/>
          <w:szCs w:val="24"/>
        </w:rPr>
        <w:t xml:space="preserve">hæmmer </w:t>
      </w:r>
      <w:proofErr w:type="spellStart"/>
      <w:r w:rsidRPr="001B4655">
        <w:rPr>
          <w:sz w:val="24"/>
          <w:szCs w:val="24"/>
        </w:rPr>
        <w:t>letrozol</w:t>
      </w:r>
      <w:proofErr w:type="spellEnd"/>
      <w:r w:rsidRPr="001B4655">
        <w:rPr>
          <w:sz w:val="24"/>
          <w:szCs w:val="24"/>
        </w:rPr>
        <w:t xml:space="preserve"> CYP-</w:t>
      </w:r>
      <w:proofErr w:type="spellStart"/>
      <w:r w:rsidRPr="001B4655">
        <w:rPr>
          <w:sz w:val="24"/>
          <w:szCs w:val="24"/>
        </w:rPr>
        <w:t>isoenzymet</w:t>
      </w:r>
      <w:proofErr w:type="spellEnd"/>
      <w:r w:rsidRPr="001B4655">
        <w:rPr>
          <w:sz w:val="24"/>
          <w:szCs w:val="24"/>
        </w:rPr>
        <w:t xml:space="preserve"> 2A6 og – i moderat grad – 2C19, men den kliniske relevans er ukendt. Forsigtighed bør således udvises ved samtidig indgift af </w:t>
      </w:r>
      <w:proofErr w:type="spellStart"/>
      <w:r w:rsidRPr="001B4655">
        <w:rPr>
          <w:sz w:val="24"/>
          <w:szCs w:val="24"/>
        </w:rPr>
        <w:t>letrozol</w:t>
      </w:r>
      <w:proofErr w:type="spellEnd"/>
      <w:r w:rsidRPr="001B4655">
        <w:rPr>
          <w:sz w:val="24"/>
          <w:szCs w:val="24"/>
        </w:rPr>
        <w:t xml:space="preserve"> og lægemidler, som hovedsageligt </w:t>
      </w:r>
      <w:proofErr w:type="spellStart"/>
      <w:r w:rsidRPr="001B4655">
        <w:rPr>
          <w:sz w:val="24"/>
          <w:szCs w:val="24"/>
        </w:rPr>
        <w:t>metaboliseres</w:t>
      </w:r>
      <w:proofErr w:type="spellEnd"/>
      <w:r w:rsidRPr="001B4655">
        <w:rPr>
          <w:sz w:val="24"/>
          <w:szCs w:val="24"/>
        </w:rPr>
        <w:t xml:space="preserve"> af disse </w:t>
      </w:r>
      <w:proofErr w:type="spellStart"/>
      <w:r w:rsidRPr="001B4655">
        <w:rPr>
          <w:sz w:val="24"/>
          <w:szCs w:val="24"/>
        </w:rPr>
        <w:t>isoenzymer</w:t>
      </w:r>
      <w:proofErr w:type="spellEnd"/>
      <w:r w:rsidRPr="001B4655">
        <w:rPr>
          <w:sz w:val="24"/>
          <w:szCs w:val="24"/>
        </w:rPr>
        <w:t>, og som har et smalt terapeutisk indeks (</w:t>
      </w:r>
      <w:r>
        <w:rPr>
          <w:sz w:val="24"/>
          <w:szCs w:val="24"/>
        </w:rPr>
        <w:t>f.eks.</w:t>
      </w:r>
      <w:r w:rsidRPr="001B4655">
        <w:rPr>
          <w:sz w:val="24"/>
          <w:szCs w:val="24"/>
        </w:rPr>
        <w:t xml:space="preserve"> </w:t>
      </w:r>
      <w:proofErr w:type="spellStart"/>
      <w:r w:rsidRPr="001B4655">
        <w:rPr>
          <w:sz w:val="24"/>
          <w:szCs w:val="24"/>
        </w:rPr>
        <w:t>phenytoin</w:t>
      </w:r>
      <w:proofErr w:type="spellEnd"/>
      <w:r w:rsidRPr="001B4655">
        <w:rPr>
          <w:sz w:val="24"/>
          <w:szCs w:val="24"/>
        </w:rPr>
        <w:t xml:space="preserve">, </w:t>
      </w:r>
      <w:proofErr w:type="spellStart"/>
      <w:r w:rsidRPr="001B4655">
        <w:rPr>
          <w:sz w:val="24"/>
          <w:szCs w:val="24"/>
        </w:rPr>
        <w:t>clopidrogel</w:t>
      </w:r>
      <w:proofErr w:type="spellEnd"/>
      <w:r w:rsidRPr="001B4655">
        <w:rPr>
          <w:sz w:val="24"/>
          <w:szCs w:val="24"/>
        </w:rPr>
        <w:t xml:space="preserve">). </w:t>
      </w:r>
    </w:p>
    <w:p w:rsidR="000A70A6" w:rsidRPr="001B4655" w:rsidRDefault="000A70A6" w:rsidP="000A70A6">
      <w:pPr>
        <w:tabs>
          <w:tab w:val="left" w:pos="851"/>
        </w:tabs>
        <w:ind w:left="851" w:hanging="851"/>
        <w:rPr>
          <w:sz w:val="24"/>
          <w:szCs w:val="24"/>
        </w:rPr>
      </w:pPr>
    </w:p>
    <w:p w:rsidR="000A70A6" w:rsidRPr="00011329" w:rsidRDefault="000A70A6" w:rsidP="000A70A6">
      <w:pPr>
        <w:tabs>
          <w:tab w:val="left" w:pos="851"/>
        </w:tabs>
        <w:ind w:left="851" w:hanging="851"/>
        <w:rPr>
          <w:b/>
          <w:sz w:val="24"/>
          <w:szCs w:val="24"/>
        </w:rPr>
      </w:pPr>
      <w:r w:rsidRPr="001B4655">
        <w:rPr>
          <w:b/>
          <w:sz w:val="24"/>
          <w:szCs w:val="24"/>
        </w:rPr>
        <w:t>4.6</w:t>
      </w:r>
      <w:r w:rsidRPr="001B4655">
        <w:rPr>
          <w:b/>
          <w:sz w:val="24"/>
          <w:szCs w:val="24"/>
        </w:rPr>
        <w:tab/>
        <w:t>Graviditet og amning</w:t>
      </w:r>
    </w:p>
    <w:p w:rsidR="000A70A6" w:rsidRPr="001B4655" w:rsidRDefault="000A70A6" w:rsidP="000A70A6">
      <w:pPr>
        <w:tabs>
          <w:tab w:val="left" w:pos="851"/>
        </w:tabs>
        <w:ind w:left="851" w:hanging="851"/>
        <w:rPr>
          <w:sz w:val="24"/>
          <w:szCs w:val="24"/>
        </w:rPr>
      </w:pPr>
      <w:r w:rsidRPr="001B4655">
        <w:rPr>
          <w:sz w:val="24"/>
          <w:szCs w:val="24"/>
        </w:rPr>
        <w:tab/>
      </w:r>
      <w:r w:rsidRPr="001B4655">
        <w:rPr>
          <w:sz w:val="24"/>
          <w:szCs w:val="24"/>
          <w:u w:val="single"/>
        </w:rPr>
        <w:t xml:space="preserve">Fertilitet </w:t>
      </w: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Farmakologisk virker </w:t>
      </w:r>
      <w:proofErr w:type="spellStart"/>
      <w:r w:rsidRPr="001B4655">
        <w:rPr>
          <w:sz w:val="24"/>
          <w:szCs w:val="24"/>
        </w:rPr>
        <w:t>letrozol</w:t>
      </w:r>
      <w:proofErr w:type="spellEnd"/>
      <w:r w:rsidRPr="001B4655">
        <w:rPr>
          <w:sz w:val="24"/>
          <w:szCs w:val="24"/>
        </w:rPr>
        <w:t xml:space="preserve"> ved at reducere østrogenproduktionen ved </w:t>
      </w:r>
      <w:proofErr w:type="spellStart"/>
      <w:r w:rsidRPr="001B4655">
        <w:rPr>
          <w:sz w:val="24"/>
          <w:szCs w:val="24"/>
        </w:rPr>
        <w:t>aromatasehæmning</w:t>
      </w:r>
      <w:proofErr w:type="spellEnd"/>
      <w:r w:rsidRPr="001B4655">
        <w:rPr>
          <w:sz w:val="24"/>
          <w:szCs w:val="24"/>
        </w:rPr>
        <w:t xml:space="preserve">. Hos </w:t>
      </w:r>
      <w:proofErr w:type="spellStart"/>
      <w:r w:rsidRPr="001B4655">
        <w:rPr>
          <w:sz w:val="24"/>
          <w:szCs w:val="24"/>
        </w:rPr>
        <w:t>præmenopausale</w:t>
      </w:r>
      <w:proofErr w:type="spellEnd"/>
      <w:r w:rsidRPr="001B4655">
        <w:rPr>
          <w:sz w:val="24"/>
          <w:szCs w:val="24"/>
        </w:rPr>
        <w:t xml:space="preserve"> kvinder fører hæmning af østrogensyntesen til feedback-mekanisme og stigning i </w:t>
      </w:r>
      <w:proofErr w:type="spellStart"/>
      <w:r w:rsidRPr="001B4655">
        <w:rPr>
          <w:sz w:val="24"/>
          <w:szCs w:val="24"/>
        </w:rPr>
        <w:t>gonadotropin</w:t>
      </w:r>
      <w:proofErr w:type="spellEnd"/>
      <w:r w:rsidRPr="001B4655">
        <w:rPr>
          <w:sz w:val="24"/>
          <w:szCs w:val="24"/>
        </w:rPr>
        <w:t xml:space="preserve"> (LH, </w:t>
      </w:r>
      <w:proofErr w:type="gramStart"/>
      <w:r w:rsidRPr="001B4655">
        <w:rPr>
          <w:sz w:val="24"/>
          <w:szCs w:val="24"/>
        </w:rPr>
        <w:t>FSH)-</w:t>
      </w:r>
      <w:proofErr w:type="gramEnd"/>
      <w:r w:rsidRPr="001B4655">
        <w:rPr>
          <w:sz w:val="24"/>
          <w:szCs w:val="24"/>
        </w:rPr>
        <w:t xml:space="preserve">niveauer. Stigning i FSH-niveau stimulerer follikelvækst og kan inducere ægløsning. </w:t>
      </w:r>
    </w:p>
    <w:p w:rsidR="000A70A6"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sidRPr="001B4655">
        <w:rPr>
          <w:sz w:val="24"/>
          <w:szCs w:val="24"/>
        </w:rPr>
        <w:tab/>
      </w:r>
      <w:r w:rsidRPr="001B4655">
        <w:rPr>
          <w:sz w:val="24"/>
          <w:szCs w:val="24"/>
          <w:u w:val="single"/>
        </w:rPr>
        <w:t xml:space="preserve">Kvinder i </w:t>
      </w:r>
      <w:proofErr w:type="spellStart"/>
      <w:r w:rsidRPr="001B4655">
        <w:rPr>
          <w:sz w:val="24"/>
          <w:szCs w:val="24"/>
          <w:u w:val="single"/>
        </w:rPr>
        <w:t>perimenopausal</w:t>
      </w:r>
      <w:proofErr w:type="spellEnd"/>
      <w:r w:rsidRPr="001B4655">
        <w:rPr>
          <w:sz w:val="24"/>
          <w:szCs w:val="24"/>
          <w:u w:val="single"/>
        </w:rPr>
        <w:t xml:space="preserve"> status eller fertil alder </w:t>
      </w:r>
    </w:p>
    <w:p w:rsidR="000A70A6" w:rsidRPr="001B4655" w:rsidRDefault="000A70A6" w:rsidP="000A70A6">
      <w:pPr>
        <w:tabs>
          <w:tab w:val="left" w:pos="851"/>
        </w:tabs>
        <w:ind w:left="851" w:hanging="851"/>
        <w:rPr>
          <w:sz w:val="24"/>
          <w:szCs w:val="24"/>
        </w:rPr>
      </w:pPr>
      <w:r>
        <w:rPr>
          <w:sz w:val="24"/>
          <w:szCs w:val="24"/>
        </w:rPr>
        <w:tab/>
      </w:r>
      <w:proofErr w:type="spellStart"/>
      <w:r>
        <w:rPr>
          <w:sz w:val="24"/>
          <w:szCs w:val="24"/>
        </w:rPr>
        <w:t>Letrozol</w:t>
      </w:r>
      <w:proofErr w:type="spellEnd"/>
      <w:r>
        <w:rPr>
          <w:sz w:val="24"/>
          <w:szCs w:val="24"/>
        </w:rPr>
        <w:t xml:space="preserve"> ”Medical Valley</w:t>
      </w:r>
      <w:r w:rsidR="00D15676">
        <w:rPr>
          <w:sz w:val="24"/>
          <w:szCs w:val="24"/>
        </w:rPr>
        <w:t>”</w:t>
      </w:r>
      <w:r w:rsidR="00D15676">
        <w:rPr>
          <w:sz w:val="24"/>
          <w:szCs w:val="24"/>
        </w:rPr>
        <w:t xml:space="preserve"> </w:t>
      </w:r>
      <w:r w:rsidRPr="001B4655">
        <w:rPr>
          <w:sz w:val="24"/>
          <w:szCs w:val="24"/>
        </w:rPr>
        <w:t xml:space="preserve">bør kun anvendes af kvinder med klart fastslået </w:t>
      </w:r>
      <w:proofErr w:type="spellStart"/>
      <w:r w:rsidRPr="001B4655">
        <w:rPr>
          <w:sz w:val="24"/>
          <w:szCs w:val="24"/>
        </w:rPr>
        <w:t>postmenopausal</w:t>
      </w:r>
      <w:proofErr w:type="spellEnd"/>
      <w:r w:rsidRPr="001B4655">
        <w:rPr>
          <w:sz w:val="24"/>
          <w:szCs w:val="24"/>
        </w:rPr>
        <w:t xml:space="preserve"> status (se pkt. 4.4). Da der er rapporter om kvinder, der har generhvervet ovariefunktionen under behandling med </w:t>
      </w:r>
      <w:proofErr w:type="spellStart"/>
      <w:r w:rsidR="00D15676">
        <w:rPr>
          <w:sz w:val="24"/>
          <w:szCs w:val="24"/>
        </w:rPr>
        <w:t>l</w:t>
      </w:r>
      <w:r>
        <w:rPr>
          <w:sz w:val="24"/>
          <w:szCs w:val="24"/>
        </w:rPr>
        <w:t>etrozol</w:t>
      </w:r>
      <w:proofErr w:type="spellEnd"/>
      <w:r>
        <w:rPr>
          <w:sz w:val="24"/>
          <w:szCs w:val="24"/>
        </w:rPr>
        <w:t xml:space="preserve"> </w:t>
      </w:r>
      <w:r w:rsidRPr="001B4655">
        <w:rPr>
          <w:sz w:val="24"/>
          <w:szCs w:val="24"/>
        </w:rPr>
        <w:t xml:space="preserve">på trods af en klar </w:t>
      </w:r>
      <w:proofErr w:type="spellStart"/>
      <w:r w:rsidRPr="001B4655">
        <w:rPr>
          <w:sz w:val="24"/>
          <w:szCs w:val="24"/>
        </w:rPr>
        <w:t>postmenopausal</w:t>
      </w:r>
      <w:proofErr w:type="spellEnd"/>
      <w:r w:rsidRPr="001B4655">
        <w:rPr>
          <w:sz w:val="24"/>
          <w:szCs w:val="24"/>
        </w:rPr>
        <w:t xml:space="preserve"> status ved behandlingsstart, skal lægen omtale passende </w:t>
      </w:r>
      <w:proofErr w:type="spellStart"/>
      <w:r w:rsidRPr="001B4655">
        <w:rPr>
          <w:sz w:val="24"/>
          <w:szCs w:val="24"/>
        </w:rPr>
        <w:t>kontraception</w:t>
      </w:r>
      <w:proofErr w:type="spellEnd"/>
      <w:r w:rsidRPr="001B4655">
        <w:rPr>
          <w:sz w:val="24"/>
          <w:szCs w:val="24"/>
        </w:rPr>
        <w:t xml:space="preserve">, hvis det er nødvendigt.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sidRPr="001B4655">
        <w:rPr>
          <w:sz w:val="24"/>
          <w:szCs w:val="24"/>
        </w:rPr>
        <w:tab/>
      </w:r>
      <w:r w:rsidRPr="001B4655">
        <w:rPr>
          <w:sz w:val="24"/>
          <w:szCs w:val="24"/>
          <w:u w:val="single"/>
        </w:rPr>
        <w:t xml:space="preserve">Graviditet </w:t>
      </w: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Baseret på humane data, hvor der har været isolerede tilfælde af misdannelser (labial fusion, tvetydige genitalier), er det vist, at </w:t>
      </w:r>
      <w:proofErr w:type="spellStart"/>
      <w:r w:rsidR="00D15676">
        <w:rPr>
          <w:sz w:val="24"/>
          <w:szCs w:val="24"/>
        </w:rPr>
        <w:t>l</w:t>
      </w:r>
      <w:r>
        <w:rPr>
          <w:sz w:val="24"/>
          <w:szCs w:val="24"/>
        </w:rPr>
        <w:t>etrozol</w:t>
      </w:r>
      <w:proofErr w:type="spellEnd"/>
      <w:r w:rsidRPr="001B4655">
        <w:rPr>
          <w:sz w:val="24"/>
          <w:szCs w:val="24"/>
        </w:rPr>
        <w:t xml:space="preserve"> kan forårsage medfødte misdannelser</w:t>
      </w:r>
      <w:r w:rsidRPr="001B4655">
        <w:rPr>
          <w:i/>
          <w:iCs/>
          <w:sz w:val="24"/>
          <w:szCs w:val="24"/>
        </w:rPr>
        <w:t xml:space="preserve">, </w:t>
      </w:r>
      <w:r w:rsidRPr="001B4655">
        <w:rPr>
          <w:sz w:val="24"/>
          <w:szCs w:val="24"/>
        </w:rPr>
        <w:t xml:space="preserve">når det anvendes under graviditeten. Dyrestudier har påvist reproduktionstoksicitet (se pkt. 5.3).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proofErr w:type="spellStart"/>
      <w:r>
        <w:rPr>
          <w:sz w:val="24"/>
          <w:szCs w:val="24"/>
        </w:rPr>
        <w:t>Letrozol</w:t>
      </w:r>
      <w:proofErr w:type="spellEnd"/>
      <w:r>
        <w:rPr>
          <w:sz w:val="24"/>
          <w:szCs w:val="24"/>
        </w:rPr>
        <w:t xml:space="preserve"> ”Medical Valley</w:t>
      </w:r>
      <w:r w:rsidR="00D15676">
        <w:rPr>
          <w:sz w:val="24"/>
          <w:szCs w:val="24"/>
        </w:rPr>
        <w:t>”</w:t>
      </w:r>
      <w:r w:rsidRPr="001B4655">
        <w:rPr>
          <w:sz w:val="24"/>
          <w:szCs w:val="24"/>
        </w:rPr>
        <w:t xml:space="preserve"> er kontraindiceret under graviditeten (se pkt. 4.3 og 5.3).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sidRPr="001B4655">
        <w:rPr>
          <w:sz w:val="24"/>
          <w:szCs w:val="24"/>
        </w:rPr>
        <w:tab/>
      </w:r>
      <w:r w:rsidRPr="001B4655">
        <w:rPr>
          <w:sz w:val="24"/>
          <w:szCs w:val="24"/>
          <w:u w:val="single"/>
        </w:rPr>
        <w:t xml:space="preserve">Amning </w:t>
      </w: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Det er ukendt, om </w:t>
      </w:r>
      <w:proofErr w:type="spellStart"/>
      <w:r w:rsidRPr="001B4655">
        <w:rPr>
          <w:sz w:val="24"/>
          <w:szCs w:val="24"/>
        </w:rPr>
        <w:t>letrozol</w:t>
      </w:r>
      <w:proofErr w:type="spellEnd"/>
      <w:r w:rsidRPr="001B4655">
        <w:rPr>
          <w:sz w:val="24"/>
          <w:szCs w:val="24"/>
        </w:rPr>
        <w:t xml:space="preserve">/metabolitter udskilles i human mælk. En risiko for nyfødte/spædbørn kan ikke udelukkes.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proofErr w:type="spellStart"/>
      <w:r>
        <w:rPr>
          <w:sz w:val="24"/>
          <w:szCs w:val="24"/>
        </w:rPr>
        <w:t>Letrozol</w:t>
      </w:r>
      <w:proofErr w:type="spellEnd"/>
      <w:r>
        <w:rPr>
          <w:sz w:val="24"/>
          <w:szCs w:val="24"/>
        </w:rPr>
        <w:t xml:space="preserve"> ”Medical Valley</w:t>
      </w:r>
      <w:r w:rsidR="00D15676">
        <w:rPr>
          <w:sz w:val="24"/>
          <w:szCs w:val="24"/>
        </w:rPr>
        <w:t>”</w:t>
      </w:r>
      <w:r w:rsidRPr="001B4655">
        <w:rPr>
          <w:sz w:val="24"/>
          <w:szCs w:val="24"/>
        </w:rPr>
        <w:t xml:space="preserve"> er kontraindiceret under amning (se pkt. 4.3).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4.7</w:t>
      </w:r>
      <w:r w:rsidRPr="001B4655">
        <w:rPr>
          <w:b/>
          <w:sz w:val="24"/>
          <w:szCs w:val="24"/>
        </w:rPr>
        <w:tab/>
        <w:t>Virkninger på evnen til at føre motorkøretøj eller betjene maskiner</w:t>
      </w:r>
    </w:p>
    <w:p w:rsidR="000A70A6" w:rsidRDefault="000A70A6" w:rsidP="000A70A6">
      <w:pPr>
        <w:tabs>
          <w:tab w:val="left" w:pos="851"/>
        </w:tabs>
        <w:ind w:left="851" w:hanging="851"/>
        <w:rPr>
          <w:sz w:val="24"/>
          <w:szCs w:val="24"/>
        </w:rPr>
      </w:pPr>
      <w:r w:rsidRPr="001B4655">
        <w:rPr>
          <w:sz w:val="24"/>
          <w:szCs w:val="24"/>
        </w:rPr>
        <w:tab/>
      </w:r>
      <w:r>
        <w:rPr>
          <w:sz w:val="24"/>
          <w:szCs w:val="24"/>
        </w:rPr>
        <w:t>Ikke mærkning.</w:t>
      </w:r>
    </w:p>
    <w:p w:rsidR="000A70A6" w:rsidRPr="001B4655" w:rsidRDefault="000A70A6" w:rsidP="000A70A6">
      <w:pPr>
        <w:tabs>
          <w:tab w:val="left" w:pos="851"/>
        </w:tabs>
        <w:ind w:left="851" w:hanging="851"/>
        <w:rPr>
          <w:sz w:val="24"/>
          <w:szCs w:val="24"/>
        </w:rPr>
      </w:pPr>
      <w:r>
        <w:rPr>
          <w:sz w:val="24"/>
          <w:szCs w:val="24"/>
        </w:rPr>
        <w:tab/>
      </w:r>
      <w:proofErr w:type="spellStart"/>
      <w:r>
        <w:rPr>
          <w:sz w:val="24"/>
          <w:szCs w:val="24"/>
        </w:rPr>
        <w:t>Letrozol</w:t>
      </w:r>
      <w:proofErr w:type="spellEnd"/>
      <w:r>
        <w:rPr>
          <w:sz w:val="24"/>
          <w:szCs w:val="24"/>
        </w:rPr>
        <w:t xml:space="preserve"> </w:t>
      </w:r>
      <w:r w:rsidRPr="001B4655">
        <w:rPr>
          <w:sz w:val="24"/>
          <w:szCs w:val="24"/>
        </w:rPr>
        <w:t xml:space="preserve">påvirker i mindre grad evnen til at føre motorkøretøj eller betjene maskiner. Da træthed og svimmelhed kan forekomme hos patienter i behandling med </w:t>
      </w:r>
      <w:proofErr w:type="spellStart"/>
      <w:r w:rsidR="00662E97">
        <w:rPr>
          <w:sz w:val="24"/>
          <w:szCs w:val="24"/>
        </w:rPr>
        <w:t>l</w:t>
      </w:r>
      <w:r>
        <w:rPr>
          <w:sz w:val="24"/>
          <w:szCs w:val="24"/>
        </w:rPr>
        <w:t>etrozol</w:t>
      </w:r>
      <w:proofErr w:type="spellEnd"/>
      <w:r w:rsidR="00662E97">
        <w:rPr>
          <w:sz w:val="24"/>
          <w:szCs w:val="24"/>
        </w:rPr>
        <w:t xml:space="preserve"> </w:t>
      </w:r>
      <w:r w:rsidRPr="001B4655">
        <w:rPr>
          <w:sz w:val="24"/>
          <w:szCs w:val="24"/>
        </w:rPr>
        <w:t xml:space="preserve">og døsighed er rapporteret som en ikke almindelig bivirkning, bør der udvises forsigtighed ved bilkørsel og betjening af maskiner. </w:t>
      </w:r>
    </w:p>
    <w:p w:rsidR="000A70A6" w:rsidRPr="001B4655" w:rsidRDefault="000A70A6" w:rsidP="000A70A6">
      <w:pPr>
        <w:tabs>
          <w:tab w:val="left" w:pos="851"/>
        </w:tabs>
        <w:ind w:left="851" w:hanging="851"/>
        <w:rPr>
          <w:sz w:val="24"/>
          <w:szCs w:val="24"/>
        </w:rPr>
      </w:pPr>
    </w:p>
    <w:p w:rsidR="000A70A6" w:rsidRPr="00011329" w:rsidRDefault="000A70A6" w:rsidP="000A70A6">
      <w:pPr>
        <w:tabs>
          <w:tab w:val="left" w:pos="851"/>
        </w:tabs>
        <w:ind w:left="851" w:hanging="851"/>
        <w:rPr>
          <w:b/>
          <w:sz w:val="24"/>
          <w:szCs w:val="24"/>
        </w:rPr>
      </w:pPr>
      <w:r w:rsidRPr="001B4655">
        <w:rPr>
          <w:b/>
          <w:sz w:val="24"/>
          <w:szCs w:val="24"/>
        </w:rPr>
        <w:t>4.8</w:t>
      </w:r>
      <w:r w:rsidRPr="001B4655">
        <w:rPr>
          <w:b/>
          <w:sz w:val="24"/>
          <w:szCs w:val="24"/>
        </w:rPr>
        <w:tab/>
        <w:t>Bivirkninger</w:t>
      </w:r>
    </w:p>
    <w:p w:rsidR="000A70A6" w:rsidRPr="001B4655" w:rsidRDefault="000A70A6" w:rsidP="000A70A6">
      <w:pPr>
        <w:tabs>
          <w:tab w:val="left" w:pos="851"/>
        </w:tabs>
        <w:ind w:left="851" w:hanging="851"/>
        <w:rPr>
          <w:sz w:val="24"/>
          <w:szCs w:val="24"/>
        </w:rPr>
      </w:pPr>
      <w:r w:rsidRPr="001B4655">
        <w:rPr>
          <w:sz w:val="24"/>
          <w:szCs w:val="24"/>
        </w:rPr>
        <w:tab/>
      </w:r>
      <w:r w:rsidRPr="001B4655">
        <w:rPr>
          <w:sz w:val="24"/>
          <w:szCs w:val="24"/>
          <w:u w:val="single"/>
        </w:rPr>
        <w:t xml:space="preserve">Resumé af sikkerhedsprofilen </w:t>
      </w: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Bivirkningsfrekvenserne for </w:t>
      </w:r>
      <w:proofErr w:type="spellStart"/>
      <w:r>
        <w:rPr>
          <w:sz w:val="24"/>
          <w:szCs w:val="24"/>
        </w:rPr>
        <w:t>l</w:t>
      </w:r>
      <w:r w:rsidRPr="001B4655">
        <w:rPr>
          <w:sz w:val="24"/>
          <w:szCs w:val="24"/>
        </w:rPr>
        <w:t>etrozol</w:t>
      </w:r>
      <w:proofErr w:type="spellEnd"/>
      <w:r w:rsidRPr="001B4655">
        <w:rPr>
          <w:sz w:val="24"/>
          <w:szCs w:val="24"/>
        </w:rPr>
        <w:t xml:space="preserve"> er hovedsageligt baseret på data indsamlet fra kliniske studier.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Op til omkring en tredjedel af patienterne behandlet med </w:t>
      </w:r>
      <w:proofErr w:type="spellStart"/>
      <w:r>
        <w:rPr>
          <w:sz w:val="24"/>
          <w:szCs w:val="24"/>
        </w:rPr>
        <w:t>l</w:t>
      </w:r>
      <w:r w:rsidRPr="001B4655">
        <w:rPr>
          <w:sz w:val="24"/>
          <w:szCs w:val="24"/>
        </w:rPr>
        <w:t>etrozol</w:t>
      </w:r>
      <w:proofErr w:type="spellEnd"/>
      <w:r w:rsidRPr="001B4655">
        <w:rPr>
          <w:sz w:val="24"/>
          <w:szCs w:val="24"/>
        </w:rPr>
        <w:t xml:space="preserve"> ved metastasebehandling og omkring 80% af patienterne i </w:t>
      </w:r>
      <w:proofErr w:type="spellStart"/>
      <w:r w:rsidRPr="001B4655">
        <w:rPr>
          <w:sz w:val="24"/>
          <w:szCs w:val="24"/>
        </w:rPr>
        <w:t>adjuverende</w:t>
      </w:r>
      <w:proofErr w:type="spellEnd"/>
      <w:r w:rsidRPr="001B4655">
        <w:rPr>
          <w:sz w:val="24"/>
          <w:szCs w:val="24"/>
        </w:rPr>
        <w:t xml:space="preserve"> behandling eller forlænget </w:t>
      </w:r>
      <w:proofErr w:type="spellStart"/>
      <w:r w:rsidRPr="001B4655">
        <w:rPr>
          <w:sz w:val="24"/>
          <w:szCs w:val="24"/>
        </w:rPr>
        <w:t>adjuverende</w:t>
      </w:r>
      <w:proofErr w:type="spellEnd"/>
      <w:r w:rsidRPr="001B4655">
        <w:rPr>
          <w:sz w:val="24"/>
          <w:szCs w:val="24"/>
        </w:rPr>
        <w:t xml:space="preserve"> </w:t>
      </w:r>
      <w:r w:rsidRPr="001B4655">
        <w:rPr>
          <w:sz w:val="24"/>
          <w:szCs w:val="24"/>
        </w:rPr>
        <w:lastRenderedPageBreak/>
        <w:t xml:space="preserve">behandling oplevede bivirkninger. Hovedparten af bivirkningerne forekom i de første få behandlingsuger.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De hyppigst rapporterede bivirkninger i de kliniske studier var hedeture, </w:t>
      </w:r>
      <w:proofErr w:type="spellStart"/>
      <w:r w:rsidRPr="001B4655">
        <w:rPr>
          <w:sz w:val="24"/>
          <w:szCs w:val="24"/>
        </w:rPr>
        <w:t>hyperkolesterolæmi</w:t>
      </w:r>
      <w:proofErr w:type="spellEnd"/>
      <w:r w:rsidRPr="001B4655">
        <w:rPr>
          <w:sz w:val="24"/>
          <w:szCs w:val="24"/>
        </w:rPr>
        <w:t xml:space="preserve">, </w:t>
      </w:r>
      <w:proofErr w:type="spellStart"/>
      <w:r w:rsidRPr="001B4655">
        <w:rPr>
          <w:sz w:val="24"/>
          <w:szCs w:val="24"/>
        </w:rPr>
        <w:t>artralgi</w:t>
      </w:r>
      <w:proofErr w:type="spellEnd"/>
      <w:r w:rsidRPr="001B4655">
        <w:rPr>
          <w:sz w:val="24"/>
          <w:szCs w:val="24"/>
        </w:rPr>
        <w:t xml:space="preserve">, træthed, øget svedtendens og kvalme.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Yderligere væsentlige bivirkninger, som kan optræde ved behandling med </w:t>
      </w:r>
      <w:proofErr w:type="spellStart"/>
      <w:r w:rsidR="00662E97">
        <w:rPr>
          <w:sz w:val="24"/>
          <w:szCs w:val="24"/>
        </w:rPr>
        <w:t>l</w:t>
      </w:r>
      <w:r w:rsidRPr="001B4655">
        <w:rPr>
          <w:sz w:val="24"/>
          <w:szCs w:val="24"/>
        </w:rPr>
        <w:t>etrozol</w:t>
      </w:r>
      <w:proofErr w:type="spellEnd"/>
      <w:r w:rsidRPr="001B4655">
        <w:rPr>
          <w:sz w:val="24"/>
          <w:szCs w:val="24"/>
        </w:rPr>
        <w:t xml:space="preserve">, er knoglerelaterede hændelser såsom osteoporose og/eller knoglebrud og </w:t>
      </w:r>
      <w:proofErr w:type="spellStart"/>
      <w:r w:rsidRPr="001B4655">
        <w:rPr>
          <w:sz w:val="24"/>
          <w:szCs w:val="24"/>
        </w:rPr>
        <w:t>kardiovaskulære</w:t>
      </w:r>
      <w:proofErr w:type="spellEnd"/>
      <w:r w:rsidRPr="001B4655">
        <w:rPr>
          <w:sz w:val="24"/>
          <w:szCs w:val="24"/>
        </w:rPr>
        <w:t xml:space="preserve"> hændelser (inklusive </w:t>
      </w:r>
      <w:proofErr w:type="spellStart"/>
      <w:r w:rsidRPr="001B4655">
        <w:rPr>
          <w:sz w:val="24"/>
          <w:szCs w:val="24"/>
        </w:rPr>
        <w:t>cerebrovaskulære</w:t>
      </w:r>
      <w:proofErr w:type="spellEnd"/>
      <w:r w:rsidRPr="001B4655">
        <w:rPr>
          <w:sz w:val="24"/>
          <w:szCs w:val="24"/>
        </w:rPr>
        <w:t xml:space="preserve"> og </w:t>
      </w:r>
      <w:proofErr w:type="spellStart"/>
      <w:r w:rsidRPr="001B4655">
        <w:rPr>
          <w:sz w:val="24"/>
          <w:szCs w:val="24"/>
        </w:rPr>
        <w:t>tromboemboliske</w:t>
      </w:r>
      <w:proofErr w:type="spellEnd"/>
      <w:r w:rsidRPr="001B4655">
        <w:rPr>
          <w:sz w:val="24"/>
          <w:szCs w:val="24"/>
        </w:rPr>
        <w:t xml:space="preserve"> hændelser). Frekvensen for disse bivirkninger er beskrevet i Tabel 1.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rPr>
          <w:sz w:val="24"/>
          <w:szCs w:val="24"/>
        </w:rPr>
      </w:pPr>
      <w:r w:rsidRPr="001B4655">
        <w:rPr>
          <w:sz w:val="24"/>
          <w:szCs w:val="24"/>
          <w:u w:val="single"/>
        </w:rPr>
        <w:t xml:space="preserve">Tabel over bivirkninger </w:t>
      </w: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Bivirkningsfrekvenserne for </w:t>
      </w:r>
      <w:proofErr w:type="spellStart"/>
      <w:r w:rsidR="00662E97">
        <w:rPr>
          <w:sz w:val="24"/>
          <w:szCs w:val="24"/>
        </w:rPr>
        <w:t>l</w:t>
      </w:r>
      <w:r w:rsidRPr="001B4655">
        <w:rPr>
          <w:sz w:val="24"/>
          <w:szCs w:val="24"/>
        </w:rPr>
        <w:t>etrozol</w:t>
      </w:r>
      <w:proofErr w:type="spellEnd"/>
      <w:r w:rsidRPr="001B4655">
        <w:rPr>
          <w:sz w:val="24"/>
          <w:szCs w:val="24"/>
        </w:rPr>
        <w:t xml:space="preserve"> er hovedsagelig baseret på data indsamlet fra kliniske studier.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Bivirkningerne, vist i Tabel 1, er blevet rapporteret fra kliniske studier og post marketing erfaring med </w:t>
      </w:r>
      <w:proofErr w:type="spellStart"/>
      <w:r w:rsidR="00662E97">
        <w:rPr>
          <w:sz w:val="24"/>
          <w:szCs w:val="24"/>
        </w:rPr>
        <w:t>l</w:t>
      </w:r>
      <w:r w:rsidRPr="001B4655">
        <w:rPr>
          <w:sz w:val="24"/>
          <w:szCs w:val="24"/>
        </w:rPr>
        <w:t>etrozol</w:t>
      </w:r>
      <w:proofErr w:type="spellEnd"/>
      <w:r w:rsidRPr="001B4655">
        <w:rPr>
          <w:sz w:val="24"/>
          <w:szCs w:val="24"/>
        </w:rPr>
        <w:t xml:space="preserve">: </w:t>
      </w:r>
    </w:p>
    <w:p w:rsidR="000A70A6" w:rsidRPr="001B4655" w:rsidRDefault="000A70A6" w:rsidP="000A70A6">
      <w:pPr>
        <w:tabs>
          <w:tab w:val="left" w:pos="851"/>
        </w:tabs>
        <w:ind w:left="851" w:hanging="851"/>
        <w:rPr>
          <w:sz w:val="24"/>
          <w:szCs w:val="24"/>
        </w:rPr>
      </w:pPr>
    </w:p>
    <w:p w:rsidR="000A70A6" w:rsidRDefault="000A70A6" w:rsidP="000A70A6">
      <w:pPr>
        <w:autoSpaceDE w:val="0"/>
        <w:autoSpaceDN w:val="0"/>
        <w:adjustRightInd w:val="0"/>
        <w:ind w:firstLine="851"/>
        <w:rPr>
          <w:sz w:val="22"/>
        </w:rPr>
      </w:pPr>
      <w:r>
        <w:rPr>
          <w:b/>
          <w:bCs/>
        </w:rPr>
        <w:t xml:space="preserve">Tabel 1 </w:t>
      </w:r>
    </w:p>
    <w:p w:rsidR="000A70A6" w:rsidRDefault="000A70A6" w:rsidP="000A70A6">
      <w:pPr>
        <w:ind w:left="851"/>
      </w:pPr>
      <w:r>
        <w:t>Bivirkninger er opdelt under overskrifter efter organsystem og hyppighed med den hyppigste først efter følgende konvention: Meget almindelig ≥10%; almindelig ≥ 1% til &lt;10%; ikke almindelig ≥0,1% til &lt;1%; sjælden ≥0,01% til &lt;0,1%; meget sjælden &lt;0,01%; ikke kendt (kan ikke estimeres ud fra forhåndenværende data).</w:t>
      </w:r>
    </w:p>
    <w:p w:rsidR="000A70A6" w:rsidRDefault="000A70A6" w:rsidP="000A70A6"/>
    <w:tbl>
      <w:tblPr>
        <w:tblW w:w="892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4"/>
        <w:gridCol w:w="6941"/>
      </w:tblGrid>
      <w:tr w:rsidR="000A70A6" w:rsidRPr="006C2510" w:rsidTr="00F06180">
        <w:trPr>
          <w:trHeight w:val="270"/>
        </w:trPr>
        <w:tc>
          <w:tcPr>
            <w:tcW w:w="8925" w:type="dxa"/>
            <w:gridSpan w:val="2"/>
            <w:tcBorders>
              <w:top w:val="single" w:sz="4" w:space="0" w:color="auto"/>
              <w:left w:val="single" w:sz="4" w:space="0" w:color="auto"/>
              <w:bottom w:val="nil"/>
              <w:right w:val="single" w:sz="4" w:space="0" w:color="auto"/>
            </w:tcBorders>
            <w:hideMark/>
          </w:tcPr>
          <w:p w:rsidR="000A70A6" w:rsidRPr="006C2510" w:rsidRDefault="000A70A6" w:rsidP="00F06180">
            <w:pPr>
              <w:rPr>
                <w:b/>
              </w:rPr>
            </w:pPr>
            <w:r w:rsidRPr="006C2510">
              <w:rPr>
                <w:b/>
              </w:rPr>
              <w:t>Infektioner og parasitære sygdomme</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Ikke almindelig</w:t>
            </w:r>
          </w:p>
        </w:tc>
        <w:tc>
          <w:tcPr>
            <w:tcW w:w="6941" w:type="dxa"/>
            <w:tcBorders>
              <w:top w:val="nil"/>
              <w:left w:val="nil"/>
              <w:bottom w:val="nil"/>
              <w:right w:val="single" w:sz="4" w:space="0" w:color="auto"/>
            </w:tcBorders>
            <w:hideMark/>
          </w:tcPr>
          <w:p w:rsidR="000A70A6" w:rsidRPr="006C2510" w:rsidRDefault="000A70A6" w:rsidP="00F06180">
            <w:r w:rsidRPr="006C2510">
              <w:t>Urinvejsinfektion</w:t>
            </w:r>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rPr>
                <w:b/>
              </w:rPr>
              <w:t>Benigne, maligne og uspecificerede tumorer (inkl. cyster og polypper)</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rPr>
                <w:b/>
              </w:rPr>
            </w:pPr>
            <w:r w:rsidRPr="006C2510">
              <w:t>Ikke almindelig</w:t>
            </w:r>
          </w:p>
        </w:tc>
        <w:tc>
          <w:tcPr>
            <w:tcW w:w="6941" w:type="dxa"/>
            <w:tcBorders>
              <w:top w:val="nil"/>
              <w:left w:val="nil"/>
              <w:bottom w:val="nil"/>
              <w:right w:val="single" w:sz="4" w:space="0" w:color="auto"/>
            </w:tcBorders>
            <w:hideMark/>
          </w:tcPr>
          <w:p w:rsidR="000A70A6" w:rsidRPr="006C2510" w:rsidRDefault="000A70A6" w:rsidP="00F06180">
            <w:r w:rsidRPr="006C2510">
              <w:t>Tumorsmerter</w:t>
            </w:r>
            <w:r w:rsidRPr="006C2510">
              <w:rPr>
                <w:vertAlign w:val="superscript"/>
              </w:rPr>
              <w:t>1</w:t>
            </w:r>
            <w:r w:rsidRPr="006C2510">
              <w:t xml:space="preserve"> </w:t>
            </w:r>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rPr>
                <w:b/>
              </w:rPr>
              <w:t>Blod og lymfesystem</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rPr>
                <w:b/>
              </w:rPr>
            </w:pPr>
            <w:r w:rsidRPr="006C2510">
              <w:t>Ikke almindelig</w:t>
            </w:r>
          </w:p>
        </w:tc>
        <w:tc>
          <w:tcPr>
            <w:tcW w:w="6941" w:type="dxa"/>
            <w:tcBorders>
              <w:top w:val="nil"/>
              <w:left w:val="nil"/>
              <w:bottom w:val="nil"/>
              <w:right w:val="single" w:sz="4" w:space="0" w:color="auto"/>
            </w:tcBorders>
            <w:hideMark/>
          </w:tcPr>
          <w:p w:rsidR="000A70A6" w:rsidRPr="006C2510" w:rsidRDefault="000A70A6" w:rsidP="00F06180">
            <w:proofErr w:type="spellStart"/>
            <w:r w:rsidRPr="006C2510">
              <w:t>Leukopeni</w:t>
            </w:r>
            <w:proofErr w:type="spellEnd"/>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rPr>
                <w:b/>
              </w:rPr>
              <w:t>Immunsystemet</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rPr>
                <w:vertAlign w:val="superscript"/>
              </w:rPr>
            </w:pPr>
            <w:r w:rsidRPr="006C2510">
              <w:t>Ikke kendt</w:t>
            </w:r>
          </w:p>
        </w:tc>
        <w:tc>
          <w:tcPr>
            <w:tcW w:w="6941" w:type="dxa"/>
            <w:tcBorders>
              <w:top w:val="nil"/>
              <w:left w:val="nil"/>
              <w:bottom w:val="nil"/>
              <w:right w:val="single" w:sz="4" w:space="0" w:color="auto"/>
            </w:tcBorders>
            <w:hideMark/>
          </w:tcPr>
          <w:p w:rsidR="000A70A6" w:rsidRPr="006C2510" w:rsidRDefault="000A70A6" w:rsidP="00F06180">
            <w:proofErr w:type="spellStart"/>
            <w:r w:rsidRPr="006C2510">
              <w:t>Anafylaktisk</w:t>
            </w:r>
            <w:proofErr w:type="spellEnd"/>
            <w:r w:rsidRPr="006C2510">
              <w:t xml:space="preserve"> reaktion</w:t>
            </w:r>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rPr>
                <w:b/>
              </w:rPr>
              <w:t>Metabolisme og ernæring</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Meget almindelig</w:t>
            </w:r>
          </w:p>
        </w:tc>
        <w:tc>
          <w:tcPr>
            <w:tcW w:w="6941" w:type="dxa"/>
            <w:tcBorders>
              <w:top w:val="nil"/>
              <w:left w:val="nil"/>
              <w:bottom w:val="nil"/>
              <w:right w:val="single" w:sz="4" w:space="0" w:color="auto"/>
            </w:tcBorders>
            <w:hideMark/>
          </w:tcPr>
          <w:p w:rsidR="000A70A6" w:rsidRPr="006C2510" w:rsidRDefault="000A70A6" w:rsidP="00F06180">
            <w:proofErr w:type="spellStart"/>
            <w:r w:rsidRPr="006C2510">
              <w:t>Hyperkolesterolæmi</w:t>
            </w:r>
            <w:proofErr w:type="spellEnd"/>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Almindelig</w:t>
            </w:r>
          </w:p>
        </w:tc>
        <w:tc>
          <w:tcPr>
            <w:tcW w:w="6941" w:type="dxa"/>
            <w:tcBorders>
              <w:top w:val="nil"/>
              <w:left w:val="nil"/>
              <w:bottom w:val="nil"/>
              <w:right w:val="single" w:sz="4" w:space="0" w:color="auto"/>
            </w:tcBorders>
            <w:hideMark/>
          </w:tcPr>
          <w:p w:rsidR="000A70A6" w:rsidRPr="006C2510" w:rsidRDefault="001470B9" w:rsidP="00F06180">
            <w:r>
              <w:t>Nedsat appetit, øget appetit</w:t>
            </w:r>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rPr>
                <w:b/>
              </w:rPr>
              <w:t>Psykiske forstyrrelser</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Almindelig</w:t>
            </w:r>
          </w:p>
        </w:tc>
        <w:tc>
          <w:tcPr>
            <w:tcW w:w="6941" w:type="dxa"/>
            <w:tcBorders>
              <w:top w:val="nil"/>
              <w:left w:val="nil"/>
              <w:bottom w:val="nil"/>
              <w:right w:val="single" w:sz="4" w:space="0" w:color="auto"/>
            </w:tcBorders>
            <w:hideMark/>
          </w:tcPr>
          <w:p w:rsidR="000A70A6" w:rsidRPr="006C2510" w:rsidRDefault="000A70A6" w:rsidP="00F06180">
            <w:r w:rsidRPr="006C2510">
              <w:t>Depression</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rPr>
                <w:b/>
              </w:rPr>
            </w:pPr>
            <w:r w:rsidRPr="006C2510">
              <w:t>Ikke almindelig</w:t>
            </w:r>
          </w:p>
        </w:tc>
        <w:tc>
          <w:tcPr>
            <w:tcW w:w="6941" w:type="dxa"/>
            <w:tcBorders>
              <w:top w:val="nil"/>
              <w:left w:val="nil"/>
              <w:bottom w:val="nil"/>
              <w:right w:val="single" w:sz="4" w:space="0" w:color="auto"/>
            </w:tcBorders>
            <w:hideMark/>
          </w:tcPr>
          <w:p w:rsidR="000A70A6" w:rsidRPr="006C2510" w:rsidRDefault="000A70A6" w:rsidP="00F06180">
            <w:r w:rsidRPr="006C2510">
              <w:t>Angst (inklusiv</w:t>
            </w:r>
            <w:r>
              <w:t>e</w:t>
            </w:r>
            <w:r w:rsidRPr="006C2510">
              <w:t xml:space="preserve"> nervøsitet), irritabilitet</w:t>
            </w:r>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rPr>
                <w:b/>
              </w:rPr>
              <w:t>Nervesystemet</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Almindelig</w:t>
            </w:r>
          </w:p>
        </w:tc>
        <w:tc>
          <w:tcPr>
            <w:tcW w:w="6941" w:type="dxa"/>
            <w:tcBorders>
              <w:top w:val="nil"/>
              <w:left w:val="nil"/>
              <w:bottom w:val="nil"/>
              <w:right w:val="single" w:sz="4" w:space="0" w:color="auto"/>
            </w:tcBorders>
            <w:hideMark/>
          </w:tcPr>
          <w:p w:rsidR="000A70A6" w:rsidRPr="006C2510" w:rsidRDefault="000A70A6" w:rsidP="00F06180">
            <w:r w:rsidRPr="006C2510">
              <w:t>Hovedpine og svimmelhed</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rPr>
                <w:b/>
              </w:rPr>
            </w:pPr>
            <w:r w:rsidRPr="006C2510">
              <w:t>Ikke almindelig</w:t>
            </w:r>
          </w:p>
        </w:tc>
        <w:tc>
          <w:tcPr>
            <w:tcW w:w="6941" w:type="dxa"/>
            <w:tcBorders>
              <w:top w:val="nil"/>
              <w:left w:val="nil"/>
              <w:bottom w:val="nil"/>
              <w:right w:val="single" w:sz="4" w:space="0" w:color="auto"/>
            </w:tcBorders>
            <w:hideMark/>
          </w:tcPr>
          <w:p w:rsidR="000A70A6" w:rsidRPr="006C2510" w:rsidRDefault="000A70A6" w:rsidP="00F06180">
            <w:r w:rsidRPr="006C2510">
              <w:t xml:space="preserve">Døsighed, søvnløshed, hukommelsessvækkelse, </w:t>
            </w:r>
            <w:proofErr w:type="spellStart"/>
            <w:r w:rsidRPr="006C2510">
              <w:t>dysæstesi</w:t>
            </w:r>
            <w:proofErr w:type="spellEnd"/>
            <w:r w:rsidRPr="006C2510">
              <w:t xml:space="preserve"> (inklusive </w:t>
            </w:r>
            <w:proofErr w:type="spellStart"/>
            <w:r w:rsidRPr="006C2510">
              <w:t>paræstesi</w:t>
            </w:r>
            <w:proofErr w:type="spellEnd"/>
            <w:r w:rsidRPr="006C2510">
              <w:t xml:space="preserve">, </w:t>
            </w:r>
            <w:proofErr w:type="spellStart"/>
            <w:r w:rsidRPr="006C2510">
              <w:t>hypoæstesi</w:t>
            </w:r>
            <w:proofErr w:type="spellEnd"/>
            <w:r w:rsidRPr="006C2510">
              <w:t xml:space="preserve">), </w:t>
            </w:r>
            <w:proofErr w:type="spellStart"/>
            <w:r w:rsidR="001470B9">
              <w:t>dysgeusi</w:t>
            </w:r>
            <w:proofErr w:type="spellEnd"/>
            <w:r w:rsidRPr="006C2510">
              <w:t xml:space="preserve">, </w:t>
            </w:r>
            <w:proofErr w:type="spellStart"/>
            <w:r w:rsidRPr="006C2510">
              <w:t>cerebrovaskulær</w:t>
            </w:r>
            <w:proofErr w:type="spellEnd"/>
            <w:r w:rsidRPr="006C2510">
              <w:t xml:space="preserve"> hændelse, karpaltunnelsyndrom</w:t>
            </w:r>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rPr>
                <w:b/>
              </w:rPr>
              <w:t>Øjne</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rPr>
                <w:b/>
              </w:rPr>
            </w:pPr>
            <w:r w:rsidRPr="006C2510">
              <w:t>Ikke almindelig</w:t>
            </w:r>
          </w:p>
        </w:tc>
        <w:tc>
          <w:tcPr>
            <w:tcW w:w="6941" w:type="dxa"/>
            <w:tcBorders>
              <w:top w:val="nil"/>
              <w:left w:val="nil"/>
              <w:bottom w:val="nil"/>
              <w:right w:val="single" w:sz="4" w:space="0" w:color="auto"/>
            </w:tcBorders>
            <w:hideMark/>
          </w:tcPr>
          <w:p w:rsidR="000A70A6" w:rsidRPr="006C2510" w:rsidRDefault="000A70A6" w:rsidP="00F06180">
            <w:r w:rsidRPr="006C2510">
              <w:t>Grå stær, øjenirritation, sløret syn</w:t>
            </w:r>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br w:type="page"/>
            </w:r>
            <w:r w:rsidRPr="006C2510">
              <w:rPr>
                <w:b/>
              </w:rPr>
              <w:t>Hjerte</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Almindelig</w:t>
            </w:r>
          </w:p>
        </w:tc>
        <w:tc>
          <w:tcPr>
            <w:tcW w:w="6941" w:type="dxa"/>
            <w:tcBorders>
              <w:top w:val="nil"/>
              <w:left w:val="nil"/>
              <w:bottom w:val="nil"/>
              <w:right w:val="single" w:sz="4" w:space="0" w:color="auto"/>
            </w:tcBorders>
            <w:hideMark/>
          </w:tcPr>
          <w:p w:rsidR="000A70A6" w:rsidRPr="006C2510" w:rsidRDefault="000A70A6" w:rsidP="00F06180">
            <w:r w:rsidRPr="006C2510">
              <w:t>Palpitationer</w:t>
            </w:r>
            <w:r w:rsidRPr="006C2510">
              <w:rPr>
                <w:vertAlign w:val="superscript"/>
              </w:rPr>
              <w:t>1</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rPr>
                <w:b/>
              </w:rPr>
            </w:pPr>
            <w:r w:rsidRPr="006C2510">
              <w:t>Ikke almindelig</w:t>
            </w:r>
          </w:p>
        </w:tc>
        <w:tc>
          <w:tcPr>
            <w:tcW w:w="6941" w:type="dxa"/>
            <w:tcBorders>
              <w:top w:val="nil"/>
              <w:left w:val="nil"/>
              <w:bottom w:val="nil"/>
              <w:right w:val="single" w:sz="4" w:space="0" w:color="auto"/>
            </w:tcBorders>
            <w:hideMark/>
          </w:tcPr>
          <w:p w:rsidR="000A70A6" w:rsidRPr="006C2510" w:rsidRDefault="000A70A6" w:rsidP="00F06180">
            <w:pPr>
              <w:rPr>
                <w:i/>
              </w:rPr>
            </w:pPr>
            <w:proofErr w:type="spellStart"/>
            <w:r w:rsidRPr="006C2510">
              <w:t>Takykardi</w:t>
            </w:r>
            <w:proofErr w:type="spellEnd"/>
            <w:r w:rsidRPr="006C2510">
              <w:t>,</w:t>
            </w:r>
            <w:r w:rsidRPr="006C2510">
              <w:rPr>
                <w:i/>
              </w:rPr>
              <w:t xml:space="preserve"> </w:t>
            </w:r>
            <w:r w:rsidRPr="006C2510">
              <w:t>iskæmiske hjertetilfælde (inklusive ny eller forværret angina, operationskrævende angina, myo</w:t>
            </w:r>
            <w:r w:rsidR="001470B9">
              <w:t>k</w:t>
            </w:r>
            <w:r w:rsidRPr="006C2510">
              <w:t xml:space="preserve">ardieinfarkt og </w:t>
            </w:r>
            <w:proofErr w:type="spellStart"/>
            <w:r w:rsidRPr="006C2510">
              <w:t>myo</w:t>
            </w:r>
            <w:r w:rsidR="001470B9">
              <w:t>k</w:t>
            </w:r>
            <w:r w:rsidRPr="006C2510">
              <w:t>ardieiskæmi</w:t>
            </w:r>
            <w:proofErr w:type="spellEnd"/>
            <w:r w:rsidRPr="006C2510">
              <w:t>)</w:t>
            </w:r>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br w:type="page"/>
            </w:r>
            <w:r w:rsidRPr="006C2510">
              <w:rPr>
                <w:b/>
              </w:rPr>
              <w:t>Hjerte</w:t>
            </w:r>
          </w:p>
        </w:tc>
      </w:tr>
      <w:tr w:rsidR="000A70A6" w:rsidRPr="006C2510" w:rsidTr="00F06180">
        <w:trPr>
          <w:trHeight w:val="270"/>
        </w:trPr>
        <w:tc>
          <w:tcPr>
            <w:tcW w:w="1984" w:type="dxa"/>
            <w:tcBorders>
              <w:top w:val="nil"/>
              <w:left w:val="single" w:sz="4" w:space="0" w:color="auto"/>
              <w:bottom w:val="nil"/>
              <w:right w:val="nil"/>
            </w:tcBorders>
          </w:tcPr>
          <w:p w:rsidR="000A70A6" w:rsidRPr="006C2510" w:rsidRDefault="000A70A6" w:rsidP="00F06180">
            <w:r w:rsidRPr="006C2510">
              <w:t>Almindelig</w:t>
            </w:r>
          </w:p>
        </w:tc>
        <w:tc>
          <w:tcPr>
            <w:tcW w:w="6941" w:type="dxa"/>
            <w:tcBorders>
              <w:top w:val="nil"/>
              <w:left w:val="nil"/>
              <w:bottom w:val="nil"/>
              <w:right w:val="single" w:sz="4" w:space="0" w:color="auto"/>
            </w:tcBorders>
          </w:tcPr>
          <w:p w:rsidR="000A70A6" w:rsidRPr="006C2510" w:rsidRDefault="000A70A6" w:rsidP="00F06180">
            <w:r w:rsidRPr="006C2510">
              <w:t>Palpitationer</w:t>
            </w:r>
            <w:r w:rsidRPr="006C2510">
              <w:rPr>
                <w:vertAlign w:val="superscript"/>
              </w:rPr>
              <w:t>1</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rPr>
                <w:b/>
              </w:rPr>
            </w:pPr>
            <w:r w:rsidRPr="006C2510">
              <w:lastRenderedPageBreak/>
              <w:t>Ikke almindelig</w:t>
            </w:r>
          </w:p>
        </w:tc>
        <w:tc>
          <w:tcPr>
            <w:tcW w:w="6941" w:type="dxa"/>
            <w:tcBorders>
              <w:top w:val="nil"/>
              <w:left w:val="nil"/>
              <w:bottom w:val="nil"/>
              <w:right w:val="single" w:sz="4" w:space="0" w:color="auto"/>
            </w:tcBorders>
            <w:hideMark/>
          </w:tcPr>
          <w:p w:rsidR="000A70A6" w:rsidRPr="006C2510" w:rsidRDefault="000A70A6" w:rsidP="00F06180">
            <w:pPr>
              <w:rPr>
                <w:i/>
              </w:rPr>
            </w:pPr>
            <w:proofErr w:type="spellStart"/>
            <w:r w:rsidRPr="006C2510">
              <w:t>Takykardi</w:t>
            </w:r>
            <w:proofErr w:type="spellEnd"/>
            <w:r w:rsidRPr="006C2510">
              <w:t>,</w:t>
            </w:r>
            <w:r w:rsidRPr="006C2510">
              <w:rPr>
                <w:i/>
              </w:rPr>
              <w:t xml:space="preserve"> </w:t>
            </w:r>
            <w:r w:rsidRPr="006C2510">
              <w:t>iskæmiske hjertetilfælde (inklusive ny eller forværret angina, operationskrævende angina, myo</w:t>
            </w:r>
            <w:r w:rsidR="001470B9">
              <w:t>k</w:t>
            </w:r>
            <w:r w:rsidRPr="006C2510">
              <w:t xml:space="preserve">ardieinfarkt og </w:t>
            </w:r>
            <w:proofErr w:type="spellStart"/>
            <w:r w:rsidRPr="006C2510">
              <w:t>myo</w:t>
            </w:r>
            <w:r w:rsidR="001470B9">
              <w:t>k</w:t>
            </w:r>
            <w:r w:rsidRPr="006C2510">
              <w:t>ardieiskæmi</w:t>
            </w:r>
            <w:proofErr w:type="spellEnd"/>
            <w:r w:rsidRPr="006C2510">
              <w:t>)</w:t>
            </w:r>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keepNext/>
              <w:rPr>
                <w:b/>
              </w:rPr>
            </w:pPr>
            <w:proofErr w:type="spellStart"/>
            <w:r w:rsidRPr="006C2510">
              <w:rPr>
                <w:b/>
              </w:rPr>
              <w:t>Vaskulære</w:t>
            </w:r>
            <w:proofErr w:type="spellEnd"/>
            <w:r w:rsidRPr="006C2510">
              <w:rPr>
                <w:b/>
              </w:rPr>
              <w:t xml:space="preserve"> sygdomme</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keepNext/>
            </w:pPr>
            <w:r w:rsidRPr="006C2510">
              <w:t>Meget almindelig</w:t>
            </w:r>
          </w:p>
        </w:tc>
        <w:tc>
          <w:tcPr>
            <w:tcW w:w="6941" w:type="dxa"/>
            <w:tcBorders>
              <w:top w:val="nil"/>
              <w:left w:val="nil"/>
              <w:bottom w:val="nil"/>
              <w:right w:val="single" w:sz="4" w:space="0" w:color="auto"/>
            </w:tcBorders>
            <w:hideMark/>
          </w:tcPr>
          <w:p w:rsidR="000A70A6" w:rsidRPr="006C2510" w:rsidRDefault="000A70A6" w:rsidP="00F06180">
            <w:r w:rsidRPr="006C2510">
              <w:t>Hedeture</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keepNext/>
            </w:pPr>
            <w:r w:rsidRPr="006C2510">
              <w:t>Almindelig</w:t>
            </w:r>
          </w:p>
        </w:tc>
        <w:tc>
          <w:tcPr>
            <w:tcW w:w="6941" w:type="dxa"/>
            <w:tcBorders>
              <w:top w:val="nil"/>
              <w:left w:val="nil"/>
              <w:bottom w:val="nil"/>
              <w:right w:val="single" w:sz="4" w:space="0" w:color="auto"/>
            </w:tcBorders>
            <w:hideMark/>
          </w:tcPr>
          <w:p w:rsidR="000A70A6" w:rsidRPr="006C2510" w:rsidRDefault="000A70A6" w:rsidP="00F06180">
            <w:r w:rsidRPr="006C2510">
              <w:t>Hypertension</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keepNext/>
              <w:rPr>
                <w:b/>
              </w:rPr>
            </w:pPr>
            <w:r w:rsidRPr="006C2510">
              <w:t>Ikke almindelig</w:t>
            </w:r>
          </w:p>
        </w:tc>
        <w:tc>
          <w:tcPr>
            <w:tcW w:w="6941" w:type="dxa"/>
            <w:tcBorders>
              <w:top w:val="nil"/>
              <w:left w:val="nil"/>
              <w:bottom w:val="nil"/>
              <w:right w:val="single" w:sz="4" w:space="0" w:color="auto"/>
            </w:tcBorders>
            <w:hideMark/>
          </w:tcPr>
          <w:p w:rsidR="000A70A6" w:rsidRPr="006C2510" w:rsidRDefault="000A70A6" w:rsidP="00F06180">
            <w:proofErr w:type="spellStart"/>
            <w:r w:rsidRPr="006C2510">
              <w:t>Tromboflebitis</w:t>
            </w:r>
            <w:proofErr w:type="spellEnd"/>
            <w:r w:rsidRPr="006C2510">
              <w:t xml:space="preserve"> (inklusiv overfladisk og dyb venetrombose), </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Sjælden</w:t>
            </w:r>
          </w:p>
        </w:tc>
        <w:tc>
          <w:tcPr>
            <w:tcW w:w="6941" w:type="dxa"/>
            <w:tcBorders>
              <w:top w:val="nil"/>
              <w:left w:val="nil"/>
              <w:bottom w:val="nil"/>
              <w:right w:val="single" w:sz="4" w:space="0" w:color="auto"/>
            </w:tcBorders>
            <w:hideMark/>
          </w:tcPr>
          <w:p w:rsidR="000A70A6" w:rsidRPr="006C2510" w:rsidRDefault="000A70A6" w:rsidP="00F06180">
            <w:r w:rsidRPr="006C2510">
              <w:t xml:space="preserve">Lungeblodprop, arteriel blodprop og </w:t>
            </w:r>
            <w:r w:rsidR="001470B9">
              <w:t>cerebralt</w:t>
            </w:r>
            <w:r w:rsidRPr="006C2510">
              <w:t xml:space="preserve"> infarkt</w:t>
            </w:r>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rPr>
                <w:b/>
              </w:rPr>
              <w:t xml:space="preserve">Luftveje, thorax og </w:t>
            </w:r>
            <w:proofErr w:type="spellStart"/>
            <w:r w:rsidRPr="006C2510">
              <w:rPr>
                <w:b/>
              </w:rPr>
              <w:t>mediastinum</w:t>
            </w:r>
            <w:proofErr w:type="spellEnd"/>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rPr>
                <w:b/>
              </w:rPr>
            </w:pPr>
            <w:r w:rsidRPr="006C2510">
              <w:t>Ikke almindelig</w:t>
            </w:r>
          </w:p>
        </w:tc>
        <w:tc>
          <w:tcPr>
            <w:tcW w:w="6941" w:type="dxa"/>
            <w:tcBorders>
              <w:top w:val="nil"/>
              <w:left w:val="nil"/>
              <w:bottom w:val="nil"/>
              <w:right w:val="single" w:sz="4" w:space="0" w:color="auto"/>
            </w:tcBorders>
            <w:hideMark/>
          </w:tcPr>
          <w:p w:rsidR="000A70A6" w:rsidRPr="006C2510" w:rsidRDefault="000A70A6" w:rsidP="00F06180">
            <w:r w:rsidRPr="006C2510">
              <w:t>Dyspnø, hoste</w:t>
            </w:r>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rPr>
                <w:b/>
              </w:rPr>
              <w:t>Mave-tarm</w:t>
            </w:r>
            <w:r w:rsidR="001470B9">
              <w:rPr>
                <w:b/>
              </w:rPr>
              <w:t>-</w:t>
            </w:r>
            <w:r w:rsidRPr="006C2510">
              <w:rPr>
                <w:b/>
              </w:rPr>
              <w:t>kanalen</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Almindelig</w:t>
            </w:r>
          </w:p>
        </w:tc>
        <w:tc>
          <w:tcPr>
            <w:tcW w:w="6941" w:type="dxa"/>
            <w:tcBorders>
              <w:top w:val="nil"/>
              <w:left w:val="nil"/>
              <w:bottom w:val="nil"/>
              <w:right w:val="single" w:sz="4" w:space="0" w:color="auto"/>
            </w:tcBorders>
            <w:hideMark/>
          </w:tcPr>
          <w:p w:rsidR="000A70A6" w:rsidRPr="006C2510" w:rsidRDefault="000A70A6" w:rsidP="00F06180">
            <w:r w:rsidRPr="006C2510">
              <w:t>Kvalme, dyspepsi</w:t>
            </w:r>
            <w:r w:rsidRPr="006C2510">
              <w:rPr>
                <w:vertAlign w:val="superscript"/>
              </w:rPr>
              <w:t>1</w:t>
            </w:r>
            <w:r w:rsidRPr="006C2510">
              <w:t xml:space="preserve">, obstipation, </w:t>
            </w:r>
            <w:proofErr w:type="spellStart"/>
            <w:r w:rsidRPr="006C2510">
              <w:t>abdominalsmerter</w:t>
            </w:r>
            <w:proofErr w:type="spellEnd"/>
            <w:r w:rsidRPr="006C2510">
              <w:t>, diarré, opkastning</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rPr>
                <w:b/>
              </w:rPr>
            </w:pPr>
            <w:r w:rsidRPr="006C2510">
              <w:t>Ikke almindelig</w:t>
            </w:r>
          </w:p>
        </w:tc>
        <w:tc>
          <w:tcPr>
            <w:tcW w:w="6941" w:type="dxa"/>
            <w:tcBorders>
              <w:top w:val="nil"/>
              <w:left w:val="nil"/>
              <w:bottom w:val="nil"/>
              <w:right w:val="single" w:sz="4" w:space="0" w:color="auto"/>
            </w:tcBorders>
            <w:hideMark/>
          </w:tcPr>
          <w:p w:rsidR="000A70A6" w:rsidRPr="006C2510" w:rsidRDefault="000A70A6" w:rsidP="00F06180">
            <w:r w:rsidRPr="006C2510">
              <w:t>Mundtørhed, stomatitis</w:t>
            </w:r>
            <w:r w:rsidRPr="006C2510">
              <w:rPr>
                <w:vertAlign w:val="superscript"/>
              </w:rPr>
              <w:t>1</w:t>
            </w:r>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rPr>
                <w:b/>
              </w:rPr>
              <w:t>Lever og galdeveje</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Ikke almindelig</w:t>
            </w:r>
          </w:p>
          <w:p w:rsidR="000A70A6" w:rsidRPr="006C2510" w:rsidRDefault="000A70A6" w:rsidP="00F06180">
            <w:pPr>
              <w:rPr>
                <w:b/>
              </w:rPr>
            </w:pPr>
            <w:r w:rsidRPr="006C2510">
              <w:t>Ikke kendt</w:t>
            </w:r>
          </w:p>
        </w:tc>
        <w:tc>
          <w:tcPr>
            <w:tcW w:w="6941" w:type="dxa"/>
            <w:tcBorders>
              <w:top w:val="nil"/>
              <w:left w:val="nil"/>
              <w:bottom w:val="nil"/>
              <w:right w:val="single" w:sz="4" w:space="0" w:color="auto"/>
            </w:tcBorders>
            <w:hideMark/>
          </w:tcPr>
          <w:p w:rsidR="000A70A6" w:rsidRPr="006C2510" w:rsidRDefault="000A70A6" w:rsidP="00F06180">
            <w:r w:rsidRPr="006C2510">
              <w:t xml:space="preserve">Forøget leverenzymer, </w:t>
            </w:r>
            <w:proofErr w:type="spellStart"/>
            <w:r w:rsidRPr="006C2510">
              <w:t>hyperbilirubinæmi</w:t>
            </w:r>
            <w:proofErr w:type="spellEnd"/>
            <w:r w:rsidRPr="006C2510">
              <w:t xml:space="preserve">, gulsot </w:t>
            </w:r>
          </w:p>
          <w:p w:rsidR="000A70A6" w:rsidRPr="006C2510" w:rsidRDefault="000A70A6" w:rsidP="00F06180">
            <w:r w:rsidRPr="006C2510">
              <w:t>Hepatitis</w:t>
            </w:r>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rPr>
                <w:b/>
              </w:rPr>
              <w:t>Hud og subkutane væv</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Meget almindelig</w:t>
            </w:r>
          </w:p>
        </w:tc>
        <w:tc>
          <w:tcPr>
            <w:tcW w:w="6941" w:type="dxa"/>
            <w:tcBorders>
              <w:top w:val="nil"/>
              <w:left w:val="nil"/>
              <w:bottom w:val="nil"/>
              <w:right w:val="single" w:sz="4" w:space="0" w:color="auto"/>
            </w:tcBorders>
            <w:hideMark/>
          </w:tcPr>
          <w:p w:rsidR="000A70A6" w:rsidRPr="006C2510" w:rsidRDefault="001470B9" w:rsidP="00F06180">
            <w:proofErr w:type="spellStart"/>
            <w:r>
              <w:t>Hyperhidrose</w:t>
            </w:r>
            <w:proofErr w:type="spellEnd"/>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Almindelig</w:t>
            </w:r>
          </w:p>
        </w:tc>
        <w:tc>
          <w:tcPr>
            <w:tcW w:w="6941" w:type="dxa"/>
            <w:tcBorders>
              <w:top w:val="nil"/>
              <w:left w:val="nil"/>
              <w:bottom w:val="nil"/>
              <w:right w:val="single" w:sz="4" w:space="0" w:color="auto"/>
            </w:tcBorders>
            <w:hideMark/>
          </w:tcPr>
          <w:p w:rsidR="000A70A6" w:rsidRPr="006C2510" w:rsidRDefault="000A70A6" w:rsidP="00F06180">
            <w:proofErr w:type="spellStart"/>
            <w:r w:rsidRPr="006C2510">
              <w:t>Alopeci</w:t>
            </w:r>
            <w:proofErr w:type="spellEnd"/>
            <w:r w:rsidRPr="006C2510">
              <w:t xml:space="preserve">, udslæt (inklusiv </w:t>
            </w:r>
            <w:proofErr w:type="spellStart"/>
            <w:r w:rsidRPr="006C2510">
              <w:t>erytematøs</w:t>
            </w:r>
            <w:proofErr w:type="spellEnd"/>
            <w:r w:rsidRPr="006C2510">
              <w:t xml:space="preserve">, </w:t>
            </w:r>
            <w:proofErr w:type="spellStart"/>
            <w:r w:rsidRPr="006C2510">
              <w:t>makulopapuløst</w:t>
            </w:r>
            <w:proofErr w:type="spellEnd"/>
            <w:r w:rsidRPr="006C2510">
              <w:t xml:space="preserve"> og psoriasislignende udslæt samt udslæt med blærer), tør hud.</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rPr>
                <w:b/>
              </w:rPr>
            </w:pPr>
            <w:r w:rsidRPr="006C2510">
              <w:t>Ikke almindelig</w:t>
            </w:r>
          </w:p>
        </w:tc>
        <w:tc>
          <w:tcPr>
            <w:tcW w:w="6941" w:type="dxa"/>
            <w:tcBorders>
              <w:top w:val="nil"/>
              <w:left w:val="nil"/>
              <w:bottom w:val="nil"/>
              <w:right w:val="single" w:sz="4" w:space="0" w:color="auto"/>
            </w:tcBorders>
            <w:hideMark/>
          </w:tcPr>
          <w:p w:rsidR="000A70A6" w:rsidRPr="006C2510" w:rsidRDefault="000A70A6" w:rsidP="00F06180">
            <w:proofErr w:type="spellStart"/>
            <w:r w:rsidRPr="006C2510">
              <w:t>Pruritus</w:t>
            </w:r>
            <w:proofErr w:type="spellEnd"/>
            <w:r w:rsidRPr="006C2510">
              <w:t xml:space="preserve">, </w:t>
            </w:r>
            <w:proofErr w:type="spellStart"/>
            <w:r w:rsidRPr="006C2510">
              <w:t>urticaria</w:t>
            </w:r>
            <w:proofErr w:type="spellEnd"/>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Ikke kendt</w:t>
            </w:r>
          </w:p>
        </w:tc>
        <w:tc>
          <w:tcPr>
            <w:tcW w:w="6941" w:type="dxa"/>
            <w:tcBorders>
              <w:top w:val="nil"/>
              <w:left w:val="nil"/>
              <w:bottom w:val="nil"/>
              <w:right w:val="single" w:sz="4" w:space="0" w:color="auto"/>
            </w:tcBorders>
            <w:hideMark/>
          </w:tcPr>
          <w:p w:rsidR="000A70A6" w:rsidRPr="006C2510" w:rsidRDefault="000A70A6" w:rsidP="00F06180">
            <w:proofErr w:type="spellStart"/>
            <w:r w:rsidRPr="006C2510">
              <w:t>Angioødem</w:t>
            </w:r>
            <w:proofErr w:type="spellEnd"/>
            <w:r w:rsidRPr="006C2510">
              <w:t xml:space="preserve">, toksisk </w:t>
            </w:r>
            <w:proofErr w:type="spellStart"/>
            <w:r w:rsidRPr="006C2510">
              <w:t>epidermal</w:t>
            </w:r>
            <w:proofErr w:type="spellEnd"/>
            <w:r w:rsidRPr="006C2510">
              <w:t xml:space="preserve"> </w:t>
            </w:r>
            <w:proofErr w:type="spellStart"/>
            <w:r w:rsidRPr="006C2510">
              <w:t>nekrolyse</w:t>
            </w:r>
            <w:proofErr w:type="spellEnd"/>
            <w:r w:rsidRPr="006C2510">
              <w:t xml:space="preserve">, </w:t>
            </w:r>
            <w:proofErr w:type="spellStart"/>
            <w:r w:rsidRPr="006C2510">
              <w:t>erythema</w:t>
            </w:r>
            <w:proofErr w:type="spellEnd"/>
            <w:r w:rsidRPr="006C2510">
              <w:t xml:space="preserve"> multiforme</w:t>
            </w:r>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rPr>
                <w:b/>
              </w:rPr>
              <w:t>Knogler, led, muskler og bindevæv</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Meget almindelig</w:t>
            </w:r>
          </w:p>
        </w:tc>
        <w:tc>
          <w:tcPr>
            <w:tcW w:w="6941" w:type="dxa"/>
            <w:tcBorders>
              <w:top w:val="nil"/>
              <w:left w:val="nil"/>
              <w:bottom w:val="nil"/>
              <w:right w:val="single" w:sz="4" w:space="0" w:color="auto"/>
            </w:tcBorders>
            <w:hideMark/>
          </w:tcPr>
          <w:p w:rsidR="000A70A6" w:rsidRPr="006C2510" w:rsidRDefault="000A70A6" w:rsidP="00F06180">
            <w:proofErr w:type="spellStart"/>
            <w:r w:rsidRPr="006C2510">
              <w:t>Artralgi</w:t>
            </w:r>
            <w:proofErr w:type="spellEnd"/>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Almindelig</w:t>
            </w:r>
          </w:p>
        </w:tc>
        <w:tc>
          <w:tcPr>
            <w:tcW w:w="6941" w:type="dxa"/>
            <w:tcBorders>
              <w:top w:val="nil"/>
              <w:left w:val="nil"/>
              <w:bottom w:val="nil"/>
              <w:right w:val="single" w:sz="4" w:space="0" w:color="auto"/>
            </w:tcBorders>
            <w:hideMark/>
          </w:tcPr>
          <w:p w:rsidR="000A70A6" w:rsidRPr="006C2510" w:rsidRDefault="000A70A6" w:rsidP="00F06180">
            <w:r w:rsidRPr="006C2510">
              <w:t>Myalgi, knoglesmerter</w:t>
            </w:r>
            <w:r w:rsidRPr="006C2510">
              <w:rPr>
                <w:vertAlign w:val="superscript"/>
              </w:rPr>
              <w:t>1</w:t>
            </w:r>
            <w:r w:rsidRPr="006C2510">
              <w:t>, osteoporose, knoglebrud, artritis</w:t>
            </w:r>
          </w:p>
        </w:tc>
      </w:tr>
      <w:tr w:rsidR="000A70A6" w:rsidRPr="006C2510" w:rsidTr="00F06180">
        <w:trPr>
          <w:trHeight w:val="270"/>
        </w:trPr>
        <w:tc>
          <w:tcPr>
            <w:tcW w:w="1984" w:type="dxa"/>
            <w:tcBorders>
              <w:top w:val="nil"/>
              <w:left w:val="single" w:sz="4" w:space="0" w:color="auto"/>
              <w:bottom w:val="nil"/>
              <w:right w:val="nil"/>
            </w:tcBorders>
          </w:tcPr>
          <w:p w:rsidR="000A70A6" w:rsidRPr="006C2510" w:rsidRDefault="000A70A6" w:rsidP="00F06180">
            <w:r w:rsidRPr="006C2510">
              <w:t>Ikke almindelig</w:t>
            </w:r>
          </w:p>
        </w:tc>
        <w:tc>
          <w:tcPr>
            <w:tcW w:w="6941" w:type="dxa"/>
            <w:tcBorders>
              <w:top w:val="nil"/>
              <w:left w:val="nil"/>
              <w:bottom w:val="nil"/>
              <w:right w:val="single" w:sz="4" w:space="0" w:color="auto"/>
            </w:tcBorders>
          </w:tcPr>
          <w:p w:rsidR="000A70A6" w:rsidRPr="006C2510" w:rsidRDefault="000A70A6" w:rsidP="00F06180">
            <w:proofErr w:type="spellStart"/>
            <w:r w:rsidRPr="006C2510">
              <w:t>Tendinitis</w:t>
            </w:r>
            <w:proofErr w:type="spellEnd"/>
          </w:p>
        </w:tc>
      </w:tr>
      <w:tr w:rsidR="000A70A6" w:rsidRPr="006C2510" w:rsidTr="00F06180">
        <w:trPr>
          <w:trHeight w:val="270"/>
        </w:trPr>
        <w:tc>
          <w:tcPr>
            <w:tcW w:w="1984" w:type="dxa"/>
            <w:tcBorders>
              <w:top w:val="nil"/>
              <w:left w:val="single" w:sz="4" w:space="0" w:color="auto"/>
              <w:bottom w:val="nil"/>
              <w:right w:val="nil"/>
            </w:tcBorders>
          </w:tcPr>
          <w:p w:rsidR="000A70A6" w:rsidRPr="006C2510" w:rsidRDefault="000A70A6" w:rsidP="00F06180">
            <w:r w:rsidRPr="006C2510">
              <w:t>Sjælden</w:t>
            </w:r>
          </w:p>
        </w:tc>
        <w:tc>
          <w:tcPr>
            <w:tcW w:w="6941" w:type="dxa"/>
            <w:tcBorders>
              <w:top w:val="nil"/>
              <w:left w:val="nil"/>
              <w:bottom w:val="nil"/>
              <w:right w:val="single" w:sz="4" w:space="0" w:color="auto"/>
            </w:tcBorders>
          </w:tcPr>
          <w:p w:rsidR="000A70A6" w:rsidRPr="006C2510" w:rsidRDefault="000A70A6" w:rsidP="00F06180">
            <w:proofErr w:type="spellStart"/>
            <w:r w:rsidRPr="006C2510">
              <w:t>Seneruptur</w:t>
            </w:r>
            <w:proofErr w:type="spellEnd"/>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Ikke kendt</w:t>
            </w:r>
          </w:p>
        </w:tc>
        <w:tc>
          <w:tcPr>
            <w:tcW w:w="6941" w:type="dxa"/>
            <w:tcBorders>
              <w:top w:val="nil"/>
              <w:left w:val="nil"/>
              <w:bottom w:val="nil"/>
              <w:right w:val="single" w:sz="4" w:space="0" w:color="auto"/>
            </w:tcBorders>
            <w:hideMark/>
          </w:tcPr>
          <w:p w:rsidR="000A70A6" w:rsidRPr="006C2510" w:rsidRDefault="000A70A6" w:rsidP="00F06180">
            <w:r w:rsidRPr="006C2510">
              <w:t>Springfinger</w:t>
            </w:r>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rPr>
                <w:b/>
              </w:rPr>
              <w:t>Nyrer og urinveje</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rPr>
                <w:b/>
              </w:rPr>
            </w:pPr>
            <w:r w:rsidRPr="006C2510">
              <w:t>Ikke almindelig</w:t>
            </w:r>
          </w:p>
        </w:tc>
        <w:tc>
          <w:tcPr>
            <w:tcW w:w="6941" w:type="dxa"/>
            <w:tcBorders>
              <w:top w:val="nil"/>
              <w:left w:val="nil"/>
              <w:bottom w:val="nil"/>
              <w:right w:val="single" w:sz="4" w:space="0" w:color="auto"/>
            </w:tcBorders>
            <w:hideMark/>
          </w:tcPr>
          <w:p w:rsidR="000A70A6" w:rsidRPr="006C2510" w:rsidRDefault="001470B9" w:rsidP="00F06180">
            <w:proofErr w:type="spellStart"/>
            <w:r>
              <w:t>Pollakiuri</w:t>
            </w:r>
            <w:proofErr w:type="spellEnd"/>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rPr>
                <w:b/>
              </w:rPr>
              <w:t>Det reproduktive system og mammae</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Almindelig</w:t>
            </w:r>
          </w:p>
        </w:tc>
        <w:tc>
          <w:tcPr>
            <w:tcW w:w="6941" w:type="dxa"/>
            <w:tcBorders>
              <w:top w:val="nil"/>
              <w:left w:val="nil"/>
              <w:bottom w:val="nil"/>
              <w:right w:val="single" w:sz="4" w:space="0" w:color="auto"/>
            </w:tcBorders>
            <w:hideMark/>
          </w:tcPr>
          <w:p w:rsidR="000A70A6" w:rsidRPr="006C2510" w:rsidRDefault="001470B9" w:rsidP="00F06180">
            <w:r>
              <w:t xml:space="preserve">Vaginal </w:t>
            </w:r>
            <w:proofErr w:type="spellStart"/>
            <w:r>
              <w:t>hæmoragi</w:t>
            </w:r>
            <w:proofErr w:type="spellEnd"/>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rPr>
                <w:b/>
              </w:rPr>
            </w:pPr>
            <w:r w:rsidRPr="006C2510">
              <w:t>Ikke almindelig</w:t>
            </w:r>
          </w:p>
        </w:tc>
        <w:tc>
          <w:tcPr>
            <w:tcW w:w="6941" w:type="dxa"/>
            <w:tcBorders>
              <w:top w:val="nil"/>
              <w:left w:val="nil"/>
              <w:bottom w:val="nil"/>
              <w:right w:val="single" w:sz="4" w:space="0" w:color="auto"/>
            </w:tcBorders>
            <w:hideMark/>
          </w:tcPr>
          <w:p w:rsidR="000A70A6" w:rsidRPr="006C2510" w:rsidRDefault="000A70A6" w:rsidP="00F06180">
            <w:r w:rsidRPr="006C2510">
              <w:t>Udflåd,</w:t>
            </w:r>
            <w:r w:rsidR="001470B9">
              <w:t xml:space="preserve"> </w:t>
            </w:r>
            <w:proofErr w:type="spellStart"/>
            <w:r w:rsidR="001470B9">
              <w:t>vulvovaginal</w:t>
            </w:r>
            <w:proofErr w:type="spellEnd"/>
            <w:r w:rsidR="001470B9">
              <w:t xml:space="preserve"> </w:t>
            </w:r>
            <w:r w:rsidRPr="006C2510">
              <w:t>tørhed og brystsmerter.</w:t>
            </w:r>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rPr>
                <w:b/>
              </w:rPr>
              <w:t>Almene symptomer og reaktioner på administrationsstedet</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Meget almindelig</w:t>
            </w:r>
          </w:p>
        </w:tc>
        <w:tc>
          <w:tcPr>
            <w:tcW w:w="6941" w:type="dxa"/>
            <w:tcBorders>
              <w:top w:val="nil"/>
              <w:left w:val="nil"/>
              <w:bottom w:val="nil"/>
              <w:right w:val="single" w:sz="4" w:space="0" w:color="auto"/>
            </w:tcBorders>
            <w:hideMark/>
          </w:tcPr>
          <w:p w:rsidR="000A70A6" w:rsidRPr="006C2510" w:rsidRDefault="000A70A6" w:rsidP="00F06180">
            <w:r w:rsidRPr="006C2510">
              <w:t>Træthed (inklusiv</w:t>
            </w:r>
            <w:r>
              <w:t>e</w:t>
            </w:r>
            <w:r w:rsidRPr="006C2510">
              <w:t xml:space="preserve"> asteni, utilpashed).</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Almindelig</w:t>
            </w:r>
          </w:p>
        </w:tc>
        <w:tc>
          <w:tcPr>
            <w:tcW w:w="6941" w:type="dxa"/>
            <w:tcBorders>
              <w:top w:val="nil"/>
              <w:left w:val="nil"/>
              <w:bottom w:val="nil"/>
              <w:right w:val="single" w:sz="4" w:space="0" w:color="auto"/>
            </w:tcBorders>
            <w:hideMark/>
          </w:tcPr>
          <w:p w:rsidR="000A70A6" w:rsidRPr="006C2510" w:rsidRDefault="000A70A6" w:rsidP="00F06180">
            <w:r w:rsidRPr="006C2510">
              <w:t>Perifert ødem, brystsmerter</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rPr>
                <w:b/>
              </w:rPr>
            </w:pPr>
            <w:r w:rsidRPr="006C2510">
              <w:t>Ikke almindelig</w:t>
            </w:r>
          </w:p>
        </w:tc>
        <w:tc>
          <w:tcPr>
            <w:tcW w:w="6941" w:type="dxa"/>
            <w:tcBorders>
              <w:top w:val="nil"/>
              <w:left w:val="nil"/>
              <w:bottom w:val="nil"/>
              <w:right w:val="single" w:sz="4" w:space="0" w:color="auto"/>
            </w:tcBorders>
            <w:hideMark/>
          </w:tcPr>
          <w:p w:rsidR="000A70A6" w:rsidRPr="006C2510" w:rsidRDefault="000A70A6" w:rsidP="00F06180">
            <w:r w:rsidRPr="006C2510">
              <w:t xml:space="preserve">Generaliseret ødem, tørre slimhinder, tørst, </w:t>
            </w:r>
            <w:proofErr w:type="spellStart"/>
            <w:r w:rsidRPr="006C2510">
              <w:t>pyrexi</w:t>
            </w:r>
            <w:proofErr w:type="spellEnd"/>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rPr>
                <w:b/>
              </w:rPr>
              <w:t>Undersøgelser</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Almindelig</w:t>
            </w:r>
          </w:p>
        </w:tc>
        <w:tc>
          <w:tcPr>
            <w:tcW w:w="6941" w:type="dxa"/>
            <w:tcBorders>
              <w:top w:val="nil"/>
              <w:left w:val="nil"/>
              <w:bottom w:val="nil"/>
              <w:right w:val="single" w:sz="4" w:space="0" w:color="auto"/>
            </w:tcBorders>
            <w:hideMark/>
          </w:tcPr>
          <w:p w:rsidR="000A70A6" w:rsidRPr="006C2510" w:rsidRDefault="000A70A6" w:rsidP="00F06180">
            <w:r w:rsidRPr="006C2510">
              <w:t>Vægtstigning</w:t>
            </w:r>
          </w:p>
        </w:tc>
      </w:tr>
      <w:tr w:rsidR="000A70A6" w:rsidRPr="006C2510" w:rsidTr="00F06180">
        <w:trPr>
          <w:trHeight w:val="270"/>
        </w:trPr>
        <w:tc>
          <w:tcPr>
            <w:tcW w:w="1984" w:type="dxa"/>
            <w:tcBorders>
              <w:top w:val="nil"/>
              <w:left w:val="single" w:sz="4" w:space="0" w:color="auto"/>
              <w:bottom w:val="single" w:sz="4" w:space="0" w:color="auto"/>
              <w:right w:val="nil"/>
            </w:tcBorders>
            <w:hideMark/>
          </w:tcPr>
          <w:p w:rsidR="000A70A6" w:rsidRPr="006C2510" w:rsidRDefault="000A70A6" w:rsidP="00F06180">
            <w:pPr>
              <w:rPr>
                <w:b/>
              </w:rPr>
            </w:pPr>
            <w:r w:rsidRPr="006C2510">
              <w:t>Ikke almindelig</w:t>
            </w:r>
          </w:p>
        </w:tc>
        <w:tc>
          <w:tcPr>
            <w:tcW w:w="6941" w:type="dxa"/>
            <w:tcBorders>
              <w:top w:val="nil"/>
              <w:left w:val="nil"/>
              <w:bottom w:val="single" w:sz="4" w:space="0" w:color="auto"/>
              <w:right w:val="single" w:sz="4" w:space="0" w:color="auto"/>
            </w:tcBorders>
            <w:hideMark/>
          </w:tcPr>
          <w:p w:rsidR="000A70A6" w:rsidRPr="006C2510" w:rsidRDefault="000A70A6" w:rsidP="00F06180">
            <w:r w:rsidRPr="006C2510">
              <w:t xml:space="preserve">Vægttab </w:t>
            </w:r>
          </w:p>
        </w:tc>
      </w:tr>
    </w:tbl>
    <w:p w:rsidR="000A70A6" w:rsidRDefault="000A70A6" w:rsidP="000A70A6">
      <w:pPr>
        <w:rPr>
          <w:sz w:val="22"/>
          <w:szCs w:val="22"/>
        </w:rPr>
      </w:pPr>
      <w:r>
        <w:rPr>
          <w:vertAlign w:val="superscript"/>
        </w:rPr>
        <w:t>1</w:t>
      </w:r>
      <w:r>
        <w:t xml:space="preserve"> Bivirkninger rapporteret alene ved metastaser.</w:t>
      </w:r>
    </w:p>
    <w:p w:rsidR="000A70A6" w:rsidRDefault="000A70A6" w:rsidP="000A70A6"/>
    <w:p w:rsidR="000A70A6" w:rsidRDefault="000A70A6" w:rsidP="000A70A6">
      <w:pPr>
        <w:autoSpaceDE w:val="0"/>
        <w:autoSpaceDN w:val="0"/>
        <w:adjustRightInd w:val="0"/>
        <w:ind w:left="720"/>
        <w:rPr>
          <w:color w:val="000000"/>
        </w:rPr>
      </w:pPr>
      <w:r>
        <w:rPr>
          <w:color w:val="000000"/>
        </w:rPr>
        <w:t xml:space="preserve">Nogle bivirkninger er rapporteret med markant forskellige frekvenser ved </w:t>
      </w:r>
      <w:proofErr w:type="spellStart"/>
      <w:r>
        <w:rPr>
          <w:color w:val="000000"/>
        </w:rPr>
        <w:t>adjuverende</w:t>
      </w:r>
      <w:proofErr w:type="spellEnd"/>
      <w:r>
        <w:rPr>
          <w:color w:val="000000"/>
        </w:rPr>
        <w:t xml:space="preserve"> behandling. Følgende tabeller giver information om signifikante forskelle mellem </w:t>
      </w:r>
      <w:proofErr w:type="spellStart"/>
      <w:r w:rsidR="001470B9">
        <w:rPr>
          <w:color w:val="000000"/>
        </w:rPr>
        <w:t>l</w:t>
      </w:r>
      <w:r>
        <w:rPr>
          <w:color w:val="000000"/>
        </w:rPr>
        <w:t>etrozol</w:t>
      </w:r>
      <w:proofErr w:type="spellEnd"/>
      <w:r>
        <w:rPr>
          <w:color w:val="000000"/>
        </w:rPr>
        <w:t xml:space="preserve"> </w:t>
      </w:r>
      <w:r>
        <w:rPr>
          <w:i/>
          <w:iCs/>
          <w:color w:val="000000"/>
        </w:rPr>
        <w:t xml:space="preserve">versus </w:t>
      </w:r>
      <w:proofErr w:type="spellStart"/>
      <w:r>
        <w:rPr>
          <w:color w:val="000000"/>
        </w:rPr>
        <w:t>tamoxifen</w:t>
      </w:r>
      <w:proofErr w:type="spellEnd"/>
      <w:r>
        <w:rPr>
          <w:color w:val="000000"/>
        </w:rPr>
        <w:t xml:space="preserve"> ved monoterapi og i </w:t>
      </w:r>
      <w:proofErr w:type="spellStart"/>
      <w:r w:rsidR="001470B9">
        <w:rPr>
          <w:color w:val="000000"/>
        </w:rPr>
        <w:t>l</w:t>
      </w:r>
      <w:r>
        <w:rPr>
          <w:color w:val="000000"/>
        </w:rPr>
        <w:t>etrozol-tamoxifen</w:t>
      </w:r>
      <w:proofErr w:type="spellEnd"/>
      <w:r>
        <w:rPr>
          <w:color w:val="000000"/>
        </w:rPr>
        <w:t xml:space="preserve"> sekventielt behandlingsprogram: </w:t>
      </w:r>
    </w:p>
    <w:p w:rsidR="000A70A6" w:rsidRDefault="000A70A6" w:rsidP="000A70A6">
      <w:pPr>
        <w:rPr>
          <w:color w:val="000000"/>
        </w:rPr>
      </w:pPr>
    </w:p>
    <w:p w:rsidR="000A70A6" w:rsidRDefault="000A70A6" w:rsidP="00690DED">
      <w:pPr>
        <w:keepNext/>
        <w:ind w:left="720"/>
        <w:rPr>
          <w:b/>
          <w:bCs/>
          <w:color w:val="000000"/>
        </w:rPr>
      </w:pPr>
      <w:r>
        <w:rPr>
          <w:b/>
          <w:bCs/>
          <w:color w:val="000000"/>
        </w:rPr>
        <w:t xml:space="preserve">Tabel 2 </w:t>
      </w:r>
      <w:proofErr w:type="spellStart"/>
      <w:r>
        <w:rPr>
          <w:b/>
          <w:bCs/>
          <w:color w:val="000000"/>
        </w:rPr>
        <w:t>Adjuverende</w:t>
      </w:r>
      <w:proofErr w:type="spellEnd"/>
      <w:r>
        <w:rPr>
          <w:b/>
          <w:bCs/>
          <w:color w:val="000000"/>
        </w:rPr>
        <w:t xml:space="preserve"> </w:t>
      </w:r>
      <w:proofErr w:type="spellStart"/>
      <w:r w:rsidR="001470B9">
        <w:rPr>
          <w:b/>
          <w:bCs/>
          <w:color w:val="000000"/>
        </w:rPr>
        <w:t>l</w:t>
      </w:r>
      <w:r>
        <w:rPr>
          <w:b/>
          <w:bCs/>
          <w:color w:val="000000"/>
        </w:rPr>
        <w:t>etrozol</w:t>
      </w:r>
      <w:proofErr w:type="spellEnd"/>
      <w:r>
        <w:rPr>
          <w:b/>
          <w:bCs/>
          <w:color w:val="000000"/>
        </w:rPr>
        <w:t xml:space="preserve"> monoterapi </w:t>
      </w:r>
      <w:r>
        <w:rPr>
          <w:b/>
          <w:bCs/>
          <w:i/>
          <w:iCs/>
          <w:color w:val="000000"/>
        </w:rPr>
        <w:t xml:space="preserve">versus </w:t>
      </w:r>
      <w:proofErr w:type="spellStart"/>
      <w:r>
        <w:rPr>
          <w:b/>
          <w:bCs/>
          <w:color w:val="000000"/>
        </w:rPr>
        <w:t>tamoxifen</w:t>
      </w:r>
      <w:proofErr w:type="spellEnd"/>
      <w:r>
        <w:rPr>
          <w:b/>
          <w:bCs/>
          <w:color w:val="000000"/>
        </w:rPr>
        <w:t xml:space="preserve"> monoterapi – bivirkninger med signifikante forskelle</w:t>
      </w:r>
    </w:p>
    <w:p w:rsidR="000A70A6" w:rsidRDefault="000A70A6" w:rsidP="00690DED">
      <w:pPr>
        <w:keepNext/>
        <w:rPr>
          <w:b/>
          <w:bCs/>
          <w:color w:val="000000"/>
        </w:rPr>
      </w:pPr>
    </w:p>
    <w:tbl>
      <w:tblPr>
        <w:tblW w:w="9990" w:type="dxa"/>
        <w:tblInd w:w="18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337"/>
        <w:gridCol w:w="1751"/>
        <w:gridCol w:w="1352"/>
        <w:gridCol w:w="1549"/>
        <w:gridCol w:w="1001"/>
      </w:tblGrid>
      <w:tr w:rsidR="000A70A6" w:rsidTr="00F06180">
        <w:trPr>
          <w:trHeight w:val="146"/>
        </w:trPr>
        <w:tc>
          <w:tcPr>
            <w:tcW w:w="4339" w:type="dxa"/>
            <w:vMerge w:val="restart"/>
            <w:tcBorders>
              <w:top w:val="single" w:sz="8" w:space="0" w:color="000000"/>
              <w:left w:val="single" w:sz="8" w:space="0" w:color="000000"/>
              <w:bottom w:val="single" w:sz="8" w:space="0" w:color="000000"/>
              <w:right w:val="single" w:sz="4" w:space="0" w:color="auto"/>
            </w:tcBorders>
            <w:hideMark/>
          </w:tcPr>
          <w:p w:rsidR="000A70A6" w:rsidRDefault="00BA02D2" w:rsidP="00690DED">
            <w:pPr>
              <w:keepNext/>
              <w:rPr>
                <w:b/>
                <w:bCs/>
                <w:color w:val="000000"/>
                <w:lang w:val="de-DE"/>
              </w:rPr>
            </w:pPr>
            <w:r>
              <w:rPr>
                <w:b/>
                <w:bCs/>
                <w:color w:val="000000"/>
                <w:lang w:val="de-DE"/>
              </w:rPr>
              <w:t>e</w:t>
            </w:r>
          </w:p>
        </w:tc>
        <w:tc>
          <w:tcPr>
            <w:tcW w:w="3104" w:type="dxa"/>
            <w:gridSpan w:val="2"/>
            <w:tcBorders>
              <w:top w:val="single" w:sz="8" w:space="0" w:color="000000"/>
              <w:left w:val="nil"/>
              <w:bottom w:val="single" w:sz="8" w:space="0" w:color="000000"/>
              <w:right w:val="single" w:sz="4" w:space="0" w:color="auto"/>
            </w:tcBorders>
            <w:hideMark/>
          </w:tcPr>
          <w:p w:rsidR="000A70A6" w:rsidRDefault="000A70A6" w:rsidP="00690DED">
            <w:pPr>
              <w:keepNext/>
              <w:rPr>
                <w:b/>
                <w:bCs/>
                <w:color w:val="000000"/>
                <w:lang w:val="es-ES"/>
              </w:rPr>
            </w:pPr>
            <w:r>
              <w:rPr>
                <w:b/>
                <w:bCs/>
                <w:color w:val="000000"/>
                <w:lang w:val="es-ES"/>
              </w:rPr>
              <w:t>Letrozol, incidensrate</w:t>
            </w:r>
          </w:p>
        </w:tc>
        <w:tc>
          <w:tcPr>
            <w:tcW w:w="2550" w:type="dxa"/>
            <w:gridSpan w:val="2"/>
            <w:tcBorders>
              <w:top w:val="single" w:sz="8" w:space="0" w:color="000000"/>
              <w:left w:val="single" w:sz="4" w:space="0" w:color="auto"/>
              <w:bottom w:val="single" w:sz="8" w:space="0" w:color="000000"/>
              <w:right w:val="single" w:sz="8" w:space="0" w:color="000000"/>
            </w:tcBorders>
            <w:hideMark/>
          </w:tcPr>
          <w:p w:rsidR="000A70A6" w:rsidRDefault="000A70A6" w:rsidP="00690DED">
            <w:pPr>
              <w:keepNext/>
              <w:rPr>
                <w:b/>
                <w:bCs/>
                <w:color w:val="000000"/>
                <w:lang w:val="es-ES"/>
              </w:rPr>
            </w:pPr>
            <w:r>
              <w:rPr>
                <w:b/>
                <w:bCs/>
                <w:color w:val="000000"/>
                <w:lang w:val="es-ES"/>
              </w:rPr>
              <w:t xml:space="preserve">Tamoxifen, incidensrate </w:t>
            </w:r>
          </w:p>
        </w:tc>
      </w:tr>
      <w:tr w:rsidR="000A70A6" w:rsidTr="00F06180">
        <w:trPr>
          <w:trHeight w:val="146"/>
        </w:trPr>
        <w:tc>
          <w:tcPr>
            <w:tcW w:w="9993" w:type="dxa"/>
            <w:vMerge/>
            <w:tcBorders>
              <w:top w:val="single" w:sz="8" w:space="0" w:color="000000"/>
              <w:left w:val="single" w:sz="8" w:space="0" w:color="000000"/>
              <w:bottom w:val="single" w:sz="8" w:space="0" w:color="000000"/>
              <w:right w:val="single" w:sz="4" w:space="0" w:color="auto"/>
            </w:tcBorders>
            <w:vAlign w:val="center"/>
            <w:hideMark/>
          </w:tcPr>
          <w:p w:rsidR="000A70A6" w:rsidRDefault="000A70A6" w:rsidP="00690DED">
            <w:pPr>
              <w:keepNext/>
              <w:rPr>
                <w:b/>
                <w:bCs/>
                <w:color w:val="000000"/>
                <w:sz w:val="22"/>
                <w:szCs w:val="22"/>
                <w:lang w:val="de-DE"/>
              </w:rPr>
            </w:pPr>
          </w:p>
        </w:tc>
        <w:tc>
          <w:tcPr>
            <w:tcW w:w="3104" w:type="dxa"/>
            <w:gridSpan w:val="2"/>
            <w:tcBorders>
              <w:top w:val="single" w:sz="8" w:space="0" w:color="000000"/>
              <w:left w:val="nil"/>
              <w:bottom w:val="single" w:sz="8" w:space="0" w:color="000000"/>
              <w:right w:val="single" w:sz="4" w:space="0" w:color="auto"/>
            </w:tcBorders>
            <w:hideMark/>
          </w:tcPr>
          <w:p w:rsidR="000A70A6" w:rsidRDefault="000A70A6" w:rsidP="00690DED">
            <w:pPr>
              <w:keepNext/>
              <w:rPr>
                <w:b/>
                <w:bCs/>
                <w:color w:val="000000"/>
                <w:lang w:val="es-ES"/>
              </w:rPr>
            </w:pPr>
            <w:r>
              <w:rPr>
                <w:lang w:val="en-GB"/>
              </w:rPr>
              <w:t>N=2448</w:t>
            </w:r>
          </w:p>
        </w:tc>
        <w:tc>
          <w:tcPr>
            <w:tcW w:w="2550" w:type="dxa"/>
            <w:gridSpan w:val="2"/>
            <w:tcBorders>
              <w:top w:val="single" w:sz="8" w:space="0" w:color="000000"/>
              <w:left w:val="single" w:sz="4" w:space="0" w:color="auto"/>
              <w:bottom w:val="single" w:sz="8" w:space="0" w:color="000000"/>
              <w:right w:val="single" w:sz="8" w:space="0" w:color="000000"/>
            </w:tcBorders>
            <w:hideMark/>
          </w:tcPr>
          <w:p w:rsidR="000A70A6" w:rsidRDefault="000A70A6" w:rsidP="00690DED">
            <w:pPr>
              <w:keepNext/>
              <w:rPr>
                <w:b/>
                <w:bCs/>
                <w:color w:val="000000"/>
                <w:lang w:val="es-ES"/>
              </w:rPr>
            </w:pPr>
            <w:r>
              <w:rPr>
                <w:lang w:val="en-GB"/>
              </w:rPr>
              <w:t>N=2447</w:t>
            </w:r>
          </w:p>
        </w:tc>
      </w:tr>
      <w:tr w:rsidR="000A70A6" w:rsidTr="00F06180">
        <w:trPr>
          <w:trHeight w:val="146"/>
        </w:trPr>
        <w:tc>
          <w:tcPr>
            <w:tcW w:w="9993" w:type="dxa"/>
            <w:vMerge/>
            <w:tcBorders>
              <w:top w:val="single" w:sz="8" w:space="0" w:color="000000"/>
              <w:left w:val="single" w:sz="8" w:space="0" w:color="000000"/>
              <w:bottom w:val="single" w:sz="8" w:space="0" w:color="000000"/>
              <w:right w:val="single" w:sz="4" w:space="0" w:color="auto"/>
            </w:tcBorders>
            <w:vAlign w:val="center"/>
            <w:hideMark/>
          </w:tcPr>
          <w:p w:rsidR="000A70A6" w:rsidRDefault="000A70A6" w:rsidP="00F06180">
            <w:pPr>
              <w:rPr>
                <w:b/>
                <w:bCs/>
                <w:color w:val="000000"/>
                <w:sz w:val="22"/>
                <w:szCs w:val="22"/>
                <w:lang w:val="de-DE"/>
              </w:rPr>
            </w:pPr>
          </w:p>
        </w:tc>
        <w:tc>
          <w:tcPr>
            <w:tcW w:w="1752" w:type="dxa"/>
            <w:tcBorders>
              <w:top w:val="single" w:sz="8" w:space="0" w:color="000000"/>
              <w:left w:val="nil"/>
              <w:bottom w:val="single" w:sz="8" w:space="0" w:color="000000"/>
              <w:right w:val="single" w:sz="4" w:space="0" w:color="auto"/>
            </w:tcBorders>
            <w:hideMark/>
          </w:tcPr>
          <w:p w:rsidR="000A70A6" w:rsidRDefault="000A70A6" w:rsidP="00F06180">
            <w:pPr>
              <w:rPr>
                <w:bCs/>
                <w:color w:val="000000"/>
                <w:lang w:val="es-ES"/>
              </w:rPr>
            </w:pPr>
            <w:r>
              <w:rPr>
                <w:bCs/>
                <w:color w:val="000000"/>
                <w:lang w:val="es-ES"/>
              </w:rPr>
              <w:t xml:space="preserve">Under </w:t>
            </w:r>
          </w:p>
          <w:p w:rsidR="000A70A6" w:rsidRDefault="000A70A6" w:rsidP="00F06180">
            <w:pPr>
              <w:rPr>
                <w:bCs/>
                <w:color w:val="000000"/>
                <w:lang w:val="es-ES"/>
              </w:rPr>
            </w:pPr>
            <w:r>
              <w:rPr>
                <w:bCs/>
                <w:color w:val="000000"/>
                <w:lang w:val="es-ES"/>
              </w:rPr>
              <w:t>behandling</w:t>
            </w:r>
          </w:p>
          <w:p w:rsidR="000A70A6" w:rsidRDefault="000A70A6" w:rsidP="00F06180">
            <w:pPr>
              <w:rPr>
                <w:bCs/>
                <w:color w:val="000000"/>
                <w:lang w:val="es-ES"/>
              </w:rPr>
            </w:pPr>
            <w:r>
              <w:rPr>
                <w:bCs/>
                <w:color w:val="000000"/>
                <w:lang w:val="es-ES"/>
              </w:rPr>
              <w:t>(median 5 år)</w:t>
            </w:r>
          </w:p>
        </w:tc>
        <w:tc>
          <w:tcPr>
            <w:tcW w:w="1352" w:type="dxa"/>
            <w:tcBorders>
              <w:top w:val="single" w:sz="8" w:space="0" w:color="000000"/>
              <w:left w:val="nil"/>
              <w:bottom w:val="single" w:sz="8" w:space="0" w:color="000000"/>
              <w:right w:val="single" w:sz="4" w:space="0" w:color="auto"/>
            </w:tcBorders>
            <w:hideMark/>
          </w:tcPr>
          <w:p w:rsidR="000A70A6" w:rsidRDefault="000A70A6" w:rsidP="00F06180">
            <w:pPr>
              <w:rPr>
                <w:bCs/>
                <w:color w:val="000000"/>
              </w:rPr>
            </w:pPr>
            <w:r>
              <w:rPr>
                <w:bCs/>
                <w:color w:val="000000"/>
              </w:rPr>
              <w:t xml:space="preserve">Ethvert tidspunkt efter </w:t>
            </w:r>
            <w:proofErr w:type="spellStart"/>
            <w:r>
              <w:rPr>
                <w:bCs/>
                <w:color w:val="000000"/>
              </w:rPr>
              <w:t>randomise</w:t>
            </w:r>
            <w:r w:rsidR="004A34B7">
              <w:rPr>
                <w:bCs/>
                <w:color w:val="000000"/>
              </w:rPr>
              <w:softHyphen/>
            </w:r>
            <w:r>
              <w:rPr>
                <w:bCs/>
                <w:color w:val="000000"/>
              </w:rPr>
              <w:t>ring</w:t>
            </w:r>
            <w:proofErr w:type="spellEnd"/>
          </w:p>
          <w:p w:rsidR="000A70A6" w:rsidRDefault="000A70A6" w:rsidP="00F06180">
            <w:pPr>
              <w:rPr>
                <w:bCs/>
                <w:color w:val="000000"/>
              </w:rPr>
            </w:pPr>
            <w:r>
              <w:rPr>
                <w:bCs/>
                <w:color w:val="000000"/>
              </w:rPr>
              <w:t xml:space="preserve">(median 8 år) </w:t>
            </w:r>
          </w:p>
        </w:tc>
        <w:tc>
          <w:tcPr>
            <w:tcW w:w="1549" w:type="dxa"/>
            <w:tcBorders>
              <w:top w:val="single" w:sz="8" w:space="0" w:color="000000"/>
              <w:left w:val="single" w:sz="4" w:space="0" w:color="auto"/>
              <w:bottom w:val="single" w:sz="8" w:space="0" w:color="000000"/>
              <w:right w:val="nil"/>
            </w:tcBorders>
            <w:hideMark/>
          </w:tcPr>
          <w:p w:rsidR="000A70A6" w:rsidRDefault="000A70A6" w:rsidP="00F06180">
            <w:pPr>
              <w:rPr>
                <w:bCs/>
                <w:color w:val="000000"/>
                <w:lang w:val="es-ES"/>
              </w:rPr>
            </w:pPr>
            <w:r>
              <w:rPr>
                <w:bCs/>
                <w:color w:val="000000"/>
                <w:lang w:val="es-ES"/>
              </w:rPr>
              <w:t xml:space="preserve">Under </w:t>
            </w:r>
          </w:p>
          <w:p w:rsidR="000A70A6" w:rsidRDefault="000A70A6" w:rsidP="00F06180">
            <w:pPr>
              <w:rPr>
                <w:bCs/>
                <w:color w:val="000000"/>
                <w:lang w:val="es-ES"/>
              </w:rPr>
            </w:pPr>
            <w:r>
              <w:rPr>
                <w:bCs/>
                <w:color w:val="000000"/>
                <w:lang w:val="es-ES"/>
              </w:rPr>
              <w:t>behandling</w:t>
            </w:r>
          </w:p>
          <w:p w:rsidR="000A70A6" w:rsidRDefault="000A70A6" w:rsidP="00F06180">
            <w:pPr>
              <w:rPr>
                <w:bCs/>
                <w:color w:val="000000"/>
                <w:lang w:val="es-ES"/>
              </w:rPr>
            </w:pPr>
            <w:r>
              <w:rPr>
                <w:bCs/>
                <w:color w:val="000000"/>
                <w:lang w:val="es-ES"/>
              </w:rPr>
              <w:t>(median 5 år)</w:t>
            </w:r>
          </w:p>
        </w:tc>
        <w:tc>
          <w:tcPr>
            <w:tcW w:w="1001" w:type="dxa"/>
            <w:tcBorders>
              <w:top w:val="single" w:sz="8" w:space="0" w:color="000000"/>
              <w:left w:val="single" w:sz="4" w:space="0" w:color="auto"/>
              <w:bottom w:val="single" w:sz="8" w:space="0" w:color="000000"/>
              <w:right w:val="single" w:sz="8" w:space="0" w:color="000000"/>
            </w:tcBorders>
            <w:hideMark/>
          </w:tcPr>
          <w:p w:rsidR="000A70A6" w:rsidRDefault="000A70A6" w:rsidP="00F06180">
            <w:pPr>
              <w:rPr>
                <w:bCs/>
                <w:color w:val="000000"/>
              </w:rPr>
            </w:pPr>
            <w:r>
              <w:rPr>
                <w:bCs/>
                <w:color w:val="000000"/>
              </w:rPr>
              <w:t>Ethvert tids</w:t>
            </w:r>
            <w:r w:rsidR="004A34B7">
              <w:rPr>
                <w:bCs/>
                <w:color w:val="000000"/>
              </w:rPr>
              <w:softHyphen/>
            </w:r>
            <w:r>
              <w:rPr>
                <w:bCs/>
                <w:color w:val="000000"/>
              </w:rPr>
              <w:t xml:space="preserve">punkt efter </w:t>
            </w:r>
            <w:proofErr w:type="spellStart"/>
            <w:r>
              <w:rPr>
                <w:bCs/>
                <w:color w:val="000000"/>
              </w:rPr>
              <w:t>randomisering</w:t>
            </w:r>
            <w:proofErr w:type="spellEnd"/>
          </w:p>
          <w:p w:rsidR="000A70A6" w:rsidRDefault="000A70A6" w:rsidP="00F06180">
            <w:pPr>
              <w:rPr>
                <w:bCs/>
                <w:color w:val="000000"/>
              </w:rPr>
            </w:pPr>
            <w:r>
              <w:rPr>
                <w:bCs/>
                <w:color w:val="000000"/>
              </w:rPr>
              <w:t>(median 8 år)</w:t>
            </w:r>
          </w:p>
        </w:tc>
      </w:tr>
      <w:tr w:rsidR="000A70A6" w:rsidTr="00F06180">
        <w:trPr>
          <w:trHeight w:val="144"/>
        </w:trPr>
        <w:tc>
          <w:tcPr>
            <w:tcW w:w="4339" w:type="dxa"/>
            <w:tcBorders>
              <w:top w:val="single" w:sz="8" w:space="0" w:color="000000"/>
              <w:left w:val="single" w:sz="8" w:space="0" w:color="000000"/>
              <w:bottom w:val="single" w:sz="8" w:space="0" w:color="000000"/>
              <w:right w:val="single" w:sz="4" w:space="0" w:color="auto"/>
            </w:tcBorders>
            <w:hideMark/>
          </w:tcPr>
          <w:p w:rsidR="000A70A6" w:rsidRDefault="000A70A6" w:rsidP="00F06180">
            <w:pPr>
              <w:rPr>
                <w:bCs/>
                <w:color w:val="000000"/>
                <w:lang w:val="es-ES"/>
              </w:rPr>
            </w:pPr>
            <w:r>
              <w:rPr>
                <w:bCs/>
                <w:color w:val="000000"/>
                <w:lang w:val="es-ES"/>
              </w:rPr>
              <w:t xml:space="preserve">Knoglebrud </w:t>
            </w:r>
          </w:p>
        </w:tc>
        <w:tc>
          <w:tcPr>
            <w:tcW w:w="1752" w:type="dxa"/>
            <w:tcBorders>
              <w:top w:val="single" w:sz="8" w:space="0" w:color="000000"/>
              <w:left w:val="single" w:sz="4" w:space="0" w:color="auto"/>
              <w:bottom w:val="single" w:sz="8" w:space="0" w:color="000000"/>
              <w:right w:val="single" w:sz="4" w:space="0" w:color="auto"/>
            </w:tcBorders>
            <w:hideMark/>
          </w:tcPr>
          <w:p w:rsidR="000A70A6" w:rsidRDefault="000A70A6" w:rsidP="00F06180">
            <w:pPr>
              <w:rPr>
                <w:bCs/>
                <w:color w:val="000000"/>
                <w:lang w:val="es-ES"/>
              </w:rPr>
            </w:pPr>
            <w:r>
              <w:rPr>
                <w:bCs/>
                <w:color w:val="000000"/>
                <w:lang w:val="es-ES"/>
              </w:rPr>
              <w:t xml:space="preserve">10,2% </w:t>
            </w:r>
          </w:p>
        </w:tc>
        <w:tc>
          <w:tcPr>
            <w:tcW w:w="1352" w:type="dxa"/>
            <w:tcBorders>
              <w:top w:val="single" w:sz="8" w:space="0" w:color="000000"/>
              <w:left w:val="single" w:sz="4" w:space="0" w:color="auto"/>
              <w:bottom w:val="single" w:sz="8" w:space="0" w:color="000000"/>
              <w:right w:val="single" w:sz="8" w:space="0" w:color="000000"/>
            </w:tcBorders>
            <w:hideMark/>
          </w:tcPr>
          <w:p w:rsidR="000A70A6" w:rsidRDefault="000A70A6" w:rsidP="00F06180">
            <w:pPr>
              <w:rPr>
                <w:bCs/>
                <w:color w:val="000000"/>
                <w:lang w:val="es-ES"/>
              </w:rPr>
            </w:pPr>
            <w:r>
              <w:rPr>
                <w:lang w:val="en-GB"/>
              </w:rPr>
              <w:t>14,7%</w:t>
            </w:r>
          </w:p>
        </w:tc>
        <w:tc>
          <w:tcPr>
            <w:tcW w:w="1549" w:type="dxa"/>
            <w:tcBorders>
              <w:top w:val="single" w:sz="8" w:space="0" w:color="000000"/>
              <w:left w:val="single" w:sz="8" w:space="0" w:color="000000"/>
              <w:bottom w:val="single" w:sz="8" w:space="0" w:color="000000"/>
              <w:right w:val="single" w:sz="4" w:space="0" w:color="auto"/>
            </w:tcBorders>
            <w:hideMark/>
          </w:tcPr>
          <w:p w:rsidR="000A70A6" w:rsidRDefault="000A70A6" w:rsidP="00F06180">
            <w:pPr>
              <w:rPr>
                <w:bCs/>
                <w:color w:val="000000"/>
                <w:lang w:val="es-ES"/>
              </w:rPr>
            </w:pPr>
            <w:r>
              <w:rPr>
                <w:bCs/>
                <w:color w:val="000000"/>
                <w:lang w:val="es-ES"/>
              </w:rPr>
              <w:t xml:space="preserve">7,2% </w:t>
            </w:r>
          </w:p>
        </w:tc>
        <w:tc>
          <w:tcPr>
            <w:tcW w:w="1001" w:type="dxa"/>
            <w:tcBorders>
              <w:top w:val="single" w:sz="8" w:space="0" w:color="000000"/>
              <w:left w:val="single" w:sz="4" w:space="0" w:color="auto"/>
              <w:bottom w:val="single" w:sz="8" w:space="0" w:color="000000"/>
              <w:right w:val="single" w:sz="8" w:space="0" w:color="000000"/>
            </w:tcBorders>
            <w:hideMark/>
          </w:tcPr>
          <w:p w:rsidR="000A70A6" w:rsidRDefault="000A70A6" w:rsidP="00F06180">
            <w:pPr>
              <w:rPr>
                <w:bCs/>
                <w:color w:val="000000"/>
                <w:lang w:val="es-ES"/>
              </w:rPr>
            </w:pPr>
            <w:r>
              <w:rPr>
                <w:lang w:val="en-GB"/>
              </w:rPr>
              <w:t>11,4%</w:t>
            </w:r>
          </w:p>
        </w:tc>
      </w:tr>
      <w:tr w:rsidR="000A70A6" w:rsidTr="00F06180">
        <w:trPr>
          <w:trHeight w:val="144"/>
        </w:trPr>
        <w:tc>
          <w:tcPr>
            <w:tcW w:w="4339"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Osteoporose </w:t>
            </w:r>
          </w:p>
        </w:tc>
        <w:tc>
          <w:tcPr>
            <w:tcW w:w="1752" w:type="dxa"/>
            <w:tcBorders>
              <w:top w:val="single" w:sz="8" w:space="0" w:color="000000"/>
              <w:left w:val="single" w:sz="8" w:space="0" w:color="000000"/>
              <w:bottom w:val="single" w:sz="8" w:space="0" w:color="000000"/>
              <w:right w:val="single" w:sz="4" w:space="0" w:color="auto"/>
            </w:tcBorders>
            <w:hideMark/>
          </w:tcPr>
          <w:p w:rsidR="000A70A6" w:rsidRDefault="000A70A6" w:rsidP="00F06180">
            <w:pPr>
              <w:rPr>
                <w:bCs/>
                <w:color w:val="000000"/>
                <w:lang w:val="es-ES"/>
              </w:rPr>
            </w:pPr>
            <w:r>
              <w:rPr>
                <w:bCs/>
                <w:color w:val="000000"/>
                <w:lang w:val="es-ES"/>
              </w:rPr>
              <w:t xml:space="preserve">5,1% </w:t>
            </w:r>
          </w:p>
        </w:tc>
        <w:tc>
          <w:tcPr>
            <w:tcW w:w="1352" w:type="dxa"/>
            <w:tcBorders>
              <w:top w:val="single" w:sz="8" w:space="0" w:color="000000"/>
              <w:left w:val="single" w:sz="4" w:space="0" w:color="auto"/>
              <w:bottom w:val="single" w:sz="8" w:space="0" w:color="000000"/>
              <w:right w:val="single" w:sz="8" w:space="0" w:color="000000"/>
            </w:tcBorders>
            <w:hideMark/>
          </w:tcPr>
          <w:p w:rsidR="000A70A6" w:rsidRDefault="000A70A6" w:rsidP="00F06180">
            <w:pPr>
              <w:rPr>
                <w:bCs/>
                <w:color w:val="000000"/>
                <w:lang w:val="es-ES"/>
              </w:rPr>
            </w:pPr>
            <w:r>
              <w:rPr>
                <w:lang w:val="en-GB"/>
              </w:rPr>
              <w:t>5,1%</w:t>
            </w:r>
          </w:p>
        </w:tc>
        <w:tc>
          <w:tcPr>
            <w:tcW w:w="1549" w:type="dxa"/>
            <w:tcBorders>
              <w:top w:val="single" w:sz="8" w:space="0" w:color="000000"/>
              <w:left w:val="single" w:sz="8" w:space="0" w:color="000000"/>
              <w:bottom w:val="single" w:sz="8" w:space="0" w:color="000000"/>
              <w:right w:val="single" w:sz="4" w:space="0" w:color="auto"/>
            </w:tcBorders>
            <w:hideMark/>
          </w:tcPr>
          <w:p w:rsidR="000A70A6" w:rsidRDefault="000A70A6" w:rsidP="00F06180">
            <w:pPr>
              <w:rPr>
                <w:bCs/>
                <w:color w:val="000000"/>
                <w:lang w:val="es-ES"/>
              </w:rPr>
            </w:pPr>
            <w:r>
              <w:rPr>
                <w:bCs/>
                <w:color w:val="000000"/>
                <w:lang w:val="es-ES"/>
              </w:rPr>
              <w:t xml:space="preserve">2,7% </w:t>
            </w:r>
          </w:p>
        </w:tc>
        <w:tc>
          <w:tcPr>
            <w:tcW w:w="1001" w:type="dxa"/>
            <w:tcBorders>
              <w:top w:val="single" w:sz="8" w:space="0" w:color="000000"/>
              <w:left w:val="single" w:sz="4" w:space="0" w:color="auto"/>
              <w:bottom w:val="single" w:sz="8" w:space="0" w:color="000000"/>
              <w:right w:val="single" w:sz="8" w:space="0" w:color="000000"/>
            </w:tcBorders>
            <w:hideMark/>
          </w:tcPr>
          <w:p w:rsidR="000A70A6" w:rsidRDefault="000A70A6" w:rsidP="00F06180">
            <w:pPr>
              <w:rPr>
                <w:bCs/>
                <w:color w:val="000000"/>
                <w:lang w:val="es-ES"/>
              </w:rPr>
            </w:pPr>
            <w:r>
              <w:rPr>
                <w:lang w:val="en-GB"/>
              </w:rPr>
              <w:t>2,7%</w:t>
            </w:r>
          </w:p>
        </w:tc>
      </w:tr>
      <w:tr w:rsidR="000A70A6" w:rsidTr="00F06180">
        <w:trPr>
          <w:trHeight w:val="144"/>
        </w:trPr>
        <w:tc>
          <w:tcPr>
            <w:tcW w:w="4339"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Tromboembolisk hændelse </w:t>
            </w:r>
          </w:p>
        </w:tc>
        <w:tc>
          <w:tcPr>
            <w:tcW w:w="1752" w:type="dxa"/>
            <w:tcBorders>
              <w:top w:val="single" w:sz="8" w:space="0" w:color="000000"/>
              <w:left w:val="single" w:sz="8" w:space="0" w:color="000000"/>
              <w:bottom w:val="single" w:sz="8" w:space="0" w:color="000000"/>
              <w:right w:val="single" w:sz="4" w:space="0" w:color="auto"/>
            </w:tcBorders>
            <w:hideMark/>
          </w:tcPr>
          <w:p w:rsidR="000A70A6" w:rsidRDefault="000A70A6" w:rsidP="00F06180">
            <w:pPr>
              <w:rPr>
                <w:bCs/>
                <w:color w:val="000000"/>
                <w:lang w:val="es-ES"/>
              </w:rPr>
            </w:pPr>
            <w:r>
              <w:rPr>
                <w:bCs/>
                <w:color w:val="000000"/>
                <w:lang w:val="es-ES"/>
              </w:rPr>
              <w:t xml:space="preserve">2,1% </w:t>
            </w:r>
          </w:p>
        </w:tc>
        <w:tc>
          <w:tcPr>
            <w:tcW w:w="1352" w:type="dxa"/>
            <w:tcBorders>
              <w:top w:val="single" w:sz="8" w:space="0" w:color="000000"/>
              <w:left w:val="single" w:sz="4" w:space="0" w:color="auto"/>
              <w:bottom w:val="single" w:sz="8" w:space="0" w:color="000000"/>
              <w:right w:val="single" w:sz="8" w:space="0" w:color="000000"/>
            </w:tcBorders>
            <w:hideMark/>
          </w:tcPr>
          <w:p w:rsidR="000A70A6" w:rsidRDefault="000A70A6" w:rsidP="00F06180">
            <w:pPr>
              <w:rPr>
                <w:bCs/>
                <w:color w:val="000000"/>
                <w:lang w:val="es-ES"/>
              </w:rPr>
            </w:pPr>
            <w:r>
              <w:rPr>
                <w:lang w:val="en-GB"/>
              </w:rPr>
              <w:t>3,2%</w:t>
            </w:r>
          </w:p>
        </w:tc>
        <w:tc>
          <w:tcPr>
            <w:tcW w:w="1549" w:type="dxa"/>
            <w:tcBorders>
              <w:top w:val="single" w:sz="8" w:space="0" w:color="000000"/>
              <w:left w:val="single" w:sz="8" w:space="0" w:color="000000"/>
              <w:bottom w:val="single" w:sz="8" w:space="0" w:color="000000"/>
              <w:right w:val="single" w:sz="4" w:space="0" w:color="auto"/>
            </w:tcBorders>
            <w:hideMark/>
          </w:tcPr>
          <w:p w:rsidR="000A70A6" w:rsidRDefault="000A70A6" w:rsidP="00F06180">
            <w:pPr>
              <w:rPr>
                <w:bCs/>
                <w:color w:val="000000"/>
                <w:lang w:val="es-ES"/>
              </w:rPr>
            </w:pPr>
            <w:r>
              <w:rPr>
                <w:bCs/>
                <w:color w:val="000000"/>
                <w:lang w:val="es-ES"/>
              </w:rPr>
              <w:t xml:space="preserve">3,6% </w:t>
            </w:r>
          </w:p>
        </w:tc>
        <w:tc>
          <w:tcPr>
            <w:tcW w:w="1001" w:type="dxa"/>
            <w:tcBorders>
              <w:top w:val="single" w:sz="8" w:space="0" w:color="000000"/>
              <w:left w:val="single" w:sz="4" w:space="0" w:color="auto"/>
              <w:bottom w:val="single" w:sz="8" w:space="0" w:color="000000"/>
              <w:right w:val="single" w:sz="8" w:space="0" w:color="000000"/>
            </w:tcBorders>
            <w:hideMark/>
          </w:tcPr>
          <w:p w:rsidR="000A70A6" w:rsidRDefault="000A70A6" w:rsidP="00F06180">
            <w:pPr>
              <w:rPr>
                <w:bCs/>
                <w:color w:val="000000"/>
                <w:lang w:val="es-ES"/>
              </w:rPr>
            </w:pPr>
            <w:r>
              <w:rPr>
                <w:lang w:val="en-GB"/>
              </w:rPr>
              <w:t>4,6%</w:t>
            </w:r>
          </w:p>
        </w:tc>
      </w:tr>
      <w:tr w:rsidR="000A70A6" w:rsidTr="00F06180">
        <w:trPr>
          <w:trHeight w:val="144"/>
        </w:trPr>
        <w:tc>
          <w:tcPr>
            <w:tcW w:w="4339"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Myokardieinfarkt </w:t>
            </w:r>
          </w:p>
        </w:tc>
        <w:tc>
          <w:tcPr>
            <w:tcW w:w="1752" w:type="dxa"/>
            <w:tcBorders>
              <w:top w:val="single" w:sz="8" w:space="0" w:color="000000"/>
              <w:left w:val="single" w:sz="8" w:space="0" w:color="000000"/>
              <w:bottom w:val="single" w:sz="8" w:space="0" w:color="000000"/>
              <w:right w:val="single" w:sz="4" w:space="0" w:color="auto"/>
            </w:tcBorders>
            <w:hideMark/>
          </w:tcPr>
          <w:p w:rsidR="000A70A6" w:rsidRDefault="000A70A6" w:rsidP="00F06180">
            <w:pPr>
              <w:rPr>
                <w:bCs/>
                <w:color w:val="000000"/>
                <w:lang w:val="es-ES"/>
              </w:rPr>
            </w:pPr>
            <w:r>
              <w:rPr>
                <w:bCs/>
                <w:color w:val="000000"/>
                <w:lang w:val="es-ES"/>
              </w:rPr>
              <w:t xml:space="preserve">1,0% </w:t>
            </w:r>
          </w:p>
        </w:tc>
        <w:tc>
          <w:tcPr>
            <w:tcW w:w="1352" w:type="dxa"/>
            <w:tcBorders>
              <w:top w:val="single" w:sz="8" w:space="0" w:color="000000"/>
              <w:left w:val="single" w:sz="4" w:space="0" w:color="auto"/>
              <w:bottom w:val="single" w:sz="8" w:space="0" w:color="000000"/>
              <w:right w:val="single" w:sz="8" w:space="0" w:color="000000"/>
            </w:tcBorders>
            <w:hideMark/>
          </w:tcPr>
          <w:p w:rsidR="000A70A6" w:rsidRDefault="000A70A6" w:rsidP="00F06180">
            <w:pPr>
              <w:rPr>
                <w:bCs/>
                <w:color w:val="000000"/>
                <w:lang w:val="es-ES"/>
              </w:rPr>
            </w:pPr>
            <w:r>
              <w:rPr>
                <w:lang w:val="en-GB"/>
              </w:rPr>
              <w:t>1,7%</w:t>
            </w:r>
          </w:p>
        </w:tc>
        <w:tc>
          <w:tcPr>
            <w:tcW w:w="1549" w:type="dxa"/>
            <w:tcBorders>
              <w:top w:val="single" w:sz="8" w:space="0" w:color="000000"/>
              <w:left w:val="single" w:sz="8" w:space="0" w:color="000000"/>
              <w:bottom w:val="single" w:sz="8" w:space="0" w:color="000000"/>
              <w:right w:val="single" w:sz="4" w:space="0" w:color="auto"/>
            </w:tcBorders>
            <w:hideMark/>
          </w:tcPr>
          <w:p w:rsidR="000A70A6" w:rsidRDefault="000A70A6" w:rsidP="00F06180">
            <w:pPr>
              <w:rPr>
                <w:bCs/>
                <w:color w:val="000000"/>
                <w:lang w:val="es-ES"/>
              </w:rPr>
            </w:pPr>
            <w:r>
              <w:rPr>
                <w:bCs/>
                <w:color w:val="000000"/>
                <w:lang w:val="es-ES"/>
              </w:rPr>
              <w:t xml:space="preserve">0,5% </w:t>
            </w:r>
          </w:p>
        </w:tc>
        <w:tc>
          <w:tcPr>
            <w:tcW w:w="1001" w:type="dxa"/>
            <w:tcBorders>
              <w:top w:val="single" w:sz="8" w:space="0" w:color="000000"/>
              <w:left w:val="single" w:sz="4" w:space="0" w:color="auto"/>
              <w:bottom w:val="single" w:sz="8" w:space="0" w:color="000000"/>
              <w:right w:val="single" w:sz="8" w:space="0" w:color="000000"/>
            </w:tcBorders>
            <w:hideMark/>
          </w:tcPr>
          <w:p w:rsidR="000A70A6" w:rsidRDefault="000A70A6" w:rsidP="00F06180">
            <w:pPr>
              <w:rPr>
                <w:bCs/>
                <w:color w:val="000000"/>
                <w:lang w:val="es-ES"/>
              </w:rPr>
            </w:pPr>
            <w:r>
              <w:rPr>
                <w:lang w:val="en-GB"/>
              </w:rPr>
              <w:t>1,1%</w:t>
            </w:r>
          </w:p>
        </w:tc>
      </w:tr>
      <w:tr w:rsidR="000A70A6" w:rsidTr="00F06180">
        <w:trPr>
          <w:trHeight w:val="271"/>
        </w:trPr>
        <w:tc>
          <w:tcPr>
            <w:tcW w:w="4339"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Endometriehyperplasi / endometriecancer </w:t>
            </w:r>
          </w:p>
        </w:tc>
        <w:tc>
          <w:tcPr>
            <w:tcW w:w="1752" w:type="dxa"/>
            <w:tcBorders>
              <w:top w:val="single" w:sz="8" w:space="0" w:color="000000"/>
              <w:left w:val="single" w:sz="8" w:space="0" w:color="000000"/>
              <w:bottom w:val="single" w:sz="8" w:space="0" w:color="000000"/>
              <w:right w:val="single" w:sz="4" w:space="0" w:color="auto"/>
            </w:tcBorders>
            <w:hideMark/>
          </w:tcPr>
          <w:p w:rsidR="000A70A6" w:rsidRDefault="000A70A6" w:rsidP="00F06180">
            <w:pPr>
              <w:rPr>
                <w:bCs/>
                <w:color w:val="000000"/>
                <w:lang w:val="es-ES"/>
              </w:rPr>
            </w:pPr>
            <w:r>
              <w:rPr>
                <w:bCs/>
                <w:color w:val="000000"/>
                <w:lang w:val="es-ES"/>
              </w:rPr>
              <w:t xml:space="preserve">0,2% </w:t>
            </w:r>
          </w:p>
        </w:tc>
        <w:tc>
          <w:tcPr>
            <w:tcW w:w="1352" w:type="dxa"/>
            <w:tcBorders>
              <w:top w:val="single" w:sz="8" w:space="0" w:color="000000"/>
              <w:left w:val="single" w:sz="4" w:space="0" w:color="auto"/>
              <w:bottom w:val="single" w:sz="8" w:space="0" w:color="000000"/>
              <w:right w:val="single" w:sz="8" w:space="0" w:color="000000"/>
            </w:tcBorders>
            <w:hideMark/>
          </w:tcPr>
          <w:p w:rsidR="000A70A6" w:rsidRDefault="000A70A6" w:rsidP="00F06180">
            <w:pPr>
              <w:rPr>
                <w:bCs/>
                <w:color w:val="000000"/>
                <w:lang w:val="es-ES"/>
              </w:rPr>
            </w:pPr>
            <w:r>
              <w:rPr>
                <w:lang w:val="en-GB"/>
              </w:rPr>
              <w:t>0,4%</w:t>
            </w:r>
          </w:p>
        </w:tc>
        <w:tc>
          <w:tcPr>
            <w:tcW w:w="1549" w:type="dxa"/>
            <w:tcBorders>
              <w:top w:val="single" w:sz="8" w:space="0" w:color="000000"/>
              <w:left w:val="single" w:sz="8" w:space="0" w:color="000000"/>
              <w:bottom w:val="single" w:sz="8" w:space="0" w:color="000000"/>
              <w:right w:val="single" w:sz="4" w:space="0" w:color="auto"/>
            </w:tcBorders>
            <w:hideMark/>
          </w:tcPr>
          <w:p w:rsidR="000A70A6" w:rsidRDefault="000A70A6" w:rsidP="00F06180">
            <w:pPr>
              <w:rPr>
                <w:bCs/>
                <w:color w:val="000000"/>
                <w:lang w:val="es-ES"/>
              </w:rPr>
            </w:pPr>
            <w:r>
              <w:rPr>
                <w:bCs/>
                <w:color w:val="000000"/>
                <w:lang w:val="es-ES"/>
              </w:rPr>
              <w:t xml:space="preserve">2,3% </w:t>
            </w:r>
          </w:p>
        </w:tc>
        <w:tc>
          <w:tcPr>
            <w:tcW w:w="1001" w:type="dxa"/>
            <w:tcBorders>
              <w:top w:val="single" w:sz="8" w:space="0" w:color="000000"/>
              <w:left w:val="single" w:sz="4" w:space="0" w:color="auto"/>
              <w:bottom w:val="single" w:sz="8" w:space="0" w:color="000000"/>
              <w:right w:val="single" w:sz="8" w:space="0" w:color="000000"/>
            </w:tcBorders>
            <w:hideMark/>
          </w:tcPr>
          <w:p w:rsidR="000A70A6" w:rsidRDefault="000A70A6" w:rsidP="00F06180">
            <w:pPr>
              <w:rPr>
                <w:bCs/>
                <w:color w:val="000000"/>
                <w:lang w:val="es-ES"/>
              </w:rPr>
            </w:pPr>
            <w:r>
              <w:rPr>
                <w:lang w:val="en-GB"/>
              </w:rPr>
              <w:t>2,9%</w:t>
            </w:r>
          </w:p>
        </w:tc>
      </w:tr>
      <w:tr w:rsidR="000A70A6" w:rsidTr="00F06180">
        <w:trPr>
          <w:trHeight w:val="526"/>
        </w:trPr>
        <w:tc>
          <w:tcPr>
            <w:tcW w:w="9993" w:type="dxa"/>
            <w:gridSpan w:val="5"/>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rPr>
            </w:pPr>
            <w:r>
              <w:rPr>
                <w:bCs/>
                <w:color w:val="000000"/>
              </w:rPr>
              <w:t>Bemærk: ”Under behandling” inkluderer 30 dage efter sidste dosis. ”Ethvert tidspunkt” inkluderer opfølgning efter afslutning eller afbrydelse af forsøgsbehandling.</w:t>
            </w:r>
          </w:p>
          <w:p w:rsidR="000A70A6" w:rsidRDefault="000A70A6" w:rsidP="00F06180">
            <w:pPr>
              <w:rPr>
                <w:bCs/>
                <w:color w:val="000000"/>
              </w:rPr>
            </w:pPr>
            <w:r>
              <w:rPr>
                <w:bCs/>
                <w:color w:val="000000"/>
              </w:rPr>
              <w:t xml:space="preserve">Forskellene blev baseret på risiko-ratio og 95 % konfidensintervaller.  </w:t>
            </w:r>
          </w:p>
        </w:tc>
      </w:tr>
    </w:tbl>
    <w:p w:rsidR="000A70A6" w:rsidRDefault="000A70A6" w:rsidP="000A70A6">
      <w:pPr>
        <w:rPr>
          <w:b/>
          <w:bCs/>
          <w:color w:val="000000"/>
          <w:sz w:val="22"/>
          <w:szCs w:val="22"/>
        </w:rPr>
      </w:pPr>
    </w:p>
    <w:p w:rsidR="000A70A6" w:rsidRDefault="000A70A6" w:rsidP="000A70A6">
      <w:pPr>
        <w:ind w:left="720"/>
        <w:rPr>
          <w:b/>
          <w:bCs/>
        </w:rPr>
      </w:pPr>
      <w:r>
        <w:rPr>
          <w:b/>
          <w:bCs/>
        </w:rPr>
        <w:t xml:space="preserve">Tabel 3 Sekventiel behandling </w:t>
      </w:r>
      <w:r>
        <w:rPr>
          <w:b/>
          <w:bCs/>
          <w:i/>
          <w:iCs/>
        </w:rPr>
        <w:t xml:space="preserve">versus </w:t>
      </w:r>
      <w:proofErr w:type="spellStart"/>
      <w:r w:rsidR="004A34B7">
        <w:rPr>
          <w:b/>
          <w:bCs/>
          <w:iCs/>
        </w:rPr>
        <w:t>l</w:t>
      </w:r>
      <w:r>
        <w:rPr>
          <w:b/>
          <w:bCs/>
        </w:rPr>
        <w:t>etrozol</w:t>
      </w:r>
      <w:proofErr w:type="spellEnd"/>
      <w:r>
        <w:rPr>
          <w:b/>
          <w:bCs/>
        </w:rPr>
        <w:t xml:space="preserve"> monoterapi – bivirkninger med signifikante forskelle</w:t>
      </w:r>
    </w:p>
    <w:p w:rsidR="000A70A6" w:rsidRDefault="000A70A6" w:rsidP="000A70A6">
      <w:pPr>
        <w:rPr>
          <w:b/>
          <w:bCs/>
          <w:color w:val="000000"/>
        </w:rPr>
      </w:pPr>
    </w:p>
    <w:tbl>
      <w:tblPr>
        <w:tblW w:w="9270" w:type="dxa"/>
        <w:tblInd w:w="18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3787"/>
        <w:gridCol w:w="1730"/>
        <w:gridCol w:w="1840"/>
        <w:gridCol w:w="1913"/>
      </w:tblGrid>
      <w:tr w:rsidR="000A70A6" w:rsidTr="00F06180">
        <w:trPr>
          <w:trHeight w:val="146"/>
        </w:trPr>
        <w:tc>
          <w:tcPr>
            <w:tcW w:w="3790" w:type="dxa"/>
            <w:vMerge w:val="restart"/>
            <w:tcBorders>
              <w:top w:val="single" w:sz="8" w:space="0" w:color="000000"/>
              <w:left w:val="single" w:sz="8" w:space="0" w:color="000000"/>
              <w:bottom w:val="single" w:sz="8" w:space="0" w:color="000000"/>
              <w:right w:val="single" w:sz="4" w:space="0" w:color="auto"/>
            </w:tcBorders>
          </w:tcPr>
          <w:p w:rsidR="000A70A6" w:rsidRDefault="000A70A6" w:rsidP="00F06180">
            <w:pPr>
              <w:rPr>
                <w:b/>
                <w:bCs/>
                <w:color w:val="000000"/>
              </w:rPr>
            </w:pPr>
          </w:p>
        </w:tc>
        <w:tc>
          <w:tcPr>
            <w:tcW w:w="1731" w:type="dxa"/>
            <w:tcBorders>
              <w:top w:val="single" w:sz="8" w:space="0" w:color="000000"/>
              <w:left w:val="single" w:sz="4" w:space="0" w:color="auto"/>
              <w:bottom w:val="single" w:sz="8" w:space="0" w:color="000000"/>
              <w:right w:val="single" w:sz="8" w:space="0" w:color="000000"/>
            </w:tcBorders>
            <w:hideMark/>
          </w:tcPr>
          <w:p w:rsidR="000A70A6" w:rsidRDefault="000A70A6" w:rsidP="00F06180">
            <w:pPr>
              <w:rPr>
                <w:b/>
                <w:bCs/>
                <w:color w:val="000000"/>
                <w:lang w:val="es-ES"/>
              </w:rPr>
            </w:pPr>
            <w:r>
              <w:rPr>
                <w:b/>
                <w:bCs/>
                <w:color w:val="000000"/>
                <w:lang w:val="es-ES"/>
              </w:rPr>
              <w:t>Letrozol monoterapi</w:t>
            </w:r>
          </w:p>
        </w:tc>
        <w:tc>
          <w:tcPr>
            <w:tcW w:w="1841"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
                <w:bCs/>
                <w:color w:val="000000"/>
                <w:lang w:val="es-ES"/>
              </w:rPr>
            </w:pPr>
            <w:r>
              <w:rPr>
                <w:b/>
                <w:bCs/>
                <w:color w:val="000000"/>
                <w:lang w:val="es-ES"/>
              </w:rPr>
              <w:t xml:space="preserve">Letrozol-&gt; tamoxifen </w:t>
            </w:r>
          </w:p>
        </w:tc>
        <w:tc>
          <w:tcPr>
            <w:tcW w:w="1914"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
                <w:bCs/>
                <w:color w:val="000000"/>
                <w:lang w:val="es-ES"/>
              </w:rPr>
            </w:pPr>
            <w:r>
              <w:rPr>
                <w:b/>
                <w:bCs/>
                <w:color w:val="000000"/>
                <w:lang w:val="es-ES"/>
              </w:rPr>
              <w:t xml:space="preserve">Tamoxifen-&gt; </w:t>
            </w:r>
            <w:r w:rsidR="004A34B7">
              <w:rPr>
                <w:b/>
                <w:bCs/>
                <w:color w:val="000000"/>
                <w:lang w:val="es-ES"/>
              </w:rPr>
              <w:t>l</w:t>
            </w:r>
            <w:r>
              <w:rPr>
                <w:b/>
                <w:bCs/>
                <w:color w:val="000000"/>
                <w:lang w:val="es-ES"/>
              </w:rPr>
              <w:t xml:space="preserve">etrozol </w:t>
            </w:r>
          </w:p>
        </w:tc>
      </w:tr>
      <w:tr w:rsidR="000A70A6" w:rsidTr="00F06180">
        <w:trPr>
          <w:trHeight w:val="144"/>
        </w:trPr>
        <w:tc>
          <w:tcPr>
            <w:tcW w:w="9276" w:type="dxa"/>
            <w:vMerge/>
            <w:tcBorders>
              <w:top w:val="single" w:sz="8" w:space="0" w:color="000000"/>
              <w:left w:val="single" w:sz="8" w:space="0" w:color="000000"/>
              <w:bottom w:val="single" w:sz="8" w:space="0" w:color="000000"/>
              <w:right w:val="single" w:sz="4" w:space="0" w:color="auto"/>
            </w:tcBorders>
            <w:vAlign w:val="center"/>
            <w:hideMark/>
          </w:tcPr>
          <w:p w:rsidR="000A70A6" w:rsidRDefault="000A70A6" w:rsidP="00F06180">
            <w:pPr>
              <w:rPr>
                <w:b/>
                <w:bCs/>
                <w:color w:val="000000"/>
                <w:sz w:val="22"/>
                <w:szCs w:val="22"/>
              </w:rPr>
            </w:pPr>
          </w:p>
        </w:tc>
        <w:tc>
          <w:tcPr>
            <w:tcW w:w="1731" w:type="dxa"/>
            <w:tcBorders>
              <w:top w:val="single" w:sz="8" w:space="0" w:color="000000"/>
              <w:left w:val="single" w:sz="4" w:space="0" w:color="auto"/>
              <w:bottom w:val="single" w:sz="8" w:space="0" w:color="000000"/>
              <w:right w:val="single" w:sz="8" w:space="0" w:color="000000"/>
            </w:tcBorders>
            <w:hideMark/>
          </w:tcPr>
          <w:p w:rsidR="000A70A6" w:rsidRDefault="000A70A6" w:rsidP="00F06180">
            <w:pPr>
              <w:rPr>
                <w:bCs/>
                <w:color w:val="000000"/>
                <w:lang w:val="es-ES"/>
              </w:rPr>
            </w:pPr>
            <w:r>
              <w:rPr>
                <w:lang w:val="en-GB"/>
              </w:rPr>
              <w:t>N=1535</w:t>
            </w:r>
          </w:p>
        </w:tc>
        <w:tc>
          <w:tcPr>
            <w:tcW w:w="1841"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lang w:val="en-GB"/>
              </w:rPr>
              <w:t>N=1527</w:t>
            </w:r>
          </w:p>
        </w:tc>
        <w:tc>
          <w:tcPr>
            <w:tcW w:w="1914"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lang w:val="en-GB"/>
              </w:rPr>
              <w:t>N=1541</w:t>
            </w:r>
          </w:p>
        </w:tc>
      </w:tr>
      <w:tr w:rsidR="000A70A6" w:rsidTr="00F06180">
        <w:trPr>
          <w:trHeight w:val="144"/>
        </w:trPr>
        <w:tc>
          <w:tcPr>
            <w:tcW w:w="9276" w:type="dxa"/>
            <w:vMerge/>
            <w:tcBorders>
              <w:top w:val="single" w:sz="8" w:space="0" w:color="000000"/>
              <w:left w:val="single" w:sz="8" w:space="0" w:color="000000"/>
              <w:bottom w:val="single" w:sz="8" w:space="0" w:color="000000"/>
              <w:right w:val="single" w:sz="4" w:space="0" w:color="auto"/>
            </w:tcBorders>
            <w:vAlign w:val="center"/>
            <w:hideMark/>
          </w:tcPr>
          <w:p w:rsidR="000A70A6" w:rsidRDefault="000A70A6" w:rsidP="00F06180">
            <w:pPr>
              <w:rPr>
                <w:b/>
                <w:bCs/>
                <w:color w:val="000000"/>
                <w:sz w:val="22"/>
                <w:szCs w:val="22"/>
              </w:rPr>
            </w:pPr>
          </w:p>
        </w:tc>
        <w:tc>
          <w:tcPr>
            <w:tcW w:w="1731" w:type="dxa"/>
            <w:tcBorders>
              <w:top w:val="single" w:sz="8" w:space="0" w:color="000000"/>
              <w:left w:val="single" w:sz="4" w:space="0" w:color="auto"/>
              <w:bottom w:val="single" w:sz="8" w:space="0" w:color="000000"/>
              <w:right w:val="single" w:sz="8" w:space="0" w:color="000000"/>
            </w:tcBorders>
            <w:hideMark/>
          </w:tcPr>
          <w:p w:rsidR="000A70A6" w:rsidRDefault="000A70A6" w:rsidP="00F06180">
            <w:pPr>
              <w:rPr>
                <w:lang w:val="en-GB"/>
              </w:rPr>
            </w:pPr>
            <w:r>
              <w:rPr>
                <w:lang w:val="en-GB"/>
              </w:rPr>
              <w:t xml:space="preserve">5 </w:t>
            </w:r>
            <w:proofErr w:type="spellStart"/>
            <w:r>
              <w:rPr>
                <w:lang w:val="en-GB"/>
              </w:rPr>
              <w:t>år</w:t>
            </w:r>
            <w:proofErr w:type="spellEnd"/>
          </w:p>
        </w:tc>
        <w:tc>
          <w:tcPr>
            <w:tcW w:w="1841"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lang w:val="en-GB"/>
              </w:rPr>
            </w:pPr>
            <w:r>
              <w:rPr>
                <w:lang w:val="en-GB"/>
              </w:rPr>
              <w:t xml:space="preserve">2 </w:t>
            </w:r>
            <w:proofErr w:type="spellStart"/>
            <w:r>
              <w:rPr>
                <w:lang w:val="en-GB"/>
              </w:rPr>
              <w:t>år</w:t>
            </w:r>
            <w:proofErr w:type="spellEnd"/>
            <w:r>
              <w:rPr>
                <w:lang w:val="en-GB"/>
              </w:rPr>
              <w:t xml:space="preserve"> -&gt; 3 </w:t>
            </w:r>
            <w:proofErr w:type="spellStart"/>
            <w:r>
              <w:rPr>
                <w:lang w:val="en-GB"/>
              </w:rPr>
              <w:t>år</w:t>
            </w:r>
            <w:proofErr w:type="spellEnd"/>
          </w:p>
        </w:tc>
        <w:tc>
          <w:tcPr>
            <w:tcW w:w="1914"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lang w:val="en-GB"/>
              </w:rPr>
            </w:pPr>
            <w:r>
              <w:rPr>
                <w:lang w:val="en-GB"/>
              </w:rPr>
              <w:t xml:space="preserve">2 </w:t>
            </w:r>
            <w:proofErr w:type="spellStart"/>
            <w:r>
              <w:rPr>
                <w:lang w:val="en-GB"/>
              </w:rPr>
              <w:t>år</w:t>
            </w:r>
            <w:proofErr w:type="spellEnd"/>
            <w:r>
              <w:rPr>
                <w:lang w:val="en-GB"/>
              </w:rPr>
              <w:t xml:space="preserve"> -&gt; 3 </w:t>
            </w:r>
            <w:proofErr w:type="spellStart"/>
            <w:r>
              <w:rPr>
                <w:lang w:val="en-GB"/>
              </w:rPr>
              <w:t>år</w:t>
            </w:r>
            <w:proofErr w:type="spellEnd"/>
          </w:p>
        </w:tc>
      </w:tr>
      <w:tr w:rsidR="000A70A6" w:rsidTr="00F06180">
        <w:trPr>
          <w:trHeight w:val="144"/>
        </w:trPr>
        <w:tc>
          <w:tcPr>
            <w:tcW w:w="3790" w:type="dxa"/>
            <w:tcBorders>
              <w:top w:val="single" w:sz="8" w:space="0" w:color="000000"/>
              <w:left w:val="single" w:sz="8" w:space="0" w:color="000000"/>
              <w:bottom w:val="single" w:sz="8" w:space="0" w:color="000000"/>
              <w:right w:val="single" w:sz="4" w:space="0" w:color="auto"/>
            </w:tcBorders>
            <w:hideMark/>
          </w:tcPr>
          <w:p w:rsidR="000A70A6" w:rsidRDefault="000A70A6" w:rsidP="00F06180">
            <w:pPr>
              <w:rPr>
                <w:bCs/>
                <w:color w:val="000000"/>
                <w:lang w:val="es-ES"/>
              </w:rPr>
            </w:pPr>
            <w:r>
              <w:rPr>
                <w:bCs/>
                <w:color w:val="000000"/>
                <w:lang w:val="es-ES"/>
              </w:rPr>
              <w:t xml:space="preserve">Knoglebrud </w:t>
            </w:r>
          </w:p>
        </w:tc>
        <w:tc>
          <w:tcPr>
            <w:tcW w:w="1731" w:type="dxa"/>
            <w:tcBorders>
              <w:top w:val="single" w:sz="8" w:space="0" w:color="000000"/>
              <w:left w:val="single" w:sz="4" w:space="0" w:color="auto"/>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10,0% </w:t>
            </w:r>
          </w:p>
        </w:tc>
        <w:tc>
          <w:tcPr>
            <w:tcW w:w="1841"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7,7%* </w:t>
            </w:r>
          </w:p>
        </w:tc>
        <w:tc>
          <w:tcPr>
            <w:tcW w:w="1914"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9,7% </w:t>
            </w:r>
          </w:p>
        </w:tc>
      </w:tr>
      <w:tr w:rsidR="000A70A6" w:rsidTr="00F06180">
        <w:trPr>
          <w:trHeight w:val="271"/>
        </w:trPr>
        <w:tc>
          <w:tcPr>
            <w:tcW w:w="3790"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Endometrielle proliferative sygdomme </w:t>
            </w:r>
          </w:p>
        </w:tc>
        <w:tc>
          <w:tcPr>
            <w:tcW w:w="1731"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0,7% </w:t>
            </w:r>
          </w:p>
        </w:tc>
        <w:tc>
          <w:tcPr>
            <w:tcW w:w="1841"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3,4%** </w:t>
            </w:r>
          </w:p>
        </w:tc>
        <w:tc>
          <w:tcPr>
            <w:tcW w:w="1914"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1,7%** </w:t>
            </w:r>
          </w:p>
        </w:tc>
      </w:tr>
      <w:tr w:rsidR="000A70A6" w:rsidTr="00F06180">
        <w:trPr>
          <w:trHeight w:val="144"/>
        </w:trPr>
        <w:tc>
          <w:tcPr>
            <w:tcW w:w="3790"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Hyperkolesterolæmi </w:t>
            </w:r>
          </w:p>
        </w:tc>
        <w:tc>
          <w:tcPr>
            <w:tcW w:w="1731"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52,5% </w:t>
            </w:r>
          </w:p>
        </w:tc>
        <w:tc>
          <w:tcPr>
            <w:tcW w:w="1841"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44,2%* </w:t>
            </w:r>
          </w:p>
        </w:tc>
        <w:tc>
          <w:tcPr>
            <w:tcW w:w="1914"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40,8%* </w:t>
            </w:r>
          </w:p>
        </w:tc>
      </w:tr>
      <w:tr w:rsidR="000A70A6" w:rsidTr="00F06180">
        <w:trPr>
          <w:trHeight w:val="144"/>
        </w:trPr>
        <w:tc>
          <w:tcPr>
            <w:tcW w:w="3790"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Hedeture </w:t>
            </w:r>
          </w:p>
        </w:tc>
        <w:tc>
          <w:tcPr>
            <w:tcW w:w="1731"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37,6% </w:t>
            </w:r>
          </w:p>
        </w:tc>
        <w:tc>
          <w:tcPr>
            <w:tcW w:w="1841"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41,7%** </w:t>
            </w:r>
          </w:p>
        </w:tc>
        <w:tc>
          <w:tcPr>
            <w:tcW w:w="1914"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43,9%** </w:t>
            </w:r>
          </w:p>
        </w:tc>
      </w:tr>
      <w:tr w:rsidR="000A70A6" w:rsidTr="00F06180">
        <w:trPr>
          <w:trHeight w:val="144"/>
        </w:trPr>
        <w:tc>
          <w:tcPr>
            <w:tcW w:w="3790"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Vaginalblødning </w:t>
            </w:r>
          </w:p>
        </w:tc>
        <w:tc>
          <w:tcPr>
            <w:tcW w:w="1731"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6,3% </w:t>
            </w:r>
          </w:p>
        </w:tc>
        <w:tc>
          <w:tcPr>
            <w:tcW w:w="1841"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9,6%** </w:t>
            </w:r>
          </w:p>
        </w:tc>
        <w:tc>
          <w:tcPr>
            <w:tcW w:w="1914"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12,7%** </w:t>
            </w:r>
          </w:p>
        </w:tc>
      </w:tr>
      <w:tr w:rsidR="000A70A6" w:rsidTr="00F06180">
        <w:trPr>
          <w:trHeight w:val="526"/>
        </w:trPr>
        <w:tc>
          <w:tcPr>
            <w:tcW w:w="9276" w:type="dxa"/>
            <w:gridSpan w:val="4"/>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rPr>
            </w:pPr>
            <w:r>
              <w:rPr>
                <w:bCs/>
                <w:color w:val="000000"/>
              </w:rPr>
              <w:t xml:space="preserve">* Signifikant mindre end med </w:t>
            </w:r>
            <w:proofErr w:type="spellStart"/>
            <w:r w:rsidR="004A34B7">
              <w:rPr>
                <w:bCs/>
                <w:color w:val="000000"/>
              </w:rPr>
              <w:t>l</w:t>
            </w:r>
            <w:r>
              <w:rPr>
                <w:bCs/>
                <w:color w:val="000000"/>
              </w:rPr>
              <w:t>etrozol</w:t>
            </w:r>
            <w:proofErr w:type="spellEnd"/>
            <w:r>
              <w:rPr>
                <w:bCs/>
                <w:color w:val="000000"/>
              </w:rPr>
              <w:t xml:space="preserve"> monoterapi </w:t>
            </w:r>
          </w:p>
          <w:p w:rsidR="000A70A6" w:rsidRDefault="000A70A6" w:rsidP="00F06180">
            <w:pPr>
              <w:rPr>
                <w:bCs/>
                <w:color w:val="000000"/>
              </w:rPr>
            </w:pPr>
            <w:r>
              <w:rPr>
                <w:bCs/>
                <w:color w:val="000000"/>
              </w:rPr>
              <w:t xml:space="preserve">** Signifikant større end med </w:t>
            </w:r>
            <w:proofErr w:type="spellStart"/>
            <w:r w:rsidR="004A34B7">
              <w:rPr>
                <w:bCs/>
                <w:color w:val="000000"/>
              </w:rPr>
              <w:t>l</w:t>
            </w:r>
            <w:r>
              <w:rPr>
                <w:bCs/>
                <w:color w:val="000000"/>
              </w:rPr>
              <w:t>etrozol</w:t>
            </w:r>
            <w:proofErr w:type="spellEnd"/>
            <w:r>
              <w:rPr>
                <w:bCs/>
                <w:color w:val="000000"/>
              </w:rPr>
              <w:t xml:space="preserve"> monoterapi </w:t>
            </w:r>
          </w:p>
          <w:p w:rsidR="000A70A6" w:rsidRDefault="000A70A6" w:rsidP="00F06180">
            <w:pPr>
              <w:rPr>
                <w:bCs/>
                <w:color w:val="000000"/>
              </w:rPr>
            </w:pPr>
            <w:r>
              <w:rPr>
                <w:bCs/>
                <w:color w:val="000000"/>
              </w:rPr>
              <w:t xml:space="preserve">Bemærk: Rapporteringsperiode er under behandlingen eller inden for 30 dage efter behandlingsophør </w:t>
            </w:r>
          </w:p>
        </w:tc>
      </w:tr>
    </w:tbl>
    <w:p w:rsidR="000A70A6" w:rsidRDefault="000A70A6" w:rsidP="000A70A6">
      <w:pPr>
        <w:rPr>
          <w:b/>
          <w:bCs/>
          <w:color w:val="000000"/>
        </w:rPr>
      </w:pPr>
    </w:p>
    <w:p w:rsidR="000A70A6" w:rsidRPr="000742AF" w:rsidRDefault="000A70A6" w:rsidP="000A70A6">
      <w:pPr>
        <w:autoSpaceDE w:val="0"/>
        <w:autoSpaceDN w:val="0"/>
        <w:adjustRightInd w:val="0"/>
        <w:ind w:left="851"/>
        <w:rPr>
          <w:color w:val="000000"/>
          <w:sz w:val="24"/>
          <w:szCs w:val="24"/>
        </w:rPr>
      </w:pPr>
      <w:r w:rsidRPr="000742AF">
        <w:rPr>
          <w:color w:val="000000"/>
          <w:sz w:val="24"/>
          <w:szCs w:val="24"/>
          <w:u w:val="single"/>
        </w:rPr>
        <w:t xml:space="preserve">Beskrivelse af udvalgte bivirkninger </w:t>
      </w:r>
    </w:p>
    <w:p w:rsidR="000A70A6" w:rsidRPr="000742AF" w:rsidRDefault="000A70A6" w:rsidP="000A70A6">
      <w:pPr>
        <w:autoSpaceDE w:val="0"/>
        <w:autoSpaceDN w:val="0"/>
        <w:adjustRightInd w:val="0"/>
        <w:ind w:left="851"/>
        <w:rPr>
          <w:color w:val="000000"/>
          <w:sz w:val="24"/>
          <w:szCs w:val="24"/>
        </w:rPr>
      </w:pPr>
      <w:r w:rsidRPr="000742AF">
        <w:rPr>
          <w:i/>
          <w:iCs/>
          <w:color w:val="000000"/>
          <w:sz w:val="24"/>
          <w:szCs w:val="24"/>
        </w:rPr>
        <w:t xml:space="preserve">Hjerterelaterede bivirkninger </w:t>
      </w:r>
    </w:p>
    <w:p w:rsidR="000A70A6" w:rsidRPr="000742AF" w:rsidRDefault="000A70A6" w:rsidP="000A70A6">
      <w:pPr>
        <w:autoSpaceDE w:val="0"/>
        <w:autoSpaceDN w:val="0"/>
        <w:adjustRightInd w:val="0"/>
        <w:ind w:left="851"/>
        <w:rPr>
          <w:color w:val="000000"/>
          <w:sz w:val="24"/>
          <w:szCs w:val="24"/>
        </w:rPr>
      </w:pPr>
      <w:r w:rsidRPr="000742AF">
        <w:rPr>
          <w:color w:val="000000"/>
          <w:sz w:val="24"/>
          <w:szCs w:val="24"/>
        </w:rPr>
        <w:t xml:space="preserve">Ved </w:t>
      </w:r>
      <w:proofErr w:type="spellStart"/>
      <w:r w:rsidRPr="000742AF">
        <w:rPr>
          <w:color w:val="000000"/>
          <w:sz w:val="24"/>
          <w:szCs w:val="24"/>
        </w:rPr>
        <w:t>adjuverende</w:t>
      </w:r>
      <w:proofErr w:type="spellEnd"/>
      <w:r w:rsidRPr="000742AF">
        <w:rPr>
          <w:color w:val="000000"/>
          <w:sz w:val="24"/>
          <w:szCs w:val="24"/>
        </w:rPr>
        <w:t xml:space="preserve"> behandling blev der udover de bivirkninger, der er præsenteret i Tabel 2, rapporteret følgende bivirkninger for henholdsvis </w:t>
      </w:r>
      <w:proofErr w:type="spellStart"/>
      <w:r w:rsidR="004A34B7">
        <w:rPr>
          <w:color w:val="000000"/>
          <w:sz w:val="24"/>
          <w:szCs w:val="24"/>
        </w:rPr>
        <w:t>l</w:t>
      </w:r>
      <w:r w:rsidRPr="000742AF">
        <w:rPr>
          <w:color w:val="000000"/>
          <w:sz w:val="24"/>
          <w:szCs w:val="24"/>
        </w:rPr>
        <w:t>etrozol</w:t>
      </w:r>
      <w:proofErr w:type="spellEnd"/>
      <w:r w:rsidRPr="000742AF">
        <w:rPr>
          <w:color w:val="000000"/>
          <w:sz w:val="24"/>
          <w:szCs w:val="24"/>
        </w:rPr>
        <w:t xml:space="preserve"> og </w:t>
      </w:r>
      <w:proofErr w:type="spellStart"/>
      <w:r w:rsidRPr="000742AF">
        <w:rPr>
          <w:color w:val="000000"/>
          <w:sz w:val="24"/>
          <w:szCs w:val="24"/>
        </w:rPr>
        <w:t>tamoxifen</w:t>
      </w:r>
      <w:proofErr w:type="spellEnd"/>
      <w:r w:rsidRPr="000742AF">
        <w:rPr>
          <w:color w:val="000000"/>
          <w:sz w:val="24"/>
          <w:szCs w:val="24"/>
        </w:rPr>
        <w:t xml:space="preserve"> (ved median behandlingsvarighed på 60 måneder plus 30 dage): operationskrævende angina (1,0% </w:t>
      </w:r>
      <w:r w:rsidRPr="000742AF">
        <w:rPr>
          <w:i/>
          <w:iCs/>
          <w:color w:val="000000"/>
          <w:sz w:val="24"/>
          <w:szCs w:val="24"/>
        </w:rPr>
        <w:t xml:space="preserve">vs. </w:t>
      </w:r>
      <w:r w:rsidRPr="000742AF">
        <w:rPr>
          <w:color w:val="000000"/>
          <w:sz w:val="24"/>
          <w:szCs w:val="24"/>
        </w:rPr>
        <w:t xml:space="preserve">1,0%); hjertesvigt (1,1% </w:t>
      </w:r>
      <w:r w:rsidRPr="000742AF">
        <w:rPr>
          <w:i/>
          <w:iCs/>
          <w:color w:val="000000"/>
          <w:sz w:val="24"/>
          <w:szCs w:val="24"/>
        </w:rPr>
        <w:t xml:space="preserve">vs. </w:t>
      </w:r>
      <w:r w:rsidRPr="000742AF">
        <w:rPr>
          <w:color w:val="000000"/>
          <w:sz w:val="24"/>
          <w:szCs w:val="24"/>
        </w:rPr>
        <w:t xml:space="preserve">0,6%); hypertension (5,6% </w:t>
      </w:r>
      <w:r w:rsidRPr="000742AF">
        <w:rPr>
          <w:i/>
          <w:iCs/>
          <w:color w:val="000000"/>
          <w:sz w:val="24"/>
          <w:szCs w:val="24"/>
        </w:rPr>
        <w:t xml:space="preserve">vs. </w:t>
      </w:r>
      <w:r w:rsidRPr="000742AF">
        <w:rPr>
          <w:color w:val="000000"/>
          <w:sz w:val="24"/>
          <w:szCs w:val="24"/>
        </w:rPr>
        <w:t xml:space="preserve">5,7%); </w:t>
      </w:r>
      <w:proofErr w:type="spellStart"/>
      <w:r w:rsidRPr="000742AF">
        <w:rPr>
          <w:color w:val="000000"/>
          <w:sz w:val="24"/>
          <w:szCs w:val="24"/>
        </w:rPr>
        <w:t>cerebrovaskulær</w:t>
      </w:r>
      <w:proofErr w:type="spellEnd"/>
      <w:r w:rsidRPr="000742AF">
        <w:rPr>
          <w:color w:val="000000"/>
          <w:sz w:val="24"/>
          <w:szCs w:val="24"/>
        </w:rPr>
        <w:t xml:space="preserve"> hændelse/transitorisk cerebral iskæmi (2,1% </w:t>
      </w:r>
      <w:r w:rsidRPr="000742AF">
        <w:rPr>
          <w:i/>
          <w:iCs/>
          <w:color w:val="000000"/>
          <w:sz w:val="24"/>
          <w:szCs w:val="24"/>
        </w:rPr>
        <w:t xml:space="preserve">vs. </w:t>
      </w:r>
      <w:r w:rsidRPr="000742AF">
        <w:rPr>
          <w:color w:val="000000"/>
          <w:sz w:val="24"/>
          <w:szCs w:val="24"/>
        </w:rPr>
        <w:t xml:space="preserve">1,9%). </w:t>
      </w:r>
    </w:p>
    <w:p w:rsidR="000A70A6" w:rsidRPr="000742AF" w:rsidRDefault="000A70A6" w:rsidP="000A70A6">
      <w:pPr>
        <w:autoSpaceDE w:val="0"/>
        <w:autoSpaceDN w:val="0"/>
        <w:adjustRightInd w:val="0"/>
        <w:ind w:left="851"/>
        <w:rPr>
          <w:color w:val="000000"/>
          <w:sz w:val="24"/>
          <w:szCs w:val="24"/>
        </w:rPr>
      </w:pPr>
    </w:p>
    <w:p w:rsidR="000A70A6" w:rsidRPr="000742AF" w:rsidRDefault="000A70A6" w:rsidP="000A70A6">
      <w:pPr>
        <w:autoSpaceDE w:val="0"/>
        <w:autoSpaceDN w:val="0"/>
        <w:adjustRightInd w:val="0"/>
        <w:ind w:left="851"/>
        <w:rPr>
          <w:color w:val="000000"/>
          <w:sz w:val="24"/>
          <w:szCs w:val="24"/>
        </w:rPr>
      </w:pPr>
      <w:r w:rsidRPr="000742AF">
        <w:rPr>
          <w:color w:val="000000"/>
          <w:sz w:val="24"/>
          <w:szCs w:val="24"/>
        </w:rPr>
        <w:t xml:space="preserve">Ved forlænget </w:t>
      </w:r>
      <w:proofErr w:type="spellStart"/>
      <w:r w:rsidRPr="000742AF">
        <w:rPr>
          <w:color w:val="000000"/>
          <w:sz w:val="24"/>
          <w:szCs w:val="24"/>
        </w:rPr>
        <w:t>adjuverende</w:t>
      </w:r>
      <w:proofErr w:type="spellEnd"/>
      <w:r w:rsidRPr="000742AF">
        <w:rPr>
          <w:color w:val="000000"/>
          <w:sz w:val="24"/>
          <w:szCs w:val="24"/>
        </w:rPr>
        <w:t xml:space="preserve"> behandling med </w:t>
      </w:r>
      <w:proofErr w:type="spellStart"/>
      <w:r w:rsidR="004A34B7">
        <w:rPr>
          <w:color w:val="000000"/>
          <w:sz w:val="24"/>
          <w:szCs w:val="24"/>
        </w:rPr>
        <w:t>l</w:t>
      </w:r>
      <w:r w:rsidRPr="000742AF">
        <w:rPr>
          <w:color w:val="000000"/>
          <w:sz w:val="24"/>
          <w:szCs w:val="24"/>
        </w:rPr>
        <w:t>etrozol</w:t>
      </w:r>
      <w:proofErr w:type="spellEnd"/>
      <w:r w:rsidRPr="000742AF">
        <w:rPr>
          <w:color w:val="000000"/>
          <w:sz w:val="24"/>
          <w:szCs w:val="24"/>
        </w:rPr>
        <w:t xml:space="preserve"> (median behandlingstid 5 år) henholdsvis placebo (median behandlingstid 3 år) blev der rapporteret operationskrævende angina (0,8% </w:t>
      </w:r>
      <w:r w:rsidRPr="000742AF">
        <w:rPr>
          <w:i/>
          <w:iCs/>
          <w:color w:val="000000"/>
          <w:sz w:val="24"/>
          <w:szCs w:val="24"/>
        </w:rPr>
        <w:t xml:space="preserve">vs. </w:t>
      </w:r>
      <w:r w:rsidRPr="000742AF">
        <w:rPr>
          <w:color w:val="000000"/>
          <w:sz w:val="24"/>
          <w:szCs w:val="24"/>
        </w:rPr>
        <w:t xml:space="preserve">0,6%), forekomst eller forværring af angina (1,4% </w:t>
      </w:r>
      <w:r w:rsidRPr="000742AF">
        <w:rPr>
          <w:i/>
          <w:iCs/>
          <w:color w:val="000000"/>
          <w:sz w:val="24"/>
          <w:szCs w:val="24"/>
        </w:rPr>
        <w:t xml:space="preserve">vs. </w:t>
      </w:r>
      <w:r w:rsidRPr="000742AF">
        <w:rPr>
          <w:color w:val="000000"/>
          <w:sz w:val="24"/>
          <w:szCs w:val="24"/>
        </w:rPr>
        <w:t xml:space="preserve">1,0%), myokardieinfarkt (1,0% </w:t>
      </w:r>
      <w:r w:rsidRPr="000742AF">
        <w:rPr>
          <w:i/>
          <w:iCs/>
          <w:color w:val="000000"/>
          <w:sz w:val="24"/>
          <w:szCs w:val="24"/>
        </w:rPr>
        <w:t xml:space="preserve">vs. </w:t>
      </w:r>
      <w:r w:rsidRPr="000742AF">
        <w:rPr>
          <w:color w:val="000000"/>
          <w:sz w:val="24"/>
          <w:szCs w:val="24"/>
        </w:rPr>
        <w:t xml:space="preserve">0,7%), </w:t>
      </w:r>
      <w:proofErr w:type="spellStart"/>
      <w:r w:rsidRPr="000742AF">
        <w:rPr>
          <w:color w:val="000000"/>
          <w:sz w:val="24"/>
          <w:szCs w:val="24"/>
        </w:rPr>
        <w:t>tromboembolisk</w:t>
      </w:r>
      <w:proofErr w:type="spellEnd"/>
      <w:r w:rsidRPr="000742AF">
        <w:rPr>
          <w:color w:val="000000"/>
          <w:sz w:val="24"/>
          <w:szCs w:val="24"/>
        </w:rPr>
        <w:t xml:space="preserve"> hændelse* (0,9% </w:t>
      </w:r>
      <w:r w:rsidRPr="000742AF">
        <w:rPr>
          <w:i/>
          <w:iCs/>
          <w:color w:val="000000"/>
          <w:sz w:val="24"/>
          <w:szCs w:val="24"/>
        </w:rPr>
        <w:t xml:space="preserve">vs. </w:t>
      </w:r>
      <w:r w:rsidRPr="000742AF">
        <w:rPr>
          <w:color w:val="000000"/>
          <w:sz w:val="24"/>
          <w:szCs w:val="24"/>
        </w:rPr>
        <w:t xml:space="preserve">0,3%), apopleksi/transitorisk cerebral iskæmi* (1,5% </w:t>
      </w:r>
      <w:r w:rsidRPr="000742AF">
        <w:rPr>
          <w:i/>
          <w:iCs/>
          <w:color w:val="000000"/>
          <w:sz w:val="24"/>
          <w:szCs w:val="24"/>
        </w:rPr>
        <w:t xml:space="preserve">vs. </w:t>
      </w:r>
      <w:r w:rsidRPr="000742AF">
        <w:rPr>
          <w:color w:val="000000"/>
          <w:sz w:val="24"/>
          <w:szCs w:val="24"/>
        </w:rPr>
        <w:t xml:space="preserve">0,8%). </w:t>
      </w:r>
    </w:p>
    <w:p w:rsidR="000A70A6" w:rsidRPr="000742AF" w:rsidRDefault="000A70A6" w:rsidP="000A70A6">
      <w:pPr>
        <w:autoSpaceDE w:val="0"/>
        <w:autoSpaceDN w:val="0"/>
        <w:adjustRightInd w:val="0"/>
        <w:ind w:left="851"/>
        <w:rPr>
          <w:color w:val="000000"/>
          <w:sz w:val="24"/>
          <w:szCs w:val="24"/>
        </w:rPr>
      </w:pPr>
    </w:p>
    <w:p w:rsidR="000A70A6" w:rsidRPr="000742AF" w:rsidRDefault="000A70A6" w:rsidP="000A70A6">
      <w:pPr>
        <w:autoSpaceDE w:val="0"/>
        <w:autoSpaceDN w:val="0"/>
        <w:adjustRightInd w:val="0"/>
        <w:ind w:left="851"/>
        <w:rPr>
          <w:color w:val="000000"/>
          <w:sz w:val="24"/>
          <w:szCs w:val="24"/>
        </w:rPr>
      </w:pPr>
      <w:r w:rsidRPr="000742AF">
        <w:rPr>
          <w:color w:val="000000"/>
          <w:sz w:val="24"/>
          <w:szCs w:val="24"/>
        </w:rPr>
        <w:t xml:space="preserve">Der var statistisk signifikant forskel mellem de to behandlingsarme for hændelser markeret med *. </w:t>
      </w:r>
    </w:p>
    <w:p w:rsidR="000A70A6" w:rsidRPr="000742AF" w:rsidRDefault="000A70A6" w:rsidP="000A70A6">
      <w:pPr>
        <w:autoSpaceDE w:val="0"/>
        <w:autoSpaceDN w:val="0"/>
        <w:adjustRightInd w:val="0"/>
        <w:ind w:left="851"/>
        <w:rPr>
          <w:color w:val="000000"/>
          <w:sz w:val="24"/>
          <w:szCs w:val="24"/>
        </w:rPr>
      </w:pPr>
    </w:p>
    <w:p w:rsidR="000A70A6" w:rsidRPr="000742AF" w:rsidRDefault="000A70A6" w:rsidP="000A70A6">
      <w:pPr>
        <w:keepNext/>
        <w:autoSpaceDE w:val="0"/>
        <w:autoSpaceDN w:val="0"/>
        <w:adjustRightInd w:val="0"/>
        <w:ind w:left="851"/>
        <w:rPr>
          <w:color w:val="000000"/>
          <w:sz w:val="24"/>
          <w:szCs w:val="24"/>
        </w:rPr>
      </w:pPr>
      <w:r w:rsidRPr="000742AF">
        <w:rPr>
          <w:i/>
          <w:iCs/>
          <w:color w:val="000000"/>
          <w:sz w:val="24"/>
          <w:szCs w:val="24"/>
        </w:rPr>
        <w:lastRenderedPageBreak/>
        <w:t xml:space="preserve">Knoglerelaterede bivirkninger </w:t>
      </w:r>
    </w:p>
    <w:p w:rsidR="000A70A6" w:rsidRPr="000742AF" w:rsidRDefault="000A70A6" w:rsidP="000A70A6">
      <w:pPr>
        <w:autoSpaceDE w:val="0"/>
        <w:autoSpaceDN w:val="0"/>
        <w:adjustRightInd w:val="0"/>
        <w:ind w:left="851"/>
        <w:rPr>
          <w:color w:val="000000"/>
          <w:sz w:val="24"/>
          <w:szCs w:val="24"/>
        </w:rPr>
      </w:pPr>
      <w:r w:rsidRPr="000742AF">
        <w:rPr>
          <w:color w:val="000000"/>
          <w:sz w:val="24"/>
          <w:szCs w:val="24"/>
        </w:rPr>
        <w:t xml:space="preserve">For sikkerhedsdata for knogler fra den </w:t>
      </w:r>
      <w:proofErr w:type="spellStart"/>
      <w:r w:rsidRPr="000742AF">
        <w:rPr>
          <w:color w:val="000000"/>
          <w:sz w:val="24"/>
          <w:szCs w:val="24"/>
        </w:rPr>
        <w:t>adjuverende</w:t>
      </w:r>
      <w:proofErr w:type="spellEnd"/>
      <w:r w:rsidRPr="000742AF">
        <w:rPr>
          <w:color w:val="000000"/>
          <w:sz w:val="24"/>
          <w:szCs w:val="24"/>
        </w:rPr>
        <w:t xml:space="preserve"> behandling henvises til Tabel 2. </w:t>
      </w:r>
    </w:p>
    <w:p w:rsidR="000A70A6" w:rsidRPr="000742AF" w:rsidRDefault="000A70A6" w:rsidP="000A70A6">
      <w:pPr>
        <w:autoSpaceDE w:val="0"/>
        <w:autoSpaceDN w:val="0"/>
        <w:adjustRightInd w:val="0"/>
        <w:ind w:left="851"/>
        <w:rPr>
          <w:color w:val="000000"/>
          <w:sz w:val="24"/>
          <w:szCs w:val="24"/>
        </w:rPr>
      </w:pPr>
    </w:p>
    <w:p w:rsidR="000A70A6" w:rsidRPr="000742AF" w:rsidRDefault="000A70A6" w:rsidP="000A70A6">
      <w:pPr>
        <w:autoSpaceDE w:val="0"/>
        <w:autoSpaceDN w:val="0"/>
        <w:adjustRightInd w:val="0"/>
        <w:ind w:left="851"/>
        <w:rPr>
          <w:color w:val="000000"/>
          <w:sz w:val="24"/>
          <w:szCs w:val="24"/>
        </w:rPr>
      </w:pPr>
      <w:r w:rsidRPr="000742AF">
        <w:rPr>
          <w:color w:val="000000"/>
          <w:sz w:val="24"/>
          <w:szCs w:val="24"/>
        </w:rPr>
        <w:t xml:space="preserve">Ved forlænget </w:t>
      </w:r>
      <w:proofErr w:type="spellStart"/>
      <w:r w:rsidRPr="000742AF">
        <w:rPr>
          <w:color w:val="000000"/>
          <w:sz w:val="24"/>
          <w:szCs w:val="24"/>
        </w:rPr>
        <w:t>adjuverende</w:t>
      </w:r>
      <w:proofErr w:type="spellEnd"/>
      <w:r w:rsidRPr="000742AF">
        <w:rPr>
          <w:color w:val="000000"/>
          <w:sz w:val="24"/>
          <w:szCs w:val="24"/>
        </w:rPr>
        <w:t xml:space="preserve"> behandling opstod der knoglebrud og oste</w:t>
      </w:r>
      <w:r w:rsidR="004A34B7">
        <w:rPr>
          <w:color w:val="000000"/>
          <w:sz w:val="24"/>
          <w:szCs w:val="24"/>
        </w:rPr>
        <w:t>o</w:t>
      </w:r>
      <w:r w:rsidRPr="000742AF">
        <w:rPr>
          <w:color w:val="000000"/>
          <w:sz w:val="24"/>
          <w:szCs w:val="24"/>
        </w:rPr>
        <w:t xml:space="preserve">porose hos signifikant flere patienter behandlet med </w:t>
      </w:r>
      <w:proofErr w:type="spellStart"/>
      <w:r w:rsidR="004A34B7">
        <w:rPr>
          <w:color w:val="000000"/>
          <w:sz w:val="24"/>
          <w:szCs w:val="24"/>
        </w:rPr>
        <w:t>l</w:t>
      </w:r>
      <w:r w:rsidRPr="000742AF">
        <w:rPr>
          <w:color w:val="000000"/>
          <w:sz w:val="24"/>
          <w:szCs w:val="24"/>
        </w:rPr>
        <w:t>etrozol</w:t>
      </w:r>
      <w:proofErr w:type="spellEnd"/>
      <w:r w:rsidRPr="000742AF">
        <w:rPr>
          <w:color w:val="000000"/>
          <w:sz w:val="24"/>
          <w:szCs w:val="24"/>
        </w:rPr>
        <w:t xml:space="preserve"> (knoglebrud 10,4% og osteoporose 12,2%) sammenlignet med placebo (henholdsvis 5,8% og 6,4%). Median behandlingstid var 5 år for </w:t>
      </w:r>
      <w:proofErr w:type="spellStart"/>
      <w:r w:rsidR="004A34B7">
        <w:rPr>
          <w:color w:val="000000"/>
          <w:sz w:val="24"/>
          <w:szCs w:val="24"/>
        </w:rPr>
        <w:t>l</w:t>
      </w:r>
      <w:r w:rsidRPr="000742AF">
        <w:rPr>
          <w:color w:val="000000"/>
          <w:sz w:val="24"/>
          <w:szCs w:val="24"/>
        </w:rPr>
        <w:t>etrozol</w:t>
      </w:r>
      <w:proofErr w:type="spellEnd"/>
      <w:r w:rsidRPr="000742AF">
        <w:rPr>
          <w:color w:val="000000"/>
          <w:sz w:val="24"/>
          <w:szCs w:val="24"/>
        </w:rPr>
        <w:t xml:space="preserve"> og 3 år for placebo. </w:t>
      </w:r>
    </w:p>
    <w:p w:rsidR="000A70A6" w:rsidRPr="000742AF" w:rsidRDefault="000A70A6" w:rsidP="000A70A6">
      <w:pPr>
        <w:autoSpaceDE w:val="0"/>
        <w:autoSpaceDN w:val="0"/>
        <w:adjustRightInd w:val="0"/>
        <w:ind w:left="851"/>
        <w:rPr>
          <w:color w:val="000000"/>
          <w:sz w:val="24"/>
          <w:szCs w:val="24"/>
        </w:rPr>
      </w:pPr>
    </w:p>
    <w:p w:rsidR="000A70A6" w:rsidRPr="000742AF" w:rsidRDefault="000A70A6" w:rsidP="000A70A6">
      <w:pPr>
        <w:autoSpaceDE w:val="0"/>
        <w:autoSpaceDN w:val="0"/>
        <w:adjustRightInd w:val="0"/>
        <w:ind w:left="851"/>
        <w:rPr>
          <w:color w:val="000000"/>
          <w:sz w:val="24"/>
          <w:szCs w:val="24"/>
          <w:u w:val="single"/>
        </w:rPr>
      </w:pPr>
      <w:r w:rsidRPr="000742AF">
        <w:rPr>
          <w:color w:val="000000"/>
          <w:sz w:val="24"/>
          <w:szCs w:val="24"/>
          <w:u w:val="single"/>
        </w:rPr>
        <w:t>Indberetning af formodede bivirkninger</w:t>
      </w:r>
    </w:p>
    <w:p w:rsidR="000A70A6" w:rsidRPr="000742AF" w:rsidRDefault="000A70A6" w:rsidP="000A70A6">
      <w:pPr>
        <w:autoSpaceDE w:val="0"/>
        <w:autoSpaceDN w:val="0"/>
        <w:adjustRightInd w:val="0"/>
        <w:ind w:left="851"/>
        <w:rPr>
          <w:color w:val="000000"/>
          <w:sz w:val="24"/>
          <w:szCs w:val="24"/>
        </w:rPr>
      </w:pPr>
      <w:r w:rsidRPr="000742AF">
        <w:rPr>
          <w:color w:val="000000"/>
          <w:sz w:val="24"/>
          <w:szCs w:val="24"/>
        </w:rPr>
        <w:t>Når lægemidlet er godkendt, er indberetning af formodede bivirkninger vigtig. Det muliggør løbende overvågning af benefit/</w:t>
      </w:r>
      <w:proofErr w:type="spellStart"/>
      <w:r w:rsidRPr="000742AF">
        <w:rPr>
          <w:color w:val="000000"/>
          <w:sz w:val="24"/>
          <w:szCs w:val="24"/>
        </w:rPr>
        <w:t>risk</w:t>
      </w:r>
      <w:proofErr w:type="spellEnd"/>
      <w:r w:rsidRPr="000742AF">
        <w:rPr>
          <w:color w:val="000000"/>
          <w:sz w:val="24"/>
          <w:szCs w:val="24"/>
        </w:rPr>
        <w:t>-forholdet for lægemidlet. Læger og sundhedspersonale anmodes om at indberette alle formodede bivirkninger via:</w:t>
      </w:r>
    </w:p>
    <w:p w:rsidR="000A70A6" w:rsidRPr="000742AF" w:rsidRDefault="000A70A6" w:rsidP="000A70A6">
      <w:pPr>
        <w:autoSpaceDE w:val="0"/>
        <w:autoSpaceDN w:val="0"/>
        <w:adjustRightInd w:val="0"/>
        <w:ind w:left="851"/>
        <w:rPr>
          <w:color w:val="000000"/>
          <w:sz w:val="24"/>
          <w:szCs w:val="24"/>
        </w:rPr>
      </w:pPr>
      <w:r w:rsidRPr="000742AF">
        <w:rPr>
          <w:color w:val="000000"/>
          <w:sz w:val="24"/>
          <w:szCs w:val="24"/>
        </w:rPr>
        <w:t>Lægemiddelstyrelsen</w:t>
      </w:r>
    </w:p>
    <w:p w:rsidR="000A70A6" w:rsidRPr="000742AF" w:rsidRDefault="000A70A6" w:rsidP="000A70A6">
      <w:pPr>
        <w:autoSpaceDE w:val="0"/>
        <w:autoSpaceDN w:val="0"/>
        <w:adjustRightInd w:val="0"/>
        <w:ind w:left="851"/>
        <w:rPr>
          <w:color w:val="000000"/>
          <w:sz w:val="24"/>
          <w:szCs w:val="24"/>
        </w:rPr>
      </w:pPr>
      <w:r w:rsidRPr="000742AF">
        <w:rPr>
          <w:color w:val="000000"/>
          <w:sz w:val="24"/>
          <w:szCs w:val="24"/>
        </w:rPr>
        <w:t>Axel Heides Gade 1</w:t>
      </w:r>
    </w:p>
    <w:p w:rsidR="000A70A6" w:rsidRPr="000742AF" w:rsidRDefault="000A70A6" w:rsidP="000A70A6">
      <w:pPr>
        <w:autoSpaceDE w:val="0"/>
        <w:autoSpaceDN w:val="0"/>
        <w:adjustRightInd w:val="0"/>
        <w:ind w:left="851"/>
        <w:rPr>
          <w:color w:val="000000"/>
          <w:sz w:val="24"/>
          <w:szCs w:val="24"/>
        </w:rPr>
      </w:pPr>
      <w:r w:rsidRPr="000742AF">
        <w:rPr>
          <w:color w:val="000000"/>
          <w:sz w:val="24"/>
          <w:szCs w:val="24"/>
        </w:rPr>
        <w:t>DK-2300 København S</w:t>
      </w:r>
    </w:p>
    <w:p w:rsidR="000A70A6" w:rsidRPr="00046FED" w:rsidRDefault="000A70A6" w:rsidP="000A70A6">
      <w:pPr>
        <w:autoSpaceDE w:val="0"/>
        <w:autoSpaceDN w:val="0"/>
        <w:adjustRightInd w:val="0"/>
        <w:ind w:left="851"/>
        <w:rPr>
          <w:color w:val="000000"/>
          <w:sz w:val="24"/>
          <w:szCs w:val="24"/>
        </w:rPr>
      </w:pPr>
      <w:r w:rsidRPr="00046FED">
        <w:rPr>
          <w:color w:val="000000"/>
          <w:sz w:val="24"/>
          <w:szCs w:val="24"/>
        </w:rPr>
        <w:t xml:space="preserve">Websted: </w:t>
      </w:r>
      <w:hyperlink r:id="rId8" w:history="1">
        <w:r w:rsidRPr="00046FED">
          <w:rPr>
            <w:rStyle w:val="Hyperlink"/>
            <w:sz w:val="24"/>
            <w:szCs w:val="24"/>
          </w:rPr>
          <w:t>www.meldenbivirkning.dk</w:t>
        </w:r>
      </w:hyperlink>
    </w:p>
    <w:p w:rsidR="000A70A6" w:rsidRPr="00046FED" w:rsidRDefault="000A70A6" w:rsidP="000A70A6">
      <w:pPr>
        <w:pStyle w:val="Sidehoved"/>
        <w:tabs>
          <w:tab w:val="left" w:pos="851"/>
        </w:tabs>
        <w:ind w:left="851" w:hanging="851"/>
        <w:rPr>
          <w:szCs w:val="24"/>
        </w:rPr>
      </w:pPr>
    </w:p>
    <w:p w:rsidR="000A70A6" w:rsidRPr="001B4655" w:rsidRDefault="000A70A6" w:rsidP="000A70A6">
      <w:pPr>
        <w:tabs>
          <w:tab w:val="left" w:pos="851"/>
        </w:tabs>
        <w:ind w:left="851" w:hanging="851"/>
        <w:rPr>
          <w:b/>
          <w:sz w:val="24"/>
          <w:szCs w:val="24"/>
        </w:rPr>
      </w:pPr>
      <w:r w:rsidRPr="001B4655">
        <w:rPr>
          <w:b/>
          <w:sz w:val="24"/>
          <w:szCs w:val="24"/>
        </w:rPr>
        <w:t>4.9</w:t>
      </w:r>
      <w:r w:rsidRPr="001B4655">
        <w:rPr>
          <w:b/>
          <w:sz w:val="24"/>
          <w:szCs w:val="24"/>
        </w:rPr>
        <w:tab/>
        <w:t>Overdosering</w:t>
      </w:r>
    </w:p>
    <w:p w:rsidR="000A70A6" w:rsidRPr="001B4655" w:rsidRDefault="000A70A6" w:rsidP="000A70A6">
      <w:pPr>
        <w:tabs>
          <w:tab w:val="left" w:pos="851"/>
        </w:tabs>
        <w:ind w:left="851" w:hanging="851"/>
        <w:rPr>
          <w:sz w:val="24"/>
          <w:szCs w:val="24"/>
        </w:rPr>
      </w:pPr>
      <w:r w:rsidRPr="001B4655">
        <w:rPr>
          <w:sz w:val="24"/>
          <w:szCs w:val="24"/>
        </w:rPr>
        <w:tab/>
        <w:t>Der er rapporteret om isolerede tilfælde af overdosering med</w:t>
      </w:r>
      <w:r w:rsidR="004A34B7">
        <w:rPr>
          <w:sz w:val="24"/>
          <w:szCs w:val="24"/>
        </w:rPr>
        <w:t xml:space="preserve"> </w:t>
      </w:r>
      <w:proofErr w:type="spellStart"/>
      <w:r w:rsidR="004A34B7">
        <w:rPr>
          <w:sz w:val="24"/>
          <w:szCs w:val="24"/>
        </w:rPr>
        <w:t>l</w:t>
      </w:r>
      <w:r w:rsidRPr="001B4655">
        <w:rPr>
          <w:sz w:val="24"/>
          <w:szCs w:val="24"/>
        </w:rPr>
        <w:t>etrozol</w:t>
      </w:r>
      <w:proofErr w:type="spellEnd"/>
      <w:r w:rsidRPr="001B4655">
        <w:rPr>
          <w:sz w:val="24"/>
          <w:szCs w:val="24"/>
        </w:rPr>
        <w:t xml:space="preserve">.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Der kendes ingen specifik behandling. Behandlingen bør være symptomatisk og understøttende.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4.10</w:t>
      </w:r>
      <w:r w:rsidRPr="001B4655">
        <w:rPr>
          <w:b/>
          <w:sz w:val="24"/>
          <w:szCs w:val="24"/>
        </w:rPr>
        <w:tab/>
        <w:t>Udlevering</w:t>
      </w:r>
    </w:p>
    <w:p w:rsidR="000A70A6" w:rsidRPr="001B4655" w:rsidRDefault="000A70A6" w:rsidP="000A70A6">
      <w:pPr>
        <w:tabs>
          <w:tab w:val="left" w:pos="851"/>
        </w:tabs>
        <w:ind w:left="851" w:hanging="851"/>
        <w:rPr>
          <w:sz w:val="24"/>
          <w:szCs w:val="24"/>
        </w:rPr>
      </w:pPr>
      <w:r w:rsidRPr="001B4655">
        <w:rPr>
          <w:sz w:val="24"/>
          <w:szCs w:val="24"/>
        </w:rPr>
        <w:tab/>
      </w:r>
      <w:r>
        <w:rPr>
          <w:sz w:val="24"/>
          <w:szCs w:val="24"/>
        </w:rPr>
        <w:t>B</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5.</w:t>
      </w:r>
      <w:r w:rsidRPr="001B4655">
        <w:rPr>
          <w:b/>
          <w:sz w:val="24"/>
          <w:szCs w:val="24"/>
        </w:rPr>
        <w:tab/>
        <w:t>FARMAKOLOGISKE EGENSKABER</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5.0</w:t>
      </w:r>
      <w:r w:rsidRPr="001B4655">
        <w:rPr>
          <w:b/>
          <w:sz w:val="24"/>
          <w:szCs w:val="24"/>
        </w:rPr>
        <w:tab/>
        <w:t>Terapeutisk klassifikation</w:t>
      </w:r>
    </w:p>
    <w:p w:rsidR="000A70A6" w:rsidRPr="00046285" w:rsidRDefault="000A70A6" w:rsidP="000A70A6">
      <w:pPr>
        <w:tabs>
          <w:tab w:val="left" w:pos="851"/>
        </w:tabs>
        <w:ind w:left="851" w:hanging="851"/>
        <w:rPr>
          <w:sz w:val="24"/>
          <w:szCs w:val="24"/>
        </w:rPr>
      </w:pPr>
      <w:r w:rsidRPr="001B4655">
        <w:rPr>
          <w:sz w:val="24"/>
          <w:szCs w:val="24"/>
        </w:rPr>
        <w:tab/>
      </w:r>
      <w:r w:rsidRPr="00E05657">
        <w:rPr>
          <w:sz w:val="24"/>
          <w:szCs w:val="24"/>
        </w:rPr>
        <w:t>ATC-kode: L</w:t>
      </w:r>
      <w:r>
        <w:rPr>
          <w:sz w:val="24"/>
          <w:szCs w:val="24"/>
        </w:rPr>
        <w:t xml:space="preserve"> </w:t>
      </w:r>
      <w:r w:rsidRPr="00E05657">
        <w:rPr>
          <w:sz w:val="24"/>
          <w:szCs w:val="24"/>
        </w:rPr>
        <w:t>02</w:t>
      </w:r>
      <w:r>
        <w:rPr>
          <w:sz w:val="24"/>
          <w:szCs w:val="24"/>
        </w:rPr>
        <w:t xml:space="preserve"> </w:t>
      </w:r>
      <w:r w:rsidRPr="00E05657">
        <w:rPr>
          <w:sz w:val="24"/>
          <w:szCs w:val="24"/>
        </w:rPr>
        <w:t>BG</w:t>
      </w:r>
      <w:r>
        <w:rPr>
          <w:sz w:val="24"/>
          <w:szCs w:val="24"/>
        </w:rPr>
        <w:t xml:space="preserve"> </w:t>
      </w:r>
      <w:r w:rsidRPr="00E05657">
        <w:rPr>
          <w:sz w:val="24"/>
          <w:szCs w:val="24"/>
        </w:rPr>
        <w:t xml:space="preserve">04. </w:t>
      </w:r>
      <w:r w:rsidRPr="001B4655">
        <w:rPr>
          <w:sz w:val="24"/>
          <w:szCs w:val="24"/>
        </w:rPr>
        <w:t xml:space="preserve">Endokrin behandling. Hormon-antagonister og lignende stoffer, </w:t>
      </w:r>
      <w:proofErr w:type="spellStart"/>
      <w:r w:rsidRPr="001B4655">
        <w:rPr>
          <w:sz w:val="24"/>
          <w:szCs w:val="24"/>
        </w:rPr>
        <w:t>aromatasehæmmere</w:t>
      </w:r>
      <w:proofErr w:type="spellEnd"/>
      <w:r w:rsidRPr="001B4655">
        <w:rPr>
          <w:sz w:val="24"/>
          <w:szCs w:val="24"/>
        </w:rPr>
        <w:t xml:space="preserve">. </w:t>
      </w:r>
    </w:p>
    <w:p w:rsidR="000A70A6" w:rsidRPr="001B4655" w:rsidRDefault="000A70A6" w:rsidP="000A70A6">
      <w:pPr>
        <w:tabs>
          <w:tab w:val="left" w:pos="851"/>
        </w:tabs>
        <w:ind w:left="851" w:hanging="851"/>
        <w:rPr>
          <w:sz w:val="24"/>
          <w:szCs w:val="24"/>
        </w:rPr>
      </w:pPr>
    </w:p>
    <w:p w:rsidR="000A70A6" w:rsidRPr="00011329" w:rsidRDefault="000A70A6" w:rsidP="000A70A6">
      <w:pPr>
        <w:tabs>
          <w:tab w:val="num" w:pos="851"/>
        </w:tabs>
        <w:ind w:left="851" w:hanging="851"/>
        <w:rPr>
          <w:b/>
          <w:sz w:val="24"/>
          <w:szCs w:val="24"/>
        </w:rPr>
      </w:pPr>
      <w:r w:rsidRPr="001B4655">
        <w:rPr>
          <w:b/>
          <w:sz w:val="24"/>
          <w:szCs w:val="24"/>
        </w:rPr>
        <w:t>5.1</w:t>
      </w:r>
      <w:r w:rsidRPr="001B4655">
        <w:rPr>
          <w:b/>
          <w:sz w:val="24"/>
          <w:szCs w:val="24"/>
        </w:rPr>
        <w:tab/>
      </w:r>
      <w:proofErr w:type="spellStart"/>
      <w:r w:rsidRPr="001B4655">
        <w:rPr>
          <w:b/>
          <w:sz w:val="24"/>
          <w:szCs w:val="24"/>
        </w:rPr>
        <w:t>Farmakodynamiske</w:t>
      </w:r>
      <w:proofErr w:type="spellEnd"/>
      <w:r w:rsidRPr="001B4655">
        <w:rPr>
          <w:b/>
          <w:sz w:val="24"/>
          <w:szCs w:val="24"/>
        </w:rPr>
        <w:t xml:space="preserve"> egenskaber</w:t>
      </w:r>
    </w:p>
    <w:p w:rsidR="000A70A6" w:rsidRPr="006C2510" w:rsidRDefault="000A70A6" w:rsidP="000A70A6">
      <w:pPr>
        <w:tabs>
          <w:tab w:val="left" w:pos="851"/>
        </w:tabs>
        <w:ind w:left="851" w:hanging="851"/>
        <w:rPr>
          <w:sz w:val="24"/>
          <w:szCs w:val="24"/>
        </w:rPr>
      </w:pPr>
      <w:r w:rsidRPr="001B4655">
        <w:rPr>
          <w:sz w:val="24"/>
          <w:szCs w:val="24"/>
        </w:rPr>
        <w:tab/>
      </w:r>
      <w:proofErr w:type="spellStart"/>
      <w:r w:rsidRPr="006C2510">
        <w:rPr>
          <w:sz w:val="24"/>
          <w:szCs w:val="24"/>
          <w:u w:val="single"/>
        </w:rPr>
        <w:t>Farmakodynamisk</w:t>
      </w:r>
      <w:proofErr w:type="spellEnd"/>
      <w:r w:rsidRPr="006C2510">
        <w:rPr>
          <w:sz w:val="24"/>
          <w:szCs w:val="24"/>
          <w:u w:val="single"/>
        </w:rPr>
        <w:t xml:space="preserve"> virkning </w:t>
      </w:r>
    </w:p>
    <w:p w:rsidR="000A70A6" w:rsidRPr="006C2510" w:rsidRDefault="000A70A6" w:rsidP="000A70A6">
      <w:pPr>
        <w:tabs>
          <w:tab w:val="left" w:pos="851"/>
        </w:tabs>
        <w:ind w:left="851" w:hanging="851"/>
        <w:rPr>
          <w:sz w:val="24"/>
          <w:szCs w:val="24"/>
        </w:rPr>
      </w:pPr>
      <w:r w:rsidRPr="006C2510">
        <w:rPr>
          <w:sz w:val="24"/>
          <w:szCs w:val="24"/>
        </w:rPr>
        <w:tab/>
        <w:t>Elimination af den østrogenmedierede væk</w:t>
      </w:r>
      <w:r>
        <w:rPr>
          <w:sz w:val="24"/>
          <w:szCs w:val="24"/>
        </w:rPr>
        <w:t>s</w:t>
      </w:r>
      <w:r w:rsidRPr="006C2510">
        <w:rPr>
          <w:sz w:val="24"/>
          <w:szCs w:val="24"/>
        </w:rPr>
        <w:t xml:space="preserve">tstimulation er forudsætningen for tumorrespons i tilfælde, hvor tumorvækst afhænger af tilstedeværelsen af østrogener, og endokrin behandling anvendes. Hos </w:t>
      </w:r>
      <w:proofErr w:type="spellStart"/>
      <w:r w:rsidRPr="006C2510">
        <w:rPr>
          <w:sz w:val="24"/>
          <w:szCs w:val="24"/>
        </w:rPr>
        <w:t>postmenopausale</w:t>
      </w:r>
      <w:proofErr w:type="spellEnd"/>
      <w:r w:rsidRPr="006C2510">
        <w:rPr>
          <w:sz w:val="24"/>
          <w:szCs w:val="24"/>
        </w:rPr>
        <w:t xml:space="preserve"> kvinder dannes østrogener hovedsageligt ved hjælp af </w:t>
      </w:r>
      <w:proofErr w:type="spellStart"/>
      <w:r w:rsidRPr="006C2510">
        <w:rPr>
          <w:sz w:val="24"/>
          <w:szCs w:val="24"/>
        </w:rPr>
        <w:t>aromataseenzymet</w:t>
      </w:r>
      <w:proofErr w:type="spellEnd"/>
      <w:r w:rsidRPr="006C2510">
        <w:rPr>
          <w:sz w:val="24"/>
          <w:szCs w:val="24"/>
        </w:rPr>
        <w:t xml:space="preserve">, som omdanner </w:t>
      </w:r>
      <w:proofErr w:type="spellStart"/>
      <w:r w:rsidRPr="006C2510">
        <w:rPr>
          <w:sz w:val="24"/>
          <w:szCs w:val="24"/>
        </w:rPr>
        <w:t>adrenale</w:t>
      </w:r>
      <w:proofErr w:type="spellEnd"/>
      <w:r w:rsidRPr="006C2510">
        <w:rPr>
          <w:sz w:val="24"/>
          <w:szCs w:val="24"/>
        </w:rPr>
        <w:t xml:space="preserve"> </w:t>
      </w:r>
      <w:proofErr w:type="spellStart"/>
      <w:r w:rsidRPr="006C2510">
        <w:rPr>
          <w:sz w:val="24"/>
          <w:szCs w:val="24"/>
        </w:rPr>
        <w:t>androgener</w:t>
      </w:r>
      <w:proofErr w:type="spellEnd"/>
      <w:r w:rsidRPr="006C2510">
        <w:rPr>
          <w:sz w:val="24"/>
          <w:szCs w:val="24"/>
        </w:rPr>
        <w:t xml:space="preserve"> (primært </w:t>
      </w:r>
      <w:proofErr w:type="spellStart"/>
      <w:r w:rsidRPr="006C2510">
        <w:rPr>
          <w:sz w:val="24"/>
          <w:szCs w:val="24"/>
        </w:rPr>
        <w:t>androstendion</w:t>
      </w:r>
      <w:proofErr w:type="spellEnd"/>
      <w:r w:rsidRPr="006C2510">
        <w:rPr>
          <w:sz w:val="24"/>
          <w:szCs w:val="24"/>
        </w:rPr>
        <w:t xml:space="preserve"> og testosteron) til </w:t>
      </w:r>
      <w:proofErr w:type="spellStart"/>
      <w:r w:rsidRPr="006C2510">
        <w:rPr>
          <w:sz w:val="24"/>
          <w:szCs w:val="24"/>
        </w:rPr>
        <w:t>østron</w:t>
      </w:r>
      <w:proofErr w:type="spellEnd"/>
      <w:r w:rsidRPr="006C2510">
        <w:rPr>
          <w:sz w:val="24"/>
          <w:szCs w:val="24"/>
        </w:rPr>
        <w:t xml:space="preserve"> og </w:t>
      </w:r>
      <w:proofErr w:type="spellStart"/>
      <w:r w:rsidRPr="006C2510">
        <w:rPr>
          <w:sz w:val="24"/>
          <w:szCs w:val="24"/>
        </w:rPr>
        <w:t>østradiol</w:t>
      </w:r>
      <w:proofErr w:type="spellEnd"/>
      <w:r w:rsidRPr="006C2510">
        <w:rPr>
          <w:sz w:val="24"/>
          <w:szCs w:val="24"/>
        </w:rPr>
        <w:t xml:space="preserve">. </w:t>
      </w:r>
    </w:p>
    <w:p w:rsidR="000A70A6" w:rsidRPr="006C2510"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r w:rsidRPr="006C2510">
        <w:rPr>
          <w:sz w:val="24"/>
          <w:szCs w:val="24"/>
        </w:rPr>
        <w:tab/>
        <w:t xml:space="preserve">Suppression af østrogensyntesen i perifere væv og i cancervævet kan derfor opnås ved specifik hæmning af </w:t>
      </w:r>
      <w:proofErr w:type="spellStart"/>
      <w:r w:rsidRPr="006C2510">
        <w:rPr>
          <w:sz w:val="24"/>
          <w:szCs w:val="24"/>
        </w:rPr>
        <w:t>aromataseenzymet</w:t>
      </w:r>
      <w:proofErr w:type="spellEnd"/>
      <w:r w:rsidRPr="006C2510">
        <w:rPr>
          <w:sz w:val="24"/>
          <w:szCs w:val="24"/>
        </w:rPr>
        <w:t xml:space="preserve">. </w:t>
      </w:r>
    </w:p>
    <w:p w:rsidR="000A70A6" w:rsidRPr="006C2510"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r w:rsidRPr="006C2510">
        <w:rPr>
          <w:sz w:val="24"/>
          <w:szCs w:val="24"/>
        </w:rPr>
        <w:tab/>
      </w:r>
      <w:proofErr w:type="spellStart"/>
      <w:r w:rsidRPr="006C2510">
        <w:rPr>
          <w:sz w:val="24"/>
          <w:szCs w:val="24"/>
        </w:rPr>
        <w:t>Letrozol</w:t>
      </w:r>
      <w:proofErr w:type="spellEnd"/>
      <w:r w:rsidRPr="006C2510">
        <w:rPr>
          <w:sz w:val="24"/>
          <w:szCs w:val="24"/>
        </w:rPr>
        <w:t xml:space="preserve"> er en non-steroid </w:t>
      </w:r>
      <w:proofErr w:type="spellStart"/>
      <w:r w:rsidRPr="006C2510">
        <w:rPr>
          <w:sz w:val="24"/>
          <w:szCs w:val="24"/>
        </w:rPr>
        <w:t>aromatasehæmmer</w:t>
      </w:r>
      <w:proofErr w:type="spellEnd"/>
      <w:r w:rsidRPr="006C2510">
        <w:rPr>
          <w:sz w:val="24"/>
          <w:szCs w:val="24"/>
        </w:rPr>
        <w:t xml:space="preserve">. Det hæmmer </w:t>
      </w:r>
      <w:proofErr w:type="spellStart"/>
      <w:r w:rsidRPr="006C2510">
        <w:rPr>
          <w:sz w:val="24"/>
          <w:szCs w:val="24"/>
        </w:rPr>
        <w:t>aromataseenzymet</w:t>
      </w:r>
      <w:proofErr w:type="spellEnd"/>
      <w:r w:rsidRPr="006C2510">
        <w:rPr>
          <w:sz w:val="24"/>
          <w:szCs w:val="24"/>
        </w:rPr>
        <w:t xml:space="preserve"> ved </w:t>
      </w:r>
      <w:proofErr w:type="spellStart"/>
      <w:r w:rsidRPr="006C2510">
        <w:rPr>
          <w:sz w:val="24"/>
          <w:szCs w:val="24"/>
        </w:rPr>
        <w:t>kompetitiv</w:t>
      </w:r>
      <w:proofErr w:type="spellEnd"/>
      <w:r w:rsidRPr="006C2510">
        <w:rPr>
          <w:sz w:val="24"/>
          <w:szCs w:val="24"/>
        </w:rPr>
        <w:t xml:space="preserve"> binding til </w:t>
      </w:r>
      <w:proofErr w:type="spellStart"/>
      <w:r w:rsidRPr="006C2510">
        <w:rPr>
          <w:sz w:val="24"/>
          <w:szCs w:val="24"/>
        </w:rPr>
        <w:t>hæmgruppen</w:t>
      </w:r>
      <w:proofErr w:type="spellEnd"/>
      <w:r w:rsidRPr="006C2510">
        <w:rPr>
          <w:sz w:val="24"/>
          <w:szCs w:val="24"/>
        </w:rPr>
        <w:t xml:space="preserve"> i </w:t>
      </w:r>
      <w:proofErr w:type="spellStart"/>
      <w:r w:rsidRPr="006C2510">
        <w:rPr>
          <w:sz w:val="24"/>
          <w:szCs w:val="24"/>
        </w:rPr>
        <w:t>aromatase</w:t>
      </w:r>
      <w:proofErr w:type="spellEnd"/>
      <w:r w:rsidRPr="006C2510">
        <w:rPr>
          <w:sz w:val="24"/>
          <w:szCs w:val="24"/>
        </w:rPr>
        <w:t xml:space="preserve"> </w:t>
      </w:r>
      <w:proofErr w:type="spellStart"/>
      <w:r w:rsidR="001F754E">
        <w:rPr>
          <w:sz w:val="24"/>
          <w:szCs w:val="24"/>
        </w:rPr>
        <w:t>cytochrom</w:t>
      </w:r>
      <w:proofErr w:type="spellEnd"/>
      <w:r w:rsidR="001F754E">
        <w:rPr>
          <w:sz w:val="24"/>
          <w:szCs w:val="24"/>
        </w:rPr>
        <w:t xml:space="preserve"> </w:t>
      </w:r>
      <w:r w:rsidRPr="006C2510">
        <w:rPr>
          <w:sz w:val="24"/>
          <w:szCs w:val="24"/>
        </w:rPr>
        <w:t xml:space="preserve">P450, hvilket resulterer i reduktion af østrogensyntesen i alle væv, hvor det forekommer. </w:t>
      </w:r>
    </w:p>
    <w:p w:rsidR="000A70A6" w:rsidRPr="006C2510"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r w:rsidRPr="006C2510">
        <w:rPr>
          <w:sz w:val="24"/>
          <w:szCs w:val="24"/>
        </w:rPr>
        <w:tab/>
        <w:t xml:space="preserve">Hos raske </w:t>
      </w:r>
      <w:proofErr w:type="spellStart"/>
      <w:r w:rsidRPr="006C2510">
        <w:rPr>
          <w:sz w:val="24"/>
          <w:szCs w:val="24"/>
        </w:rPr>
        <w:t>postmenopausale</w:t>
      </w:r>
      <w:proofErr w:type="spellEnd"/>
      <w:r w:rsidRPr="006C2510">
        <w:rPr>
          <w:sz w:val="24"/>
          <w:szCs w:val="24"/>
        </w:rPr>
        <w:t xml:space="preserve"> kvinder nedsætter enkeltdoser af </w:t>
      </w:r>
      <w:proofErr w:type="spellStart"/>
      <w:r w:rsidRPr="006C2510">
        <w:rPr>
          <w:sz w:val="24"/>
          <w:szCs w:val="24"/>
        </w:rPr>
        <w:t>letrozol</w:t>
      </w:r>
      <w:proofErr w:type="spellEnd"/>
      <w:r w:rsidRPr="006C2510">
        <w:rPr>
          <w:sz w:val="24"/>
          <w:szCs w:val="24"/>
        </w:rPr>
        <w:t xml:space="preserve"> på 0,1 mg, 0,5 mg og 2,5 mg serum-</w:t>
      </w:r>
      <w:proofErr w:type="spellStart"/>
      <w:r w:rsidRPr="006C2510">
        <w:rPr>
          <w:sz w:val="24"/>
          <w:szCs w:val="24"/>
        </w:rPr>
        <w:t>østron</w:t>
      </w:r>
      <w:proofErr w:type="spellEnd"/>
      <w:r w:rsidRPr="006C2510">
        <w:rPr>
          <w:sz w:val="24"/>
          <w:szCs w:val="24"/>
        </w:rPr>
        <w:t xml:space="preserve"> og serum-</w:t>
      </w:r>
      <w:proofErr w:type="spellStart"/>
      <w:r w:rsidRPr="006C2510">
        <w:rPr>
          <w:sz w:val="24"/>
          <w:szCs w:val="24"/>
        </w:rPr>
        <w:t>østradiol</w:t>
      </w:r>
      <w:proofErr w:type="spellEnd"/>
      <w:r w:rsidRPr="006C2510">
        <w:rPr>
          <w:sz w:val="24"/>
          <w:szCs w:val="24"/>
        </w:rPr>
        <w:t xml:space="preserve"> med henholdsvis 75%, 78% og 78% fra </w:t>
      </w:r>
      <w:r w:rsidRPr="006C2510">
        <w:rPr>
          <w:i/>
          <w:iCs/>
          <w:sz w:val="24"/>
          <w:szCs w:val="24"/>
        </w:rPr>
        <w:t>baseline</w:t>
      </w:r>
      <w:r w:rsidRPr="006C2510">
        <w:rPr>
          <w:sz w:val="24"/>
          <w:szCs w:val="24"/>
        </w:rPr>
        <w:t xml:space="preserve">. Maksimal suppression opnås efter 48-78 timer. </w:t>
      </w:r>
    </w:p>
    <w:p w:rsidR="000A70A6" w:rsidRPr="006C2510"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r w:rsidRPr="006C2510">
        <w:rPr>
          <w:sz w:val="24"/>
          <w:szCs w:val="24"/>
        </w:rPr>
        <w:tab/>
        <w:t xml:space="preserve">Hos </w:t>
      </w:r>
      <w:proofErr w:type="spellStart"/>
      <w:r w:rsidRPr="006C2510">
        <w:rPr>
          <w:sz w:val="24"/>
          <w:szCs w:val="24"/>
        </w:rPr>
        <w:t>postmenopausale</w:t>
      </w:r>
      <w:proofErr w:type="spellEnd"/>
      <w:r w:rsidRPr="006C2510">
        <w:rPr>
          <w:sz w:val="24"/>
          <w:szCs w:val="24"/>
        </w:rPr>
        <w:t xml:space="preserve"> kvinder med fremskreden brystcancer nedsætter daglige doser på 0</w:t>
      </w:r>
      <w:r w:rsidR="000C72AD">
        <w:rPr>
          <w:sz w:val="24"/>
          <w:szCs w:val="24"/>
        </w:rPr>
        <w:t>0,1 mg til 5</w:t>
      </w:r>
      <w:r w:rsidRPr="006C2510">
        <w:rPr>
          <w:sz w:val="24"/>
          <w:szCs w:val="24"/>
        </w:rPr>
        <w:t xml:space="preserve"> mg plasmakoncentrationen af </w:t>
      </w:r>
      <w:proofErr w:type="spellStart"/>
      <w:r w:rsidRPr="006C2510">
        <w:rPr>
          <w:sz w:val="24"/>
          <w:szCs w:val="24"/>
        </w:rPr>
        <w:t>østradiol</w:t>
      </w:r>
      <w:proofErr w:type="spellEnd"/>
      <w:r w:rsidRPr="006C2510">
        <w:rPr>
          <w:sz w:val="24"/>
          <w:szCs w:val="24"/>
        </w:rPr>
        <w:t xml:space="preserve">, </w:t>
      </w:r>
      <w:proofErr w:type="spellStart"/>
      <w:r w:rsidRPr="006C2510">
        <w:rPr>
          <w:sz w:val="24"/>
          <w:szCs w:val="24"/>
        </w:rPr>
        <w:t>østron</w:t>
      </w:r>
      <w:proofErr w:type="spellEnd"/>
      <w:r w:rsidRPr="006C2510">
        <w:rPr>
          <w:sz w:val="24"/>
          <w:szCs w:val="24"/>
        </w:rPr>
        <w:t xml:space="preserve"> og </w:t>
      </w:r>
      <w:proofErr w:type="spellStart"/>
      <w:r w:rsidRPr="006C2510">
        <w:rPr>
          <w:sz w:val="24"/>
          <w:szCs w:val="24"/>
        </w:rPr>
        <w:t>østronsulfat</w:t>
      </w:r>
      <w:proofErr w:type="spellEnd"/>
      <w:r w:rsidRPr="006C2510">
        <w:rPr>
          <w:sz w:val="24"/>
          <w:szCs w:val="24"/>
        </w:rPr>
        <w:t xml:space="preserve"> med 75-95% fra </w:t>
      </w:r>
      <w:r w:rsidRPr="006C2510">
        <w:rPr>
          <w:i/>
          <w:iCs/>
          <w:sz w:val="24"/>
          <w:szCs w:val="24"/>
        </w:rPr>
        <w:t xml:space="preserve">baseline </w:t>
      </w:r>
      <w:r w:rsidRPr="006C2510">
        <w:rPr>
          <w:sz w:val="24"/>
          <w:szCs w:val="24"/>
        </w:rPr>
        <w:t xml:space="preserve">hos alle behandlede patienter. Ved doser på 0,5 mg og højere var mange af værdierne af </w:t>
      </w:r>
      <w:proofErr w:type="spellStart"/>
      <w:r w:rsidRPr="006C2510">
        <w:rPr>
          <w:sz w:val="24"/>
          <w:szCs w:val="24"/>
        </w:rPr>
        <w:t>østron</w:t>
      </w:r>
      <w:proofErr w:type="spellEnd"/>
      <w:r w:rsidRPr="006C2510">
        <w:rPr>
          <w:sz w:val="24"/>
          <w:szCs w:val="24"/>
        </w:rPr>
        <w:t xml:space="preserve"> og </w:t>
      </w:r>
      <w:proofErr w:type="spellStart"/>
      <w:r w:rsidRPr="006C2510">
        <w:rPr>
          <w:sz w:val="24"/>
          <w:szCs w:val="24"/>
        </w:rPr>
        <w:t>østronsulfat</w:t>
      </w:r>
      <w:proofErr w:type="spellEnd"/>
      <w:r w:rsidRPr="006C2510">
        <w:rPr>
          <w:sz w:val="24"/>
          <w:szCs w:val="24"/>
        </w:rPr>
        <w:t xml:space="preserve"> under detektionsgrænsen, hvilket indikerer, at der opnås større østrogensuppression med disse doser. Østrogensuppressionen blev opretholdt gennem hele behandlingsforløbet hos alle disse patienter. </w:t>
      </w:r>
    </w:p>
    <w:p w:rsidR="000A70A6" w:rsidRPr="006C2510" w:rsidRDefault="000A70A6" w:rsidP="000A70A6">
      <w:pPr>
        <w:tabs>
          <w:tab w:val="left" w:pos="851"/>
        </w:tabs>
        <w:ind w:left="851" w:hanging="851"/>
        <w:rPr>
          <w:sz w:val="24"/>
          <w:szCs w:val="24"/>
        </w:rPr>
      </w:pPr>
    </w:p>
    <w:p w:rsidR="000A70A6" w:rsidRPr="00BF3A7A" w:rsidRDefault="000A70A6" w:rsidP="000A70A6">
      <w:pPr>
        <w:tabs>
          <w:tab w:val="left" w:pos="851"/>
        </w:tabs>
        <w:ind w:left="851" w:hanging="851"/>
        <w:rPr>
          <w:sz w:val="24"/>
          <w:szCs w:val="24"/>
        </w:rPr>
      </w:pPr>
      <w:r w:rsidRPr="00BF3A7A">
        <w:rPr>
          <w:sz w:val="24"/>
          <w:szCs w:val="24"/>
        </w:rPr>
        <w:tab/>
      </w:r>
      <w:proofErr w:type="spellStart"/>
      <w:r w:rsidRPr="00BF3A7A">
        <w:rPr>
          <w:sz w:val="24"/>
          <w:szCs w:val="24"/>
        </w:rPr>
        <w:t>Letrozol</w:t>
      </w:r>
      <w:proofErr w:type="spellEnd"/>
      <w:r w:rsidRPr="00BF3A7A">
        <w:rPr>
          <w:sz w:val="24"/>
          <w:szCs w:val="24"/>
        </w:rPr>
        <w:t xml:space="preserve"> er en meget specifik </w:t>
      </w:r>
      <w:proofErr w:type="spellStart"/>
      <w:r w:rsidRPr="00BF3A7A">
        <w:rPr>
          <w:sz w:val="24"/>
          <w:szCs w:val="24"/>
        </w:rPr>
        <w:t>aromatasehæmmer</w:t>
      </w:r>
      <w:proofErr w:type="spellEnd"/>
      <w:r w:rsidRPr="00BF3A7A">
        <w:rPr>
          <w:sz w:val="24"/>
          <w:szCs w:val="24"/>
        </w:rPr>
        <w:t xml:space="preserve">. Der er ikke observeret nedsat </w:t>
      </w:r>
      <w:proofErr w:type="spellStart"/>
      <w:r w:rsidRPr="00BF3A7A">
        <w:rPr>
          <w:sz w:val="24"/>
          <w:szCs w:val="24"/>
        </w:rPr>
        <w:t>adrenal</w:t>
      </w:r>
      <w:proofErr w:type="spellEnd"/>
      <w:r w:rsidRPr="00BF3A7A">
        <w:rPr>
          <w:sz w:val="24"/>
          <w:szCs w:val="24"/>
        </w:rPr>
        <w:t xml:space="preserve"> steroidsyntese. Der blev ikke fundet klinisk relevante ændringer i plasmakoncentrationerne for </w:t>
      </w:r>
      <w:proofErr w:type="spellStart"/>
      <w:r w:rsidRPr="00BF3A7A">
        <w:rPr>
          <w:sz w:val="24"/>
          <w:szCs w:val="24"/>
        </w:rPr>
        <w:t>cortisol</w:t>
      </w:r>
      <w:proofErr w:type="spellEnd"/>
      <w:r w:rsidRPr="00BF3A7A">
        <w:rPr>
          <w:sz w:val="24"/>
          <w:szCs w:val="24"/>
        </w:rPr>
        <w:t xml:space="preserve">, </w:t>
      </w:r>
      <w:proofErr w:type="spellStart"/>
      <w:r w:rsidRPr="00BF3A7A">
        <w:rPr>
          <w:sz w:val="24"/>
          <w:szCs w:val="24"/>
        </w:rPr>
        <w:t>aldosteron</w:t>
      </w:r>
      <w:proofErr w:type="spellEnd"/>
      <w:r w:rsidRPr="00BF3A7A">
        <w:rPr>
          <w:sz w:val="24"/>
          <w:szCs w:val="24"/>
        </w:rPr>
        <w:t xml:space="preserve">, 11-deoxycortisol, 17-hydroxyprogesteron eller ACTH eller i </w:t>
      </w:r>
      <w:proofErr w:type="spellStart"/>
      <w:r w:rsidRPr="00BF3A7A">
        <w:rPr>
          <w:sz w:val="24"/>
          <w:szCs w:val="24"/>
        </w:rPr>
        <w:t>plasmareninaktiviteten</w:t>
      </w:r>
      <w:proofErr w:type="spellEnd"/>
      <w:r w:rsidRPr="00BF3A7A">
        <w:rPr>
          <w:sz w:val="24"/>
          <w:szCs w:val="24"/>
        </w:rPr>
        <w:t xml:space="preserve"> hos </w:t>
      </w:r>
      <w:proofErr w:type="spellStart"/>
      <w:r w:rsidRPr="00BF3A7A">
        <w:rPr>
          <w:sz w:val="24"/>
          <w:szCs w:val="24"/>
        </w:rPr>
        <w:t>postmenopausale</w:t>
      </w:r>
      <w:proofErr w:type="spellEnd"/>
      <w:r w:rsidRPr="00BF3A7A">
        <w:rPr>
          <w:sz w:val="24"/>
          <w:szCs w:val="24"/>
        </w:rPr>
        <w:t xml:space="preserve"> kvinder, der blev behandlet med en daglig dosis på 0,1-5 mg </w:t>
      </w:r>
      <w:proofErr w:type="spellStart"/>
      <w:r w:rsidRPr="00BF3A7A">
        <w:rPr>
          <w:sz w:val="24"/>
          <w:szCs w:val="24"/>
        </w:rPr>
        <w:t>letrozol</w:t>
      </w:r>
      <w:proofErr w:type="spellEnd"/>
      <w:r w:rsidRPr="00BF3A7A">
        <w:rPr>
          <w:sz w:val="24"/>
          <w:szCs w:val="24"/>
        </w:rPr>
        <w:t xml:space="preserve">. ACTH-stimulationstest udført efter 6 og 12 ugers behandling med daglige doser på 0,1 mg, 0,25 mg, 0,5 mg, 1 mg, 2,5 mg og 5 mg antydede ingen nedsættelse i </w:t>
      </w:r>
      <w:proofErr w:type="spellStart"/>
      <w:r w:rsidRPr="00BF3A7A">
        <w:rPr>
          <w:sz w:val="24"/>
          <w:szCs w:val="24"/>
        </w:rPr>
        <w:t>aldosteron</w:t>
      </w:r>
      <w:proofErr w:type="spellEnd"/>
      <w:r w:rsidRPr="00BF3A7A">
        <w:rPr>
          <w:sz w:val="24"/>
          <w:szCs w:val="24"/>
        </w:rPr>
        <w:t xml:space="preserve">- eller kortisolproduktionen. Supplement af </w:t>
      </w:r>
      <w:proofErr w:type="spellStart"/>
      <w:r w:rsidRPr="00BF3A7A">
        <w:rPr>
          <w:sz w:val="24"/>
          <w:szCs w:val="24"/>
        </w:rPr>
        <w:t>glukokortikoid</w:t>
      </w:r>
      <w:proofErr w:type="spellEnd"/>
      <w:r w:rsidRPr="00BF3A7A">
        <w:rPr>
          <w:sz w:val="24"/>
          <w:szCs w:val="24"/>
        </w:rPr>
        <w:t xml:space="preserve"> eller </w:t>
      </w:r>
      <w:proofErr w:type="spellStart"/>
      <w:r w:rsidRPr="00BF3A7A">
        <w:rPr>
          <w:sz w:val="24"/>
          <w:szCs w:val="24"/>
        </w:rPr>
        <w:t>mineralkortikoid</w:t>
      </w:r>
      <w:proofErr w:type="spellEnd"/>
      <w:r w:rsidRPr="00BF3A7A">
        <w:rPr>
          <w:sz w:val="24"/>
          <w:szCs w:val="24"/>
        </w:rPr>
        <w:t xml:space="preserve"> er derfor ikke nødvendig. </w:t>
      </w:r>
    </w:p>
    <w:p w:rsidR="000A70A6" w:rsidRPr="00BF3A7A" w:rsidRDefault="000A70A6" w:rsidP="000A70A6">
      <w:pPr>
        <w:tabs>
          <w:tab w:val="left" w:pos="851"/>
        </w:tabs>
        <w:ind w:left="851" w:hanging="851"/>
        <w:rPr>
          <w:sz w:val="24"/>
          <w:szCs w:val="24"/>
        </w:rPr>
      </w:pPr>
    </w:p>
    <w:p w:rsidR="000A70A6" w:rsidRPr="00BF3A7A" w:rsidRDefault="000A70A6" w:rsidP="000A70A6">
      <w:pPr>
        <w:tabs>
          <w:tab w:val="left" w:pos="851"/>
        </w:tabs>
        <w:ind w:left="851" w:hanging="851"/>
        <w:rPr>
          <w:sz w:val="24"/>
          <w:szCs w:val="24"/>
          <w:vertAlign w:val="subscript"/>
        </w:rPr>
      </w:pPr>
      <w:r w:rsidRPr="00BF3A7A">
        <w:rPr>
          <w:sz w:val="24"/>
          <w:szCs w:val="24"/>
        </w:rPr>
        <w:tab/>
        <w:t xml:space="preserve">Der blev ikke fundet ændringer i plasmakoncentrationen af </w:t>
      </w:r>
      <w:proofErr w:type="spellStart"/>
      <w:r w:rsidRPr="00BF3A7A">
        <w:rPr>
          <w:sz w:val="24"/>
          <w:szCs w:val="24"/>
        </w:rPr>
        <w:t>androgener</w:t>
      </w:r>
      <w:proofErr w:type="spellEnd"/>
      <w:r w:rsidRPr="00BF3A7A">
        <w:rPr>
          <w:sz w:val="24"/>
          <w:szCs w:val="24"/>
        </w:rPr>
        <w:t xml:space="preserve"> (</w:t>
      </w:r>
      <w:proofErr w:type="spellStart"/>
      <w:r w:rsidRPr="00BF3A7A">
        <w:rPr>
          <w:sz w:val="24"/>
          <w:szCs w:val="24"/>
        </w:rPr>
        <w:t>androstendion</w:t>
      </w:r>
      <w:proofErr w:type="spellEnd"/>
      <w:r w:rsidRPr="00BF3A7A">
        <w:rPr>
          <w:sz w:val="24"/>
          <w:szCs w:val="24"/>
        </w:rPr>
        <w:t xml:space="preserve"> og testosteron) hos raske </w:t>
      </w:r>
      <w:proofErr w:type="spellStart"/>
      <w:r w:rsidRPr="00BF3A7A">
        <w:rPr>
          <w:sz w:val="24"/>
          <w:szCs w:val="24"/>
        </w:rPr>
        <w:t>postmenopausale</w:t>
      </w:r>
      <w:proofErr w:type="spellEnd"/>
      <w:r w:rsidRPr="00BF3A7A">
        <w:rPr>
          <w:sz w:val="24"/>
          <w:szCs w:val="24"/>
        </w:rPr>
        <w:t xml:space="preserve"> kvinder efter administration af enkeltdoser på 0,1 mg, 0,5 mg og 2,5 mg </w:t>
      </w:r>
      <w:proofErr w:type="spellStart"/>
      <w:r w:rsidRPr="00BF3A7A">
        <w:rPr>
          <w:sz w:val="24"/>
          <w:szCs w:val="24"/>
        </w:rPr>
        <w:t>letrozol</w:t>
      </w:r>
      <w:proofErr w:type="spellEnd"/>
      <w:r w:rsidRPr="00BF3A7A">
        <w:rPr>
          <w:sz w:val="24"/>
          <w:szCs w:val="24"/>
        </w:rPr>
        <w:t xml:space="preserve"> eller i plasmakoncentrationen af </w:t>
      </w:r>
      <w:proofErr w:type="spellStart"/>
      <w:r w:rsidRPr="00BF3A7A">
        <w:rPr>
          <w:sz w:val="24"/>
          <w:szCs w:val="24"/>
        </w:rPr>
        <w:t>androstendion</w:t>
      </w:r>
      <w:proofErr w:type="spellEnd"/>
      <w:r w:rsidRPr="00BF3A7A">
        <w:rPr>
          <w:sz w:val="24"/>
          <w:szCs w:val="24"/>
        </w:rPr>
        <w:t xml:space="preserve"> hos </w:t>
      </w:r>
      <w:proofErr w:type="spellStart"/>
      <w:r w:rsidRPr="00BF3A7A">
        <w:rPr>
          <w:sz w:val="24"/>
          <w:szCs w:val="24"/>
        </w:rPr>
        <w:t>postmenopausale</w:t>
      </w:r>
      <w:proofErr w:type="spellEnd"/>
      <w:r w:rsidRPr="00BF3A7A">
        <w:rPr>
          <w:sz w:val="24"/>
          <w:szCs w:val="24"/>
        </w:rPr>
        <w:t xml:space="preserve"> patienter i behandling med daglige doser på 0,1-5 mg. Dette indikerer, at blokering af østrogensyntesen ikke medfører akkumulering af </w:t>
      </w:r>
      <w:proofErr w:type="spellStart"/>
      <w:r w:rsidRPr="00BF3A7A">
        <w:rPr>
          <w:sz w:val="24"/>
          <w:szCs w:val="24"/>
        </w:rPr>
        <w:t>androgene</w:t>
      </w:r>
      <w:proofErr w:type="spellEnd"/>
      <w:r w:rsidRPr="00BF3A7A">
        <w:rPr>
          <w:sz w:val="24"/>
          <w:szCs w:val="24"/>
        </w:rPr>
        <w:t xml:space="preserve"> forstadier. Plasmakoncentrationen af LH eller FSH påvirkes ikke af behandling med </w:t>
      </w:r>
      <w:proofErr w:type="spellStart"/>
      <w:r w:rsidRPr="00BF3A7A">
        <w:rPr>
          <w:sz w:val="24"/>
          <w:szCs w:val="24"/>
        </w:rPr>
        <w:t>letrozol</w:t>
      </w:r>
      <w:proofErr w:type="spellEnd"/>
      <w:r w:rsidRPr="00BF3A7A">
        <w:rPr>
          <w:sz w:val="24"/>
          <w:szCs w:val="24"/>
        </w:rPr>
        <w:t xml:space="preserve">, det samme gælder </w:t>
      </w:r>
      <w:proofErr w:type="spellStart"/>
      <w:r w:rsidRPr="00BF3A7A">
        <w:rPr>
          <w:sz w:val="24"/>
          <w:szCs w:val="24"/>
        </w:rPr>
        <w:t>thyreoideafunktionen</w:t>
      </w:r>
      <w:proofErr w:type="spellEnd"/>
      <w:r w:rsidRPr="00BF3A7A">
        <w:rPr>
          <w:sz w:val="24"/>
          <w:szCs w:val="24"/>
        </w:rPr>
        <w:t xml:space="preserve"> bedømt ved TSH, T</w:t>
      </w:r>
      <w:r w:rsidRPr="00BF3A7A">
        <w:rPr>
          <w:sz w:val="24"/>
          <w:szCs w:val="24"/>
          <w:vertAlign w:val="subscript"/>
        </w:rPr>
        <w:t xml:space="preserve">4 </w:t>
      </w:r>
      <w:r w:rsidRPr="00BF3A7A">
        <w:rPr>
          <w:sz w:val="24"/>
          <w:szCs w:val="24"/>
        </w:rPr>
        <w:t>og T</w:t>
      </w:r>
      <w:r w:rsidRPr="00BF3A7A">
        <w:rPr>
          <w:sz w:val="24"/>
          <w:szCs w:val="24"/>
          <w:vertAlign w:val="subscript"/>
        </w:rPr>
        <w:t>3</w:t>
      </w:r>
      <w:r w:rsidRPr="00BF3A7A">
        <w:rPr>
          <w:sz w:val="24"/>
          <w:szCs w:val="24"/>
        </w:rPr>
        <w:t xml:space="preserve"> </w:t>
      </w:r>
      <w:proofErr w:type="spellStart"/>
      <w:r w:rsidRPr="00BF3A7A">
        <w:rPr>
          <w:sz w:val="24"/>
          <w:szCs w:val="24"/>
        </w:rPr>
        <w:t>uptaketest</w:t>
      </w:r>
      <w:proofErr w:type="spellEnd"/>
      <w:r w:rsidRPr="00BF3A7A">
        <w:rPr>
          <w:sz w:val="24"/>
          <w:szCs w:val="24"/>
          <w:vertAlign w:val="subscript"/>
        </w:rPr>
        <w:t xml:space="preserve">. </w:t>
      </w:r>
    </w:p>
    <w:p w:rsidR="000A70A6" w:rsidRPr="00BF3A7A" w:rsidRDefault="000A70A6" w:rsidP="000A70A6">
      <w:pPr>
        <w:tabs>
          <w:tab w:val="left" w:pos="851"/>
        </w:tabs>
        <w:ind w:left="851" w:hanging="851"/>
        <w:rPr>
          <w:sz w:val="24"/>
          <w:szCs w:val="24"/>
        </w:rPr>
      </w:pPr>
    </w:p>
    <w:p w:rsidR="000A70A6" w:rsidRPr="00BF3A7A" w:rsidRDefault="000A70A6" w:rsidP="000A70A6">
      <w:pPr>
        <w:tabs>
          <w:tab w:val="left" w:pos="851"/>
        </w:tabs>
        <w:ind w:left="851" w:hanging="851"/>
        <w:rPr>
          <w:sz w:val="24"/>
          <w:szCs w:val="24"/>
        </w:rPr>
      </w:pPr>
      <w:r w:rsidRPr="00BF3A7A">
        <w:rPr>
          <w:sz w:val="24"/>
          <w:szCs w:val="24"/>
        </w:rPr>
        <w:tab/>
      </w:r>
      <w:proofErr w:type="spellStart"/>
      <w:r w:rsidRPr="00BF3A7A">
        <w:rPr>
          <w:sz w:val="24"/>
          <w:szCs w:val="24"/>
          <w:u w:val="single"/>
        </w:rPr>
        <w:t>Adjuverende</w:t>
      </w:r>
      <w:proofErr w:type="spellEnd"/>
      <w:r w:rsidRPr="00BF3A7A">
        <w:rPr>
          <w:sz w:val="24"/>
          <w:szCs w:val="24"/>
          <w:u w:val="single"/>
        </w:rPr>
        <w:t xml:space="preserve"> behandling </w:t>
      </w:r>
    </w:p>
    <w:p w:rsidR="000A70A6" w:rsidRPr="00BF3A7A" w:rsidRDefault="000A70A6" w:rsidP="000A70A6">
      <w:pPr>
        <w:tabs>
          <w:tab w:val="left" w:pos="851"/>
        </w:tabs>
        <w:ind w:left="851" w:hanging="851"/>
        <w:rPr>
          <w:iCs/>
          <w:sz w:val="24"/>
          <w:szCs w:val="24"/>
        </w:rPr>
      </w:pPr>
      <w:r w:rsidRPr="00BF3A7A">
        <w:rPr>
          <w:iCs/>
          <w:sz w:val="24"/>
          <w:szCs w:val="24"/>
        </w:rPr>
        <w:tab/>
      </w:r>
    </w:p>
    <w:p w:rsidR="000A70A6" w:rsidRPr="00BF3A7A" w:rsidRDefault="000A70A6" w:rsidP="000A70A6">
      <w:pPr>
        <w:tabs>
          <w:tab w:val="left" w:pos="851"/>
        </w:tabs>
        <w:ind w:left="851" w:hanging="851"/>
        <w:rPr>
          <w:sz w:val="24"/>
          <w:szCs w:val="24"/>
          <w:u w:val="single"/>
        </w:rPr>
      </w:pPr>
      <w:r w:rsidRPr="00BF3A7A">
        <w:rPr>
          <w:iCs/>
          <w:sz w:val="24"/>
          <w:szCs w:val="24"/>
        </w:rPr>
        <w:tab/>
      </w:r>
      <w:r w:rsidRPr="00BF3A7A">
        <w:rPr>
          <w:i/>
          <w:iCs/>
          <w:sz w:val="24"/>
          <w:szCs w:val="24"/>
          <w:u w:val="single"/>
        </w:rPr>
        <w:t xml:space="preserve">Studie BIG 1-98 </w:t>
      </w:r>
    </w:p>
    <w:p w:rsidR="000A70A6" w:rsidRPr="00BF3A7A" w:rsidRDefault="000A70A6" w:rsidP="000A70A6">
      <w:pPr>
        <w:tabs>
          <w:tab w:val="left" w:pos="851"/>
        </w:tabs>
        <w:ind w:left="851" w:hanging="851"/>
        <w:rPr>
          <w:sz w:val="24"/>
          <w:szCs w:val="24"/>
        </w:rPr>
      </w:pPr>
      <w:r w:rsidRPr="00BF3A7A">
        <w:rPr>
          <w:sz w:val="24"/>
          <w:szCs w:val="24"/>
        </w:rPr>
        <w:tab/>
        <w:t xml:space="preserve">BIG 1-98 var et multicenter, dobbeltblindet studie, hvor mere end 8.000 </w:t>
      </w:r>
      <w:proofErr w:type="spellStart"/>
      <w:r w:rsidRPr="00BF3A7A">
        <w:rPr>
          <w:sz w:val="24"/>
          <w:szCs w:val="24"/>
        </w:rPr>
        <w:t>postmenopausale</w:t>
      </w:r>
      <w:proofErr w:type="spellEnd"/>
      <w:r w:rsidRPr="00BF3A7A">
        <w:rPr>
          <w:sz w:val="24"/>
          <w:szCs w:val="24"/>
        </w:rPr>
        <w:t xml:space="preserve"> kvinder med hormonreceptor-positiv tidlig brystcancer blev randomiseret til en af følgende behandlinger: A. </w:t>
      </w:r>
      <w:proofErr w:type="spellStart"/>
      <w:r w:rsidRPr="00BF3A7A">
        <w:rPr>
          <w:sz w:val="24"/>
          <w:szCs w:val="24"/>
        </w:rPr>
        <w:t>tamoxifen</w:t>
      </w:r>
      <w:proofErr w:type="spellEnd"/>
      <w:r w:rsidRPr="00BF3A7A">
        <w:rPr>
          <w:sz w:val="24"/>
          <w:szCs w:val="24"/>
        </w:rPr>
        <w:t xml:space="preserve"> i 5 år; B. </w:t>
      </w:r>
      <w:proofErr w:type="spellStart"/>
      <w:r w:rsidRPr="00BF3A7A">
        <w:rPr>
          <w:sz w:val="24"/>
          <w:szCs w:val="24"/>
        </w:rPr>
        <w:t>letrozol</w:t>
      </w:r>
      <w:proofErr w:type="spellEnd"/>
      <w:r w:rsidRPr="00BF3A7A">
        <w:rPr>
          <w:sz w:val="24"/>
          <w:szCs w:val="24"/>
        </w:rPr>
        <w:t xml:space="preserve"> i 5 år; C. </w:t>
      </w:r>
      <w:proofErr w:type="spellStart"/>
      <w:r w:rsidRPr="00BF3A7A">
        <w:rPr>
          <w:sz w:val="24"/>
          <w:szCs w:val="24"/>
        </w:rPr>
        <w:t>tamoxifen</w:t>
      </w:r>
      <w:proofErr w:type="spellEnd"/>
      <w:r w:rsidRPr="00BF3A7A">
        <w:rPr>
          <w:sz w:val="24"/>
          <w:szCs w:val="24"/>
        </w:rPr>
        <w:t xml:space="preserve"> i 2 år efterfulgt af </w:t>
      </w:r>
      <w:proofErr w:type="spellStart"/>
      <w:r w:rsidRPr="00BF3A7A">
        <w:rPr>
          <w:sz w:val="24"/>
          <w:szCs w:val="24"/>
        </w:rPr>
        <w:t>letrozol</w:t>
      </w:r>
      <w:proofErr w:type="spellEnd"/>
      <w:r w:rsidRPr="00BF3A7A">
        <w:rPr>
          <w:sz w:val="24"/>
          <w:szCs w:val="24"/>
        </w:rPr>
        <w:t xml:space="preserve"> i 3 år; D. </w:t>
      </w:r>
      <w:proofErr w:type="spellStart"/>
      <w:r w:rsidRPr="00BF3A7A">
        <w:rPr>
          <w:sz w:val="24"/>
          <w:szCs w:val="24"/>
        </w:rPr>
        <w:t>letrozol</w:t>
      </w:r>
      <w:proofErr w:type="spellEnd"/>
      <w:r w:rsidRPr="00BF3A7A">
        <w:rPr>
          <w:sz w:val="24"/>
          <w:szCs w:val="24"/>
        </w:rPr>
        <w:t xml:space="preserve"> i 2 år efterfulgt af </w:t>
      </w:r>
      <w:proofErr w:type="spellStart"/>
      <w:r w:rsidRPr="00BF3A7A">
        <w:rPr>
          <w:sz w:val="24"/>
          <w:szCs w:val="24"/>
        </w:rPr>
        <w:t>tamoxifen</w:t>
      </w:r>
      <w:proofErr w:type="spellEnd"/>
      <w:r w:rsidRPr="00BF3A7A">
        <w:rPr>
          <w:sz w:val="24"/>
          <w:szCs w:val="24"/>
        </w:rPr>
        <w:t xml:space="preserve"> i 3 år. </w:t>
      </w:r>
    </w:p>
    <w:p w:rsidR="000A70A6" w:rsidRPr="00BF3A7A" w:rsidRDefault="000A70A6" w:rsidP="000A70A6">
      <w:pPr>
        <w:tabs>
          <w:tab w:val="left" w:pos="851"/>
        </w:tabs>
        <w:ind w:left="851" w:hanging="851"/>
        <w:rPr>
          <w:sz w:val="24"/>
          <w:szCs w:val="24"/>
        </w:rPr>
      </w:pPr>
    </w:p>
    <w:p w:rsidR="000A70A6" w:rsidRPr="00BF3A7A" w:rsidRDefault="000A70A6" w:rsidP="000A70A6">
      <w:pPr>
        <w:tabs>
          <w:tab w:val="left" w:pos="851"/>
        </w:tabs>
        <w:ind w:left="851" w:hanging="851"/>
        <w:rPr>
          <w:sz w:val="24"/>
          <w:szCs w:val="24"/>
        </w:rPr>
      </w:pPr>
      <w:r w:rsidRPr="00BF3A7A">
        <w:rPr>
          <w:sz w:val="24"/>
          <w:szCs w:val="24"/>
        </w:rPr>
        <w:tab/>
        <w:t xml:space="preserve">Det primære endepunkt var sygdomsfri overlevelse (DFS); sekundært endepunkt var tid til fjernmetastase (TDM), fjernmetastasefri overlevelse (DDFS), total overlevelse (OS), systemisk sygdomsfri overlevelse (SDFS), invasiv kontralateral brystcancer og tid til tilbagefald af brystcancer. </w:t>
      </w:r>
    </w:p>
    <w:p w:rsidR="000A70A6" w:rsidRPr="00BF3A7A"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r w:rsidRPr="006C2510">
        <w:rPr>
          <w:i/>
          <w:iCs/>
          <w:sz w:val="24"/>
          <w:szCs w:val="24"/>
        </w:rPr>
        <w:tab/>
        <w:t xml:space="preserve">Effektresultater ved median opfølgningstid på 26 og 60 måneder </w:t>
      </w:r>
    </w:p>
    <w:p w:rsidR="000A70A6" w:rsidRPr="006C2510" w:rsidRDefault="000A70A6" w:rsidP="000A70A6">
      <w:pPr>
        <w:tabs>
          <w:tab w:val="left" w:pos="851"/>
        </w:tabs>
        <w:ind w:left="851" w:hanging="851"/>
        <w:rPr>
          <w:sz w:val="24"/>
          <w:szCs w:val="24"/>
        </w:rPr>
      </w:pPr>
      <w:r w:rsidRPr="006C2510">
        <w:rPr>
          <w:sz w:val="24"/>
          <w:szCs w:val="24"/>
        </w:rPr>
        <w:tab/>
        <w:t xml:space="preserve">Data i Tabel 4 viser resultater fra den primære analyse (PCA) baseret på data fra de 2 monoterapi-arme (A og B) og fra de 2 </w:t>
      </w:r>
      <w:proofErr w:type="spellStart"/>
      <w:r w:rsidRPr="006C2510">
        <w:rPr>
          <w:sz w:val="24"/>
          <w:szCs w:val="24"/>
        </w:rPr>
        <w:t>overkrydsende</w:t>
      </w:r>
      <w:proofErr w:type="spellEnd"/>
      <w:r w:rsidRPr="006C2510">
        <w:rPr>
          <w:sz w:val="24"/>
          <w:szCs w:val="24"/>
        </w:rPr>
        <w:t xml:space="preserve"> arme (C og D) efter en median behandlingsvarighed på 24 måneder og en median opfølgningstid på 26 måneder og ved en median behandlingsvarighed på 32 måneder og en median opfølgningstid på 60 måneder. </w:t>
      </w:r>
    </w:p>
    <w:p w:rsidR="000A70A6" w:rsidRPr="006C2510"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r w:rsidRPr="006C2510">
        <w:rPr>
          <w:sz w:val="24"/>
          <w:szCs w:val="24"/>
        </w:rPr>
        <w:tab/>
        <w:t xml:space="preserve">5 års DFS-rater var 84% for </w:t>
      </w:r>
      <w:proofErr w:type="spellStart"/>
      <w:r w:rsidR="000C72AD">
        <w:rPr>
          <w:sz w:val="24"/>
          <w:szCs w:val="24"/>
        </w:rPr>
        <w:t>letrozol</w:t>
      </w:r>
      <w:proofErr w:type="spellEnd"/>
      <w:r w:rsidR="000C72AD">
        <w:rPr>
          <w:sz w:val="24"/>
          <w:szCs w:val="24"/>
        </w:rPr>
        <w:t xml:space="preserve"> </w:t>
      </w:r>
      <w:r w:rsidRPr="006C2510">
        <w:rPr>
          <w:sz w:val="24"/>
          <w:szCs w:val="24"/>
        </w:rPr>
        <w:t xml:space="preserve">og 81,4% for </w:t>
      </w:r>
      <w:proofErr w:type="spellStart"/>
      <w:r w:rsidRPr="006C2510">
        <w:rPr>
          <w:sz w:val="24"/>
          <w:szCs w:val="24"/>
        </w:rPr>
        <w:t>tamoxifen</w:t>
      </w:r>
      <w:proofErr w:type="spellEnd"/>
      <w:r w:rsidRPr="006C2510">
        <w:rPr>
          <w:sz w:val="24"/>
          <w:szCs w:val="24"/>
        </w:rPr>
        <w:t xml:space="preserve">. </w:t>
      </w:r>
    </w:p>
    <w:p w:rsidR="000A70A6" w:rsidRDefault="000A70A6" w:rsidP="000A70A6">
      <w:pPr>
        <w:tabs>
          <w:tab w:val="left" w:pos="851"/>
        </w:tabs>
        <w:ind w:left="851" w:hanging="851"/>
        <w:rPr>
          <w:b/>
          <w:bCs/>
          <w:sz w:val="24"/>
          <w:szCs w:val="24"/>
        </w:rPr>
      </w:pPr>
    </w:p>
    <w:p w:rsidR="000A70A6" w:rsidRDefault="000A70A6" w:rsidP="000A70A6">
      <w:pPr>
        <w:tabs>
          <w:tab w:val="left" w:pos="851"/>
        </w:tabs>
        <w:ind w:left="851"/>
        <w:rPr>
          <w:b/>
          <w:bCs/>
          <w:sz w:val="24"/>
          <w:szCs w:val="24"/>
        </w:rPr>
      </w:pPr>
      <w:r w:rsidRPr="006C2510">
        <w:rPr>
          <w:b/>
          <w:bCs/>
          <w:sz w:val="24"/>
          <w:szCs w:val="24"/>
        </w:rPr>
        <w:lastRenderedPageBreak/>
        <w:t>Tabel 4 Primær analyse: Sygdomsfri og total overlevelse ved en median opfølgning</w:t>
      </w:r>
      <w:r>
        <w:rPr>
          <w:b/>
          <w:bCs/>
          <w:sz w:val="24"/>
          <w:szCs w:val="24"/>
        </w:rPr>
        <w:t>s</w:t>
      </w:r>
      <w:r w:rsidRPr="006C2510">
        <w:rPr>
          <w:b/>
          <w:bCs/>
          <w:sz w:val="24"/>
          <w:szCs w:val="24"/>
        </w:rPr>
        <w:t>tid på 26 måneder og en median opfølgningstid på 60 måneder (ITT-population)</w:t>
      </w:r>
    </w:p>
    <w:p w:rsidR="000A70A6" w:rsidRPr="001B4655" w:rsidRDefault="000A70A6" w:rsidP="000A70A6">
      <w:pPr>
        <w:tabs>
          <w:tab w:val="left" w:pos="851"/>
        </w:tabs>
        <w:ind w:left="851" w:hanging="851"/>
        <w:rPr>
          <w:b/>
          <w:bCs/>
          <w:sz w:val="24"/>
          <w:szCs w:val="24"/>
        </w:rPr>
      </w:pPr>
    </w:p>
    <w:tbl>
      <w:tblPr>
        <w:tblW w:w="5000" w:type="pct"/>
        <w:tblBorders>
          <w:top w:val="single" w:sz="8" w:space="0" w:color="000000"/>
          <w:left w:val="single" w:sz="6" w:space="0" w:color="000000"/>
          <w:bottom w:val="single" w:sz="8" w:space="0" w:color="000000"/>
          <w:right w:val="single" w:sz="6" w:space="0" w:color="000000"/>
        </w:tblBorders>
        <w:tblLook w:val="04A0" w:firstRow="1" w:lastRow="0" w:firstColumn="1" w:lastColumn="0" w:noHBand="0" w:noVBand="1"/>
      </w:tblPr>
      <w:tblGrid>
        <w:gridCol w:w="2107"/>
        <w:gridCol w:w="1083"/>
        <w:gridCol w:w="1323"/>
        <w:gridCol w:w="1428"/>
        <w:gridCol w:w="1083"/>
        <w:gridCol w:w="1323"/>
        <w:gridCol w:w="1291"/>
      </w:tblGrid>
      <w:tr w:rsidR="000A70A6" w:rsidRPr="001B4655" w:rsidTr="00F06180">
        <w:trPr>
          <w:cantSplit/>
          <w:trHeight w:val="146"/>
        </w:trPr>
        <w:tc>
          <w:tcPr>
            <w:tcW w:w="1111" w:type="pct"/>
            <w:tcBorders>
              <w:top w:val="single" w:sz="8" w:space="0" w:color="000000"/>
              <w:left w:val="nil"/>
              <w:bottom w:val="nil"/>
              <w:right w:val="nil"/>
            </w:tcBorders>
          </w:tcPr>
          <w:p w:rsidR="000A70A6" w:rsidRPr="001B4655" w:rsidRDefault="000A70A6" w:rsidP="00F06180">
            <w:pPr>
              <w:rPr>
                <w:sz w:val="24"/>
                <w:szCs w:val="24"/>
              </w:rPr>
            </w:pPr>
          </w:p>
        </w:tc>
        <w:tc>
          <w:tcPr>
            <w:tcW w:w="3889" w:type="pct"/>
            <w:gridSpan w:val="6"/>
            <w:tcBorders>
              <w:top w:val="single" w:sz="8" w:space="0" w:color="000000"/>
              <w:left w:val="nil"/>
              <w:bottom w:val="nil"/>
              <w:right w:val="nil"/>
            </w:tcBorders>
            <w:hideMark/>
          </w:tcPr>
          <w:p w:rsidR="000A70A6" w:rsidRPr="001B4655" w:rsidRDefault="000A70A6" w:rsidP="00F06180">
            <w:pPr>
              <w:rPr>
                <w:sz w:val="24"/>
                <w:szCs w:val="24"/>
                <w:lang w:val="es-ES"/>
              </w:rPr>
            </w:pPr>
            <w:r w:rsidRPr="001B4655">
              <w:rPr>
                <w:b/>
                <w:bCs/>
                <w:sz w:val="24"/>
                <w:szCs w:val="24"/>
                <w:lang w:val="es-ES"/>
              </w:rPr>
              <w:t xml:space="preserve">Primær analyse </w:t>
            </w:r>
          </w:p>
        </w:tc>
      </w:tr>
      <w:tr w:rsidR="000A70A6" w:rsidRPr="001B4655" w:rsidTr="00F06180">
        <w:trPr>
          <w:cantSplit/>
          <w:trHeight w:val="146"/>
        </w:trPr>
        <w:tc>
          <w:tcPr>
            <w:tcW w:w="1111" w:type="pct"/>
            <w:tcBorders>
              <w:top w:val="nil"/>
              <w:left w:val="nil"/>
              <w:bottom w:val="single" w:sz="6" w:space="0" w:color="000000"/>
              <w:right w:val="nil"/>
            </w:tcBorders>
          </w:tcPr>
          <w:p w:rsidR="000A70A6" w:rsidRPr="001B4655" w:rsidRDefault="000A70A6" w:rsidP="00F06180">
            <w:pPr>
              <w:rPr>
                <w:sz w:val="24"/>
                <w:szCs w:val="24"/>
                <w:lang w:val="es-ES"/>
              </w:rPr>
            </w:pPr>
          </w:p>
        </w:tc>
        <w:tc>
          <w:tcPr>
            <w:tcW w:w="1980" w:type="pct"/>
            <w:gridSpan w:val="3"/>
            <w:tcBorders>
              <w:top w:val="nil"/>
              <w:left w:val="nil"/>
              <w:bottom w:val="single" w:sz="6" w:space="0" w:color="000000"/>
              <w:right w:val="nil"/>
            </w:tcBorders>
            <w:hideMark/>
          </w:tcPr>
          <w:p w:rsidR="000A70A6" w:rsidRPr="001B4655" w:rsidRDefault="000A70A6" w:rsidP="00F06180">
            <w:pPr>
              <w:rPr>
                <w:sz w:val="24"/>
                <w:szCs w:val="24"/>
                <w:lang w:val="es-ES"/>
              </w:rPr>
            </w:pPr>
            <w:r w:rsidRPr="001B4655">
              <w:rPr>
                <w:b/>
                <w:bCs/>
                <w:sz w:val="24"/>
                <w:szCs w:val="24"/>
                <w:lang w:val="es-ES"/>
              </w:rPr>
              <w:t xml:space="preserve">Median opfølgning 26 måneder </w:t>
            </w:r>
          </w:p>
        </w:tc>
        <w:tc>
          <w:tcPr>
            <w:tcW w:w="1909" w:type="pct"/>
            <w:gridSpan w:val="3"/>
            <w:tcBorders>
              <w:top w:val="nil"/>
              <w:left w:val="nil"/>
              <w:bottom w:val="single" w:sz="6" w:space="0" w:color="000000"/>
              <w:right w:val="nil"/>
            </w:tcBorders>
            <w:hideMark/>
          </w:tcPr>
          <w:p w:rsidR="000A70A6" w:rsidRPr="001B4655" w:rsidRDefault="000A70A6" w:rsidP="00F06180">
            <w:pPr>
              <w:rPr>
                <w:sz w:val="24"/>
                <w:szCs w:val="24"/>
                <w:lang w:val="es-ES"/>
              </w:rPr>
            </w:pPr>
            <w:r w:rsidRPr="001B4655">
              <w:rPr>
                <w:b/>
                <w:bCs/>
                <w:sz w:val="24"/>
                <w:szCs w:val="24"/>
                <w:lang w:val="es-ES"/>
              </w:rPr>
              <w:t xml:space="preserve">Median opfølgning 60 måneder </w:t>
            </w:r>
          </w:p>
        </w:tc>
      </w:tr>
      <w:tr w:rsidR="000A70A6" w:rsidRPr="001B4655" w:rsidTr="00F06180">
        <w:trPr>
          <w:cantSplit/>
          <w:trHeight w:val="411"/>
        </w:trPr>
        <w:tc>
          <w:tcPr>
            <w:tcW w:w="1111" w:type="pct"/>
            <w:tcBorders>
              <w:top w:val="single" w:sz="6" w:space="0" w:color="000000"/>
              <w:left w:val="nil"/>
              <w:bottom w:val="nil"/>
              <w:right w:val="nil"/>
            </w:tcBorders>
            <w:hideMark/>
          </w:tcPr>
          <w:p w:rsidR="000A70A6" w:rsidRPr="001B4655" w:rsidRDefault="000A70A6" w:rsidP="00F06180">
            <w:pPr>
              <w:rPr>
                <w:sz w:val="24"/>
                <w:szCs w:val="24"/>
                <w:lang w:val="es-ES"/>
              </w:rPr>
            </w:pPr>
            <w:r w:rsidRPr="001B4655">
              <w:rPr>
                <w:b/>
                <w:bCs/>
                <w:sz w:val="24"/>
                <w:szCs w:val="24"/>
                <w:lang w:val="es-ES"/>
              </w:rPr>
              <w:t xml:space="preserve"> </w:t>
            </w:r>
          </w:p>
        </w:tc>
        <w:tc>
          <w:tcPr>
            <w:tcW w:w="550" w:type="pct"/>
            <w:tcBorders>
              <w:top w:val="single" w:sz="6" w:space="0" w:color="000000"/>
              <w:left w:val="nil"/>
              <w:bottom w:val="nil"/>
              <w:right w:val="nil"/>
            </w:tcBorders>
            <w:hideMark/>
          </w:tcPr>
          <w:p w:rsidR="000A70A6" w:rsidRPr="001B4655" w:rsidRDefault="000A70A6" w:rsidP="00F06180">
            <w:pPr>
              <w:rPr>
                <w:b/>
                <w:sz w:val="24"/>
                <w:szCs w:val="24"/>
                <w:lang w:val="es-ES"/>
              </w:rPr>
            </w:pPr>
            <w:r w:rsidRPr="001B4655">
              <w:rPr>
                <w:b/>
                <w:sz w:val="24"/>
                <w:szCs w:val="24"/>
                <w:lang w:val="es-ES"/>
              </w:rPr>
              <w:t>Letrozol</w:t>
            </w:r>
          </w:p>
          <w:p w:rsidR="000A70A6" w:rsidRPr="001B4655" w:rsidRDefault="000A70A6" w:rsidP="00F06180">
            <w:pPr>
              <w:rPr>
                <w:sz w:val="24"/>
                <w:szCs w:val="24"/>
                <w:lang w:val="es-ES"/>
              </w:rPr>
            </w:pPr>
            <w:r w:rsidRPr="001B4655">
              <w:rPr>
                <w:b/>
                <w:bCs/>
                <w:sz w:val="24"/>
                <w:szCs w:val="24"/>
                <w:lang w:val="es-ES"/>
              </w:rPr>
              <w:t>N=4.003</w:t>
            </w:r>
          </w:p>
        </w:tc>
        <w:tc>
          <w:tcPr>
            <w:tcW w:w="671" w:type="pct"/>
            <w:tcBorders>
              <w:top w:val="single" w:sz="6" w:space="0" w:color="000000"/>
              <w:left w:val="nil"/>
              <w:bottom w:val="nil"/>
              <w:right w:val="nil"/>
            </w:tcBorders>
            <w:hideMark/>
          </w:tcPr>
          <w:p w:rsidR="000A70A6" w:rsidRPr="001B4655" w:rsidRDefault="000A70A6" w:rsidP="00F06180">
            <w:pPr>
              <w:rPr>
                <w:sz w:val="24"/>
                <w:szCs w:val="24"/>
                <w:lang w:val="es-ES"/>
              </w:rPr>
            </w:pPr>
            <w:r w:rsidRPr="001B4655">
              <w:rPr>
                <w:b/>
                <w:bCs/>
                <w:sz w:val="24"/>
                <w:szCs w:val="24"/>
                <w:lang w:val="es-ES"/>
              </w:rPr>
              <w:t>Tamoxifen</w:t>
            </w:r>
          </w:p>
          <w:p w:rsidR="000A70A6" w:rsidRPr="001B4655" w:rsidRDefault="000A70A6" w:rsidP="00F06180">
            <w:pPr>
              <w:rPr>
                <w:sz w:val="24"/>
                <w:szCs w:val="24"/>
                <w:lang w:val="es-ES"/>
              </w:rPr>
            </w:pPr>
            <w:r w:rsidRPr="001B4655">
              <w:rPr>
                <w:b/>
                <w:bCs/>
                <w:sz w:val="24"/>
                <w:szCs w:val="24"/>
                <w:lang w:val="es-ES"/>
              </w:rPr>
              <w:t xml:space="preserve">N=4.007 </w:t>
            </w:r>
          </w:p>
        </w:tc>
        <w:tc>
          <w:tcPr>
            <w:tcW w:w="759" w:type="pct"/>
            <w:tcBorders>
              <w:top w:val="single" w:sz="6" w:space="0" w:color="000000"/>
              <w:left w:val="nil"/>
              <w:bottom w:val="nil"/>
              <w:right w:val="nil"/>
            </w:tcBorders>
            <w:hideMark/>
          </w:tcPr>
          <w:p w:rsidR="000A70A6" w:rsidRPr="001B4655" w:rsidRDefault="000A70A6" w:rsidP="00F06180">
            <w:pPr>
              <w:rPr>
                <w:b/>
                <w:bCs/>
                <w:sz w:val="24"/>
                <w:szCs w:val="24"/>
                <w:vertAlign w:val="superscript"/>
                <w:lang w:val="es-ES"/>
              </w:rPr>
            </w:pPr>
            <w:r w:rsidRPr="001B4655">
              <w:rPr>
                <w:b/>
                <w:bCs/>
                <w:sz w:val="24"/>
                <w:szCs w:val="24"/>
                <w:lang w:val="es-ES"/>
              </w:rPr>
              <w:t>Relativ risiko</w:t>
            </w:r>
            <w:r w:rsidRPr="001B4655">
              <w:rPr>
                <w:b/>
                <w:bCs/>
                <w:sz w:val="24"/>
                <w:szCs w:val="24"/>
                <w:vertAlign w:val="superscript"/>
                <w:lang w:val="es-ES"/>
              </w:rPr>
              <w:t>1</w:t>
            </w:r>
          </w:p>
          <w:p w:rsidR="000A70A6" w:rsidRPr="001B4655" w:rsidRDefault="000A70A6" w:rsidP="00F06180">
            <w:pPr>
              <w:rPr>
                <w:sz w:val="24"/>
                <w:szCs w:val="24"/>
                <w:lang w:val="es-ES"/>
              </w:rPr>
            </w:pPr>
            <w:r w:rsidRPr="001B4655">
              <w:rPr>
                <w:b/>
                <w:bCs/>
                <w:sz w:val="24"/>
                <w:szCs w:val="24"/>
                <w:lang w:val="es-ES"/>
              </w:rPr>
              <w:t xml:space="preserve">(95% KI) </w:t>
            </w:r>
          </w:p>
          <w:p w:rsidR="000A70A6" w:rsidRPr="001B4655" w:rsidRDefault="000A70A6" w:rsidP="00F06180">
            <w:pPr>
              <w:rPr>
                <w:sz w:val="24"/>
                <w:szCs w:val="24"/>
                <w:lang w:val="es-ES"/>
              </w:rPr>
            </w:pPr>
            <w:r w:rsidRPr="001B4655">
              <w:rPr>
                <w:b/>
                <w:bCs/>
                <w:i/>
                <w:iCs/>
                <w:sz w:val="24"/>
                <w:szCs w:val="24"/>
                <w:lang w:val="es-ES"/>
              </w:rPr>
              <w:t xml:space="preserve">P </w:t>
            </w:r>
          </w:p>
        </w:tc>
        <w:tc>
          <w:tcPr>
            <w:tcW w:w="550" w:type="pct"/>
            <w:tcBorders>
              <w:top w:val="single" w:sz="6" w:space="0" w:color="000000"/>
              <w:left w:val="nil"/>
              <w:bottom w:val="nil"/>
              <w:right w:val="nil"/>
            </w:tcBorders>
            <w:hideMark/>
          </w:tcPr>
          <w:p w:rsidR="000A70A6" w:rsidRPr="001B4655" w:rsidRDefault="000A70A6" w:rsidP="00F06180">
            <w:pPr>
              <w:rPr>
                <w:sz w:val="24"/>
                <w:szCs w:val="24"/>
                <w:lang w:val="es-ES"/>
              </w:rPr>
            </w:pPr>
            <w:r w:rsidRPr="001B4655">
              <w:rPr>
                <w:b/>
                <w:bCs/>
                <w:sz w:val="24"/>
                <w:szCs w:val="24"/>
                <w:lang w:val="es-ES"/>
              </w:rPr>
              <w:t>Letrozol</w:t>
            </w:r>
          </w:p>
          <w:p w:rsidR="000A70A6" w:rsidRPr="001B4655" w:rsidRDefault="000A70A6" w:rsidP="00F06180">
            <w:pPr>
              <w:rPr>
                <w:sz w:val="24"/>
                <w:szCs w:val="24"/>
                <w:lang w:val="es-ES"/>
              </w:rPr>
            </w:pPr>
            <w:r w:rsidRPr="001B4655">
              <w:rPr>
                <w:b/>
                <w:bCs/>
                <w:sz w:val="24"/>
                <w:szCs w:val="24"/>
                <w:lang w:val="es-ES"/>
              </w:rPr>
              <w:t xml:space="preserve">N=4.003 </w:t>
            </w:r>
          </w:p>
        </w:tc>
        <w:tc>
          <w:tcPr>
            <w:tcW w:w="671" w:type="pct"/>
            <w:tcBorders>
              <w:top w:val="single" w:sz="6" w:space="0" w:color="000000"/>
              <w:left w:val="nil"/>
              <w:bottom w:val="nil"/>
              <w:right w:val="nil"/>
            </w:tcBorders>
            <w:hideMark/>
          </w:tcPr>
          <w:p w:rsidR="000A70A6" w:rsidRPr="001B4655" w:rsidRDefault="000A70A6" w:rsidP="00F06180">
            <w:pPr>
              <w:rPr>
                <w:sz w:val="24"/>
                <w:szCs w:val="24"/>
                <w:lang w:val="es-ES"/>
              </w:rPr>
            </w:pPr>
            <w:r w:rsidRPr="001B4655">
              <w:rPr>
                <w:b/>
                <w:bCs/>
                <w:sz w:val="24"/>
                <w:szCs w:val="24"/>
                <w:lang w:val="es-ES"/>
              </w:rPr>
              <w:t xml:space="preserve">Tamoxifen </w:t>
            </w:r>
          </w:p>
          <w:p w:rsidR="000A70A6" w:rsidRPr="001B4655" w:rsidRDefault="000A70A6" w:rsidP="00F06180">
            <w:pPr>
              <w:rPr>
                <w:sz w:val="24"/>
                <w:szCs w:val="24"/>
                <w:lang w:val="es-ES"/>
              </w:rPr>
            </w:pPr>
            <w:r w:rsidRPr="001B4655">
              <w:rPr>
                <w:b/>
                <w:bCs/>
                <w:sz w:val="24"/>
                <w:szCs w:val="24"/>
                <w:lang w:val="es-ES"/>
              </w:rPr>
              <w:t xml:space="preserve">N=4.007 </w:t>
            </w:r>
          </w:p>
        </w:tc>
        <w:tc>
          <w:tcPr>
            <w:tcW w:w="688" w:type="pct"/>
            <w:tcBorders>
              <w:top w:val="single" w:sz="6" w:space="0" w:color="000000"/>
              <w:left w:val="nil"/>
              <w:bottom w:val="nil"/>
              <w:right w:val="nil"/>
            </w:tcBorders>
            <w:hideMark/>
          </w:tcPr>
          <w:p w:rsidR="000A70A6" w:rsidRPr="001B4655" w:rsidRDefault="000A70A6" w:rsidP="00F06180">
            <w:pPr>
              <w:rPr>
                <w:b/>
                <w:bCs/>
                <w:sz w:val="24"/>
                <w:szCs w:val="24"/>
                <w:lang w:val="es-ES"/>
              </w:rPr>
            </w:pPr>
            <w:r w:rsidRPr="001B4655">
              <w:rPr>
                <w:b/>
                <w:bCs/>
                <w:sz w:val="24"/>
                <w:szCs w:val="24"/>
                <w:lang w:val="es-ES"/>
              </w:rPr>
              <w:t xml:space="preserve">Relativ </w:t>
            </w:r>
          </w:p>
          <w:p w:rsidR="000A70A6" w:rsidRPr="001B4655" w:rsidRDefault="000A70A6" w:rsidP="00F06180">
            <w:pPr>
              <w:rPr>
                <w:b/>
                <w:bCs/>
                <w:sz w:val="24"/>
                <w:szCs w:val="24"/>
                <w:vertAlign w:val="superscript"/>
                <w:lang w:val="es-ES"/>
              </w:rPr>
            </w:pPr>
            <w:r w:rsidRPr="001B4655">
              <w:rPr>
                <w:b/>
                <w:bCs/>
                <w:sz w:val="24"/>
                <w:szCs w:val="24"/>
                <w:lang w:val="es-ES"/>
              </w:rPr>
              <w:t>risiko</w:t>
            </w:r>
            <w:r w:rsidRPr="001B4655">
              <w:rPr>
                <w:b/>
                <w:bCs/>
                <w:sz w:val="24"/>
                <w:szCs w:val="24"/>
                <w:vertAlign w:val="superscript"/>
                <w:lang w:val="es-ES"/>
              </w:rPr>
              <w:t>1</w:t>
            </w:r>
          </w:p>
          <w:p w:rsidR="000A70A6" w:rsidRPr="001B4655" w:rsidRDefault="000A70A6" w:rsidP="00F06180">
            <w:pPr>
              <w:rPr>
                <w:sz w:val="24"/>
                <w:szCs w:val="24"/>
                <w:lang w:val="es-ES"/>
              </w:rPr>
            </w:pPr>
            <w:r w:rsidRPr="001B4655">
              <w:rPr>
                <w:b/>
                <w:bCs/>
                <w:sz w:val="24"/>
                <w:szCs w:val="24"/>
                <w:lang w:val="es-ES"/>
              </w:rPr>
              <w:t xml:space="preserve">(95% KI) </w:t>
            </w:r>
          </w:p>
          <w:p w:rsidR="000A70A6" w:rsidRPr="001B4655" w:rsidRDefault="000A70A6" w:rsidP="00F06180">
            <w:pPr>
              <w:rPr>
                <w:sz w:val="24"/>
                <w:szCs w:val="24"/>
                <w:lang w:val="es-ES"/>
              </w:rPr>
            </w:pPr>
            <w:r w:rsidRPr="001B4655">
              <w:rPr>
                <w:b/>
                <w:bCs/>
                <w:i/>
                <w:iCs/>
                <w:sz w:val="24"/>
                <w:szCs w:val="24"/>
                <w:lang w:val="es-ES"/>
              </w:rPr>
              <w:t xml:space="preserve">P </w:t>
            </w:r>
          </w:p>
        </w:tc>
      </w:tr>
      <w:tr w:rsidR="000A70A6" w:rsidRPr="001B4655" w:rsidTr="00F06180">
        <w:trPr>
          <w:cantSplit/>
          <w:trHeight w:val="526"/>
        </w:trPr>
        <w:tc>
          <w:tcPr>
            <w:tcW w:w="1111" w:type="pct"/>
            <w:tcBorders>
              <w:top w:val="nil"/>
              <w:left w:val="nil"/>
              <w:bottom w:val="nil"/>
              <w:right w:val="nil"/>
            </w:tcBorders>
            <w:hideMark/>
          </w:tcPr>
          <w:p w:rsidR="000A70A6" w:rsidRPr="00046FED" w:rsidRDefault="000A70A6" w:rsidP="00F06180">
            <w:pPr>
              <w:rPr>
                <w:sz w:val="24"/>
                <w:szCs w:val="24"/>
              </w:rPr>
            </w:pPr>
            <w:r w:rsidRPr="00046FED">
              <w:rPr>
                <w:sz w:val="24"/>
                <w:szCs w:val="24"/>
              </w:rPr>
              <w:t xml:space="preserve">Sygdomsfri overlevelse (primær) </w:t>
            </w:r>
          </w:p>
          <w:p w:rsidR="000A70A6" w:rsidRPr="00046FED" w:rsidRDefault="000A70A6" w:rsidP="00F06180">
            <w:pPr>
              <w:rPr>
                <w:sz w:val="24"/>
                <w:szCs w:val="24"/>
              </w:rPr>
            </w:pPr>
            <w:r w:rsidRPr="00046FED">
              <w:rPr>
                <w:sz w:val="24"/>
                <w:szCs w:val="24"/>
              </w:rPr>
              <w:t>– hændelser (protokol-defineret</w:t>
            </w:r>
            <w:r w:rsidRPr="00046FED">
              <w:rPr>
                <w:sz w:val="24"/>
                <w:szCs w:val="24"/>
                <w:vertAlign w:val="superscript"/>
              </w:rPr>
              <w:t>2</w:t>
            </w:r>
            <w:r w:rsidRPr="00046FED">
              <w:rPr>
                <w:sz w:val="24"/>
                <w:szCs w:val="24"/>
              </w:rPr>
              <w:t xml:space="preserve">) </w:t>
            </w:r>
          </w:p>
        </w:tc>
        <w:tc>
          <w:tcPr>
            <w:tcW w:w="550" w:type="pct"/>
            <w:tcBorders>
              <w:top w:val="nil"/>
              <w:left w:val="nil"/>
              <w:bottom w:val="nil"/>
              <w:right w:val="nil"/>
            </w:tcBorders>
            <w:hideMark/>
          </w:tcPr>
          <w:p w:rsidR="000A70A6" w:rsidRPr="001B4655" w:rsidRDefault="000A70A6" w:rsidP="00F06180">
            <w:pPr>
              <w:rPr>
                <w:sz w:val="24"/>
                <w:szCs w:val="24"/>
                <w:lang w:val="es-ES"/>
              </w:rPr>
            </w:pPr>
            <w:r w:rsidRPr="001B4655">
              <w:rPr>
                <w:sz w:val="24"/>
                <w:szCs w:val="24"/>
                <w:lang w:val="es-ES"/>
              </w:rPr>
              <w:t xml:space="preserve">351 </w:t>
            </w:r>
          </w:p>
        </w:tc>
        <w:tc>
          <w:tcPr>
            <w:tcW w:w="671" w:type="pct"/>
            <w:tcBorders>
              <w:top w:val="nil"/>
              <w:left w:val="nil"/>
              <w:bottom w:val="nil"/>
              <w:right w:val="nil"/>
            </w:tcBorders>
            <w:hideMark/>
          </w:tcPr>
          <w:p w:rsidR="000A70A6" w:rsidRPr="001B4655" w:rsidRDefault="000A70A6" w:rsidP="00F06180">
            <w:pPr>
              <w:rPr>
                <w:sz w:val="24"/>
                <w:szCs w:val="24"/>
                <w:lang w:val="es-ES"/>
              </w:rPr>
            </w:pPr>
            <w:r w:rsidRPr="001B4655">
              <w:rPr>
                <w:sz w:val="24"/>
                <w:szCs w:val="24"/>
                <w:lang w:val="es-ES"/>
              </w:rPr>
              <w:t xml:space="preserve">428 </w:t>
            </w:r>
          </w:p>
        </w:tc>
        <w:tc>
          <w:tcPr>
            <w:tcW w:w="759" w:type="pct"/>
            <w:tcBorders>
              <w:top w:val="nil"/>
              <w:left w:val="nil"/>
              <w:bottom w:val="nil"/>
              <w:right w:val="nil"/>
            </w:tcBorders>
            <w:hideMark/>
          </w:tcPr>
          <w:p w:rsidR="000A70A6" w:rsidRPr="001B4655" w:rsidRDefault="000A70A6" w:rsidP="00F06180">
            <w:pPr>
              <w:rPr>
                <w:sz w:val="24"/>
                <w:szCs w:val="24"/>
                <w:lang w:val="es-ES"/>
              </w:rPr>
            </w:pPr>
            <w:r w:rsidRPr="001B4655">
              <w:rPr>
                <w:sz w:val="24"/>
                <w:szCs w:val="24"/>
                <w:lang w:val="es-ES"/>
              </w:rPr>
              <w:t xml:space="preserve">0,81 </w:t>
            </w:r>
          </w:p>
          <w:p w:rsidR="000A70A6" w:rsidRPr="001B4655" w:rsidRDefault="000A70A6" w:rsidP="00F06180">
            <w:pPr>
              <w:rPr>
                <w:sz w:val="24"/>
                <w:szCs w:val="24"/>
                <w:lang w:val="es-ES"/>
              </w:rPr>
            </w:pPr>
            <w:r w:rsidRPr="001B4655">
              <w:rPr>
                <w:sz w:val="24"/>
                <w:szCs w:val="24"/>
                <w:lang w:val="es-ES"/>
              </w:rPr>
              <w:t>(0,70; 0,93)</w:t>
            </w:r>
          </w:p>
          <w:p w:rsidR="000A70A6" w:rsidRPr="001B4655" w:rsidRDefault="000A70A6" w:rsidP="00F06180">
            <w:pPr>
              <w:rPr>
                <w:sz w:val="24"/>
                <w:szCs w:val="24"/>
                <w:lang w:val="es-ES"/>
              </w:rPr>
            </w:pPr>
            <w:r w:rsidRPr="001B4655">
              <w:rPr>
                <w:sz w:val="24"/>
                <w:szCs w:val="24"/>
                <w:lang w:val="es-ES"/>
              </w:rPr>
              <w:t xml:space="preserve">0,003 </w:t>
            </w:r>
          </w:p>
        </w:tc>
        <w:tc>
          <w:tcPr>
            <w:tcW w:w="550" w:type="pct"/>
            <w:tcBorders>
              <w:top w:val="nil"/>
              <w:left w:val="nil"/>
              <w:bottom w:val="nil"/>
              <w:right w:val="nil"/>
            </w:tcBorders>
            <w:hideMark/>
          </w:tcPr>
          <w:p w:rsidR="000A70A6" w:rsidRPr="001B4655" w:rsidRDefault="000A70A6" w:rsidP="00F06180">
            <w:pPr>
              <w:rPr>
                <w:sz w:val="24"/>
                <w:szCs w:val="24"/>
                <w:lang w:val="es-ES"/>
              </w:rPr>
            </w:pPr>
            <w:r w:rsidRPr="001B4655">
              <w:rPr>
                <w:sz w:val="24"/>
                <w:szCs w:val="24"/>
                <w:lang w:val="es-ES"/>
              </w:rPr>
              <w:t xml:space="preserve">585 </w:t>
            </w:r>
          </w:p>
        </w:tc>
        <w:tc>
          <w:tcPr>
            <w:tcW w:w="671" w:type="pct"/>
            <w:tcBorders>
              <w:top w:val="nil"/>
              <w:left w:val="nil"/>
              <w:bottom w:val="nil"/>
              <w:right w:val="nil"/>
            </w:tcBorders>
            <w:hideMark/>
          </w:tcPr>
          <w:p w:rsidR="000A70A6" w:rsidRPr="001B4655" w:rsidRDefault="000A70A6" w:rsidP="00F06180">
            <w:pPr>
              <w:rPr>
                <w:sz w:val="24"/>
                <w:szCs w:val="24"/>
                <w:lang w:val="es-ES"/>
              </w:rPr>
            </w:pPr>
            <w:r w:rsidRPr="001B4655">
              <w:rPr>
                <w:sz w:val="24"/>
                <w:szCs w:val="24"/>
                <w:lang w:val="es-ES"/>
              </w:rPr>
              <w:t xml:space="preserve">664 </w:t>
            </w:r>
          </w:p>
        </w:tc>
        <w:tc>
          <w:tcPr>
            <w:tcW w:w="688" w:type="pct"/>
            <w:tcBorders>
              <w:top w:val="nil"/>
              <w:left w:val="nil"/>
              <w:bottom w:val="nil"/>
              <w:right w:val="nil"/>
            </w:tcBorders>
            <w:hideMark/>
          </w:tcPr>
          <w:p w:rsidR="000A70A6" w:rsidRPr="001B4655" w:rsidRDefault="000A70A6" w:rsidP="00F06180">
            <w:pPr>
              <w:rPr>
                <w:sz w:val="24"/>
                <w:szCs w:val="24"/>
                <w:lang w:val="es-ES"/>
              </w:rPr>
            </w:pPr>
            <w:r w:rsidRPr="001B4655">
              <w:rPr>
                <w:sz w:val="24"/>
                <w:szCs w:val="24"/>
                <w:lang w:val="es-ES"/>
              </w:rPr>
              <w:t xml:space="preserve">0,86 </w:t>
            </w:r>
          </w:p>
          <w:p w:rsidR="000A70A6" w:rsidRPr="001B4655" w:rsidRDefault="000A70A6" w:rsidP="00F06180">
            <w:pPr>
              <w:rPr>
                <w:sz w:val="24"/>
                <w:szCs w:val="24"/>
                <w:lang w:val="es-ES"/>
              </w:rPr>
            </w:pPr>
            <w:r w:rsidRPr="001B4655">
              <w:rPr>
                <w:sz w:val="24"/>
                <w:szCs w:val="24"/>
                <w:lang w:val="es-ES"/>
              </w:rPr>
              <w:t xml:space="preserve">(0,77; 0,96) </w:t>
            </w:r>
          </w:p>
          <w:p w:rsidR="000A70A6" w:rsidRPr="001B4655" w:rsidRDefault="000A70A6" w:rsidP="00F06180">
            <w:pPr>
              <w:rPr>
                <w:sz w:val="24"/>
                <w:szCs w:val="24"/>
                <w:lang w:val="es-ES"/>
              </w:rPr>
            </w:pPr>
            <w:r w:rsidRPr="001B4655">
              <w:rPr>
                <w:sz w:val="24"/>
                <w:szCs w:val="24"/>
                <w:lang w:val="es-ES"/>
              </w:rPr>
              <w:t xml:space="preserve">0,008 </w:t>
            </w:r>
          </w:p>
        </w:tc>
      </w:tr>
      <w:tr w:rsidR="000A70A6" w:rsidRPr="001B4655" w:rsidTr="00F06180">
        <w:trPr>
          <w:cantSplit/>
          <w:trHeight w:val="398"/>
        </w:trPr>
        <w:tc>
          <w:tcPr>
            <w:tcW w:w="1111" w:type="pct"/>
            <w:tcBorders>
              <w:top w:val="nil"/>
              <w:left w:val="nil"/>
              <w:bottom w:val="single" w:sz="8" w:space="0" w:color="000000"/>
              <w:right w:val="nil"/>
            </w:tcBorders>
            <w:hideMark/>
          </w:tcPr>
          <w:p w:rsidR="000A70A6" w:rsidRPr="001B4655" w:rsidRDefault="000A70A6" w:rsidP="00F06180">
            <w:pPr>
              <w:rPr>
                <w:sz w:val="24"/>
                <w:szCs w:val="24"/>
              </w:rPr>
            </w:pPr>
            <w:r w:rsidRPr="001B4655">
              <w:rPr>
                <w:sz w:val="24"/>
                <w:szCs w:val="24"/>
              </w:rPr>
              <w:t xml:space="preserve">Total overlevelse (sekundær) </w:t>
            </w:r>
          </w:p>
          <w:p w:rsidR="000A70A6" w:rsidRPr="001B4655" w:rsidRDefault="000A70A6" w:rsidP="00F06180">
            <w:pPr>
              <w:rPr>
                <w:sz w:val="24"/>
                <w:szCs w:val="24"/>
              </w:rPr>
            </w:pPr>
            <w:r w:rsidRPr="001B4655">
              <w:rPr>
                <w:sz w:val="24"/>
                <w:szCs w:val="24"/>
              </w:rPr>
              <w:t xml:space="preserve">– antal døde </w:t>
            </w:r>
          </w:p>
        </w:tc>
        <w:tc>
          <w:tcPr>
            <w:tcW w:w="550" w:type="pct"/>
            <w:tcBorders>
              <w:top w:val="nil"/>
              <w:left w:val="nil"/>
              <w:bottom w:val="single" w:sz="8" w:space="0" w:color="000000"/>
              <w:right w:val="nil"/>
            </w:tcBorders>
            <w:hideMark/>
          </w:tcPr>
          <w:p w:rsidR="000A70A6" w:rsidRPr="001B4655" w:rsidRDefault="000A70A6" w:rsidP="00F06180">
            <w:pPr>
              <w:rPr>
                <w:sz w:val="24"/>
                <w:szCs w:val="24"/>
                <w:lang w:val="es-ES"/>
              </w:rPr>
            </w:pPr>
            <w:r w:rsidRPr="001B4655">
              <w:rPr>
                <w:sz w:val="24"/>
                <w:szCs w:val="24"/>
                <w:lang w:val="es-ES"/>
              </w:rPr>
              <w:t xml:space="preserve">166 </w:t>
            </w:r>
          </w:p>
        </w:tc>
        <w:tc>
          <w:tcPr>
            <w:tcW w:w="671" w:type="pct"/>
            <w:tcBorders>
              <w:top w:val="nil"/>
              <w:left w:val="nil"/>
              <w:bottom w:val="single" w:sz="8" w:space="0" w:color="000000"/>
              <w:right w:val="nil"/>
            </w:tcBorders>
            <w:hideMark/>
          </w:tcPr>
          <w:p w:rsidR="000A70A6" w:rsidRPr="001B4655" w:rsidRDefault="000A70A6" w:rsidP="00F06180">
            <w:pPr>
              <w:rPr>
                <w:sz w:val="24"/>
                <w:szCs w:val="24"/>
                <w:lang w:val="es-ES"/>
              </w:rPr>
            </w:pPr>
            <w:r w:rsidRPr="001B4655">
              <w:rPr>
                <w:sz w:val="24"/>
                <w:szCs w:val="24"/>
                <w:lang w:val="es-ES"/>
              </w:rPr>
              <w:t xml:space="preserve">192 </w:t>
            </w:r>
          </w:p>
        </w:tc>
        <w:tc>
          <w:tcPr>
            <w:tcW w:w="759" w:type="pct"/>
            <w:tcBorders>
              <w:top w:val="nil"/>
              <w:left w:val="nil"/>
              <w:bottom w:val="single" w:sz="8" w:space="0" w:color="000000"/>
              <w:right w:val="nil"/>
            </w:tcBorders>
            <w:hideMark/>
          </w:tcPr>
          <w:p w:rsidR="000A70A6" w:rsidRPr="001B4655" w:rsidRDefault="000A70A6" w:rsidP="00F06180">
            <w:pPr>
              <w:rPr>
                <w:sz w:val="24"/>
                <w:szCs w:val="24"/>
                <w:lang w:val="es-ES"/>
              </w:rPr>
            </w:pPr>
            <w:r w:rsidRPr="001B4655">
              <w:rPr>
                <w:sz w:val="24"/>
                <w:szCs w:val="24"/>
                <w:lang w:val="es-ES"/>
              </w:rPr>
              <w:t xml:space="preserve">0,86 </w:t>
            </w:r>
          </w:p>
          <w:p w:rsidR="000A70A6" w:rsidRPr="001B4655" w:rsidRDefault="000A70A6" w:rsidP="00F06180">
            <w:pPr>
              <w:rPr>
                <w:sz w:val="24"/>
                <w:szCs w:val="24"/>
                <w:lang w:val="es-ES"/>
              </w:rPr>
            </w:pPr>
            <w:r w:rsidRPr="001B4655">
              <w:rPr>
                <w:sz w:val="24"/>
                <w:szCs w:val="24"/>
                <w:lang w:val="es-ES"/>
              </w:rPr>
              <w:t xml:space="preserve">(0,70; 1,06) </w:t>
            </w:r>
          </w:p>
        </w:tc>
        <w:tc>
          <w:tcPr>
            <w:tcW w:w="550" w:type="pct"/>
            <w:tcBorders>
              <w:top w:val="nil"/>
              <w:left w:val="nil"/>
              <w:bottom w:val="single" w:sz="8" w:space="0" w:color="000000"/>
              <w:right w:val="nil"/>
            </w:tcBorders>
            <w:hideMark/>
          </w:tcPr>
          <w:p w:rsidR="000A70A6" w:rsidRPr="001B4655" w:rsidRDefault="000A70A6" w:rsidP="00F06180">
            <w:pPr>
              <w:rPr>
                <w:sz w:val="24"/>
                <w:szCs w:val="24"/>
                <w:lang w:val="es-ES"/>
              </w:rPr>
            </w:pPr>
            <w:r w:rsidRPr="001B4655">
              <w:rPr>
                <w:sz w:val="24"/>
                <w:szCs w:val="24"/>
                <w:lang w:val="es-ES"/>
              </w:rPr>
              <w:t xml:space="preserve">330 </w:t>
            </w:r>
          </w:p>
        </w:tc>
        <w:tc>
          <w:tcPr>
            <w:tcW w:w="671" w:type="pct"/>
            <w:tcBorders>
              <w:top w:val="nil"/>
              <w:left w:val="nil"/>
              <w:bottom w:val="single" w:sz="8" w:space="0" w:color="000000"/>
              <w:right w:val="nil"/>
            </w:tcBorders>
            <w:hideMark/>
          </w:tcPr>
          <w:p w:rsidR="000A70A6" w:rsidRPr="001B4655" w:rsidRDefault="000A70A6" w:rsidP="00F06180">
            <w:pPr>
              <w:rPr>
                <w:sz w:val="24"/>
                <w:szCs w:val="24"/>
                <w:lang w:val="es-ES"/>
              </w:rPr>
            </w:pPr>
            <w:r w:rsidRPr="001B4655">
              <w:rPr>
                <w:sz w:val="24"/>
                <w:szCs w:val="24"/>
                <w:lang w:val="es-ES"/>
              </w:rPr>
              <w:t xml:space="preserve">374 </w:t>
            </w:r>
          </w:p>
        </w:tc>
        <w:tc>
          <w:tcPr>
            <w:tcW w:w="688" w:type="pct"/>
            <w:tcBorders>
              <w:top w:val="nil"/>
              <w:left w:val="nil"/>
              <w:bottom w:val="single" w:sz="8" w:space="0" w:color="000000"/>
              <w:right w:val="nil"/>
            </w:tcBorders>
            <w:hideMark/>
          </w:tcPr>
          <w:p w:rsidR="000A70A6" w:rsidRPr="001B4655" w:rsidRDefault="000A70A6" w:rsidP="00F06180">
            <w:pPr>
              <w:rPr>
                <w:sz w:val="24"/>
                <w:szCs w:val="24"/>
                <w:lang w:val="es-ES"/>
              </w:rPr>
            </w:pPr>
            <w:r w:rsidRPr="001B4655">
              <w:rPr>
                <w:sz w:val="24"/>
                <w:szCs w:val="24"/>
                <w:lang w:val="es-ES"/>
              </w:rPr>
              <w:t xml:space="preserve">0,87 </w:t>
            </w:r>
          </w:p>
          <w:p w:rsidR="000A70A6" w:rsidRPr="001B4655" w:rsidRDefault="000A70A6" w:rsidP="00F06180">
            <w:pPr>
              <w:rPr>
                <w:sz w:val="24"/>
                <w:szCs w:val="24"/>
                <w:lang w:val="es-ES"/>
              </w:rPr>
            </w:pPr>
            <w:r w:rsidRPr="001B4655">
              <w:rPr>
                <w:sz w:val="24"/>
                <w:szCs w:val="24"/>
                <w:lang w:val="es-ES"/>
              </w:rPr>
              <w:t xml:space="preserve">(0,75; 1,01) </w:t>
            </w:r>
          </w:p>
        </w:tc>
      </w:tr>
      <w:tr w:rsidR="000A70A6" w:rsidRPr="001B4655" w:rsidTr="00F06180">
        <w:trPr>
          <w:cantSplit/>
          <w:trHeight w:val="525"/>
        </w:trPr>
        <w:tc>
          <w:tcPr>
            <w:tcW w:w="5000" w:type="pct"/>
            <w:gridSpan w:val="7"/>
            <w:tcBorders>
              <w:top w:val="single" w:sz="8" w:space="0" w:color="000000"/>
              <w:left w:val="nil"/>
              <w:bottom w:val="nil"/>
              <w:right w:val="nil"/>
            </w:tcBorders>
          </w:tcPr>
          <w:p w:rsidR="000A70A6" w:rsidRPr="001B4655" w:rsidRDefault="000A70A6" w:rsidP="00F06180">
            <w:pPr>
              <w:rPr>
                <w:sz w:val="24"/>
                <w:szCs w:val="24"/>
              </w:rPr>
            </w:pPr>
            <w:r w:rsidRPr="001B4655">
              <w:rPr>
                <w:sz w:val="24"/>
                <w:szCs w:val="24"/>
              </w:rPr>
              <w:t xml:space="preserve">KI = konfidensinterval </w:t>
            </w:r>
          </w:p>
          <w:p w:rsidR="000A70A6" w:rsidRPr="001B4655" w:rsidRDefault="000A70A6" w:rsidP="00F06180">
            <w:pPr>
              <w:rPr>
                <w:sz w:val="24"/>
                <w:szCs w:val="24"/>
              </w:rPr>
            </w:pPr>
          </w:p>
          <w:p w:rsidR="000A70A6" w:rsidRPr="001B4655" w:rsidRDefault="000A70A6" w:rsidP="00F06180">
            <w:pPr>
              <w:rPr>
                <w:sz w:val="24"/>
                <w:szCs w:val="24"/>
              </w:rPr>
            </w:pPr>
            <w:r w:rsidRPr="001B4655">
              <w:rPr>
                <w:sz w:val="24"/>
                <w:szCs w:val="24"/>
                <w:vertAlign w:val="superscript"/>
              </w:rPr>
              <w:t xml:space="preserve">1 </w:t>
            </w:r>
            <w:r w:rsidRPr="001B4655">
              <w:rPr>
                <w:sz w:val="24"/>
                <w:szCs w:val="24"/>
              </w:rPr>
              <w:t xml:space="preserve">Log-rank-test, stratificeret i forhold til strata ved </w:t>
            </w:r>
            <w:proofErr w:type="spellStart"/>
            <w:r w:rsidRPr="001B4655">
              <w:rPr>
                <w:sz w:val="24"/>
                <w:szCs w:val="24"/>
              </w:rPr>
              <w:t>randomisering</w:t>
            </w:r>
            <w:proofErr w:type="spellEnd"/>
            <w:r w:rsidRPr="001B4655">
              <w:rPr>
                <w:sz w:val="24"/>
                <w:szCs w:val="24"/>
              </w:rPr>
              <w:t xml:space="preserve"> og brug af kemoterapi (ja/nej) </w:t>
            </w:r>
          </w:p>
          <w:p w:rsidR="000A70A6" w:rsidRPr="001B4655" w:rsidRDefault="000A70A6" w:rsidP="00F06180">
            <w:pPr>
              <w:rPr>
                <w:sz w:val="24"/>
                <w:szCs w:val="24"/>
              </w:rPr>
            </w:pPr>
            <w:r w:rsidRPr="001B4655">
              <w:rPr>
                <w:sz w:val="24"/>
                <w:szCs w:val="24"/>
                <w:vertAlign w:val="superscript"/>
              </w:rPr>
              <w:t xml:space="preserve">2 </w:t>
            </w:r>
            <w:r w:rsidRPr="001B4655">
              <w:rPr>
                <w:sz w:val="24"/>
                <w:szCs w:val="24"/>
              </w:rPr>
              <w:t xml:space="preserve">Hændelser ved sygdomsfri overlevelse: </w:t>
            </w:r>
            <w:proofErr w:type="spellStart"/>
            <w:r w:rsidRPr="001B4655">
              <w:rPr>
                <w:sz w:val="24"/>
                <w:szCs w:val="24"/>
              </w:rPr>
              <w:t>lokoregionalt</w:t>
            </w:r>
            <w:proofErr w:type="spellEnd"/>
            <w:r w:rsidRPr="001B4655">
              <w:rPr>
                <w:sz w:val="24"/>
                <w:szCs w:val="24"/>
              </w:rPr>
              <w:t xml:space="preserve"> tilbagefald, fjernmetastaser, invasiv kontralateral brystcancer, sekundær (ikke-bryst) primær </w:t>
            </w:r>
            <w:proofErr w:type="spellStart"/>
            <w:r w:rsidRPr="001B4655">
              <w:rPr>
                <w:sz w:val="24"/>
                <w:szCs w:val="24"/>
              </w:rPr>
              <w:t>malignitet</w:t>
            </w:r>
            <w:proofErr w:type="spellEnd"/>
            <w:r w:rsidRPr="001B4655">
              <w:rPr>
                <w:sz w:val="24"/>
                <w:szCs w:val="24"/>
              </w:rPr>
              <w:t xml:space="preserve">, død uanset årsag uden cancer i anamnesen. </w:t>
            </w:r>
          </w:p>
        </w:tc>
      </w:tr>
    </w:tbl>
    <w:p w:rsidR="000A70A6" w:rsidRPr="001B4655" w:rsidRDefault="000A70A6" w:rsidP="000A70A6">
      <w:pPr>
        <w:tabs>
          <w:tab w:val="left" w:pos="851"/>
        </w:tabs>
        <w:ind w:left="851" w:hanging="851"/>
        <w:rPr>
          <w:b/>
          <w:bCs/>
          <w:sz w:val="24"/>
          <w:szCs w:val="24"/>
        </w:rPr>
      </w:pPr>
    </w:p>
    <w:p w:rsidR="000A70A6" w:rsidRPr="001B4655" w:rsidRDefault="000A70A6" w:rsidP="000A70A6">
      <w:pPr>
        <w:tabs>
          <w:tab w:val="left" w:pos="851"/>
        </w:tabs>
        <w:ind w:left="851" w:hanging="851"/>
        <w:rPr>
          <w:sz w:val="24"/>
          <w:szCs w:val="24"/>
        </w:rPr>
      </w:pPr>
      <w:r>
        <w:rPr>
          <w:i/>
          <w:iCs/>
          <w:sz w:val="24"/>
          <w:szCs w:val="24"/>
        </w:rPr>
        <w:tab/>
      </w:r>
      <w:r w:rsidRPr="001B4655">
        <w:rPr>
          <w:i/>
          <w:iCs/>
          <w:sz w:val="24"/>
          <w:szCs w:val="24"/>
        </w:rPr>
        <w:t>Effektresultater ved median opfølgning p</w:t>
      </w:r>
      <w:r>
        <w:rPr>
          <w:i/>
          <w:iCs/>
          <w:sz w:val="24"/>
          <w:szCs w:val="24"/>
        </w:rPr>
        <w:t>å 96</w:t>
      </w:r>
      <w:r w:rsidRPr="001B4655">
        <w:rPr>
          <w:i/>
          <w:iCs/>
          <w:sz w:val="24"/>
          <w:szCs w:val="24"/>
        </w:rPr>
        <w:t xml:space="preserve"> måneder (kun monoterapi-arme) </w:t>
      </w: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Monoterapi-arm-analysen (MAA) - langtidsopdatering af effekten af </w:t>
      </w:r>
      <w:proofErr w:type="spellStart"/>
      <w:r w:rsidR="000C72AD">
        <w:rPr>
          <w:sz w:val="24"/>
          <w:szCs w:val="24"/>
        </w:rPr>
        <w:t>l</w:t>
      </w:r>
      <w:r w:rsidRPr="001B4655">
        <w:rPr>
          <w:sz w:val="24"/>
          <w:szCs w:val="24"/>
        </w:rPr>
        <w:t>etrozol</w:t>
      </w:r>
      <w:proofErr w:type="spellEnd"/>
      <w:r w:rsidRPr="001B4655">
        <w:rPr>
          <w:sz w:val="24"/>
          <w:szCs w:val="24"/>
        </w:rPr>
        <w:t xml:space="preserve"> monoterapi sammenlignet med </w:t>
      </w:r>
      <w:proofErr w:type="spellStart"/>
      <w:r w:rsidRPr="001B4655">
        <w:rPr>
          <w:sz w:val="24"/>
          <w:szCs w:val="24"/>
        </w:rPr>
        <w:t>tamoxifen</w:t>
      </w:r>
      <w:proofErr w:type="spellEnd"/>
      <w:r w:rsidRPr="001B4655">
        <w:rPr>
          <w:sz w:val="24"/>
          <w:szCs w:val="24"/>
        </w:rPr>
        <w:t xml:space="preserve">-monoterapi (median varighed af </w:t>
      </w:r>
      <w:proofErr w:type="spellStart"/>
      <w:r w:rsidRPr="001B4655">
        <w:rPr>
          <w:sz w:val="24"/>
          <w:szCs w:val="24"/>
        </w:rPr>
        <w:t>adjuverende</w:t>
      </w:r>
      <w:proofErr w:type="spellEnd"/>
      <w:r w:rsidRPr="001B4655">
        <w:rPr>
          <w:sz w:val="24"/>
          <w:szCs w:val="24"/>
        </w:rPr>
        <w:t xml:space="preserve"> behandling: 5 år) - vises i Tabel 5. </w:t>
      </w:r>
    </w:p>
    <w:p w:rsidR="000A70A6" w:rsidRPr="001B4655" w:rsidRDefault="000A70A6" w:rsidP="000A70A6">
      <w:pPr>
        <w:tabs>
          <w:tab w:val="left" w:pos="851"/>
        </w:tabs>
        <w:ind w:left="851" w:hanging="851"/>
        <w:rPr>
          <w:b/>
          <w:bCs/>
          <w:sz w:val="24"/>
          <w:szCs w:val="24"/>
        </w:rPr>
      </w:pPr>
    </w:p>
    <w:p w:rsidR="000A70A6" w:rsidRPr="001B4655" w:rsidRDefault="000A70A6" w:rsidP="000A70A6">
      <w:pPr>
        <w:tabs>
          <w:tab w:val="left" w:pos="851"/>
        </w:tabs>
        <w:ind w:left="851" w:hanging="851"/>
        <w:rPr>
          <w:b/>
          <w:bCs/>
          <w:sz w:val="24"/>
          <w:szCs w:val="24"/>
        </w:rPr>
      </w:pPr>
      <w:r>
        <w:rPr>
          <w:b/>
          <w:bCs/>
          <w:sz w:val="24"/>
          <w:szCs w:val="24"/>
        </w:rPr>
        <w:tab/>
      </w:r>
      <w:r w:rsidRPr="001B4655">
        <w:rPr>
          <w:b/>
          <w:bCs/>
          <w:sz w:val="24"/>
          <w:szCs w:val="24"/>
        </w:rPr>
        <w:t>Tabel 5 Monoterapi-arm-analyse: Sygdomsfri og total overlev</w:t>
      </w:r>
      <w:r>
        <w:rPr>
          <w:b/>
          <w:bCs/>
          <w:sz w:val="24"/>
          <w:szCs w:val="24"/>
        </w:rPr>
        <w:t>else ved median opfølgning på 96</w:t>
      </w:r>
      <w:r w:rsidRPr="001B4655">
        <w:rPr>
          <w:b/>
          <w:bCs/>
          <w:sz w:val="24"/>
          <w:szCs w:val="24"/>
        </w:rPr>
        <w:t xml:space="preserve"> måneder (ITT-population)</w:t>
      </w:r>
    </w:p>
    <w:p w:rsidR="000A70A6" w:rsidRPr="001B4655" w:rsidRDefault="000A70A6" w:rsidP="000A70A6">
      <w:pPr>
        <w:tabs>
          <w:tab w:val="left" w:pos="851"/>
        </w:tabs>
        <w:ind w:left="851" w:hanging="851"/>
        <w:rPr>
          <w:b/>
          <w:bCs/>
          <w:sz w:val="24"/>
          <w:szCs w:val="24"/>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970"/>
        <w:gridCol w:w="13"/>
        <w:gridCol w:w="1178"/>
        <w:gridCol w:w="8"/>
        <w:gridCol w:w="1399"/>
        <w:gridCol w:w="1882"/>
        <w:gridCol w:w="1172"/>
      </w:tblGrid>
      <w:tr w:rsidR="000A70A6" w:rsidRPr="006C2510" w:rsidTr="00F06180">
        <w:trPr>
          <w:trHeight w:val="284"/>
        </w:trPr>
        <w:tc>
          <w:tcPr>
            <w:tcW w:w="2063" w:type="pct"/>
            <w:tcBorders>
              <w:top w:val="single" w:sz="8" w:space="0" w:color="000000"/>
              <w:left w:val="single" w:sz="6" w:space="0" w:color="000000"/>
              <w:bottom w:val="single" w:sz="8" w:space="0" w:color="000000"/>
              <w:right w:val="single" w:sz="6" w:space="0" w:color="000000"/>
            </w:tcBorders>
            <w:hideMark/>
          </w:tcPr>
          <w:p w:rsidR="000A70A6" w:rsidRPr="006C2510" w:rsidRDefault="000A70A6" w:rsidP="00F06180">
            <w:pPr>
              <w:rPr>
                <w:sz w:val="24"/>
                <w:szCs w:val="24"/>
              </w:rPr>
            </w:pPr>
          </w:p>
        </w:tc>
        <w:tc>
          <w:tcPr>
            <w:tcW w:w="619" w:type="pct"/>
            <w:gridSpan w:val="2"/>
            <w:tcBorders>
              <w:top w:val="single" w:sz="8" w:space="0" w:color="000000"/>
              <w:left w:val="single" w:sz="6" w:space="0" w:color="000000"/>
              <w:bottom w:val="single" w:sz="8" w:space="0" w:color="000000"/>
              <w:right w:val="single" w:sz="6" w:space="0" w:color="000000"/>
            </w:tcBorders>
            <w:hideMark/>
          </w:tcPr>
          <w:p w:rsidR="000A70A6" w:rsidRPr="00BF3A7A" w:rsidRDefault="000A70A6" w:rsidP="00F06180">
            <w:pPr>
              <w:rPr>
                <w:sz w:val="24"/>
                <w:szCs w:val="24"/>
              </w:rPr>
            </w:pPr>
            <w:proofErr w:type="spellStart"/>
            <w:r w:rsidRPr="00BF3A7A">
              <w:rPr>
                <w:b/>
                <w:bCs/>
                <w:sz w:val="24"/>
                <w:szCs w:val="24"/>
              </w:rPr>
              <w:t>Letrozol</w:t>
            </w:r>
            <w:proofErr w:type="spellEnd"/>
          </w:p>
          <w:p w:rsidR="000A70A6" w:rsidRPr="00BF3A7A" w:rsidRDefault="000A70A6" w:rsidP="00F06180">
            <w:pPr>
              <w:rPr>
                <w:sz w:val="24"/>
                <w:szCs w:val="24"/>
              </w:rPr>
            </w:pPr>
            <w:r w:rsidRPr="00BF3A7A">
              <w:rPr>
                <w:b/>
                <w:bCs/>
                <w:sz w:val="24"/>
                <w:szCs w:val="24"/>
              </w:rPr>
              <w:t>N=2.463</w:t>
            </w:r>
          </w:p>
        </w:tc>
        <w:tc>
          <w:tcPr>
            <w:tcW w:w="731" w:type="pct"/>
            <w:gridSpan w:val="2"/>
            <w:tcBorders>
              <w:top w:val="single" w:sz="8" w:space="0" w:color="000000"/>
              <w:left w:val="single" w:sz="6" w:space="0" w:color="000000"/>
              <w:bottom w:val="single" w:sz="8" w:space="0" w:color="000000"/>
              <w:right w:val="single" w:sz="6" w:space="0" w:color="000000"/>
            </w:tcBorders>
            <w:hideMark/>
          </w:tcPr>
          <w:p w:rsidR="000A70A6" w:rsidRPr="00BF3A7A" w:rsidRDefault="000A70A6" w:rsidP="00F06180">
            <w:pPr>
              <w:rPr>
                <w:sz w:val="24"/>
                <w:szCs w:val="24"/>
              </w:rPr>
            </w:pPr>
            <w:r w:rsidRPr="00BF3A7A">
              <w:rPr>
                <w:b/>
                <w:bCs/>
                <w:sz w:val="24"/>
                <w:szCs w:val="24"/>
              </w:rPr>
              <w:t xml:space="preserve"> </w:t>
            </w:r>
            <w:proofErr w:type="spellStart"/>
            <w:r w:rsidRPr="00BF3A7A">
              <w:rPr>
                <w:b/>
                <w:bCs/>
                <w:sz w:val="24"/>
                <w:szCs w:val="24"/>
              </w:rPr>
              <w:t>Tamoxifen</w:t>
            </w:r>
            <w:proofErr w:type="spellEnd"/>
            <w:r w:rsidRPr="00BF3A7A">
              <w:rPr>
                <w:b/>
                <w:bCs/>
                <w:sz w:val="24"/>
                <w:szCs w:val="24"/>
              </w:rPr>
              <w:t xml:space="preserve"> </w:t>
            </w:r>
          </w:p>
          <w:p w:rsidR="000A70A6" w:rsidRPr="00BF3A7A" w:rsidRDefault="000A70A6" w:rsidP="00F06180">
            <w:pPr>
              <w:rPr>
                <w:sz w:val="24"/>
                <w:szCs w:val="24"/>
              </w:rPr>
            </w:pPr>
            <w:r w:rsidRPr="00BF3A7A">
              <w:rPr>
                <w:b/>
                <w:bCs/>
                <w:sz w:val="24"/>
                <w:szCs w:val="24"/>
              </w:rPr>
              <w:t>N=2.459</w:t>
            </w:r>
          </w:p>
        </w:tc>
        <w:tc>
          <w:tcPr>
            <w:tcW w:w="978" w:type="pct"/>
            <w:tcBorders>
              <w:top w:val="single" w:sz="8" w:space="0" w:color="000000"/>
              <w:left w:val="single" w:sz="6" w:space="0" w:color="000000"/>
              <w:bottom w:val="single" w:sz="8" w:space="0" w:color="000000"/>
              <w:right w:val="single" w:sz="4" w:space="0" w:color="auto"/>
            </w:tcBorders>
            <w:hideMark/>
          </w:tcPr>
          <w:p w:rsidR="000A70A6" w:rsidRPr="00BF3A7A" w:rsidRDefault="000A70A6" w:rsidP="00F06180">
            <w:pPr>
              <w:rPr>
                <w:sz w:val="24"/>
                <w:szCs w:val="24"/>
              </w:rPr>
            </w:pPr>
            <w:r w:rsidRPr="00BF3A7A">
              <w:rPr>
                <w:b/>
                <w:bCs/>
                <w:sz w:val="24"/>
                <w:szCs w:val="24"/>
              </w:rPr>
              <w:t>Relativ risiko</w:t>
            </w:r>
            <w:r w:rsidRPr="00BF3A7A">
              <w:rPr>
                <w:b/>
                <w:bCs/>
                <w:sz w:val="24"/>
                <w:szCs w:val="24"/>
                <w:vertAlign w:val="superscript"/>
              </w:rPr>
              <w:t xml:space="preserve">1 </w:t>
            </w:r>
          </w:p>
          <w:p w:rsidR="000A70A6" w:rsidRPr="00BF3A7A" w:rsidRDefault="000A70A6" w:rsidP="00F06180">
            <w:pPr>
              <w:rPr>
                <w:sz w:val="24"/>
                <w:szCs w:val="24"/>
              </w:rPr>
            </w:pPr>
            <w:r w:rsidRPr="00BF3A7A">
              <w:rPr>
                <w:b/>
                <w:bCs/>
                <w:sz w:val="24"/>
                <w:szCs w:val="24"/>
              </w:rPr>
              <w:t>(95% KI)</w:t>
            </w:r>
          </w:p>
        </w:tc>
        <w:tc>
          <w:tcPr>
            <w:tcW w:w="610" w:type="pct"/>
            <w:tcBorders>
              <w:top w:val="single" w:sz="8" w:space="0" w:color="000000"/>
              <w:left w:val="single" w:sz="4" w:space="0" w:color="auto"/>
              <w:bottom w:val="single" w:sz="8" w:space="0" w:color="000000"/>
              <w:right w:val="single" w:sz="6" w:space="0" w:color="000000"/>
            </w:tcBorders>
            <w:hideMark/>
          </w:tcPr>
          <w:p w:rsidR="000A70A6" w:rsidRPr="00BF3A7A" w:rsidRDefault="000A70A6" w:rsidP="00F06180">
            <w:pPr>
              <w:rPr>
                <w:sz w:val="24"/>
                <w:szCs w:val="24"/>
              </w:rPr>
            </w:pPr>
            <w:proofErr w:type="spellStart"/>
            <w:r w:rsidRPr="00BF3A7A">
              <w:rPr>
                <w:b/>
                <w:bCs/>
                <w:sz w:val="24"/>
                <w:szCs w:val="24"/>
              </w:rPr>
              <w:t>p-værdi</w:t>
            </w:r>
            <w:proofErr w:type="spellEnd"/>
            <w:r w:rsidRPr="00BF3A7A">
              <w:rPr>
                <w:b/>
                <w:bCs/>
                <w:sz w:val="24"/>
                <w:szCs w:val="24"/>
              </w:rPr>
              <w:t xml:space="preserve"> </w:t>
            </w:r>
          </w:p>
        </w:tc>
      </w:tr>
      <w:tr w:rsidR="000A70A6" w:rsidRPr="006C2510" w:rsidTr="00F06180">
        <w:trPr>
          <w:trHeight w:val="271"/>
        </w:trPr>
        <w:tc>
          <w:tcPr>
            <w:tcW w:w="2063" w:type="pct"/>
            <w:tcBorders>
              <w:top w:val="single" w:sz="6" w:space="0" w:color="000000"/>
              <w:left w:val="single" w:sz="6" w:space="0" w:color="000000"/>
              <w:bottom w:val="single" w:sz="8" w:space="0" w:color="000000"/>
              <w:right w:val="single" w:sz="6" w:space="0" w:color="000000"/>
            </w:tcBorders>
            <w:hideMark/>
          </w:tcPr>
          <w:p w:rsidR="000A70A6" w:rsidRPr="006C2510" w:rsidRDefault="000A70A6" w:rsidP="00F06180">
            <w:pPr>
              <w:rPr>
                <w:sz w:val="24"/>
                <w:szCs w:val="24"/>
              </w:rPr>
            </w:pPr>
            <w:r w:rsidRPr="006C2510">
              <w:rPr>
                <w:sz w:val="24"/>
                <w:szCs w:val="24"/>
              </w:rPr>
              <w:t>Hændelser ved sygdomsfri overlevelse (primær)</w:t>
            </w:r>
            <w:r w:rsidRPr="006C2510">
              <w:rPr>
                <w:sz w:val="24"/>
                <w:szCs w:val="24"/>
                <w:vertAlign w:val="superscript"/>
              </w:rPr>
              <w:t xml:space="preserve">2 </w:t>
            </w:r>
          </w:p>
        </w:tc>
        <w:tc>
          <w:tcPr>
            <w:tcW w:w="619" w:type="pct"/>
            <w:gridSpan w:val="2"/>
            <w:tcBorders>
              <w:top w:val="single" w:sz="6" w:space="0" w:color="000000"/>
              <w:left w:val="single" w:sz="6" w:space="0" w:color="000000"/>
              <w:bottom w:val="single" w:sz="8" w:space="0" w:color="000000"/>
              <w:right w:val="single" w:sz="6" w:space="0" w:color="000000"/>
            </w:tcBorders>
            <w:hideMark/>
          </w:tcPr>
          <w:p w:rsidR="000A70A6" w:rsidRPr="00BF3A7A" w:rsidRDefault="000A70A6" w:rsidP="00F06180">
            <w:pPr>
              <w:rPr>
                <w:sz w:val="24"/>
                <w:szCs w:val="24"/>
              </w:rPr>
            </w:pPr>
            <w:r w:rsidRPr="00BF3A7A">
              <w:rPr>
                <w:sz w:val="24"/>
                <w:szCs w:val="24"/>
              </w:rPr>
              <w:t xml:space="preserve">626 </w:t>
            </w:r>
          </w:p>
        </w:tc>
        <w:tc>
          <w:tcPr>
            <w:tcW w:w="731" w:type="pct"/>
            <w:gridSpan w:val="2"/>
            <w:tcBorders>
              <w:top w:val="single" w:sz="6" w:space="0" w:color="000000"/>
              <w:left w:val="single" w:sz="6" w:space="0" w:color="000000"/>
              <w:bottom w:val="single" w:sz="8" w:space="0" w:color="000000"/>
              <w:right w:val="single" w:sz="6" w:space="0" w:color="000000"/>
            </w:tcBorders>
            <w:hideMark/>
          </w:tcPr>
          <w:p w:rsidR="000A70A6" w:rsidRPr="00BF3A7A" w:rsidRDefault="000A70A6" w:rsidP="00F06180">
            <w:pPr>
              <w:rPr>
                <w:sz w:val="24"/>
                <w:szCs w:val="24"/>
              </w:rPr>
            </w:pPr>
            <w:r w:rsidRPr="00BF3A7A">
              <w:rPr>
                <w:sz w:val="24"/>
                <w:szCs w:val="24"/>
              </w:rPr>
              <w:t xml:space="preserve">698 </w:t>
            </w:r>
          </w:p>
        </w:tc>
        <w:tc>
          <w:tcPr>
            <w:tcW w:w="978" w:type="pct"/>
            <w:tcBorders>
              <w:top w:val="single" w:sz="6" w:space="0" w:color="000000"/>
              <w:left w:val="single" w:sz="6" w:space="0" w:color="000000"/>
              <w:bottom w:val="single" w:sz="8" w:space="0" w:color="000000"/>
              <w:right w:val="single" w:sz="4" w:space="0" w:color="auto"/>
            </w:tcBorders>
            <w:hideMark/>
          </w:tcPr>
          <w:p w:rsidR="000A70A6" w:rsidRPr="00BF3A7A" w:rsidRDefault="000A70A6" w:rsidP="00F06180">
            <w:pPr>
              <w:rPr>
                <w:sz w:val="24"/>
                <w:szCs w:val="24"/>
              </w:rPr>
            </w:pPr>
            <w:r w:rsidRPr="00BF3A7A">
              <w:rPr>
                <w:sz w:val="24"/>
                <w:szCs w:val="24"/>
              </w:rPr>
              <w:t xml:space="preserve">0,87 (0,78; 0,97) </w:t>
            </w:r>
          </w:p>
        </w:tc>
        <w:tc>
          <w:tcPr>
            <w:tcW w:w="610" w:type="pct"/>
            <w:tcBorders>
              <w:top w:val="single" w:sz="6" w:space="0" w:color="000000"/>
              <w:left w:val="single" w:sz="4" w:space="0" w:color="auto"/>
              <w:bottom w:val="single" w:sz="8" w:space="0" w:color="000000"/>
              <w:right w:val="single" w:sz="6" w:space="0" w:color="000000"/>
            </w:tcBorders>
            <w:hideMark/>
          </w:tcPr>
          <w:p w:rsidR="000A70A6" w:rsidRPr="00BF3A7A" w:rsidRDefault="000A70A6" w:rsidP="00F06180">
            <w:pPr>
              <w:rPr>
                <w:sz w:val="24"/>
                <w:szCs w:val="24"/>
              </w:rPr>
            </w:pPr>
            <w:r w:rsidRPr="00BF3A7A">
              <w:rPr>
                <w:sz w:val="24"/>
                <w:szCs w:val="24"/>
              </w:rPr>
              <w:t xml:space="preserve">0,01 </w:t>
            </w:r>
          </w:p>
        </w:tc>
      </w:tr>
      <w:tr w:rsidR="000A70A6" w:rsidRPr="006C2510" w:rsidTr="00F06180">
        <w:trPr>
          <w:trHeight w:val="144"/>
        </w:trPr>
        <w:tc>
          <w:tcPr>
            <w:tcW w:w="2063" w:type="pct"/>
            <w:tcBorders>
              <w:top w:val="single" w:sz="8" w:space="0" w:color="000000"/>
              <w:left w:val="single" w:sz="6" w:space="0" w:color="000000"/>
              <w:bottom w:val="single" w:sz="6" w:space="0" w:color="000000"/>
              <w:right w:val="single" w:sz="6" w:space="0" w:color="000000"/>
            </w:tcBorders>
            <w:hideMark/>
          </w:tcPr>
          <w:p w:rsidR="000A70A6" w:rsidRPr="00BF3A7A" w:rsidRDefault="000A70A6" w:rsidP="00F06180">
            <w:pPr>
              <w:rPr>
                <w:sz w:val="24"/>
                <w:szCs w:val="24"/>
              </w:rPr>
            </w:pPr>
            <w:r w:rsidRPr="00BF3A7A">
              <w:rPr>
                <w:sz w:val="24"/>
                <w:szCs w:val="24"/>
              </w:rPr>
              <w:t xml:space="preserve">Tid til fjernmetastaser (sekundær) </w:t>
            </w:r>
          </w:p>
        </w:tc>
        <w:tc>
          <w:tcPr>
            <w:tcW w:w="619" w:type="pct"/>
            <w:gridSpan w:val="2"/>
            <w:tcBorders>
              <w:top w:val="single" w:sz="8" w:space="0" w:color="000000"/>
              <w:left w:val="single" w:sz="6" w:space="0" w:color="000000"/>
              <w:bottom w:val="single" w:sz="6" w:space="0" w:color="000000"/>
              <w:right w:val="single" w:sz="6" w:space="0" w:color="000000"/>
            </w:tcBorders>
            <w:hideMark/>
          </w:tcPr>
          <w:p w:rsidR="000A70A6" w:rsidRPr="00BF3A7A" w:rsidRDefault="000A70A6" w:rsidP="00F06180">
            <w:pPr>
              <w:rPr>
                <w:sz w:val="24"/>
                <w:szCs w:val="24"/>
              </w:rPr>
            </w:pPr>
            <w:r w:rsidRPr="00BF3A7A">
              <w:rPr>
                <w:sz w:val="24"/>
                <w:szCs w:val="24"/>
              </w:rPr>
              <w:t xml:space="preserve">301 </w:t>
            </w:r>
          </w:p>
        </w:tc>
        <w:tc>
          <w:tcPr>
            <w:tcW w:w="731" w:type="pct"/>
            <w:gridSpan w:val="2"/>
            <w:tcBorders>
              <w:top w:val="single" w:sz="8" w:space="0" w:color="000000"/>
              <w:left w:val="single" w:sz="6" w:space="0" w:color="000000"/>
              <w:bottom w:val="single" w:sz="6" w:space="0" w:color="000000"/>
              <w:right w:val="single" w:sz="6" w:space="0" w:color="000000"/>
            </w:tcBorders>
            <w:hideMark/>
          </w:tcPr>
          <w:p w:rsidR="000A70A6" w:rsidRPr="00BF3A7A" w:rsidRDefault="000A70A6" w:rsidP="00F06180">
            <w:pPr>
              <w:rPr>
                <w:sz w:val="24"/>
                <w:szCs w:val="24"/>
              </w:rPr>
            </w:pPr>
            <w:r w:rsidRPr="00BF3A7A">
              <w:rPr>
                <w:sz w:val="24"/>
                <w:szCs w:val="24"/>
              </w:rPr>
              <w:t xml:space="preserve">342 </w:t>
            </w:r>
          </w:p>
        </w:tc>
        <w:tc>
          <w:tcPr>
            <w:tcW w:w="978" w:type="pct"/>
            <w:tcBorders>
              <w:top w:val="single" w:sz="8" w:space="0" w:color="000000"/>
              <w:left w:val="single" w:sz="6" w:space="0" w:color="000000"/>
              <w:bottom w:val="single" w:sz="6" w:space="0" w:color="000000"/>
              <w:right w:val="single" w:sz="6" w:space="0" w:color="000000"/>
            </w:tcBorders>
            <w:hideMark/>
          </w:tcPr>
          <w:p w:rsidR="000A70A6" w:rsidRPr="00BF3A7A" w:rsidRDefault="000A70A6" w:rsidP="00F06180">
            <w:pPr>
              <w:rPr>
                <w:sz w:val="24"/>
                <w:szCs w:val="24"/>
              </w:rPr>
            </w:pPr>
            <w:r w:rsidRPr="00BF3A7A">
              <w:rPr>
                <w:sz w:val="24"/>
                <w:szCs w:val="24"/>
              </w:rPr>
              <w:t xml:space="preserve">0,86 (0,74; 1,01) </w:t>
            </w:r>
          </w:p>
        </w:tc>
        <w:tc>
          <w:tcPr>
            <w:tcW w:w="610" w:type="pct"/>
            <w:tcBorders>
              <w:top w:val="single" w:sz="8" w:space="0" w:color="000000"/>
              <w:left w:val="single" w:sz="6" w:space="0" w:color="000000"/>
              <w:bottom w:val="single" w:sz="6" w:space="0" w:color="000000"/>
              <w:right w:val="single" w:sz="6" w:space="0" w:color="000000"/>
            </w:tcBorders>
            <w:hideMark/>
          </w:tcPr>
          <w:p w:rsidR="000A70A6" w:rsidRPr="00BF3A7A" w:rsidRDefault="000A70A6" w:rsidP="00F06180">
            <w:pPr>
              <w:rPr>
                <w:sz w:val="24"/>
                <w:szCs w:val="24"/>
              </w:rPr>
            </w:pPr>
            <w:r w:rsidRPr="00BF3A7A">
              <w:rPr>
                <w:sz w:val="24"/>
                <w:szCs w:val="24"/>
              </w:rPr>
              <w:t xml:space="preserve">0,06 </w:t>
            </w:r>
          </w:p>
        </w:tc>
      </w:tr>
      <w:tr w:rsidR="000A70A6" w:rsidRPr="006C2510" w:rsidTr="00F06180">
        <w:trPr>
          <w:trHeight w:val="271"/>
        </w:trPr>
        <w:tc>
          <w:tcPr>
            <w:tcW w:w="2063" w:type="pct"/>
            <w:tcBorders>
              <w:top w:val="single" w:sz="8" w:space="0" w:color="000000"/>
              <w:left w:val="single" w:sz="6" w:space="0" w:color="000000"/>
              <w:bottom w:val="single" w:sz="6" w:space="0" w:color="000000"/>
              <w:right w:val="single" w:sz="6" w:space="0" w:color="000000"/>
            </w:tcBorders>
            <w:hideMark/>
          </w:tcPr>
          <w:p w:rsidR="000A70A6" w:rsidRPr="006C2510" w:rsidRDefault="000A70A6" w:rsidP="00F06180">
            <w:pPr>
              <w:rPr>
                <w:sz w:val="24"/>
                <w:szCs w:val="24"/>
              </w:rPr>
            </w:pPr>
            <w:r w:rsidRPr="006C2510">
              <w:rPr>
                <w:sz w:val="24"/>
                <w:szCs w:val="24"/>
              </w:rPr>
              <w:t xml:space="preserve">Total overlevelse (sekundær) – antal døde </w:t>
            </w:r>
          </w:p>
        </w:tc>
        <w:tc>
          <w:tcPr>
            <w:tcW w:w="619" w:type="pct"/>
            <w:gridSpan w:val="2"/>
            <w:tcBorders>
              <w:top w:val="single" w:sz="8" w:space="0" w:color="000000"/>
              <w:left w:val="single" w:sz="6" w:space="0" w:color="000000"/>
              <w:bottom w:val="single" w:sz="6" w:space="0" w:color="000000"/>
              <w:right w:val="single" w:sz="6" w:space="0" w:color="000000"/>
            </w:tcBorders>
            <w:hideMark/>
          </w:tcPr>
          <w:p w:rsidR="000A70A6" w:rsidRPr="00BF3A7A" w:rsidRDefault="000A70A6" w:rsidP="00F06180">
            <w:pPr>
              <w:rPr>
                <w:sz w:val="24"/>
                <w:szCs w:val="24"/>
              </w:rPr>
            </w:pPr>
            <w:r w:rsidRPr="00BF3A7A">
              <w:rPr>
                <w:sz w:val="24"/>
                <w:szCs w:val="24"/>
              </w:rPr>
              <w:t xml:space="preserve">393 </w:t>
            </w:r>
          </w:p>
        </w:tc>
        <w:tc>
          <w:tcPr>
            <w:tcW w:w="731" w:type="pct"/>
            <w:gridSpan w:val="2"/>
            <w:tcBorders>
              <w:top w:val="single" w:sz="8" w:space="0" w:color="000000"/>
              <w:left w:val="single" w:sz="6" w:space="0" w:color="000000"/>
              <w:bottom w:val="single" w:sz="6" w:space="0" w:color="000000"/>
              <w:right w:val="single" w:sz="6" w:space="0" w:color="000000"/>
            </w:tcBorders>
            <w:hideMark/>
          </w:tcPr>
          <w:p w:rsidR="000A70A6" w:rsidRPr="00BF3A7A" w:rsidRDefault="000A70A6" w:rsidP="00F06180">
            <w:pPr>
              <w:rPr>
                <w:sz w:val="24"/>
                <w:szCs w:val="24"/>
              </w:rPr>
            </w:pPr>
            <w:r w:rsidRPr="00BF3A7A">
              <w:rPr>
                <w:sz w:val="24"/>
                <w:szCs w:val="24"/>
              </w:rPr>
              <w:t xml:space="preserve">436 </w:t>
            </w:r>
          </w:p>
        </w:tc>
        <w:tc>
          <w:tcPr>
            <w:tcW w:w="978" w:type="pct"/>
            <w:tcBorders>
              <w:top w:val="single" w:sz="8" w:space="0" w:color="000000"/>
              <w:left w:val="single" w:sz="6" w:space="0" w:color="000000"/>
              <w:bottom w:val="single" w:sz="6" w:space="0" w:color="000000"/>
              <w:right w:val="single" w:sz="6" w:space="0" w:color="000000"/>
            </w:tcBorders>
            <w:hideMark/>
          </w:tcPr>
          <w:p w:rsidR="000A70A6" w:rsidRPr="00BF3A7A" w:rsidRDefault="000A70A6" w:rsidP="00F06180">
            <w:pPr>
              <w:rPr>
                <w:sz w:val="24"/>
                <w:szCs w:val="24"/>
              </w:rPr>
            </w:pPr>
            <w:r w:rsidRPr="00BF3A7A">
              <w:rPr>
                <w:sz w:val="24"/>
                <w:szCs w:val="24"/>
              </w:rPr>
              <w:t xml:space="preserve">0,89 (0,77; 1,02) </w:t>
            </w:r>
          </w:p>
        </w:tc>
        <w:tc>
          <w:tcPr>
            <w:tcW w:w="610" w:type="pct"/>
            <w:tcBorders>
              <w:top w:val="single" w:sz="8" w:space="0" w:color="000000"/>
              <w:left w:val="single" w:sz="6" w:space="0" w:color="000000"/>
              <w:bottom w:val="single" w:sz="6" w:space="0" w:color="000000"/>
              <w:right w:val="single" w:sz="6" w:space="0" w:color="000000"/>
            </w:tcBorders>
            <w:hideMark/>
          </w:tcPr>
          <w:p w:rsidR="000A70A6" w:rsidRPr="00BF3A7A" w:rsidRDefault="000A70A6" w:rsidP="00F06180">
            <w:pPr>
              <w:rPr>
                <w:sz w:val="24"/>
                <w:szCs w:val="24"/>
              </w:rPr>
            </w:pPr>
            <w:r w:rsidRPr="00BF3A7A">
              <w:rPr>
                <w:sz w:val="24"/>
                <w:szCs w:val="24"/>
              </w:rPr>
              <w:t xml:space="preserve">0,08 </w:t>
            </w:r>
          </w:p>
        </w:tc>
      </w:tr>
      <w:tr w:rsidR="000A70A6" w:rsidRPr="006C2510" w:rsidTr="00F06180">
        <w:trPr>
          <w:trHeight w:val="271"/>
        </w:trPr>
        <w:tc>
          <w:tcPr>
            <w:tcW w:w="2070" w:type="pct"/>
            <w:gridSpan w:val="2"/>
            <w:tcBorders>
              <w:top w:val="single" w:sz="8" w:space="0" w:color="000000"/>
              <w:left w:val="single" w:sz="6" w:space="0" w:color="000000"/>
              <w:bottom w:val="single" w:sz="6" w:space="0" w:color="000000"/>
              <w:right w:val="single" w:sz="6" w:space="0" w:color="000000"/>
            </w:tcBorders>
            <w:hideMark/>
          </w:tcPr>
          <w:p w:rsidR="000A70A6" w:rsidRPr="006C2510" w:rsidRDefault="000A70A6" w:rsidP="00F06180">
            <w:pPr>
              <w:rPr>
                <w:sz w:val="24"/>
                <w:szCs w:val="24"/>
              </w:rPr>
            </w:pPr>
            <w:r w:rsidRPr="006C2510">
              <w:rPr>
                <w:sz w:val="24"/>
                <w:szCs w:val="24"/>
              </w:rPr>
              <w:t>Cens</w:t>
            </w:r>
            <w:r>
              <w:rPr>
                <w:sz w:val="24"/>
                <w:szCs w:val="24"/>
              </w:rPr>
              <w:t>u</w:t>
            </w:r>
            <w:r w:rsidRPr="006C2510">
              <w:rPr>
                <w:sz w:val="24"/>
                <w:szCs w:val="24"/>
              </w:rPr>
              <w:t>reret analyse af sygdomsfri overlevelse</w:t>
            </w:r>
            <w:r w:rsidRPr="006C2510">
              <w:rPr>
                <w:sz w:val="24"/>
                <w:szCs w:val="24"/>
                <w:vertAlign w:val="superscript"/>
              </w:rPr>
              <w:t xml:space="preserve">3 </w:t>
            </w:r>
          </w:p>
        </w:tc>
        <w:tc>
          <w:tcPr>
            <w:tcW w:w="616" w:type="pct"/>
            <w:gridSpan w:val="2"/>
            <w:tcBorders>
              <w:top w:val="single" w:sz="8" w:space="0" w:color="000000"/>
              <w:left w:val="single" w:sz="6" w:space="0" w:color="000000"/>
              <w:bottom w:val="single" w:sz="6" w:space="0" w:color="000000"/>
              <w:right w:val="single" w:sz="4" w:space="0" w:color="auto"/>
            </w:tcBorders>
            <w:hideMark/>
          </w:tcPr>
          <w:p w:rsidR="000A70A6" w:rsidRPr="00BF3A7A" w:rsidRDefault="000A70A6" w:rsidP="00F06180">
            <w:pPr>
              <w:rPr>
                <w:sz w:val="24"/>
                <w:szCs w:val="24"/>
              </w:rPr>
            </w:pPr>
            <w:r w:rsidRPr="00BF3A7A">
              <w:rPr>
                <w:sz w:val="24"/>
                <w:szCs w:val="24"/>
              </w:rPr>
              <w:t xml:space="preserve">626 </w:t>
            </w:r>
          </w:p>
        </w:tc>
        <w:tc>
          <w:tcPr>
            <w:tcW w:w="727" w:type="pct"/>
            <w:tcBorders>
              <w:top w:val="single" w:sz="8" w:space="0" w:color="000000"/>
              <w:left w:val="single" w:sz="4" w:space="0" w:color="auto"/>
              <w:bottom w:val="single" w:sz="6" w:space="0" w:color="000000"/>
              <w:right w:val="single" w:sz="6" w:space="0" w:color="000000"/>
            </w:tcBorders>
            <w:hideMark/>
          </w:tcPr>
          <w:p w:rsidR="000A70A6" w:rsidRPr="00BF3A7A" w:rsidRDefault="000A70A6" w:rsidP="00F06180">
            <w:pPr>
              <w:rPr>
                <w:sz w:val="24"/>
                <w:szCs w:val="24"/>
              </w:rPr>
            </w:pPr>
            <w:r w:rsidRPr="00BF3A7A">
              <w:rPr>
                <w:sz w:val="24"/>
                <w:szCs w:val="24"/>
              </w:rPr>
              <w:t>649</w:t>
            </w:r>
          </w:p>
        </w:tc>
        <w:tc>
          <w:tcPr>
            <w:tcW w:w="978" w:type="pct"/>
            <w:tcBorders>
              <w:top w:val="single" w:sz="8" w:space="0" w:color="000000"/>
              <w:left w:val="single" w:sz="6" w:space="0" w:color="000000"/>
              <w:bottom w:val="single" w:sz="6" w:space="0" w:color="000000"/>
              <w:right w:val="single" w:sz="6" w:space="0" w:color="000000"/>
            </w:tcBorders>
            <w:hideMark/>
          </w:tcPr>
          <w:p w:rsidR="000A70A6" w:rsidRPr="00BF3A7A" w:rsidRDefault="000A70A6" w:rsidP="00F06180">
            <w:pPr>
              <w:rPr>
                <w:sz w:val="24"/>
                <w:szCs w:val="24"/>
              </w:rPr>
            </w:pPr>
            <w:r w:rsidRPr="00BF3A7A">
              <w:rPr>
                <w:sz w:val="24"/>
                <w:szCs w:val="24"/>
              </w:rPr>
              <w:t xml:space="preserve">0,83 (0,74; 0,92) </w:t>
            </w:r>
          </w:p>
        </w:tc>
        <w:tc>
          <w:tcPr>
            <w:tcW w:w="610" w:type="pct"/>
            <w:tcBorders>
              <w:top w:val="single" w:sz="8" w:space="0" w:color="000000"/>
              <w:left w:val="single" w:sz="6" w:space="0" w:color="000000"/>
              <w:bottom w:val="single" w:sz="6" w:space="0" w:color="000000"/>
              <w:right w:val="single" w:sz="6" w:space="0" w:color="000000"/>
            </w:tcBorders>
          </w:tcPr>
          <w:p w:rsidR="000A70A6" w:rsidRPr="00BF3A7A" w:rsidRDefault="000A70A6" w:rsidP="00F06180">
            <w:pPr>
              <w:rPr>
                <w:sz w:val="24"/>
                <w:szCs w:val="24"/>
              </w:rPr>
            </w:pPr>
          </w:p>
        </w:tc>
      </w:tr>
      <w:tr w:rsidR="000A70A6" w:rsidRPr="006C2510" w:rsidTr="00F06180">
        <w:trPr>
          <w:trHeight w:val="154"/>
        </w:trPr>
        <w:tc>
          <w:tcPr>
            <w:tcW w:w="2070" w:type="pct"/>
            <w:gridSpan w:val="2"/>
            <w:tcBorders>
              <w:top w:val="single" w:sz="8" w:space="0" w:color="000000"/>
              <w:left w:val="single" w:sz="6" w:space="0" w:color="000000"/>
              <w:bottom w:val="single" w:sz="6" w:space="0" w:color="000000"/>
              <w:right w:val="single" w:sz="6" w:space="0" w:color="000000"/>
            </w:tcBorders>
            <w:hideMark/>
          </w:tcPr>
          <w:p w:rsidR="000A70A6" w:rsidRPr="006C2510" w:rsidRDefault="000A70A6" w:rsidP="00F06180">
            <w:pPr>
              <w:rPr>
                <w:sz w:val="24"/>
                <w:szCs w:val="24"/>
              </w:rPr>
            </w:pPr>
            <w:r w:rsidRPr="006C2510">
              <w:rPr>
                <w:sz w:val="24"/>
                <w:szCs w:val="24"/>
              </w:rPr>
              <w:t>Cens</w:t>
            </w:r>
            <w:r>
              <w:rPr>
                <w:sz w:val="24"/>
                <w:szCs w:val="24"/>
              </w:rPr>
              <w:t>u</w:t>
            </w:r>
            <w:r w:rsidRPr="006C2510">
              <w:rPr>
                <w:sz w:val="24"/>
                <w:szCs w:val="24"/>
              </w:rPr>
              <w:t>reret analyse af total overlevelse</w:t>
            </w:r>
            <w:r w:rsidRPr="006C2510">
              <w:rPr>
                <w:sz w:val="24"/>
                <w:szCs w:val="24"/>
                <w:vertAlign w:val="superscript"/>
              </w:rPr>
              <w:t xml:space="preserve">3 </w:t>
            </w:r>
          </w:p>
        </w:tc>
        <w:tc>
          <w:tcPr>
            <w:tcW w:w="616" w:type="pct"/>
            <w:gridSpan w:val="2"/>
            <w:tcBorders>
              <w:top w:val="single" w:sz="8" w:space="0" w:color="000000"/>
              <w:left w:val="single" w:sz="6" w:space="0" w:color="000000"/>
              <w:bottom w:val="single" w:sz="6" w:space="0" w:color="000000"/>
              <w:right w:val="single" w:sz="4" w:space="0" w:color="auto"/>
            </w:tcBorders>
            <w:hideMark/>
          </w:tcPr>
          <w:p w:rsidR="000A70A6" w:rsidRPr="00BF3A7A" w:rsidRDefault="000A70A6" w:rsidP="00F06180">
            <w:pPr>
              <w:rPr>
                <w:sz w:val="24"/>
                <w:szCs w:val="24"/>
              </w:rPr>
            </w:pPr>
            <w:r w:rsidRPr="00BF3A7A">
              <w:rPr>
                <w:sz w:val="24"/>
                <w:szCs w:val="24"/>
              </w:rPr>
              <w:t xml:space="preserve">393 </w:t>
            </w:r>
          </w:p>
        </w:tc>
        <w:tc>
          <w:tcPr>
            <w:tcW w:w="727" w:type="pct"/>
            <w:tcBorders>
              <w:top w:val="single" w:sz="8" w:space="0" w:color="000000"/>
              <w:left w:val="single" w:sz="4" w:space="0" w:color="auto"/>
              <w:bottom w:val="single" w:sz="6" w:space="0" w:color="000000"/>
              <w:right w:val="single" w:sz="6" w:space="0" w:color="000000"/>
            </w:tcBorders>
            <w:hideMark/>
          </w:tcPr>
          <w:p w:rsidR="000A70A6" w:rsidRPr="00BF3A7A" w:rsidRDefault="000A70A6" w:rsidP="00F06180">
            <w:pPr>
              <w:rPr>
                <w:sz w:val="24"/>
                <w:szCs w:val="24"/>
              </w:rPr>
            </w:pPr>
            <w:r w:rsidRPr="00BF3A7A">
              <w:rPr>
                <w:sz w:val="24"/>
                <w:szCs w:val="24"/>
              </w:rPr>
              <w:t>419</w:t>
            </w:r>
          </w:p>
        </w:tc>
        <w:tc>
          <w:tcPr>
            <w:tcW w:w="978" w:type="pct"/>
            <w:tcBorders>
              <w:top w:val="single" w:sz="8" w:space="0" w:color="000000"/>
              <w:left w:val="single" w:sz="6" w:space="0" w:color="000000"/>
              <w:bottom w:val="single" w:sz="6" w:space="0" w:color="000000"/>
              <w:right w:val="single" w:sz="6" w:space="0" w:color="000000"/>
            </w:tcBorders>
            <w:hideMark/>
          </w:tcPr>
          <w:p w:rsidR="000A70A6" w:rsidRPr="00BF3A7A" w:rsidRDefault="000A70A6" w:rsidP="00F06180">
            <w:pPr>
              <w:rPr>
                <w:sz w:val="24"/>
                <w:szCs w:val="24"/>
              </w:rPr>
            </w:pPr>
            <w:r w:rsidRPr="00BF3A7A">
              <w:rPr>
                <w:sz w:val="24"/>
                <w:szCs w:val="24"/>
              </w:rPr>
              <w:t xml:space="preserve">0,81 (0,70; 0,93) </w:t>
            </w:r>
          </w:p>
        </w:tc>
        <w:tc>
          <w:tcPr>
            <w:tcW w:w="610" w:type="pct"/>
            <w:tcBorders>
              <w:top w:val="single" w:sz="8" w:space="0" w:color="000000"/>
              <w:left w:val="single" w:sz="6" w:space="0" w:color="000000"/>
              <w:bottom w:val="single" w:sz="6" w:space="0" w:color="000000"/>
              <w:right w:val="single" w:sz="6" w:space="0" w:color="000000"/>
            </w:tcBorders>
          </w:tcPr>
          <w:p w:rsidR="000A70A6" w:rsidRPr="00BF3A7A" w:rsidRDefault="000A70A6" w:rsidP="00F06180">
            <w:pPr>
              <w:rPr>
                <w:sz w:val="24"/>
                <w:szCs w:val="24"/>
              </w:rPr>
            </w:pPr>
          </w:p>
        </w:tc>
      </w:tr>
      <w:tr w:rsidR="000A70A6" w:rsidRPr="006C2510" w:rsidTr="00F06180">
        <w:trPr>
          <w:trHeight w:val="663"/>
        </w:trPr>
        <w:tc>
          <w:tcPr>
            <w:tcW w:w="5000" w:type="pct"/>
            <w:gridSpan w:val="7"/>
            <w:tcBorders>
              <w:top w:val="single" w:sz="8" w:space="0" w:color="000000"/>
              <w:left w:val="single" w:sz="6" w:space="0" w:color="000000"/>
              <w:bottom w:val="single" w:sz="6" w:space="0" w:color="000000"/>
              <w:right w:val="single" w:sz="6" w:space="0" w:color="000000"/>
            </w:tcBorders>
            <w:hideMark/>
          </w:tcPr>
          <w:p w:rsidR="000A70A6" w:rsidRPr="006C2510" w:rsidRDefault="000A70A6" w:rsidP="00F06180">
            <w:pPr>
              <w:rPr>
                <w:sz w:val="24"/>
                <w:szCs w:val="24"/>
              </w:rPr>
            </w:pPr>
            <w:r w:rsidRPr="006C2510">
              <w:rPr>
                <w:sz w:val="24"/>
                <w:szCs w:val="24"/>
                <w:vertAlign w:val="superscript"/>
              </w:rPr>
              <w:t xml:space="preserve">1 </w:t>
            </w:r>
            <w:r w:rsidRPr="006C2510">
              <w:rPr>
                <w:sz w:val="24"/>
                <w:szCs w:val="24"/>
              </w:rPr>
              <w:t xml:space="preserve">Log-rank-test, stratificeret i forhold til strata ved </w:t>
            </w:r>
            <w:proofErr w:type="spellStart"/>
            <w:r w:rsidRPr="006C2510">
              <w:rPr>
                <w:sz w:val="24"/>
                <w:szCs w:val="24"/>
              </w:rPr>
              <w:t>randomisering</w:t>
            </w:r>
            <w:proofErr w:type="spellEnd"/>
            <w:r w:rsidRPr="006C2510">
              <w:rPr>
                <w:sz w:val="24"/>
                <w:szCs w:val="24"/>
              </w:rPr>
              <w:t xml:space="preserve"> og brug af kemoterapi (ja/nej). </w:t>
            </w:r>
          </w:p>
          <w:p w:rsidR="000A70A6" w:rsidRPr="006C2510" w:rsidRDefault="000A70A6" w:rsidP="00F06180">
            <w:pPr>
              <w:rPr>
                <w:sz w:val="24"/>
                <w:szCs w:val="24"/>
              </w:rPr>
            </w:pPr>
            <w:r w:rsidRPr="006C2510">
              <w:rPr>
                <w:sz w:val="24"/>
                <w:szCs w:val="24"/>
                <w:vertAlign w:val="superscript"/>
              </w:rPr>
              <w:t xml:space="preserve">2 </w:t>
            </w:r>
            <w:r w:rsidRPr="006C2510">
              <w:rPr>
                <w:sz w:val="24"/>
                <w:szCs w:val="24"/>
              </w:rPr>
              <w:t xml:space="preserve">Hændelser ved sygdomsfri overlevelse: </w:t>
            </w:r>
            <w:proofErr w:type="spellStart"/>
            <w:r w:rsidRPr="006C2510">
              <w:rPr>
                <w:sz w:val="24"/>
                <w:szCs w:val="24"/>
              </w:rPr>
              <w:t>lokoregionalt</w:t>
            </w:r>
            <w:proofErr w:type="spellEnd"/>
            <w:r w:rsidRPr="006C2510">
              <w:rPr>
                <w:sz w:val="24"/>
                <w:szCs w:val="24"/>
              </w:rPr>
              <w:t xml:space="preserve"> tilbagefald, fjernmetastaser, invasiv kontralateral brystcancer, sekundær (ikke bryst) primær cancer, død uanset årsag uden cancer i anamnesen. </w:t>
            </w:r>
          </w:p>
          <w:p w:rsidR="000A70A6" w:rsidRPr="006C2510" w:rsidRDefault="000A70A6" w:rsidP="00F06180">
            <w:pPr>
              <w:rPr>
                <w:sz w:val="24"/>
                <w:szCs w:val="24"/>
              </w:rPr>
            </w:pPr>
            <w:r w:rsidRPr="006C2510">
              <w:rPr>
                <w:sz w:val="24"/>
                <w:szCs w:val="24"/>
                <w:vertAlign w:val="superscript"/>
              </w:rPr>
              <w:t xml:space="preserve">3 </w:t>
            </w:r>
            <w:r w:rsidRPr="006C2510">
              <w:rPr>
                <w:sz w:val="24"/>
                <w:szCs w:val="24"/>
              </w:rPr>
              <w:t xml:space="preserve">Observationerne i </w:t>
            </w:r>
            <w:proofErr w:type="spellStart"/>
            <w:r w:rsidRPr="006C2510">
              <w:rPr>
                <w:sz w:val="24"/>
                <w:szCs w:val="24"/>
              </w:rPr>
              <w:t>tamoxifen</w:t>
            </w:r>
            <w:proofErr w:type="spellEnd"/>
            <w:r w:rsidRPr="006C2510">
              <w:rPr>
                <w:sz w:val="24"/>
                <w:szCs w:val="24"/>
              </w:rPr>
              <w:t>-armen er vurderet på tid</w:t>
            </w:r>
            <w:r>
              <w:rPr>
                <w:sz w:val="24"/>
                <w:szCs w:val="24"/>
              </w:rPr>
              <w:t>s</w:t>
            </w:r>
            <w:r w:rsidRPr="006C2510">
              <w:rPr>
                <w:sz w:val="24"/>
                <w:szCs w:val="24"/>
              </w:rPr>
              <w:t xml:space="preserve">punktet for selektivt skift til </w:t>
            </w:r>
            <w:proofErr w:type="spellStart"/>
            <w:r w:rsidRPr="006C2510">
              <w:rPr>
                <w:sz w:val="24"/>
                <w:szCs w:val="24"/>
              </w:rPr>
              <w:t>letrozol</w:t>
            </w:r>
            <w:proofErr w:type="spellEnd"/>
            <w:r w:rsidRPr="006C2510">
              <w:rPr>
                <w:sz w:val="24"/>
                <w:szCs w:val="24"/>
              </w:rPr>
              <w:t xml:space="preserve">. </w:t>
            </w:r>
          </w:p>
        </w:tc>
      </w:tr>
    </w:tbl>
    <w:p w:rsidR="000A70A6" w:rsidRDefault="000A70A6" w:rsidP="000A70A6">
      <w:pPr>
        <w:tabs>
          <w:tab w:val="left" w:pos="851"/>
        </w:tabs>
        <w:ind w:left="851" w:hanging="851"/>
        <w:rPr>
          <w:b/>
          <w:bCs/>
          <w:sz w:val="24"/>
          <w:szCs w:val="24"/>
        </w:rPr>
      </w:pPr>
    </w:p>
    <w:p w:rsidR="000A70A6" w:rsidRPr="001B4655" w:rsidRDefault="000A70A6" w:rsidP="000A70A6">
      <w:pPr>
        <w:tabs>
          <w:tab w:val="left" w:pos="851"/>
        </w:tabs>
        <w:ind w:left="851" w:hanging="851"/>
        <w:rPr>
          <w:sz w:val="24"/>
          <w:szCs w:val="24"/>
        </w:rPr>
      </w:pPr>
      <w:r>
        <w:rPr>
          <w:i/>
          <w:iCs/>
          <w:sz w:val="24"/>
          <w:szCs w:val="24"/>
        </w:rPr>
        <w:lastRenderedPageBreak/>
        <w:tab/>
      </w:r>
      <w:r w:rsidRPr="001B4655">
        <w:rPr>
          <w:i/>
          <w:iCs/>
          <w:sz w:val="24"/>
          <w:szCs w:val="24"/>
        </w:rPr>
        <w:t xml:space="preserve">Analyse af sekvensbehandling (STA) </w:t>
      </w: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Analysen af sekvensbehandling (STA) undersøger BIG 1-98-studiets andet primære spørgsmål, dvs. om sekvensbehandling med </w:t>
      </w:r>
      <w:proofErr w:type="spellStart"/>
      <w:r w:rsidRPr="001B4655">
        <w:rPr>
          <w:sz w:val="24"/>
          <w:szCs w:val="24"/>
        </w:rPr>
        <w:t>tamoxifen</w:t>
      </w:r>
      <w:proofErr w:type="spellEnd"/>
      <w:r w:rsidRPr="001B4655">
        <w:rPr>
          <w:sz w:val="24"/>
          <w:szCs w:val="24"/>
        </w:rPr>
        <w:t xml:space="preserve"> og </w:t>
      </w:r>
      <w:proofErr w:type="spellStart"/>
      <w:r w:rsidRPr="001B4655">
        <w:rPr>
          <w:sz w:val="24"/>
          <w:szCs w:val="24"/>
        </w:rPr>
        <w:t>letrozol</w:t>
      </w:r>
      <w:proofErr w:type="spellEnd"/>
      <w:r w:rsidRPr="001B4655">
        <w:rPr>
          <w:sz w:val="24"/>
          <w:szCs w:val="24"/>
        </w:rPr>
        <w:t xml:space="preserve"> er bedre end monoterapi. Der var ingen signifikante forskelle i DFS, OS, SDFS eller DDFS af skift i forhold til monoterapi (Tabel 6).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bCs/>
          <w:sz w:val="24"/>
          <w:szCs w:val="24"/>
        </w:rPr>
      </w:pPr>
      <w:r>
        <w:rPr>
          <w:b/>
          <w:bCs/>
          <w:sz w:val="24"/>
          <w:szCs w:val="24"/>
        </w:rPr>
        <w:tab/>
      </w:r>
      <w:r w:rsidRPr="001B4655">
        <w:rPr>
          <w:b/>
          <w:bCs/>
          <w:sz w:val="24"/>
          <w:szCs w:val="24"/>
        </w:rPr>
        <w:t xml:space="preserve">Tabel 6 Analyse af sekvensbehandling med hensyn til sygdomsfri overlevelse med </w:t>
      </w:r>
      <w:proofErr w:type="spellStart"/>
      <w:r w:rsidRPr="001B4655">
        <w:rPr>
          <w:b/>
          <w:bCs/>
          <w:sz w:val="24"/>
          <w:szCs w:val="24"/>
        </w:rPr>
        <w:t>letrozol</w:t>
      </w:r>
      <w:proofErr w:type="spellEnd"/>
      <w:r w:rsidRPr="001B4655">
        <w:rPr>
          <w:b/>
          <w:bCs/>
          <w:sz w:val="24"/>
          <w:szCs w:val="24"/>
        </w:rPr>
        <w:t xml:space="preserve"> som initial endokrin behandling (STA-skift population)</w:t>
      </w:r>
    </w:p>
    <w:p w:rsidR="000A70A6" w:rsidRPr="001B4655" w:rsidRDefault="000A70A6" w:rsidP="000A70A6">
      <w:pPr>
        <w:tabs>
          <w:tab w:val="left" w:pos="851"/>
        </w:tabs>
        <w:ind w:left="851" w:hanging="851"/>
        <w:rPr>
          <w:b/>
          <w:bCs/>
          <w:sz w:val="24"/>
          <w:szCs w:val="24"/>
        </w:rPr>
      </w:pPr>
    </w:p>
    <w:tbl>
      <w:tblPr>
        <w:tblW w:w="942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2612"/>
        <w:gridCol w:w="877"/>
        <w:gridCol w:w="1398"/>
        <w:gridCol w:w="1008"/>
        <w:gridCol w:w="2107"/>
        <w:gridCol w:w="1418"/>
      </w:tblGrid>
      <w:tr w:rsidR="000A70A6" w:rsidRPr="001B4655" w:rsidTr="00F06180">
        <w:trPr>
          <w:trHeight w:val="275"/>
        </w:trPr>
        <w:tc>
          <w:tcPr>
            <w:tcW w:w="2611" w:type="dxa"/>
            <w:tcBorders>
              <w:top w:val="single" w:sz="8" w:space="0" w:color="000000"/>
              <w:left w:val="nil"/>
              <w:bottom w:val="single" w:sz="8" w:space="0" w:color="000000"/>
              <w:right w:val="nil"/>
            </w:tcBorders>
          </w:tcPr>
          <w:p w:rsidR="000A70A6" w:rsidRPr="001B4655" w:rsidRDefault="000A70A6" w:rsidP="00F06180">
            <w:pPr>
              <w:rPr>
                <w:sz w:val="24"/>
                <w:szCs w:val="24"/>
              </w:rPr>
            </w:pPr>
          </w:p>
        </w:tc>
        <w:tc>
          <w:tcPr>
            <w:tcW w:w="876" w:type="dxa"/>
            <w:tcBorders>
              <w:top w:val="single" w:sz="8" w:space="0" w:color="000000"/>
              <w:left w:val="nil"/>
              <w:bottom w:val="single" w:sz="8" w:space="0" w:color="000000"/>
              <w:right w:val="nil"/>
            </w:tcBorders>
            <w:hideMark/>
          </w:tcPr>
          <w:p w:rsidR="000A70A6" w:rsidRPr="001B4655" w:rsidRDefault="000A70A6" w:rsidP="00F06180">
            <w:pPr>
              <w:rPr>
                <w:sz w:val="24"/>
                <w:szCs w:val="24"/>
                <w:lang w:val="es-ES"/>
              </w:rPr>
            </w:pPr>
            <w:r w:rsidRPr="001B4655">
              <w:rPr>
                <w:b/>
                <w:bCs/>
                <w:sz w:val="24"/>
                <w:szCs w:val="24"/>
                <w:lang w:val="es-ES"/>
              </w:rPr>
              <w:t>N</w:t>
            </w:r>
          </w:p>
        </w:tc>
        <w:tc>
          <w:tcPr>
            <w:tcW w:w="1397" w:type="dxa"/>
            <w:tcBorders>
              <w:top w:val="single" w:sz="8" w:space="0" w:color="000000"/>
              <w:left w:val="nil"/>
              <w:bottom w:val="single" w:sz="8" w:space="0" w:color="000000"/>
              <w:right w:val="nil"/>
            </w:tcBorders>
            <w:hideMark/>
          </w:tcPr>
          <w:p w:rsidR="000A70A6" w:rsidRPr="001B4655" w:rsidRDefault="000A70A6" w:rsidP="00F06180">
            <w:pPr>
              <w:rPr>
                <w:b/>
                <w:bCs/>
                <w:sz w:val="24"/>
                <w:szCs w:val="24"/>
                <w:lang w:val="es-ES"/>
              </w:rPr>
            </w:pPr>
            <w:r w:rsidRPr="001B4655">
              <w:rPr>
                <w:b/>
                <w:bCs/>
                <w:sz w:val="24"/>
                <w:szCs w:val="24"/>
                <w:lang w:val="es-ES"/>
              </w:rPr>
              <w:t>Antal</w:t>
            </w:r>
          </w:p>
          <w:p w:rsidR="000A70A6" w:rsidRPr="001B4655" w:rsidRDefault="000A70A6" w:rsidP="00F06180">
            <w:pPr>
              <w:rPr>
                <w:sz w:val="24"/>
                <w:szCs w:val="24"/>
                <w:lang w:val="es-ES"/>
              </w:rPr>
            </w:pPr>
            <w:r w:rsidRPr="001B4655">
              <w:rPr>
                <w:b/>
                <w:bCs/>
                <w:sz w:val="24"/>
                <w:szCs w:val="24"/>
                <w:lang w:val="es-ES"/>
              </w:rPr>
              <w:t>hændelser</w:t>
            </w:r>
            <w:r w:rsidRPr="001B4655">
              <w:rPr>
                <w:b/>
                <w:bCs/>
                <w:sz w:val="24"/>
                <w:szCs w:val="24"/>
                <w:vertAlign w:val="superscript"/>
                <w:lang w:val="es-ES"/>
              </w:rPr>
              <w:t xml:space="preserve">1 </w:t>
            </w:r>
          </w:p>
        </w:tc>
        <w:tc>
          <w:tcPr>
            <w:tcW w:w="1007" w:type="dxa"/>
            <w:tcBorders>
              <w:top w:val="single" w:sz="8" w:space="0" w:color="000000"/>
              <w:left w:val="nil"/>
              <w:bottom w:val="single" w:sz="8" w:space="0" w:color="000000"/>
              <w:right w:val="nil"/>
            </w:tcBorders>
            <w:hideMark/>
          </w:tcPr>
          <w:p w:rsidR="000A70A6" w:rsidRPr="001B4655" w:rsidRDefault="000A70A6" w:rsidP="00F06180">
            <w:pPr>
              <w:rPr>
                <w:b/>
                <w:bCs/>
                <w:sz w:val="24"/>
                <w:szCs w:val="24"/>
                <w:lang w:val="es-ES"/>
              </w:rPr>
            </w:pPr>
            <w:r w:rsidRPr="001B4655">
              <w:rPr>
                <w:b/>
                <w:bCs/>
                <w:sz w:val="24"/>
                <w:szCs w:val="24"/>
                <w:lang w:val="es-ES"/>
              </w:rPr>
              <w:t>Relativ</w:t>
            </w:r>
          </w:p>
          <w:p w:rsidR="000A70A6" w:rsidRPr="001B4655" w:rsidRDefault="000A70A6" w:rsidP="00F06180">
            <w:pPr>
              <w:rPr>
                <w:sz w:val="24"/>
                <w:szCs w:val="24"/>
                <w:lang w:val="es-ES"/>
              </w:rPr>
            </w:pPr>
            <w:r w:rsidRPr="001B4655">
              <w:rPr>
                <w:b/>
                <w:bCs/>
                <w:sz w:val="24"/>
                <w:szCs w:val="24"/>
                <w:lang w:val="es-ES"/>
              </w:rPr>
              <w:t>risiko</w:t>
            </w:r>
            <w:r w:rsidRPr="001B4655">
              <w:rPr>
                <w:b/>
                <w:bCs/>
                <w:sz w:val="24"/>
                <w:szCs w:val="24"/>
                <w:vertAlign w:val="superscript"/>
                <w:lang w:val="es-ES"/>
              </w:rPr>
              <w:t xml:space="preserve">2 </w:t>
            </w:r>
          </w:p>
        </w:tc>
        <w:tc>
          <w:tcPr>
            <w:tcW w:w="2105" w:type="dxa"/>
            <w:tcBorders>
              <w:top w:val="single" w:sz="8" w:space="0" w:color="000000"/>
              <w:left w:val="nil"/>
              <w:bottom w:val="single" w:sz="8" w:space="0" w:color="000000"/>
              <w:right w:val="nil"/>
            </w:tcBorders>
            <w:hideMark/>
          </w:tcPr>
          <w:p w:rsidR="000A70A6" w:rsidRPr="001B4655" w:rsidRDefault="000A70A6" w:rsidP="00F06180">
            <w:pPr>
              <w:rPr>
                <w:sz w:val="24"/>
                <w:szCs w:val="24"/>
                <w:lang w:val="es-ES"/>
              </w:rPr>
            </w:pPr>
            <w:r w:rsidRPr="001B4655">
              <w:rPr>
                <w:b/>
                <w:bCs/>
                <w:sz w:val="24"/>
                <w:szCs w:val="24"/>
                <w:lang w:val="es-ES"/>
              </w:rPr>
              <w:t xml:space="preserve">(97,5% </w:t>
            </w:r>
          </w:p>
          <w:p w:rsidR="000A70A6" w:rsidRPr="001B4655" w:rsidRDefault="000A70A6" w:rsidP="00F06180">
            <w:pPr>
              <w:rPr>
                <w:sz w:val="24"/>
                <w:szCs w:val="24"/>
                <w:lang w:val="es-ES"/>
              </w:rPr>
            </w:pPr>
            <w:r w:rsidRPr="001B4655">
              <w:rPr>
                <w:b/>
                <w:bCs/>
                <w:sz w:val="24"/>
                <w:szCs w:val="24"/>
                <w:lang w:val="es-ES"/>
              </w:rPr>
              <w:t xml:space="preserve">konfidensinterval) </w:t>
            </w:r>
          </w:p>
        </w:tc>
        <w:tc>
          <w:tcPr>
            <w:tcW w:w="1417" w:type="dxa"/>
            <w:tcBorders>
              <w:top w:val="single" w:sz="8" w:space="0" w:color="000000"/>
              <w:left w:val="nil"/>
              <w:bottom w:val="single" w:sz="8" w:space="0" w:color="000000"/>
              <w:right w:val="nil"/>
            </w:tcBorders>
            <w:hideMark/>
          </w:tcPr>
          <w:p w:rsidR="000A70A6" w:rsidRPr="001B4655" w:rsidRDefault="000A70A6" w:rsidP="00F06180">
            <w:pPr>
              <w:rPr>
                <w:b/>
                <w:bCs/>
                <w:sz w:val="24"/>
                <w:szCs w:val="24"/>
                <w:lang w:val="es-ES"/>
              </w:rPr>
            </w:pPr>
            <w:r w:rsidRPr="001B4655">
              <w:rPr>
                <w:b/>
                <w:bCs/>
                <w:sz w:val="24"/>
                <w:szCs w:val="24"/>
                <w:lang w:val="es-ES"/>
              </w:rPr>
              <w:t xml:space="preserve">Cox-model </w:t>
            </w:r>
          </w:p>
          <w:p w:rsidR="000A70A6" w:rsidRPr="001B4655" w:rsidRDefault="000A70A6" w:rsidP="00F06180">
            <w:pPr>
              <w:rPr>
                <w:sz w:val="24"/>
                <w:szCs w:val="24"/>
                <w:lang w:val="es-ES"/>
              </w:rPr>
            </w:pPr>
            <w:r w:rsidRPr="001B4655">
              <w:rPr>
                <w:b/>
                <w:bCs/>
                <w:i/>
                <w:iCs/>
                <w:sz w:val="24"/>
                <w:szCs w:val="24"/>
                <w:lang w:val="es-ES"/>
              </w:rPr>
              <w:t>P</w:t>
            </w:r>
            <w:r w:rsidRPr="001B4655">
              <w:rPr>
                <w:b/>
                <w:bCs/>
                <w:sz w:val="24"/>
                <w:szCs w:val="24"/>
                <w:lang w:val="es-ES"/>
              </w:rPr>
              <w:t xml:space="preserve">-værdi </w:t>
            </w:r>
          </w:p>
        </w:tc>
      </w:tr>
      <w:tr w:rsidR="000A70A6" w:rsidRPr="001B4655" w:rsidTr="00F06180">
        <w:trPr>
          <w:trHeight w:val="147"/>
        </w:trPr>
        <w:tc>
          <w:tcPr>
            <w:tcW w:w="2611" w:type="dxa"/>
            <w:tcBorders>
              <w:top w:val="single" w:sz="8" w:space="0" w:color="000000"/>
              <w:left w:val="nil"/>
              <w:bottom w:val="nil"/>
              <w:right w:val="nil"/>
            </w:tcBorders>
            <w:hideMark/>
          </w:tcPr>
          <w:p w:rsidR="000A70A6" w:rsidRPr="001B4655" w:rsidRDefault="000A70A6" w:rsidP="00F06180">
            <w:pPr>
              <w:rPr>
                <w:sz w:val="24"/>
                <w:szCs w:val="24"/>
                <w:lang w:val="es-ES"/>
              </w:rPr>
            </w:pPr>
            <w:r w:rsidRPr="001B4655">
              <w:rPr>
                <w:b/>
                <w:bCs/>
                <w:sz w:val="24"/>
                <w:szCs w:val="24"/>
                <w:lang w:val="es-ES"/>
              </w:rPr>
              <w:t xml:space="preserve">[Letrozol →]Tamoxifen </w:t>
            </w:r>
          </w:p>
        </w:tc>
        <w:tc>
          <w:tcPr>
            <w:tcW w:w="876" w:type="dxa"/>
            <w:tcBorders>
              <w:top w:val="single" w:sz="8" w:space="0" w:color="000000"/>
              <w:left w:val="nil"/>
              <w:bottom w:val="nil"/>
              <w:right w:val="nil"/>
            </w:tcBorders>
            <w:hideMark/>
          </w:tcPr>
          <w:p w:rsidR="000A70A6" w:rsidRPr="001B4655" w:rsidRDefault="000A70A6" w:rsidP="00F06180">
            <w:pPr>
              <w:rPr>
                <w:sz w:val="24"/>
                <w:szCs w:val="24"/>
                <w:lang w:val="es-ES"/>
              </w:rPr>
            </w:pPr>
            <w:r w:rsidRPr="001B4655">
              <w:rPr>
                <w:sz w:val="24"/>
                <w:szCs w:val="24"/>
                <w:lang w:val="es-ES"/>
              </w:rPr>
              <w:t xml:space="preserve">1.460 </w:t>
            </w:r>
          </w:p>
        </w:tc>
        <w:tc>
          <w:tcPr>
            <w:tcW w:w="1397" w:type="dxa"/>
            <w:tcBorders>
              <w:top w:val="single" w:sz="8" w:space="0" w:color="000000"/>
              <w:left w:val="nil"/>
              <w:bottom w:val="nil"/>
              <w:right w:val="nil"/>
            </w:tcBorders>
            <w:hideMark/>
          </w:tcPr>
          <w:p w:rsidR="000A70A6" w:rsidRPr="001B4655" w:rsidRDefault="000A70A6" w:rsidP="00F06180">
            <w:pPr>
              <w:rPr>
                <w:sz w:val="24"/>
                <w:szCs w:val="24"/>
                <w:lang w:val="es-ES"/>
              </w:rPr>
            </w:pPr>
            <w:r>
              <w:rPr>
                <w:sz w:val="24"/>
                <w:szCs w:val="24"/>
                <w:lang w:val="es-ES"/>
              </w:rPr>
              <w:t>254</w:t>
            </w:r>
          </w:p>
        </w:tc>
        <w:tc>
          <w:tcPr>
            <w:tcW w:w="1007" w:type="dxa"/>
            <w:tcBorders>
              <w:top w:val="single" w:sz="8" w:space="0" w:color="000000"/>
              <w:left w:val="nil"/>
              <w:bottom w:val="nil"/>
              <w:right w:val="nil"/>
            </w:tcBorders>
            <w:hideMark/>
          </w:tcPr>
          <w:p w:rsidR="000A70A6" w:rsidRPr="001B4655" w:rsidRDefault="000A70A6" w:rsidP="00F06180">
            <w:pPr>
              <w:rPr>
                <w:sz w:val="24"/>
                <w:szCs w:val="24"/>
                <w:lang w:val="es-ES"/>
              </w:rPr>
            </w:pPr>
            <w:r>
              <w:rPr>
                <w:sz w:val="24"/>
                <w:szCs w:val="24"/>
                <w:lang w:val="es-ES"/>
              </w:rPr>
              <w:t>1,03</w:t>
            </w:r>
            <w:r w:rsidRPr="001B4655">
              <w:rPr>
                <w:sz w:val="24"/>
                <w:szCs w:val="24"/>
                <w:lang w:val="es-ES"/>
              </w:rPr>
              <w:t xml:space="preserve"> </w:t>
            </w:r>
          </w:p>
        </w:tc>
        <w:tc>
          <w:tcPr>
            <w:tcW w:w="2105" w:type="dxa"/>
            <w:tcBorders>
              <w:top w:val="single" w:sz="8" w:space="0" w:color="000000"/>
              <w:left w:val="nil"/>
              <w:bottom w:val="nil"/>
              <w:right w:val="nil"/>
            </w:tcBorders>
            <w:hideMark/>
          </w:tcPr>
          <w:p w:rsidR="000A70A6" w:rsidRPr="001B4655" w:rsidRDefault="000A70A6" w:rsidP="00F06180">
            <w:pPr>
              <w:rPr>
                <w:sz w:val="24"/>
                <w:szCs w:val="24"/>
                <w:lang w:val="es-ES"/>
              </w:rPr>
            </w:pPr>
            <w:r>
              <w:rPr>
                <w:sz w:val="24"/>
                <w:szCs w:val="24"/>
                <w:lang w:val="es-ES"/>
              </w:rPr>
              <w:t>(0,84; 1,26</w:t>
            </w:r>
            <w:r w:rsidRPr="001B4655">
              <w:rPr>
                <w:sz w:val="24"/>
                <w:szCs w:val="24"/>
                <w:lang w:val="es-ES"/>
              </w:rPr>
              <w:t xml:space="preserve">) </w:t>
            </w:r>
          </w:p>
        </w:tc>
        <w:tc>
          <w:tcPr>
            <w:tcW w:w="1417" w:type="dxa"/>
            <w:tcBorders>
              <w:top w:val="single" w:sz="8" w:space="0" w:color="000000"/>
              <w:left w:val="nil"/>
              <w:bottom w:val="nil"/>
              <w:right w:val="nil"/>
            </w:tcBorders>
            <w:hideMark/>
          </w:tcPr>
          <w:p w:rsidR="000A70A6" w:rsidRPr="001B4655" w:rsidRDefault="000A70A6" w:rsidP="00F06180">
            <w:pPr>
              <w:rPr>
                <w:sz w:val="24"/>
                <w:szCs w:val="24"/>
                <w:lang w:val="es-ES"/>
              </w:rPr>
            </w:pPr>
            <w:r>
              <w:rPr>
                <w:sz w:val="24"/>
                <w:szCs w:val="24"/>
                <w:lang w:val="es-ES"/>
              </w:rPr>
              <w:t>0,72</w:t>
            </w:r>
            <w:r w:rsidRPr="001B4655">
              <w:rPr>
                <w:sz w:val="24"/>
                <w:szCs w:val="24"/>
                <w:lang w:val="es-ES"/>
              </w:rPr>
              <w:t xml:space="preserve"> </w:t>
            </w:r>
          </w:p>
        </w:tc>
      </w:tr>
      <w:tr w:rsidR="000A70A6" w:rsidRPr="001B4655" w:rsidTr="00F06180">
        <w:trPr>
          <w:trHeight w:val="146"/>
        </w:trPr>
        <w:tc>
          <w:tcPr>
            <w:tcW w:w="2611" w:type="dxa"/>
            <w:tcBorders>
              <w:top w:val="nil"/>
              <w:left w:val="nil"/>
              <w:bottom w:val="single" w:sz="8" w:space="0" w:color="000000"/>
              <w:right w:val="nil"/>
            </w:tcBorders>
            <w:hideMark/>
          </w:tcPr>
          <w:p w:rsidR="000A70A6" w:rsidRPr="001B4655" w:rsidRDefault="000A70A6" w:rsidP="00F06180">
            <w:pPr>
              <w:rPr>
                <w:sz w:val="24"/>
                <w:szCs w:val="24"/>
                <w:lang w:val="es-ES"/>
              </w:rPr>
            </w:pPr>
            <w:r w:rsidRPr="001B4655">
              <w:rPr>
                <w:b/>
                <w:bCs/>
                <w:sz w:val="24"/>
                <w:szCs w:val="24"/>
                <w:lang w:val="es-ES"/>
              </w:rPr>
              <w:t xml:space="preserve">Letrozol </w:t>
            </w:r>
          </w:p>
        </w:tc>
        <w:tc>
          <w:tcPr>
            <w:tcW w:w="876" w:type="dxa"/>
            <w:tcBorders>
              <w:top w:val="nil"/>
              <w:left w:val="nil"/>
              <w:bottom w:val="single" w:sz="8" w:space="0" w:color="000000"/>
              <w:right w:val="nil"/>
            </w:tcBorders>
            <w:hideMark/>
          </w:tcPr>
          <w:p w:rsidR="000A70A6" w:rsidRPr="001B4655" w:rsidRDefault="000A70A6" w:rsidP="00F06180">
            <w:pPr>
              <w:rPr>
                <w:sz w:val="24"/>
                <w:szCs w:val="24"/>
                <w:lang w:val="es-ES"/>
              </w:rPr>
            </w:pPr>
            <w:r w:rsidRPr="001B4655">
              <w:rPr>
                <w:sz w:val="24"/>
                <w:szCs w:val="24"/>
                <w:lang w:val="es-ES"/>
              </w:rPr>
              <w:t xml:space="preserve">1.463 </w:t>
            </w:r>
          </w:p>
        </w:tc>
        <w:tc>
          <w:tcPr>
            <w:tcW w:w="1397" w:type="dxa"/>
            <w:tcBorders>
              <w:top w:val="nil"/>
              <w:left w:val="nil"/>
              <w:bottom w:val="single" w:sz="8" w:space="0" w:color="000000"/>
              <w:right w:val="nil"/>
            </w:tcBorders>
            <w:hideMark/>
          </w:tcPr>
          <w:p w:rsidR="000A70A6" w:rsidRPr="001B4655" w:rsidRDefault="000A70A6" w:rsidP="00F06180">
            <w:pPr>
              <w:rPr>
                <w:sz w:val="24"/>
                <w:szCs w:val="24"/>
                <w:lang w:val="es-ES"/>
              </w:rPr>
            </w:pPr>
            <w:r>
              <w:rPr>
                <w:sz w:val="24"/>
                <w:szCs w:val="24"/>
                <w:lang w:val="es-ES"/>
              </w:rPr>
              <w:t>249</w:t>
            </w:r>
          </w:p>
        </w:tc>
        <w:tc>
          <w:tcPr>
            <w:tcW w:w="4529" w:type="dxa"/>
            <w:gridSpan w:val="3"/>
            <w:tcBorders>
              <w:top w:val="nil"/>
              <w:left w:val="nil"/>
              <w:bottom w:val="single" w:sz="8" w:space="0" w:color="000000"/>
              <w:right w:val="nil"/>
            </w:tcBorders>
          </w:tcPr>
          <w:p w:rsidR="000A70A6" w:rsidRPr="001B4655" w:rsidRDefault="000A70A6" w:rsidP="00F06180">
            <w:pPr>
              <w:rPr>
                <w:sz w:val="24"/>
                <w:szCs w:val="24"/>
                <w:lang w:val="es-ES"/>
              </w:rPr>
            </w:pPr>
          </w:p>
        </w:tc>
      </w:tr>
    </w:tbl>
    <w:p w:rsidR="000A70A6" w:rsidRPr="001B4655" w:rsidRDefault="000A70A6" w:rsidP="000A70A6">
      <w:pPr>
        <w:tabs>
          <w:tab w:val="left" w:pos="851"/>
        </w:tabs>
        <w:ind w:left="851" w:hanging="851"/>
        <w:rPr>
          <w:bCs/>
          <w:sz w:val="24"/>
          <w:szCs w:val="24"/>
        </w:rPr>
      </w:pPr>
      <w:r w:rsidRPr="001B4655">
        <w:rPr>
          <w:bCs/>
          <w:sz w:val="24"/>
          <w:szCs w:val="24"/>
          <w:vertAlign w:val="superscript"/>
        </w:rPr>
        <w:t xml:space="preserve">1 </w:t>
      </w:r>
      <w:r w:rsidRPr="001B4655">
        <w:rPr>
          <w:bCs/>
          <w:sz w:val="24"/>
          <w:szCs w:val="24"/>
        </w:rPr>
        <w:t xml:space="preserve">Protokol-definition, inklusive anden (ikke-brystcancer) primær tumor, efter skift/ud over 2 år </w:t>
      </w:r>
    </w:p>
    <w:p w:rsidR="000A70A6" w:rsidRPr="001B4655" w:rsidRDefault="000A70A6" w:rsidP="000A70A6">
      <w:pPr>
        <w:tabs>
          <w:tab w:val="left" w:pos="851"/>
        </w:tabs>
        <w:ind w:left="851" w:hanging="851"/>
        <w:rPr>
          <w:bCs/>
          <w:sz w:val="24"/>
          <w:szCs w:val="24"/>
        </w:rPr>
      </w:pPr>
      <w:r w:rsidRPr="001B4655">
        <w:rPr>
          <w:bCs/>
          <w:sz w:val="24"/>
          <w:szCs w:val="24"/>
          <w:vertAlign w:val="superscript"/>
        </w:rPr>
        <w:t xml:space="preserve">2 </w:t>
      </w:r>
      <w:r w:rsidRPr="001B4655">
        <w:rPr>
          <w:bCs/>
          <w:sz w:val="24"/>
          <w:szCs w:val="24"/>
        </w:rPr>
        <w:t>Justeret for brug af kemoterapi</w:t>
      </w:r>
    </w:p>
    <w:p w:rsidR="000A70A6" w:rsidRPr="001B4655" w:rsidRDefault="000A70A6" w:rsidP="000A70A6">
      <w:pPr>
        <w:tabs>
          <w:tab w:val="left" w:pos="851"/>
        </w:tabs>
        <w:ind w:left="851" w:hanging="851"/>
        <w:rPr>
          <w:b/>
          <w:bCs/>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Der var ingen signifikante forskelle i DFS, OS, SDFS eller DDFS i nogle STA fra </w:t>
      </w:r>
      <w:proofErr w:type="spellStart"/>
      <w:r w:rsidRPr="001B4655">
        <w:rPr>
          <w:sz w:val="24"/>
          <w:szCs w:val="24"/>
        </w:rPr>
        <w:t>randomiseringens</w:t>
      </w:r>
      <w:proofErr w:type="spellEnd"/>
      <w:r w:rsidRPr="001B4655">
        <w:rPr>
          <w:sz w:val="24"/>
          <w:szCs w:val="24"/>
        </w:rPr>
        <w:t xml:space="preserve"> parvise sammenligning (Tabel 7).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bCs/>
          <w:sz w:val="24"/>
          <w:szCs w:val="24"/>
        </w:rPr>
      </w:pPr>
      <w:r>
        <w:rPr>
          <w:b/>
          <w:bCs/>
          <w:sz w:val="24"/>
          <w:szCs w:val="24"/>
        </w:rPr>
        <w:tab/>
      </w:r>
      <w:r w:rsidRPr="001B4655">
        <w:rPr>
          <w:b/>
          <w:bCs/>
          <w:sz w:val="24"/>
          <w:szCs w:val="24"/>
        </w:rPr>
        <w:t xml:space="preserve">Tabel 7 Analyse af sekvensbehandling efter </w:t>
      </w:r>
      <w:proofErr w:type="spellStart"/>
      <w:r w:rsidRPr="001B4655">
        <w:rPr>
          <w:b/>
          <w:bCs/>
          <w:sz w:val="24"/>
          <w:szCs w:val="24"/>
        </w:rPr>
        <w:t>randomisering</w:t>
      </w:r>
      <w:proofErr w:type="spellEnd"/>
      <w:r w:rsidRPr="001B4655">
        <w:rPr>
          <w:b/>
          <w:bCs/>
          <w:sz w:val="24"/>
          <w:szCs w:val="24"/>
        </w:rPr>
        <w:t xml:space="preserve"> (STA-R) for sygdomsfri overlevelse (ITT-STA-R-population)</w:t>
      </w:r>
    </w:p>
    <w:p w:rsidR="000A70A6" w:rsidRPr="001B4655" w:rsidRDefault="000A70A6" w:rsidP="000A70A6">
      <w:pPr>
        <w:tabs>
          <w:tab w:val="left" w:pos="851"/>
        </w:tabs>
        <w:ind w:left="851" w:hanging="851"/>
        <w:rPr>
          <w:b/>
          <w:bCs/>
          <w:sz w:val="24"/>
          <w:szCs w:val="24"/>
        </w:rPr>
      </w:pPr>
    </w:p>
    <w:tbl>
      <w:tblPr>
        <w:tblW w:w="9000" w:type="dxa"/>
        <w:tblInd w:w="18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224"/>
        <w:gridCol w:w="2369"/>
        <w:gridCol w:w="2407"/>
      </w:tblGrid>
      <w:tr w:rsidR="000A70A6" w:rsidRPr="001B4655" w:rsidTr="00F06180">
        <w:trPr>
          <w:trHeight w:val="275"/>
        </w:trPr>
        <w:tc>
          <w:tcPr>
            <w:tcW w:w="4222" w:type="dxa"/>
            <w:tcBorders>
              <w:top w:val="single" w:sz="8" w:space="0" w:color="000000"/>
              <w:left w:val="single" w:sz="8" w:space="0" w:color="000000"/>
              <w:bottom w:val="single" w:sz="8" w:space="0" w:color="000000"/>
              <w:right w:val="single" w:sz="4" w:space="0" w:color="auto"/>
            </w:tcBorders>
          </w:tcPr>
          <w:p w:rsidR="000A70A6" w:rsidRPr="001B4655" w:rsidRDefault="000A70A6" w:rsidP="00F06180">
            <w:pPr>
              <w:rPr>
                <w:sz w:val="24"/>
                <w:szCs w:val="24"/>
              </w:rPr>
            </w:pPr>
          </w:p>
        </w:tc>
        <w:tc>
          <w:tcPr>
            <w:tcW w:w="2370" w:type="dxa"/>
            <w:tcBorders>
              <w:top w:val="single" w:sz="8" w:space="0" w:color="000000"/>
              <w:left w:val="single" w:sz="4" w:space="0" w:color="auto"/>
              <w:bottom w:val="single" w:sz="8" w:space="0" w:color="000000"/>
              <w:right w:val="single" w:sz="8" w:space="0" w:color="000000"/>
            </w:tcBorders>
            <w:hideMark/>
          </w:tcPr>
          <w:p w:rsidR="000A70A6" w:rsidRPr="001B4655" w:rsidRDefault="000A70A6" w:rsidP="00F06180">
            <w:pPr>
              <w:rPr>
                <w:sz w:val="24"/>
                <w:szCs w:val="24"/>
                <w:lang w:val="es-ES"/>
              </w:rPr>
            </w:pPr>
            <w:r w:rsidRPr="001B4655">
              <w:rPr>
                <w:b/>
                <w:bCs/>
                <w:sz w:val="24"/>
                <w:szCs w:val="24"/>
                <w:lang w:val="es-ES"/>
              </w:rPr>
              <w:t>Letrozol → Tamoxifen</w:t>
            </w:r>
          </w:p>
        </w:tc>
        <w:tc>
          <w:tcPr>
            <w:tcW w:w="2408" w:type="dxa"/>
            <w:tcBorders>
              <w:top w:val="single" w:sz="8" w:space="0" w:color="000000"/>
              <w:left w:val="single" w:sz="8" w:space="0" w:color="000000"/>
              <w:bottom w:val="single" w:sz="8" w:space="0" w:color="000000"/>
              <w:right w:val="single" w:sz="8" w:space="0" w:color="000000"/>
            </w:tcBorders>
            <w:hideMark/>
          </w:tcPr>
          <w:p w:rsidR="000A70A6" w:rsidRPr="001B4655" w:rsidRDefault="000A70A6" w:rsidP="00F06180">
            <w:pPr>
              <w:rPr>
                <w:sz w:val="24"/>
                <w:szCs w:val="24"/>
                <w:lang w:val="es-ES"/>
              </w:rPr>
            </w:pPr>
            <w:r w:rsidRPr="001B4655">
              <w:rPr>
                <w:b/>
                <w:bCs/>
                <w:sz w:val="24"/>
                <w:szCs w:val="24"/>
                <w:lang w:val="es-ES"/>
              </w:rPr>
              <w:t xml:space="preserve">Letrozol </w:t>
            </w:r>
          </w:p>
        </w:tc>
      </w:tr>
      <w:tr w:rsidR="000A70A6" w:rsidRPr="001B4655" w:rsidTr="00F06180">
        <w:trPr>
          <w:trHeight w:val="144"/>
        </w:trPr>
        <w:tc>
          <w:tcPr>
            <w:tcW w:w="4222" w:type="dxa"/>
            <w:tcBorders>
              <w:top w:val="single" w:sz="8" w:space="0" w:color="000000"/>
              <w:left w:val="single" w:sz="8" w:space="0" w:color="000000"/>
              <w:bottom w:val="single" w:sz="6" w:space="0" w:color="000000"/>
              <w:right w:val="single" w:sz="8" w:space="0" w:color="000000"/>
            </w:tcBorders>
            <w:hideMark/>
          </w:tcPr>
          <w:p w:rsidR="000A70A6" w:rsidRPr="001B4655" w:rsidRDefault="000A70A6" w:rsidP="00F06180">
            <w:pPr>
              <w:rPr>
                <w:sz w:val="24"/>
                <w:szCs w:val="24"/>
                <w:lang w:val="es-ES"/>
              </w:rPr>
            </w:pPr>
            <w:r w:rsidRPr="001B4655">
              <w:rPr>
                <w:sz w:val="24"/>
                <w:szCs w:val="24"/>
                <w:lang w:val="es-ES"/>
              </w:rPr>
              <w:t xml:space="preserve">Antal patienter </w:t>
            </w:r>
          </w:p>
        </w:tc>
        <w:tc>
          <w:tcPr>
            <w:tcW w:w="2370" w:type="dxa"/>
            <w:tcBorders>
              <w:top w:val="single" w:sz="8" w:space="0" w:color="000000"/>
              <w:left w:val="single" w:sz="8" w:space="0" w:color="000000"/>
              <w:bottom w:val="single" w:sz="6" w:space="0" w:color="000000"/>
              <w:right w:val="single" w:sz="8" w:space="0" w:color="000000"/>
            </w:tcBorders>
            <w:hideMark/>
          </w:tcPr>
          <w:p w:rsidR="000A70A6" w:rsidRPr="001B4655" w:rsidRDefault="000A70A6" w:rsidP="00F06180">
            <w:pPr>
              <w:rPr>
                <w:sz w:val="24"/>
                <w:szCs w:val="24"/>
                <w:lang w:val="es-ES"/>
              </w:rPr>
            </w:pPr>
            <w:r w:rsidRPr="001B4655">
              <w:rPr>
                <w:sz w:val="24"/>
                <w:szCs w:val="24"/>
                <w:lang w:val="es-ES"/>
              </w:rPr>
              <w:t xml:space="preserve">1.540 </w:t>
            </w:r>
          </w:p>
        </w:tc>
        <w:tc>
          <w:tcPr>
            <w:tcW w:w="2408" w:type="dxa"/>
            <w:tcBorders>
              <w:top w:val="single" w:sz="8" w:space="0" w:color="000000"/>
              <w:left w:val="single" w:sz="8" w:space="0" w:color="000000"/>
              <w:bottom w:val="single" w:sz="6" w:space="0" w:color="000000"/>
              <w:right w:val="single" w:sz="8" w:space="0" w:color="000000"/>
            </w:tcBorders>
            <w:hideMark/>
          </w:tcPr>
          <w:p w:rsidR="000A70A6" w:rsidRPr="001B4655" w:rsidRDefault="000A70A6" w:rsidP="00F06180">
            <w:pPr>
              <w:rPr>
                <w:sz w:val="24"/>
                <w:szCs w:val="24"/>
                <w:lang w:val="es-ES"/>
              </w:rPr>
            </w:pPr>
            <w:r w:rsidRPr="001B4655">
              <w:rPr>
                <w:sz w:val="24"/>
                <w:szCs w:val="24"/>
                <w:lang w:val="es-ES"/>
              </w:rPr>
              <w:t xml:space="preserve">1.546 </w:t>
            </w:r>
          </w:p>
        </w:tc>
      </w:tr>
      <w:tr w:rsidR="000A70A6" w:rsidRPr="001B4655" w:rsidTr="00F06180">
        <w:trPr>
          <w:trHeight w:val="144"/>
        </w:trPr>
        <w:tc>
          <w:tcPr>
            <w:tcW w:w="4222" w:type="dxa"/>
            <w:tcBorders>
              <w:top w:val="single" w:sz="6" w:space="0" w:color="000000"/>
              <w:left w:val="single" w:sz="8" w:space="0" w:color="000000"/>
              <w:bottom w:val="single" w:sz="6" w:space="0" w:color="000000"/>
              <w:right w:val="single" w:sz="8" w:space="0" w:color="000000"/>
            </w:tcBorders>
            <w:hideMark/>
          </w:tcPr>
          <w:p w:rsidR="000A70A6" w:rsidRPr="00046FED" w:rsidRDefault="000A70A6" w:rsidP="00F06180">
            <w:pPr>
              <w:rPr>
                <w:sz w:val="24"/>
                <w:szCs w:val="24"/>
              </w:rPr>
            </w:pPr>
            <w:r w:rsidRPr="00046FED">
              <w:rPr>
                <w:sz w:val="24"/>
                <w:szCs w:val="24"/>
              </w:rPr>
              <w:t xml:space="preserve">Antal patienter med DFS-hændelser (protokol-definition) </w:t>
            </w:r>
          </w:p>
        </w:tc>
        <w:tc>
          <w:tcPr>
            <w:tcW w:w="2370" w:type="dxa"/>
            <w:tcBorders>
              <w:top w:val="single" w:sz="6" w:space="0" w:color="000000"/>
              <w:left w:val="single" w:sz="8" w:space="0" w:color="000000"/>
              <w:bottom w:val="single" w:sz="6" w:space="0" w:color="000000"/>
              <w:right w:val="single" w:sz="8" w:space="0" w:color="000000"/>
            </w:tcBorders>
            <w:hideMark/>
          </w:tcPr>
          <w:p w:rsidR="000A70A6" w:rsidRPr="001B4655" w:rsidRDefault="000A70A6" w:rsidP="00F06180">
            <w:pPr>
              <w:rPr>
                <w:sz w:val="24"/>
                <w:szCs w:val="24"/>
                <w:lang w:val="es-ES"/>
              </w:rPr>
            </w:pPr>
            <w:r>
              <w:rPr>
                <w:sz w:val="24"/>
                <w:szCs w:val="24"/>
                <w:lang w:val="es-ES"/>
              </w:rPr>
              <w:t>330</w:t>
            </w:r>
            <w:r w:rsidRPr="001B4655">
              <w:rPr>
                <w:sz w:val="24"/>
                <w:szCs w:val="24"/>
                <w:lang w:val="es-ES"/>
              </w:rPr>
              <w:t xml:space="preserve"> </w:t>
            </w:r>
          </w:p>
        </w:tc>
        <w:tc>
          <w:tcPr>
            <w:tcW w:w="2408" w:type="dxa"/>
            <w:tcBorders>
              <w:top w:val="single" w:sz="6" w:space="0" w:color="000000"/>
              <w:left w:val="single" w:sz="8" w:space="0" w:color="000000"/>
              <w:bottom w:val="single" w:sz="6" w:space="0" w:color="000000"/>
              <w:right w:val="single" w:sz="8" w:space="0" w:color="000000"/>
            </w:tcBorders>
            <w:hideMark/>
          </w:tcPr>
          <w:p w:rsidR="000A70A6" w:rsidRPr="001B4655" w:rsidRDefault="000A70A6" w:rsidP="00F06180">
            <w:pPr>
              <w:rPr>
                <w:sz w:val="24"/>
                <w:szCs w:val="24"/>
                <w:lang w:val="es-ES"/>
              </w:rPr>
            </w:pPr>
            <w:r>
              <w:rPr>
                <w:sz w:val="24"/>
                <w:szCs w:val="24"/>
                <w:lang w:val="es-ES"/>
              </w:rPr>
              <w:t>319</w:t>
            </w:r>
            <w:r w:rsidRPr="001B4655">
              <w:rPr>
                <w:sz w:val="24"/>
                <w:szCs w:val="24"/>
                <w:lang w:val="es-ES"/>
              </w:rPr>
              <w:t xml:space="preserve"> </w:t>
            </w:r>
          </w:p>
        </w:tc>
      </w:tr>
      <w:tr w:rsidR="000A70A6" w:rsidRPr="001B4655" w:rsidTr="00F06180">
        <w:trPr>
          <w:trHeight w:val="154"/>
        </w:trPr>
        <w:tc>
          <w:tcPr>
            <w:tcW w:w="4222" w:type="dxa"/>
            <w:tcBorders>
              <w:top w:val="single" w:sz="6" w:space="0" w:color="000000"/>
              <w:left w:val="single" w:sz="8" w:space="0" w:color="000000"/>
              <w:bottom w:val="single" w:sz="8" w:space="0" w:color="000000"/>
              <w:right w:val="single" w:sz="8" w:space="0" w:color="000000"/>
            </w:tcBorders>
            <w:hideMark/>
          </w:tcPr>
          <w:p w:rsidR="000A70A6" w:rsidRPr="001B4655" w:rsidRDefault="000A70A6" w:rsidP="00F06180">
            <w:pPr>
              <w:rPr>
                <w:sz w:val="24"/>
                <w:szCs w:val="24"/>
                <w:lang w:val="es-ES"/>
              </w:rPr>
            </w:pPr>
            <w:r w:rsidRPr="001B4655">
              <w:rPr>
                <w:sz w:val="24"/>
                <w:szCs w:val="24"/>
                <w:lang w:val="es-ES"/>
              </w:rPr>
              <w:t>Relativ risiko</w:t>
            </w:r>
            <w:r w:rsidRPr="001B4655">
              <w:rPr>
                <w:sz w:val="24"/>
                <w:szCs w:val="24"/>
                <w:vertAlign w:val="superscript"/>
                <w:lang w:val="es-ES"/>
              </w:rPr>
              <w:t xml:space="preserve">1 </w:t>
            </w:r>
            <w:r w:rsidRPr="001B4655">
              <w:rPr>
                <w:sz w:val="24"/>
                <w:szCs w:val="24"/>
                <w:lang w:val="es-ES"/>
              </w:rPr>
              <w:t xml:space="preserve">(99% KI) </w:t>
            </w:r>
          </w:p>
        </w:tc>
        <w:tc>
          <w:tcPr>
            <w:tcW w:w="4778" w:type="dxa"/>
            <w:gridSpan w:val="2"/>
            <w:tcBorders>
              <w:top w:val="single" w:sz="6" w:space="0" w:color="000000"/>
              <w:left w:val="single" w:sz="8" w:space="0" w:color="000000"/>
              <w:bottom w:val="single" w:sz="8" w:space="0" w:color="000000"/>
              <w:right w:val="single" w:sz="8" w:space="0" w:color="000000"/>
            </w:tcBorders>
            <w:hideMark/>
          </w:tcPr>
          <w:p w:rsidR="000A70A6" w:rsidRPr="001B4655" w:rsidRDefault="000A70A6" w:rsidP="00F06180">
            <w:pPr>
              <w:rPr>
                <w:sz w:val="24"/>
                <w:szCs w:val="24"/>
                <w:lang w:val="es-ES"/>
              </w:rPr>
            </w:pPr>
            <w:r>
              <w:rPr>
                <w:sz w:val="24"/>
                <w:szCs w:val="24"/>
                <w:lang w:val="es-ES"/>
              </w:rPr>
              <w:t>1,04 (0,85; 1,27</w:t>
            </w:r>
            <w:r w:rsidRPr="001B4655">
              <w:rPr>
                <w:sz w:val="24"/>
                <w:szCs w:val="24"/>
                <w:lang w:val="es-ES"/>
              </w:rPr>
              <w:t xml:space="preserve">) </w:t>
            </w:r>
          </w:p>
        </w:tc>
      </w:tr>
      <w:tr w:rsidR="000A70A6" w:rsidRPr="001B4655" w:rsidTr="00F06180">
        <w:trPr>
          <w:trHeight w:val="284"/>
        </w:trPr>
        <w:tc>
          <w:tcPr>
            <w:tcW w:w="4225" w:type="dxa"/>
            <w:tcBorders>
              <w:top w:val="single" w:sz="8" w:space="0" w:color="000000"/>
              <w:left w:val="single" w:sz="8" w:space="0" w:color="000000"/>
              <w:bottom w:val="single" w:sz="8" w:space="0" w:color="000000"/>
              <w:right w:val="single" w:sz="4" w:space="0" w:color="auto"/>
            </w:tcBorders>
          </w:tcPr>
          <w:p w:rsidR="000A70A6" w:rsidRPr="001B4655" w:rsidRDefault="000A70A6" w:rsidP="00F06180">
            <w:pPr>
              <w:rPr>
                <w:sz w:val="24"/>
                <w:szCs w:val="24"/>
                <w:lang w:val="es-ES"/>
              </w:rPr>
            </w:pPr>
          </w:p>
        </w:tc>
        <w:tc>
          <w:tcPr>
            <w:tcW w:w="2367" w:type="dxa"/>
            <w:tcBorders>
              <w:top w:val="single" w:sz="8" w:space="0" w:color="000000"/>
              <w:left w:val="single" w:sz="4" w:space="0" w:color="auto"/>
              <w:bottom w:val="single" w:sz="8" w:space="0" w:color="000000"/>
              <w:right w:val="single" w:sz="8" w:space="0" w:color="000000"/>
            </w:tcBorders>
            <w:hideMark/>
          </w:tcPr>
          <w:p w:rsidR="000A70A6" w:rsidRPr="001B4655" w:rsidRDefault="000A70A6" w:rsidP="00F06180">
            <w:pPr>
              <w:rPr>
                <w:sz w:val="24"/>
                <w:szCs w:val="24"/>
                <w:lang w:val="es-ES"/>
              </w:rPr>
            </w:pPr>
            <w:r w:rsidRPr="001B4655">
              <w:rPr>
                <w:b/>
                <w:bCs/>
                <w:sz w:val="24"/>
                <w:szCs w:val="24"/>
                <w:lang w:val="es-ES"/>
              </w:rPr>
              <w:t>Letrozol → Tamoxifen</w:t>
            </w:r>
          </w:p>
        </w:tc>
        <w:tc>
          <w:tcPr>
            <w:tcW w:w="2408" w:type="dxa"/>
            <w:tcBorders>
              <w:top w:val="single" w:sz="8" w:space="0" w:color="000000"/>
              <w:left w:val="single" w:sz="8" w:space="0" w:color="000000"/>
              <w:bottom w:val="single" w:sz="8" w:space="0" w:color="000000"/>
              <w:right w:val="single" w:sz="8" w:space="0" w:color="000000"/>
            </w:tcBorders>
            <w:hideMark/>
          </w:tcPr>
          <w:p w:rsidR="000A70A6" w:rsidRPr="001B4655" w:rsidRDefault="000A70A6" w:rsidP="00F06180">
            <w:pPr>
              <w:rPr>
                <w:sz w:val="24"/>
                <w:szCs w:val="24"/>
                <w:lang w:val="es-ES"/>
              </w:rPr>
            </w:pPr>
            <w:r w:rsidRPr="001B4655">
              <w:rPr>
                <w:b/>
                <w:bCs/>
                <w:sz w:val="24"/>
                <w:szCs w:val="24"/>
                <w:lang w:val="es-ES"/>
              </w:rPr>
              <w:t>Tamoxifen</w:t>
            </w:r>
            <w:r w:rsidRPr="001B4655">
              <w:rPr>
                <w:b/>
                <w:bCs/>
                <w:sz w:val="24"/>
                <w:szCs w:val="24"/>
                <w:vertAlign w:val="superscript"/>
                <w:lang w:val="es-ES"/>
              </w:rPr>
              <w:t xml:space="preserve">2 </w:t>
            </w:r>
          </w:p>
        </w:tc>
      </w:tr>
      <w:tr w:rsidR="000A70A6" w:rsidRPr="001B4655" w:rsidTr="00F06180">
        <w:trPr>
          <w:trHeight w:val="144"/>
        </w:trPr>
        <w:tc>
          <w:tcPr>
            <w:tcW w:w="4222" w:type="dxa"/>
            <w:tcBorders>
              <w:top w:val="single" w:sz="8" w:space="0" w:color="000000"/>
              <w:left w:val="single" w:sz="8" w:space="0" w:color="000000"/>
              <w:bottom w:val="single" w:sz="6" w:space="0" w:color="000000"/>
              <w:right w:val="single" w:sz="4" w:space="0" w:color="auto"/>
            </w:tcBorders>
            <w:hideMark/>
          </w:tcPr>
          <w:p w:rsidR="000A70A6" w:rsidRPr="001B4655" w:rsidRDefault="000A70A6" w:rsidP="00F06180">
            <w:pPr>
              <w:rPr>
                <w:sz w:val="24"/>
                <w:szCs w:val="24"/>
                <w:lang w:val="es-ES"/>
              </w:rPr>
            </w:pPr>
            <w:r w:rsidRPr="001B4655">
              <w:rPr>
                <w:sz w:val="24"/>
                <w:szCs w:val="24"/>
                <w:lang w:val="es-ES"/>
              </w:rPr>
              <w:t xml:space="preserve">Antal patienter </w:t>
            </w:r>
          </w:p>
        </w:tc>
        <w:tc>
          <w:tcPr>
            <w:tcW w:w="2370" w:type="dxa"/>
            <w:tcBorders>
              <w:top w:val="single" w:sz="8" w:space="0" w:color="000000"/>
              <w:left w:val="single" w:sz="4" w:space="0" w:color="auto"/>
              <w:bottom w:val="single" w:sz="6" w:space="0" w:color="000000"/>
              <w:right w:val="single" w:sz="8" w:space="0" w:color="000000"/>
            </w:tcBorders>
            <w:hideMark/>
          </w:tcPr>
          <w:p w:rsidR="000A70A6" w:rsidRPr="001B4655" w:rsidRDefault="000A70A6" w:rsidP="00F06180">
            <w:pPr>
              <w:rPr>
                <w:sz w:val="24"/>
                <w:szCs w:val="24"/>
                <w:lang w:val="es-ES"/>
              </w:rPr>
            </w:pPr>
            <w:r w:rsidRPr="001B4655">
              <w:rPr>
                <w:sz w:val="24"/>
                <w:szCs w:val="24"/>
                <w:lang w:val="es-ES"/>
              </w:rPr>
              <w:t xml:space="preserve">1.540 </w:t>
            </w:r>
          </w:p>
        </w:tc>
        <w:tc>
          <w:tcPr>
            <w:tcW w:w="2408" w:type="dxa"/>
            <w:tcBorders>
              <w:top w:val="single" w:sz="8" w:space="0" w:color="000000"/>
              <w:left w:val="single" w:sz="8" w:space="0" w:color="000000"/>
              <w:bottom w:val="single" w:sz="6" w:space="0" w:color="000000"/>
              <w:right w:val="single" w:sz="8" w:space="0" w:color="000000"/>
            </w:tcBorders>
            <w:hideMark/>
          </w:tcPr>
          <w:p w:rsidR="000A70A6" w:rsidRPr="001B4655" w:rsidRDefault="000A70A6" w:rsidP="00F06180">
            <w:pPr>
              <w:rPr>
                <w:sz w:val="24"/>
                <w:szCs w:val="24"/>
                <w:lang w:val="es-ES"/>
              </w:rPr>
            </w:pPr>
            <w:r w:rsidRPr="001B4655">
              <w:rPr>
                <w:sz w:val="24"/>
                <w:szCs w:val="24"/>
                <w:lang w:val="es-ES"/>
              </w:rPr>
              <w:t xml:space="preserve">1.548 </w:t>
            </w:r>
          </w:p>
        </w:tc>
      </w:tr>
      <w:tr w:rsidR="000A70A6" w:rsidRPr="001B4655" w:rsidTr="00F06180">
        <w:trPr>
          <w:trHeight w:val="144"/>
        </w:trPr>
        <w:tc>
          <w:tcPr>
            <w:tcW w:w="4222" w:type="dxa"/>
            <w:tcBorders>
              <w:top w:val="single" w:sz="6" w:space="0" w:color="000000"/>
              <w:left w:val="single" w:sz="8" w:space="0" w:color="000000"/>
              <w:bottom w:val="single" w:sz="6" w:space="0" w:color="000000"/>
              <w:right w:val="single" w:sz="8" w:space="0" w:color="000000"/>
            </w:tcBorders>
            <w:hideMark/>
          </w:tcPr>
          <w:p w:rsidR="000A70A6" w:rsidRPr="00046FED" w:rsidRDefault="000A70A6" w:rsidP="00F06180">
            <w:pPr>
              <w:rPr>
                <w:sz w:val="24"/>
                <w:szCs w:val="24"/>
              </w:rPr>
            </w:pPr>
            <w:r w:rsidRPr="00046FED">
              <w:rPr>
                <w:sz w:val="24"/>
                <w:szCs w:val="24"/>
              </w:rPr>
              <w:t xml:space="preserve">Antal patienter med DFS-hændelser (protokol-definition) </w:t>
            </w:r>
          </w:p>
        </w:tc>
        <w:tc>
          <w:tcPr>
            <w:tcW w:w="2370" w:type="dxa"/>
            <w:tcBorders>
              <w:top w:val="single" w:sz="6" w:space="0" w:color="000000"/>
              <w:left w:val="single" w:sz="8" w:space="0" w:color="000000"/>
              <w:bottom w:val="single" w:sz="6" w:space="0" w:color="000000"/>
              <w:right w:val="single" w:sz="8" w:space="0" w:color="000000"/>
            </w:tcBorders>
            <w:hideMark/>
          </w:tcPr>
          <w:p w:rsidR="000A70A6" w:rsidRPr="001B4655" w:rsidRDefault="000A70A6" w:rsidP="00F06180">
            <w:pPr>
              <w:rPr>
                <w:sz w:val="24"/>
                <w:szCs w:val="24"/>
                <w:lang w:val="es-ES"/>
              </w:rPr>
            </w:pPr>
            <w:r>
              <w:rPr>
                <w:sz w:val="24"/>
                <w:szCs w:val="24"/>
                <w:lang w:val="es-ES"/>
              </w:rPr>
              <w:t>330</w:t>
            </w:r>
            <w:r w:rsidRPr="001B4655">
              <w:rPr>
                <w:sz w:val="24"/>
                <w:szCs w:val="24"/>
                <w:lang w:val="es-ES"/>
              </w:rPr>
              <w:t xml:space="preserve"> </w:t>
            </w:r>
          </w:p>
        </w:tc>
        <w:tc>
          <w:tcPr>
            <w:tcW w:w="2408" w:type="dxa"/>
            <w:tcBorders>
              <w:top w:val="single" w:sz="6" w:space="0" w:color="000000"/>
              <w:left w:val="single" w:sz="8" w:space="0" w:color="000000"/>
              <w:bottom w:val="single" w:sz="6" w:space="0" w:color="000000"/>
              <w:right w:val="single" w:sz="8" w:space="0" w:color="000000"/>
            </w:tcBorders>
            <w:hideMark/>
          </w:tcPr>
          <w:p w:rsidR="000A70A6" w:rsidRPr="001B4655" w:rsidRDefault="000A70A6" w:rsidP="00F06180">
            <w:pPr>
              <w:rPr>
                <w:sz w:val="24"/>
                <w:szCs w:val="24"/>
                <w:lang w:val="es-ES"/>
              </w:rPr>
            </w:pPr>
            <w:r>
              <w:rPr>
                <w:sz w:val="24"/>
                <w:szCs w:val="24"/>
                <w:lang w:val="es-ES"/>
              </w:rPr>
              <w:t>353</w:t>
            </w:r>
            <w:r w:rsidRPr="001B4655">
              <w:rPr>
                <w:sz w:val="24"/>
                <w:szCs w:val="24"/>
                <w:lang w:val="es-ES"/>
              </w:rPr>
              <w:t xml:space="preserve"> </w:t>
            </w:r>
          </w:p>
        </w:tc>
      </w:tr>
      <w:tr w:rsidR="000A70A6" w:rsidRPr="001B4655" w:rsidTr="00F06180">
        <w:trPr>
          <w:trHeight w:val="154"/>
        </w:trPr>
        <w:tc>
          <w:tcPr>
            <w:tcW w:w="4222" w:type="dxa"/>
            <w:tcBorders>
              <w:top w:val="single" w:sz="6" w:space="0" w:color="000000"/>
              <w:left w:val="single" w:sz="8" w:space="0" w:color="000000"/>
              <w:bottom w:val="single" w:sz="8" w:space="0" w:color="000000"/>
              <w:right w:val="single" w:sz="8" w:space="0" w:color="000000"/>
            </w:tcBorders>
            <w:hideMark/>
          </w:tcPr>
          <w:p w:rsidR="000A70A6" w:rsidRPr="001B4655" w:rsidRDefault="000A70A6" w:rsidP="00F06180">
            <w:pPr>
              <w:rPr>
                <w:sz w:val="24"/>
                <w:szCs w:val="24"/>
                <w:lang w:val="es-ES"/>
              </w:rPr>
            </w:pPr>
            <w:r w:rsidRPr="001B4655">
              <w:rPr>
                <w:sz w:val="24"/>
                <w:szCs w:val="24"/>
                <w:lang w:val="es-ES"/>
              </w:rPr>
              <w:t>Relativ risiko</w:t>
            </w:r>
            <w:r w:rsidRPr="001B4655">
              <w:rPr>
                <w:sz w:val="24"/>
                <w:szCs w:val="24"/>
                <w:vertAlign w:val="superscript"/>
                <w:lang w:val="es-ES"/>
              </w:rPr>
              <w:t xml:space="preserve">1 </w:t>
            </w:r>
            <w:r w:rsidRPr="001B4655">
              <w:rPr>
                <w:sz w:val="24"/>
                <w:szCs w:val="24"/>
                <w:lang w:val="es-ES"/>
              </w:rPr>
              <w:t xml:space="preserve">(99% KI) </w:t>
            </w:r>
          </w:p>
        </w:tc>
        <w:tc>
          <w:tcPr>
            <w:tcW w:w="4778" w:type="dxa"/>
            <w:gridSpan w:val="2"/>
            <w:tcBorders>
              <w:top w:val="single" w:sz="6" w:space="0" w:color="000000"/>
              <w:left w:val="single" w:sz="8" w:space="0" w:color="000000"/>
              <w:bottom w:val="single" w:sz="8" w:space="0" w:color="000000"/>
              <w:right w:val="single" w:sz="8" w:space="0" w:color="000000"/>
            </w:tcBorders>
            <w:hideMark/>
          </w:tcPr>
          <w:p w:rsidR="000A70A6" w:rsidRPr="001B4655" w:rsidRDefault="000A70A6" w:rsidP="00F06180">
            <w:pPr>
              <w:rPr>
                <w:sz w:val="24"/>
                <w:szCs w:val="24"/>
                <w:lang w:val="es-ES"/>
              </w:rPr>
            </w:pPr>
            <w:r>
              <w:rPr>
                <w:sz w:val="24"/>
                <w:szCs w:val="24"/>
                <w:lang w:val="es-ES"/>
              </w:rPr>
              <w:t>0,92 (0,75; 1,12</w:t>
            </w:r>
            <w:r w:rsidRPr="001B4655">
              <w:rPr>
                <w:sz w:val="24"/>
                <w:szCs w:val="24"/>
                <w:lang w:val="es-ES"/>
              </w:rPr>
              <w:t xml:space="preserve">) </w:t>
            </w:r>
          </w:p>
        </w:tc>
      </w:tr>
      <w:tr w:rsidR="000A70A6" w:rsidRPr="001B4655" w:rsidTr="00F06180">
        <w:trPr>
          <w:trHeight w:val="408"/>
        </w:trPr>
        <w:tc>
          <w:tcPr>
            <w:tcW w:w="9000" w:type="dxa"/>
            <w:gridSpan w:val="3"/>
            <w:tcBorders>
              <w:top w:val="single" w:sz="8" w:space="0" w:color="000000"/>
              <w:left w:val="single" w:sz="8" w:space="0" w:color="000000"/>
              <w:bottom w:val="single" w:sz="6" w:space="0" w:color="000000"/>
              <w:right w:val="single" w:sz="8" w:space="0" w:color="000000"/>
            </w:tcBorders>
            <w:hideMark/>
          </w:tcPr>
          <w:p w:rsidR="000A70A6" w:rsidRPr="001B4655" w:rsidRDefault="000A70A6" w:rsidP="00F06180">
            <w:pPr>
              <w:rPr>
                <w:sz w:val="24"/>
                <w:szCs w:val="24"/>
              </w:rPr>
            </w:pPr>
            <w:r w:rsidRPr="001B4655">
              <w:rPr>
                <w:sz w:val="24"/>
                <w:szCs w:val="24"/>
                <w:vertAlign w:val="superscript"/>
              </w:rPr>
              <w:t xml:space="preserve">1 </w:t>
            </w:r>
            <w:r w:rsidRPr="001B4655">
              <w:rPr>
                <w:sz w:val="24"/>
                <w:szCs w:val="24"/>
              </w:rPr>
              <w:t xml:space="preserve">Justeret for brug af kemoterapi </w:t>
            </w:r>
          </w:p>
          <w:p w:rsidR="000A70A6" w:rsidRPr="001B4655" w:rsidRDefault="000A70A6" w:rsidP="00F06180">
            <w:pPr>
              <w:rPr>
                <w:sz w:val="24"/>
                <w:szCs w:val="24"/>
              </w:rPr>
            </w:pPr>
            <w:r w:rsidRPr="001B4655">
              <w:rPr>
                <w:sz w:val="24"/>
                <w:szCs w:val="24"/>
                <w:vertAlign w:val="superscript"/>
              </w:rPr>
              <w:t xml:space="preserve">2 </w:t>
            </w:r>
            <w:r>
              <w:rPr>
                <w:sz w:val="24"/>
                <w:szCs w:val="24"/>
              </w:rPr>
              <w:t>626</w:t>
            </w:r>
            <w:r w:rsidRPr="001B4655">
              <w:rPr>
                <w:sz w:val="24"/>
                <w:szCs w:val="24"/>
              </w:rPr>
              <w:t xml:space="preserve"> (40%) patienter, som selektivt blev krydset over til </w:t>
            </w:r>
            <w:proofErr w:type="spellStart"/>
            <w:r w:rsidRPr="001B4655">
              <w:rPr>
                <w:sz w:val="24"/>
                <w:szCs w:val="24"/>
              </w:rPr>
              <w:t>letrozol</w:t>
            </w:r>
            <w:proofErr w:type="spellEnd"/>
            <w:r w:rsidRPr="001B4655">
              <w:rPr>
                <w:sz w:val="24"/>
                <w:szCs w:val="24"/>
              </w:rPr>
              <w:t xml:space="preserve">, efter </w:t>
            </w:r>
            <w:proofErr w:type="spellStart"/>
            <w:r w:rsidRPr="001B4655">
              <w:rPr>
                <w:sz w:val="24"/>
                <w:szCs w:val="24"/>
              </w:rPr>
              <w:t>tamoxifen</w:t>
            </w:r>
            <w:proofErr w:type="spellEnd"/>
            <w:r w:rsidRPr="001B4655">
              <w:rPr>
                <w:sz w:val="24"/>
                <w:szCs w:val="24"/>
              </w:rPr>
              <w:t xml:space="preserve">-armen blev </w:t>
            </w:r>
            <w:proofErr w:type="spellStart"/>
            <w:r w:rsidRPr="001B4655">
              <w:rPr>
                <w:sz w:val="24"/>
                <w:szCs w:val="24"/>
              </w:rPr>
              <w:t>afblindet</w:t>
            </w:r>
            <w:proofErr w:type="spellEnd"/>
            <w:r w:rsidRPr="001B4655">
              <w:rPr>
                <w:sz w:val="24"/>
                <w:szCs w:val="24"/>
              </w:rPr>
              <w:t xml:space="preserve"> i 2005. </w:t>
            </w:r>
          </w:p>
        </w:tc>
      </w:tr>
    </w:tbl>
    <w:p w:rsidR="000A70A6" w:rsidRPr="001B4655" w:rsidRDefault="000A70A6" w:rsidP="000A70A6">
      <w:pPr>
        <w:tabs>
          <w:tab w:val="left" w:pos="851"/>
        </w:tabs>
        <w:ind w:left="851" w:hanging="851"/>
        <w:rPr>
          <w:b/>
          <w:bCs/>
          <w:sz w:val="24"/>
          <w:szCs w:val="24"/>
        </w:rPr>
      </w:pPr>
    </w:p>
    <w:p w:rsidR="000A70A6" w:rsidRPr="008D163D" w:rsidRDefault="000A70A6" w:rsidP="000A70A6">
      <w:pPr>
        <w:tabs>
          <w:tab w:val="left" w:pos="851"/>
        </w:tabs>
        <w:ind w:left="851" w:hanging="851"/>
        <w:rPr>
          <w:sz w:val="24"/>
          <w:szCs w:val="24"/>
          <w:u w:val="single"/>
        </w:rPr>
      </w:pPr>
      <w:r w:rsidRPr="008D163D">
        <w:rPr>
          <w:iCs/>
          <w:sz w:val="24"/>
          <w:szCs w:val="24"/>
        </w:rPr>
        <w:tab/>
      </w:r>
      <w:r w:rsidRPr="008D163D">
        <w:rPr>
          <w:i/>
          <w:iCs/>
          <w:sz w:val="24"/>
          <w:szCs w:val="24"/>
          <w:u w:val="single"/>
        </w:rPr>
        <w:t xml:space="preserve">Studie D2407 </w:t>
      </w: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Studie D2407 er et åbent, randomiseret multicenter-studie designet som et fase 4-sikkerhedsstudie med henblik på at sammenligne effekten af </w:t>
      </w:r>
      <w:proofErr w:type="spellStart"/>
      <w:r w:rsidRPr="001B4655">
        <w:rPr>
          <w:sz w:val="24"/>
          <w:szCs w:val="24"/>
        </w:rPr>
        <w:t>adjuverende</w:t>
      </w:r>
      <w:proofErr w:type="spellEnd"/>
      <w:r w:rsidRPr="001B4655">
        <w:rPr>
          <w:sz w:val="24"/>
          <w:szCs w:val="24"/>
        </w:rPr>
        <w:t xml:space="preserve"> behandling med </w:t>
      </w:r>
      <w:proofErr w:type="spellStart"/>
      <w:r w:rsidRPr="001B4655">
        <w:rPr>
          <w:sz w:val="24"/>
          <w:szCs w:val="24"/>
        </w:rPr>
        <w:t>letrozol</w:t>
      </w:r>
      <w:proofErr w:type="spellEnd"/>
      <w:r w:rsidRPr="001B4655">
        <w:rPr>
          <w:sz w:val="24"/>
          <w:szCs w:val="24"/>
        </w:rPr>
        <w:t xml:space="preserve"> og </w:t>
      </w:r>
      <w:proofErr w:type="spellStart"/>
      <w:r w:rsidRPr="001B4655">
        <w:rPr>
          <w:sz w:val="24"/>
          <w:szCs w:val="24"/>
        </w:rPr>
        <w:t>tamoxifen</w:t>
      </w:r>
      <w:proofErr w:type="spellEnd"/>
      <w:r w:rsidRPr="001B4655">
        <w:rPr>
          <w:sz w:val="24"/>
          <w:szCs w:val="24"/>
        </w:rPr>
        <w:t xml:space="preserve"> på knoglemineraltæthed (BMD) og serumlipidprofil. Totalt 262 patienter fik enten </w:t>
      </w:r>
      <w:proofErr w:type="spellStart"/>
      <w:r w:rsidRPr="001B4655">
        <w:rPr>
          <w:sz w:val="24"/>
          <w:szCs w:val="24"/>
        </w:rPr>
        <w:t>letrozol</w:t>
      </w:r>
      <w:proofErr w:type="spellEnd"/>
      <w:r w:rsidRPr="001B4655">
        <w:rPr>
          <w:sz w:val="24"/>
          <w:szCs w:val="24"/>
        </w:rPr>
        <w:t xml:space="preserve"> i 5 år eller </w:t>
      </w:r>
      <w:proofErr w:type="spellStart"/>
      <w:r w:rsidRPr="001B4655">
        <w:rPr>
          <w:sz w:val="24"/>
          <w:szCs w:val="24"/>
        </w:rPr>
        <w:t>tamoxifen</w:t>
      </w:r>
      <w:proofErr w:type="spellEnd"/>
      <w:r w:rsidRPr="001B4655">
        <w:rPr>
          <w:sz w:val="24"/>
          <w:szCs w:val="24"/>
        </w:rPr>
        <w:t xml:space="preserve"> i 2 år efterfulgt af </w:t>
      </w:r>
      <w:proofErr w:type="spellStart"/>
      <w:r w:rsidRPr="001B4655">
        <w:rPr>
          <w:sz w:val="24"/>
          <w:szCs w:val="24"/>
        </w:rPr>
        <w:t>letrozol</w:t>
      </w:r>
      <w:proofErr w:type="spellEnd"/>
      <w:r w:rsidRPr="001B4655">
        <w:rPr>
          <w:sz w:val="24"/>
          <w:szCs w:val="24"/>
        </w:rPr>
        <w:t xml:space="preserve"> i 3 år.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Efter 24 måneder var der statistisk signifikant forskel på det primære endepunkt. BMD i lændehvirvlerne (L2-L4) viste et </w:t>
      </w:r>
      <w:proofErr w:type="spellStart"/>
      <w:r w:rsidRPr="001B4655">
        <w:rPr>
          <w:sz w:val="24"/>
          <w:szCs w:val="24"/>
        </w:rPr>
        <w:t>mediant</w:t>
      </w:r>
      <w:proofErr w:type="spellEnd"/>
      <w:r w:rsidRPr="001B4655">
        <w:rPr>
          <w:sz w:val="24"/>
          <w:szCs w:val="24"/>
        </w:rPr>
        <w:t xml:space="preserve"> fald på 4,1% for </w:t>
      </w:r>
      <w:proofErr w:type="spellStart"/>
      <w:r w:rsidRPr="001B4655">
        <w:rPr>
          <w:sz w:val="24"/>
          <w:szCs w:val="24"/>
        </w:rPr>
        <w:t>letrozol</w:t>
      </w:r>
      <w:proofErr w:type="spellEnd"/>
      <w:r w:rsidRPr="001B4655">
        <w:rPr>
          <w:sz w:val="24"/>
          <w:szCs w:val="24"/>
        </w:rPr>
        <w:t xml:space="preserve"> sammenlignet med en median øgning på 0,3% for </w:t>
      </w:r>
      <w:proofErr w:type="spellStart"/>
      <w:r w:rsidRPr="001B4655">
        <w:rPr>
          <w:sz w:val="24"/>
          <w:szCs w:val="24"/>
        </w:rPr>
        <w:t>tamoxifen</w:t>
      </w:r>
      <w:proofErr w:type="spellEnd"/>
      <w:r w:rsidRPr="001B4655">
        <w:rPr>
          <w:sz w:val="24"/>
          <w:szCs w:val="24"/>
        </w:rPr>
        <w:t xml:space="preserve">.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lastRenderedPageBreak/>
        <w:tab/>
      </w:r>
      <w:r w:rsidRPr="001B4655">
        <w:rPr>
          <w:sz w:val="24"/>
          <w:szCs w:val="24"/>
        </w:rPr>
        <w:t xml:space="preserve">Ingen patienter med normal BMD ved studiestart blev </w:t>
      </w:r>
      <w:proofErr w:type="spellStart"/>
      <w:r w:rsidRPr="001B4655">
        <w:rPr>
          <w:sz w:val="24"/>
          <w:szCs w:val="24"/>
        </w:rPr>
        <w:t>osteoporotiske</w:t>
      </w:r>
      <w:proofErr w:type="spellEnd"/>
      <w:r w:rsidRPr="001B4655">
        <w:rPr>
          <w:sz w:val="24"/>
          <w:szCs w:val="24"/>
        </w:rPr>
        <w:t xml:space="preserve"> under de 2 års behandling, og kun 1 patient med </w:t>
      </w:r>
      <w:proofErr w:type="spellStart"/>
      <w:r w:rsidRPr="001B4655">
        <w:rPr>
          <w:sz w:val="24"/>
          <w:szCs w:val="24"/>
        </w:rPr>
        <w:t>osteopeni</w:t>
      </w:r>
      <w:proofErr w:type="spellEnd"/>
      <w:r w:rsidRPr="001B4655">
        <w:rPr>
          <w:sz w:val="24"/>
          <w:szCs w:val="24"/>
        </w:rPr>
        <w:t xml:space="preserve"> ved studiestart (T-score på -1,9) udviklede osteoporose i behandlingsperioden (bedømt ved central gennemgang).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Resultaterne for total hofte-BMD var sammenlignelige med BMD for lændehvirvlerne, men mindre udtalte.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Der var ingen signifikant forskel på frakturraten mellem behandlingerne – 15% i </w:t>
      </w:r>
      <w:proofErr w:type="spellStart"/>
      <w:r w:rsidRPr="001B4655">
        <w:rPr>
          <w:sz w:val="24"/>
          <w:szCs w:val="24"/>
        </w:rPr>
        <w:t>letrozol</w:t>
      </w:r>
      <w:proofErr w:type="spellEnd"/>
      <w:r w:rsidRPr="001B4655">
        <w:rPr>
          <w:sz w:val="24"/>
          <w:szCs w:val="24"/>
        </w:rPr>
        <w:t xml:space="preserve">-armen og 17% i </w:t>
      </w:r>
      <w:proofErr w:type="spellStart"/>
      <w:r w:rsidRPr="001B4655">
        <w:rPr>
          <w:sz w:val="24"/>
          <w:szCs w:val="24"/>
        </w:rPr>
        <w:t>tamoxifen</w:t>
      </w:r>
      <w:proofErr w:type="spellEnd"/>
      <w:r w:rsidRPr="001B4655">
        <w:rPr>
          <w:sz w:val="24"/>
          <w:szCs w:val="24"/>
        </w:rPr>
        <w:t xml:space="preserve">-armen.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Den </w:t>
      </w:r>
      <w:proofErr w:type="spellStart"/>
      <w:r w:rsidRPr="001B4655">
        <w:rPr>
          <w:sz w:val="24"/>
          <w:szCs w:val="24"/>
        </w:rPr>
        <w:t>mediane</w:t>
      </w:r>
      <w:proofErr w:type="spellEnd"/>
      <w:r w:rsidRPr="001B4655">
        <w:rPr>
          <w:sz w:val="24"/>
          <w:szCs w:val="24"/>
        </w:rPr>
        <w:t xml:space="preserve"> total-kolesterolværdi i </w:t>
      </w:r>
      <w:proofErr w:type="spellStart"/>
      <w:r w:rsidRPr="001B4655">
        <w:rPr>
          <w:sz w:val="24"/>
          <w:szCs w:val="24"/>
        </w:rPr>
        <w:t>tamoxifen</w:t>
      </w:r>
      <w:proofErr w:type="spellEnd"/>
      <w:r w:rsidRPr="001B4655">
        <w:rPr>
          <w:sz w:val="24"/>
          <w:szCs w:val="24"/>
        </w:rPr>
        <w:t xml:space="preserve">-armen blev nedsat med 16% efter 6 måneder sammenlignet med </w:t>
      </w:r>
      <w:r w:rsidRPr="001B4655">
        <w:rPr>
          <w:i/>
          <w:iCs/>
          <w:sz w:val="24"/>
          <w:szCs w:val="24"/>
        </w:rPr>
        <w:t xml:space="preserve">baseline, </w:t>
      </w:r>
      <w:r w:rsidRPr="001B4655">
        <w:rPr>
          <w:sz w:val="24"/>
          <w:szCs w:val="24"/>
        </w:rPr>
        <w:t xml:space="preserve">og dette fald blev opretholdt ved de efterfølgende besøg indtil 24 måneder. I </w:t>
      </w:r>
      <w:proofErr w:type="spellStart"/>
      <w:r w:rsidRPr="001B4655">
        <w:rPr>
          <w:sz w:val="24"/>
          <w:szCs w:val="24"/>
        </w:rPr>
        <w:t>letrozol</w:t>
      </w:r>
      <w:proofErr w:type="spellEnd"/>
      <w:r w:rsidRPr="001B4655">
        <w:rPr>
          <w:sz w:val="24"/>
          <w:szCs w:val="24"/>
        </w:rPr>
        <w:t xml:space="preserve">-armen var total-kolesterolværdien relativt stabil over tid, hvilket giver en statistisk signifikant forskel til fordel for </w:t>
      </w:r>
      <w:proofErr w:type="spellStart"/>
      <w:r w:rsidRPr="001B4655">
        <w:rPr>
          <w:sz w:val="24"/>
          <w:szCs w:val="24"/>
        </w:rPr>
        <w:t>tamoxifen</w:t>
      </w:r>
      <w:proofErr w:type="spellEnd"/>
      <w:r w:rsidRPr="001B4655">
        <w:rPr>
          <w:sz w:val="24"/>
          <w:szCs w:val="24"/>
        </w:rPr>
        <w:t xml:space="preserve"> på ethvert tidspunkt. </w:t>
      </w:r>
    </w:p>
    <w:p w:rsidR="000A70A6" w:rsidRPr="001B4655" w:rsidRDefault="000A70A6" w:rsidP="000A70A6">
      <w:pPr>
        <w:tabs>
          <w:tab w:val="left" w:pos="851"/>
        </w:tabs>
        <w:ind w:left="851" w:hanging="851"/>
        <w:rPr>
          <w:sz w:val="24"/>
          <w:szCs w:val="24"/>
        </w:rPr>
      </w:pPr>
    </w:p>
    <w:p w:rsidR="000A70A6" w:rsidRPr="008D163D" w:rsidRDefault="000A70A6" w:rsidP="000A70A6">
      <w:pPr>
        <w:tabs>
          <w:tab w:val="left" w:pos="851"/>
        </w:tabs>
        <w:ind w:left="851" w:hanging="851"/>
        <w:rPr>
          <w:sz w:val="24"/>
          <w:szCs w:val="24"/>
        </w:rPr>
      </w:pPr>
      <w:r w:rsidRPr="008D163D">
        <w:rPr>
          <w:iCs/>
          <w:sz w:val="24"/>
          <w:szCs w:val="24"/>
        </w:rPr>
        <w:tab/>
      </w:r>
      <w:r w:rsidRPr="008D163D">
        <w:rPr>
          <w:i/>
          <w:iCs/>
          <w:sz w:val="24"/>
          <w:szCs w:val="24"/>
        </w:rPr>
        <w:t xml:space="preserve">Forlænget </w:t>
      </w:r>
      <w:proofErr w:type="spellStart"/>
      <w:r w:rsidRPr="008D163D">
        <w:rPr>
          <w:i/>
          <w:iCs/>
          <w:sz w:val="24"/>
          <w:szCs w:val="24"/>
        </w:rPr>
        <w:t>adjuverende</w:t>
      </w:r>
      <w:proofErr w:type="spellEnd"/>
      <w:r w:rsidRPr="008D163D">
        <w:rPr>
          <w:i/>
          <w:iCs/>
          <w:sz w:val="24"/>
          <w:szCs w:val="24"/>
        </w:rPr>
        <w:t xml:space="preserve"> behandling (MA-17) </w:t>
      </w: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I et multicenter, dobbelt-blindet, randomiseret, placebokontrolleret studie (MA-17) blev over 5.100 </w:t>
      </w:r>
      <w:proofErr w:type="spellStart"/>
      <w:r w:rsidRPr="001B4655">
        <w:rPr>
          <w:sz w:val="24"/>
          <w:szCs w:val="24"/>
        </w:rPr>
        <w:t>postmenopausale</w:t>
      </w:r>
      <w:proofErr w:type="spellEnd"/>
      <w:r w:rsidRPr="001B4655">
        <w:rPr>
          <w:sz w:val="24"/>
          <w:szCs w:val="24"/>
        </w:rPr>
        <w:t xml:space="preserve"> kvinder med receptor-positiv brystcancer eller ukendt primær brystcancer, som havde gennemført </w:t>
      </w:r>
      <w:proofErr w:type="spellStart"/>
      <w:r w:rsidRPr="001B4655">
        <w:rPr>
          <w:sz w:val="24"/>
          <w:szCs w:val="24"/>
        </w:rPr>
        <w:t>adjuverende</w:t>
      </w:r>
      <w:proofErr w:type="spellEnd"/>
      <w:r w:rsidRPr="001B4655">
        <w:rPr>
          <w:sz w:val="24"/>
          <w:szCs w:val="24"/>
        </w:rPr>
        <w:t xml:space="preserve"> behandling med </w:t>
      </w:r>
      <w:proofErr w:type="spellStart"/>
      <w:r w:rsidRPr="001B4655">
        <w:rPr>
          <w:sz w:val="24"/>
          <w:szCs w:val="24"/>
        </w:rPr>
        <w:t>tamoxifen</w:t>
      </w:r>
      <w:proofErr w:type="spellEnd"/>
      <w:r w:rsidRPr="001B4655">
        <w:rPr>
          <w:sz w:val="24"/>
          <w:szCs w:val="24"/>
        </w:rPr>
        <w:t xml:space="preserve"> (4,5-6 år), randomiseret til </w:t>
      </w:r>
      <w:proofErr w:type="spellStart"/>
      <w:r>
        <w:rPr>
          <w:sz w:val="24"/>
          <w:szCs w:val="24"/>
        </w:rPr>
        <w:t>l</w:t>
      </w:r>
      <w:r w:rsidRPr="001B4655">
        <w:rPr>
          <w:sz w:val="24"/>
          <w:szCs w:val="24"/>
        </w:rPr>
        <w:t>etrozol</w:t>
      </w:r>
      <w:proofErr w:type="spellEnd"/>
      <w:r w:rsidRPr="001B4655">
        <w:rPr>
          <w:sz w:val="24"/>
          <w:szCs w:val="24"/>
        </w:rPr>
        <w:t xml:space="preserve"> eller placebo i 5 år.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Det primære endepunkt var sygdomsfri overlevelse defineret som intervallet mellem </w:t>
      </w:r>
      <w:proofErr w:type="spellStart"/>
      <w:r w:rsidRPr="001B4655">
        <w:rPr>
          <w:sz w:val="24"/>
          <w:szCs w:val="24"/>
        </w:rPr>
        <w:t>randomisering</w:t>
      </w:r>
      <w:proofErr w:type="spellEnd"/>
      <w:r w:rsidRPr="001B4655">
        <w:rPr>
          <w:sz w:val="24"/>
          <w:szCs w:val="24"/>
        </w:rPr>
        <w:t xml:space="preserve"> og første forekomst af </w:t>
      </w:r>
      <w:proofErr w:type="spellStart"/>
      <w:r w:rsidRPr="001B4655">
        <w:rPr>
          <w:sz w:val="24"/>
          <w:szCs w:val="24"/>
        </w:rPr>
        <w:t>lokoregionalt</w:t>
      </w:r>
      <w:proofErr w:type="spellEnd"/>
      <w:r w:rsidRPr="001B4655">
        <w:rPr>
          <w:sz w:val="24"/>
          <w:szCs w:val="24"/>
        </w:rPr>
        <w:t xml:space="preserve"> tilbagefald, fjernmetastase eller kontralateral brystcancer.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Den første planlagte </w:t>
      </w:r>
      <w:proofErr w:type="spellStart"/>
      <w:r w:rsidRPr="001B4655">
        <w:rPr>
          <w:sz w:val="24"/>
          <w:szCs w:val="24"/>
        </w:rPr>
        <w:t>interimanalyse</w:t>
      </w:r>
      <w:proofErr w:type="spellEnd"/>
      <w:r w:rsidRPr="001B4655">
        <w:rPr>
          <w:sz w:val="24"/>
          <w:szCs w:val="24"/>
        </w:rPr>
        <w:t xml:space="preserve">, udført ved en median opfølgningstid på ca. 28 måneder (25% af patienterne blev fulgt mindst 38 måneder) viste, at </w:t>
      </w:r>
      <w:proofErr w:type="spellStart"/>
      <w:r w:rsidR="000C72AD">
        <w:rPr>
          <w:sz w:val="24"/>
          <w:szCs w:val="24"/>
        </w:rPr>
        <w:t>l</w:t>
      </w:r>
      <w:r w:rsidRPr="001B4655">
        <w:rPr>
          <w:sz w:val="24"/>
          <w:szCs w:val="24"/>
        </w:rPr>
        <w:t>etrozol</w:t>
      </w:r>
      <w:proofErr w:type="spellEnd"/>
      <w:r w:rsidRPr="001B4655">
        <w:rPr>
          <w:sz w:val="24"/>
          <w:szCs w:val="24"/>
        </w:rPr>
        <w:t xml:space="preserve"> reducerede risikoen for tilbagefald af brystcancer signifikant med 42% sammenlignet med placebo (relativ risiko 0,58; 95% KI 0,45-0,76; p=0,00003). Den statistisk signifikante gavnlige effekt til fordel for </w:t>
      </w:r>
      <w:proofErr w:type="spellStart"/>
      <w:r w:rsidRPr="001B4655">
        <w:rPr>
          <w:sz w:val="24"/>
          <w:szCs w:val="24"/>
        </w:rPr>
        <w:t>letrozol</w:t>
      </w:r>
      <w:proofErr w:type="spellEnd"/>
      <w:r w:rsidRPr="001B4655">
        <w:rPr>
          <w:sz w:val="24"/>
          <w:szCs w:val="24"/>
        </w:rPr>
        <w:t xml:space="preserve"> blev observeret uagtet </w:t>
      </w:r>
      <w:proofErr w:type="spellStart"/>
      <w:r w:rsidRPr="001B4655">
        <w:rPr>
          <w:sz w:val="24"/>
          <w:szCs w:val="24"/>
        </w:rPr>
        <w:t>nodal</w:t>
      </w:r>
      <w:proofErr w:type="spellEnd"/>
      <w:r w:rsidRPr="001B4655">
        <w:rPr>
          <w:sz w:val="24"/>
          <w:szCs w:val="24"/>
        </w:rPr>
        <w:t xml:space="preserve"> status. Der var ingen signifikant forskel i total overlevelse: </w:t>
      </w:r>
      <w:proofErr w:type="spellStart"/>
      <w:r w:rsidR="000C72AD">
        <w:rPr>
          <w:sz w:val="24"/>
          <w:szCs w:val="24"/>
        </w:rPr>
        <w:t>l</w:t>
      </w:r>
      <w:r w:rsidRPr="001B4655">
        <w:rPr>
          <w:sz w:val="24"/>
          <w:szCs w:val="24"/>
        </w:rPr>
        <w:t>etrozol</w:t>
      </w:r>
      <w:proofErr w:type="spellEnd"/>
      <w:r w:rsidRPr="001B4655">
        <w:rPr>
          <w:sz w:val="24"/>
          <w:szCs w:val="24"/>
        </w:rPr>
        <w:t xml:space="preserve"> 51 døde; placebo 62 (relativ risiko 0,82; 95% KI 0,56-1,19). </w:t>
      </w:r>
    </w:p>
    <w:p w:rsidR="000A70A6" w:rsidRPr="001B4655"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r>
        <w:rPr>
          <w:sz w:val="24"/>
          <w:szCs w:val="24"/>
        </w:rPr>
        <w:tab/>
      </w:r>
      <w:r w:rsidRPr="006C2510">
        <w:rPr>
          <w:sz w:val="24"/>
          <w:szCs w:val="24"/>
        </w:rPr>
        <w:t xml:space="preserve">Efter den første </w:t>
      </w:r>
      <w:proofErr w:type="spellStart"/>
      <w:r w:rsidRPr="006C2510">
        <w:rPr>
          <w:sz w:val="24"/>
          <w:szCs w:val="24"/>
        </w:rPr>
        <w:t>interimanalyse</w:t>
      </w:r>
      <w:proofErr w:type="spellEnd"/>
      <w:r w:rsidRPr="006C2510">
        <w:rPr>
          <w:sz w:val="24"/>
          <w:szCs w:val="24"/>
        </w:rPr>
        <w:t xml:space="preserve"> blev studiet derfor </w:t>
      </w:r>
      <w:proofErr w:type="spellStart"/>
      <w:r w:rsidRPr="006C2510">
        <w:rPr>
          <w:sz w:val="24"/>
          <w:szCs w:val="24"/>
        </w:rPr>
        <w:t>ublindet</w:t>
      </w:r>
      <w:proofErr w:type="spellEnd"/>
      <w:r w:rsidRPr="006C2510">
        <w:rPr>
          <w:sz w:val="24"/>
          <w:szCs w:val="24"/>
        </w:rPr>
        <w:t xml:space="preserve"> og fortsatte åbent, og patienter i placebo-armen kunne skifte til </w:t>
      </w:r>
      <w:proofErr w:type="spellStart"/>
      <w:r w:rsidR="000C72AD">
        <w:rPr>
          <w:sz w:val="24"/>
          <w:szCs w:val="24"/>
        </w:rPr>
        <w:t>l</w:t>
      </w:r>
      <w:r w:rsidRPr="006C2510">
        <w:rPr>
          <w:sz w:val="24"/>
          <w:szCs w:val="24"/>
        </w:rPr>
        <w:t>etrozol</w:t>
      </w:r>
      <w:proofErr w:type="spellEnd"/>
      <w:r w:rsidRPr="006C2510">
        <w:rPr>
          <w:sz w:val="24"/>
          <w:szCs w:val="24"/>
        </w:rPr>
        <w:t xml:space="preserve"> i op til 5 år. Over 60% af de kvalificerede patienter (forudsat at de var sygdomsfri på tid</w:t>
      </w:r>
      <w:r>
        <w:rPr>
          <w:sz w:val="24"/>
          <w:szCs w:val="24"/>
        </w:rPr>
        <w:t>s</w:t>
      </w:r>
      <w:r w:rsidRPr="006C2510">
        <w:rPr>
          <w:sz w:val="24"/>
          <w:szCs w:val="24"/>
        </w:rPr>
        <w:t xml:space="preserve">punktet for </w:t>
      </w:r>
      <w:proofErr w:type="spellStart"/>
      <w:r w:rsidRPr="006C2510">
        <w:rPr>
          <w:sz w:val="24"/>
          <w:szCs w:val="24"/>
        </w:rPr>
        <w:t>afblinding</w:t>
      </w:r>
      <w:proofErr w:type="spellEnd"/>
      <w:r w:rsidRPr="006C2510">
        <w:rPr>
          <w:sz w:val="24"/>
          <w:szCs w:val="24"/>
        </w:rPr>
        <w:t xml:space="preserve">) valgte at skifte til </w:t>
      </w:r>
      <w:proofErr w:type="spellStart"/>
      <w:r w:rsidRPr="006C2510">
        <w:rPr>
          <w:sz w:val="24"/>
          <w:szCs w:val="24"/>
        </w:rPr>
        <w:t>letrozol</w:t>
      </w:r>
      <w:proofErr w:type="spellEnd"/>
      <w:r w:rsidRPr="006C2510">
        <w:rPr>
          <w:sz w:val="24"/>
          <w:szCs w:val="24"/>
        </w:rPr>
        <w:t xml:space="preserve">. Den endelige analyse inkluderede 1.551 kvinder, som skiftede fra placebo til </w:t>
      </w:r>
      <w:proofErr w:type="spellStart"/>
      <w:r w:rsidRPr="006C2510">
        <w:rPr>
          <w:sz w:val="24"/>
          <w:szCs w:val="24"/>
        </w:rPr>
        <w:t>letrozol</w:t>
      </w:r>
      <w:proofErr w:type="spellEnd"/>
      <w:r w:rsidRPr="006C2510">
        <w:rPr>
          <w:sz w:val="24"/>
          <w:szCs w:val="24"/>
        </w:rPr>
        <w:t xml:space="preserve"> med en medianperiode på 31 måneder (fra 12 til 106 måneder) efter afsluttet </w:t>
      </w:r>
      <w:proofErr w:type="spellStart"/>
      <w:r w:rsidRPr="006C2510">
        <w:rPr>
          <w:sz w:val="24"/>
          <w:szCs w:val="24"/>
        </w:rPr>
        <w:t>adjuverende</w:t>
      </w:r>
      <w:proofErr w:type="spellEnd"/>
      <w:r w:rsidRPr="006C2510">
        <w:rPr>
          <w:sz w:val="24"/>
          <w:szCs w:val="24"/>
        </w:rPr>
        <w:t xml:space="preserve"> </w:t>
      </w:r>
      <w:proofErr w:type="spellStart"/>
      <w:r w:rsidRPr="006C2510">
        <w:rPr>
          <w:sz w:val="24"/>
          <w:szCs w:val="24"/>
        </w:rPr>
        <w:t>tamoxifen</w:t>
      </w:r>
      <w:proofErr w:type="spellEnd"/>
      <w:r w:rsidRPr="006C2510">
        <w:rPr>
          <w:sz w:val="24"/>
          <w:szCs w:val="24"/>
        </w:rPr>
        <w:t xml:space="preserve">-behandling. Median varighed af </w:t>
      </w:r>
      <w:proofErr w:type="spellStart"/>
      <w:r w:rsidRPr="006C2510">
        <w:rPr>
          <w:sz w:val="24"/>
          <w:szCs w:val="24"/>
        </w:rPr>
        <w:t>letrozol</w:t>
      </w:r>
      <w:proofErr w:type="spellEnd"/>
      <w:r w:rsidRPr="006C2510">
        <w:rPr>
          <w:sz w:val="24"/>
          <w:szCs w:val="24"/>
        </w:rPr>
        <w:t xml:space="preserve"> efter skift var 40 måneder. </w:t>
      </w:r>
    </w:p>
    <w:p w:rsidR="000A70A6" w:rsidRPr="006C2510"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r w:rsidRPr="006C2510">
        <w:rPr>
          <w:sz w:val="24"/>
          <w:szCs w:val="24"/>
        </w:rPr>
        <w:tab/>
        <w:t xml:space="preserve">Den endelige analyse, der blev udført ved en median opfølgningsperiode på 62 måneder, bekræftede, at </w:t>
      </w:r>
      <w:proofErr w:type="spellStart"/>
      <w:r w:rsidRPr="006C2510">
        <w:rPr>
          <w:sz w:val="24"/>
          <w:szCs w:val="24"/>
        </w:rPr>
        <w:t>letrozol</w:t>
      </w:r>
      <w:proofErr w:type="spellEnd"/>
      <w:r w:rsidRPr="006C2510">
        <w:rPr>
          <w:sz w:val="24"/>
          <w:szCs w:val="24"/>
        </w:rPr>
        <w:t xml:space="preserve"> reducerer risikoen for tilbagefald af brystcancer signifikant. </w:t>
      </w:r>
    </w:p>
    <w:p w:rsidR="000A70A6" w:rsidRPr="006C2510"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b/>
          <w:bCs/>
          <w:sz w:val="24"/>
          <w:szCs w:val="24"/>
        </w:rPr>
      </w:pPr>
      <w:r w:rsidRPr="006C2510">
        <w:rPr>
          <w:b/>
          <w:bCs/>
          <w:sz w:val="24"/>
          <w:szCs w:val="24"/>
        </w:rPr>
        <w:lastRenderedPageBreak/>
        <w:tab/>
        <w:t>Tabel 8 Sygdomsfri og total overlevelse (modificeret ITT-population)</w:t>
      </w:r>
    </w:p>
    <w:p w:rsidR="000A70A6" w:rsidRPr="001B4655" w:rsidRDefault="000A70A6" w:rsidP="000A70A6">
      <w:pPr>
        <w:tabs>
          <w:tab w:val="left" w:pos="851"/>
        </w:tabs>
        <w:ind w:left="851" w:hanging="851"/>
        <w:rPr>
          <w:b/>
          <w:bCs/>
          <w:sz w:val="24"/>
          <w:szCs w:val="24"/>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116"/>
        <w:gridCol w:w="6"/>
        <w:gridCol w:w="8"/>
        <w:gridCol w:w="1132"/>
        <w:gridCol w:w="8"/>
        <w:gridCol w:w="1133"/>
        <w:gridCol w:w="1426"/>
        <w:gridCol w:w="1345"/>
        <w:gridCol w:w="1259"/>
        <w:gridCol w:w="56"/>
        <w:gridCol w:w="1118"/>
        <w:gridCol w:w="15"/>
      </w:tblGrid>
      <w:tr w:rsidR="000A70A6" w:rsidRPr="001B4655" w:rsidTr="00F06180">
        <w:trPr>
          <w:cantSplit/>
          <w:trHeight w:val="144"/>
        </w:trPr>
        <w:tc>
          <w:tcPr>
            <w:tcW w:w="1103" w:type="pct"/>
            <w:gridSpan w:val="2"/>
            <w:tcBorders>
              <w:top w:val="single" w:sz="8" w:space="0" w:color="000000"/>
              <w:left w:val="single" w:sz="6" w:space="0" w:color="000000"/>
              <w:bottom w:val="single" w:sz="8" w:space="0" w:color="000000"/>
              <w:right w:val="single" w:sz="4" w:space="0" w:color="auto"/>
            </w:tcBorders>
          </w:tcPr>
          <w:p w:rsidR="000A70A6" w:rsidRPr="001B4655" w:rsidRDefault="000A70A6" w:rsidP="00F06180">
            <w:pPr>
              <w:rPr>
                <w:sz w:val="24"/>
                <w:szCs w:val="24"/>
              </w:rPr>
            </w:pPr>
          </w:p>
        </w:tc>
        <w:tc>
          <w:tcPr>
            <w:tcW w:w="1926" w:type="pct"/>
            <w:gridSpan w:val="5"/>
            <w:tcBorders>
              <w:top w:val="single" w:sz="8" w:space="0" w:color="000000"/>
              <w:left w:val="single" w:sz="4" w:space="0" w:color="auto"/>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28 måneder median opfølgning </w:t>
            </w:r>
          </w:p>
        </w:tc>
        <w:tc>
          <w:tcPr>
            <w:tcW w:w="1971" w:type="pct"/>
            <w:gridSpan w:val="5"/>
            <w:tcBorders>
              <w:top w:val="single" w:sz="8"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62 måneder median opfølgning </w:t>
            </w:r>
          </w:p>
        </w:tc>
      </w:tr>
      <w:tr w:rsidR="000A70A6" w:rsidRPr="001B4655" w:rsidTr="00F06180">
        <w:trPr>
          <w:gridAfter w:val="1"/>
          <w:wAfter w:w="7" w:type="pct"/>
          <w:cantSplit/>
          <w:trHeight w:val="281"/>
        </w:trPr>
        <w:tc>
          <w:tcPr>
            <w:tcW w:w="1103" w:type="pct"/>
            <w:gridSpan w:val="2"/>
            <w:tcBorders>
              <w:top w:val="single" w:sz="8" w:space="0" w:color="000000"/>
              <w:left w:val="single" w:sz="6" w:space="0" w:color="000000"/>
              <w:bottom w:val="single" w:sz="8" w:space="0" w:color="000000"/>
              <w:right w:val="single" w:sz="4" w:space="0" w:color="auto"/>
            </w:tcBorders>
            <w:hideMark/>
          </w:tcPr>
          <w:p w:rsidR="000A70A6" w:rsidRPr="001B4655" w:rsidRDefault="000A70A6" w:rsidP="00F06180">
            <w:pPr>
              <w:rPr>
                <w:sz w:val="24"/>
                <w:szCs w:val="24"/>
                <w:lang w:val="es-ES"/>
              </w:rPr>
            </w:pPr>
            <w:r w:rsidRPr="001B4655">
              <w:rPr>
                <w:sz w:val="24"/>
                <w:szCs w:val="24"/>
                <w:lang w:val="es-ES"/>
              </w:rPr>
              <w:t xml:space="preserve"> </w:t>
            </w:r>
          </w:p>
        </w:tc>
        <w:tc>
          <w:tcPr>
            <w:tcW w:w="592" w:type="pct"/>
            <w:gridSpan w:val="2"/>
            <w:tcBorders>
              <w:top w:val="single" w:sz="8" w:space="0" w:color="000000"/>
              <w:left w:val="single" w:sz="4" w:space="0" w:color="auto"/>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Letrozol </w:t>
            </w:r>
          </w:p>
          <w:p w:rsidR="000A70A6" w:rsidRPr="001B4655" w:rsidRDefault="000A70A6" w:rsidP="00F06180">
            <w:pPr>
              <w:rPr>
                <w:sz w:val="24"/>
                <w:szCs w:val="24"/>
                <w:lang w:val="es-ES"/>
              </w:rPr>
            </w:pPr>
            <w:r w:rsidRPr="001B4655">
              <w:rPr>
                <w:sz w:val="24"/>
                <w:szCs w:val="24"/>
                <w:lang w:val="es-ES"/>
              </w:rPr>
              <w:t>N=2.582</w:t>
            </w:r>
          </w:p>
        </w:tc>
        <w:tc>
          <w:tcPr>
            <w:tcW w:w="592" w:type="pct"/>
            <w:gridSpan w:val="2"/>
            <w:tcBorders>
              <w:top w:val="single" w:sz="8"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Placebo </w:t>
            </w:r>
          </w:p>
          <w:p w:rsidR="000A70A6" w:rsidRPr="001B4655" w:rsidRDefault="000A70A6" w:rsidP="00F06180">
            <w:pPr>
              <w:rPr>
                <w:sz w:val="24"/>
                <w:szCs w:val="24"/>
                <w:lang w:val="es-ES"/>
              </w:rPr>
            </w:pPr>
            <w:r w:rsidRPr="001B4655">
              <w:rPr>
                <w:sz w:val="24"/>
                <w:szCs w:val="24"/>
                <w:lang w:val="es-ES"/>
              </w:rPr>
              <w:t xml:space="preserve">N=2.586 </w:t>
            </w:r>
          </w:p>
        </w:tc>
        <w:tc>
          <w:tcPr>
            <w:tcW w:w="741" w:type="pct"/>
            <w:tcBorders>
              <w:top w:val="single" w:sz="8"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RR (95% KI)</w:t>
            </w:r>
            <w:r w:rsidRPr="001B4655">
              <w:rPr>
                <w:sz w:val="24"/>
                <w:szCs w:val="24"/>
                <w:vertAlign w:val="superscript"/>
                <w:lang w:val="es-ES"/>
              </w:rPr>
              <w:t xml:space="preserve">2 </w:t>
            </w:r>
          </w:p>
          <w:p w:rsidR="000A70A6" w:rsidRPr="001B4655" w:rsidRDefault="000A70A6" w:rsidP="00F06180">
            <w:pPr>
              <w:rPr>
                <w:sz w:val="24"/>
                <w:szCs w:val="24"/>
                <w:lang w:val="es-ES"/>
              </w:rPr>
            </w:pPr>
            <w:r w:rsidRPr="001B4655">
              <w:rPr>
                <w:sz w:val="24"/>
                <w:szCs w:val="24"/>
                <w:lang w:val="es-ES"/>
              </w:rPr>
              <w:t xml:space="preserve">p-værdi </w:t>
            </w:r>
          </w:p>
        </w:tc>
        <w:tc>
          <w:tcPr>
            <w:tcW w:w="699" w:type="pct"/>
            <w:tcBorders>
              <w:top w:val="single" w:sz="8"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Letrozol </w:t>
            </w:r>
          </w:p>
          <w:p w:rsidR="000A70A6" w:rsidRPr="001B4655" w:rsidRDefault="000A70A6" w:rsidP="00F06180">
            <w:pPr>
              <w:rPr>
                <w:sz w:val="24"/>
                <w:szCs w:val="24"/>
                <w:lang w:val="es-ES"/>
              </w:rPr>
            </w:pPr>
            <w:r w:rsidRPr="001B4655">
              <w:rPr>
                <w:sz w:val="24"/>
                <w:szCs w:val="24"/>
                <w:lang w:val="es-ES"/>
              </w:rPr>
              <w:t xml:space="preserve">N=2.582 </w:t>
            </w:r>
          </w:p>
        </w:tc>
        <w:tc>
          <w:tcPr>
            <w:tcW w:w="683" w:type="pct"/>
            <w:gridSpan w:val="2"/>
            <w:tcBorders>
              <w:top w:val="single" w:sz="8"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Placebo </w:t>
            </w:r>
          </w:p>
          <w:p w:rsidR="000A70A6" w:rsidRPr="001B4655" w:rsidRDefault="000A70A6" w:rsidP="00F06180">
            <w:pPr>
              <w:rPr>
                <w:sz w:val="24"/>
                <w:szCs w:val="24"/>
                <w:lang w:val="es-ES"/>
              </w:rPr>
            </w:pPr>
            <w:r w:rsidRPr="001B4655">
              <w:rPr>
                <w:sz w:val="24"/>
                <w:szCs w:val="24"/>
                <w:lang w:val="es-ES"/>
              </w:rPr>
              <w:t xml:space="preserve">N=2.586 </w:t>
            </w:r>
          </w:p>
        </w:tc>
        <w:tc>
          <w:tcPr>
            <w:tcW w:w="581" w:type="pct"/>
            <w:tcBorders>
              <w:top w:val="single" w:sz="8"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RR (95% KI)</w:t>
            </w:r>
            <w:r w:rsidRPr="001B4655">
              <w:rPr>
                <w:sz w:val="24"/>
                <w:szCs w:val="24"/>
                <w:vertAlign w:val="superscript"/>
                <w:lang w:val="es-ES"/>
              </w:rPr>
              <w:t>2</w:t>
            </w:r>
          </w:p>
          <w:p w:rsidR="000A70A6" w:rsidRDefault="000A70A6" w:rsidP="00F06180">
            <w:pPr>
              <w:rPr>
                <w:sz w:val="24"/>
                <w:szCs w:val="24"/>
                <w:lang w:val="es-ES"/>
              </w:rPr>
            </w:pPr>
            <w:r w:rsidRPr="001B4655">
              <w:rPr>
                <w:sz w:val="24"/>
                <w:szCs w:val="24"/>
                <w:lang w:val="es-ES"/>
              </w:rPr>
              <w:t>p-værdi</w:t>
            </w:r>
          </w:p>
          <w:p w:rsidR="000A70A6" w:rsidRPr="001B4655" w:rsidRDefault="000A70A6" w:rsidP="00F06180">
            <w:pPr>
              <w:rPr>
                <w:sz w:val="24"/>
                <w:szCs w:val="24"/>
                <w:lang w:val="es-ES"/>
              </w:rPr>
            </w:pPr>
          </w:p>
        </w:tc>
      </w:tr>
      <w:tr w:rsidR="000A70A6" w:rsidRPr="001B4655" w:rsidTr="00F06180">
        <w:trPr>
          <w:cantSplit/>
          <w:trHeight w:val="146"/>
        </w:trPr>
        <w:tc>
          <w:tcPr>
            <w:tcW w:w="5000" w:type="pct"/>
            <w:gridSpan w:val="12"/>
            <w:tcBorders>
              <w:top w:val="single" w:sz="8"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b/>
                <w:bCs/>
                <w:sz w:val="24"/>
                <w:szCs w:val="24"/>
                <w:lang w:val="es-ES"/>
              </w:rPr>
              <w:t xml:space="preserve">Sygdomsfri overlevelse </w:t>
            </w:r>
          </w:p>
        </w:tc>
      </w:tr>
      <w:tr w:rsidR="000A70A6" w:rsidRPr="001B4655" w:rsidTr="00F06180">
        <w:trPr>
          <w:cantSplit/>
          <w:trHeight w:val="398"/>
        </w:trPr>
        <w:tc>
          <w:tcPr>
            <w:tcW w:w="1100" w:type="pct"/>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Hændelser </w:t>
            </w:r>
          </w:p>
        </w:tc>
        <w:tc>
          <w:tcPr>
            <w:tcW w:w="595" w:type="pct"/>
            <w:gridSpan w:val="3"/>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92 (3,6%) </w:t>
            </w:r>
          </w:p>
        </w:tc>
        <w:tc>
          <w:tcPr>
            <w:tcW w:w="592" w:type="pct"/>
            <w:gridSpan w:val="2"/>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155 (6,0%)</w:t>
            </w:r>
          </w:p>
        </w:tc>
        <w:tc>
          <w:tcPr>
            <w:tcW w:w="741" w:type="pct"/>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0,58 </w:t>
            </w:r>
          </w:p>
          <w:p w:rsidR="000A70A6" w:rsidRPr="001B4655" w:rsidRDefault="000A70A6" w:rsidP="00F06180">
            <w:pPr>
              <w:rPr>
                <w:sz w:val="24"/>
                <w:szCs w:val="24"/>
                <w:lang w:val="es-ES"/>
              </w:rPr>
            </w:pPr>
            <w:r w:rsidRPr="001B4655">
              <w:rPr>
                <w:sz w:val="24"/>
                <w:szCs w:val="24"/>
                <w:lang w:val="es-ES"/>
              </w:rPr>
              <w:t xml:space="preserve">(0,45-0,76) </w:t>
            </w:r>
          </w:p>
          <w:p w:rsidR="000A70A6" w:rsidRPr="001B4655" w:rsidRDefault="000A70A6" w:rsidP="00F06180">
            <w:pPr>
              <w:rPr>
                <w:sz w:val="24"/>
                <w:szCs w:val="24"/>
                <w:lang w:val="es-ES"/>
              </w:rPr>
            </w:pPr>
            <w:r w:rsidRPr="001B4655">
              <w:rPr>
                <w:sz w:val="24"/>
                <w:szCs w:val="24"/>
                <w:lang w:val="es-ES"/>
              </w:rPr>
              <w:t xml:space="preserve">0,00003 </w:t>
            </w:r>
          </w:p>
        </w:tc>
        <w:tc>
          <w:tcPr>
            <w:tcW w:w="699" w:type="pct"/>
            <w:tcBorders>
              <w:top w:val="single" w:sz="6" w:space="0" w:color="000000"/>
              <w:left w:val="single" w:sz="6" w:space="0" w:color="000000"/>
              <w:bottom w:val="single" w:sz="8" w:space="0" w:color="000000"/>
              <w:right w:val="single" w:sz="4" w:space="0" w:color="auto"/>
            </w:tcBorders>
            <w:hideMark/>
          </w:tcPr>
          <w:p w:rsidR="000A70A6" w:rsidRPr="001B4655" w:rsidRDefault="000A70A6" w:rsidP="00F06180">
            <w:pPr>
              <w:rPr>
                <w:sz w:val="24"/>
                <w:szCs w:val="24"/>
                <w:lang w:val="es-ES"/>
              </w:rPr>
            </w:pPr>
            <w:r w:rsidRPr="001B4655">
              <w:rPr>
                <w:sz w:val="24"/>
                <w:szCs w:val="24"/>
                <w:lang w:val="es-ES"/>
              </w:rPr>
              <w:t xml:space="preserve">209 (8,1%) </w:t>
            </w:r>
          </w:p>
        </w:tc>
        <w:tc>
          <w:tcPr>
            <w:tcW w:w="683" w:type="pct"/>
            <w:gridSpan w:val="2"/>
            <w:tcBorders>
              <w:top w:val="single" w:sz="6" w:space="0" w:color="000000"/>
              <w:left w:val="single" w:sz="4" w:space="0" w:color="auto"/>
              <w:bottom w:val="single" w:sz="8" w:space="0" w:color="000000"/>
              <w:right w:val="single" w:sz="4" w:space="0" w:color="auto"/>
            </w:tcBorders>
            <w:hideMark/>
          </w:tcPr>
          <w:p w:rsidR="000A70A6" w:rsidRPr="001B4655" w:rsidRDefault="000A70A6" w:rsidP="00F06180">
            <w:pPr>
              <w:rPr>
                <w:sz w:val="24"/>
                <w:szCs w:val="24"/>
                <w:lang w:val="es-ES"/>
              </w:rPr>
            </w:pPr>
            <w:r w:rsidRPr="001B4655">
              <w:rPr>
                <w:sz w:val="24"/>
                <w:szCs w:val="24"/>
                <w:lang w:val="es-ES"/>
              </w:rPr>
              <w:t xml:space="preserve">286 (11,1%) </w:t>
            </w:r>
          </w:p>
        </w:tc>
        <w:tc>
          <w:tcPr>
            <w:tcW w:w="589" w:type="pct"/>
            <w:gridSpan w:val="2"/>
            <w:tcBorders>
              <w:top w:val="single" w:sz="6" w:space="0" w:color="000000"/>
              <w:left w:val="single" w:sz="4" w:space="0" w:color="auto"/>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0,75 </w:t>
            </w:r>
          </w:p>
          <w:p w:rsidR="000A70A6" w:rsidRPr="001B4655" w:rsidRDefault="000A70A6" w:rsidP="00F06180">
            <w:pPr>
              <w:rPr>
                <w:sz w:val="24"/>
                <w:szCs w:val="24"/>
                <w:lang w:val="es-ES"/>
              </w:rPr>
            </w:pPr>
            <w:r w:rsidRPr="001B4655">
              <w:rPr>
                <w:sz w:val="24"/>
                <w:szCs w:val="24"/>
                <w:lang w:val="es-ES"/>
              </w:rPr>
              <w:t xml:space="preserve">(0,63-0,89) </w:t>
            </w:r>
          </w:p>
        </w:tc>
      </w:tr>
      <w:tr w:rsidR="000A70A6" w:rsidRPr="001B4655" w:rsidTr="00F06180">
        <w:trPr>
          <w:cantSplit/>
          <w:trHeight w:val="271"/>
        </w:trPr>
        <w:tc>
          <w:tcPr>
            <w:tcW w:w="1107" w:type="pct"/>
            <w:gridSpan w:val="3"/>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rPr>
            </w:pPr>
            <w:r w:rsidRPr="001B4655">
              <w:rPr>
                <w:sz w:val="24"/>
                <w:szCs w:val="24"/>
              </w:rPr>
              <w:t xml:space="preserve">Rate for sygdomsfri overlevelse efter 4 år </w:t>
            </w:r>
          </w:p>
        </w:tc>
        <w:tc>
          <w:tcPr>
            <w:tcW w:w="588" w:type="pct"/>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94,4% </w:t>
            </w:r>
          </w:p>
        </w:tc>
        <w:tc>
          <w:tcPr>
            <w:tcW w:w="592" w:type="pct"/>
            <w:gridSpan w:val="2"/>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89,8% </w:t>
            </w:r>
          </w:p>
        </w:tc>
        <w:tc>
          <w:tcPr>
            <w:tcW w:w="741" w:type="pct"/>
            <w:tcBorders>
              <w:top w:val="single" w:sz="6" w:space="0" w:color="000000"/>
              <w:left w:val="single" w:sz="6" w:space="0" w:color="000000"/>
              <w:bottom w:val="single" w:sz="8" w:space="0" w:color="000000"/>
              <w:right w:val="single" w:sz="6" w:space="0" w:color="000000"/>
            </w:tcBorders>
          </w:tcPr>
          <w:p w:rsidR="000A70A6" w:rsidRPr="001B4655" w:rsidRDefault="000A70A6" w:rsidP="00F06180">
            <w:pPr>
              <w:rPr>
                <w:sz w:val="24"/>
                <w:szCs w:val="24"/>
                <w:lang w:val="es-ES"/>
              </w:rPr>
            </w:pPr>
          </w:p>
        </w:tc>
        <w:tc>
          <w:tcPr>
            <w:tcW w:w="699" w:type="pct"/>
            <w:tcBorders>
              <w:top w:val="single" w:sz="6" w:space="0" w:color="000000"/>
              <w:left w:val="single" w:sz="6" w:space="0" w:color="000000"/>
              <w:bottom w:val="single" w:sz="8" w:space="0" w:color="000000"/>
              <w:right w:val="single" w:sz="4" w:space="0" w:color="auto"/>
            </w:tcBorders>
            <w:hideMark/>
          </w:tcPr>
          <w:p w:rsidR="000A70A6" w:rsidRPr="001B4655" w:rsidRDefault="000A70A6" w:rsidP="00F06180">
            <w:pPr>
              <w:rPr>
                <w:sz w:val="24"/>
                <w:szCs w:val="24"/>
                <w:lang w:val="es-ES"/>
              </w:rPr>
            </w:pPr>
            <w:r w:rsidRPr="001B4655">
              <w:rPr>
                <w:sz w:val="24"/>
                <w:szCs w:val="24"/>
                <w:lang w:val="es-ES"/>
              </w:rPr>
              <w:t>94,4%</w:t>
            </w:r>
          </w:p>
        </w:tc>
        <w:tc>
          <w:tcPr>
            <w:tcW w:w="683" w:type="pct"/>
            <w:gridSpan w:val="2"/>
            <w:tcBorders>
              <w:top w:val="single" w:sz="6" w:space="0" w:color="000000"/>
              <w:left w:val="single" w:sz="4" w:space="0" w:color="auto"/>
              <w:bottom w:val="single" w:sz="8" w:space="0" w:color="000000"/>
              <w:right w:val="nil"/>
            </w:tcBorders>
            <w:hideMark/>
          </w:tcPr>
          <w:p w:rsidR="000A70A6" w:rsidRPr="001B4655" w:rsidRDefault="000A70A6" w:rsidP="00F06180">
            <w:pPr>
              <w:rPr>
                <w:sz w:val="24"/>
                <w:szCs w:val="24"/>
                <w:lang w:val="es-ES"/>
              </w:rPr>
            </w:pPr>
            <w:r w:rsidRPr="001B4655">
              <w:rPr>
                <w:sz w:val="24"/>
                <w:szCs w:val="24"/>
                <w:lang w:val="es-ES"/>
              </w:rPr>
              <w:t xml:space="preserve">91,4% </w:t>
            </w:r>
          </w:p>
        </w:tc>
        <w:tc>
          <w:tcPr>
            <w:tcW w:w="589" w:type="pct"/>
            <w:gridSpan w:val="2"/>
            <w:tcBorders>
              <w:top w:val="single" w:sz="6" w:space="0" w:color="000000"/>
              <w:left w:val="single" w:sz="4" w:space="0" w:color="auto"/>
              <w:bottom w:val="single" w:sz="8" w:space="0" w:color="000000"/>
              <w:right w:val="single" w:sz="6" w:space="0" w:color="000000"/>
            </w:tcBorders>
          </w:tcPr>
          <w:p w:rsidR="000A70A6" w:rsidRPr="001B4655" w:rsidRDefault="000A70A6" w:rsidP="00F06180">
            <w:pPr>
              <w:rPr>
                <w:sz w:val="24"/>
                <w:szCs w:val="24"/>
                <w:lang w:val="es-ES"/>
              </w:rPr>
            </w:pPr>
          </w:p>
        </w:tc>
      </w:tr>
      <w:tr w:rsidR="000A70A6" w:rsidRPr="001B4655" w:rsidTr="00F06180">
        <w:trPr>
          <w:cantSplit/>
          <w:trHeight w:val="146"/>
        </w:trPr>
        <w:tc>
          <w:tcPr>
            <w:tcW w:w="5000" w:type="pct"/>
            <w:gridSpan w:val="12"/>
            <w:tcBorders>
              <w:top w:val="single" w:sz="8"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rPr>
            </w:pPr>
            <w:r w:rsidRPr="001B4655">
              <w:rPr>
                <w:b/>
                <w:bCs/>
                <w:sz w:val="24"/>
                <w:szCs w:val="24"/>
              </w:rPr>
              <w:t xml:space="preserve">Sygdomsfri overlevelse, inklusive dødsfald uanset årsag </w:t>
            </w:r>
          </w:p>
        </w:tc>
      </w:tr>
      <w:tr w:rsidR="000A70A6" w:rsidRPr="001B4655" w:rsidTr="00F06180">
        <w:trPr>
          <w:cantSplit/>
          <w:trHeight w:val="271"/>
        </w:trPr>
        <w:tc>
          <w:tcPr>
            <w:tcW w:w="1100" w:type="pct"/>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Hændelser </w:t>
            </w:r>
          </w:p>
        </w:tc>
        <w:tc>
          <w:tcPr>
            <w:tcW w:w="595" w:type="pct"/>
            <w:gridSpan w:val="3"/>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122 (4,7%) </w:t>
            </w:r>
          </w:p>
        </w:tc>
        <w:tc>
          <w:tcPr>
            <w:tcW w:w="592" w:type="pct"/>
            <w:gridSpan w:val="2"/>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193 (7,5%)</w:t>
            </w:r>
          </w:p>
        </w:tc>
        <w:tc>
          <w:tcPr>
            <w:tcW w:w="741" w:type="pct"/>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0,62 </w:t>
            </w:r>
          </w:p>
          <w:p w:rsidR="000A70A6" w:rsidRPr="001B4655" w:rsidRDefault="000A70A6" w:rsidP="00F06180">
            <w:pPr>
              <w:rPr>
                <w:sz w:val="24"/>
                <w:szCs w:val="24"/>
                <w:lang w:val="es-ES"/>
              </w:rPr>
            </w:pPr>
            <w:r w:rsidRPr="001B4655">
              <w:rPr>
                <w:sz w:val="24"/>
                <w:szCs w:val="24"/>
                <w:lang w:val="es-ES"/>
              </w:rPr>
              <w:t xml:space="preserve">(0,49-0,78) </w:t>
            </w:r>
          </w:p>
        </w:tc>
        <w:tc>
          <w:tcPr>
            <w:tcW w:w="699" w:type="pct"/>
            <w:tcBorders>
              <w:top w:val="single" w:sz="6" w:space="0" w:color="000000"/>
              <w:left w:val="single" w:sz="6" w:space="0" w:color="000000"/>
              <w:bottom w:val="single" w:sz="6" w:space="0" w:color="000000"/>
              <w:right w:val="single" w:sz="4" w:space="0" w:color="auto"/>
            </w:tcBorders>
            <w:hideMark/>
          </w:tcPr>
          <w:p w:rsidR="000A70A6" w:rsidRPr="001B4655" w:rsidRDefault="000A70A6" w:rsidP="00F06180">
            <w:pPr>
              <w:rPr>
                <w:sz w:val="24"/>
                <w:szCs w:val="24"/>
                <w:lang w:val="es-ES"/>
              </w:rPr>
            </w:pPr>
            <w:r w:rsidRPr="001B4655">
              <w:rPr>
                <w:sz w:val="24"/>
                <w:szCs w:val="24"/>
                <w:lang w:val="es-ES"/>
              </w:rPr>
              <w:t xml:space="preserve">344 (13,3%) </w:t>
            </w:r>
          </w:p>
        </w:tc>
        <w:tc>
          <w:tcPr>
            <w:tcW w:w="683" w:type="pct"/>
            <w:gridSpan w:val="2"/>
            <w:tcBorders>
              <w:top w:val="single" w:sz="6" w:space="0" w:color="000000"/>
              <w:left w:val="single" w:sz="4" w:space="0" w:color="auto"/>
              <w:bottom w:val="single" w:sz="6" w:space="0" w:color="000000"/>
              <w:right w:val="single" w:sz="4" w:space="0" w:color="auto"/>
            </w:tcBorders>
            <w:hideMark/>
          </w:tcPr>
          <w:p w:rsidR="000A70A6" w:rsidRPr="001B4655" w:rsidRDefault="000A70A6" w:rsidP="00F06180">
            <w:pPr>
              <w:rPr>
                <w:sz w:val="24"/>
                <w:szCs w:val="24"/>
                <w:lang w:val="es-ES"/>
              </w:rPr>
            </w:pPr>
            <w:r w:rsidRPr="001B4655">
              <w:rPr>
                <w:sz w:val="24"/>
                <w:szCs w:val="24"/>
                <w:lang w:val="es-ES"/>
              </w:rPr>
              <w:t xml:space="preserve">402 (15,5%) </w:t>
            </w:r>
          </w:p>
        </w:tc>
        <w:tc>
          <w:tcPr>
            <w:tcW w:w="589" w:type="pct"/>
            <w:gridSpan w:val="2"/>
            <w:tcBorders>
              <w:top w:val="single" w:sz="6" w:space="0" w:color="000000"/>
              <w:left w:val="single" w:sz="4" w:space="0" w:color="auto"/>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0,89 </w:t>
            </w:r>
          </w:p>
          <w:p w:rsidR="000A70A6" w:rsidRPr="001B4655" w:rsidRDefault="000A70A6" w:rsidP="00F06180">
            <w:pPr>
              <w:rPr>
                <w:sz w:val="24"/>
                <w:szCs w:val="24"/>
                <w:lang w:val="es-ES"/>
              </w:rPr>
            </w:pPr>
            <w:r w:rsidRPr="001B4655">
              <w:rPr>
                <w:sz w:val="24"/>
                <w:szCs w:val="24"/>
                <w:lang w:val="es-ES"/>
              </w:rPr>
              <w:t xml:space="preserve">(0,77-1,03) </w:t>
            </w:r>
          </w:p>
        </w:tc>
      </w:tr>
      <w:tr w:rsidR="000A70A6" w:rsidRPr="001B4655" w:rsidTr="00F06180">
        <w:trPr>
          <w:cantSplit/>
          <w:trHeight w:val="271"/>
        </w:trPr>
        <w:tc>
          <w:tcPr>
            <w:tcW w:w="1107" w:type="pct"/>
            <w:gridSpan w:val="3"/>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rPr>
            </w:pPr>
            <w:r w:rsidRPr="001B4655">
              <w:rPr>
                <w:sz w:val="24"/>
                <w:szCs w:val="24"/>
              </w:rPr>
              <w:t xml:space="preserve">Rate for sygdomsfri overlevelse efter 5 år </w:t>
            </w:r>
          </w:p>
        </w:tc>
        <w:tc>
          <w:tcPr>
            <w:tcW w:w="592" w:type="pct"/>
            <w:gridSpan w:val="2"/>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90,5% </w:t>
            </w:r>
          </w:p>
        </w:tc>
        <w:tc>
          <w:tcPr>
            <w:tcW w:w="589" w:type="pct"/>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80,8% </w:t>
            </w:r>
          </w:p>
        </w:tc>
        <w:tc>
          <w:tcPr>
            <w:tcW w:w="741" w:type="pct"/>
            <w:tcBorders>
              <w:top w:val="single" w:sz="6" w:space="0" w:color="000000"/>
              <w:left w:val="single" w:sz="6" w:space="0" w:color="000000"/>
              <w:bottom w:val="single" w:sz="8" w:space="0" w:color="000000"/>
              <w:right w:val="single" w:sz="6" w:space="0" w:color="000000"/>
            </w:tcBorders>
          </w:tcPr>
          <w:p w:rsidR="000A70A6" w:rsidRPr="001B4655" w:rsidRDefault="000A70A6" w:rsidP="00F06180">
            <w:pPr>
              <w:rPr>
                <w:sz w:val="24"/>
                <w:szCs w:val="24"/>
                <w:lang w:val="es-ES"/>
              </w:rPr>
            </w:pPr>
          </w:p>
        </w:tc>
        <w:tc>
          <w:tcPr>
            <w:tcW w:w="699" w:type="pct"/>
            <w:tcBorders>
              <w:top w:val="single" w:sz="6" w:space="0" w:color="000000"/>
              <w:left w:val="single" w:sz="6" w:space="0" w:color="000000"/>
              <w:bottom w:val="single" w:sz="8" w:space="0" w:color="000000"/>
              <w:right w:val="single" w:sz="4" w:space="0" w:color="auto"/>
            </w:tcBorders>
            <w:hideMark/>
          </w:tcPr>
          <w:p w:rsidR="000A70A6" w:rsidRPr="001B4655" w:rsidRDefault="000A70A6" w:rsidP="00F06180">
            <w:pPr>
              <w:rPr>
                <w:sz w:val="24"/>
                <w:szCs w:val="24"/>
                <w:lang w:val="es-ES"/>
              </w:rPr>
            </w:pPr>
            <w:r w:rsidRPr="001B4655">
              <w:rPr>
                <w:sz w:val="24"/>
                <w:szCs w:val="24"/>
                <w:lang w:val="es-ES"/>
              </w:rPr>
              <w:t xml:space="preserve">88,8% </w:t>
            </w:r>
          </w:p>
        </w:tc>
        <w:tc>
          <w:tcPr>
            <w:tcW w:w="683" w:type="pct"/>
            <w:gridSpan w:val="2"/>
            <w:tcBorders>
              <w:top w:val="single" w:sz="6" w:space="0" w:color="000000"/>
              <w:left w:val="single" w:sz="4" w:space="0" w:color="auto"/>
              <w:bottom w:val="single" w:sz="8" w:space="0" w:color="000000"/>
              <w:right w:val="nil"/>
            </w:tcBorders>
            <w:hideMark/>
          </w:tcPr>
          <w:p w:rsidR="000A70A6" w:rsidRPr="001B4655" w:rsidRDefault="000A70A6" w:rsidP="00F06180">
            <w:pPr>
              <w:rPr>
                <w:sz w:val="24"/>
                <w:szCs w:val="24"/>
                <w:lang w:val="es-ES"/>
              </w:rPr>
            </w:pPr>
            <w:r w:rsidRPr="001B4655">
              <w:rPr>
                <w:sz w:val="24"/>
                <w:szCs w:val="24"/>
                <w:lang w:val="es-ES"/>
              </w:rPr>
              <w:t xml:space="preserve">86,7% </w:t>
            </w:r>
          </w:p>
        </w:tc>
        <w:tc>
          <w:tcPr>
            <w:tcW w:w="589" w:type="pct"/>
            <w:gridSpan w:val="2"/>
            <w:tcBorders>
              <w:top w:val="single" w:sz="6" w:space="0" w:color="000000"/>
              <w:left w:val="single" w:sz="4" w:space="0" w:color="auto"/>
              <w:bottom w:val="single" w:sz="8" w:space="0" w:color="000000"/>
              <w:right w:val="single" w:sz="6" w:space="0" w:color="000000"/>
            </w:tcBorders>
          </w:tcPr>
          <w:p w:rsidR="000A70A6" w:rsidRPr="001B4655" w:rsidRDefault="000A70A6" w:rsidP="00F06180">
            <w:pPr>
              <w:rPr>
                <w:sz w:val="24"/>
                <w:szCs w:val="24"/>
                <w:lang w:val="es-ES"/>
              </w:rPr>
            </w:pPr>
          </w:p>
        </w:tc>
      </w:tr>
      <w:tr w:rsidR="000A70A6" w:rsidRPr="001B4655" w:rsidTr="00F06180">
        <w:trPr>
          <w:cantSplit/>
          <w:trHeight w:val="144"/>
        </w:trPr>
        <w:tc>
          <w:tcPr>
            <w:tcW w:w="5000" w:type="pct"/>
            <w:gridSpan w:val="12"/>
            <w:tcBorders>
              <w:top w:val="single" w:sz="8"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Fjernmetastase </w:t>
            </w:r>
          </w:p>
        </w:tc>
      </w:tr>
      <w:tr w:rsidR="000A70A6" w:rsidRPr="001B4655" w:rsidTr="00F06180">
        <w:trPr>
          <w:cantSplit/>
          <w:trHeight w:val="271"/>
        </w:trPr>
        <w:tc>
          <w:tcPr>
            <w:tcW w:w="1100" w:type="pct"/>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Hændelser </w:t>
            </w:r>
          </w:p>
        </w:tc>
        <w:tc>
          <w:tcPr>
            <w:tcW w:w="595" w:type="pct"/>
            <w:gridSpan w:val="3"/>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57 (2,2%) </w:t>
            </w:r>
          </w:p>
        </w:tc>
        <w:tc>
          <w:tcPr>
            <w:tcW w:w="592" w:type="pct"/>
            <w:gridSpan w:val="2"/>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93 (3,6%) </w:t>
            </w:r>
          </w:p>
        </w:tc>
        <w:tc>
          <w:tcPr>
            <w:tcW w:w="741" w:type="pct"/>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0,61 </w:t>
            </w:r>
          </w:p>
          <w:p w:rsidR="000A70A6" w:rsidRPr="001B4655" w:rsidRDefault="000A70A6" w:rsidP="00F06180">
            <w:pPr>
              <w:rPr>
                <w:sz w:val="24"/>
                <w:szCs w:val="24"/>
                <w:lang w:val="es-ES"/>
              </w:rPr>
            </w:pPr>
            <w:r w:rsidRPr="001B4655">
              <w:rPr>
                <w:sz w:val="24"/>
                <w:szCs w:val="24"/>
                <w:lang w:val="es-ES"/>
              </w:rPr>
              <w:t xml:space="preserve">(0,44-0,84) </w:t>
            </w:r>
          </w:p>
        </w:tc>
        <w:tc>
          <w:tcPr>
            <w:tcW w:w="699" w:type="pct"/>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142 </w:t>
            </w:r>
          </w:p>
          <w:p w:rsidR="000A70A6" w:rsidRPr="001B4655" w:rsidRDefault="000A70A6" w:rsidP="00F06180">
            <w:pPr>
              <w:rPr>
                <w:sz w:val="24"/>
                <w:szCs w:val="24"/>
                <w:lang w:val="es-ES"/>
              </w:rPr>
            </w:pPr>
            <w:r w:rsidRPr="001B4655">
              <w:rPr>
                <w:sz w:val="24"/>
                <w:szCs w:val="24"/>
                <w:lang w:val="es-ES"/>
              </w:rPr>
              <w:t xml:space="preserve">(5,5%) </w:t>
            </w:r>
          </w:p>
        </w:tc>
        <w:tc>
          <w:tcPr>
            <w:tcW w:w="654" w:type="pct"/>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169 </w:t>
            </w:r>
          </w:p>
          <w:p w:rsidR="000A70A6" w:rsidRPr="001B4655" w:rsidRDefault="000A70A6" w:rsidP="00F06180">
            <w:pPr>
              <w:rPr>
                <w:sz w:val="24"/>
                <w:szCs w:val="24"/>
                <w:lang w:val="es-ES"/>
              </w:rPr>
            </w:pPr>
            <w:r w:rsidRPr="001B4655">
              <w:rPr>
                <w:sz w:val="24"/>
                <w:szCs w:val="24"/>
                <w:lang w:val="es-ES"/>
              </w:rPr>
              <w:t xml:space="preserve">(6,5%) </w:t>
            </w:r>
          </w:p>
        </w:tc>
        <w:tc>
          <w:tcPr>
            <w:tcW w:w="618" w:type="pct"/>
            <w:gridSpan w:val="3"/>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0,88 </w:t>
            </w:r>
          </w:p>
          <w:p w:rsidR="000A70A6" w:rsidRPr="001B4655" w:rsidRDefault="000A70A6" w:rsidP="00F06180">
            <w:pPr>
              <w:rPr>
                <w:sz w:val="24"/>
                <w:szCs w:val="24"/>
                <w:lang w:val="es-ES"/>
              </w:rPr>
            </w:pPr>
            <w:r w:rsidRPr="001B4655">
              <w:rPr>
                <w:sz w:val="24"/>
                <w:szCs w:val="24"/>
                <w:lang w:val="es-ES"/>
              </w:rPr>
              <w:t xml:space="preserve">(0,70-1,0) </w:t>
            </w:r>
          </w:p>
        </w:tc>
      </w:tr>
      <w:tr w:rsidR="000A70A6" w:rsidRPr="001B4655" w:rsidTr="00F06180">
        <w:trPr>
          <w:cantSplit/>
          <w:trHeight w:val="146"/>
        </w:trPr>
        <w:tc>
          <w:tcPr>
            <w:tcW w:w="5000" w:type="pct"/>
            <w:gridSpan w:val="12"/>
            <w:tcBorders>
              <w:top w:val="single" w:sz="8"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b/>
                <w:bCs/>
                <w:sz w:val="24"/>
                <w:szCs w:val="24"/>
                <w:lang w:val="es-ES"/>
              </w:rPr>
              <w:t xml:space="preserve">Total overlevelse </w:t>
            </w:r>
          </w:p>
        </w:tc>
      </w:tr>
      <w:tr w:rsidR="000A70A6" w:rsidRPr="001B4655" w:rsidTr="00F06180">
        <w:trPr>
          <w:cantSplit/>
          <w:trHeight w:val="271"/>
        </w:trPr>
        <w:tc>
          <w:tcPr>
            <w:tcW w:w="1100" w:type="pct"/>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Dødsfald </w:t>
            </w:r>
          </w:p>
        </w:tc>
        <w:tc>
          <w:tcPr>
            <w:tcW w:w="595" w:type="pct"/>
            <w:gridSpan w:val="3"/>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51 (2,0%) </w:t>
            </w:r>
          </w:p>
        </w:tc>
        <w:tc>
          <w:tcPr>
            <w:tcW w:w="592" w:type="pct"/>
            <w:gridSpan w:val="2"/>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62 (2,4%) </w:t>
            </w:r>
          </w:p>
        </w:tc>
        <w:tc>
          <w:tcPr>
            <w:tcW w:w="741" w:type="pct"/>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0,82 </w:t>
            </w:r>
          </w:p>
          <w:p w:rsidR="000A70A6" w:rsidRPr="001B4655" w:rsidRDefault="000A70A6" w:rsidP="00F06180">
            <w:pPr>
              <w:rPr>
                <w:sz w:val="24"/>
                <w:szCs w:val="24"/>
                <w:lang w:val="es-ES"/>
              </w:rPr>
            </w:pPr>
            <w:r w:rsidRPr="001B4655">
              <w:rPr>
                <w:sz w:val="24"/>
                <w:szCs w:val="24"/>
                <w:lang w:val="es-ES"/>
              </w:rPr>
              <w:t xml:space="preserve">(0,56-1,19) </w:t>
            </w:r>
          </w:p>
        </w:tc>
        <w:tc>
          <w:tcPr>
            <w:tcW w:w="699" w:type="pct"/>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236 (9,1%) </w:t>
            </w:r>
          </w:p>
        </w:tc>
        <w:tc>
          <w:tcPr>
            <w:tcW w:w="654" w:type="pct"/>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232 (9,0%) </w:t>
            </w:r>
          </w:p>
        </w:tc>
        <w:tc>
          <w:tcPr>
            <w:tcW w:w="618" w:type="pct"/>
            <w:gridSpan w:val="3"/>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1,13 </w:t>
            </w:r>
          </w:p>
          <w:p w:rsidR="000A70A6" w:rsidRPr="001B4655" w:rsidRDefault="000A70A6" w:rsidP="00F06180">
            <w:pPr>
              <w:rPr>
                <w:sz w:val="24"/>
                <w:szCs w:val="24"/>
                <w:lang w:val="es-ES"/>
              </w:rPr>
            </w:pPr>
            <w:r w:rsidRPr="001B4655">
              <w:rPr>
                <w:sz w:val="24"/>
                <w:szCs w:val="24"/>
                <w:lang w:val="es-ES"/>
              </w:rPr>
              <w:t xml:space="preserve">(0,95-1,36) </w:t>
            </w:r>
          </w:p>
        </w:tc>
      </w:tr>
      <w:tr w:rsidR="000A70A6" w:rsidRPr="001B4655" w:rsidTr="00F06180">
        <w:trPr>
          <w:cantSplit/>
          <w:trHeight w:val="281"/>
        </w:trPr>
        <w:tc>
          <w:tcPr>
            <w:tcW w:w="1100" w:type="pct"/>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Dødsfald</w:t>
            </w:r>
            <w:r w:rsidRPr="001B4655">
              <w:rPr>
                <w:sz w:val="24"/>
                <w:szCs w:val="24"/>
                <w:vertAlign w:val="superscript"/>
                <w:lang w:val="es-ES"/>
              </w:rPr>
              <w:t xml:space="preserve">4 </w:t>
            </w:r>
          </w:p>
        </w:tc>
        <w:tc>
          <w:tcPr>
            <w:tcW w:w="595" w:type="pct"/>
            <w:gridSpan w:val="3"/>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 - </w:t>
            </w:r>
          </w:p>
        </w:tc>
        <w:tc>
          <w:tcPr>
            <w:tcW w:w="592" w:type="pct"/>
            <w:gridSpan w:val="2"/>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 - </w:t>
            </w:r>
          </w:p>
        </w:tc>
        <w:tc>
          <w:tcPr>
            <w:tcW w:w="741" w:type="pct"/>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 - </w:t>
            </w:r>
          </w:p>
        </w:tc>
        <w:tc>
          <w:tcPr>
            <w:tcW w:w="699" w:type="pct"/>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236</w:t>
            </w:r>
            <w:r w:rsidRPr="001B4655">
              <w:rPr>
                <w:sz w:val="24"/>
                <w:szCs w:val="24"/>
                <w:vertAlign w:val="superscript"/>
                <w:lang w:val="es-ES"/>
              </w:rPr>
              <w:t xml:space="preserve">5 </w:t>
            </w:r>
            <w:r w:rsidRPr="001B4655">
              <w:rPr>
                <w:sz w:val="24"/>
                <w:szCs w:val="24"/>
                <w:lang w:val="es-ES"/>
              </w:rPr>
              <w:t xml:space="preserve">(9,1%) </w:t>
            </w:r>
          </w:p>
        </w:tc>
        <w:tc>
          <w:tcPr>
            <w:tcW w:w="654" w:type="pct"/>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170</w:t>
            </w:r>
            <w:r w:rsidRPr="001B4655">
              <w:rPr>
                <w:sz w:val="24"/>
                <w:szCs w:val="24"/>
                <w:vertAlign w:val="superscript"/>
                <w:lang w:val="es-ES"/>
              </w:rPr>
              <w:t xml:space="preserve">6 </w:t>
            </w:r>
            <w:r w:rsidRPr="001B4655">
              <w:rPr>
                <w:sz w:val="24"/>
                <w:szCs w:val="24"/>
                <w:lang w:val="es-ES"/>
              </w:rPr>
              <w:t xml:space="preserve">(6,6%) </w:t>
            </w:r>
          </w:p>
        </w:tc>
        <w:tc>
          <w:tcPr>
            <w:tcW w:w="618" w:type="pct"/>
            <w:gridSpan w:val="3"/>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0,78 </w:t>
            </w:r>
          </w:p>
          <w:p w:rsidR="000A70A6" w:rsidRPr="001B4655" w:rsidRDefault="000A70A6" w:rsidP="00F06180">
            <w:pPr>
              <w:rPr>
                <w:sz w:val="24"/>
                <w:szCs w:val="24"/>
                <w:lang w:val="es-ES"/>
              </w:rPr>
            </w:pPr>
            <w:r w:rsidRPr="001B4655">
              <w:rPr>
                <w:sz w:val="24"/>
                <w:szCs w:val="24"/>
                <w:lang w:val="es-ES"/>
              </w:rPr>
              <w:t xml:space="preserve">(0,64-0,96) </w:t>
            </w:r>
          </w:p>
        </w:tc>
      </w:tr>
      <w:tr w:rsidR="000A70A6" w:rsidRPr="001B4655" w:rsidTr="00F06180">
        <w:trPr>
          <w:cantSplit/>
          <w:trHeight w:val="1416"/>
        </w:trPr>
        <w:tc>
          <w:tcPr>
            <w:tcW w:w="5000" w:type="pct"/>
            <w:gridSpan w:val="12"/>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rPr>
            </w:pPr>
            <w:r w:rsidRPr="001B4655">
              <w:rPr>
                <w:sz w:val="24"/>
                <w:szCs w:val="24"/>
              </w:rPr>
              <w:t xml:space="preserve">RR= Relativ risiko; KI = konfidensinterval </w:t>
            </w:r>
          </w:p>
          <w:p w:rsidR="000A70A6" w:rsidRPr="001B4655" w:rsidRDefault="000A70A6" w:rsidP="00F06180">
            <w:pPr>
              <w:rPr>
                <w:sz w:val="24"/>
                <w:szCs w:val="24"/>
              </w:rPr>
            </w:pPr>
            <w:r w:rsidRPr="001B4655">
              <w:rPr>
                <w:sz w:val="24"/>
                <w:szCs w:val="24"/>
                <w:vertAlign w:val="superscript"/>
              </w:rPr>
              <w:t xml:space="preserve">1 </w:t>
            </w:r>
            <w:r w:rsidRPr="001B4655">
              <w:rPr>
                <w:sz w:val="24"/>
                <w:szCs w:val="24"/>
              </w:rPr>
              <w:t xml:space="preserve">Da studiet blev </w:t>
            </w:r>
            <w:proofErr w:type="spellStart"/>
            <w:r w:rsidRPr="001B4655">
              <w:rPr>
                <w:sz w:val="24"/>
                <w:szCs w:val="24"/>
              </w:rPr>
              <w:t>afblindet</w:t>
            </w:r>
            <w:proofErr w:type="spellEnd"/>
            <w:r w:rsidRPr="001B4655">
              <w:rPr>
                <w:sz w:val="24"/>
                <w:szCs w:val="24"/>
              </w:rPr>
              <w:t xml:space="preserve"> i 2003, skiftede 1.551 patienter fra placebo-armen (60% af dem, der var egnet til at skifte – dvs. sygdomsfri) til </w:t>
            </w:r>
            <w:proofErr w:type="spellStart"/>
            <w:r w:rsidRPr="001B4655">
              <w:rPr>
                <w:sz w:val="24"/>
                <w:szCs w:val="24"/>
              </w:rPr>
              <w:t>letrozol</w:t>
            </w:r>
            <w:proofErr w:type="spellEnd"/>
            <w:r w:rsidRPr="001B4655">
              <w:rPr>
                <w:sz w:val="24"/>
                <w:szCs w:val="24"/>
              </w:rPr>
              <w:t xml:space="preserve"> med en median på 31 måneder efter </w:t>
            </w:r>
            <w:proofErr w:type="spellStart"/>
            <w:r w:rsidRPr="001B4655">
              <w:rPr>
                <w:sz w:val="24"/>
                <w:szCs w:val="24"/>
              </w:rPr>
              <w:t>randomisering</w:t>
            </w:r>
            <w:proofErr w:type="spellEnd"/>
            <w:r w:rsidRPr="001B4655">
              <w:rPr>
                <w:sz w:val="24"/>
                <w:szCs w:val="24"/>
              </w:rPr>
              <w:t xml:space="preserve">. Analysen, som præsenteres her, ignorerer det selektive </w:t>
            </w:r>
            <w:r w:rsidRPr="001B4655">
              <w:rPr>
                <w:i/>
                <w:iCs/>
                <w:sz w:val="24"/>
                <w:szCs w:val="24"/>
              </w:rPr>
              <w:t>crossover</w:t>
            </w:r>
            <w:r w:rsidRPr="001B4655">
              <w:rPr>
                <w:sz w:val="24"/>
                <w:szCs w:val="24"/>
              </w:rPr>
              <w:t xml:space="preserve">. </w:t>
            </w:r>
          </w:p>
          <w:p w:rsidR="000A70A6" w:rsidRPr="001B4655" w:rsidRDefault="000A70A6" w:rsidP="00F06180">
            <w:pPr>
              <w:rPr>
                <w:sz w:val="24"/>
                <w:szCs w:val="24"/>
              </w:rPr>
            </w:pPr>
            <w:r w:rsidRPr="001B4655">
              <w:rPr>
                <w:sz w:val="24"/>
                <w:szCs w:val="24"/>
                <w:vertAlign w:val="superscript"/>
              </w:rPr>
              <w:t xml:space="preserve">2 </w:t>
            </w:r>
            <w:r w:rsidRPr="001B4655">
              <w:rPr>
                <w:sz w:val="24"/>
                <w:szCs w:val="24"/>
              </w:rPr>
              <w:t xml:space="preserve">Stratificeret for receptorstatus, </w:t>
            </w:r>
            <w:proofErr w:type="spellStart"/>
            <w:r w:rsidRPr="001B4655">
              <w:rPr>
                <w:sz w:val="24"/>
                <w:szCs w:val="24"/>
              </w:rPr>
              <w:t>nodal</w:t>
            </w:r>
            <w:proofErr w:type="spellEnd"/>
            <w:r w:rsidRPr="001B4655">
              <w:rPr>
                <w:sz w:val="24"/>
                <w:szCs w:val="24"/>
              </w:rPr>
              <w:t xml:space="preserve"> status og tidligere </w:t>
            </w:r>
            <w:proofErr w:type="spellStart"/>
            <w:r w:rsidRPr="001B4655">
              <w:rPr>
                <w:sz w:val="24"/>
                <w:szCs w:val="24"/>
              </w:rPr>
              <w:t>adjuverende</w:t>
            </w:r>
            <w:proofErr w:type="spellEnd"/>
            <w:r w:rsidRPr="001B4655">
              <w:rPr>
                <w:sz w:val="24"/>
                <w:szCs w:val="24"/>
              </w:rPr>
              <w:t xml:space="preserve"> kemoterapi. </w:t>
            </w:r>
          </w:p>
          <w:p w:rsidR="000A70A6" w:rsidRPr="001B4655" w:rsidRDefault="000A70A6" w:rsidP="00F06180">
            <w:pPr>
              <w:rPr>
                <w:sz w:val="24"/>
                <w:szCs w:val="24"/>
              </w:rPr>
            </w:pPr>
            <w:r w:rsidRPr="001B4655">
              <w:rPr>
                <w:sz w:val="24"/>
                <w:szCs w:val="24"/>
                <w:vertAlign w:val="superscript"/>
              </w:rPr>
              <w:t xml:space="preserve">3 </w:t>
            </w:r>
            <w:r w:rsidRPr="001B4655">
              <w:rPr>
                <w:sz w:val="24"/>
                <w:szCs w:val="24"/>
              </w:rPr>
              <w:t xml:space="preserve">Protokol-definition af hændelser ved sygdomsfri overlevelse: </w:t>
            </w:r>
            <w:proofErr w:type="spellStart"/>
            <w:r w:rsidRPr="001B4655">
              <w:rPr>
                <w:sz w:val="24"/>
                <w:szCs w:val="24"/>
              </w:rPr>
              <w:t>lokoregionalt</w:t>
            </w:r>
            <w:proofErr w:type="spellEnd"/>
            <w:r w:rsidRPr="001B4655">
              <w:rPr>
                <w:sz w:val="24"/>
                <w:szCs w:val="24"/>
              </w:rPr>
              <w:t xml:space="preserve"> tilbagefald, fjernmetastaser eller kontralateral brystcancer. </w:t>
            </w:r>
          </w:p>
          <w:p w:rsidR="000A70A6" w:rsidRPr="001B4655" w:rsidRDefault="000A70A6" w:rsidP="00F06180">
            <w:pPr>
              <w:rPr>
                <w:sz w:val="24"/>
                <w:szCs w:val="24"/>
              </w:rPr>
            </w:pPr>
            <w:r w:rsidRPr="001B4655">
              <w:rPr>
                <w:sz w:val="24"/>
                <w:szCs w:val="24"/>
                <w:vertAlign w:val="superscript"/>
              </w:rPr>
              <w:t xml:space="preserve">4 </w:t>
            </w:r>
            <w:proofErr w:type="spellStart"/>
            <w:r w:rsidRPr="001B4655">
              <w:rPr>
                <w:sz w:val="24"/>
                <w:szCs w:val="24"/>
              </w:rPr>
              <w:t>Eksplorativ</w:t>
            </w:r>
            <w:proofErr w:type="spellEnd"/>
            <w:r w:rsidRPr="001B4655">
              <w:rPr>
                <w:sz w:val="24"/>
                <w:szCs w:val="24"/>
              </w:rPr>
              <w:t xml:space="preserve"> analyse med censur af opfølgningstider på datoen for behandlingsskift (hvis det opstod) i placebo-armen. </w:t>
            </w:r>
          </w:p>
          <w:p w:rsidR="000A70A6" w:rsidRPr="001B4655" w:rsidRDefault="000A70A6" w:rsidP="00F06180">
            <w:pPr>
              <w:rPr>
                <w:sz w:val="24"/>
                <w:szCs w:val="24"/>
              </w:rPr>
            </w:pPr>
            <w:r w:rsidRPr="001B4655">
              <w:rPr>
                <w:sz w:val="24"/>
                <w:szCs w:val="24"/>
                <w:vertAlign w:val="superscript"/>
              </w:rPr>
              <w:t xml:space="preserve">5 </w:t>
            </w:r>
            <w:r w:rsidRPr="001B4655">
              <w:rPr>
                <w:sz w:val="24"/>
                <w:szCs w:val="24"/>
              </w:rPr>
              <w:t xml:space="preserve">Median opfølgningstid 62 måneder. </w:t>
            </w:r>
          </w:p>
          <w:p w:rsidR="000A70A6" w:rsidRPr="001B4655" w:rsidRDefault="000A70A6" w:rsidP="00F06180">
            <w:pPr>
              <w:rPr>
                <w:sz w:val="24"/>
                <w:szCs w:val="24"/>
              </w:rPr>
            </w:pPr>
            <w:r w:rsidRPr="001B4655">
              <w:rPr>
                <w:sz w:val="24"/>
                <w:szCs w:val="24"/>
                <w:vertAlign w:val="superscript"/>
              </w:rPr>
              <w:t xml:space="preserve">6 </w:t>
            </w:r>
            <w:r w:rsidRPr="001B4655">
              <w:rPr>
                <w:sz w:val="24"/>
                <w:szCs w:val="24"/>
              </w:rPr>
              <w:t xml:space="preserve">Median opfølgningstid til skift (hvis det forekom) 37 måneder. </w:t>
            </w:r>
          </w:p>
        </w:tc>
      </w:tr>
    </w:tbl>
    <w:p w:rsidR="000A70A6" w:rsidRPr="001B4655" w:rsidRDefault="000A70A6" w:rsidP="000A70A6">
      <w:pPr>
        <w:tabs>
          <w:tab w:val="left" w:pos="851"/>
        </w:tabs>
        <w:ind w:left="851" w:hanging="851"/>
        <w:rPr>
          <w:b/>
          <w:bCs/>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I knogle-substudiet til MA-17, hvor samtidig calcium og vitamin D blev indgivet, opstod større fald i BMD i forhold til </w:t>
      </w:r>
      <w:r w:rsidRPr="001B4655">
        <w:rPr>
          <w:i/>
          <w:iCs/>
          <w:sz w:val="24"/>
          <w:szCs w:val="24"/>
        </w:rPr>
        <w:t xml:space="preserve">baseline </w:t>
      </w:r>
      <w:r w:rsidRPr="001B4655">
        <w:rPr>
          <w:sz w:val="24"/>
          <w:szCs w:val="24"/>
        </w:rPr>
        <w:t xml:space="preserve">for </w:t>
      </w:r>
      <w:proofErr w:type="spellStart"/>
      <w:r>
        <w:rPr>
          <w:sz w:val="24"/>
          <w:szCs w:val="24"/>
        </w:rPr>
        <w:t>l</w:t>
      </w:r>
      <w:r w:rsidRPr="001B4655">
        <w:rPr>
          <w:sz w:val="24"/>
          <w:szCs w:val="24"/>
        </w:rPr>
        <w:t>etrozol</w:t>
      </w:r>
      <w:proofErr w:type="spellEnd"/>
      <w:r w:rsidRPr="001B4655">
        <w:rPr>
          <w:sz w:val="24"/>
          <w:szCs w:val="24"/>
        </w:rPr>
        <w:t xml:space="preserve"> sammenlignet med placebo. Den eneste statistisk signifikante forskel opstod efter 2 år og var et større fald i BMD af hele hoften (median nedsættelse på 3,8% i </w:t>
      </w:r>
      <w:proofErr w:type="spellStart"/>
      <w:r w:rsidRPr="001B4655">
        <w:rPr>
          <w:sz w:val="24"/>
          <w:szCs w:val="24"/>
        </w:rPr>
        <w:t>letrozol</w:t>
      </w:r>
      <w:proofErr w:type="spellEnd"/>
      <w:r w:rsidRPr="001B4655">
        <w:rPr>
          <w:sz w:val="24"/>
          <w:szCs w:val="24"/>
        </w:rPr>
        <w:t xml:space="preserve">-gruppen sammenlignet med 2,0% i placebogruppen).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lastRenderedPageBreak/>
        <w:tab/>
      </w:r>
      <w:r w:rsidRPr="001B4655">
        <w:rPr>
          <w:sz w:val="24"/>
          <w:szCs w:val="24"/>
        </w:rPr>
        <w:t xml:space="preserve">I lipid-substudiet til MA-17 var der ingen signifikant forskel mellem </w:t>
      </w:r>
      <w:proofErr w:type="spellStart"/>
      <w:r>
        <w:rPr>
          <w:sz w:val="24"/>
          <w:szCs w:val="24"/>
        </w:rPr>
        <w:t>l</w:t>
      </w:r>
      <w:r w:rsidRPr="001B4655">
        <w:rPr>
          <w:sz w:val="24"/>
          <w:szCs w:val="24"/>
        </w:rPr>
        <w:t>etrozol</w:t>
      </w:r>
      <w:proofErr w:type="spellEnd"/>
      <w:r w:rsidRPr="001B4655">
        <w:rPr>
          <w:sz w:val="24"/>
          <w:szCs w:val="24"/>
        </w:rPr>
        <w:t xml:space="preserve">- og placebo-armene i total-kolesterol eller i nogen lipidfraktion.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I substudiet for livskvalitet var der ingen signifikant forskel mellem behandlingerne med hensyn til fysisk eller mental livskvalitet eller i scoren for andet domæne i SF-36-skalaen. På MENQOL-skalaen var der signifikant flere kvinder i </w:t>
      </w:r>
      <w:proofErr w:type="spellStart"/>
      <w:r>
        <w:rPr>
          <w:sz w:val="24"/>
          <w:szCs w:val="24"/>
        </w:rPr>
        <w:t>l</w:t>
      </w:r>
      <w:r w:rsidRPr="001B4655">
        <w:rPr>
          <w:sz w:val="24"/>
          <w:szCs w:val="24"/>
        </w:rPr>
        <w:t>etrozol</w:t>
      </w:r>
      <w:proofErr w:type="spellEnd"/>
      <w:r w:rsidRPr="001B4655">
        <w:rPr>
          <w:sz w:val="24"/>
          <w:szCs w:val="24"/>
        </w:rPr>
        <w:t xml:space="preserve">-armen end i placebo-armen, der var generet (normalt i det første år af behandlingen) af de symptomer, som opstår ved østrogenmangel – hedeture og vaginal tørhed. Det symptom, der generede flest patienter i begge behandlingsarme (men signifikant oftere i </w:t>
      </w:r>
      <w:proofErr w:type="spellStart"/>
      <w:r>
        <w:rPr>
          <w:sz w:val="24"/>
          <w:szCs w:val="24"/>
        </w:rPr>
        <w:t>l</w:t>
      </w:r>
      <w:r w:rsidRPr="001B4655">
        <w:rPr>
          <w:sz w:val="24"/>
          <w:szCs w:val="24"/>
        </w:rPr>
        <w:t>etrozol</w:t>
      </w:r>
      <w:proofErr w:type="spellEnd"/>
      <w:r w:rsidRPr="001B4655">
        <w:rPr>
          <w:sz w:val="24"/>
          <w:szCs w:val="24"/>
        </w:rPr>
        <w:t xml:space="preserve">-armen end i placebo-armen), var muskelsmerter. </w:t>
      </w:r>
    </w:p>
    <w:p w:rsidR="000A70A6" w:rsidRPr="001B4655" w:rsidRDefault="000A70A6" w:rsidP="000A70A6">
      <w:pPr>
        <w:tabs>
          <w:tab w:val="left" w:pos="851"/>
        </w:tabs>
        <w:ind w:left="851" w:hanging="851"/>
        <w:rPr>
          <w:sz w:val="24"/>
          <w:szCs w:val="24"/>
        </w:rPr>
      </w:pPr>
    </w:p>
    <w:p w:rsidR="000A70A6" w:rsidRPr="00E77FBE" w:rsidRDefault="000A70A6" w:rsidP="000A70A6">
      <w:pPr>
        <w:tabs>
          <w:tab w:val="left" w:pos="851"/>
        </w:tabs>
        <w:ind w:left="851" w:hanging="851"/>
        <w:rPr>
          <w:sz w:val="24"/>
          <w:szCs w:val="24"/>
        </w:rPr>
      </w:pPr>
      <w:r w:rsidRPr="00E77FBE">
        <w:rPr>
          <w:iCs/>
          <w:sz w:val="24"/>
          <w:szCs w:val="24"/>
        </w:rPr>
        <w:tab/>
      </w:r>
      <w:r w:rsidRPr="00E77FBE">
        <w:rPr>
          <w:i/>
          <w:iCs/>
          <w:sz w:val="24"/>
          <w:szCs w:val="24"/>
        </w:rPr>
        <w:t>Neo-</w:t>
      </w:r>
      <w:proofErr w:type="spellStart"/>
      <w:r w:rsidRPr="00E77FBE">
        <w:rPr>
          <w:i/>
          <w:iCs/>
          <w:sz w:val="24"/>
          <w:szCs w:val="24"/>
        </w:rPr>
        <w:t>adjuverende</w:t>
      </w:r>
      <w:proofErr w:type="spellEnd"/>
      <w:r w:rsidRPr="00E77FBE">
        <w:rPr>
          <w:i/>
          <w:iCs/>
          <w:sz w:val="24"/>
          <w:szCs w:val="24"/>
        </w:rPr>
        <w:t xml:space="preserve"> behandling </w:t>
      </w: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Et dobbeltblindet studie (P024) blev udført hos 337 </w:t>
      </w:r>
      <w:proofErr w:type="spellStart"/>
      <w:r w:rsidRPr="001B4655">
        <w:rPr>
          <w:sz w:val="24"/>
          <w:szCs w:val="24"/>
        </w:rPr>
        <w:t>postmenopausale</w:t>
      </w:r>
      <w:proofErr w:type="spellEnd"/>
      <w:r w:rsidRPr="001B4655">
        <w:rPr>
          <w:sz w:val="24"/>
          <w:szCs w:val="24"/>
        </w:rPr>
        <w:t xml:space="preserve"> brystcancerpatienter tilfældigt allokeret til enten </w:t>
      </w:r>
      <w:proofErr w:type="spellStart"/>
      <w:r>
        <w:rPr>
          <w:sz w:val="24"/>
          <w:szCs w:val="24"/>
        </w:rPr>
        <w:t>l</w:t>
      </w:r>
      <w:r w:rsidRPr="001B4655">
        <w:rPr>
          <w:sz w:val="24"/>
          <w:szCs w:val="24"/>
        </w:rPr>
        <w:t>etrozol</w:t>
      </w:r>
      <w:proofErr w:type="spellEnd"/>
      <w:r w:rsidRPr="001B4655">
        <w:rPr>
          <w:sz w:val="24"/>
          <w:szCs w:val="24"/>
        </w:rPr>
        <w:t xml:space="preserve"> 2,5 mg i 4 måneder eller </w:t>
      </w:r>
      <w:proofErr w:type="spellStart"/>
      <w:r w:rsidRPr="001B4655">
        <w:rPr>
          <w:sz w:val="24"/>
          <w:szCs w:val="24"/>
        </w:rPr>
        <w:t>tamoxifen</w:t>
      </w:r>
      <w:proofErr w:type="spellEnd"/>
      <w:r w:rsidRPr="001B4655">
        <w:rPr>
          <w:sz w:val="24"/>
          <w:szCs w:val="24"/>
        </w:rPr>
        <w:t xml:space="preserve"> i 4 måneder. Ved </w:t>
      </w:r>
      <w:r w:rsidRPr="001B4655">
        <w:rPr>
          <w:i/>
          <w:iCs/>
          <w:sz w:val="24"/>
          <w:szCs w:val="24"/>
        </w:rPr>
        <w:t xml:space="preserve">baseline </w:t>
      </w:r>
      <w:r w:rsidRPr="001B4655">
        <w:rPr>
          <w:sz w:val="24"/>
          <w:szCs w:val="24"/>
        </w:rPr>
        <w:t xml:space="preserve">havde alle patienter tumorstadie T2-T4c, N0-2, M0, var ER- og/eller </w:t>
      </w:r>
      <w:proofErr w:type="spellStart"/>
      <w:r w:rsidRPr="001B4655">
        <w:rPr>
          <w:sz w:val="24"/>
          <w:szCs w:val="24"/>
        </w:rPr>
        <w:t>PgR</w:t>
      </w:r>
      <w:proofErr w:type="spellEnd"/>
      <w:r w:rsidRPr="001B4655">
        <w:rPr>
          <w:sz w:val="24"/>
          <w:szCs w:val="24"/>
        </w:rPr>
        <w:t xml:space="preserve">-positive, og ingen af patienterne ville have været egnet til brystbevarende kirurgi. Baseret på den kliniske vurdering var der 55% objektive respons i </w:t>
      </w:r>
      <w:proofErr w:type="spellStart"/>
      <w:r>
        <w:rPr>
          <w:sz w:val="24"/>
          <w:szCs w:val="24"/>
        </w:rPr>
        <w:t>l</w:t>
      </w:r>
      <w:r w:rsidRPr="001B4655">
        <w:rPr>
          <w:sz w:val="24"/>
          <w:szCs w:val="24"/>
        </w:rPr>
        <w:t>etrozol</w:t>
      </w:r>
      <w:proofErr w:type="spellEnd"/>
      <w:r w:rsidRPr="001B4655">
        <w:rPr>
          <w:sz w:val="24"/>
          <w:szCs w:val="24"/>
        </w:rPr>
        <w:t xml:space="preserve">-armen </w:t>
      </w:r>
      <w:r w:rsidRPr="001B4655">
        <w:rPr>
          <w:i/>
          <w:iCs/>
          <w:sz w:val="24"/>
          <w:szCs w:val="24"/>
        </w:rPr>
        <w:t xml:space="preserve">versus </w:t>
      </w:r>
      <w:r w:rsidRPr="001B4655">
        <w:rPr>
          <w:sz w:val="24"/>
          <w:szCs w:val="24"/>
        </w:rPr>
        <w:t xml:space="preserve">36% i </w:t>
      </w:r>
      <w:proofErr w:type="spellStart"/>
      <w:r w:rsidRPr="001B4655">
        <w:rPr>
          <w:sz w:val="24"/>
          <w:szCs w:val="24"/>
        </w:rPr>
        <w:t>tamoxifen</w:t>
      </w:r>
      <w:proofErr w:type="spellEnd"/>
      <w:r w:rsidRPr="001B4655">
        <w:rPr>
          <w:sz w:val="24"/>
          <w:szCs w:val="24"/>
        </w:rPr>
        <w:t>-armen (p&lt;0,001). Dette fund blev regelmæssigt bekræftet ved ultralyd (</w:t>
      </w:r>
      <w:proofErr w:type="spellStart"/>
      <w:r>
        <w:rPr>
          <w:sz w:val="24"/>
          <w:szCs w:val="24"/>
        </w:rPr>
        <w:t>l</w:t>
      </w:r>
      <w:r w:rsidRPr="001B4655">
        <w:rPr>
          <w:sz w:val="24"/>
          <w:szCs w:val="24"/>
        </w:rPr>
        <w:t>etrozol</w:t>
      </w:r>
      <w:proofErr w:type="spellEnd"/>
      <w:r w:rsidRPr="001B4655">
        <w:rPr>
          <w:sz w:val="24"/>
          <w:szCs w:val="24"/>
        </w:rPr>
        <w:t xml:space="preserve"> 35% </w:t>
      </w:r>
      <w:r w:rsidRPr="001B4655">
        <w:rPr>
          <w:i/>
          <w:iCs/>
          <w:sz w:val="24"/>
          <w:szCs w:val="24"/>
        </w:rPr>
        <w:t xml:space="preserve">vs. </w:t>
      </w:r>
      <w:proofErr w:type="spellStart"/>
      <w:r w:rsidRPr="001B4655">
        <w:rPr>
          <w:sz w:val="24"/>
          <w:szCs w:val="24"/>
        </w:rPr>
        <w:t>tamoxifen</w:t>
      </w:r>
      <w:proofErr w:type="spellEnd"/>
      <w:r w:rsidRPr="001B4655">
        <w:rPr>
          <w:sz w:val="24"/>
          <w:szCs w:val="24"/>
        </w:rPr>
        <w:t xml:space="preserve"> 25%, p=0,04) og mammografi (</w:t>
      </w:r>
      <w:proofErr w:type="spellStart"/>
      <w:r>
        <w:rPr>
          <w:sz w:val="24"/>
          <w:szCs w:val="24"/>
        </w:rPr>
        <w:t>l</w:t>
      </w:r>
      <w:r w:rsidRPr="001B4655">
        <w:rPr>
          <w:sz w:val="24"/>
          <w:szCs w:val="24"/>
        </w:rPr>
        <w:t>etrozol</w:t>
      </w:r>
      <w:proofErr w:type="spellEnd"/>
      <w:r w:rsidRPr="001B4655">
        <w:rPr>
          <w:sz w:val="24"/>
          <w:szCs w:val="24"/>
        </w:rPr>
        <w:t xml:space="preserve"> 34% </w:t>
      </w:r>
      <w:r w:rsidRPr="001B4655">
        <w:rPr>
          <w:i/>
          <w:iCs/>
          <w:sz w:val="24"/>
          <w:szCs w:val="24"/>
        </w:rPr>
        <w:t xml:space="preserve">vs. </w:t>
      </w:r>
      <w:proofErr w:type="spellStart"/>
      <w:r w:rsidRPr="001B4655">
        <w:rPr>
          <w:sz w:val="24"/>
          <w:szCs w:val="24"/>
        </w:rPr>
        <w:t>tamoxifen</w:t>
      </w:r>
      <w:proofErr w:type="spellEnd"/>
      <w:r w:rsidRPr="001B4655">
        <w:rPr>
          <w:sz w:val="24"/>
          <w:szCs w:val="24"/>
        </w:rPr>
        <w:t xml:space="preserve"> 16%, p&lt;0,001). Samlet gennemgik 45% af patienterne i </w:t>
      </w:r>
      <w:proofErr w:type="spellStart"/>
      <w:r>
        <w:rPr>
          <w:sz w:val="24"/>
          <w:szCs w:val="24"/>
        </w:rPr>
        <w:t>l</w:t>
      </w:r>
      <w:r w:rsidRPr="001B4655">
        <w:rPr>
          <w:sz w:val="24"/>
          <w:szCs w:val="24"/>
        </w:rPr>
        <w:t>etrozol</w:t>
      </w:r>
      <w:proofErr w:type="spellEnd"/>
      <w:r w:rsidRPr="001B4655">
        <w:rPr>
          <w:sz w:val="24"/>
          <w:szCs w:val="24"/>
        </w:rPr>
        <w:t xml:space="preserve">-gruppen </w:t>
      </w:r>
      <w:r w:rsidRPr="001B4655">
        <w:rPr>
          <w:i/>
          <w:iCs/>
          <w:sz w:val="24"/>
          <w:szCs w:val="24"/>
        </w:rPr>
        <w:t xml:space="preserve">versus </w:t>
      </w:r>
      <w:r w:rsidRPr="001B4655">
        <w:rPr>
          <w:sz w:val="24"/>
          <w:szCs w:val="24"/>
        </w:rPr>
        <w:t xml:space="preserve">35% af patienterne i </w:t>
      </w:r>
      <w:proofErr w:type="spellStart"/>
      <w:r w:rsidRPr="001B4655">
        <w:rPr>
          <w:sz w:val="24"/>
          <w:szCs w:val="24"/>
        </w:rPr>
        <w:t>tamoxifen</w:t>
      </w:r>
      <w:proofErr w:type="spellEnd"/>
      <w:r w:rsidRPr="001B4655">
        <w:rPr>
          <w:sz w:val="24"/>
          <w:szCs w:val="24"/>
        </w:rPr>
        <w:t xml:space="preserve">-gruppen (p=0,02) brystbevarende behandling. I løbet af den 4-måneders præ-operative behandlingsperiode havde 12% af de patienter, der blev behandlet med </w:t>
      </w:r>
      <w:proofErr w:type="spellStart"/>
      <w:r>
        <w:rPr>
          <w:sz w:val="24"/>
          <w:szCs w:val="24"/>
        </w:rPr>
        <w:t>l</w:t>
      </w:r>
      <w:r w:rsidRPr="001B4655">
        <w:rPr>
          <w:sz w:val="24"/>
          <w:szCs w:val="24"/>
        </w:rPr>
        <w:t>etrozol</w:t>
      </w:r>
      <w:proofErr w:type="spellEnd"/>
      <w:r w:rsidRPr="001B4655">
        <w:rPr>
          <w:sz w:val="24"/>
          <w:szCs w:val="24"/>
        </w:rPr>
        <w:t xml:space="preserve">, og 17% af de patienter, der blev behandlet med </w:t>
      </w:r>
      <w:proofErr w:type="spellStart"/>
      <w:r w:rsidRPr="001B4655">
        <w:rPr>
          <w:sz w:val="24"/>
          <w:szCs w:val="24"/>
        </w:rPr>
        <w:t>tamoxifen</w:t>
      </w:r>
      <w:proofErr w:type="spellEnd"/>
      <w:r w:rsidRPr="001B4655">
        <w:rPr>
          <w:sz w:val="24"/>
          <w:szCs w:val="24"/>
        </w:rPr>
        <w:t xml:space="preserve">, sygdomsprogression ved kliniske vurdering. </w:t>
      </w:r>
    </w:p>
    <w:p w:rsidR="000A70A6" w:rsidRPr="001B4655" w:rsidRDefault="000A70A6" w:rsidP="000A70A6">
      <w:pPr>
        <w:tabs>
          <w:tab w:val="left" w:pos="851"/>
        </w:tabs>
        <w:ind w:left="851" w:hanging="851"/>
        <w:rPr>
          <w:sz w:val="24"/>
          <w:szCs w:val="24"/>
        </w:rPr>
      </w:pPr>
    </w:p>
    <w:p w:rsidR="000A70A6" w:rsidRPr="00E77FBE" w:rsidRDefault="000A70A6" w:rsidP="000A70A6">
      <w:pPr>
        <w:tabs>
          <w:tab w:val="left" w:pos="851"/>
        </w:tabs>
        <w:ind w:left="851" w:hanging="851"/>
        <w:rPr>
          <w:i/>
          <w:sz w:val="24"/>
          <w:szCs w:val="24"/>
        </w:rPr>
      </w:pPr>
      <w:r w:rsidRPr="00E77FBE">
        <w:rPr>
          <w:i/>
          <w:sz w:val="24"/>
          <w:szCs w:val="24"/>
        </w:rPr>
        <w:tab/>
        <w:t xml:space="preserve">Første-linje-behandling </w:t>
      </w: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Et kontrolleret dobbeltblindet studie sammenlignede </w:t>
      </w:r>
      <w:proofErr w:type="spellStart"/>
      <w:r w:rsidR="000C72AD">
        <w:rPr>
          <w:sz w:val="24"/>
          <w:szCs w:val="24"/>
        </w:rPr>
        <w:t>letrozol</w:t>
      </w:r>
      <w:proofErr w:type="spellEnd"/>
      <w:r w:rsidR="000C72AD">
        <w:rPr>
          <w:sz w:val="24"/>
          <w:szCs w:val="24"/>
        </w:rPr>
        <w:t xml:space="preserve"> </w:t>
      </w:r>
      <w:r w:rsidRPr="001B4655">
        <w:rPr>
          <w:sz w:val="24"/>
          <w:szCs w:val="24"/>
        </w:rPr>
        <w:t xml:space="preserve">2,5 mg med </w:t>
      </w:r>
      <w:proofErr w:type="spellStart"/>
      <w:r w:rsidRPr="001B4655">
        <w:rPr>
          <w:sz w:val="24"/>
          <w:szCs w:val="24"/>
        </w:rPr>
        <w:t>tamoxifen</w:t>
      </w:r>
      <w:proofErr w:type="spellEnd"/>
      <w:r w:rsidRPr="001B4655">
        <w:rPr>
          <w:sz w:val="24"/>
          <w:szCs w:val="24"/>
        </w:rPr>
        <w:t xml:space="preserve"> 20 mg som første-linje-behandling til </w:t>
      </w:r>
      <w:proofErr w:type="spellStart"/>
      <w:r w:rsidRPr="001B4655">
        <w:rPr>
          <w:sz w:val="24"/>
          <w:szCs w:val="24"/>
        </w:rPr>
        <w:t>postmenopausale</w:t>
      </w:r>
      <w:proofErr w:type="spellEnd"/>
      <w:r w:rsidRPr="001B4655">
        <w:rPr>
          <w:sz w:val="24"/>
          <w:szCs w:val="24"/>
        </w:rPr>
        <w:t xml:space="preserve"> kvinder med fremskreden brystcancer. Hos 907 kvinder var </w:t>
      </w:r>
      <w:proofErr w:type="spellStart"/>
      <w:r w:rsidRPr="001B4655">
        <w:rPr>
          <w:sz w:val="24"/>
          <w:szCs w:val="24"/>
        </w:rPr>
        <w:t>letrozol</w:t>
      </w:r>
      <w:proofErr w:type="spellEnd"/>
      <w:r w:rsidRPr="001B4655">
        <w:rPr>
          <w:sz w:val="24"/>
          <w:szCs w:val="24"/>
        </w:rPr>
        <w:t xml:space="preserve"> mere effektivt end </w:t>
      </w:r>
      <w:proofErr w:type="spellStart"/>
      <w:r w:rsidRPr="001B4655">
        <w:rPr>
          <w:sz w:val="24"/>
          <w:szCs w:val="24"/>
        </w:rPr>
        <w:t>tamoxifen</w:t>
      </w:r>
      <w:proofErr w:type="spellEnd"/>
      <w:r w:rsidRPr="001B4655">
        <w:rPr>
          <w:sz w:val="24"/>
          <w:szCs w:val="24"/>
        </w:rPr>
        <w:t xml:space="preserve"> med hensyn til tid til progression (primært endepunkt) og i det totale objektive respons, tid indtil behandlingssvigt og klinisk bedring.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Opsummerede resultater findes i Tabel 9.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284"/>
        <w:rPr>
          <w:b/>
          <w:bCs/>
          <w:sz w:val="24"/>
          <w:szCs w:val="24"/>
        </w:rPr>
      </w:pPr>
      <w:r>
        <w:rPr>
          <w:b/>
          <w:bCs/>
          <w:sz w:val="24"/>
          <w:szCs w:val="24"/>
        </w:rPr>
        <w:tab/>
      </w:r>
      <w:r w:rsidRPr="001B4655">
        <w:rPr>
          <w:b/>
          <w:bCs/>
          <w:sz w:val="24"/>
          <w:szCs w:val="24"/>
        </w:rPr>
        <w:t>Tabe</w:t>
      </w:r>
      <w:r>
        <w:rPr>
          <w:b/>
          <w:bCs/>
          <w:sz w:val="24"/>
          <w:szCs w:val="24"/>
        </w:rPr>
        <w:t>l</w:t>
      </w:r>
      <w:r w:rsidRPr="001B4655">
        <w:rPr>
          <w:b/>
          <w:bCs/>
          <w:sz w:val="24"/>
          <w:szCs w:val="24"/>
        </w:rPr>
        <w:t xml:space="preserve"> 9 Resultater ved median-opfølgningstid på 32 måneder</w:t>
      </w:r>
    </w:p>
    <w:p w:rsidR="000A70A6" w:rsidRDefault="000A70A6" w:rsidP="000A70A6">
      <w:pPr>
        <w:ind w:left="284"/>
        <w:rPr>
          <w:b/>
          <w:bCs/>
          <w:sz w:val="22"/>
        </w:rPr>
      </w:pPr>
    </w:p>
    <w:tbl>
      <w:tblPr>
        <w:tblStyle w:val="Tabel-Gitter"/>
        <w:tblW w:w="0" w:type="auto"/>
        <w:tblInd w:w="0" w:type="dxa"/>
        <w:tblLook w:val="04A0" w:firstRow="1" w:lastRow="0" w:firstColumn="1" w:lastColumn="0" w:noHBand="0" w:noVBand="1"/>
      </w:tblPr>
      <w:tblGrid>
        <w:gridCol w:w="2161"/>
        <w:gridCol w:w="2483"/>
        <w:gridCol w:w="2000"/>
        <w:gridCol w:w="2100"/>
      </w:tblGrid>
      <w:tr w:rsidR="000A70A6" w:rsidTr="00F06180">
        <w:trPr>
          <w:trHeight w:val="284"/>
        </w:trPr>
        <w:tc>
          <w:tcPr>
            <w:tcW w:w="2161"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proofErr w:type="spellStart"/>
            <w:r>
              <w:rPr>
                <w:rFonts w:ascii="Times New Roman" w:hAnsi="Times New Roman" w:cs="Times New Roman"/>
                <w:b/>
                <w:bCs/>
                <w:lang w:val="en-GB"/>
              </w:rPr>
              <w:t>Variabel</w:t>
            </w:r>
            <w:proofErr w:type="spellEnd"/>
          </w:p>
        </w:tc>
        <w:tc>
          <w:tcPr>
            <w:tcW w:w="2483"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eastAsia="Times New Roman" w:hAnsi="Times New Roman" w:cs="Times New Roman"/>
                <w:b/>
                <w:spacing w:val="-3"/>
                <w:lang w:val="da-DK" w:eastAsia="da-DK"/>
              </w:rPr>
              <w:t>Statistik</w:t>
            </w:r>
          </w:p>
        </w:tc>
        <w:tc>
          <w:tcPr>
            <w:tcW w:w="2000" w:type="dxa"/>
            <w:tcBorders>
              <w:top w:val="single" w:sz="4" w:space="0" w:color="auto"/>
              <w:left w:val="single" w:sz="4" w:space="0" w:color="auto"/>
              <w:bottom w:val="single" w:sz="4" w:space="0" w:color="auto"/>
              <w:right w:val="single" w:sz="4" w:space="0" w:color="auto"/>
            </w:tcBorders>
            <w:hideMark/>
          </w:tcPr>
          <w:p w:rsidR="000A70A6" w:rsidRDefault="000A70A6" w:rsidP="00F06180">
            <w:pPr>
              <w:tabs>
                <w:tab w:val="left" w:pos="0"/>
                <w:tab w:val="left" w:pos="851"/>
              </w:tabs>
              <w:ind w:left="850"/>
              <w:rPr>
                <w:rFonts w:ascii="Times New Roman" w:eastAsia="Times New Roman" w:hAnsi="Times New Roman" w:cs="Times New Roman"/>
                <w:b/>
                <w:spacing w:val="-3"/>
                <w:lang w:val="da-DK" w:eastAsia="da-DK"/>
              </w:rPr>
            </w:pPr>
            <w:proofErr w:type="spellStart"/>
            <w:r>
              <w:rPr>
                <w:rFonts w:ascii="Times New Roman" w:eastAsia="Times New Roman" w:hAnsi="Times New Roman" w:cs="Times New Roman"/>
                <w:b/>
                <w:spacing w:val="-3"/>
                <w:lang w:val="da-DK" w:eastAsia="da-DK"/>
              </w:rPr>
              <w:t>Letrozol</w:t>
            </w:r>
            <w:proofErr w:type="spellEnd"/>
          </w:p>
          <w:p w:rsidR="000A70A6" w:rsidRDefault="000A70A6" w:rsidP="00F06180">
            <w:pPr>
              <w:rPr>
                <w:rFonts w:ascii="Times New Roman" w:hAnsi="Times New Roman" w:cs="Times New Roman"/>
                <w:lang w:val="en-GB"/>
              </w:rPr>
            </w:pPr>
            <w:r>
              <w:rPr>
                <w:rFonts w:ascii="Times New Roman" w:eastAsia="Times New Roman" w:hAnsi="Times New Roman" w:cs="Times New Roman"/>
                <w:b/>
                <w:spacing w:val="-3"/>
                <w:lang w:val="da-DK" w:eastAsia="da-DK"/>
              </w:rPr>
              <w:t>N=453</w:t>
            </w:r>
          </w:p>
        </w:tc>
        <w:tc>
          <w:tcPr>
            <w:tcW w:w="2000" w:type="dxa"/>
            <w:tcBorders>
              <w:top w:val="single" w:sz="4" w:space="0" w:color="auto"/>
              <w:left w:val="single" w:sz="4" w:space="0" w:color="auto"/>
              <w:bottom w:val="single" w:sz="4" w:space="0" w:color="auto"/>
              <w:right w:val="single" w:sz="4" w:space="0" w:color="auto"/>
            </w:tcBorders>
            <w:hideMark/>
          </w:tcPr>
          <w:p w:rsidR="000A70A6" w:rsidRDefault="000A70A6" w:rsidP="00F06180">
            <w:pPr>
              <w:tabs>
                <w:tab w:val="left" w:pos="0"/>
                <w:tab w:val="left" w:pos="851"/>
              </w:tabs>
              <w:ind w:left="850"/>
              <w:rPr>
                <w:rFonts w:ascii="Times New Roman" w:eastAsia="Times New Roman" w:hAnsi="Times New Roman" w:cs="Times New Roman"/>
                <w:b/>
                <w:spacing w:val="-3"/>
                <w:lang w:val="da-DK" w:eastAsia="da-DK"/>
              </w:rPr>
            </w:pPr>
            <w:proofErr w:type="spellStart"/>
            <w:r>
              <w:rPr>
                <w:rFonts w:ascii="Times New Roman" w:eastAsia="Times New Roman" w:hAnsi="Times New Roman" w:cs="Times New Roman"/>
                <w:b/>
                <w:spacing w:val="-3"/>
                <w:lang w:val="da-DK" w:eastAsia="da-DK"/>
              </w:rPr>
              <w:t>Tamoxifen</w:t>
            </w:r>
            <w:proofErr w:type="spellEnd"/>
          </w:p>
          <w:p w:rsidR="000A70A6" w:rsidRDefault="000A70A6" w:rsidP="00F06180">
            <w:pPr>
              <w:rPr>
                <w:rFonts w:ascii="Times New Roman" w:hAnsi="Times New Roman" w:cs="Times New Roman"/>
                <w:lang w:val="en-GB"/>
              </w:rPr>
            </w:pPr>
            <w:r>
              <w:rPr>
                <w:rFonts w:ascii="Times New Roman" w:eastAsia="Times New Roman" w:hAnsi="Times New Roman" w:cs="Times New Roman"/>
                <w:b/>
                <w:spacing w:val="-3"/>
                <w:lang w:val="da-DK" w:eastAsia="da-DK"/>
              </w:rPr>
              <w:t>n=454</w:t>
            </w:r>
          </w:p>
        </w:tc>
      </w:tr>
      <w:tr w:rsidR="000A70A6" w:rsidTr="00F06180">
        <w:trPr>
          <w:trHeight w:val="284"/>
        </w:trPr>
        <w:tc>
          <w:tcPr>
            <w:tcW w:w="2161" w:type="dxa"/>
            <w:vMerge w:val="restart"/>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eastAsia="Times New Roman" w:hAnsi="Times New Roman" w:cs="Times New Roman"/>
                <w:b/>
                <w:spacing w:val="-3"/>
                <w:lang w:val="da-DK" w:eastAsia="da-DK"/>
              </w:rPr>
              <w:t>Tid til progression</w:t>
            </w:r>
          </w:p>
        </w:tc>
        <w:tc>
          <w:tcPr>
            <w:tcW w:w="2483"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hAnsi="Times New Roman" w:cs="Times New Roman"/>
                <w:lang w:val="en-GB"/>
              </w:rPr>
              <w:t>Median</w:t>
            </w:r>
          </w:p>
        </w:tc>
        <w:tc>
          <w:tcPr>
            <w:tcW w:w="2000"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hAnsi="Times New Roman" w:cs="Times New Roman"/>
                <w:lang w:val="en-GB"/>
              </w:rPr>
              <w:t xml:space="preserve">9,4 </w:t>
            </w:r>
            <w:proofErr w:type="spellStart"/>
            <w:r>
              <w:rPr>
                <w:rFonts w:ascii="Times New Roman" w:hAnsi="Times New Roman" w:cs="Times New Roman"/>
                <w:lang w:val="en-GB"/>
              </w:rPr>
              <w:t>måneder</w:t>
            </w:r>
            <w:proofErr w:type="spellEnd"/>
          </w:p>
        </w:tc>
        <w:tc>
          <w:tcPr>
            <w:tcW w:w="2000"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hAnsi="Times New Roman" w:cs="Times New Roman"/>
                <w:lang w:val="en-GB"/>
              </w:rPr>
              <w:t xml:space="preserve">6,0 </w:t>
            </w:r>
            <w:proofErr w:type="spellStart"/>
            <w:r>
              <w:rPr>
                <w:rFonts w:ascii="Times New Roman" w:hAnsi="Times New Roman" w:cs="Times New Roman"/>
                <w:lang w:val="en-GB"/>
              </w:rPr>
              <w:t>måneder</w:t>
            </w:r>
            <w:proofErr w:type="spellEnd"/>
          </w:p>
        </w:tc>
      </w:tr>
      <w:tr w:rsidR="000A70A6" w:rsidTr="00F0618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70A6" w:rsidRDefault="000A70A6" w:rsidP="00F06180">
            <w:pPr>
              <w:rPr>
                <w:rFonts w:ascii="Times New Roman" w:hAnsi="Times New Roman" w:cs="Times New Roman"/>
                <w:sz w:val="22"/>
                <w:lang w:val="en-GB"/>
              </w:rPr>
            </w:pPr>
          </w:p>
        </w:tc>
        <w:tc>
          <w:tcPr>
            <w:tcW w:w="2483"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hAnsi="Times New Roman" w:cs="Times New Roman"/>
                <w:lang w:val="en-GB"/>
              </w:rPr>
              <w:t xml:space="preserve">(95% </w:t>
            </w:r>
            <w:r>
              <w:rPr>
                <w:rFonts w:ascii="Times New Roman" w:eastAsia="Times New Roman" w:hAnsi="Times New Roman" w:cs="Times New Roman"/>
                <w:spacing w:val="-3"/>
                <w:lang w:val="da-DK" w:eastAsia="da-DK"/>
              </w:rPr>
              <w:t>KI</w:t>
            </w:r>
            <w:r>
              <w:rPr>
                <w:rFonts w:ascii="Times New Roman" w:eastAsia="Times New Roman" w:hAnsi="Times New Roman" w:cs="Times New Roman"/>
                <w:spacing w:val="-3"/>
                <w:vertAlign w:val="superscript"/>
                <w:lang w:val="da-DK" w:eastAsia="da-DK"/>
              </w:rPr>
              <w:t>1)</w:t>
            </w:r>
            <w:r>
              <w:rPr>
                <w:rFonts w:ascii="Times New Roman" w:eastAsia="Times New Roman" w:hAnsi="Times New Roman" w:cs="Times New Roman"/>
                <w:spacing w:val="-3"/>
                <w:lang w:val="da-DK" w:eastAsia="da-DK"/>
              </w:rPr>
              <w:t xml:space="preserve"> </w:t>
            </w:r>
            <w:r>
              <w:rPr>
                <w:rFonts w:ascii="Times New Roman" w:hAnsi="Times New Roman" w:cs="Times New Roman"/>
                <w:lang w:val="en-GB"/>
              </w:rPr>
              <w:t>for median)</w:t>
            </w:r>
          </w:p>
        </w:tc>
        <w:tc>
          <w:tcPr>
            <w:tcW w:w="2000"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eastAsia="Times New Roman" w:hAnsi="Times New Roman" w:cs="Times New Roman"/>
                <w:spacing w:val="-3"/>
                <w:lang w:val="da-DK" w:eastAsia="da-DK"/>
              </w:rPr>
              <w:t>(8,9; 11,6 måneder)</w:t>
            </w:r>
          </w:p>
        </w:tc>
        <w:tc>
          <w:tcPr>
            <w:tcW w:w="2000"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eastAsia="Times New Roman" w:hAnsi="Times New Roman" w:cs="Times New Roman"/>
                <w:spacing w:val="-3"/>
                <w:lang w:val="da-DK" w:eastAsia="da-DK"/>
              </w:rPr>
              <w:t>(5,4; 6,3 måneder)</w:t>
            </w:r>
          </w:p>
        </w:tc>
      </w:tr>
      <w:tr w:rsidR="000A70A6" w:rsidTr="00F0618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70A6" w:rsidRDefault="000A70A6" w:rsidP="00F06180">
            <w:pPr>
              <w:rPr>
                <w:rFonts w:ascii="Times New Roman" w:hAnsi="Times New Roman" w:cs="Times New Roman"/>
                <w:sz w:val="22"/>
                <w:lang w:val="en-GB"/>
              </w:rPr>
            </w:pPr>
          </w:p>
        </w:tc>
        <w:tc>
          <w:tcPr>
            <w:tcW w:w="2483"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eastAsia="Times New Roman" w:hAnsi="Times New Roman" w:cs="Times New Roman"/>
                <w:spacing w:val="-3"/>
                <w:lang w:val="da-DK" w:eastAsia="da-DK"/>
              </w:rPr>
              <w:t>Relativ risiko (RR)</w:t>
            </w:r>
          </w:p>
        </w:tc>
        <w:tc>
          <w:tcPr>
            <w:tcW w:w="4000" w:type="dxa"/>
            <w:gridSpan w:val="2"/>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hAnsi="Times New Roman" w:cs="Times New Roman"/>
                <w:lang w:val="en-GB"/>
              </w:rPr>
              <w:t>0,72</w:t>
            </w:r>
          </w:p>
        </w:tc>
      </w:tr>
      <w:tr w:rsidR="000A70A6" w:rsidTr="00F0618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70A6" w:rsidRDefault="000A70A6" w:rsidP="00F06180">
            <w:pPr>
              <w:rPr>
                <w:rFonts w:ascii="Times New Roman" w:hAnsi="Times New Roman" w:cs="Times New Roman"/>
                <w:sz w:val="22"/>
                <w:lang w:val="en-GB"/>
              </w:rPr>
            </w:pPr>
          </w:p>
        </w:tc>
        <w:tc>
          <w:tcPr>
            <w:tcW w:w="2483"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eastAsia="Times New Roman" w:hAnsi="Times New Roman" w:cs="Times New Roman"/>
                <w:spacing w:val="-3"/>
                <w:lang w:val="da-DK" w:eastAsia="da-DK"/>
              </w:rPr>
              <w:t>(95 % KI for RR)</w:t>
            </w:r>
          </w:p>
        </w:tc>
        <w:tc>
          <w:tcPr>
            <w:tcW w:w="4000" w:type="dxa"/>
            <w:gridSpan w:val="2"/>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hAnsi="Times New Roman" w:cs="Times New Roman"/>
                <w:lang w:val="en-GB"/>
              </w:rPr>
              <w:t>(0,62; 0,83)</w:t>
            </w:r>
          </w:p>
        </w:tc>
      </w:tr>
      <w:tr w:rsidR="000A70A6" w:rsidTr="00F0618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70A6" w:rsidRDefault="000A70A6" w:rsidP="00F06180">
            <w:pPr>
              <w:rPr>
                <w:rFonts w:ascii="Times New Roman" w:hAnsi="Times New Roman" w:cs="Times New Roman"/>
                <w:sz w:val="22"/>
                <w:lang w:val="en-GB"/>
              </w:rPr>
            </w:pPr>
          </w:p>
        </w:tc>
        <w:tc>
          <w:tcPr>
            <w:tcW w:w="2483" w:type="dxa"/>
            <w:tcBorders>
              <w:top w:val="single" w:sz="4" w:space="0" w:color="auto"/>
              <w:left w:val="single" w:sz="4" w:space="0" w:color="auto"/>
              <w:bottom w:val="single" w:sz="4" w:space="0" w:color="auto"/>
              <w:right w:val="single" w:sz="4" w:space="0" w:color="auto"/>
            </w:tcBorders>
          </w:tcPr>
          <w:p w:rsidR="000A70A6" w:rsidRDefault="000A70A6" w:rsidP="00F06180">
            <w:pPr>
              <w:rPr>
                <w:rFonts w:ascii="Times New Roman" w:hAnsi="Times New Roman" w:cs="Times New Roman"/>
                <w:lang w:val="en-GB"/>
              </w:rPr>
            </w:pPr>
          </w:p>
        </w:tc>
        <w:tc>
          <w:tcPr>
            <w:tcW w:w="4000" w:type="dxa"/>
            <w:gridSpan w:val="2"/>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hAnsi="Times New Roman" w:cs="Times New Roman"/>
                <w:i/>
                <w:lang w:val="en-GB"/>
              </w:rPr>
              <w:t>P</w:t>
            </w:r>
            <w:r>
              <w:rPr>
                <w:rFonts w:ascii="Times New Roman" w:hAnsi="Times New Roman" w:cs="Times New Roman"/>
                <w:lang w:val="en-GB"/>
              </w:rPr>
              <w:t xml:space="preserve"> &lt; 0,0001</w:t>
            </w:r>
          </w:p>
        </w:tc>
      </w:tr>
      <w:tr w:rsidR="000A70A6" w:rsidTr="00F06180">
        <w:trPr>
          <w:trHeight w:val="284"/>
        </w:trPr>
        <w:tc>
          <w:tcPr>
            <w:tcW w:w="2161" w:type="dxa"/>
            <w:tcBorders>
              <w:top w:val="single" w:sz="4" w:space="0" w:color="auto"/>
              <w:left w:val="single" w:sz="4" w:space="0" w:color="auto"/>
              <w:bottom w:val="single" w:sz="4" w:space="0" w:color="auto"/>
              <w:right w:val="single" w:sz="4" w:space="0" w:color="auto"/>
            </w:tcBorders>
            <w:hideMark/>
          </w:tcPr>
          <w:p w:rsidR="000A70A6" w:rsidRDefault="000A70A6" w:rsidP="00690DED">
            <w:pPr>
              <w:keepNext/>
              <w:rPr>
                <w:rFonts w:ascii="Times New Roman" w:hAnsi="Times New Roman" w:cs="Times New Roman"/>
                <w:lang w:val="en-GB"/>
              </w:rPr>
            </w:pPr>
            <w:proofErr w:type="spellStart"/>
            <w:r>
              <w:rPr>
                <w:rFonts w:ascii="Times New Roman" w:eastAsia="Times New Roman" w:hAnsi="Times New Roman" w:cs="Times New Roman"/>
                <w:b/>
                <w:spacing w:val="-3"/>
                <w:lang w:val="en-GB" w:eastAsia="da-DK"/>
              </w:rPr>
              <w:t>Objektiv</w:t>
            </w:r>
            <w:proofErr w:type="spellEnd"/>
            <w:r>
              <w:rPr>
                <w:rFonts w:ascii="Times New Roman" w:eastAsia="Times New Roman" w:hAnsi="Times New Roman" w:cs="Times New Roman"/>
                <w:b/>
                <w:spacing w:val="-3"/>
                <w:lang w:val="en-GB" w:eastAsia="da-DK"/>
              </w:rPr>
              <w:t xml:space="preserve"> </w:t>
            </w:r>
            <w:proofErr w:type="spellStart"/>
            <w:r>
              <w:rPr>
                <w:rFonts w:ascii="Times New Roman" w:eastAsia="Times New Roman" w:hAnsi="Times New Roman" w:cs="Times New Roman"/>
                <w:b/>
                <w:spacing w:val="-3"/>
                <w:lang w:val="en-GB" w:eastAsia="da-DK"/>
              </w:rPr>
              <w:t>respons</w:t>
            </w:r>
            <w:proofErr w:type="spellEnd"/>
            <w:r>
              <w:rPr>
                <w:rFonts w:ascii="Times New Roman" w:eastAsia="Times New Roman" w:hAnsi="Times New Roman" w:cs="Times New Roman"/>
                <w:b/>
                <w:spacing w:val="-3"/>
                <w:lang w:val="en-GB" w:eastAsia="da-DK"/>
              </w:rPr>
              <w:t xml:space="preserve"> rate (ORR)</w:t>
            </w:r>
          </w:p>
        </w:tc>
        <w:tc>
          <w:tcPr>
            <w:tcW w:w="2483" w:type="dxa"/>
            <w:tcBorders>
              <w:top w:val="single" w:sz="4" w:space="0" w:color="auto"/>
              <w:left w:val="single" w:sz="4" w:space="0" w:color="auto"/>
              <w:bottom w:val="single" w:sz="4" w:space="0" w:color="auto"/>
              <w:right w:val="single" w:sz="4" w:space="0" w:color="auto"/>
            </w:tcBorders>
            <w:hideMark/>
          </w:tcPr>
          <w:p w:rsidR="000A70A6" w:rsidRDefault="000A70A6" w:rsidP="00690DED">
            <w:pPr>
              <w:keepNext/>
              <w:rPr>
                <w:rFonts w:ascii="Times New Roman" w:hAnsi="Times New Roman" w:cs="Times New Roman"/>
                <w:lang w:val="en-GB"/>
              </w:rPr>
            </w:pPr>
            <w:r>
              <w:rPr>
                <w:rFonts w:ascii="Times New Roman" w:eastAsia="Times New Roman" w:hAnsi="Times New Roman" w:cs="Times New Roman"/>
                <w:spacing w:val="-3"/>
                <w:lang w:val="da-DK" w:eastAsia="da-DK"/>
              </w:rPr>
              <w:t>CR</w:t>
            </w:r>
            <w:proofErr w:type="gramStart"/>
            <w:r>
              <w:rPr>
                <w:rFonts w:ascii="Times New Roman" w:eastAsia="Times New Roman" w:hAnsi="Times New Roman" w:cs="Times New Roman"/>
                <w:spacing w:val="-3"/>
                <w:vertAlign w:val="superscript"/>
                <w:lang w:val="da-DK" w:eastAsia="da-DK"/>
              </w:rPr>
              <w:t>2)</w:t>
            </w:r>
            <w:r>
              <w:rPr>
                <w:rFonts w:ascii="Times New Roman" w:eastAsia="Times New Roman" w:hAnsi="Times New Roman" w:cs="Times New Roman"/>
                <w:spacing w:val="-3"/>
                <w:lang w:val="da-DK" w:eastAsia="da-DK"/>
              </w:rPr>
              <w:t>+</w:t>
            </w:r>
            <w:proofErr w:type="gramEnd"/>
            <w:r>
              <w:rPr>
                <w:rFonts w:ascii="Times New Roman" w:eastAsia="Times New Roman" w:hAnsi="Times New Roman" w:cs="Times New Roman"/>
                <w:spacing w:val="-3"/>
                <w:lang w:val="da-DK" w:eastAsia="da-DK"/>
              </w:rPr>
              <w:t>PR</w:t>
            </w:r>
            <w:r>
              <w:rPr>
                <w:rFonts w:ascii="Times New Roman" w:eastAsia="Times New Roman" w:hAnsi="Times New Roman" w:cs="Times New Roman"/>
                <w:spacing w:val="-3"/>
                <w:vertAlign w:val="superscript"/>
                <w:lang w:val="da-DK" w:eastAsia="da-DK"/>
              </w:rPr>
              <w:t>3)</w:t>
            </w:r>
          </w:p>
        </w:tc>
        <w:tc>
          <w:tcPr>
            <w:tcW w:w="2000" w:type="dxa"/>
            <w:tcBorders>
              <w:top w:val="single" w:sz="4" w:space="0" w:color="auto"/>
              <w:left w:val="single" w:sz="4" w:space="0" w:color="auto"/>
              <w:bottom w:val="single" w:sz="4" w:space="0" w:color="auto"/>
              <w:right w:val="single" w:sz="4" w:space="0" w:color="auto"/>
            </w:tcBorders>
            <w:hideMark/>
          </w:tcPr>
          <w:p w:rsidR="000A70A6" w:rsidRDefault="000A70A6" w:rsidP="00690DED">
            <w:pPr>
              <w:keepNext/>
              <w:rPr>
                <w:rFonts w:ascii="Times New Roman" w:hAnsi="Times New Roman" w:cs="Times New Roman"/>
                <w:lang w:val="en-GB"/>
              </w:rPr>
            </w:pPr>
            <w:r>
              <w:rPr>
                <w:rFonts w:ascii="Times New Roman" w:hAnsi="Times New Roman" w:cs="Times New Roman"/>
                <w:lang w:val="en-GB"/>
              </w:rPr>
              <w:t>145 (32%)</w:t>
            </w:r>
          </w:p>
        </w:tc>
        <w:tc>
          <w:tcPr>
            <w:tcW w:w="2000" w:type="dxa"/>
            <w:tcBorders>
              <w:top w:val="single" w:sz="4" w:space="0" w:color="auto"/>
              <w:left w:val="single" w:sz="4" w:space="0" w:color="auto"/>
              <w:bottom w:val="single" w:sz="4" w:space="0" w:color="auto"/>
              <w:right w:val="single" w:sz="4" w:space="0" w:color="auto"/>
            </w:tcBorders>
            <w:hideMark/>
          </w:tcPr>
          <w:p w:rsidR="000A70A6" w:rsidRDefault="000A70A6" w:rsidP="00690DED">
            <w:pPr>
              <w:keepNext/>
              <w:rPr>
                <w:rFonts w:ascii="Times New Roman" w:hAnsi="Times New Roman" w:cs="Times New Roman"/>
                <w:lang w:val="en-GB"/>
              </w:rPr>
            </w:pPr>
            <w:r>
              <w:rPr>
                <w:rFonts w:ascii="Times New Roman" w:hAnsi="Times New Roman" w:cs="Times New Roman"/>
                <w:lang w:val="en-GB"/>
              </w:rPr>
              <w:t>95 (21%)</w:t>
            </w:r>
          </w:p>
        </w:tc>
      </w:tr>
      <w:tr w:rsidR="000A70A6" w:rsidTr="00F06180">
        <w:trPr>
          <w:trHeight w:val="284"/>
        </w:trPr>
        <w:tc>
          <w:tcPr>
            <w:tcW w:w="2161" w:type="dxa"/>
            <w:tcBorders>
              <w:top w:val="single" w:sz="4" w:space="0" w:color="auto"/>
              <w:left w:val="single" w:sz="4" w:space="0" w:color="auto"/>
              <w:bottom w:val="single" w:sz="4" w:space="0" w:color="auto"/>
              <w:right w:val="single" w:sz="4" w:space="0" w:color="auto"/>
            </w:tcBorders>
          </w:tcPr>
          <w:p w:rsidR="000A70A6" w:rsidRDefault="000A70A6" w:rsidP="00F06180">
            <w:pPr>
              <w:rPr>
                <w:rFonts w:ascii="Times New Roman" w:hAnsi="Times New Roman" w:cs="Times New Roman"/>
                <w:lang w:val="en-GB"/>
              </w:rPr>
            </w:pPr>
          </w:p>
        </w:tc>
        <w:tc>
          <w:tcPr>
            <w:tcW w:w="2483"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hAnsi="Times New Roman" w:cs="Times New Roman"/>
                <w:lang w:val="en-GB"/>
              </w:rPr>
              <w:t>(95% KI for rate)</w:t>
            </w:r>
          </w:p>
        </w:tc>
        <w:tc>
          <w:tcPr>
            <w:tcW w:w="2000"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hAnsi="Times New Roman" w:cs="Times New Roman"/>
                <w:lang w:val="en-GB"/>
              </w:rPr>
              <w:t>(28, 36%)</w:t>
            </w:r>
          </w:p>
        </w:tc>
        <w:tc>
          <w:tcPr>
            <w:tcW w:w="2000"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hAnsi="Times New Roman" w:cs="Times New Roman"/>
                <w:lang w:val="en-GB"/>
              </w:rPr>
              <w:t>(17, 25%)</w:t>
            </w:r>
          </w:p>
        </w:tc>
      </w:tr>
      <w:tr w:rsidR="000A70A6" w:rsidTr="00F06180">
        <w:trPr>
          <w:trHeight w:val="284"/>
        </w:trPr>
        <w:tc>
          <w:tcPr>
            <w:tcW w:w="2161" w:type="dxa"/>
            <w:tcBorders>
              <w:top w:val="single" w:sz="4" w:space="0" w:color="auto"/>
              <w:left w:val="single" w:sz="4" w:space="0" w:color="auto"/>
              <w:bottom w:val="single" w:sz="4" w:space="0" w:color="auto"/>
              <w:right w:val="single" w:sz="4" w:space="0" w:color="auto"/>
            </w:tcBorders>
          </w:tcPr>
          <w:p w:rsidR="000A70A6" w:rsidRDefault="000A70A6" w:rsidP="00F06180">
            <w:pPr>
              <w:rPr>
                <w:rFonts w:ascii="Times New Roman" w:hAnsi="Times New Roman" w:cs="Times New Roman"/>
                <w:lang w:val="en-GB"/>
              </w:rPr>
            </w:pPr>
          </w:p>
        </w:tc>
        <w:tc>
          <w:tcPr>
            <w:tcW w:w="2483"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hAnsi="Times New Roman" w:cs="Times New Roman"/>
                <w:lang w:val="en-GB"/>
              </w:rPr>
              <w:t>Odds</w:t>
            </w:r>
            <w:r w:rsidR="000C72AD">
              <w:rPr>
                <w:rFonts w:ascii="Times New Roman" w:hAnsi="Times New Roman" w:cs="Times New Roman"/>
                <w:lang w:val="en-GB"/>
              </w:rPr>
              <w:t>-</w:t>
            </w:r>
            <w:r>
              <w:rPr>
                <w:rFonts w:ascii="Times New Roman" w:hAnsi="Times New Roman" w:cs="Times New Roman"/>
                <w:lang w:val="en-GB"/>
              </w:rPr>
              <w:t>forhold</w:t>
            </w:r>
          </w:p>
        </w:tc>
        <w:tc>
          <w:tcPr>
            <w:tcW w:w="2000"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hAnsi="Times New Roman" w:cs="Times New Roman"/>
                <w:lang w:val="en-GB"/>
              </w:rPr>
              <w:t>1,78</w:t>
            </w:r>
          </w:p>
        </w:tc>
        <w:tc>
          <w:tcPr>
            <w:tcW w:w="2000" w:type="dxa"/>
            <w:tcBorders>
              <w:top w:val="single" w:sz="4" w:space="0" w:color="auto"/>
              <w:left w:val="single" w:sz="4" w:space="0" w:color="auto"/>
              <w:bottom w:val="single" w:sz="4" w:space="0" w:color="auto"/>
              <w:right w:val="single" w:sz="4" w:space="0" w:color="auto"/>
            </w:tcBorders>
          </w:tcPr>
          <w:p w:rsidR="000A70A6" w:rsidRDefault="000A70A6" w:rsidP="00F06180">
            <w:pPr>
              <w:rPr>
                <w:rFonts w:ascii="Times New Roman" w:hAnsi="Times New Roman" w:cs="Times New Roman"/>
                <w:lang w:val="en-GB"/>
              </w:rPr>
            </w:pPr>
          </w:p>
        </w:tc>
      </w:tr>
      <w:tr w:rsidR="000A70A6" w:rsidTr="00F06180">
        <w:trPr>
          <w:trHeight w:val="284"/>
        </w:trPr>
        <w:tc>
          <w:tcPr>
            <w:tcW w:w="2161" w:type="dxa"/>
            <w:tcBorders>
              <w:top w:val="single" w:sz="4" w:space="0" w:color="auto"/>
              <w:left w:val="single" w:sz="4" w:space="0" w:color="auto"/>
              <w:bottom w:val="single" w:sz="4" w:space="0" w:color="auto"/>
              <w:right w:val="single" w:sz="4" w:space="0" w:color="auto"/>
            </w:tcBorders>
          </w:tcPr>
          <w:p w:rsidR="000A70A6" w:rsidRDefault="000A70A6" w:rsidP="00F06180">
            <w:pPr>
              <w:rPr>
                <w:rFonts w:ascii="Times New Roman" w:hAnsi="Times New Roman" w:cs="Times New Roman"/>
                <w:lang w:val="en-GB"/>
              </w:rPr>
            </w:pPr>
          </w:p>
        </w:tc>
        <w:tc>
          <w:tcPr>
            <w:tcW w:w="2483"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eastAsia="Times New Roman" w:hAnsi="Times New Roman" w:cs="Times New Roman"/>
                <w:spacing w:val="-3"/>
                <w:lang w:val="da-DK" w:eastAsia="da-DK"/>
              </w:rPr>
              <w:t>(95 % KI for odds</w:t>
            </w:r>
            <w:r w:rsidR="000C72AD">
              <w:rPr>
                <w:rFonts w:ascii="Times New Roman" w:eastAsia="Times New Roman" w:hAnsi="Times New Roman" w:cs="Times New Roman"/>
                <w:spacing w:val="-3"/>
                <w:lang w:val="da-DK" w:eastAsia="da-DK"/>
              </w:rPr>
              <w:t>-</w:t>
            </w:r>
            <w:r>
              <w:rPr>
                <w:rFonts w:ascii="Times New Roman" w:eastAsia="Times New Roman" w:hAnsi="Times New Roman" w:cs="Times New Roman"/>
                <w:spacing w:val="-3"/>
                <w:lang w:val="da-DK" w:eastAsia="da-DK"/>
              </w:rPr>
              <w:t>forhold)</w:t>
            </w:r>
          </w:p>
        </w:tc>
        <w:tc>
          <w:tcPr>
            <w:tcW w:w="2000"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hAnsi="Times New Roman" w:cs="Times New Roman"/>
                <w:lang w:val="en-GB"/>
              </w:rPr>
              <w:t>(1,32; 2,40)</w:t>
            </w:r>
          </w:p>
        </w:tc>
        <w:tc>
          <w:tcPr>
            <w:tcW w:w="2000" w:type="dxa"/>
            <w:tcBorders>
              <w:top w:val="single" w:sz="4" w:space="0" w:color="auto"/>
              <w:left w:val="single" w:sz="4" w:space="0" w:color="auto"/>
              <w:bottom w:val="single" w:sz="4" w:space="0" w:color="auto"/>
              <w:right w:val="single" w:sz="4" w:space="0" w:color="auto"/>
            </w:tcBorders>
          </w:tcPr>
          <w:p w:rsidR="000A70A6" w:rsidRDefault="000A70A6" w:rsidP="00F06180">
            <w:pPr>
              <w:rPr>
                <w:rFonts w:ascii="Times New Roman" w:hAnsi="Times New Roman" w:cs="Times New Roman"/>
                <w:lang w:val="en-GB"/>
              </w:rPr>
            </w:pPr>
          </w:p>
        </w:tc>
      </w:tr>
      <w:tr w:rsidR="000A70A6" w:rsidTr="00F06180">
        <w:trPr>
          <w:trHeight w:val="284"/>
        </w:trPr>
        <w:tc>
          <w:tcPr>
            <w:tcW w:w="2161" w:type="dxa"/>
            <w:tcBorders>
              <w:top w:val="single" w:sz="4" w:space="0" w:color="auto"/>
              <w:left w:val="single" w:sz="4" w:space="0" w:color="auto"/>
              <w:bottom w:val="single" w:sz="4" w:space="0" w:color="auto"/>
              <w:right w:val="single" w:sz="4" w:space="0" w:color="auto"/>
            </w:tcBorders>
          </w:tcPr>
          <w:p w:rsidR="000A70A6" w:rsidRDefault="000A70A6" w:rsidP="00F06180">
            <w:pPr>
              <w:rPr>
                <w:rFonts w:ascii="Times New Roman" w:hAnsi="Times New Roman" w:cs="Times New Roman"/>
                <w:lang w:val="en-GB"/>
              </w:rPr>
            </w:pPr>
          </w:p>
        </w:tc>
        <w:tc>
          <w:tcPr>
            <w:tcW w:w="2483" w:type="dxa"/>
            <w:tcBorders>
              <w:top w:val="single" w:sz="4" w:space="0" w:color="auto"/>
              <w:left w:val="single" w:sz="4" w:space="0" w:color="auto"/>
              <w:bottom w:val="single" w:sz="4" w:space="0" w:color="auto"/>
              <w:right w:val="single" w:sz="4" w:space="0" w:color="auto"/>
            </w:tcBorders>
          </w:tcPr>
          <w:p w:rsidR="000A70A6" w:rsidRDefault="000A70A6" w:rsidP="00F06180">
            <w:pPr>
              <w:rPr>
                <w:rFonts w:ascii="Times New Roman" w:hAnsi="Times New Roman" w:cs="Times New Roman"/>
                <w:lang w:val="en-GB"/>
              </w:rPr>
            </w:pPr>
          </w:p>
        </w:tc>
        <w:tc>
          <w:tcPr>
            <w:tcW w:w="2000"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hAnsi="Times New Roman" w:cs="Times New Roman"/>
                <w:i/>
                <w:lang w:val="en-GB"/>
              </w:rPr>
              <w:t>P</w:t>
            </w:r>
            <w:r>
              <w:rPr>
                <w:rFonts w:ascii="Times New Roman" w:hAnsi="Times New Roman" w:cs="Times New Roman"/>
                <w:lang w:val="en-GB"/>
              </w:rPr>
              <w:t xml:space="preserve"> = 0,0002</w:t>
            </w:r>
          </w:p>
        </w:tc>
        <w:tc>
          <w:tcPr>
            <w:tcW w:w="2000" w:type="dxa"/>
            <w:tcBorders>
              <w:top w:val="single" w:sz="4" w:space="0" w:color="auto"/>
              <w:left w:val="single" w:sz="4" w:space="0" w:color="auto"/>
              <w:bottom w:val="single" w:sz="4" w:space="0" w:color="auto"/>
              <w:right w:val="single" w:sz="4" w:space="0" w:color="auto"/>
            </w:tcBorders>
          </w:tcPr>
          <w:p w:rsidR="000A70A6" w:rsidRDefault="000A70A6" w:rsidP="00F06180">
            <w:pPr>
              <w:rPr>
                <w:rFonts w:ascii="Times New Roman" w:hAnsi="Times New Roman" w:cs="Times New Roman"/>
                <w:lang w:val="en-GB"/>
              </w:rPr>
            </w:pPr>
          </w:p>
        </w:tc>
      </w:tr>
    </w:tbl>
    <w:p w:rsidR="000A70A6" w:rsidRDefault="000A70A6" w:rsidP="000A70A6">
      <w:pPr>
        <w:rPr>
          <w:b/>
          <w:bCs/>
          <w:sz w:val="22"/>
          <w:szCs w:val="22"/>
          <w:lang w:val="en-US"/>
        </w:rPr>
      </w:pPr>
    </w:p>
    <w:p w:rsidR="000A70A6" w:rsidRPr="0007670C" w:rsidRDefault="000A70A6" w:rsidP="000A70A6">
      <w:pPr>
        <w:autoSpaceDE w:val="0"/>
        <w:autoSpaceDN w:val="0"/>
        <w:adjustRightInd w:val="0"/>
        <w:ind w:left="851"/>
        <w:rPr>
          <w:color w:val="000000"/>
          <w:sz w:val="24"/>
          <w:szCs w:val="24"/>
        </w:rPr>
      </w:pPr>
      <w:r w:rsidRPr="0007670C">
        <w:rPr>
          <w:color w:val="000000"/>
          <w:sz w:val="24"/>
          <w:szCs w:val="24"/>
        </w:rPr>
        <w:lastRenderedPageBreak/>
        <w:t xml:space="preserve">Progressionstiden var signifikant længere og responsrater signifikant højere for </w:t>
      </w:r>
      <w:proofErr w:type="spellStart"/>
      <w:r w:rsidRPr="0007670C">
        <w:rPr>
          <w:color w:val="000000"/>
          <w:sz w:val="24"/>
          <w:szCs w:val="24"/>
        </w:rPr>
        <w:t>letrozol</w:t>
      </w:r>
      <w:proofErr w:type="spellEnd"/>
      <w:r w:rsidRPr="0007670C">
        <w:rPr>
          <w:color w:val="000000"/>
          <w:sz w:val="24"/>
          <w:szCs w:val="24"/>
        </w:rPr>
        <w:t xml:space="preserve"> uafhængigt af, om der var givet </w:t>
      </w:r>
      <w:proofErr w:type="spellStart"/>
      <w:r w:rsidRPr="0007670C">
        <w:rPr>
          <w:color w:val="000000"/>
          <w:sz w:val="24"/>
          <w:szCs w:val="24"/>
        </w:rPr>
        <w:t>adjuverende</w:t>
      </w:r>
      <w:proofErr w:type="spellEnd"/>
      <w:r w:rsidRPr="0007670C">
        <w:rPr>
          <w:color w:val="000000"/>
          <w:sz w:val="24"/>
          <w:szCs w:val="24"/>
        </w:rPr>
        <w:t xml:space="preserve"> antiøstrogen-behandling eller ej. Progressionstiden var signifikant længere for </w:t>
      </w:r>
      <w:proofErr w:type="spellStart"/>
      <w:r w:rsidRPr="0007670C">
        <w:rPr>
          <w:color w:val="000000"/>
          <w:sz w:val="24"/>
          <w:szCs w:val="24"/>
        </w:rPr>
        <w:t>letrozol</w:t>
      </w:r>
      <w:proofErr w:type="spellEnd"/>
      <w:r w:rsidRPr="0007670C">
        <w:rPr>
          <w:color w:val="000000"/>
          <w:sz w:val="24"/>
          <w:szCs w:val="24"/>
        </w:rPr>
        <w:t xml:space="preserve"> uafhængigt af det dominerende sygdomssted. Mediantid til progression var 12,1 måneder for </w:t>
      </w:r>
      <w:proofErr w:type="spellStart"/>
      <w:r w:rsidRPr="0007670C">
        <w:rPr>
          <w:color w:val="000000"/>
          <w:sz w:val="24"/>
          <w:szCs w:val="24"/>
        </w:rPr>
        <w:t>letrozol</w:t>
      </w:r>
      <w:proofErr w:type="spellEnd"/>
      <w:r w:rsidRPr="0007670C">
        <w:rPr>
          <w:color w:val="000000"/>
          <w:sz w:val="24"/>
          <w:szCs w:val="24"/>
        </w:rPr>
        <w:t xml:space="preserve"> og 6,4 måneder for </w:t>
      </w:r>
      <w:proofErr w:type="spellStart"/>
      <w:r w:rsidRPr="0007670C">
        <w:rPr>
          <w:color w:val="000000"/>
          <w:sz w:val="24"/>
          <w:szCs w:val="24"/>
        </w:rPr>
        <w:t>tamoxifen</w:t>
      </w:r>
      <w:proofErr w:type="spellEnd"/>
      <w:r w:rsidRPr="0007670C">
        <w:rPr>
          <w:color w:val="000000"/>
          <w:sz w:val="24"/>
          <w:szCs w:val="24"/>
        </w:rPr>
        <w:t xml:space="preserve"> hos patienter med sygdom udelukkende i bløddele og 8,3 måneder for </w:t>
      </w:r>
      <w:proofErr w:type="spellStart"/>
      <w:r w:rsidRPr="0007670C">
        <w:rPr>
          <w:color w:val="000000"/>
          <w:sz w:val="24"/>
          <w:szCs w:val="24"/>
        </w:rPr>
        <w:t>letrozol</w:t>
      </w:r>
      <w:proofErr w:type="spellEnd"/>
      <w:r w:rsidRPr="0007670C">
        <w:rPr>
          <w:color w:val="000000"/>
          <w:sz w:val="24"/>
          <w:szCs w:val="24"/>
        </w:rPr>
        <w:t xml:space="preserve"> og 4,6 måneder for </w:t>
      </w:r>
      <w:proofErr w:type="spellStart"/>
      <w:r w:rsidRPr="0007670C">
        <w:rPr>
          <w:color w:val="000000"/>
          <w:sz w:val="24"/>
          <w:szCs w:val="24"/>
        </w:rPr>
        <w:t>tamoxifen</w:t>
      </w:r>
      <w:proofErr w:type="spellEnd"/>
      <w:r w:rsidRPr="0007670C">
        <w:rPr>
          <w:color w:val="000000"/>
          <w:sz w:val="24"/>
          <w:szCs w:val="24"/>
        </w:rPr>
        <w:t xml:space="preserve"> hos patienter med </w:t>
      </w:r>
      <w:proofErr w:type="spellStart"/>
      <w:r w:rsidRPr="0007670C">
        <w:rPr>
          <w:color w:val="000000"/>
          <w:sz w:val="24"/>
          <w:szCs w:val="24"/>
        </w:rPr>
        <w:t>viscerale</w:t>
      </w:r>
      <w:proofErr w:type="spellEnd"/>
      <w:r w:rsidRPr="0007670C">
        <w:rPr>
          <w:color w:val="000000"/>
          <w:sz w:val="24"/>
          <w:szCs w:val="24"/>
        </w:rPr>
        <w:t xml:space="preserve"> metastaser. </w:t>
      </w:r>
    </w:p>
    <w:p w:rsidR="000A70A6" w:rsidRPr="0007670C" w:rsidRDefault="000A70A6" w:rsidP="000A70A6">
      <w:pPr>
        <w:autoSpaceDE w:val="0"/>
        <w:autoSpaceDN w:val="0"/>
        <w:adjustRightInd w:val="0"/>
        <w:rPr>
          <w:color w:val="000000"/>
          <w:sz w:val="24"/>
          <w:szCs w:val="24"/>
        </w:rPr>
      </w:pPr>
    </w:p>
    <w:p w:rsidR="000A70A6" w:rsidRPr="0007670C" w:rsidRDefault="000A70A6" w:rsidP="000A70A6">
      <w:pPr>
        <w:autoSpaceDE w:val="0"/>
        <w:autoSpaceDN w:val="0"/>
        <w:adjustRightInd w:val="0"/>
        <w:ind w:left="851"/>
        <w:rPr>
          <w:color w:val="000000"/>
          <w:sz w:val="24"/>
          <w:szCs w:val="24"/>
        </w:rPr>
      </w:pPr>
      <w:r w:rsidRPr="0007670C">
        <w:rPr>
          <w:color w:val="000000"/>
          <w:sz w:val="24"/>
          <w:szCs w:val="24"/>
        </w:rPr>
        <w:t xml:space="preserve">Studiedesignet tillod patienterne at overgå til den anden behandlingsarm ved progression eller at udgå af studiet. Ca. 50% af patienterne overgik til den anden behandlingsarm, og </w:t>
      </w:r>
      <w:r w:rsidRPr="0007670C">
        <w:rPr>
          <w:i/>
          <w:iCs/>
          <w:color w:val="000000"/>
          <w:sz w:val="24"/>
          <w:szCs w:val="24"/>
        </w:rPr>
        <w:t xml:space="preserve">cross-over </w:t>
      </w:r>
      <w:r w:rsidRPr="0007670C">
        <w:rPr>
          <w:color w:val="000000"/>
          <w:sz w:val="24"/>
          <w:szCs w:val="24"/>
        </w:rPr>
        <w:t xml:space="preserve">var praktisk talt overstået efter 36 måneder. Mediantid til </w:t>
      </w:r>
      <w:r w:rsidRPr="0007670C">
        <w:rPr>
          <w:i/>
          <w:iCs/>
          <w:color w:val="000000"/>
          <w:sz w:val="24"/>
          <w:szCs w:val="24"/>
        </w:rPr>
        <w:t xml:space="preserve">cross-over </w:t>
      </w:r>
      <w:r w:rsidRPr="0007670C">
        <w:rPr>
          <w:color w:val="000000"/>
          <w:sz w:val="24"/>
          <w:szCs w:val="24"/>
        </w:rPr>
        <w:t>var henholdsvis 17 måneder (</w:t>
      </w:r>
      <w:proofErr w:type="spellStart"/>
      <w:r w:rsidRPr="0007670C">
        <w:rPr>
          <w:color w:val="000000"/>
          <w:sz w:val="24"/>
          <w:szCs w:val="24"/>
        </w:rPr>
        <w:t>letrozol</w:t>
      </w:r>
      <w:proofErr w:type="spellEnd"/>
      <w:r w:rsidRPr="0007670C">
        <w:rPr>
          <w:color w:val="000000"/>
          <w:sz w:val="24"/>
          <w:szCs w:val="24"/>
        </w:rPr>
        <w:t xml:space="preserve"> til </w:t>
      </w:r>
      <w:proofErr w:type="spellStart"/>
      <w:r w:rsidRPr="0007670C">
        <w:rPr>
          <w:color w:val="000000"/>
          <w:sz w:val="24"/>
          <w:szCs w:val="24"/>
        </w:rPr>
        <w:t>tamoxifen</w:t>
      </w:r>
      <w:proofErr w:type="spellEnd"/>
      <w:r w:rsidRPr="0007670C">
        <w:rPr>
          <w:color w:val="000000"/>
          <w:sz w:val="24"/>
          <w:szCs w:val="24"/>
        </w:rPr>
        <w:t>) og 13 måneder (</w:t>
      </w:r>
      <w:proofErr w:type="spellStart"/>
      <w:r w:rsidRPr="0007670C">
        <w:rPr>
          <w:color w:val="000000"/>
          <w:sz w:val="24"/>
          <w:szCs w:val="24"/>
        </w:rPr>
        <w:t>tamoxifen</w:t>
      </w:r>
      <w:proofErr w:type="spellEnd"/>
      <w:r w:rsidRPr="0007670C">
        <w:rPr>
          <w:color w:val="000000"/>
          <w:sz w:val="24"/>
          <w:szCs w:val="24"/>
        </w:rPr>
        <w:t xml:space="preserve"> til </w:t>
      </w:r>
      <w:proofErr w:type="spellStart"/>
      <w:r w:rsidRPr="0007670C">
        <w:rPr>
          <w:color w:val="000000"/>
          <w:sz w:val="24"/>
          <w:szCs w:val="24"/>
        </w:rPr>
        <w:t>letrozol</w:t>
      </w:r>
      <w:proofErr w:type="spellEnd"/>
      <w:r w:rsidRPr="0007670C">
        <w:rPr>
          <w:color w:val="000000"/>
          <w:sz w:val="24"/>
          <w:szCs w:val="24"/>
        </w:rPr>
        <w:t xml:space="preserve">). </w:t>
      </w:r>
    </w:p>
    <w:p w:rsidR="000A70A6" w:rsidRPr="0007670C" w:rsidRDefault="000A70A6" w:rsidP="000A70A6">
      <w:pPr>
        <w:autoSpaceDE w:val="0"/>
        <w:autoSpaceDN w:val="0"/>
        <w:adjustRightInd w:val="0"/>
        <w:rPr>
          <w:color w:val="000000"/>
          <w:sz w:val="24"/>
          <w:szCs w:val="24"/>
        </w:rPr>
      </w:pPr>
    </w:p>
    <w:p w:rsidR="000A70A6" w:rsidRPr="0007670C" w:rsidRDefault="000A70A6" w:rsidP="000A70A6">
      <w:pPr>
        <w:autoSpaceDE w:val="0"/>
        <w:autoSpaceDN w:val="0"/>
        <w:adjustRightInd w:val="0"/>
        <w:ind w:left="851"/>
        <w:rPr>
          <w:color w:val="000000"/>
          <w:sz w:val="24"/>
          <w:szCs w:val="24"/>
        </w:rPr>
      </w:pPr>
      <w:proofErr w:type="spellStart"/>
      <w:r w:rsidRPr="0007670C">
        <w:rPr>
          <w:color w:val="000000"/>
          <w:sz w:val="24"/>
          <w:szCs w:val="24"/>
        </w:rPr>
        <w:t>Letrozol</w:t>
      </w:r>
      <w:proofErr w:type="spellEnd"/>
      <w:r w:rsidRPr="0007670C">
        <w:rPr>
          <w:color w:val="000000"/>
          <w:sz w:val="24"/>
          <w:szCs w:val="24"/>
        </w:rPr>
        <w:t xml:space="preserve">-behandling som første-linje-behandling af fremskreden brystcancer resulterede i en gennemsnitlig total overlevelse på 34 måneder sammenlignet med 30 måneder for </w:t>
      </w:r>
      <w:proofErr w:type="spellStart"/>
      <w:r w:rsidRPr="0007670C">
        <w:rPr>
          <w:color w:val="000000"/>
          <w:sz w:val="24"/>
          <w:szCs w:val="24"/>
        </w:rPr>
        <w:t>tamoxifen</w:t>
      </w:r>
      <w:proofErr w:type="spellEnd"/>
      <w:r w:rsidRPr="0007670C">
        <w:rPr>
          <w:color w:val="000000"/>
          <w:sz w:val="24"/>
          <w:szCs w:val="24"/>
        </w:rPr>
        <w:t xml:space="preserve"> (log-rank-test p=0,53; ikke signifikant). Den manglende fordel for </w:t>
      </w:r>
      <w:proofErr w:type="spellStart"/>
      <w:r w:rsidRPr="0007670C">
        <w:rPr>
          <w:color w:val="000000"/>
          <w:sz w:val="24"/>
          <w:szCs w:val="24"/>
        </w:rPr>
        <w:t>letrozol</w:t>
      </w:r>
      <w:proofErr w:type="spellEnd"/>
      <w:r w:rsidRPr="0007670C">
        <w:rPr>
          <w:color w:val="000000"/>
          <w:sz w:val="24"/>
          <w:szCs w:val="24"/>
        </w:rPr>
        <w:t xml:space="preserve"> på den totale overlevelse kan skyldes studiets </w:t>
      </w:r>
      <w:r w:rsidRPr="0007670C">
        <w:rPr>
          <w:i/>
          <w:iCs/>
          <w:color w:val="000000"/>
          <w:sz w:val="24"/>
          <w:szCs w:val="24"/>
        </w:rPr>
        <w:t xml:space="preserve">cross-over </w:t>
      </w:r>
      <w:r w:rsidRPr="0007670C">
        <w:rPr>
          <w:color w:val="000000"/>
          <w:sz w:val="24"/>
          <w:szCs w:val="24"/>
        </w:rPr>
        <w:t xml:space="preserve">design. </w:t>
      </w:r>
    </w:p>
    <w:p w:rsidR="000A70A6" w:rsidRPr="0007670C" w:rsidRDefault="000A70A6" w:rsidP="000A70A6">
      <w:pPr>
        <w:autoSpaceDE w:val="0"/>
        <w:autoSpaceDN w:val="0"/>
        <w:adjustRightInd w:val="0"/>
        <w:rPr>
          <w:color w:val="000000"/>
          <w:sz w:val="24"/>
          <w:szCs w:val="24"/>
        </w:rPr>
      </w:pPr>
    </w:p>
    <w:p w:rsidR="000A70A6" w:rsidRPr="0007670C" w:rsidRDefault="000A70A6" w:rsidP="000A70A6">
      <w:pPr>
        <w:autoSpaceDE w:val="0"/>
        <w:autoSpaceDN w:val="0"/>
        <w:adjustRightInd w:val="0"/>
        <w:ind w:firstLine="851"/>
        <w:rPr>
          <w:color w:val="000000"/>
          <w:sz w:val="24"/>
          <w:szCs w:val="24"/>
        </w:rPr>
      </w:pPr>
      <w:r w:rsidRPr="0007670C">
        <w:rPr>
          <w:color w:val="000000"/>
          <w:sz w:val="24"/>
          <w:szCs w:val="24"/>
          <w:u w:val="single"/>
        </w:rPr>
        <w:t xml:space="preserve">Anden-linje-behandling </w:t>
      </w:r>
    </w:p>
    <w:p w:rsidR="000A70A6" w:rsidRPr="0007670C" w:rsidRDefault="000A70A6" w:rsidP="000A70A6">
      <w:pPr>
        <w:autoSpaceDE w:val="0"/>
        <w:autoSpaceDN w:val="0"/>
        <w:adjustRightInd w:val="0"/>
        <w:ind w:left="851"/>
        <w:rPr>
          <w:color w:val="000000"/>
          <w:sz w:val="24"/>
          <w:szCs w:val="24"/>
        </w:rPr>
      </w:pPr>
      <w:r w:rsidRPr="0007670C">
        <w:rPr>
          <w:color w:val="000000"/>
          <w:sz w:val="24"/>
          <w:szCs w:val="24"/>
        </w:rPr>
        <w:t xml:space="preserve">To velkontrollerede kliniske studier blev udført, hvor to doser </w:t>
      </w:r>
      <w:proofErr w:type="spellStart"/>
      <w:r w:rsidRPr="0007670C">
        <w:rPr>
          <w:color w:val="000000"/>
          <w:sz w:val="24"/>
          <w:szCs w:val="24"/>
        </w:rPr>
        <w:t>letrozol</w:t>
      </w:r>
      <w:proofErr w:type="spellEnd"/>
      <w:r w:rsidRPr="0007670C">
        <w:rPr>
          <w:color w:val="000000"/>
          <w:sz w:val="24"/>
          <w:szCs w:val="24"/>
        </w:rPr>
        <w:t xml:space="preserve"> (0,5 mg og 2,5 mg) blev sammenlignet med henholdsvis </w:t>
      </w:r>
      <w:proofErr w:type="spellStart"/>
      <w:r w:rsidRPr="0007670C">
        <w:rPr>
          <w:color w:val="000000"/>
          <w:sz w:val="24"/>
          <w:szCs w:val="24"/>
        </w:rPr>
        <w:t>megestrolacetat</w:t>
      </w:r>
      <w:proofErr w:type="spellEnd"/>
      <w:r w:rsidRPr="0007670C">
        <w:rPr>
          <w:color w:val="000000"/>
          <w:sz w:val="24"/>
          <w:szCs w:val="24"/>
        </w:rPr>
        <w:t xml:space="preserve"> og </w:t>
      </w:r>
      <w:proofErr w:type="spellStart"/>
      <w:r w:rsidRPr="0007670C">
        <w:rPr>
          <w:color w:val="000000"/>
          <w:sz w:val="24"/>
          <w:szCs w:val="24"/>
        </w:rPr>
        <w:t>aminoglutethimid</w:t>
      </w:r>
      <w:proofErr w:type="spellEnd"/>
      <w:r w:rsidRPr="0007670C">
        <w:rPr>
          <w:color w:val="000000"/>
          <w:sz w:val="24"/>
          <w:szCs w:val="24"/>
        </w:rPr>
        <w:t xml:space="preserve"> hos </w:t>
      </w:r>
      <w:proofErr w:type="spellStart"/>
      <w:r w:rsidRPr="0007670C">
        <w:rPr>
          <w:color w:val="000000"/>
          <w:sz w:val="24"/>
          <w:szCs w:val="24"/>
        </w:rPr>
        <w:t>postmenopausale</w:t>
      </w:r>
      <w:proofErr w:type="spellEnd"/>
      <w:r w:rsidRPr="0007670C">
        <w:rPr>
          <w:color w:val="000000"/>
          <w:sz w:val="24"/>
          <w:szCs w:val="24"/>
        </w:rPr>
        <w:t xml:space="preserve"> kvinder med fremskreden brystcancer, som tidligere havde været i behandling med antiøstrogener. </w:t>
      </w:r>
    </w:p>
    <w:p w:rsidR="000A70A6" w:rsidRPr="0007670C" w:rsidRDefault="000A70A6" w:rsidP="000A70A6">
      <w:pPr>
        <w:autoSpaceDE w:val="0"/>
        <w:autoSpaceDN w:val="0"/>
        <w:adjustRightInd w:val="0"/>
        <w:rPr>
          <w:color w:val="000000"/>
          <w:sz w:val="24"/>
          <w:szCs w:val="24"/>
        </w:rPr>
      </w:pPr>
    </w:p>
    <w:p w:rsidR="000A70A6" w:rsidRPr="0007670C" w:rsidRDefault="000A70A6" w:rsidP="000A70A6">
      <w:pPr>
        <w:autoSpaceDE w:val="0"/>
        <w:autoSpaceDN w:val="0"/>
        <w:adjustRightInd w:val="0"/>
        <w:ind w:left="851"/>
        <w:rPr>
          <w:sz w:val="24"/>
          <w:szCs w:val="24"/>
        </w:rPr>
      </w:pPr>
      <w:r w:rsidRPr="0007670C">
        <w:rPr>
          <w:color w:val="000000"/>
          <w:sz w:val="24"/>
          <w:szCs w:val="24"/>
        </w:rPr>
        <w:t xml:space="preserve">Perioden indtil progression var ikke signifikant forskellig mellem </w:t>
      </w:r>
      <w:proofErr w:type="spellStart"/>
      <w:r w:rsidRPr="0007670C">
        <w:rPr>
          <w:color w:val="000000"/>
          <w:sz w:val="24"/>
          <w:szCs w:val="24"/>
        </w:rPr>
        <w:t>letrozol</w:t>
      </w:r>
      <w:proofErr w:type="spellEnd"/>
      <w:r w:rsidRPr="0007670C">
        <w:rPr>
          <w:color w:val="000000"/>
          <w:sz w:val="24"/>
          <w:szCs w:val="24"/>
        </w:rPr>
        <w:t xml:space="preserve"> 2,5 mg og </w:t>
      </w:r>
      <w:proofErr w:type="spellStart"/>
      <w:r w:rsidRPr="0007670C">
        <w:rPr>
          <w:color w:val="000000"/>
          <w:sz w:val="24"/>
          <w:szCs w:val="24"/>
        </w:rPr>
        <w:t>megestrolacetat</w:t>
      </w:r>
      <w:proofErr w:type="spellEnd"/>
      <w:r w:rsidRPr="0007670C">
        <w:rPr>
          <w:color w:val="000000"/>
          <w:sz w:val="24"/>
          <w:szCs w:val="24"/>
        </w:rPr>
        <w:t xml:space="preserve"> (p=0,07). Der blev observeret statistisk signifikante forskelle til fordel for </w:t>
      </w:r>
      <w:proofErr w:type="spellStart"/>
      <w:r w:rsidRPr="0007670C">
        <w:rPr>
          <w:color w:val="000000"/>
          <w:sz w:val="24"/>
          <w:szCs w:val="24"/>
        </w:rPr>
        <w:t>letrozol</w:t>
      </w:r>
      <w:proofErr w:type="spellEnd"/>
      <w:r w:rsidRPr="0007670C">
        <w:rPr>
          <w:color w:val="000000"/>
          <w:sz w:val="24"/>
          <w:szCs w:val="24"/>
        </w:rPr>
        <w:t xml:space="preserve"> 2,5 mg sammenlignet med </w:t>
      </w:r>
      <w:proofErr w:type="spellStart"/>
      <w:r w:rsidRPr="0007670C">
        <w:rPr>
          <w:color w:val="000000"/>
          <w:sz w:val="24"/>
          <w:szCs w:val="24"/>
        </w:rPr>
        <w:t>megestrolacetat</w:t>
      </w:r>
      <w:proofErr w:type="spellEnd"/>
      <w:r w:rsidRPr="0007670C">
        <w:rPr>
          <w:color w:val="000000"/>
          <w:sz w:val="24"/>
          <w:szCs w:val="24"/>
        </w:rPr>
        <w:t xml:space="preserve"> i den samlede objektive tumorresponsrate (24% </w:t>
      </w:r>
      <w:r w:rsidRPr="0007670C">
        <w:rPr>
          <w:i/>
          <w:iCs/>
          <w:color w:val="000000"/>
          <w:sz w:val="24"/>
          <w:szCs w:val="24"/>
        </w:rPr>
        <w:t xml:space="preserve">versus </w:t>
      </w:r>
      <w:r w:rsidRPr="0007670C">
        <w:rPr>
          <w:color w:val="000000"/>
          <w:sz w:val="24"/>
          <w:szCs w:val="24"/>
        </w:rPr>
        <w:t xml:space="preserve">16%, </w:t>
      </w:r>
      <w:r w:rsidRPr="0007670C">
        <w:rPr>
          <w:sz w:val="24"/>
          <w:szCs w:val="24"/>
        </w:rPr>
        <w:t xml:space="preserve">p=0,04) og i </w:t>
      </w:r>
      <w:r w:rsidRPr="0007670C">
        <w:rPr>
          <w:color w:val="000000"/>
          <w:sz w:val="24"/>
          <w:szCs w:val="24"/>
        </w:rPr>
        <w:t>perioden</w:t>
      </w:r>
      <w:r w:rsidRPr="0007670C">
        <w:rPr>
          <w:sz w:val="24"/>
          <w:szCs w:val="24"/>
        </w:rPr>
        <w:t xml:space="preserve"> indtil behandlingssvigt (p=0,04). Der var ikke signifikant forskel i total overlevelse mellem de to behandlinger (p=0,2). </w:t>
      </w:r>
    </w:p>
    <w:p w:rsidR="000A70A6" w:rsidRPr="0007670C" w:rsidRDefault="000A70A6" w:rsidP="000A70A6">
      <w:pPr>
        <w:autoSpaceDE w:val="0"/>
        <w:autoSpaceDN w:val="0"/>
        <w:adjustRightInd w:val="0"/>
        <w:rPr>
          <w:sz w:val="24"/>
          <w:szCs w:val="24"/>
        </w:rPr>
      </w:pPr>
    </w:p>
    <w:p w:rsidR="000A70A6" w:rsidRPr="0007670C" w:rsidRDefault="000A70A6" w:rsidP="000A70A6">
      <w:pPr>
        <w:autoSpaceDE w:val="0"/>
        <w:autoSpaceDN w:val="0"/>
        <w:adjustRightInd w:val="0"/>
        <w:ind w:left="851"/>
        <w:rPr>
          <w:sz w:val="24"/>
          <w:szCs w:val="24"/>
        </w:rPr>
      </w:pPr>
      <w:r w:rsidRPr="0007670C">
        <w:rPr>
          <w:sz w:val="24"/>
          <w:szCs w:val="24"/>
        </w:rPr>
        <w:t xml:space="preserve">I det andet studie var responsraten mellem </w:t>
      </w:r>
      <w:proofErr w:type="spellStart"/>
      <w:r w:rsidRPr="0007670C">
        <w:rPr>
          <w:sz w:val="24"/>
          <w:szCs w:val="24"/>
        </w:rPr>
        <w:t>letrozol</w:t>
      </w:r>
      <w:proofErr w:type="spellEnd"/>
      <w:r w:rsidRPr="0007670C">
        <w:rPr>
          <w:sz w:val="24"/>
          <w:szCs w:val="24"/>
        </w:rPr>
        <w:t xml:space="preserve"> 2,5 mg og </w:t>
      </w:r>
      <w:proofErr w:type="spellStart"/>
      <w:r w:rsidRPr="0007670C">
        <w:rPr>
          <w:sz w:val="24"/>
          <w:szCs w:val="24"/>
        </w:rPr>
        <w:t>aminoglutethimid</w:t>
      </w:r>
      <w:proofErr w:type="spellEnd"/>
      <w:r w:rsidRPr="0007670C">
        <w:rPr>
          <w:sz w:val="24"/>
          <w:szCs w:val="24"/>
        </w:rPr>
        <w:t xml:space="preserve"> ikke signifikant forskellig (p=0,06). </w:t>
      </w:r>
      <w:proofErr w:type="spellStart"/>
      <w:r w:rsidRPr="0007670C">
        <w:rPr>
          <w:sz w:val="24"/>
          <w:szCs w:val="24"/>
        </w:rPr>
        <w:t>Letrozol</w:t>
      </w:r>
      <w:proofErr w:type="spellEnd"/>
      <w:r w:rsidRPr="0007670C">
        <w:rPr>
          <w:sz w:val="24"/>
          <w:szCs w:val="24"/>
        </w:rPr>
        <w:t xml:space="preserve"> 2,5 mg var </w:t>
      </w:r>
      <w:proofErr w:type="spellStart"/>
      <w:r w:rsidRPr="0007670C">
        <w:rPr>
          <w:sz w:val="24"/>
          <w:szCs w:val="24"/>
        </w:rPr>
        <w:t>aminoglutethimid</w:t>
      </w:r>
      <w:proofErr w:type="spellEnd"/>
      <w:r w:rsidRPr="0007670C">
        <w:rPr>
          <w:sz w:val="24"/>
          <w:szCs w:val="24"/>
        </w:rPr>
        <w:t xml:space="preserve"> statistisk overlegen i perioden indtil progression (p=0,008), i perioden indtil behandlingssvigt (p=0,003) og i total overlevelse (p=0,002). </w:t>
      </w:r>
    </w:p>
    <w:p w:rsidR="000A70A6" w:rsidRPr="0007670C" w:rsidRDefault="000A70A6" w:rsidP="000A70A6">
      <w:pPr>
        <w:autoSpaceDE w:val="0"/>
        <w:autoSpaceDN w:val="0"/>
        <w:adjustRightInd w:val="0"/>
        <w:rPr>
          <w:sz w:val="24"/>
          <w:szCs w:val="24"/>
        </w:rPr>
      </w:pPr>
    </w:p>
    <w:p w:rsidR="000A70A6" w:rsidRPr="0007670C" w:rsidRDefault="000A70A6" w:rsidP="000A70A6">
      <w:pPr>
        <w:autoSpaceDE w:val="0"/>
        <w:autoSpaceDN w:val="0"/>
        <w:adjustRightInd w:val="0"/>
        <w:ind w:firstLine="851"/>
        <w:rPr>
          <w:sz w:val="24"/>
          <w:szCs w:val="24"/>
        </w:rPr>
      </w:pPr>
      <w:r w:rsidRPr="0007670C">
        <w:rPr>
          <w:sz w:val="24"/>
          <w:szCs w:val="24"/>
          <w:u w:val="single"/>
        </w:rPr>
        <w:t xml:space="preserve">Brystcancer hos mænd </w:t>
      </w:r>
    </w:p>
    <w:p w:rsidR="000A70A6" w:rsidRPr="0007670C" w:rsidRDefault="000A70A6" w:rsidP="000A70A6">
      <w:pPr>
        <w:autoSpaceDE w:val="0"/>
        <w:autoSpaceDN w:val="0"/>
        <w:adjustRightInd w:val="0"/>
        <w:ind w:left="560" w:firstLine="291"/>
        <w:rPr>
          <w:sz w:val="24"/>
          <w:szCs w:val="24"/>
        </w:rPr>
      </w:pPr>
      <w:r w:rsidRPr="0007670C">
        <w:rPr>
          <w:sz w:val="24"/>
          <w:szCs w:val="24"/>
        </w:rPr>
        <w:t xml:space="preserve">Anvendelse af </w:t>
      </w:r>
      <w:proofErr w:type="spellStart"/>
      <w:r w:rsidR="000C72AD">
        <w:rPr>
          <w:sz w:val="24"/>
          <w:szCs w:val="24"/>
        </w:rPr>
        <w:t>l</w:t>
      </w:r>
      <w:r w:rsidRPr="0007670C">
        <w:rPr>
          <w:sz w:val="24"/>
          <w:szCs w:val="24"/>
        </w:rPr>
        <w:t>etrozol</w:t>
      </w:r>
      <w:proofErr w:type="spellEnd"/>
      <w:r w:rsidRPr="0007670C">
        <w:rPr>
          <w:sz w:val="24"/>
          <w:szCs w:val="24"/>
        </w:rPr>
        <w:t xml:space="preserve"> til mænd med brystcancer er ikke blevet undersøgt. </w:t>
      </w:r>
    </w:p>
    <w:p w:rsidR="000A70A6" w:rsidRPr="001B4655" w:rsidRDefault="000A70A6" w:rsidP="000A70A6">
      <w:pPr>
        <w:tabs>
          <w:tab w:val="left" w:pos="851"/>
        </w:tabs>
        <w:ind w:left="851" w:hanging="851"/>
        <w:rPr>
          <w:sz w:val="24"/>
          <w:szCs w:val="24"/>
        </w:rPr>
      </w:pPr>
    </w:p>
    <w:p w:rsidR="000A70A6" w:rsidRPr="00011329" w:rsidRDefault="000A70A6" w:rsidP="000A70A6">
      <w:pPr>
        <w:tabs>
          <w:tab w:val="left" w:pos="851"/>
        </w:tabs>
        <w:ind w:left="851" w:hanging="851"/>
        <w:rPr>
          <w:b/>
          <w:sz w:val="24"/>
          <w:szCs w:val="24"/>
        </w:rPr>
      </w:pPr>
      <w:r w:rsidRPr="001B4655">
        <w:rPr>
          <w:b/>
          <w:sz w:val="24"/>
          <w:szCs w:val="24"/>
        </w:rPr>
        <w:t>5.2</w:t>
      </w:r>
      <w:r w:rsidRPr="001B4655">
        <w:rPr>
          <w:b/>
          <w:sz w:val="24"/>
          <w:szCs w:val="24"/>
        </w:rPr>
        <w:tab/>
      </w:r>
      <w:proofErr w:type="spellStart"/>
      <w:r w:rsidRPr="001B4655">
        <w:rPr>
          <w:b/>
          <w:sz w:val="24"/>
          <w:szCs w:val="24"/>
        </w:rPr>
        <w:t>Farmakokinetiske</w:t>
      </w:r>
      <w:proofErr w:type="spellEnd"/>
      <w:r w:rsidRPr="001B4655">
        <w:rPr>
          <w:b/>
          <w:sz w:val="24"/>
          <w:szCs w:val="24"/>
        </w:rPr>
        <w:t xml:space="preserve"> egenskaber</w:t>
      </w:r>
    </w:p>
    <w:p w:rsidR="000A70A6" w:rsidRPr="006C2510" w:rsidRDefault="000A70A6" w:rsidP="000A70A6">
      <w:pPr>
        <w:autoSpaceDE w:val="0"/>
        <w:autoSpaceDN w:val="0"/>
        <w:adjustRightInd w:val="0"/>
        <w:ind w:left="840" w:hanging="280"/>
        <w:rPr>
          <w:sz w:val="24"/>
          <w:szCs w:val="24"/>
        </w:rPr>
      </w:pPr>
      <w:r w:rsidRPr="006C2510">
        <w:rPr>
          <w:sz w:val="24"/>
          <w:szCs w:val="24"/>
        </w:rPr>
        <w:tab/>
      </w:r>
      <w:r w:rsidRPr="006C2510">
        <w:rPr>
          <w:sz w:val="24"/>
          <w:szCs w:val="24"/>
          <w:u w:val="single"/>
        </w:rPr>
        <w:t xml:space="preserve">Absorption </w:t>
      </w:r>
    </w:p>
    <w:p w:rsidR="000A70A6" w:rsidRPr="006C2510" w:rsidRDefault="000A70A6" w:rsidP="000A70A6">
      <w:pPr>
        <w:autoSpaceDE w:val="0"/>
        <w:autoSpaceDN w:val="0"/>
        <w:adjustRightInd w:val="0"/>
        <w:ind w:left="840"/>
        <w:rPr>
          <w:sz w:val="24"/>
          <w:szCs w:val="24"/>
        </w:rPr>
      </w:pPr>
      <w:proofErr w:type="spellStart"/>
      <w:r w:rsidRPr="006C2510">
        <w:rPr>
          <w:sz w:val="24"/>
          <w:szCs w:val="24"/>
        </w:rPr>
        <w:t>Letrozol</w:t>
      </w:r>
      <w:proofErr w:type="spellEnd"/>
      <w:r w:rsidRPr="006C2510">
        <w:rPr>
          <w:sz w:val="24"/>
          <w:szCs w:val="24"/>
        </w:rPr>
        <w:t xml:space="preserve"> absorberes hurtigt og fuldstændigt fra mave-tarm</w:t>
      </w:r>
      <w:r w:rsidR="000C72AD">
        <w:rPr>
          <w:sz w:val="24"/>
          <w:szCs w:val="24"/>
        </w:rPr>
        <w:t>-</w:t>
      </w:r>
      <w:r w:rsidRPr="006C2510">
        <w:rPr>
          <w:sz w:val="24"/>
          <w:szCs w:val="24"/>
        </w:rPr>
        <w:t>kanalen (gennemsnitlig absolut biotilgængelighed er 99,9%). Fødeindtagelse nedsætter absorptionshastigheden en smule (median t</w:t>
      </w:r>
      <w:r w:rsidRPr="006C2510">
        <w:rPr>
          <w:position w:val="-8"/>
          <w:sz w:val="24"/>
          <w:szCs w:val="24"/>
          <w:vertAlign w:val="subscript"/>
        </w:rPr>
        <w:t xml:space="preserve">max </w:t>
      </w:r>
      <w:r w:rsidRPr="006C2510">
        <w:rPr>
          <w:sz w:val="24"/>
          <w:szCs w:val="24"/>
        </w:rPr>
        <w:t xml:space="preserve">fastende er 1 time </w:t>
      </w:r>
      <w:r w:rsidRPr="006C2510">
        <w:rPr>
          <w:i/>
          <w:iCs/>
          <w:sz w:val="24"/>
          <w:szCs w:val="24"/>
        </w:rPr>
        <w:t xml:space="preserve">versus </w:t>
      </w:r>
      <w:r w:rsidRPr="006C2510">
        <w:rPr>
          <w:sz w:val="24"/>
          <w:szCs w:val="24"/>
        </w:rPr>
        <w:t>2 timer ved fødeindtagelse, og middel-C</w:t>
      </w:r>
      <w:r w:rsidRPr="006C2510">
        <w:rPr>
          <w:position w:val="-8"/>
          <w:sz w:val="24"/>
          <w:szCs w:val="24"/>
          <w:vertAlign w:val="subscript"/>
        </w:rPr>
        <w:t xml:space="preserve">max </w:t>
      </w:r>
      <w:r w:rsidRPr="006C2510">
        <w:rPr>
          <w:sz w:val="24"/>
          <w:szCs w:val="24"/>
        </w:rPr>
        <w:t xml:space="preserve">129 ± 20,3 nmol/l fastende </w:t>
      </w:r>
      <w:r w:rsidRPr="006C2510">
        <w:rPr>
          <w:i/>
          <w:iCs/>
          <w:sz w:val="24"/>
          <w:szCs w:val="24"/>
        </w:rPr>
        <w:t xml:space="preserve">versus </w:t>
      </w:r>
      <w:r w:rsidRPr="006C2510">
        <w:rPr>
          <w:sz w:val="24"/>
          <w:szCs w:val="24"/>
        </w:rPr>
        <w:t xml:space="preserve">98,7 ± 18,6 nmol/l ved fødeindtagelse), medens absorptionsfraktionen (AUC) er uforandret. Den lille effekt på absorptionshastigheden anses ikke at have klinisk relevans, og </w:t>
      </w:r>
      <w:proofErr w:type="spellStart"/>
      <w:r w:rsidRPr="006C2510">
        <w:rPr>
          <w:sz w:val="24"/>
          <w:szCs w:val="24"/>
        </w:rPr>
        <w:t>letrozol</w:t>
      </w:r>
      <w:proofErr w:type="spellEnd"/>
      <w:r w:rsidRPr="006C2510">
        <w:rPr>
          <w:sz w:val="24"/>
          <w:szCs w:val="24"/>
        </w:rPr>
        <w:t xml:space="preserve"> kan derfor tages uden hensyn til måltider. </w:t>
      </w:r>
    </w:p>
    <w:p w:rsidR="000A70A6" w:rsidRPr="006C2510" w:rsidRDefault="000A70A6" w:rsidP="000A70A6">
      <w:pPr>
        <w:autoSpaceDE w:val="0"/>
        <w:autoSpaceDN w:val="0"/>
        <w:adjustRightInd w:val="0"/>
        <w:rPr>
          <w:sz w:val="24"/>
          <w:szCs w:val="24"/>
        </w:rPr>
      </w:pPr>
    </w:p>
    <w:p w:rsidR="000A70A6" w:rsidRPr="006C2510" w:rsidRDefault="000A70A6" w:rsidP="000A70A6">
      <w:pPr>
        <w:autoSpaceDE w:val="0"/>
        <w:autoSpaceDN w:val="0"/>
        <w:adjustRightInd w:val="0"/>
        <w:ind w:left="840"/>
        <w:rPr>
          <w:sz w:val="24"/>
          <w:szCs w:val="24"/>
        </w:rPr>
      </w:pPr>
      <w:r w:rsidRPr="006C2510">
        <w:rPr>
          <w:sz w:val="24"/>
          <w:szCs w:val="24"/>
          <w:u w:val="single"/>
        </w:rPr>
        <w:t xml:space="preserve">Distribution </w:t>
      </w:r>
    </w:p>
    <w:p w:rsidR="000A70A6" w:rsidRPr="006C2510" w:rsidRDefault="000A70A6" w:rsidP="000A70A6">
      <w:pPr>
        <w:autoSpaceDE w:val="0"/>
        <w:autoSpaceDN w:val="0"/>
        <w:adjustRightInd w:val="0"/>
        <w:ind w:left="840"/>
        <w:rPr>
          <w:sz w:val="24"/>
          <w:szCs w:val="24"/>
        </w:rPr>
      </w:pPr>
      <w:r w:rsidRPr="006C2510">
        <w:rPr>
          <w:sz w:val="24"/>
          <w:szCs w:val="24"/>
        </w:rPr>
        <w:t xml:space="preserve">Plasmaproteinbindingsgraden for </w:t>
      </w:r>
      <w:proofErr w:type="spellStart"/>
      <w:r w:rsidRPr="006C2510">
        <w:rPr>
          <w:sz w:val="24"/>
          <w:szCs w:val="24"/>
        </w:rPr>
        <w:t>letrozol</w:t>
      </w:r>
      <w:proofErr w:type="spellEnd"/>
      <w:r w:rsidRPr="006C2510">
        <w:rPr>
          <w:sz w:val="24"/>
          <w:szCs w:val="24"/>
        </w:rPr>
        <w:t xml:space="preserve"> er ca. 60%, og det bindes hovedsageligt til albumin (55%). Koncentrationen af </w:t>
      </w:r>
      <w:proofErr w:type="spellStart"/>
      <w:r w:rsidRPr="006C2510">
        <w:rPr>
          <w:sz w:val="24"/>
          <w:szCs w:val="24"/>
        </w:rPr>
        <w:t>letrozol</w:t>
      </w:r>
      <w:proofErr w:type="spellEnd"/>
      <w:r w:rsidRPr="006C2510">
        <w:rPr>
          <w:sz w:val="24"/>
          <w:szCs w:val="24"/>
        </w:rPr>
        <w:t xml:space="preserve"> i erytrocytter er ca. 80% af plasmakoncentrationen. Efter administration af 2,5 mg </w:t>
      </w:r>
      <w:r w:rsidRPr="006C2510">
        <w:rPr>
          <w:position w:val="8"/>
          <w:sz w:val="24"/>
          <w:szCs w:val="24"/>
          <w:vertAlign w:val="superscript"/>
        </w:rPr>
        <w:t>14</w:t>
      </w:r>
      <w:r w:rsidRPr="006C2510">
        <w:rPr>
          <w:sz w:val="24"/>
          <w:szCs w:val="24"/>
        </w:rPr>
        <w:t xml:space="preserve">C-mærket </w:t>
      </w:r>
      <w:proofErr w:type="spellStart"/>
      <w:r w:rsidRPr="006C2510">
        <w:rPr>
          <w:sz w:val="24"/>
          <w:szCs w:val="24"/>
        </w:rPr>
        <w:t>letrozol</w:t>
      </w:r>
      <w:proofErr w:type="spellEnd"/>
      <w:r w:rsidRPr="006C2510">
        <w:rPr>
          <w:sz w:val="24"/>
          <w:szCs w:val="24"/>
        </w:rPr>
        <w:t xml:space="preserve"> var ca. 82% af </w:t>
      </w:r>
      <w:r w:rsidRPr="006C2510">
        <w:rPr>
          <w:sz w:val="24"/>
          <w:szCs w:val="24"/>
        </w:rPr>
        <w:lastRenderedPageBreak/>
        <w:t xml:space="preserve">radioaktiviteten i plasma </w:t>
      </w:r>
      <w:proofErr w:type="spellStart"/>
      <w:r w:rsidRPr="006C2510">
        <w:rPr>
          <w:sz w:val="24"/>
          <w:szCs w:val="24"/>
        </w:rPr>
        <w:t>uomdannet</w:t>
      </w:r>
      <w:proofErr w:type="spellEnd"/>
      <w:r w:rsidRPr="006C2510">
        <w:rPr>
          <w:sz w:val="24"/>
          <w:szCs w:val="24"/>
        </w:rPr>
        <w:t xml:space="preserve"> stof. Den systemiske eksponering for metabolitter er derfor lav. </w:t>
      </w:r>
      <w:proofErr w:type="spellStart"/>
      <w:r w:rsidRPr="006C2510">
        <w:rPr>
          <w:sz w:val="24"/>
          <w:szCs w:val="24"/>
        </w:rPr>
        <w:t>Letrozol</w:t>
      </w:r>
      <w:proofErr w:type="spellEnd"/>
      <w:r w:rsidRPr="006C2510">
        <w:rPr>
          <w:sz w:val="24"/>
          <w:szCs w:val="24"/>
        </w:rPr>
        <w:t xml:space="preserve"> fordeles hurtigt og ekstensivt i væv. Det tilsyneladende fordelingsvolumen ved </w:t>
      </w:r>
      <w:proofErr w:type="spellStart"/>
      <w:r w:rsidRPr="006C2510">
        <w:rPr>
          <w:i/>
          <w:iCs/>
          <w:sz w:val="24"/>
          <w:szCs w:val="24"/>
        </w:rPr>
        <w:t>steady</w:t>
      </w:r>
      <w:proofErr w:type="spellEnd"/>
      <w:r w:rsidRPr="006C2510">
        <w:rPr>
          <w:i/>
          <w:iCs/>
          <w:sz w:val="24"/>
          <w:szCs w:val="24"/>
        </w:rPr>
        <w:t xml:space="preserve"> </w:t>
      </w:r>
      <w:proofErr w:type="spellStart"/>
      <w:r w:rsidRPr="006C2510">
        <w:rPr>
          <w:i/>
          <w:iCs/>
          <w:sz w:val="24"/>
          <w:szCs w:val="24"/>
        </w:rPr>
        <w:t>state</w:t>
      </w:r>
      <w:proofErr w:type="spellEnd"/>
      <w:r w:rsidRPr="006C2510">
        <w:rPr>
          <w:i/>
          <w:iCs/>
          <w:sz w:val="24"/>
          <w:szCs w:val="24"/>
        </w:rPr>
        <w:t xml:space="preserve"> </w:t>
      </w:r>
      <w:r w:rsidRPr="006C2510">
        <w:rPr>
          <w:sz w:val="24"/>
          <w:szCs w:val="24"/>
        </w:rPr>
        <w:t xml:space="preserve">er ca. 1,87 ± 0,47 l/kg. </w:t>
      </w:r>
    </w:p>
    <w:p w:rsidR="000A70A6" w:rsidRPr="006C2510" w:rsidRDefault="000A70A6" w:rsidP="000A70A6">
      <w:pPr>
        <w:autoSpaceDE w:val="0"/>
        <w:autoSpaceDN w:val="0"/>
        <w:adjustRightInd w:val="0"/>
        <w:rPr>
          <w:sz w:val="24"/>
          <w:szCs w:val="24"/>
        </w:rPr>
      </w:pPr>
    </w:p>
    <w:p w:rsidR="000A70A6" w:rsidRPr="006C2510" w:rsidRDefault="000A70A6" w:rsidP="000A70A6">
      <w:pPr>
        <w:autoSpaceDE w:val="0"/>
        <w:autoSpaceDN w:val="0"/>
        <w:adjustRightInd w:val="0"/>
        <w:ind w:left="840"/>
        <w:rPr>
          <w:sz w:val="24"/>
          <w:szCs w:val="24"/>
        </w:rPr>
      </w:pPr>
      <w:r w:rsidRPr="006C2510">
        <w:rPr>
          <w:sz w:val="24"/>
          <w:szCs w:val="24"/>
          <w:u w:val="single"/>
        </w:rPr>
        <w:t xml:space="preserve">Biotransformation </w:t>
      </w:r>
    </w:p>
    <w:p w:rsidR="000A70A6" w:rsidRPr="006C2510" w:rsidRDefault="000A70A6" w:rsidP="000A70A6">
      <w:pPr>
        <w:autoSpaceDE w:val="0"/>
        <w:autoSpaceDN w:val="0"/>
        <w:adjustRightInd w:val="0"/>
        <w:ind w:left="840"/>
        <w:rPr>
          <w:sz w:val="24"/>
          <w:szCs w:val="24"/>
        </w:rPr>
      </w:pPr>
      <w:proofErr w:type="spellStart"/>
      <w:r w:rsidRPr="006C2510">
        <w:rPr>
          <w:sz w:val="24"/>
          <w:szCs w:val="24"/>
        </w:rPr>
        <w:t>Metabolisering</w:t>
      </w:r>
      <w:proofErr w:type="spellEnd"/>
      <w:r w:rsidRPr="006C2510">
        <w:rPr>
          <w:sz w:val="24"/>
          <w:szCs w:val="24"/>
        </w:rPr>
        <w:t xml:space="preserve"> til den farmakologisk inaktive </w:t>
      </w:r>
      <w:proofErr w:type="spellStart"/>
      <w:r w:rsidRPr="006C2510">
        <w:rPr>
          <w:sz w:val="24"/>
          <w:szCs w:val="24"/>
        </w:rPr>
        <w:t>carbinolmetabolit</w:t>
      </w:r>
      <w:proofErr w:type="spellEnd"/>
      <w:r w:rsidRPr="006C2510">
        <w:rPr>
          <w:sz w:val="24"/>
          <w:szCs w:val="24"/>
        </w:rPr>
        <w:t xml:space="preserve"> (Cl</w:t>
      </w:r>
      <w:r w:rsidRPr="006C2510">
        <w:rPr>
          <w:position w:val="-8"/>
          <w:sz w:val="24"/>
          <w:szCs w:val="24"/>
          <w:vertAlign w:val="subscript"/>
        </w:rPr>
        <w:t xml:space="preserve">m </w:t>
      </w:r>
      <w:r w:rsidRPr="006C2510">
        <w:rPr>
          <w:sz w:val="24"/>
          <w:szCs w:val="24"/>
        </w:rPr>
        <w:t xml:space="preserve">= 2,1 l/t) er den primære eliminationsvej for </w:t>
      </w:r>
      <w:proofErr w:type="spellStart"/>
      <w:r w:rsidRPr="006C2510">
        <w:rPr>
          <w:sz w:val="24"/>
          <w:szCs w:val="24"/>
        </w:rPr>
        <w:t>letrozol</w:t>
      </w:r>
      <w:proofErr w:type="spellEnd"/>
      <w:r w:rsidRPr="006C2510">
        <w:rPr>
          <w:sz w:val="24"/>
          <w:szCs w:val="24"/>
        </w:rPr>
        <w:t xml:space="preserve">, men eliminationen er relativt langsom sammenlignet med den </w:t>
      </w:r>
      <w:proofErr w:type="spellStart"/>
      <w:r w:rsidRPr="006C2510">
        <w:rPr>
          <w:sz w:val="24"/>
          <w:szCs w:val="24"/>
        </w:rPr>
        <w:t>hepatiske</w:t>
      </w:r>
      <w:proofErr w:type="spellEnd"/>
      <w:r w:rsidRPr="006C2510">
        <w:rPr>
          <w:sz w:val="24"/>
          <w:szCs w:val="24"/>
        </w:rPr>
        <w:t xml:space="preserve"> blodgennemstrømning (ca. 90 l/t). </w:t>
      </w:r>
      <w:proofErr w:type="spellStart"/>
      <w:r w:rsidRPr="006C2510">
        <w:rPr>
          <w:sz w:val="24"/>
          <w:szCs w:val="24"/>
        </w:rPr>
        <w:t>Cytochrom</w:t>
      </w:r>
      <w:proofErr w:type="spellEnd"/>
      <w:r w:rsidRPr="006C2510">
        <w:rPr>
          <w:sz w:val="24"/>
          <w:szCs w:val="24"/>
        </w:rPr>
        <w:t xml:space="preserve"> P450</w:t>
      </w:r>
      <w:r w:rsidR="000C72AD">
        <w:rPr>
          <w:sz w:val="24"/>
          <w:szCs w:val="24"/>
        </w:rPr>
        <w:t>-</w:t>
      </w:r>
      <w:r w:rsidRPr="006C2510">
        <w:rPr>
          <w:sz w:val="24"/>
          <w:szCs w:val="24"/>
        </w:rPr>
        <w:t xml:space="preserve">isoenzymerne og 2A6 kan </w:t>
      </w:r>
      <w:proofErr w:type="spellStart"/>
      <w:r w:rsidRPr="006C2510">
        <w:rPr>
          <w:sz w:val="24"/>
          <w:szCs w:val="24"/>
        </w:rPr>
        <w:t>metabolisere</w:t>
      </w:r>
      <w:proofErr w:type="spellEnd"/>
      <w:r w:rsidRPr="006C2510">
        <w:rPr>
          <w:sz w:val="24"/>
          <w:szCs w:val="24"/>
        </w:rPr>
        <w:t xml:space="preserve"> </w:t>
      </w:r>
      <w:proofErr w:type="spellStart"/>
      <w:r w:rsidRPr="006C2510">
        <w:rPr>
          <w:sz w:val="24"/>
          <w:szCs w:val="24"/>
        </w:rPr>
        <w:t>letrozol</w:t>
      </w:r>
      <w:proofErr w:type="spellEnd"/>
      <w:r w:rsidRPr="006C2510">
        <w:rPr>
          <w:sz w:val="24"/>
          <w:szCs w:val="24"/>
        </w:rPr>
        <w:t xml:space="preserve"> til ovenstående metabolit. Dannelsen af mindre vigtige, uidentificerede metabolitter og direkte </w:t>
      </w:r>
      <w:proofErr w:type="spellStart"/>
      <w:r w:rsidRPr="006C2510">
        <w:rPr>
          <w:sz w:val="24"/>
          <w:szCs w:val="24"/>
        </w:rPr>
        <w:t>renal</w:t>
      </w:r>
      <w:proofErr w:type="spellEnd"/>
      <w:r w:rsidRPr="006C2510">
        <w:rPr>
          <w:sz w:val="24"/>
          <w:szCs w:val="24"/>
        </w:rPr>
        <w:t xml:space="preserve"> samt fækal </w:t>
      </w:r>
      <w:proofErr w:type="spellStart"/>
      <w:r w:rsidRPr="006C2510">
        <w:rPr>
          <w:sz w:val="24"/>
          <w:szCs w:val="24"/>
        </w:rPr>
        <w:t>ekskretion</w:t>
      </w:r>
      <w:proofErr w:type="spellEnd"/>
      <w:r w:rsidRPr="006C2510">
        <w:rPr>
          <w:sz w:val="24"/>
          <w:szCs w:val="24"/>
        </w:rPr>
        <w:t xml:space="preserve"> spiller kun en mindre rolle i den totale elimination af </w:t>
      </w:r>
      <w:proofErr w:type="spellStart"/>
      <w:r w:rsidRPr="006C2510">
        <w:rPr>
          <w:sz w:val="24"/>
          <w:szCs w:val="24"/>
        </w:rPr>
        <w:t>letrozol</w:t>
      </w:r>
      <w:proofErr w:type="spellEnd"/>
      <w:r w:rsidRPr="006C2510">
        <w:rPr>
          <w:sz w:val="24"/>
          <w:szCs w:val="24"/>
        </w:rPr>
        <w:t xml:space="preserve">. Inden for to uger efter administration af 2,5 mg </w:t>
      </w:r>
      <w:r w:rsidRPr="006C2510">
        <w:rPr>
          <w:position w:val="8"/>
          <w:sz w:val="24"/>
          <w:szCs w:val="24"/>
          <w:vertAlign w:val="superscript"/>
        </w:rPr>
        <w:t>14</w:t>
      </w:r>
      <w:r w:rsidRPr="006C2510">
        <w:rPr>
          <w:sz w:val="24"/>
          <w:szCs w:val="24"/>
        </w:rPr>
        <w:t xml:space="preserve">C-mærket </w:t>
      </w:r>
      <w:proofErr w:type="spellStart"/>
      <w:r w:rsidRPr="006C2510">
        <w:rPr>
          <w:sz w:val="24"/>
          <w:szCs w:val="24"/>
        </w:rPr>
        <w:t>letrozol</w:t>
      </w:r>
      <w:proofErr w:type="spellEnd"/>
      <w:r w:rsidRPr="006C2510">
        <w:rPr>
          <w:sz w:val="24"/>
          <w:szCs w:val="24"/>
        </w:rPr>
        <w:t xml:space="preserve"> til raske </w:t>
      </w:r>
      <w:proofErr w:type="spellStart"/>
      <w:r w:rsidRPr="006C2510">
        <w:rPr>
          <w:sz w:val="24"/>
          <w:szCs w:val="24"/>
        </w:rPr>
        <w:t>postmenopausale</w:t>
      </w:r>
      <w:proofErr w:type="spellEnd"/>
      <w:r w:rsidRPr="006C2510">
        <w:rPr>
          <w:sz w:val="24"/>
          <w:szCs w:val="24"/>
        </w:rPr>
        <w:t xml:space="preserve"> frivillige forsøgspersoner blev 88,2 ± 7,6% af radioaktiviteten genfundet i urin og 3,8 ± 0,9% i fæces. Mindst 75% af den radioaktivitet, der blev genfundet i urinen i løbet af 216 timer (84,7 ± 7,8% af dosis), kunne tilskrives </w:t>
      </w:r>
      <w:proofErr w:type="spellStart"/>
      <w:r w:rsidRPr="006C2510">
        <w:rPr>
          <w:sz w:val="24"/>
          <w:szCs w:val="24"/>
        </w:rPr>
        <w:t>glukuronid</w:t>
      </w:r>
      <w:r w:rsidR="00110394">
        <w:rPr>
          <w:sz w:val="24"/>
          <w:szCs w:val="24"/>
        </w:rPr>
        <w:t>et</w:t>
      </w:r>
      <w:proofErr w:type="spellEnd"/>
      <w:r w:rsidRPr="006C2510">
        <w:rPr>
          <w:sz w:val="24"/>
          <w:szCs w:val="24"/>
        </w:rPr>
        <w:t xml:space="preserve"> af </w:t>
      </w:r>
      <w:proofErr w:type="spellStart"/>
      <w:r w:rsidRPr="006C2510">
        <w:rPr>
          <w:sz w:val="24"/>
          <w:szCs w:val="24"/>
        </w:rPr>
        <w:t>carbinolmetabolitten</w:t>
      </w:r>
      <w:proofErr w:type="spellEnd"/>
      <w:r w:rsidRPr="006C2510">
        <w:rPr>
          <w:sz w:val="24"/>
          <w:szCs w:val="24"/>
        </w:rPr>
        <w:t xml:space="preserve">, ca. 9% kunne tilskrives to uidentificerede metabolitter, og 6% kunne tilskrives </w:t>
      </w:r>
      <w:proofErr w:type="spellStart"/>
      <w:r w:rsidRPr="006C2510">
        <w:rPr>
          <w:sz w:val="24"/>
          <w:szCs w:val="24"/>
        </w:rPr>
        <w:t>uomdannet</w:t>
      </w:r>
      <w:proofErr w:type="spellEnd"/>
      <w:r w:rsidRPr="006C2510">
        <w:rPr>
          <w:sz w:val="24"/>
          <w:szCs w:val="24"/>
        </w:rPr>
        <w:t xml:space="preserve"> </w:t>
      </w:r>
      <w:proofErr w:type="spellStart"/>
      <w:r w:rsidRPr="006C2510">
        <w:rPr>
          <w:sz w:val="24"/>
          <w:szCs w:val="24"/>
        </w:rPr>
        <w:t>letrozol</w:t>
      </w:r>
      <w:proofErr w:type="spellEnd"/>
      <w:r w:rsidRPr="006C2510">
        <w:rPr>
          <w:sz w:val="24"/>
          <w:szCs w:val="24"/>
        </w:rPr>
        <w:t xml:space="preserve">. </w:t>
      </w:r>
    </w:p>
    <w:p w:rsidR="000A70A6" w:rsidRPr="006C2510" w:rsidRDefault="000A70A6" w:rsidP="000A70A6">
      <w:pPr>
        <w:autoSpaceDE w:val="0"/>
        <w:autoSpaceDN w:val="0"/>
        <w:adjustRightInd w:val="0"/>
        <w:rPr>
          <w:sz w:val="24"/>
          <w:szCs w:val="24"/>
        </w:rPr>
      </w:pPr>
    </w:p>
    <w:p w:rsidR="000A70A6" w:rsidRPr="00BF3A7A" w:rsidRDefault="000A70A6" w:rsidP="000A70A6">
      <w:pPr>
        <w:autoSpaceDE w:val="0"/>
        <w:autoSpaceDN w:val="0"/>
        <w:adjustRightInd w:val="0"/>
        <w:ind w:left="560" w:firstLine="280"/>
        <w:rPr>
          <w:sz w:val="24"/>
          <w:szCs w:val="24"/>
          <w:u w:val="single"/>
        </w:rPr>
      </w:pPr>
      <w:r w:rsidRPr="00BF3A7A">
        <w:rPr>
          <w:sz w:val="24"/>
          <w:szCs w:val="24"/>
          <w:u w:val="single"/>
        </w:rPr>
        <w:t>Elimination</w:t>
      </w:r>
    </w:p>
    <w:p w:rsidR="000A70A6" w:rsidRPr="006C2510" w:rsidRDefault="000A70A6" w:rsidP="000A70A6">
      <w:pPr>
        <w:autoSpaceDE w:val="0"/>
        <w:autoSpaceDN w:val="0"/>
        <w:adjustRightInd w:val="0"/>
        <w:ind w:left="840"/>
        <w:rPr>
          <w:sz w:val="24"/>
          <w:szCs w:val="24"/>
        </w:rPr>
      </w:pPr>
      <w:r w:rsidRPr="006C2510">
        <w:rPr>
          <w:sz w:val="24"/>
          <w:szCs w:val="24"/>
        </w:rPr>
        <w:t xml:space="preserve">Den tilsyneladende terminale plasmahalveringstid er ca. 2-4 dage. Efter administration af 2,5 mg dagligt opnås </w:t>
      </w:r>
      <w:proofErr w:type="spellStart"/>
      <w:r w:rsidRPr="006C2510">
        <w:rPr>
          <w:i/>
          <w:iCs/>
          <w:sz w:val="24"/>
          <w:szCs w:val="24"/>
        </w:rPr>
        <w:t>steady</w:t>
      </w:r>
      <w:proofErr w:type="spellEnd"/>
      <w:r w:rsidRPr="006C2510">
        <w:rPr>
          <w:i/>
          <w:iCs/>
          <w:sz w:val="24"/>
          <w:szCs w:val="24"/>
        </w:rPr>
        <w:t xml:space="preserve"> </w:t>
      </w:r>
      <w:proofErr w:type="spellStart"/>
      <w:r w:rsidRPr="006C2510">
        <w:rPr>
          <w:i/>
          <w:iCs/>
          <w:sz w:val="24"/>
          <w:szCs w:val="24"/>
        </w:rPr>
        <w:t>state</w:t>
      </w:r>
      <w:proofErr w:type="spellEnd"/>
      <w:r w:rsidRPr="006C2510">
        <w:rPr>
          <w:i/>
          <w:iCs/>
          <w:sz w:val="24"/>
          <w:szCs w:val="24"/>
        </w:rPr>
        <w:t xml:space="preserve"> </w:t>
      </w:r>
      <w:r w:rsidRPr="006C2510">
        <w:rPr>
          <w:sz w:val="24"/>
          <w:szCs w:val="24"/>
        </w:rPr>
        <w:t xml:space="preserve">i løbet af 2-6 uger. Plasmakoncentrationen i </w:t>
      </w:r>
      <w:proofErr w:type="spellStart"/>
      <w:r w:rsidRPr="006C2510">
        <w:rPr>
          <w:i/>
          <w:iCs/>
          <w:sz w:val="24"/>
          <w:szCs w:val="24"/>
        </w:rPr>
        <w:t>steady</w:t>
      </w:r>
      <w:proofErr w:type="spellEnd"/>
      <w:r w:rsidRPr="006C2510">
        <w:rPr>
          <w:i/>
          <w:iCs/>
          <w:sz w:val="24"/>
          <w:szCs w:val="24"/>
        </w:rPr>
        <w:t xml:space="preserve"> </w:t>
      </w:r>
      <w:proofErr w:type="spellStart"/>
      <w:r w:rsidRPr="006C2510">
        <w:rPr>
          <w:i/>
          <w:iCs/>
          <w:sz w:val="24"/>
          <w:szCs w:val="24"/>
        </w:rPr>
        <w:t>state</w:t>
      </w:r>
      <w:proofErr w:type="spellEnd"/>
      <w:r w:rsidRPr="006C2510">
        <w:rPr>
          <w:i/>
          <w:iCs/>
          <w:sz w:val="24"/>
          <w:szCs w:val="24"/>
        </w:rPr>
        <w:t xml:space="preserve"> </w:t>
      </w:r>
      <w:r w:rsidRPr="006C2510">
        <w:rPr>
          <w:sz w:val="24"/>
          <w:szCs w:val="24"/>
        </w:rPr>
        <w:t xml:space="preserve">er ca. 7 gange højere end koncentrationen målt efter en enkeltdosis på 2,5 mg, medens den er 1,5-2 gange højere end </w:t>
      </w:r>
      <w:proofErr w:type="spellStart"/>
      <w:r w:rsidRPr="006C2510">
        <w:rPr>
          <w:i/>
          <w:iCs/>
          <w:sz w:val="24"/>
          <w:szCs w:val="24"/>
        </w:rPr>
        <w:t>steady</w:t>
      </w:r>
      <w:proofErr w:type="spellEnd"/>
      <w:r w:rsidRPr="006C2510">
        <w:rPr>
          <w:i/>
          <w:iCs/>
          <w:sz w:val="24"/>
          <w:szCs w:val="24"/>
        </w:rPr>
        <w:t xml:space="preserve"> state</w:t>
      </w:r>
      <w:r w:rsidRPr="006C2510">
        <w:rPr>
          <w:sz w:val="24"/>
          <w:szCs w:val="24"/>
        </w:rPr>
        <w:t xml:space="preserve">-værdier skønnet ud fra koncentrationsmåling efter en enkelt dosis. Dette tyder på, at farmakokinetikken af </w:t>
      </w:r>
      <w:proofErr w:type="spellStart"/>
      <w:r w:rsidRPr="006C2510">
        <w:rPr>
          <w:sz w:val="24"/>
          <w:szCs w:val="24"/>
        </w:rPr>
        <w:t>letrozol</w:t>
      </w:r>
      <w:proofErr w:type="spellEnd"/>
      <w:r w:rsidRPr="006C2510">
        <w:rPr>
          <w:sz w:val="24"/>
          <w:szCs w:val="24"/>
        </w:rPr>
        <w:t xml:space="preserve"> ikke er helt lineær ved administration af 2,5 mg dagligt. Eftersom </w:t>
      </w:r>
      <w:proofErr w:type="spellStart"/>
      <w:r w:rsidRPr="006C2510">
        <w:rPr>
          <w:i/>
          <w:iCs/>
          <w:sz w:val="24"/>
          <w:szCs w:val="24"/>
        </w:rPr>
        <w:t>steady</w:t>
      </w:r>
      <w:proofErr w:type="spellEnd"/>
      <w:r w:rsidRPr="006C2510">
        <w:rPr>
          <w:i/>
          <w:iCs/>
          <w:sz w:val="24"/>
          <w:szCs w:val="24"/>
        </w:rPr>
        <w:t xml:space="preserve"> state</w:t>
      </w:r>
      <w:r w:rsidRPr="006C2510">
        <w:rPr>
          <w:sz w:val="24"/>
          <w:szCs w:val="24"/>
        </w:rPr>
        <w:t xml:space="preserve">-koncentrationen opretholdes over tid, kan man konkludere, at der ikke sker vedvarende akkumulering af </w:t>
      </w:r>
      <w:proofErr w:type="spellStart"/>
      <w:r w:rsidRPr="006C2510">
        <w:rPr>
          <w:sz w:val="24"/>
          <w:szCs w:val="24"/>
        </w:rPr>
        <w:t>letrozol</w:t>
      </w:r>
      <w:proofErr w:type="spellEnd"/>
      <w:r w:rsidRPr="006C2510">
        <w:rPr>
          <w:sz w:val="24"/>
          <w:szCs w:val="24"/>
        </w:rPr>
        <w:t xml:space="preserve">. </w:t>
      </w:r>
    </w:p>
    <w:p w:rsidR="00110394" w:rsidRDefault="00110394" w:rsidP="00110394">
      <w:pPr>
        <w:autoSpaceDE w:val="0"/>
        <w:autoSpaceDN w:val="0"/>
        <w:adjustRightInd w:val="0"/>
        <w:ind w:left="840"/>
        <w:rPr>
          <w:sz w:val="24"/>
          <w:szCs w:val="24"/>
        </w:rPr>
      </w:pPr>
    </w:p>
    <w:p w:rsidR="00110394" w:rsidRDefault="00110394" w:rsidP="00110394">
      <w:pPr>
        <w:autoSpaceDE w:val="0"/>
        <w:autoSpaceDN w:val="0"/>
        <w:adjustRightInd w:val="0"/>
        <w:ind w:left="840"/>
        <w:rPr>
          <w:sz w:val="24"/>
          <w:szCs w:val="24"/>
          <w:u w:val="single"/>
        </w:rPr>
      </w:pPr>
      <w:r>
        <w:rPr>
          <w:sz w:val="24"/>
          <w:szCs w:val="24"/>
          <w:u w:val="single"/>
        </w:rPr>
        <w:t>Linearitet/non-linearitet</w:t>
      </w:r>
    </w:p>
    <w:p w:rsidR="00110394" w:rsidRDefault="00110394" w:rsidP="00110394">
      <w:pPr>
        <w:autoSpaceDE w:val="0"/>
        <w:autoSpaceDN w:val="0"/>
        <w:adjustRightInd w:val="0"/>
        <w:ind w:left="840"/>
        <w:rPr>
          <w:sz w:val="24"/>
          <w:szCs w:val="24"/>
        </w:rPr>
      </w:pPr>
      <w:proofErr w:type="spellStart"/>
      <w:r>
        <w:rPr>
          <w:sz w:val="24"/>
          <w:szCs w:val="24"/>
        </w:rPr>
        <w:t>Letrozols</w:t>
      </w:r>
      <w:proofErr w:type="spellEnd"/>
      <w:r>
        <w:rPr>
          <w:sz w:val="24"/>
          <w:szCs w:val="24"/>
        </w:rPr>
        <w:t xml:space="preserve"> farmakokinetik var dosisproportional efter enkelte orale doser på op til 10 mg (dosisinterval: 0,01 til 30 mg) og efter daglige doser på op til 1,0 mg (dosisinterval: 0,1 til 5 mg). Efter en enkelt oral dosis på 30 mg var der en let dosis-overproportional stigning i AUC</w:t>
      </w:r>
      <w:r>
        <w:rPr>
          <w:sz w:val="24"/>
          <w:szCs w:val="24"/>
        </w:rPr>
        <w:noBreakHyphen/>
        <w:t>værdi. Dosis-overproportionaliteten er sandsynligvis resultatet af en mætning af den metaboliske eliminationsproces. Stabile niveauer blev nået efter 1 til 2 måneder ved alle testede dosisregimer (0,1 </w:t>
      </w:r>
      <w:r>
        <w:rPr>
          <w:sz w:val="24"/>
          <w:szCs w:val="24"/>
        </w:rPr>
        <w:noBreakHyphen/>
        <w:t>5,0 mg dagligt).</w:t>
      </w:r>
    </w:p>
    <w:p w:rsidR="00110394" w:rsidRDefault="00110394" w:rsidP="00110394">
      <w:pPr>
        <w:autoSpaceDE w:val="0"/>
        <w:autoSpaceDN w:val="0"/>
        <w:adjustRightInd w:val="0"/>
        <w:rPr>
          <w:sz w:val="24"/>
          <w:szCs w:val="24"/>
        </w:rPr>
      </w:pPr>
    </w:p>
    <w:p w:rsidR="000A70A6" w:rsidRPr="006C2510" w:rsidRDefault="000A70A6" w:rsidP="000A70A6">
      <w:pPr>
        <w:autoSpaceDE w:val="0"/>
        <w:autoSpaceDN w:val="0"/>
        <w:adjustRightInd w:val="0"/>
        <w:ind w:firstLine="840"/>
        <w:rPr>
          <w:sz w:val="24"/>
          <w:szCs w:val="24"/>
        </w:rPr>
      </w:pPr>
      <w:r w:rsidRPr="006C2510">
        <w:rPr>
          <w:sz w:val="24"/>
          <w:szCs w:val="24"/>
          <w:u w:val="single"/>
        </w:rPr>
        <w:t xml:space="preserve">Særlige populationer </w:t>
      </w:r>
    </w:p>
    <w:p w:rsidR="000A70A6" w:rsidRPr="006C2510" w:rsidRDefault="000A70A6" w:rsidP="000A70A6">
      <w:pPr>
        <w:autoSpaceDE w:val="0"/>
        <w:autoSpaceDN w:val="0"/>
        <w:adjustRightInd w:val="0"/>
        <w:ind w:firstLine="840"/>
        <w:rPr>
          <w:sz w:val="24"/>
          <w:szCs w:val="24"/>
        </w:rPr>
      </w:pPr>
      <w:r w:rsidRPr="006C2510">
        <w:rPr>
          <w:i/>
          <w:iCs/>
          <w:sz w:val="24"/>
          <w:szCs w:val="24"/>
        </w:rPr>
        <w:t xml:space="preserve">Ældre </w:t>
      </w:r>
    </w:p>
    <w:p w:rsidR="000A70A6" w:rsidRPr="006C2510" w:rsidRDefault="000A70A6" w:rsidP="000A70A6">
      <w:pPr>
        <w:autoSpaceDE w:val="0"/>
        <w:autoSpaceDN w:val="0"/>
        <w:adjustRightInd w:val="0"/>
        <w:ind w:firstLine="840"/>
        <w:rPr>
          <w:sz w:val="24"/>
          <w:szCs w:val="24"/>
        </w:rPr>
      </w:pPr>
      <w:r w:rsidRPr="006C2510">
        <w:rPr>
          <w:sz w:val="24"/>
          <w:szCs w:val="24"/>
        </w:rPr>
        <w:t xml:space="preserve">Alder havde ingen indflydelse på </w:t>
      </w:r>
      <w:proofErr w:type="spellStart"/>
      <w:r w:rsidRPr="006C2510">
        <w:rPr>
          <w:sz w:val="24"/>
          <w:szCs w:val="24"/>
        </w:rPr>
        <w:t>letrozols</w:t>
      </w:r>
      <w:proofErr w:type="spellEnd"/>
      <w:r w:rsidRPr="006C2510">
        <w:rPr>
          <w:sz w:val="24"/>
          <w:szCs w:val="24"/>
        </w:rPr>
        <w:t xml:space="preserve"> farmakokinetik. </w:t>
      </w:r>
    </w:p>
    <w:p w:rsidR="000A70A6" w:rsidRPr="006C2510" w:rsidRDefault="000A70A6" w:rsidP="000A70A6">
      <w:pPr>
        <w:autoSpaceDE w:val="0"/>
        <w:autoSpaceDN w:val="0"/>
        <w:adjustRightInd w:val="0"/>
        <w:rPr>
          <w:sz w:val="24"/>
          <w:szCs w:val="24"/>
        </w:rPr>
      </w:pPr>
    </w:p>
    <w:p w:rsidR="000A70A6" w:rsidRPr="006C2510" w:rsidRDefault="000A70A6" w:rsidP="000A70A6">
      <w:pPr>
        <w:autoSpaceDE w:val="0"/>
        <w:autoSpaceDN w:val="0"/>
        <w:adjustRightInd w:val="0"/>
        <w:ind w:firstLine="840"/>
        <w:rPr>
          <w:sz w:val="24"/>
          <w:szCs w:val="24"/>
        </w:rPr>
      </w:pPr>
      <w:r w:rsidRPr="006C2510">
        <w:rPr>
          <w:i/>
          <w:iCs/>
          <w:sz w:val="24"/>
          <w:szCs w:val="24"/>
        </w:rPr>
        <w:t xml:space="preserve">Nedsat nyrefunktion </w:t>
      </w:r>
    </w:p>
    <w:p w:rsidR="000A70A6" w:rsidRPr="006C2510" w:rsidRDefault="000A70A6" w:rsidP="000A70A6">
      <w:pPr>
        <w:autoSpaceDE w:val="0"/>
        <w:autoSpaceDN w:val="0"/>
        <w:adjustRightInd w:val="0"/>
        <w:ind w:left="840"/>
        <w:rPr>
          <w:sz w:val="24"/>
          <w:szCs w:val="24"/>
        </w:rPr>
      </w:pPr>
      <w:r w:rsidRPr="006C2510">
        <w:rPr>
          <w:sz w:val="24"/>
          <w:szCs w:val="24"/>
        </w:rPr>
        <w:t xml:space="preserve">I et studie med 19 frivillige med varierende grader af nyrefunktion (24-timers </w:t>
      </w:r>
      <w:proofErr w:type="spellStart"/>
      <w:r w:rsidRPr="006C2510">
        <w:rPr>
          <w:sz w:val="24"/>
          <w:szCs w:val="24"/>
        </w:rPr>
        <w:t>kreatininclearance</w:t>
      </w:r>
      <w:proofErr w:type="spellEnd"/>
      <w:r w:rsidRPr="006C2510">
        <w:rPr>
          <w:sz w:val="24"/>
          <w:szCs w:val="24"/>
        </w:rPr>
        <w:t xml:space="preserve"> 9-116 ml/min) fandtes ingen påvirkning af </w:t>
      </w:r>
      <w:proofErr w:type="spellStart"/>
      <w:r w:rsidRPr="006C2510">
        <w:rPr>
          <w:sz w:val="24"/>
          <w:szCs w:val="24"/>
        </w:rPr>
        <w:t>letrozols</w:t>
      </w:r>
      <w:proofErr w:type="spellEnd"/>
      <w:r w:rsidRPr="006C2510">
        <w:rPr>
          <w:sz w:val="24"/>
          <w:szCs w:val="24"/>
        </w:rPr>
        <w:t xml:space="preserve"> farmakokinetik efter administration af 2,5 mg som enkeltdosis. Ud over det ovenfor nævnte studie, hvor indflydelsen af nedsat nyrefunktion på </w:t>
      </w:r>
      <w:proofErr w:type="spellStart"/>
      <w:r w:rsidRPr="006C2510">
        <w:rPr>
          <w:sz w:val="24"/>
          <w:szCs w:val="24"/>
        </w:rPr>
        <w:t>letrozol</w:t>
      </w:r>
      <w:proofErr w:type="spellEnd"/>
      <w:r w:rsidRPr="006C2510">
        <w:rPr>
          <w:sz w:val="24"/>
          <w:szCs w:val="24"/>
        </w:rPr>
        <w:t xml:space="preserve"> blev vurderet, blev der også udført en </w:t>
      </w:r>
      <w:proofErr w:type="spellStart"/>
      <w:r w:rsidRPr="006C2510">
        <w:rPr>
          <w:sz w:val="24"/>
          <w:szCs w:val="24"/>
        </w:rPr>
        <w:t>kovarians</w:t>
      </w:r>
      <w:proofErr w:type="spellEnd"/>
      <w:r w:rsidRPr="006C2510">
        <w:rPr>
          <w:sz w:val="24"/>
          <w:szCs w:val="24"/>
        </w:rPr>
        <w:t xml:space="preserve">-analyse af data fra to pivotale studier (AR/BC2-studiet og AR/BC3-studiet). Beregnet </w:t>
      </w:r>
      <w:proofErr w:type="spellStart"/>
      <w:r w:rsidRPr="006C2510">
        <w:rPr>
          <w:sz w:val="24"/>
          <w:szCs w:val="24"/>
        </w:rPr>
        <w:t>kreatininclearance</w:t>
      </w:r>
      <w:proofErr w:type="spellEnd"/>
      <w:r w:rsidRPr="006C2510">
        <w:rPr>
          <w:sz w:val="24"/>
          <w:szCs w:val="24"/>
        </w:rPr>
        <w:t xml:space="preserve"> (</w:t>
      </w:r>
      <w:proofErr w:type="spellStart"/>
      <w:r w:rsidRPr="006C2510">
        <w:rPr>
          <w:sz w:val="24"/>
          <w:szCs w:val="24"/>
        </w:rPr>
        <w:t>CLcr</w:t>
      </w:r>
      <w:proofErr w:type="spellEnd"/>
      <w:r w:rsidRPr="006C2510">
        <w:rPr>
          <w:sz w:val="24"/>
          <w:szCs w:val="24"/>
        </w:rPr>
        <w:t xml:space="preserve">) [AR/BC2-studiets interval: 19 til 187 ml/min; AR/BC3-studiets interval: 10 til 180 ml/min] viste ikke statistisk signifikant sammenhæng mellem </w:t>
      </w:r>
      <w:proofErr w:type="spellStart"/>
      <w:r w:rsidRPr="006C2510">
        <w:rPr>
          <w:sz w:val="24"/>
          <w:szCs w:val="24"/>
        </w:rPr>
        <w:t>letrozols</w:t>
      </w:r>
      <w:proofErr w:type="spellEnd"/>
      <w:r w:rsidRPr="006C2510">
        <w:rPr>
          <w:sz w:val="24"/>
          <w:szCs w:val="24"/>
        </w:rPr>
        <w:t xml:space="preserve"> plasma-dalværdier ved </w:t>
      </w:r>
      <w:proofErr w:type="spellStart"/>
      <w:r w:rsidRPr="006C2510">
        <w:rPr>
          <w:sz w:val="24"/>
          <w:szCs w:val="24"/>
        </w:rPr>
        <w:t>steady</w:t>
      </w:r>
      <w:proofErr w:type="spellEnd"/>
      <w:r w:rsidRPr="006C2510">
        <w:rPr>
          <w:sz w:val="24"/>
          <w:szCs w:val="24"/>
        </w:rPr>
        <w:t xml:space="preserve"> </w:t>
      </w:r>
      <w:proofErr w:type="spellStart"/>
      <w:r w:rsidRPr="006C2510">
        <w:rPr>
          <w:sz w:val="24"/>
          <w:szCs w:val="24"/>
        </w:rPr>
        <w:t>state</w:t>
      </w:r>
      <w:proofErr w:type="spellEnd"/>
      <w:r w:rsidRPr="006C2510">
        <w:rPr>
          <w:sz w:val="24"/>
          <w:szCs w:val="24"/>
        </w:rPr>
        <w:t xml:space="preserve"> (</w:t>
      </w:r>
      <w:proofErr w:type="spellStart"/>
      <w:r w:rsidRPr="006C2510">
        <w:rPr>
          <w:sz w:val="24"/>
          <w:szCs w:val="24"/>
        </w:rPr>
        <w:t>Cmin</w:t>
      </w:r>
      <w:proofErr w:type="spellEnd"/>
      <w:r w:rsidRPr="006C2510">
        <w:rPr>
          <w:sz w:val="24"/>
          <w:szCs w:val="24"/>
        </w:rPr>
        <w:t xml:space="preserve">). Desuden viste data fra AR/BC2-studiet og AR/BC3-studiet i 2. linje metastatisk brystkræft ingen tegn på en negativ effekt af </w:t>
      </w:r>
      <w:proofErr w:type="spellStart"/>
      <w:r w:rsidRPr="006C2510">
        <w:rPr>
          <w:sz w:val="24"/>
          <w:szCs w:val="24"/>
        </w:rPr>
        <w:t>letrozol</w:t>
      </w:r>
      <w:proofErr w:type="spellEnd"/>
      <w:r w:rsidRPr="006C2510">
        <w:rPr>
          <w:sz w:val="24"/>
          <w:szCs w:val="24"/>
        </w:rPr>
        <w:t xml:space="preserve"> på hverken </w:t>
      </w:r>
      <w:proofErr w:type="spellStart"/>
      <w:r w:rsidRPr="006C2510">
        <w:rPr>
          <w:sz w:val="24"/>
          <w:szCs w:val="24"/>
        </w:rPr>
        <w:t>CLcr</w:t>
      </w:r>
      <w:proofErr w:type="spellEnd"/>
      <w:r w:rsidRPr="006C2510">
        <w:rPr>
          <w:sz w:val="24"/>
          <w:szCs w:val="24"/>
        </w:rPr>
        <w:t xml:space="preserve"> eller nedsat nyrefunktion. </w:t>
      </w:r>
    </w:p>
    <w:p w:rsidR="000A70A6" w:rsidRPr="006C2510" w:rsidRDefault="000A70A6" w:rsidP="000A70A6">
      <w:pPr>
        <w:autoSpaceDE w:val="0"/>
        <w:autoSpaceDN w:val="0"/>
        <w:adjustRightInd w:val="0"/>
        <w:ind w:left="560"/>
        <w:rPr>
          <w:sz w:val="24"/>
          <w:szCs w:val="24"/>
        </w:rPr>
      </w:pPr>
    </w:p>
    <w:p w:rsidR="000A70A6" w:rsidRPr="006C2510" w:rsidRDefault="000A70A6" w:rsidP="000A70A6">
      <w:pPr>
        <w:autoSpaceDE w:val="0"/>
        <w:autoSpaceDN w:val="0"/>
        <w:adjustRightInd w:val="0"/>
        <w:ind w:left="840"/>
        <w:rPr>
          <w:sz w:val="24"/>
          <w:szCs w:val="24"/>
        </w:rPr>
      </w:pPr>
      <w:r w:rsidRPr="006C2510">
        <w:rPr>
          <w:sz w:val="24"/>
          <w:szCs w:val="24"/>
        </w:rPr>
        <w:t>Dosisjustering er derfor ikke nødvendig for patienter med nedsat nyrefunktion (</w:t>
      </w:r>
      <w:proofErr w:type="spellStart"/>
      <w:r w:rsidRPr="006C2510">
        <w:rPr>
          <w:sz w:val="24"/>
          <w:szCs w:val="24"/>
        </w:rPr>
        <w:t>CLcr</w:t>
      </w:r>
      <w:proofErr w:type="spellEnd"/>
      <w:r w:rsidRPr="006C2510">
        <w:rPr>
          <w:sz w:val="24"/>
          <w:szCs w:val="24"/>
        </w:rPr>
        <w:t xml:space="preserve"> ≥ 10 m</w:t>
      </w:r>
      <w:r>
        <w:rPr>
          <w:sz w:val="24"/>
          <w:szCs w:val="24"/>
        </w:rPr>
        <w:t>l</w:t>
      </w:r>
      <w:r w:rsidRPr="006C2510">
        <w:rPr>
          <w:sz w:val="24"/>
          <w:szCs w:val="24"/>
        </w:rPr>
        <w:t>/min). Der foreligger kun begrænset information vedrørende patienter med svært nedsat nyrefunktion (</w:t>
      </w:r>
      <w:proofErr w:type="spellStart"/>
      <w:proofErr w:type="gramStart"/>
      <w:r w:rsidRPr="006C2510">
        <w:rPr>
          <w:sz w:val="24"/>
          <w:szCs w:val="24"/>
        </w:rPr>
        <w:t>CLcr</w:t>
      </w:r>
      <w:proofErr w:type="spellEnd"/>
      <w:r w:rsidRPr="006C2510">
        <w:rPr>
          <w:sz w:val="24"/>
          <w:szCs w:val="24"/>
        </w:rPr>
        <w:t xml:space="preserve">  &lt;</w:t>
      </w:r>
      <w:proofErr w:type="gramEnd"/>
      <w:r w:rsidRPr="006C2510">
        <w:rPr>
          <w:sz w:val="24"/>
          <w:szCs w:val="24"/>
        </w:rPr>
        <w:t xml:space="preserve"> 10 m</w:t>
      </w:r>
      <w:r>
        <w:rPr>
          <w:sz w:val="24"/>
          <w:szCs w:val="24"/>
        </w:rPr>
        <w:t>l</w:t>
      </w:r>
      <w:r w:rsidRPr="006C2510">
        <w:rPr>
          <w:sz w:val="24"/>
          <w:szCs w:val="24"/>
        </w:rPr>
        <w:t>/min).</w:t>
      </w:r>
    </w:p>
    <w:p w:rsidR="000A70A6" w:rsidRPr="006C2510" w:rsidRDefault="000A70A6" w:rsidP="000A70A6">
      <w:pPr>
        <w:autoSpaceDE w:val="0"/>
        <w:autoSpaceDN w:val="0"/>
        <w:adjustRightInd w:val="0"/>
        <w:rPr>
          <w:sz w:val="24"/>
          <w:szCs w:val="24"/>
        </w:rPr>
      </w:pPr>
    </w:p>
    <w:p w:rsidR="000A70A6" w:rsidRPr="006C2510" w:rsidRDefault="000A70A6" w:rsidP="000A70A6">
      <w:pPr>
        <w:autoSpaceDE w:val="0"/>
        <w:autoSpaceDN w:val="0"/>
        <w:adjustRightInd w:val="0"/>
        <w:ind w:firstLine="840"/>
        <w:rPr>
          <w:sz w:val="24"/>
          <w:szCs w:val="24"/>
        </w:rPr>
      </w:pPr>
      <w:r w:rsidRPr="006C2510">
        <w:rPr>
          <w:i/>
          <w:sz w:val="24"/>
          <w:szCs w:val="24"/>
        </w:rPr>
        <w:t>Nedsat</w:t>
      </w:r>
      <w:r w:rsidRPr="006C2510">
        <w:rPr>
          <w:i/>
          <w:iCs/>
          <w:sz w:val="24"/>
          <w:szCs w:val="24"/>
        </w:rPr>
        <w:t xml:space="preserve"> leverfunktion </w:t>
      </w:r>
    </w:p>
    <w:p w:rsidR="000A70A6" w:rsidRPr="006C2510" w:rsidRDefault="000A70A6" w:rsidP="000A70A6">
      <w:pPr>
        <w:autoSpaceDE w:val="0"/>
        <w:autoSpaceDN w:val="0"/>
        <w:adjustRightInd w:val="0"/>
        <w:ind w:left="840"/>
        <w:rPr>
          <w:sz w:val="24"/>
          <w:szCs w:val="24"/>
        </w:rPr>
      </w:pPr>
      <w:r w:rsidRPr="006C2510">
        <w:rPr>
          <w:sz w:val="24"/>
          <w:szCs w:val="24"/>
        </w:rPr>
        <w:t>I et tilsvarende studie, hvori personer med varierende grader af leverfunktion indgik, var AUC hos frivillige med moderat nedsat leverfunktion (Child-</w:t>
      </w:r>
      <w:proofErr w:type="spellStart"/>
      <w:r w:rsidRPr="006C2510">
        <w:rPr>
          <w:sz w:val="24"/>
          <w:szCs w:val="24"/>
        </w:rPr>
        <w:t>Pugh</w:t>
      </w:r>
      <w:proofErr w:type="spellEnd"/>
      <w:r w:rsidRPr="006C2510">
        <w:rPr>
          <w:sz w:val="24"/>
          <w:szCs w:val="24"/>
        </w:rPr>
        <w:t xml:space="preserve"> B) 37% højere end hos personer med normal leverfunktion, men var dog stadig inden for det interval, der sås hos personer uden nedsat leverfunktion. </w:t>
      </w:r>
    </w:p>
    <w:p w:rsidR="000A70A6" w:rsidRPr="006C2510" w:rsidRDefault="000A70A6" w:rsidP="000A70A6">
      <w:pPr>
        <w:autoSpaceDE w:val="0"/>
        <w:autoSpaceDN w:val="0"/>
        <w:adjustRightInd w:val="0"/>
        <w:rPr>
          <w:sz w:val="24"/>
          <w:szCs w:val="24"/>
        </w:rPr>
      </w:pPr>
    </w:p>
    <w:p w:rsidR="000A70A6" w:rsidRPr="006C2510" w:rsidRDefault="000A70A6" w:rsidP="000A70A6">
      <w:pPr>
        <w:autoSpaceDE w:val="0"/>
        <w:autoSpaceDN w:val="0"/>
        <w:adjustRightInd w:val="0"/>
        <w:ind w:left="840"/>
        <w:rPr>
          <w:sz w:val="24"/>
          <w:szCs w:val="24"/>
        </w:rPr>
      </w:pPr>
      <w:r w:rsidRPr="006C2510">
        <w:rPr>
          <w:sz w:val="24"/>
          <w:szCs w:val="24"/>
        </w:rPr>
        <w:t xml:space="preserve">I en studie, som sammenlignede </w:t>
      </w:r>
      <w:proofErr w:type="spellStart"/>
      <w:r w:rsidRPr="006C2510">
        <w:rPr>
          <w:sz w:val="24"/>
          <w:szCs w:val="24"/>
        </w:rPr>
        <w:t>letrozols</w:t>
      </w:r>
      <w:proofErr w:type="spellEnd"/>
      <w:r w:rsidRPr="006C2510">
        <w:rPr>
          <w:sz w:val="24"/>
          <w:szCs w:val="24"/>
        </w:rPr>
        <w:t xml:space="preserve"> farmakokinetik efter en enkelt oral dosis hos otte mandlige forsøgspersoner med levercirrose og alvorligt nedsat leverfunktion (Child-</w:t>
      </w:r>
      <w:proofErr w:type="spellStart"/>
      <w:r w:rsidRPr="006C2510">
        <w:rPr>
          <w:sz w:val="24"/>
          <w:szCs w:val="24"/>
        </w:rPr>
        <w:t>Pugh</w:t>
      </w:r>
      <w:proofErr w:type="spellEnd"/>
      <w:r w:rsidRPr="006C2510">
        <w:rPr>
          <w:sz w:val="24"/>
          <w:szCs w:val="24"/>
        </w:rPr>
        <w:t xml:space="preserve"> C) og otte raske frivillige, steg AUC og t</w:t>
      </w:r>
      <w:r w:rsidRPr="006C2510">
        <w:rPr>
          <w:position w:val="-8"/>
          <w:sz w:val="24"/>
          <w:szCs w:val="24"/>
          <w:vertAlign w:val="subscript"/>
        </w:rPr>
        <w:t xml:space="preserve">½ </w:t>
      </w:r>
      <w:r w:rsidRPr="006C2510">
        <w:rPr>
          <w:sz w:val="24"/>
          <w:szCs w:val="24"/>
        </w:rPr>
        <w:t xml:space="preserve">med henholdsvis 95% og 187%. </w:t>
      </w:r>
      <w:proofErr w:type="spellStart"/>
      <w:r w:rsidRPr="006C2510">
        <w:rPr>
          <w:sz w:val="24"/>
          <w:szCs w:val="24"/>
        </w:rPr>
        <w:t>Letrozol</w:t>
      </w:r>
      <w:proofErr w:type="spellEnd"/>
      <w:r w:rsidRPr="006C2510">
        <w:rPr>
          <w:sz w:val="24"/>
          <w:szCs w:val="24"/>
        </w:rPr>
        <w:t xml:space="preserve"> bør derfor gives med forsigtighed til patienter med svært nedsat leverfunktion og under opvejning af risici og fordele for den enkelte patient. </w:t>
      </w:r>
    </w:p>
    <w:p w:rsidR="000A70A6" w:rsidRPr="001B4655" w:rsidRDefault="000A70A6" w:rsidP="000A70A6">
      <w:pPr>
        <w:tabs>
          <w:tab w:val="left" w:pos="851"/>
        </w:tabs>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5.3</w:t>
      </w:r>
      <w:r w:rsidRPr="001B4655">
        <w:rPr>
          <w:b/>
          <w:sz w:val="24"/>
          <w:szCs w:val="24"/>
        </w:rPr>
        <w:tab/>
        <w:t>Prækliniske sikkerhedsdata</w:t>
      </w:r>
    </w:p>
    <w:p w:rsidR="000A70A6" w:rsidRPr="00C67214" w:rsidRDefault="000A70A6" w:rsidP="000A70A6">
      <w:pPr>
        <w:autoSpaceDE w:val="0"/>
        <w:autoSpaceDN w:val="0"/>
        <w:adjustRightInd w:val="0"/>
        <w:ind w:left="851"/>
        <w:rPr>
          <w:sz w:val="24"/>
          <w:szCs w:val="24"/>
        </w:rPr>
      </w:pPr>
      <w:r w:rsidRPr="00C67214">
        <w:rPr>
          <w:sz w:val="24"/>
          <w:szCs w:val="24"/>
        </w:rPr>
        <w:t xml:space="preserve">I forskellige prækliniske sikkerhedsstudier udført på standard-dyrearter fandtes ikke evidens for toksicitet, hverken systemisk eller på målorganer. </w:t>
      </w:r>
    </w:p>
    <w:p w:rsidR="000A70A6" w:rsidRPr="00C67214" w:rsidRDefault="000A70A6" w:rsidP="000A70A6">
      <w:pPr>
        <w:autoSpaceDE w:val="0"/>
        <w:autoSpaceDN w:val="0"/>
        <w:adjustRightInd w:val="0"/>
        <w:rPr>
          <w:sz w:val="24"/>
          <w:szCs w:val="24"/>
        </w:rPr>
      </w:pPr>
    </w:p>
    <w:p w:rsidR="000A70A6" w:rsidRPr="00C67214" w:rsidRDefault="000A70A6" w:rsidP="000A70A6">
      <w:pPr>
        <w:autoSpaceDE w:val="0"/>
        <w:autoSpaceDN w:val="0"/>
        <w:adjustRightInd w:val="0"/>
        <w:ind w:left="851"/>
        <w:rPr>
          <w:sz w:val="24"/>
          <w:szCs w:val="24"/>
        </w:rPr>
      </w:pPr>
      <w:proofErr w:type="spellStart"/>
      <w:r w:rsidRPr="00C67214">
        <w:rPr>
          <w:sz w:val="24"/>
          <w:szCs w:val="24"/>
        </w:rPr>
        <w:t>Letrozol</w:t>
      </w:r>
      <w:proofErr w:type="spellEnd"/>
      <w:r w:rsidRPr="00C67214">
        <w:rPr>
          <w:sz w:val="24"/>
          <w:szCs w:val="24"/>
        </w:rPr>
        <w:t xml:space="preserve"> viste lav grad af akut toksicitet hos gnavere, der blev eksponeret for op til 2.000 mg/kg. Hos hunde viste </w:t>
      </w:r>
      <w:proofErr w:type="spellStart"/>
      <w:r w:rsidRPr="00C67214">
        <w:rPr>
          <w:sz w:val="24"/>
          <w:szCs w:val="24"/>
        </w:rPr>
        <w:t>letrozol</w:t>
      </w:r>
      <w:proofErr w:type="spellEnd"/>
      <w:r w:rsidRPr="00C67214">
        <w:rPr>
          <w:sz w:val="24"/>
          <w:szCs w:val="24"/>
        </w:rPr>
        <w:t xml:space="preserve"> tegn på moderat toksicitet ved 100 mg/kg. </w:t>
      </w:r>
    </w:p>
    <w:p w:rsidR="000A70A6" w:rsidRPr="00C67214" w:rsidRDefault="000A70A6" w:rsidP="000A70A6">
      <w:pPr>
        <w:autoSpaceDE w:val="0"/>
        <w:autoSpaceDN w:val="0"/>
        <w:adjustRightInd w:val="0"/>
        <w:rPr>
          <w:sz w:val="24"/>
          <w:szCs w:val="24"/>
        </w:rPr>
      </w:pPr>
    </w:p>
    <w:p w:rsidR="000A70A6" w:rsidRPr="00C67214" w:rsidRDefault="000A70A6" w:rsidP="000A70A6">
      <w:pPr>
        <w:autoSpaceDE w:val="0"/>
        <w:autoSpaceDN w:val="0"/>
        <w:adjustRightInd w:val="0"/>
        <w:ind w:left="851"/>
        <w:rPr>
          <w:sz w:val="24"/>
          <w:szCs w:val="24"/>
        </w:rPr>
      </w:pPr>
      <w:r w:rsidRPr="00C67214">
        <w:rPr>
          <w:sz w:val="24"/>
          <w:szCs w:val="24"/>
        </w:rPr>
        <w:t xml:space="preserve">I toksicitetsstudier med gentagne doser til rotter og hunde i indtil 12 måneder kan de fleste observerede fund henføres til </w:t>
      </w:r>
      <w:proofErr w:type="spellStart"/>
      <w:r w:rsidRPr="00C67214">
        <w:rPr>
          <w:sz w:val="24"/>
          <w:szCs w:val="24"/>
        </w:rPr>
        <w:t>letrozols</w:t>
      </w:r>
      <w:proofErr w:type="spellEnd"/>
      <w:r w:rsidRPr="00C67214">
        <w:rPr>
          <w:sz w:val="24"/>
          <w:szCs w:val="24"/>
        </w:rPr>
        <w:t xml:space="preserve"> farmakologiske virkning. Dosisniveauet uden bivirkninger var 0,3 mg/kg hos begge arter. </w:t>
      </w:r>
    </w:p>
    <w:p w:rsidR="000A70A6" w:rsidRPr="00C67214" w:rsidRDefault="000A70A6" w:rsidP="000A70A6">
      <w:pPr>
        <w:autoSpaceDE w:val="0"/>
        <w:autoSpaceDN w:val="0"/>
        <w:adjustRightInd w:val="0"/>
        <w:ind w:left="560"/>
        <w:rPr>
          <w:sz w:val="24"/>
          <w:szCs w:val="24"/>
        </w:rPr>
      </w:pPr>
    </w:p>
    <w:p w:rsidR="000A70A6" w:rsidRPr="00C67214" w:rsidRDefault="000A70A6" w:rsidP="000A70A6">
      <w:pPr>
        <w:autoSpaceDE w:val="0"/>
        <w:autoSpaceDN w:val="0"/>
        <w:adjustRightInd w:val="0"/>
        <w:ind w:left="851"/>
        <w:rPr>
          <w:sz w:val="24"/>
          <w:szCs w:val="24"/>
        </w:rPr>
      </w:pPr>
      <w:r w:rsidRPr="00C67214">
        <w:rPr>
          <w:sz w:val="24"/>
          <w:szCs w:val="24"/>
        </w:rPr>
        <w:t xml:space="preserve">Oral administration af </w:t>
      </w:r>
      <w:proofErr w:type="spellStart"/>
      <w:r w:rsidRPr="00C67214">
        <w:rPr>
          <w:sz w:val="24"/>
          <w:szCs w:val="24"/>
        </w:rPr>
        <w:t>letrozol</w:t>
      </w:r>
      <w:proofErr w:type="spellEnd"/>
      <w:r w:rsidRPr="00C67214">
        <w:rPr>
          <w:sz w:val="24"/>
          <w:szCs w:val="24"/>
        </w:rPr>
        <w:t xml:space="preserve"> til</w:t>
      </w:r>
      <w:r w:rsidR="00110394">
        <w:rPr>
          <w:sz w:val="24"/>
          <w:szCs w:val="24"/>
        </w:rPr>
        <w:t xml:space="preserve"> </w:t>
      </w:r>
      <w:r w:rsidRPr="00C67214">
        <w:rPr>
          <w:sz w:val="24"/>
          <w:szCs w:val="24"/>
        </w:rPr>
        <w:t>hunrotter resulterede i nedsat parring og graviditetshyppighed og i øget pr</w:t>
      </w:r>
      <w:r w:rsidR="00110394">
        <w:rPr>
          <w:sz w:val="24"/>
          <w:szCs w:val="24"/>
        </w:rPr>
        <w:t>æ</w:t>
      </w:r>
      <w:r w:rsidRPr="00C67214">
        <w:rPr>
          <w:sz w:val="24"/>
          <w:szCs w:val="24"/>
        </w:rPr>
        <w:t>implantationstab.</w:t>
      </w:r>
    </w:p>
    <w:p w:rsidR="000A70A6" w:rsidRPr="00C67214" w:rsidRDefault="000A70A6" w:rsidP="000A70A6">
      <w:pPr>
        <w:autoSpaceDE w:val="0"/>
        <w:autoSpaceDN w:val="0"/>
        <w:adjustRightInd w:val="0"/>
        <w:rPr>
          <w:sz w:val="24"/>
          <w:szCs w:val="24"/>
        </w:rPr>
      </w:pPr>
    </w:p>
    <w:p w:rsidR="000A70A6" w:rsidRPr="00C67214" w:rsidRDefault="000A70A6" w:rsidP="000A70A6">
      <w:pPr>
        <w:autoSpaceDE w:val="0"/>
        <w:autoSpaceDN w:val="0"/>
        <w:adjustRightInd w:val="0"/>
        <w:ind w:firstLine="851"/>
        <w:rPr>
          <w:sz w:val="24"/>
          <w:szCs w:val="24"/>
        </w:rPr>
      </w:pPr>
      <w:r w:rsidRPr="00C67214">
        <w:rPr>
          <w:sz w:val="24"/>
          <w:szCs w:val="24"/>
        </w:rPr>
        <w:t xml:space="preserve">Hverken </w:t>
      </w:r>
      <w:r w:rsidRPr="00C67214">
        <w:rPr>
          <w:i/>
          <w:iCs/>
          <w:sz w:val="24"/>
          <w:szCs w:val="24"/>
        </w:rPr>
        <w:t xml:space="preserve">in </w:t>
      </w:r>
      <w:proofErr w:type="spellStart"/>
      <w:r w:rsidRPr="00C67214">
        <w:rPr>
          <w:i/>
          <w:iCs/>
          <w:sz w:val="24"/>
          <w:szCs w:val="24"/>
        </w:rPr>
        <w:t>vitro</w:t>
      </w:r>
      <w:proofErr w:type="spellEnd"/>
      <w:r w:rsidRPr="00C67214">
        <w:rPr>
          <w:i/>
          <w:iCs/>
          <w:sz w:val="24"/>
          <w:szCs w:val="24"/>
        </w:rPr>
        <w:t xml:space="preserve"> </w:t>
      </w:r>
      <w:r w:rsidRPr="00C67214">
        <w:rPr>
          <w:sz w:val="24"/>
          <w:szCs w:val="24"/>
        </w:rPr>
        <w:t xml:space="preserve">eller </w:t>
      </w:r>
      <w:r w:rsidRPr="00C67214">
        <w:rPr>
          <w:i/>
          <w:iCs/>
          <w:sz w:val="24"/>
          <w:szCs w:val="24"/>
        </w:rPr>
        <w:t xml:space="preserve">in </w:t>
      </w:r>
      <w:proofErr w:type="spellStart"/>
      <w:r w:rsidRPr="00C67214">
        <w:rPr>
          <w:i/>
          <w:iCs/>
          <w:sz w:val="24"/>
          <w:szCs w:val="24"/>
        </w:rPr>
        <w:t>vivo</w:t>
      </w:r>
      <w:proofErr w:type="spellEnd"/>
      <w:r w:rsidRPr="00C67214">
        <w:rPr>
          <w:i/>
          <w:iCs/>
          <w:sz w:val="24"/>
          <w:szCs w:val="24"/>
        </w:rPr>
        <w:t xml:space="preserve"> </w:t>
      </w:r>
      <w:r w:rsidRPr="00C67214">
        <w:rPr>
          <w:sz w:val="24"/>
          <w:szCs w:val="24"/>
        </w:rPr>
        <w:t xml:space="preserve">studier af </w:t>
      </w:r>
      <w:proofErr w:type="spellStart"/>
      <w:r w:rsidRPr="00C67214">
        <w:rPr>
          <w:sz w:val="24"/>
          <w:szCs w:val="24"/>
        </w:rPr>
        <w:t>letrozols</w:t>
      </w:r>
      <w:proofErr w:type="spellEnd"/>
      <w:r w:rsidRPr="00C67214">
        <w:rPr>
          <w:sz w:val="24"/>
          <w:szCs w:val="24"/>
        </w:rPr>
        <w:t xml:space="preserve"> </w:t>
      </w:r>
      <w:proofErr w:type="spellStart"/>
      <w:r w:rsidRPr="00C67214">
        <w:rPr>
          <w:sz w:val="24"/>
          <w:szCs w:val="24"/>
        </w:rPr>
        <w:t>mutagenicitet</w:t>
      </w:r>
      <w:proofErr w:type="spellEnd"/>
      <w:r w:rsidRPr="00C67214">
        <w:rPr>
          <w:sz w:val="24"/>
          <w:szCs w:val="24"/>
        </w:rPr>
        <w:t xml:space="preserve"> tydede på genotoksicitet. </w:t>
      </w:r>
    </w:p>
    <w:p w:rsidR="000A70A6" w:rsidRPr="00C67214" w:rsidRDefault="000A70A6" w:rsidP="000A70A6">
      <w:pPr>
        <w:autoSpaceDE w:val="0"/>
        <w:autoSpaceDN w:val="0"/>
        <w:adjustRightInd w:val="0"/>
        <w:rPr>
          <w:sz w:val="24"/>
          <w:szCs w:val="24"/>
        </w:rPr>
      </w:pPr>
    </w:p>
    <w:p w:rsidR="000A70A6" w:rsidRPr="00C67214" w:rsidRDefault="000A70A6" w:rsidP="000A70A6">
      <w:pPr>
        <w:autoSpaceDE w:val="0"/>
        <w:autoSpaceDN w:val="0"/>
        <w:adjustRightInd w:val="0"/>
        <w:ind w:left="851"/>
        <w:rPr>
          <w:sz w:val="24"/>
          <w:szCs w:val="24"/>
        </w:rPr>
      </w:pPr>
      <w:r w:rsidRPr="00C67214">
        <w:rPr>
          <w:sz w:val="24"/>
          <w:szCs w:val="24"/>
        </w:rPr>
        <w:t xml:space="preserve">I et 104 uger </w:t>
      </w:r>
      <w:proofErr w:type="spellStart"/>
      <w:r w:rsidRPr="00C67214">
        <w:rPr>
          <w:sz w:val="24"/>
          <w:szCs w:val="24"/>
        </w:rPr>
        <w:t>karcinogenicitetsstudie</w:t>
      </w:r>
      <w:proofErr w:type="spellEnd"/>
      <w:r w:rsidRPr="00C67214">
        <w:rPr>
          <w:sz w:val="24"/>
          <w:szCs w:val="24"/>
        </w:rPr>
        <w:t xml:space="preserve"> på rotter blev der ikke observeret behandlingsrelaterede tumorer hos hanrotter. Hos hunrotter fandtes reduceret </w:t>
      </w:r>
      <w:proofErr w:type="spellStart"/>
      <w:r w:rsidRPr="00C67214">
        <w:rPr>
          <w:sz w:val="24"/>
          <w:szCs w:val="24"/>
        </w:rPr>
        <w:t>incidens</w:t>
      </w:r>
      <w:proofErr w:type="spellEnd"/>
      <w:r w:rsidRPr="00C67214">
        <w:rPr>
          <w:sz w:val="24"/>
          <w:szCs w:val="24"/>
        </w:rPr>
        <w:t xml:space="preserve"> af benigne og maligne </w:t>
      </w:r>
      <w:proofErr w:type="spellStart"/>
      <w:r w:rsidRPr="00C67214">
        <w:rPr>
          <w:sz w:val="24"/>
          <w:szCs w:val="24"/>
        </w:rPr>
        <w:t>mammatumorer</w:t>
      </w:r>
      <w:proofErr w:type="spellEnd"/>
      <w:r w:rsidRPr="00C67214">
        <w:rPr>
          <w:sz w:val="24"/>
          <w:szCs w:val="24"/>
        </w:rPr>
        <w:t xml:space="preserve"> ved alle doser </w:t>
      </w:r>
      <w:proofErr w:type="spellStart"/>
      <w:r w:rsidRPr="00C67214">
        <w:rPr>
          <w:sz w:val="24"/>
          <w:szCs w:val="24"/>
        </w:rPr>
        <w:t>letrozol</w:t>
      </w:r>
      <w:proofErr w:type="spellEnd"/>
      <w:r w:rsidRPr="00C67214">
        <w:rPr>
          <w:sz w:val="24"/>
          <w:szCs w:val="24"/>
        </w:rPr>
        <w:t xml:space="preserve">. </w:t>
      </w:r>
    </w:p>
    <w:p w:rsidR="000A70A6" w:rsidRPr="00C67214" w:rsidRDefault="000A70A6" w:rsidP="000A70A6">
      <w:pPr>
        <w:autoSpaceDE w:val="0"/>
        <w:autoSpaceDN w:val="0"/>
        <w:adjustRightInd w:val="0"/>
        <w:ind w:left="560"/>
        <w:rPr>
          <w:sz w:val="24"/>
          <w:szCs w:val="24"/>
        </w:rPr>
      </w:pPr>
    </w:p>
    <w:p w:rsidR="000A70A6" w:rsidRPr="00C67214" w:rsidRDefault="000A70A6" w:rsidP="000A70A6">
      <w:pPr>
        <w:autoSpaceDE w:val="0"/>
        <w:autoSpaceDN w:val="0"/>
        <w:adjustRightInd w:val="0"/>
        <w:ind w:left="851"/>
        <w:rPr>
          <w:sz w:val="24"/>
          <w:szCs w:val="24"/>
        </w:rPr>
      </w:pPr>
      <w:r w:rsidRPr="00C67214">
        <w:rPr>
          <w:sz w:val="24"/>
          <w:szCs w:val="24"/>
        </w:rPr>
        <w:t xml:space="preserve">I et 104-ugers </w:t>
      </w:r>
      <w:proofErr w:type="spellStart"/>
      <w:r w:rsidRPr="00C67214">
        <w:rPr>
          <w:sz w:val="24"/>
          <w:szCs w:val="24"/>
        </w:rPr>
        <w:t>karcinogenicitetsstudie</w:t>
      </w:r>
      <w:proofErr w:type="spellEnd"/>
      <w:r w:rsidRPr="00C67214">
        <w:rPr>
          <w:sz w:val="24"/>
          <w:szCs w:val="24"/>
        </w:rPr>
        <w:t xml:space="preserve"> på mus blev der ikke observeret behandlings-relaterede tumorer hos </w:t>
      </w:r>
      <w:proofErr w:type="spellStart"/>
      <w:r w:rsidRPr="00C67214">
        <w:rPr>
          <w:sz w:val="24"/>
          <w:szCs w:val="24"/>
        </w:rPr>
        <w:t>hanmus</w:t>
      </w:r>
      <w:proofErr w:type="spellEnd"/>
      <w:r w:rsidRPr="00C67214">
        <w:rPr>
          <w:sz w:val="24"/>
          <w:szCs w:val="24"/>
        </w:rPr>
        <w:t xml:space="preserve">. Hos </w:t>
      </w:r>
      <w:proofErr w:type="spellStart"/>
      <w:r w:rsidRPr="00C67214">
        <w:rPr>
          <w:sz w:val="24"/>
          <w:szCs w:val="24"/>
        </w:rPr>
        <w:t>hunmus</w:t>
      </w:r>
      <w:proofErr w:type="spellEnd"/>
      <w:r w:rsidRPr="00C67214">
        <w:rPr>
          <w:sz w:val="24"/>
          <w:szCs w:val="24"/>
        </w:rPr>
        <w:t xml:space="preserve"> blev der ved alle undersøgte doser </w:t>
      </w:r>
      <w:proofErr w:type="spellStart"/>
      <w:r w:rsidRPr="00C67214">
        <w:rPr>
          <w:sz w:val="24"/>
          <w:szCs w:val="24"/>
        </w:rPr>
        <w:t>letrozol</w:t>
      </w:r>
      <w:proofErr w:type="spellEnd"/>
      <w:r w:rsidRPr="00C67214">
        <w:rPr>
          <w:sz w:val="24"/>
          <w:szCs w:val="24"/>
        </w:rPr>
        <w:t xml:space="preserve"> observeret en generel dosisrelateret stigning i </w:t>
      </w:r>
      <w:proofErr w:type="spellStart"/>
      <w:r w:rsidRPr="00C67214">
        <w:rPr>
          <w:sz w:val="24"/>
          <w:szCs w:val="24"/>
        </w:rPr>
        <w:t>incidensen</w:t>
      </w:r>
      <w:proofErr w:type="spellEnd"/>
      <w:r w:rsidRPr="00C67214">
        <w:rPr>
          <w:sz w:val="24"/>
          <w:szCs w:val="24"/>
        </w:rPr>
        <w:t xml:space="preserve"> af benigne ovarietumorer af </w:t>
      </w:r>
      <w:proofErr w:type="spellStart"/>
      <w:r w:rsidRPr="00C67214">
        <w:rPr>
          <w:sz w:val="24"/>
          <w:szCs w:val="24"/>
        </w:rPr>
        <w:t>granulosa</w:t>
      </w:r>
      <w:proofErr w:type="spellEnd"/>
      <w:r w:rsidRPr="00C67214">
        <w:rPr>
          <w:sz w:val="24"/>
          <w:szCs w:val="24"/>
        </w:rPr>
        <w:t>-/</w:t>
      </w:r>
      <w:proofErr w:type="spellStart"/>
      <w:r w:rsidRPr="00C67214">
        <w:rPr>
          <w:sz w:val="24"/>
          <w:szCs w:val="24"/>
        </w:rPr>
        <w:t>thecacelleoprindelse</w:t>
      </w:r>
      <w:proofErr w:type="spellEnd"/>
      <w:r w:rsidRPr="00C67214">
        <w:rPr>
          <w:sz w:val="24"/>
          <w:szCs w:val="24"/>
        </w:rPr>
        <w:t>. Disse tumorer anses for at være relateret til farmakologisk hæmning af østrogensyntese og kan skyldes forhøjet LH som er forårsaget af et fald i cirkulerende østrogen.</w:t>
      </w:r>
    </w:p>
    <w:p w:rsidR="000A70A6" w:rsidRPr="00C67214" w:rsidRDefault="000A70A6" w:rsidP="000A70A6">
      <w:pPr>
        <w:autoSpaceDE w:val="0"/>
        <w:autoSpaceDN w:val="0"/>
        <w:adjustRightInd w:val="0"/>
        <w:rPr>
          <w:sz w:val="24"/>
          <w:szCs w:val="24"/>
        </w:rPr>
      </w:pPr>
    </w:p>
    <w:p w:rsidR="000A70A6" w:rsidRPr="00C67214" w:rsidRDefault="000A70A6" w:rsidP="000A70A6">
      <w:pPr>
        <w:autoSpaceDE w:val="0"/>
        <w:autoSpaceDN w:val="0"/>
        <w:adjustRightInd w:val="0"/>
        <w:ind w:left="851"/>
        <w:rPr>
          <w:sz w:val="24"/>
          <w:szCs w:val="24"/>
        </w:rPr>
      </w:pPr>
      <w:proofErr w:type="spellStart"/>
      <w:r w:rsidRPr="00C67214">
        <w:rPr>
          <w:sz w:val="24"/>
          <w:szCs w:val="24"/>
        </w:rPr>
        <w:t>Letrozol</w:t>
      </w:r>
      <w:proofErr w:type="spellEnd"/>
      <w:r w:rsidRPr="00C67214">
        <w:rPr>
          <w:sz w:val="24"/>
          <w:szCs w:val="24"/>
        </w:rPr>
        <w:t xml:space="preserve"> var embryotoksisk og </w:t>
      </w:r>
      <w:proofErr w:type="spellStart"/>
      <w:r w:rsidRPr="00C67214">
        <w:rPr>
          <w:sz w:val="24"/>
          <w:szCs w:val="24"/>
        </w:rPr>
        <w:t>føtotoksisk</w:t>
      </w:r>
      <w:proofErr w:type="spellEnd"/>
      <w:r w:rsidRPr="00C67214">
        <w:rPr>
          <w:sz w:val="24"/>
          <w:szCs w:val="24"/>
        </w:rPr>
        <w:t xml:space="preserve"> hos gravide rotter og kaniner efter oral administration af klinisk relevante doser. Hos rotter, der havde levende fostre, sås en øget </w:t>
      </w:r>
      <w:proofErr w:type="spellStart"/>
      <w:r w:rsidRPr="00C67214">
        <w:rPr>
          <w:sz w:val="24"/>
          <w:szCs w:val="24"/>
        </w:rPr>
        <w:t>incidens</w:t>
      </w:r>
      <w:proofErr w:type="spellEnd"/>
      <w:r w:rsidRPr="00C67214">
        <w:rPr>
          <w:sz w:val="24"/>
          <w:szCs w:val="24"/>
        </w:rPr>
        <w:t xml:space="preserve"> af </w:t>
      </w:r>
      <w:proofErr w:type="spellStart"/>
      <w:r w:rsidRPr="00C67214">
        <w:rPr>
          <w:sz w:val="24"/>
          <w:szCs w:val="24"/>
        </w:rPr>
        <w:t>føtale</w:t>
      </w:r>
      <w:proofErr w:type="spellEnd"/>
      <w:r w:rsidRPr="00C67214">
        <w:rPr>
          <w:sz w:val="24"/>
          <w:szCs w:val="24"/>
        </w:rPr>
        <w:t xml:space="preserve"> misdannelser, inklusive hvælvet hoved og </w:t>
      </w:r>
      <w:proofErr w:type="spellStart"/>
      <w:r w:rsidRPr="00C67214">
        <w:rPr>
          <w:sz w:val="24"/>
          <w:szCs w:val="24"/>
        </w:rPr>
        <w:t>cervical</w:t>
      </w:r>
      <w:proofErr w:type="spellEnd"/>
      <w:r w:rsidRPr="00C67214">
        <w:rPr>
          <w:sz w:val="24"/>
          <w:szCs w:val="24"/>
        </w:rPr>
        <w:t xml:space="preserve">/centrum </w:t>
      </w:r>
      <w:proofErr w:type="spellStart"/>
      <w:r w:rsidRPr="00C67214">
        <w:rPr>
          <w:sz w:val="24"/>
          <w:szCs w:val="24"/>
        </w:rPr>
        <w:t>vertebral</w:t>
      </w:r>
      <w:proofErr w:type="spellEnd"/>
      <w:r w:rsidRPr="00C67214">
        <w:rPr>
          <w:sz w:val="24"/>
          <w:szCs w:val="24"/>
        </w:rPr>
        <w:t xml:space="preserve"> fusion. En øget </w:t>
      </w:r>
      <w:proofErr w:type="spellStart"/>
      <w:r w:rsidRPr="00C67214">
        <w:rPr>
          <w:sz w:val="24"/>
          <w:szCs w:val="24"/>
        </w:rPr>
        <w:t>incidens</w:t>
      </w:r>
      <w:proofErr w:type="spellEnd"/>
      <w:r w:rsidRPr="00C67214">
        <w:rPr>
          <w:sz w:val="24"/>
          <w:szCs w:val="24"/>
        </w:rPr>
        <w:t xml:space="preserve"> af </w:t>
      </w:r>
      <w:proofErr w:type="spellStart"/>
      <w:r w:rsidRPr="00C67214">
        <w:rPr>
          <w:sz w:val="24"/>
          <w:szCs w:val="24"/>
        </w:rPr>
        <w:t>føtale</w:t>
      </w:r>
      <w:proofErr w:type="spellEnd"/>
      <w:r w:rsidRPr="00C67214">
        <w:rPr>
          <w:sz w:val="24"/>
          <w:szCs w:val="24"/>
        </w:rPr>
        <w:t xml:space="preserve"> misdannelser blev ikke set hos kaniner. Det vides ikke, om det indirekte skyldes de farmakologiske egenskaber (hæmning af østrogensyntesen) eller direkte skyldes lægemidlets effekt (se pkt. 4.3 og 4.6). </w:t>
      </w:r>
    </w:p>
    <w:p w:rsidR="000A70A6" w:rsidRPr="00C67214" w:rsidRDefault="000A70A6" w:rsidP="000A70A6">
      <w:pPr>
        <w:autoSpaceDE w:val="0"/>
        <w:autoSpaceDN w:val="0"/>
        <w:adjustRightInd w:val="0"/>
        <w:rPr>
          <w:sz w:val="24"/>
          <w:szCs w:val="24"/>
        </w:rPr>
      </w:pPr>
    </w:p>
    <w:p w:rsidR="000A70A6" w:rsidRPr="00C67214" w:rsidRDefault="000A70A6" w:rsidP="000A70A6">
      <w:pPr>
        <w:autoSpaceDE w:val="0"/>
        <w:autoSpaceDN w:val="0"/>
        <w:adjustRightInd w:val="0"/>
        <w:ind w:left="851"/>
        <w:rPr>
          <w:sz w:val="24"/>
          <w:szCs w:val="24"/>
        </w:rPr>
      </w:pPr>
      <w:r w:rsidRPr="00C67214">
        <w:rPr>
          <w:sz w:val="24"/>
          <w:szCs w:val="24"/>
        </w:rPr>
        <w:t xml:space="preserve">Prækliniske observationer var begrænset til dem, der er associeret med den kendte farmakologiske </w:t>
      </w:r>
      <w:r>
        <w:rPr>
          <w:sz w:val="24"/>
          <w:szCs w:val="24"/>
        </w:rPr>
        <w:t>virkning,</w:t>
      </w:r>
      <w:r w:rsidRPr="00C67214">
        <w:rPr>
          <w:sz w:val="24"/>
          <w:szCs w:val="24"/>
        </w:rPr>
        <w:t xml:space="preserve"> hvilket er den eneste problemstilling vedrørende sikkerheden ved human anvendelse, som kan uddrages fra dyrestudierne. </w:t>
      </w:r>
    </w:p>
    <w:p w:rsidR="000A70A6"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p>
    <w:p w:rsidR="000A70A6" w:rsidRPr="001B4655" w:rsidRDefault="000A70A6" w:rsidP="000A70A6">
      <w:pPr>
        <w:keepNext/>
        <w:tabs>
          <w:tab w:val="left" w:pos="851"/>
        </w:tabs>
        <w:ind w:left="851" w:hanging="851"/>
        <w:rPr>
          <w:b/>
          <w:sz w:val="24"/>
          <w:szCs w:val="24"/>
        </w:rPr>
      </w:pPr>
      <w:r w:rsidRPr="001B4655">
        <w:rPr>
          <w:b/>
          <w:sz w:val="24"/>
          <w:szCs w:val="24"/>
        </w:rPr>
        <w:t>6.</w:t>
      </w:r>
      <w:r w:rsidRPr="001B4655">
        <w:rPr>
          <w:b/>
          <w:sz w:val="24"/>
          <w:szCs w:val="24"/>
        </w:rPr>
        <w:tab/>
        <w:t>FARMACEUTISKE OPLYSNINGER</w:t>
      </w:r>
    </w:p>
    <w:p w:rsidR="000A70A6" w:rsidRPr="001B4655" w:rsidRDefault="000A70A6" w:rsidP="000A70A6">
      <w:pPr>
        <w:keepNext/>
        <w:tabs>
          <w:tab w:val="left" w:pos="851"/>
        </w:tabs>
        <w:ind w:left="851" w:hanging="851"/>
        <w:rPr>
          <w:b/>
          <w:sz w:val="24"/>
          <w:szCs w:val="24"/>
        </w:rPr>
      </w:pPr>
    </w:p>
    <w:p w:rsidR="000A70A6" w:rsidRPr="00011329" w:rsidRDefault="000A70A6" w:rsidP="000A70A6">
      <w:pPr>
        <w:keepNext/>
        <w:tabs>
          <w:tab w:val="left" w:pos="851"/>
        </w:tabs>
        <w:ind w:left="851" w:hanging="851"/>
        <w:rPr>
          <w:b/>
          <w:sz w:val="24"/>
          <w:szCs w:val="24"/>
        </w:rPr>
      </w:pPr>
      <w:r w:rsidRPr="001B4655">
        <w:rPr>
          <w:b/>
          <w:sz w:val="24"/>
          <w:szCs w:val="24"/>
        </w:rPr>
        <w:t>6.1</w:t>
      </w:r>
      <w:r w:rsidRPr="001B4655">
        <w:rPr>
          <w:b/>
          <w:sz w:val="24"/>
          <w:szCs w:val="24"/>
        </w:rPr>
        <w:tab/>
        <w:t>Hjælpestoffer</w:t>
      </w:r>
    </w:p>
    <w:p w:rsidR="000A70A6" w:rsidRPr="00E77FBE" w:rsidRDefault="000A70A6" w:rsidP="000A70A6">
      <w:pPr>
        <w:tabs>
          <w:tab w:val="left" w:pos="851"/>
        </w:tabs>
        <w:ind w:left="851"/>
        <w:rPr>
          <w:sz w:val="24"/>
          <w:szCs w:val="24"/>
          <w:u w:val="single"/>
        </w:rPr>
      </w:pPr>
      <w:r w:rsidRPr="00E77FBE">
        <w:rPr>
          <w:sz w:val="24"/>
          <w:szCs w:val="24"/>
          <w:u w:val="single"/>
        </w:rPr>
        <w:t>Tabletindhold</w:t>
      </w:r>
    </w:p>
    <w:p w:rsidR="000A70A6" w:rsidRPr="00D22018" w:rsidRDefault="000A70A6" w:rsidP="000A70A6">
      <w:pPr>
        <w:tabs>
          <w:tab w:val="left" w:pos="851"/>
        </w:tabs>
        <w:ind w:left="851"/>
        <w:rPr>
          <w:sz w:val="24"/>
          <w:szCs w:val="24"/>
        </w:rPr>
      </w:pPr>
      <w:r w:rsidRPr="00D22018">
        <w:rPr>
          <w:sz w:val="24"/>
          <w:szCs w:val="24"/>
        </w:rPr>
        <w:t xml:space="preserve">Laktosemonohydrat </w:t>
      </w:r>
    </w:p>
    <w:p w:rsidR="000A70A6" w:rsidRPr="00D22018" w:rsidRDefault="000A70A6" w:rsidP="000A70A6">
      <w:pPr>
        <w:tabs>
          <w:tab w:val="left" w:pos="851"/>
        </w:tabs>
        <w:ind w:left="851"/>
        <w:rPr>
          <w:sz w:val="24"/>
          <w:szCs w:val="24"/>
        </w:rPr>
      </w:pPr>
      <w:proofErr w:type="spellStart"/>
      <w:r w:rsidRPr="00D22018">
        <w:rPr>
          <w:sz w:val="24"/>
          <w:szCs w:val="24"/>
        </w:rPr>
        <w:lastRenderedPageBreak/>
        <w:t>Croscarmellosenatrium</w:t>
      </w:r>
      <w:proofErr w:type="spellEnd"/>
      <w:r w:rsidRPr="00D22018">
        <w:rPr>
          <w:sz w:val="24"/>
          <w:szCs w:val="24"/>
        </w:rPr>
        <w:t xml:space="preserve"> </w:t>
      </w:r>
    </w:p>
    <w:p w:rsidR="000A70A6" w:rsidRPr="00D22018" w:rsidRDefault="000A70A6" w:rsidP="000A70A6">
      <w:pPr>
        <w:tabs>
          <w:tab w:val="left" w:pos="851"/>
        </w:tabs>
        <w:ind w:left="851"/>
        <w:rPr>
          <w:sz w:val="24"/>
          <w:szCs w:val="24"/>
        </w:rPr>
      </w:pPr>
      <w:proofErr w:type="spellStart"/>
      <w:r w:rsidRPr="00D22018">
        <w:rPr>
          <w:sz w:val="24"/>
          <w:szCs w:val="24"/>
        </w:rPr>
        <w:t>Povidon</w:t>
      </w:r>
      <w:proofErr w:type="spellEnd"/>
    </w:p>
    <w:p w:rsidR="000A70A6" w:rsidRPr="00D22018" w:rsidRDefault="000A70A6" w:rsidP="000A70A6">
      <w:pPr>
        <w:tabs>
          <w:tab w:val="left" w:pos="851"/>
        </w:tabs>
        <w:ind w:left="851"/>
        <w:rPr>
          <w:sz w:val="24"/>
          <w:szCs w:val="24"/>
        </w:rPr>
      </w:pPr>
      <w:proofErr w:type="spellStart"/>
      <w:r w:rsidRPr="00D22018">
        <w:rPr>
          <w:sz w:val="24"/>
          <w:szCs w:val="24"/>
        </w:rPr>
        <w:t>Silica</w:t>
      </w:r>
      <w:proofErr w:type="spellEnd"/>
      <w:r w:rsidRPr="00D22018">
        <w:rPr>
          <w:sz w:val="24"/>
          <w:szCs w:val="24"/>
        </w:rPr>
        <w:t xml:space="preserve">, kolloid vandfri </w:t>
      </w:r>
    </w:p>
    <w:p w:rsidR="000A70A6" w:rsidRPr="001B4655" w:rsidRDefault="000A70A6" w:rsidP="000A70A6">
      <w:pPr>
        <w:tabs>
          <w:tab w:val="left" w:pos="851"/>
        </w:tabs>
        <w:ind w:left="851"/>
        <w:rPr>
          <w:sz w:val="24"/>
          <w:szCs w:val="24"/>
        </w:rPr>
      </w:pPr>
      <w:proofErr w:type="spellStart"/>
      <w:r>
        <w:rPr>
          <w:sz w:val="24"/>
          <w:szCs w:val="24"/>
        </w:rPr>
        <w:t>Magnesium</w:t>
      </w:r>
      <w:r w:rsidRPr="001B4655">
        <w:rPr>
          <w:sz w:val="24"/>
          <w:szCs w:val="24"/>
        </w:rPr>
        <w:t>stearat</w:t>
      </w:r>
      <w:proofErr w:type="spellEnd"/>
    </w:p>
    <w:p w:rsidR="000A70A6" w:rsidRPr="001B4655" w:rsidRDefault="000A70A6" w:rsidP="000A70A6">
      <w:pPr>
        <w:tabs>
          <w:tab w:val="left" w:pos="851"/>
        </w:tabs>
        <w:ind w:left="851"/>
        <w:rPr>
          <w:sz w:val="24"/>
          <w:szCs w:val="24"/>
        </w:rPr>
      </w:pPr>
    </w:p>
    <w:p w:rsidR="000A70A6" w:rsidRPr="001B4655" w:rsidRDefault="000A70A6" w:rsidP="000A70A6">
      <w:pPr>
        <w:tabs>
          <w:tab w:val="left" w:pos="851"/>
        </w:tabs>
        <w:ind w:left="851"/>
        <w:rPr>
          <w:sz w:val="24"/>
          <w:szCs w:val="24"/>
        </w:rPr>
      </w:pPr>
      <w:r w:rsidRPr="00E77FBE">
        <w:rPr>
          <w:sz w:val="24"/>
          <w:szCs w:val="24"/>
          <w:u w:val="single"/>
        </w:rPr>
        <w:t>Overtræk</w:t>
      </w:r>
    </w:p>
    <w:p w:rsidR="000A70A6" w:rsidRPr="00046FED" w:rsidRDefault="000A70A6" w:rsidP="000A70A6">
      <w:pPr>
        <w:tabs>
          <w:tab w:val="left" w:pos="851"/>
        </w:tabs>
        <w:ind w:left="851"/>
        <w:rPr>
          <w:sz w:val="24"/>
          <w:szCs w:val="24"/>
        </w:rPr>
      </w:pPr>
      <w:proofErr w:type="spellStart"/>
      <w:r w:rsidRPr="00046FED">
        <w:rPr>
          <w:sz w:val="24"/>
          <w:szCs w:val="24"/>
        </w:rPr>
        <w:t>Hypromellose</w:t>
      </w:r>
      <w:proofErr w:type="spellEnd"/>
      <w:r w:rsidRPr="00046FED">
        <w:rPr>
          <w:sz w:val="24"/>
          <w:szCs w:val="24"/>
        </w:rPr>
        <w:t xml:space="preserve"> </w:t>
      </w:r>
    </w:p>
    <w:p w:rsidR="000A70A6" w:rsidRPr="00046FED" w:rsidRDefault="000A70A6" w:rsidP="000A70A6">
      <w:pPr>
        <w:tabs>
          <w:tab w:val="left" w:pos="851"/>
        </w:tabs>
        <w:ind w:left="851"/>
        <w:rPr>
          <w:sz w:val="24"/>
          <w:szCs w:val="24"/>
        </w:rPr>
      </w:pPr>
      <w:r w:rsidRPr="00046FED">
        <w:rPr>
          <w:sz w:val="24"/>
          <w:szCs w:val="24"/>
        </w:rPr>
        <w:t xml:space="preserve">Gul jernoxid </w:t>
      </w:r>
    </w:p>
    <w:p w:rsidR="000A70A6" w:rsidRPr="00046FED" w:rsidRDefault="000A70A6" w:rsidP="000A70A6">
      <w:pPr>
        <w:tabs>
          <w:tab w:val="left" w:pos="851"/>
        </w:tabs>
        <w:ind w:left="851"/>
        <w:rPr>
          <w:sz w:val="24"/>
          <w:szCs w:val="24"/>
        </w:rPr>
      </w:pPr>
      <w:r w:rsidRPr="00046FED">
        <w:rPr>
          <w:sz w:val="24"/>
          <w:szCs w:val="24"/>
        </w:rPr>
        <w:t xml:space="preserve">Titandioxid </w:t>
      </w:r>
    </w:p>
    <w:p w:rsidR="000A70A6" w:rsidRPr="00046FED" w:rsidRDefault="000A70A6" w:rsidP="000A70A6">
      <w:pPr>
        <w:tabs>
          <w:tab w:val="left" w:pos="851"/>
        </w:tabs>
        <w:ind w:left="851"/>
        <w:rPr>
          <w:sz w:val="24"/>
          <w:szCs w:val="24"/>
        </w:rPr>
      </w:pPr>
      <w:proofErr w:type="spellStart"/>
      <w:r w:rsidRPr="00046FED">
        <w:rPr>
          <w:sz w:val="24"/>
          <w:szCs w:val="24"/>
        </w:rPr>
        <w:t>Macrogol</w:t>
      </w:r>
      <w:proofErr w:type="spellEnd"/>
    </w:p>
    <w:p w:rsidR="000A70A6" w:rsidRPr="00046FED" w:rsidRDefault="000A70A6" w:rsidP="000A70A6">
      <w:pPr>
        <w:tabs>
          <w:tab w:val="left" w:pos="851"/>
        </w:tabs>
        <w:ind w:left="851"/>
        <w:rPr>
          <w:sz w:val="24"/>
          <w:szCs w:val="24"/>
        </w:rPr>
      </w:pPr>
      <w:proofErr w:type="spellStart"/>
      <w:r w:rsidRPr="00046FED">
        <w:rPr>
          <w:sz w:val="24"/>
          <w:szCs w:val="24"/>
        </w:rPr>
        <w:t>Talcum</w:t>
      </w:r>
      <w:proofErr w:type="spellEnd"/>
    </w:p>
    <w:p w:rsidR="000A70A6" w:rsidRPr="00046FED"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6.2</w:t>
      </w:r>
      <w:r w:rsidRPr="001B4655">
        <w:rPr>
          <w:b/>
          <w:sz w:val="24"/>
          <w:szCs w:val="24"/>
        </w:rPr>
        <w:tab/>
        <w:t>Uforligeligheder</w:t>
      </w:r>
    </w:p>
    <w:p w:rsidR="000A70A6" w:rsidRPr="00046285" w:rsidRDefault="000A70A6" w:rsidP="000A70A6">
      <w:pPr>
        <w:tabs>
          <w:tab w:val="left" w:pos="851"/>
        </w:tabs>
        <w:ind w:left="851" w:hanging="851"/>
        <w:rPr>
          <w:sz w:val="24"/>
          <w:szCs w:val="24"/>
        </w:rPr>
      </w:pPr>
      <w:r w:rsidRPr="001B4655">
        <w:rPr>
          <w:sz w:val="24"/>
          <w:szCs w:val="24"/>
        </w:rPr>
        <w:tab/>
      </w:r>
      <w:r w:rsidRPr="00046285">
        <w:rPr>
          <w:sz w:val="24"/>
          <w:szCs w:val="24"/>
        </w:rPr>
        <w:t>Ikke relevant.</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6.3</w:t>
      </w:r>
      <w:r w:rsidRPr="001B4655">
        <w:rPr>
          <w:b/>
          <w:sz w:val="24"/>
          <w:szCs w:val="24"/>
        </w:rPr>
        <w:tab/>
        <w:t>Opbevaringstid</w:t>
      </w:r>
    </w:p>
    <w:p w:rsidR="000A70A6" w:rsidRPr="001B4655" w:rsidRDefault="000A70A6" w:rsidP="000A70A6">
      <w:pPr>
        <w:tabs>
          <w:tab w:val="left" w:pos="851"/>
        </w:tabs>
        <w:ind w:left="851" w:hanging="851"/>
        <w:rPr>
          <w:sz w:val="24"/>
          <w:szCs w:val="24"/>
        </w:rPr>
      </w:pPr>
      <w:r w:rsidRPr="001B4655">
        <w:rPr>
          <w:sz w:val="24"/>
          <w:szCs w:val="24"/>
        </w:rPr>
        <w:tab/>
        <w:t>3 år.</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6.4</w:t>
      </w:r>
      <w:r w:rsidRPr="001B4655">
        <w:rPr>
          <w:b/>
          <w:sz w:val="24"/>
          <w:szCs w:val="24"/>
        </w:rPr>
        <w:tab/>
        <w:t>Særlige opbevaringsforhold</w:t>
      </w:r>
    </w:p>
    <w:p w:rsidR="000A70A6" w:rsidRPr="001B4655" w:rsidRDefault="000A70A6" w:rsidP="000A70A6">
      <w:pPr>
        <w:tabs>
          <w:tab w:val="left" w:pos="851"/>
        </w:tabs>
        <w:ind w:left="851" w:hanging="851"/>
        <w:rPr>
          <w:sz w:val="24"/>
          <w:szCs w:val="24"/>
        </w:rPr>
      </w:pPr>
      <w:r w:rsidRPr="001B4655">
        <w:rPr>
          <w:sz w:val="24"/>
          <w:szCs w:val="24"/>
        </w:rPr>
        <w:tab/>
        <w:t>Dette lægemiddel kræver ingen særlige forholdsregler vedrørende opbevaringen.</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6.5</w:t>
      </w:r>
      <w:r w:rsidRPr="001B4655">
        <w:rPr>
          <w:b/>
          <w:sz w:val="24"/>
          <w:szCs w:val="24"/>
        </w:rPr>
        <w:tab/>
        <w:t>Emballagetyper og pakningsstørrelser</w:t>
      </w:r>
    </w:p>
    <w:p w:rsidR="000A70A6" w:rsidRDefault="000A70A6" w:rsidP="000A70A6">
      <w:pPr>
        <w:tabs>
          <w:tab w:val="left" w:pos="851"/>
        </w:tabs>
        <w:ind w:left="851" w:hanging="851"/>
        <w:rPr>
          <w:sz w:val="24"/>
          <w:szCs w:val="24"/>
        </w:rPr>
      </w:pPr>
      <w:r w:rsidRPr="001B4655">
        <w:rPr>
          <w:sz w:val="24"/>
          <w:szCs w:val="24"/>
        </w:rPr>
        <w:tab/>
      </w:r>
      <w:r>
        <w:rPr>
          <w:sz w:val="24"/>
          <w:szCs w:val="24"/>
        </w:rPr>
        <w:t>Aluminium/</w:t>
      </w:r>
      <w:r w:rsidRPr="001B4655">
        <w:rPr>
          <w:sz w:val="24"/>
          <w:szCs w:val="24"/>
        </w:rPr>
        <w:t>Aluminium</w:t>
      </w:r>
      <w:r>
        <w:rPr>
          <w:sz w:val="24"/>
          <w:szCs w:val="24"/>
        </w:rPr>
        <w:t xml:space="preserve"> blister.</w:t>
      </w: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PVC/PE/PVDC/Aluminium blister</w:t>
      </w:r>
      <w:r>
        <w:rPr>
          <w:sz w:val="24"/>
          <w:szCs w:val="24"/>
        </w:rPr>
        <w:t>.</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r w:rsidRPr="0062535D">
        <w:rPr>
          <w:sz w:val="24"/>
          <w:szCs w:val="24"/>
          <w:u w:val="single"/>
        </w:rPr>
        <w:t>Pakningsstørrelser</w:t>
      </w: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10, 14, 28, 30, </w:t>
      </w:r>
      <w:r>
        <w:rPr>
          <w:sz w:val="24"/>
          <w:szCs w:val="24"/>
        </w:rPr>
        <w:t xml:space="preserve">60, </w:t>
      </w:r>
      <w:r w:rsidRPr="001B4655">
        <w:rPr>
          <w:sz w:val="24"/>
          <w:szCs w:val="24"/>
        </w:rPr>
        <w:t xml:space="preserve">90, 98 </w:t>
      </w:r>
      <w:r>
        <w:rPr>
          <w:sz w:val="24"/>
          <w:szCs w:val="24"/>
        </w:rPr>
        <w:t>og</w:t>
      </w:r>
      <w:r w:rsidRPr="001B4655">
        <w:rPr>
          <w:sz w:val="24"/>
          <w:szCs w:val="24"/>
        </w:rPr>
        <w:t xml:space="preserve"> 100 </w:t>
      </w:r>
      <w:r>
        <w:rPr>
          <w:sz w:val="24"/>
          <w:szCs w:val="24"/>
        </w:rPr>
        <w:t>stk.</w:t>
      </w: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Ikke alle pakningsstørrelser er nødvendigvis markedsført.</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6.6</w:t>
      </w:r>
      <w:r w:rsidRPr="001B4655">
        <w:rPr>
          <w:b/>
          <w:sz w:val="24"/>
          <w:szCs w:val="24"/>
        </w:rPr>
        <w:tab/>
        <w:t>Regler for destruktion og anden håndtering</w:t>
      </w:r>
    </w:p>
    <w:p w:rsidR="000A70A6" w:rsidRDefault="000A70A6" w:rsidP="000A70A6">
      <w:pPr>
        <w:tabs>
          <w:tab w:val="left" w:pos="851"/>
        </w:tabs>
        <w:ind w:left="851" w:hanging="851"/>
        <w:rPr>
          <w:sz w:val="24"/>
          <w:szCs w:val="24"/>
        </w:rPr>
      </w:pPr>
      <w:r>
        <w:rPr>
          <w:sz w:val="24"/>
          <w:szCs w:val="24"/>
        </w:rPr>
        <w:tab/>
        <w:t>Ingen særlige forholdsregler.</w:t>
      </w:r>
    </w:p>
    <w:p w:rsidR="000A70A6"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bCs/>
          <w:sz w:val="24"/>
          <w:szCs w:val="24"/>
        </w:rPr>
      </w:pPr>
      <w:r>
        <w:rPr>
          <w:sz w:val="24"/>
          <w:szCs w:val="24"/>
        </w:rPr>
        <w:tab/>
      </w:r>
      <w:r w:rsidRPr="001B4655">
        <w:rPr>
          <w:sz w:val="24"/>
          <w:szCs w:val="24"/>
        </w:rPr>
        <w:t>Ikke anvendt lægemiddel samt affald heraf skal bortskaffes i henhold til lokale retningslinjer.</w:t>
      </w:r>
    </w:p>
    <w:p w:rsidR="000A70A6" w:rsidRPr="001B4655" w:rsidRDefault="000A70A6" w:rsidP="000A70A6">
      <w:pPr>
        <w:tabs>
          <w:tab w:val="left" w:pos="851"/>
        </w:tabs>
        <w:ind w:left="851" w:hanging="851"/>
        <w:jc w:val="both"/>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7.</w:t>
      </w:r>
      <w:r w:rsidRPr="001B4655">
        <w:rPr>
          <w:b/>
          <w:sz w:val="24"/>
          <w:szCs w:val="24"/>
        </w:rPr>
        <w:tab/>
        <w:t>INDEHAVER AF MARKEDSFØRINGSTILLADELSEN</w:t>
      </w:r>
    </w:p>
    <w:p w:rsidR="000A70A6" w:rsidRPr="00B87168" w:rsidRDefault="000A70A6" w:rsidP="000A70A6">
      <w:pPr>
        <w:tabs>
          <w:tab w:val="left" w:pos="851"/>
        </w:tabs>
        <w:ind w:left="851"/>
        <w:rPr>
          <w:sz w:val="24"/>
          <w:szCs w:val="24"/>
        </w:rPr>
      </w:pPr>
      <w:r w:rsidRPr="00B87168">
        <w:rPr>
          <w:sz w:val="24"/>
          <w:szCs w:val="24"/>
        </w:rPr>
        <w:t>Medical Valley Invest AB</w:t>
      </w:r>
    </w:p>
    <w:p w:rsidR="000A70A6" w:rsidRPr="00046FED" w:rsidRDefault="000A70A6" w:rsidP="000A70A6">
      <w:pPr>
        <w:tabs>
          <w:tab w:val="left" w:pos="851"/>
        </w:tabs>
        <w:ind w:left="851"/>
        <w:rPr>
          <w:sz w:val="24"/>
          <w:szCs w:val="24"/>
          <w:lang w:val="sv-SE"/>
        </w:rPr>
      </w:pPr>
      <w:r w:rsidRPr="00046FED">
        <w:rPr>
          <w:sz w:val="24"/>
          <w:szCs w:val="24"/>
          <w:lang w:val="sv-SE"/>
        </w:rPr>
        <w:t>Brädgårdsvägen 28</w:t>
      </w:r>
    </w:p>
    <w:p w:rsidR="000A70A6" w:rsidRPr="00046FED" w:rsidRDefault="000A70A6" w:rsidP="000A70A6">
      <w:pPr>
        <w:tabs>
          <w:tab w:val="left" w:pos="851"/>
        </w:tabs>
        <w:ind w:left="851"/>
        <w:rPr>
          <w:sz w:val="24"/>
          <w:szCs w:val="24"/>
          <w:lang w:val="sv-SE"/>
        </w:rPr>
      </w:pPr>
      <w:r w:rsidRPr="00046FED">
        <w:rPr>
          <w:sz w:val="24"/>
          <w:szCs w:val="24"/>
          <w:lang w:val="sv-SE"/>
        </w:rPr>
        <w:t>236 32 Höllviken</w:t>
      </w:r>
    </w:p>
    <w:p w:rsidR="000A70A6" w:rsidRPr="00046FED" w:rsidRDefault="000A70A6" w:rsidP="000A70A6">
      <w:pPr>
        <w:tabs>
          <w:tab w:val="left" w:pos="851"/>
        </w:tabs>
        <w:ind w:left="851"/>
        <w:rPr>
          <w:sz w:val="24"/>
          <w:szCs w:val="24"/>
          <w:lang w:val="sv-SE"/>
        </w:rPr>
      </w:pPr>
      <w:r w:rsidRPr="00046FED">
        <w:rPr>
          <w:sz w:val="24"/>
          <w:szCs w:val="24"/>
          <w:lang w:val="sv-SE"/>
        </w:rPr>
        <w:t>Sverige</w:t>
      </w:r>
    </w:p>
    <w:p w:rsidR="000A70A6" w:rsidRPr="00046FED" w:rsidRDefault="000A70A6" w:rsidP="000A70A6">
      <w:pPr>
        <w:tabs>
          <w:tab w:val="left" w:pos="851"/>
        </w:tabs>
        <w:ind w:left="851"/>
        <w:rPr>
          <w:sz w:val="24"/>
          <w:szCs w:val="24"/>
          <w:lang w:val="sv-SE"/>
        </w:rPr>
      </w:pPr>
    </w:p>
    <w:p w:rsidR="000A70A6" w:rsidRPr="00046FED" w:rsidRDefault="000A70A6" w:rsidP="000A70A6">
      <w:pPr>
        <w:tabs>
          <w:tab w:val="left" w:pos="851"/>
        </w:tabs>
        <w:ind w:left="851" w:hanging="851"/>
        <w:rPr>
          <w:b/>
          <w:sz w:val="24"/>
          <w:szCs w:val="24"/>
          <w:lang w:val="sv-SE"/>
        </w:rPr>
      </w:pPr>
      <w:r w:rsidRPr="00046FED">
        <w:rPr>
          <w:b/>
          <w:sz w:val="24"/>
          <w:szCs w:val="24"/>
          <w:lang w:val="sv-SE"/>
        </w:rPr>
        <w:t>8.</w:t>
      </w:r>
      <w:r w:rsidRPr="00046FED">
        <w:rPr>
          <w:b/>
          <w:sz w:val="24"/>
          <w:szCs w:val="24"/>
          <w:lang w:val="sv-SE"/>
        </w:rPr>
        <w:tab/>
        <w:t>MARKEDSFØRINGSTILLADELSESNUMMER (NUMRE)</w:t>
      </w:r>
    </w:p>
    <w:p w:rsidR="000A70A6" w:rsidRPr="001B4655" w:rsidRDefault="000A70A6" w:rsidP="000A70A6">
      <w:pPr>
        <w:tabs>
          <w:tab w:val="left" w:pos="851"/>
        </w:tabs>
        <w:ind w:left="851" w:hanging="851"/>
        <w:rPr>
          <w:sz w:val="24"/>
          <w:szCs w:val="24"/>
        </w:rPr>
      </w:pPr>
      <w:r w:rsidRPr="00046FED">
        <w:rPr>
          <w:sz w:val="24"/>
          <w:szCs w:val="24"/>
          <w:lang w:val="sv-SE"/>
        </w:rPr>
        <w:tab/>
      </w:r>
      <w:r w:rsidRPr="001B4655">
        <w:rPr>
          <w:sz w:val="24"/>
          <w:szCs w:val="24"/>
        </w:rPr>
        <w:t>50072</w:t>
      </w:r>
    </w:p>
    <w:p w:rsidR="000A70A6" w:rsidRDefault="000A70A6" w:rsidP="000A70A6">
      <w:pPr>
        <w:tabs>
          <w:tab w:val="left" w:pos="851"/>
        </w:tabs>
        <w:ind w:left="851" w:hanging="851"/>
        <w:rPr>
          <w:b/>
          <w:sz w:val="24"/>
          <w:szCs w:val="24"/>
        </w:rPr>
      </w:pPr>
    </w:p>
    <w:p w:rsidR="000A70A6" w:rsidRPr="001B4655" w:rsidRDefault="000A70A6" w:rsidP="000A70A6">
      <w:pPr>
        <w:tabs>
          <w:tab w:val="left" w:pos="851"/>
        </w:tabs>
        <w:ind w:left="851" w:hanging="851"/>
        <w:rPr>
          <w:b/>
          <w:sz w:val="24"/>
          <w:szCs w:val="24"/>
        </w:rPr>
      </w:pPr>
      <w:r w:rsidRPr="001B4655">
        <w:rPr>
          <w:b/>
          <w:sz w:val="24"/>
          <w:szCs w:val="24"/>
        </w:rPr>
        <w:t>9.</w:t>
      </w:r>
      <w:r w:rsidRPr="001B4655">
        <w:rPr>
          <w:b/>
          <w:sz w:val="24"/>
          <w:szCs w:val="24"/>
        </w:rPr>
        <w:tab/>
        <w:t>DATO FOR FØRSTE MARKEDSFØRINGSTILLADELSE</w:t>
      </w:r>
    </w:p>
    <w:p w:rsidR="000A70A6" w:rsidRPr="001B4655" w:rsidRDefault="000A70A6" w:rsidP="000A70A6">
      <w:pPr>
        <w:tabs>
          <w:tab w:val="left" w:pos="851"/>
        </w:tabs>
        <w:ind w:left="851" w:hanging="851"/>
        <w:rPr>
          <w:sz w:val="24"/>
          <w:szCs w:val="24"/>
        </w:rPr>
      </w:pPr>
      <w:r w:rsidRPr="001B4655">
        <w:rPr>
          <w:sz w:val="24"/>
          <w:szCs w:val="24"/>
        </w:rPr>
        <w:tab/>
        <w:t>8. april 2013</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10.</w:t>
      </w:r>
      <w:r w:rsidRPr="001B4655">
        <w:rPr>
          <w:b/>
          <w:sz w:val="24"/>
          <w:szCs w:val="24"/>
        </w:rPr>
        <w:tab/>
        <w:t>DATO FOR ÆNDRING AF TEKSTEN</w:t>
      </w:r>
    </w:p>
    <w:p w:rsidR="000A70A6" w:rsidRPr="001B4655" w:rsidRDefault="000A70A6" w:rsidP="000A70A6">
      <w:pPr>
        <w:tabs>
          <w:tab w:val="left" w:pos="851"/>
        </w:tabs>
        <w:ind w:left="851" w:hanging="851"/>
        <w:rPr>
          <w:sz w:val="24"/>
          <w:szCs w:val="24"/>
        </w:rPr>
      </w:pPr>
      <w:r w:rsidRPr="001B4655">
        <w:rPr>
          <w:sz w:val="24"/>
          <w:szCs w:val="24"/>
        </w:rPr>
        <w:tab/>
      </w:r>
      <w:r>
        <w:rPr>
          <w:sz w:val="24"/>
          <w:szCs w:val="24"/>
        </w:rPr>
        <w:t xml:space="preserve">3. </w:t>
      </w:r>
      <w:r w:rsidR="0056044E">
        <w:rPr>
          <w:sz w:val="24"/>
          <w:szCs w:val="24"/>
        </w:rPr>
        <w:t xml:space="preserve">februar </w:t>
      </w:r>
      <w:r>
        <w:rPr>
          <w:sz w:val="24"/>
          <w:szCs w:val="24"/>
        </w:rPr>
        <w:t>202</w:t>
      </w:r>
      <w:r w:rsidR="0056044E">
        <w:rPr>
          <w:sz w:val="24"/>
          <w:szCs w:val="24"/>
        </w:rPr>
        <w:t>1</w:t>
      </w:r>
    </w:p>
    <w:p w:rsidR="000A70A6" w:rsidRPr="00263324" w:rsidRDefault="000A70A6" w:rsidP="000A70A6"/>
    <w:p w:rsidR="000A70A6" w:rsidRPr="000E63F1" w:rsidRDefault="000A70A6" w:rsidP="000A70A6"/>
    <w:p w:rsidR="009260DE" w:rsidRPr="000A70A6" w:rsidRDefault="009260DE" w:rsidP="000A70A6"/>
    <w:sectPr w:rsidR="009260DE" w:rsidRPr="000A70A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180" w:rsidRDefault="00F06180">
      <w:r>
        <w:separator/>
      </w:r>
    </w:p>
  </w:endnote>
  <w:endnote w:type="continuationSeparator" w:id="0">
    <w:p w:rsidR="00F06180" w:rsidRDefault="00F0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180" w:rsidRDefault="00F06180">
    <w:pPr>
      <w:pStyle w:val="Sidefod"/>
      <w:pBdr>
        <w:bottom w:val="single" w:sz="6" w:space="1" w:color="auto"/>
      </w:pBdr>
    </w:pPr>
  </w:p>
  <w:p w:rsidR="00F06180" w:rsidRDefault="00F06180" w:rsidP="00C42586">
    <w:pPr>
      <w:pStyle w:val="Sidefod"/>
      <w:tabs>
        <w:tab w:val="clear" w:pos="4819"/>
        <w:tab w:val="left" w:pos="8505"/>
      </w:tabs>
      <w:rPr>
        <w:i/>
        <w:sz w:val="18"/>
        <w:szCs w:val="18"/>
      </w:rPr>
    </w:pPr>
  </w:p>
  <w:p w:rsidR="00F06180" w:rsidRPr="00B373D7" w:rsidRDefault="00F0618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Letrozol Medical Valley, filmovertrukne tabletter 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180" w:rsidRDefault="00F06180">
      <w:r>
        <w:separator/>
      </w:r>
    </w:p>
  </w:footnote>
  <w:footnote w:type="continuationSeparator" w:id="0">
    <w:p w:rsidR="00F06180" w:rsidRDefault="00F06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803CA"/>
    <w:multiLevelType w:val="hybridMultilevel"/>
    <w:tmpl w:val="F8848EF0"/>
    <w:lvl w:ilvl="0" w:tplc="0C0A0001">
      <w:start w:val="1"/>
      <w:numFmt w:val="bullet"/>
      <w:lvlText w:val=""/>
      <w:lvlJc w:val="left"/>
      <w:pPr>
        <w:ind w:left="9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5D01129"/>
    <w:multiLevelType w:val="hybridMultilevel"/>
    <w:tmpl w:val="177EAF8A"/>
    <w:lvl w:ilvl="0" w:tplc="0C0A0001">
      <w:start w:val="1"/>
      <w:numFmt w:val="bullet"/>
      <w:lvlText w:val=""/>
      <w:lvlJc w:val="left"/>
      <w:pPr>
        <w:ind w:left="9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7"/>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A6"/>
    <w:rsid w:val="000259B9"/>
    <w:rsid w:val="00041491"/>
    <w:rsid w:val="00046FED"/>
    <w:rsid w:val="00050D16"/>
    <w:rsid w:val="00074F2A"/>
    <w:rsid w:val="000A1CA8"/>
    <w:rsid w:val="000A466B"/>
    <w:rsid w:val="000A70A6"/>
    <w:rsid w:val="000B058C"/>
    <w:rsid w:val="000C72AD"/>
    <w:rsid w:val="000E4EE6"/>
    <w:rsid w:val="00110394"/>
    <w:rsid w:val="001454E2"/>
    <w:rsid w:val="001470B9"/>
    <w:rsid w:val="001E4D4B"/>
    <w:rsid w:val="001F754E"/>
    <w:rsid w:val="00206CE8"/>
    <w:rsid w:val="0021526C"/>
    <w:rsid w:val="00283A2B"/>
    <w:rsid w:val="002B30AD"/>
    <w:rsid w:val="002C2C01"/>
    <w:rsid w:val="003A29AE"/>
    <w:rsid w:val="003A32D7"/>
    <w:rsid w:val="003B4074"/>
    <w:rsid w:val="003C769A"/>
    <w:rsid w:val="003F1838"/>
    <w:rsid w:val="0045746C"/>
    <w:rsid w:val="0049104B"/>
    <w:rsid w:val="004A34B7"/>
    <w:rsid w:val="004E3B12"/>
    <w:rsid w:val="00532310"/>
    <w:rsid w:val="0056044E"/>
    <w:rsid w:val="00560ECC"/>
    <w:rsid w:val="00565F0F"/>
    <w:rsid w:val="00594A86"/>
    <w:rsid w:val="00596D86"/>
    <w:rsid w:val="00637F5A"/>
    <w:rsid w:val="006560B1"/>
    <w:rsid w:val="00662E97"/>
    <w:rsid w:val="006756DD"/>
    <w:rsid w:val="00690DED"/>
    <w:rsid w:val="00737275"/>
    <w:rsid w:val="00740EEC"/>
    <w:rsid w:val="0078011A"/>
    <w:rsid w:val="00782AF4"/>
    <w:rsid w:val="00790EE7"/>
    <w:rsid w:val="007B6649"/>
    <w:rsid w:val="0081546F"/>
    <w:rsid w:val="0082576E"/>
    <w:rsid w:val="00907F75"/>
    <w:rsid w:val="009260DE"/>
    <w:rsid w:val="0093258A"/>
    <w:rsid w:val="00934E0A"/>
    <w:rsid w:val="009C7BA3"/>
    <w:rsid w:val="009D1F5A"/>
    <w:rsid w:val="00B003BF"/>
    <w:rsid w:val="00B373D7"/>
    <w:rsid w:val="00B93625"/>
    <w:rsid w:val="00BA02D2"/>
    <w:rsid w:val="00C36276"/>
    <w:rsid w:val="00C42586"/>
    <w:rsid w:val="00C60CCD"/>
    <w:rsid w:val="00C84483"/>
    <w:rsid w:val="00C95551"/>
    <w:rsid w:val="00CB20D7"/>
    <w:rsid w:val="00D020B0"/>
    <w:rsid w:val="00D11748"/>
    <w:rsid w:val="00D15676"/>
    <w:rsid w:val="00D366CF"/>
    <w:rsid w:val="00E108AA"/>
    <w:rsid w:val="00E31812"/>
    <w:rsid w:val="00E3749A"/>
    <w:rsid w:val="00E62A41"/>
    <w:rsid w:val="00E7437F"/>
    <w:rsid w:val="00E865B8"/>
    <w:rsid w:val="00EC0B9B"/>
    <w:rsid w:val="00EC5CED"/>
    <w:rsid w:val="00ED5E9F"/>
    <w:rsid w:val="00F0618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9C23B"/>
  <w15:chartTrackingRefBased/>
  <w15:docId w15:val="{B4B2BF01-8B92-4BA5-B1D1-83100121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0A70A6"/>
    <w:rPr>
      <w:color w:val="808080"/>
    </w:rPr>
  </w:style>
  <w:style w:type="paragraph" w:styleId="Listeafsnit">
    <w:name w:val="List Paragraph"/>
    <w:basedOn w:val="Normal"/>
    <w:uiPriority w:val="34"/>
    <w:qFormat/>
    <w:rsid w:val="000A70A6"/>
    <w:pPr>
      <w:spacing w:after="200" w:line="276" w:lineRule="auto"/>
      <w:ind w:left="720"/>
      <w:contextualSpacing/>
    </w:pPr>
    <w:rPr>
      <w:rFonts w:asciiTheme="minorHAnsi" w:eastAsiaTheme="minorHAnsi" w:hAnsiTheme="minorHAnsi" w:cstheme="minorBidi"/>
      <w:sz w:val="22"/>
      <w:szCs w:val="22"/>
      <w:lang w:val="en-US"/>
    </w:rPr>
  </w:style>
  <w:style w:type="character" w:styleId="Hyperlink">
    <w:name w:val="Hyperlink"/>
    <w:basedOn w:val="Standardskrifttypeiafsnit"/>
    <w:uiPriority w:val="99"/>
    <w:unhideWhenUsed/>
    <w:rsid w:val="000A70A6"/>
    <w:rPr>
      <w:color w:val="0563C1" w:themeColor="hyperlink"/>
      <w:u w:val="single"/>
    </w:rPr>
  </w:style>
  <w:style w:type="table" w:styleId="Tabel-Gitter">
    <w:name w:val="Table Grid"/>
    <w:basedOn w:val="Tabel-Normal"/>
    <w:uiPriority w:val="59"/>
    <w:rsid w:val="000A70A6"/>
    <w:rPr>
      <w:rFonts w:asciiTheme="minorHAnsi" w:eastAsiaTheme="minorHAnsi" w:hAnsiTheme="minorHAnsi" w:cstheme="minorBidi"/>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0A7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7367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49</TotalTime>
  <Pages>19</Pages>
  <Words>5629</Words>
  <Characters>37595</Characters>
  <Application>Microsoft Office Word</Application>
  <DocSecurity>0</DocSecurity>
  <Lines>313</Lines>
  <Paragraphs>86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2019124209 SPC pkt. 1, 4.1, 4.2, 4.4-4.9, 5.1-5.3, 6.1</dc:description>
  <cp:lastModifiedBy>Betty Winther Andersen</cp:lastModifiedBy>
  <cp:revision>10</cp:revision>
  <cp:lastPrinted>2012-08-22T08:53:00Z</cp:lastPrinted>
  <dcterms:created xsi:type="dcterms:W3CDTF">2021-02-01T10:28:00Z</dcterms:created>
  <dcterms:modified xsi:type="dcterms:W3CDTF">2021-02-01T11:32:00Z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