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B0E09" w14:textId="7F2F3027" w:rsidR="009260DE" w:rsidRPr="00E400E9" w:rsidRDefault="0021526C" w:rsidP="00093A1E">
      <w:pPr>
        <w:rPr>
          <w:sz w:val="24"/>
          <w:szCs w:val="24"/>
        </w:rPr>
      </w:pPr>
      <w:r w:rsidRPr="00E400E9">
        <w:rPr>
          <w:noProof/>
          <w:sz w:val="24"/>
          <w:szCs w:val="24"/>
          <w:lang w:eastAsia="da-DK"/>
        </w:rPr>
        <w:drawing>
          <wp:anchor distT="0" distB="0" distL="114300" distR="114300" simplePos="0" relativeHeight="251658240" behindDoc="0" locked="0" layoutInCell="1" allowOverlap="1" wp14:anchorId="7059B204" wp14:editId="3C0F42F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400E9">
        <w:rPr>
          <w:sz w:val="24"/>
          <w:szCs w:val="24"/>
        </w:rPr>
        <w:br w:type="textWrapping" w:clear="all"/>
      </w:r>
    </w:p>
    <w:p w14:paraId="36963B8C" w14:textId="1890D4EF" w:rsidR="009260DE" w:rsidRPr="00E400E9" w:rsidRDefault="009260DE" w:rsidP="009260DE">
      <w:pPr>
        <w:pStyle w:val="Titel"/>
        <w:tabs>
          <w:tab w:val="right" w:pos="9356"/>
        </w:tabs>
        <w:jc w:val="left"/>
        <w:rPr>
          <w:b w:val="0"/>
          <w:szCs w:val="24"/>
          <w:lang w:eastAsia="en-US"/>
        </w:rPr>
      </w:pPr>
      <w:r w:rsidRPr="00E400E9">
        <w:rPr>
          <w:b w:val="0"/>
          <w:szCs w:val="24"/>
          <w:lang w:eastAsia="en-US"/>
        </w:rPr>
        <w:tab/>
      </w:r>
      <w:r w:rsidR="00C72FC6">
        <w:rPr>
          <w:szCs w:val="24"/>
        </w:rPr>
        <w:t>8</w:t>
      </w:r>
      <w:r w:rsidR="001C7B69">
        <w:rPr>
          <w:szCs w:val="24"/>
        </w:rPr>
        <w:t>.</w:t>
      </w:r>
      <w:r w:rsidR="00C72FC6">
        <w:rPr>
          <w:szCs w:val="24"/>
        </w:rPr>
        <w:t xml:space="preserve"> </w:t>
      </w:r>
      <w:r w:rsidR="001C7B69">
        <w:rPr>
          <w:szCs w:val="24"/>
        </w:rPr>
        <w:t>november 2023</w:t>
      </w:r>
    </w:p>
    <w:p w14:paraId="3C774041" w14:textId="77777777" w:rsidR="009260DE" w:rsidRPr="00E400E9" w:rsidRDefault="009260DE" w:rsidP="009260DE">
      <w:pPr>
        <w:pStyle w:val="Titel"/>
        <w:tabs>
          <w:tab w:val="left" w:pos="8222"/>
        </w:tabs>
        <w:jc w:val="left"/>
        <w:rPr>
          <w:b w:val="0"/>
          <w:szCs w:val="24"/>
        </w:rPr>
      </w:pPr>
    </w:p>
    <w:p w14:paraId="0D59D473" w14:textId="3186CAF5" w:rsidR="009260DE" w:rsidRDefault="009260DE" w:rsidP="009260DE">
      <w:pPr>
        <w:pStyle w:val="Titel"/>
        <w:jc w:val="left"/>
        <w:rPr>
          <w:b w:val="0"/>
          <w:szCs w:val="24"/>
        </w:rPr>
      </w:pPr>
    </w:p>
    <w:p w14:paraId="1B24E12A" w14:textId="77777777" w:rsidR="001C7B69" w:rsidRPr="00E400E9" w:rsidRDefault="001C7B69" w:rsidP="009260DE">
      <w:pPr>
        <w:pStyle w:val="Titel"/>
        <w:jc w:val="left"/>
        <w:rPr>
          <w:b w:val="0"/>
          <w:szCs w:val="24"/>
        </w:rPr>
      </w:pPr>
    </w:p>
    <w:p w14:paraId="4A37FCC5" w14:textId="77777777" w:rsidR="009260DE" w:rsidRPr="00E400E9" w:rsidRDefault="009260DE" w:rsidP="009260DE">
      <w:pPr>
        <w:jc w:val="center"/>
        <w:rPr>
          <w:b/>
          <w:sz w:val="24"/>
          <w:szCs w:val="24"/>
        </w:rPr>
      </w:pPr>
      <w:r w:rsidRPr="00E400E9">
        <w:rPr>
          <w:b/>
          <w:sz w:val="24"/>
          <w:szCs w:val="24"/>
        </w:rPr>
        <w:t>PRODUKTRESUMÉ</w:t>
      </w:r>
    </w:p>
    <w:p w14:paraId="60E8E5DC" w14:textId="77777777" w:rsidR="009260DE" w:rsidRPr="00E400E9" w:rsidRDefault="009260DE" w:rsidP="009260DE">
      <w:pPr>
        <w:jc w:val="center"/>
        <w:rPr>
          <w:b/>
          <w:sz w:val="24"/>
          <w:szCs w:val="24"/>
        </w:rPr>
      </w:pPr>
    </w:p>
    <w:p w14:paraId="61C71005" w14:textId="77777777" w:rsidR="009260DE" w:rsidRPr="00E400E9" w:rsidRDefault="009260DE" w:rsidP="009260DE">
      <w:pPr>
        <w:jc w:val="center"/>
        <w:rPr>
          <w:b/>
          <w:sz w:val="24"/>
          <w:szCs w:val="24"/>
        </w:rPr>
      </w:pPr>
      <w:r w:rsidRPr="00E400E9">
        <w:rPr>
          <w:b/>
          <w:sz w:val="24"/>
          <w:szCs w:val="24"/>
        </w:rPr>
        <w:t>for</w:t>
      </w:r>
    </w:p>
    <w:p w14:paraId="2CBE8D9F" w14:textId="77777777" w:rsidR="000B058C" w:rsidRPr="00E400E9" w:rsidRDefault="000B058C" w:rsidP="009260DE">
      <w:pPr>
        <w:jc w:val="center"/>
        <w:rPr>
          <w:b/>
          <w:sz w:val="24"/>
          <w:szCs w:val="24"/>
        </w:rPr>
      </w:pPr>
    </w:p>
    <w:p w14:paraId="254BE5A1" w14:textId="7F340209" w:rsidR="009260DE" w:rsidRPr="00E400E9" w:rsidRDefault="00C934BD" w:rsidP="009260DE">
      <w:pPr>
        <w:jc w:val="center"/>
        <w:rPr>
          <w:b/>
          <w:sz w:val="24"/>
          <w:szCs w:val="24"/>
        </w:rPr>
      </w:pPr>
      <w:proofErr w:type="spellStart"/>
      <w:r w:rsidRPr="00E400E9">
        <w:rPr>
          <w:b/>
          <w:sz w:val="24"/>
          <w:szCs w:val="24"/>
        </w:rPr>
        <w:t>Letybo</w:t>
      </w:r>
      <w:proofErr w:type="spellEnd"/>
      <w:r w:rsidRPr="00E400E9">
        <w:rPr>
          <w:b/>
          <w:sz w:val="24"/>
          <w:szCs w:val="24"/>
        </w:rPr>
        <w:t>, pulver til injektionsvæske, opløsning</w:t>
      </w:r>
    </w:p>
    <w:p w14:paraId="6BB5154C" w14:textId="77777777" w:rsidR="009260DE" w:rsidRPr="00E400E9" w:rsidRDefault="009260DE" w:rsidP="009260DE">
      <w:pPr>
        <w:jc w:val="both"/>
        <w:rPr>
          <w:sz w:val="24"/>
          <w:szCs w:val="24"/>
        </w:rPr>
      </w:pPr>
    </w:p>
    <w:p w14:paraId="1CFEED36" w14:textId="77777777" w:rsidR="009260DE" w:rsidRPr="00E400E9" w:rsidRDefault="009260DE" w:rsidP="009260DE">
      <w:pPr>
        <w:jc w:val="both"/>
        <w:rPr>
          <w:sz w:val="24"/>
          <w:szCs w:val="24"/>
        </w:rPr>
      </w:pPr>
    </w:p>
    <w:p w14:paraId="7ADEF9F8" w14:textId="77777777" w:rsidR="009260DE" w:rsidRPr="00E400E9" w:rsidRDefault="009260DE" w:rsidP="009260DE">
      <w:pPr>
        <w:tabs>
          <w:tab w:val="left" w:pos="851"/>
        </w:tabs>
        <w:ind w:left="851" w:hanging="851"/>
        <w:rPr>
          <w:b/>
          <w:sz w:val="24"/>
          <w:szCs w:val="24"/>
        </w:rPr>
      </w:pPr>
      <w:r w:rsidRPr="00E400E9">
        <w:rPr>
          <w:b/>
          <w:sz w:val="24"/>
          <w:szCs w:val="24"/>
        </w:rPr>
        <w:t>0.</w:t>
      </w:r>
      <w:r w:rsidRPr="00E400E9">
        <w:rPr>
          <w:b/>
          <w:sz w:val="24"/>
          <w:szCs w:val="24"/>
        </w:rPr>
        <w:tab/>
        <w:t>D.SP.NR.</w:t>
      </w:r>
    </w:p>
    <w:p w14:paraId="572898A0" w14:textId="4F045B4C" w:rsidR="009260DE" w:rsidRPr="00E400E9" w:rsidRDefault="00C934BD" w:rsidP="009260DE">
      <w:pPr>
        <w:tabs>
          <w:tab w:val="left" w:pos="851"/>
        </w:tabs>
        <w:ind w:left="851"/>
        <w:rPr>
          <w:sz w:val="24"/>
          <w:szCs w:val="24"/>
        </w:rPr>
      </w:pPr>
      <w:r w:rsidRPr="00E400E9">
        <w:rPr>
          <w:sz w:val="24"/>
          <w:szCs w:val="24"/>
        </w:rPr>
        <w:t>33003</w:t>
      </w:r>
    </w:p>
    <w:p w14:paraId="4B7423F1" w14:textId="77777777" w:rsidR="009260DE" w:rsidRPr="00E400E9" w:rsidRDefault="009260DE" w:rsidP="009260DE">
      <w:pPr>
        <w:tabs>
          <w:tab w:val="left" w:pos="851"/>
        </w:tabs>
        <w:ind w:left="851"/>
        <w:rPr>
          <w:sz w:val="24"/>
          <w:szCs w:val="24"/>
        </w:rPr>
      </w:pPr>
    </w:p>
    <w:p w14:paraId="4193AB05" w14:textId="77777777" w:rsidR="009260DE" w:rsidRPr="00E400E9" w:rsidRDefault="009260DE" w:rsidP="009260DE">
      <w:pPr>
        <w:tabs>
          <w:tab w:val="left" w:pos="851"/>
        </w:tabs>
        <w:ind w:left="851" w:hanging="851"/>
        <w:rPr>
          <w:b/>
          <w:sz w:val="24"/>
          <w:szCs w:val="24"/>
        </w:rPr>
      </w:pPr>
      <w:r w:rsidRPr="00E400E9">
        <w:rPr>
          <w:b/>
          <w:sz w:val="24"/>
          <w:szCs w:val="24"/>
        </w:rPr>
        <w:t>1.</w:t>
      </w:r>
      <w:r w:rsidRPr="00E400E9">
        <w:rPr>
          <w:b/>
          <w:sz w:val="24"/>
          <w:szCs w:val="24"/>
        </w:rPr>
        <w:tab/>
        <w:t>LÆGEMIDLETS NAVN</w:t>
      </w:r>
    </w:p>
    <w:p w14:paraId="5914A9D2" w14:textId="26C55440" w:rsidR="009260DE" w:rsidRPr="00E400E9" w:rsidRDefault="00C934BD" w:rsidP="009260DE">
      <w:pPr>
        <w:tabs>
          <w:tab w:val="left" w:pos="851"/>
        </w:tabs>
        <w:ind w:left="851"/>
        <w:rPr>
          <w:sz w:val="24"/>
          <w:szCs w:val="24"/>
        </w:rPr>
      </w:pPr>
      <w:proofErr w:type="spellStart"/>
      <w:r w:rsidRPr="00E400E9">
        <w:rPr>
          <w:sz w:val="24"/>
          <w:szCs w:val="24"/>
        </w:rPr>
        <w:t>Letybo</w:t>
      </w:r>
      <w:proofErr w:type="spellEnd"/>
    </w:p>
    <w:p w14:paraId="08C3B050" w14:textId="77777777" w:rsidR="009260DE" w:rsidRPr="00E400E9" w:rsidRDefault="009260DE" w:rsidP="009260DE">
      <w:pPr>
        <w:tabs>
          <w:tab w:val="left" w:pos="851"/>
        </w:tabs>
        <w:ind w:left="851"/>
        <w:rPr>
          <w:sz w:val="24"/>
          <w:szCs w:val="24"/>
        </w:rPr>
      </w:pPr>
    </w:p>
    <w:p w14:paraId="564FAA6E" w14:textId="77777777" w:rsidR="009260DE" w:rsidRPr="00E400E9" w:rsidRDefault="009260DE" w:rsidP="009260DE">
      <w:pPr>
        <w:tabs>
          <w:tab w:val="left" w:pos="851"/>
        </w:tabs>
        <w:ind w:left="851" w:hanging="851"/>
        <w:rPr>
          <w:b/>
          <w:sz w:val="24"/>
          <w:szCs w:val="24"/>
        </w:rPr>
      </w:pPr>
      <w:r w:rsidRPr="00E400E9">
        <w:rPr>
          <w:b/>
          <w:sz w:val="24"/>
          <w:szCs w:val="24"/>
        </w:rPr>
        <w:t>2.</w:t>
      </w:r>
      <w:r w:rsidRPr="00E400E9">
        <w:rPr>
          <w:b/>
          <w:sz w:val="24"/>
          <w:szCs w:val="24"/>
        </w:rPr>
        <w:tab/>
        <w:t>KVALITATIV OG KVANTITATIV SAMMENSÆTNING</w:t>
      </w:r>
    </w:p>
    <w:p w14:paraId="44CBD62B" w14:textId="77777777" w:rsidR="00093A1E" w:rsidRPr="00E400E9" w:rsidRDefault="00093A1E" w:rsidP="00093A1E">
      <w:pPr>
        <w:ind w:left="851"/>
        <w:rPr>
          <w:sz w:val="24"/>
          <w:szCs w:val="24"/>
          <w:lang w:eastAsia="da-DK"/>
        </w:rPr>
      </w:pPr>
      <w:r w:rsidRPr="00E400E9">
        <w:rPr>
          <w:sz w:val="24"/>
          <w:szCs w:val="24"/>
        </w:rPr>
        <w:t xml:space="preserve">Et hætteglas indeholder </w:t>
      </w:r>
      <w:r w:rsidRPr="00E400E9">
        <w:rPr>
          <w:sz w:val="24"/>
          <w:szCs w:val="24"/>
        </w:rPr>
        <w:br/>
        <w:t xml:space="preserve">50 enheder </w:t>
      </w:r>
      <w:proofErr w:type="spellStart"/>
      <w:r w:rsidRPr="00E400E9">
        <w:rPr>
          <w:sz w:val="24"/>
          <w:szCs w:val="24"/>
        </w:rPr>
        <w:t>botulinumtoksin</w:t>
      </w:r>
      <w:proofErr w:type="spellEnd"/>
      <w:r w:rsidRPr="00E400E9">
        <w:rPr>
          <w:sz w:val="24"/>
          <w:szCs w:val="24"/>
        </w:rPr>
        <w:t xml:space="preserve"> type A fremstillet af </w:t>
      </w:r>
      <w:proofErr w:type="spellStart"/>
      <w:r w:rsidRPr="00E400E9">
        <w:rPr>
          <w:i/>
          <w:sz w:val="24"/>
          <w:szCs w:val="24"/>
        </w:rPr>
        <w:t>Clostridium</w:t>
      </w:r>
      <w:proofErr w:type="spellEnd"/>
      <w:r w:rsidRPr="00E400E9">
        <w:rPr>
          <w:i/>
          <w:sz w:val="24"/>
          <w:szCs w:val="24"/>
        </w:rPr>
        <w:t xml:space="preserve"> </w:t>
      </w:r>
      <w:proofErr w:type="spellStart"/>
      <w:r w:rsidRPr="00E400E9">
        <w:rPr>
          <w:i/>
          <w:sz w:val="24"/>
          <w:szCs w:val="24"/>
        </w:rPr>
        <w:t>botulinum</w:t>
      </w:r>
      <w:proofErr w:type="spellEnd"/>
      <w:r w:rsidRPr="00E400E9">
        <w:rPr>
          <w:sz w:val="24"/>
          <w:szCs w:val="24"/>
        </w:rPr>
        <w:t>.</w:t>
      </w:r>
    </w:p>
    <w:p w14:paraId="5AE419B8" w14:textId="77777777" w:rsidR="00093A1E" w:rsidRPr="00E400E9" w:rsidRDefault="00093A1E" w:rsidP="00093A1E">
      <w:pPr>
        <w:ind w:left="851"/>
        <w:rPr>
          <w:sz w:val="24"/>
          <w:szCs w:val="24"/>
        </w:rPr>
      </w:pPr>
      <w:r w:rsidRPr="00E400E9">
        <w:rPr>
          <w:sz w:val="24"/>
          <w:szCs w:val="24"/>
        </w:rPr>
        <w:t xml:space="preserve">Efter </w:t>
      </w:r>
      <w:proofErr w:type="spellStart"/>
      <w:r w:rsidRPr="00E400E9">
        <w:rPr>
          <w:sz w:val="24"/>
          <w:szCs w:val="24"/>
        </w:rPr>
        <w:t>rekonstitution</w:t>
      </w:r>
      <w:proofErr w:type="spellEnd"/>
      <w:r w:rsidRPr="00E400E9">
        <w:rPr>
          <w:sz w:val="24"/>
          <w:szCs w:val="24"/>
        </w:rPr>
        <w:t xml:space="preserve"> indeholder hver 0,1 ml af opløsningen 4 enheder.</w:t>
      </w:r>
    </w:p>
    <w:p w14:paraId="750A3B30" w14:textId="77777777" w:rsidR="00093A1E" w:rsidRPr="00E400E9" w:rsidRDefault="00093A1E" w:rsidP="00093A1E">
      <w:pPr>
        <w:ind w:left="851"/>
        <w:rPr>
          <w:sz w:val="24"/>
          <w:szCs w:val="24"/>
        </w:rPr>
      </w:pPr>
    </w:p>
    <w:p w14:paraId="6495DACB" w14:textId="38497495" w:rsidR="00093A1E" w:rsidRPr="00E400E9" w:rsidRDefault="00093A1E" w:rsidP="00093A1E">
      <w:pPr>
        <w:ind w:left="851"/>
        <w:rPr>
          <w:bCs/>
          <w:noProof/>
          <w:sz w:val="24"/>
          <w:szCs w:val="24"/>
        </w:rPr>
      </w:pPr>
      <w:r w:rsidRPr="00E400E9">
        <w:rPr>
          <w:sz w:val="24"/>
          <w:szCs w:val="24"/>
        </w:rPr>
        <w:t>Alle</w:t>
      </w:r>
      <w:r w:rsidRPr="00E400E9">
        <w:rPr>
          <w:bCs/>
          <w:sz w:val="24"/>
          <w:szCs w:val="24"/>
        </w:rPr>
        <w:t xml:space="preserve"> hjælpestoffer er anført under pkt. </w:t>
      </w:r>
      <w:r w:rsidRPr="00E400E9">
        <w:rPr>
          <w:sz w:val="24"/>
          <w:szCs w:val="24"/>
        </w:rPr>
        <w:t>6.1</w:t>
      </w:r>
      <w:r w:rsidRPr="00E400E9">
        <w:rPr>
          <w:rStyle w:val="Hyperlink"/>
          <w:sz w:val="24"/>
          <w:szCs w:val="24"/>
        </w:rPr>
        <w:t>.</w:t>
      </w:r>
    </w:p>
    <w:p w14:paraId="392414CB" w14:textId="77777777" w:rsidR="009260DE" w:rsidRPr="00E400E9" w:rsidRDefault="009260DE" w:rsidP="009260DE">
      <w:pPr>
        <w:tabs>
          <w:tab w:val="left" w:pos="851"/>
        </w:tabs>
        <w:ind w:left="851"/>
        <w:rPr>
          <w:sz w:val="24"/>
          <w:szCs w:val="24"/>
        </w:rPr>
      </w:pPr>
    </w:p>
    <w:p w14:paraId="383E8910" w14:textId="77777777" w:rsidR="009260DE" w:rsidRPr="00E400E9" w:rsidRDefault="009260DE" w:rsidP="009260DE">
      <w:pPr>
        <w:tabs>
          <w:tab w:val="left" w:pos="851"/>
        </w:tabs>
        <w:ind w:left="851" w:hanging="851"/>
        <w:rPr>
          <w:b/>
          <w:sz w:val="24"/>
          <w:szCs w:val="24"/>
        </w:rPr>
      </w:pPr>
      <w:r w:rsidRPr="00E400E9">
        <w:rPr>
          <w:b/>
          <w:sz w:val="24"/>
          <w:szCs w:val="24"/>
        </w:rPr>
        <w:t>3.</w:t>
      </w:r>
      <w:r w:rsidRPr="00E400E9">
        <w:rPr>
          <w:b/>
          <w:sz w:val="24"/>
          <w:szCs w:val="24"/>
        </w:rPr>
        <w:tab/>
        <w:t>LÆGEMIDDELFORM</w:t>
      </w:r>
    </w:p>
    <w:p w14:paraId="32D2E8E8" w14:textId="77777777" w:rsidR="00F37506" w:rsidRPr="00E400E9" w:rsidRDefault="00093A1E" w:rsidP="00093A1E">
      <w:pPr>
        <w:tabs>
          <w:tab w:val="left" w:pos="1304"/>
        </w:tabs>
        <w:suppressAutoHyphens/>
        <w:ind w:left="851"/>
        <w:rPr>
          <w:sz w:val="24"/>
          <w:szCs w:val="24"/>
        </w:rPr>
      </w:pPr>
      <w:r w:rsidRPr="00E400E9">
        <w:rPr>
          <w:sz w:val="24"/>
          <w:szCs w:val="24"/>
        </w:rPr>
        <w:t>Pulver til injektionsvæske, opløsning</w:t>
      </w:r>
    </w:p>
    <w:p w14:paraId="021AE100" w14:textId="7E202907" w:rsidR="00093A1E" w:rsidRPr="00E400E9" w:rsidRDefault="00093A1E" w:rsidP="00093A1E">
      <w:pPr>
        <w:tabs>
          <w:tab w:val="left" w:pos="1304"/>
        </w:tabs>
        <w:suppressAutoHyphens/>
        <w:ind w:left="851"/>
        <w:rPr>
          <w:noProof/>
          <w:sz w:val="24"/>
          <w:szCs w:val="24"/>
        </w:rPr>
      </w:pPr>
      <w:r w:rsidRPr="00E400E9">
        <w:rPr>
          <w:sz w:val="24"/>
          <w:szCs w:val="24"/>
        </w:rPr>
        <w:t>Hvidt pulver.</w:t>
      </w:r>
    </w:p>
    <w:p w14:paraId="3B7F6C6A" w14:textId="77777777" w:rsidR="009260DE" w:rsidRPr="00E400E9" w:rsidRDefault="009260DE" w:rsidP="009260DE">
      <w:pPr>
        <w:tabs>
          <w:tab w:val="left" w:pos="851"/>
        </w:tabs>
        <w:ind w:left="851"/>
        <w:rPr>
          <w:sz w:val="24"/>
          <w:szCs w:val="24"/>
        </w:rPr>
      </w:pPr>
    </w:p>
    <w:p w14:paraId="226EEA1D" w14:textId="77777777" w:rsidR="009260DE" w:rsidRPr="00E400E9" w:rsidRDefault="009260DE" w:rsidP="009260DE">
      <w:pPr>
        <w:tabs>
          <w:tab w:val="left" w:pos="851"/>
        </w:tabs>
        <w:ind w:left="851"/>
        <w:rPr>
          <w:sz w:val="24"/>
          <w:szCs w:val="24"/>
        </w:rPr>
      </w:pPr>
    </w:p>
    <w:p w14:paraId="14181894" w14:textId="77777777" w:rsidR="009260DE" w:rsidRPr="00E400E9" w:rsidRDefault="009260DE" w:rsidP="009260DE">
      <w:pPr>
        <w:tabs>
          <w:tab w:val="left" w:pos="851"/>
        </w:tabs>
        <w:ind w:left="851" w:hanging="851"/>
        <w:rPr>
          <w:b/>
          <w:sz w:val="24"/>
          <w:szCs w:val="24"/>
        </w:rPr>
      </w:pPr>
      <w:r w:rsidRPr="00E400E9">
        <w:rPr>
          <w:b/>
          <w:sz w:val="24"/>
          <w:szCs w:val="24"/>
        </w:rPr>
        <w:t>4.</w:t>
      </w:r>
      <w:r w:rsidRPr="00E400E9">
        <w:rPr>
          <w:b/>
          <w:sz w:val="24"/>
          <w:szCs w:val="24"/>
        </w:rPr>
        <w:tab/>
        <w:t>KLINISKE OPLYSNINGER</w:t>
      </w:r>
    </w:p>
    <w:p w14:paraId="7B73A886" w14:textId="77777777" w:rsidR="009260DE" w:rsidRPr="00E400E9" w:rsidRDefault="009260DE" w:rsidP="009260DE">
      <w:pPr>
        <w:tabs>
          <w:tab w:val="left" w:pos="851"/>
        </w:tabs>
        <w:ind w:left="851"/>
        <w:rPr>
          <w:b/>
          <w:sz w:val="24"/>
          <w:szCs w:val="24"/>
        </w:rPr>
      </w:pPr>
    </w:p>
    <w:p w14:paraId="1F1516D1" w14:textId="77777777" w:rsidR="009260DE" w:rsidRPr="00E400E9" w:rsidRDefault="009260DE" w:rsidP="009260DE">
      <w:pPr>
        <w:tabs>
          <w:tab w:val="left" w:pos="851"/>
        </w:tabs>
        <w:ind w:left="851" w:hanging="851"/>
        <w:rPr>
          <w:b/>
          <w:sz w:val="24"/>
          <w:szCs w:val="24"/>
          <w:u w:val="single"/>
        </w:rPr>
      </w:pPr>
      <w:r w:rsidRPr="00E400E9">
        <w:rPr>
          <w:b/>
          <w:sz w:val="24"/>
          <w:szCs w:val="24"/>
        </w:rPr>
        <w:t>4.1</w:t>
      </w:r>
      <w:r w:rsidRPr="00E400E9">
        <w:rPr>
          <w:b/>
          <w:sz w:val="24"/>
          <w:szCs w:val="24"/>
        </w:rPr>
        <w:tab/>
        <w:t>Terapeutiske indikationer</w:t>
      </w:r>
    </w:p>
    <w:p w14:paraId="47471389" w14:textId="77777777" w:rsidR="00093A1E" w:rsidRPr="00E400E9" w:rsidRDefault="00093A1E" w:rsidP="00093A1E">
      <w:pPr>
        <w:ind w:left="851"/>
        <w:rPr>
          <w:noProof/>
          <w:sz w:val="24"/>
          <w:szCs w:val="24"/>
          <w:lang w:eastAsia="da-DK"/>
        </w:rPr>
      </w:pPr>
      <w:proofErr w:type="spellStart"/>
      <w:r w:rsidRPr="00E400E9">
        <w:rPr>
          <w:sz w:val="24"/>
          <w:szCs w:val="24"/>
        </w:rPr>
        <w:t>Letybo</w:t>
      </w:r>
      <w:proofErr w:type="spellEnd"/>
      <w:r w:rsidRPr="00E400E9">
        <w:rPr>
          <w:sz w:val="24"/>
          <w:szCs w:val="24"/>
        </w:rPr>
        <w:t xml:space="preserve"> er indiceret til midlertidig forbedring af udseendet af moderate til svære vertikale linjer mellem øjenbrynene </w:t>
      </w:r>
      <w:r w:rsidRPr="00E400E9">
        <w:rPr>
          <w:iCs/>
          <w:sz w:val="24"/>
          <w:szCs w:val="24"/>
        </w:rPr>
        <w:t>hos voksne &lt;75 år,</w:t>
      </w:r>
      <w:r w:rsidRPr="00E400E9">
        <w:rPr>
          <w:sz w:val="24"/>
          <w:szCs w:val="24"/>
        </w:rPr>
        <w:t xml:space="preserve"> som ses ved maksimal panderynken (</w:t>
      </w:r>
      <w:proofErr w:type="spellStart"/>
      <w:r w:rsidRPr="00E400E9">
        <w:rPr>
          <w:sz w:val="24"/>
          <w:szCs w:val="24"/>
        </w:rPr>
        <w:t>glabellalinjer</w:t>
      </w:r>
      <w:proofErr w:type="spellEnd"/>
      <w:r w:rsidRPr="00E400E9">
        <w:rPr>
          <w:sz w:val="24"/>
          <w:szCs w:val="24"/>
        </w:rPr>
        <w:t>), når omfanget af ansigtsrynkerne har en betydelig psykologisk indvirkning på patienten.</w:t>
      </w:r>
    </w:p>
    <w:p w14:paraId="661752EA" w14:textId="77777777" w:rsidR="009260DE" w:rsidRPr="00E400E9" w:rsidRDefault="009260DE" w:rsidP="009260DE">
      <w:pPr>
        <w:tabs>
          <w:tab w:val="left" w:pos="851"/>
        </w:tabs>
        <w:ind w:left="851"/>
        <w:rPr>
          <w:sz w:val="24"/>
          <w:szCs w:val="24"/>
        </w:rPr>
      </w:pPr>
    </w:p>
    <w:p w14:paraId="27D4CF60" w14:textId="6F682913" w:rsidR="009260DE" w:rsidRPr="00E400E9" w:rsidRDefault="009260DE" w:rsidP="009260DE">
      <w:pPr>
        <w:tabs>
          <w:tab w:val="left" w:pos="851"/>
        </w:tabs>
        <w:ind w:left="851" w:hanging="851"/>
        <w:rPr>
          <w:b/>
          <w:sz w:val="24"/>
          <w:szCs w:val="24"/>
        </w:rPr>
      </w:pPr>
      <w:r w:rsidRPr="00E400E9">
        <w:rPr>
          <w:b/>
          <w:sz w:val="24"/>
          <w:szCs w:val="24"/>
        </w:rPr>
        <w:t>4.2</w:t>
      </w:r>
      <w:r w:rsidRPr="00E400E9">
        <w:rPr>
          <w:b/>
          <w:sz w:val="24"/>
          <w:szCs w:val="24"/>
        </w:rPr>
        <w:tab/>
        <w:t xml:space="preserve">Dosering og </w:t>
      </w:r>
      <w:r w:rsidR="001C7B69">
        <w:rPr>
          <w:b/>
          <w:sz w:val="24"/>
          <w:szCs w:val="24"/>
        </w:rPr>
        <w:t>administration</w:t>
      </w:r>
    </w:p>
    <w:p w14:paraId="5ABC216B" w14:textId="77777777" w:rsidR="00093A1E" w:rsidRPr="00E400E9" w:rsidRDefault="00093A1E" w:rsidP="00093A1E">
      <w:pPr>
        <w:tabs>
          <w:tab w:val="left" w:pos="1304"/>
        </w:tabs>
        <w:ind w:left="851"/>
        <w:rPr>
          <w:rFonts w:eastAsia="SimSun"/>
          <w:sz w:val="24"/>
          <w:szCs w:val="24"/>
          <w:lang w:eastAsia="de-AT"/>
        </w:rPr>
      </w:pPr>
      <w:proofErr w:type="spellStart"/>
      <w:r w:rsidRPr="00E400E9">
        <w:rPr>
          <w:sz w:val="24"/>
          <w:szCs w:val="24"/>
        </w:rPr>
        <w:t>Letybo</w:t>
      </w:r>
      <w:proofErr w:type="spellEnd"/>
      <w:r w:rsidRPr="00E400E9">
        <w:rPr>
          <w:sz w:val="24"/>
          <w:szCs w:val="24"/>
        </w:rPr>
        <w:t xml:space="preserve"> </w:t>
      </w:r>
      <w:r w:rsidRPr="00E400E9">
        <w:rPr>
          <w:rFonts w:eastAsia="SimSun"/>
          <w:sz w:val="24"/>
          <w:szCs w:val="24"/>
        </w:rPr>
        <w:t>må kun administreres af læger med relevante kvalifikationer og ekspertise i denne behandling samt med brug af det fornødne udstyr.</w:t>
      </w:r>
    </w:p>
    <w:p w14:paraId="7E5AE720" w14:textId="77777777" w:rsidR="00093A1E" w:rsidRPr="00E400E9" w:rsidRDefault="00093A1E" w:rsidP="00093A1E">
      <w:pPr>
        <w:ind w:left="851"/>
        <w:rPr>
          <w:sz w:val="24"/>
          <w:szCs w:val="24"/>
          <w:u w:val="single"/>
          <w:lang w:eastAsia="da-DK"/>
        </w:rPr>
      </w:pPr>
    </w:p>
    <w:p w14:paraId="0061ADFD" w14:textId="77777777" w:rsidR="00093A1E" w:rsidRPr="00E400E9" w:rsidRDefault="00093A1E" w:rsidP="00093A1E">
      <w:pPr>
        <w:ind w:left="851"/>
        <w:rPr>
          <w:sz w:val="24"/>
          <w:szCs w:val="24"/>
          <w:u w:val="single"/>
        </w:rPr>
      </w:pPr>
      <w:r w:rsidRPr="00E400E9">
        <w:rPr>
          <w:sz w:val="24"/>
          <w:szCs w:val="24"/>
          <w:u w:val="single"/>
        </w:rPr>
        <w:t>Dosering</w:t>
      </w:r>
    </w:p>
    <w:p w14:paraId="3E5C8406" w14:textId="77777777" w:rsidR="00093A1E" w:rsidRPr="00E400E9" w:rsidRDefault="00093A1E" w:rsidP="00093A1E">
      <w:pPr>
        <w:ind w:left="851"/>
        <w:rPr>
          <w:sz w:val="24"/>
          <w:szCs w:val="24"/>
        </w:rPr>
      </w:pPr>
      <w:r w:rsidRPr="00E400E9">
        <w:rPr>
          <w:sz w:val="24"/>
          <w:szCs w:val="24"/>
        </w:rPr>
        <w:t xml:space="preserve">Den anbefalede dosis er i alt 20 enheder fordelt på fem injektioner på hver 4 enheder (0,1 ml): 2 injektioner i hver </w:t>
      </w:r>
      <w:proofErr w:type="spellStart"/>
      <w:r w:rsidRPr="00E400E9">
        <w:rPr>
          <w:i/>
          <w:sz w:val="24"/>
          <w:szCs w:val="24"/>
        </w:rPr>
        <w:t>corrugator</w:t>
      </w:r>
      <w:proofErr w:type="spellEnd"/>
      <w:r w:rsidRPr="00E400E9">
        <w:rPr>
          <w:i/>
          <w:sz w:val="24"/>
          <w:szCs w:val="24"/>
        </w:rPr>
        <w:t xml:space="preserve"> </w:t>
      </w:r>
      <w:proofErr w:type="spellStart"/>
      <w:r w:rsidRPr="00E400E9">
        <w:rPr>
          <w:i/>
          <w:sz w:val="24"/>
          <w:szCs w:val="24"/>
        </w:rPr>
        <w:t>supercilii</w:t>
      </w:r>
      <w:proofErr w:type="spellEnd"/>
      <w:r w:rsidRPr="00E400E9">
        <w:rPr>
          <w:sz w:val="24"/>
          <w:szCs w:val="24"/>
        </w:rPr>
        <w:noBreakHyphen/>
        <w:t xml:space="preserve">muskel og 1 injektion i </w:t>
      </w:r>
      <w:proofErr w:type="spellStart"/>
      <w:r w:rsidRPr="00E400E9">
        <w:rPr>
          <w:i/>
          <w:sz w:val="24"/>
          <w:szCs w:val="24"/>
        </w:rPr>
        <w:t>procerus</w:t>
      </w:r>
      <w:proofErr w:type="spellEnd"/>
      <w:r w:rsidRPr="00E400E9">
        <w:rPr>
          <w:sz w:val="24"/>
          <w:szCs w:val="24"/>
        </w:rPr>
        <w:noBreakHyphen/>
        <w:t>musklen.</w:t>
      </w:r>
    </w:p>
    <w:p w14:paraId="7E41AE19" w14:textId="77777777" w:rsidR="00093A1E" w:rsidRPr="00E400E9" w:rsidRDefault="00093A1E" w:rsidP="00093A1E">
      <w:pPr>
        <w:ind w:left="851"/>
        <w:rPr>
          <w:sz w:val="24"/>
          <w:szCs w:val="24"/>
        </w:rPr>
      </w:pPr>
    </w:p>
    <w:p w14:paraId="38C0EE18" w14:textId="77777777" w:rsidR="00093A1E" w:rsidRPr="00E400E9" w:rsidRDefault="00093A1E" w:rsidP="00093A1E">
      <w:pPr>
        <w:ind w:left="851"/>
        <w:rPr>
          <w:sz w:val="24"/>
          <w:szCs w:val="24"/>
        </w:rPr>
      </w:pPr>
      <w:proofErr w:type="spellStart"/>
      <w:r w:rsidRPr="00E400E9">
        <w:rPr>
          <w:sz w:val="24"/>
          <w:szCs w:val="24"/>
        </w:rPr>
        <w:lastRenderedPageBreak/>
        <w:t>Botulinumtoksin</w:t>
      </w:r>
      <w:proofErr w:type="spellEnd"/>
      <w:r w:rsidRPr="00E400E9">
        <w:rPr>
          <w:sz w:val="24"/>
          <w:szCs w:val="24"/>
        </w:rPr>
        <w:noBreakHyphen/>
        <w:t>enhederne kan ikke erstattes med enheder af et andet produkt.</w:t>
      </w:r>
    </w:p>
    <w:p w14:paraId="5C7ACFAE" w14:textId="77777777" w:rsidR="00093A1E" w:rsidRPr="00E400E9" w:rsidRDefault="00093A1E" w:rsidP="00093A1E">
      <w:pPr>
        <w:ind w:left="851"/>
        <w:rPr>
          <w:rFonts w:eastAsia="SimSun"/>
          <w:sz w:val="24"/>
          <w:szCs w:val="24"/>
          <w:lang w:eastAsia="de-AT"/>
        </w:rPr>
      </w:pPr>
      <w:r w:rsidRPr="00E400E9">
        <w:rPr>
          <w:sz w:val="24"/>
          <w:szCs w:val="24"/>
        </w:rPr>
        <w:t xml:space="preserve">De anbefalede doser er ikke de samme som ved andre </w:t>
      </w:r>
      <w:proofErr w:type="spellStart"/>
      <w:r w:rsidRPr="00E400E9">
        <w:rPr>
          <w:sz w:val="24"/>
          <w:szCs w:val="24"/>
        </w:rPr>
        <w:t>botulinumtoksin</w:t>
      </w:r>
      <w:proofErr w:type="spellEnd"/>
      <w:r w:rsidRPr="00E400E9">
        <w:rPr>
          <w:sz w:val="24"/>
          <w:szCs w:val="24"/>
        </w:rPr>
        <w:noBreakHyphen/>
        <w:t>præparater.</w:t>
      </w:r>
    </w:p>
    <w:p w14:paraId="6E7E328E" w14:textId="77777777" w:rsidR="00093A1E" w:rsidRPr="00E400E9" w:rsidRDefault="00093A1E" w:rsidP="00093A1E">
      <w:pPr>
        <w:ind w:left="851"/>
        <w:rPr>
          <w:rFonts w:eastAsia="SimSun"/>
          <w:sz w:val="24"/>
          <w:szCs w:val="24"/>
          <w:lang w:eastAsia="de-AT"/>
        </w:rPr>
      </w:pPr>
    </w:p>
    <w:p w14:paraId="7A666473" w14:textId="77777777" w:rsidR="00093A1E" w:rsidRPr="00E400E9" w:rsidRDefault="00093A1E" w:rsidP="00093A1E">
      <w:pPr>
        <w:ind w:left="851"/>
        <w:rPr>
          <w:sz w:val="24"/>
          <w:szCs w:val="24"/>
          <w:lang w:eastAsia="da-DK"/>
        </w:rPr>
      </w:pPr>
      <w:r w:rsidRPr="00E400E9">
        <w:rPr>
          <w:sz w:val="24"/>
          <w:szCs w:val="24"/>
        </w:rPr>
        <w:t>Behandlingsintervallet må ikke være hyppigere end hver tredje måned.</w:t>
      </w:r>
    </w:p>
    <w:p w14:paraId="45287B26" w14:textId="77777777" w:rsidR="00093A1E" w:rsidRPr="00E400E9" w:rsidRDefault="00093A1E" w:rsidP="00093A1E">
      <w:pPr>
        <w:ind w:left="851"/>
        <w:rPr>
          <w:rFonts w:eastAsia="SimSun"/>
          <w:sz w:val="24"/>
          <w:szCs w:val="24"/>
          <w:lang w:eastAsia="de-AT"/>
        </w:rPr>
      </w:pPr>
      <w:r w:rsidRPr="00E400E9">
        <w:rPr>
          <w:rFonts w:eastAsia="SimSun"/>
          <w:sz w:val="24"/>
          <w:szCs w:val="24"/>
        </w:rPr>
        <w:t>Hvis der ikke opstår bivirkninger efter det tidligere behandlingsforløb, er det muligt at indlede et yderligere behandlingsforløb, hvis der er gået mindst tre måneder siden sidste forløb.</w:t>
      </w:r>
    </w:p>
    <w:p w14:paraId="3D0945E2" w14:textId="77777777" w:rsidR="00093A1E" w:rsidRPr="00E400E9" w:rsidRDefault="00093A1E" w:rsidP="00093A1E">
      <w:pPr>
        <w:ind w:left="851"/>
        <w:rPr>
          <w:sz w:val="24"/>
          <w:szCs w:val="24"/>
          <w:lang w:eastAsia="da-DK"/>
        </w:rPr>
      </w:pPr>
    </w:p>
    <w:p w14:paraId="27CACA37" w14:textId="77777777" w:rsidR="00093A1E" w:rsidRPr="00E400E9" w:rsidRDefault="00093A1E" w:rsidP="00093A1E">
      <w:pPr>
        <w:ind w:left="851"/>
        <w:rPr>
          <w:rFonts w:eastAsia="SimSun"/>
          <w:sz w:val="24"/>
          <w:szCs w:val="24"/>
          <w:lang w:eastAsia="de-AT"/>
        </w:rPr>
      </w:pPr>
      <w:r w:rsidRPr="00E400E9">
        <w:rPr>
          <w:rFonts w:eastAsia="SimSun"/>
          <w:sz w:val="24"/>
          <w:szCs w:val="24"/>
        </w:rPr>
        <w:t>I tilfælde af behandlingssvigt en måned efter et tidligere behandlingsforløb, dvs. hvis der ikke er sket betydelig forbedring i forhold til baseline, kan følgende fremgangsmåder overvejes:</w:t>
      </w:r>
    </w:p>
    <w:p w14:paraId="29BC7507" w14:textId="77777777" w:rsidR="00093A1E" w:rsidRPr="00E400E9" w:rsidRDefault="00093A1E" w:rsidP="00F37506">
      <w:pPr>
        <w:pStyle w:val="Listeafsnit"/>
        <w:numPr>
          <w:ilvl w:val="0"/>
          <w:numId w:val="6"/>
        </w:numPr>
        <w:tabs>
          <w:tab w:val="clear" w:pos="720"/>
        </w:tabs>
        <w:spacing w:after="0" w:line="240" w:lineRule="auto"/>
        <w:ind w:left="1276" w:hanging="425"/>
        <w:rPr>
          <w:rFonts w:eastAsia="SimSun"/>
          <w:szCs w:val="24"/>
          <w:lang w:eastAsia="de-AT"/>
        </w:rPr>
      </w:pPr>
      <w:r w:rsidRPr="00E400E9">
        <w:rPr>
          <w:rFonts w:eastAsia="SimSun"/>
          <w:szCs w:val="24"/>
        </w:rPr>
        <w:t>Analyse af årsagerne til det manglende resultat, f.eks. injektion i forkerte muskler, forkert injektionsteknik, dannelse af toksinneutraliserende antistoffer</w:t>
      </w:r>
      <w:r w:rsidRPr="00E400E9">
        <w:rPr>
          <w:rFonts w:eastAsia="SimSun"/>
          <w:bCs/>
          <w:iCs/>
          <w:szCs w:val="24"/>
        </w:rPr>
        <w:t xml:space="preserve">, </w:t>
      </w:r>
      <w:r w:rsidRPr="00E400E9">
        <w:rPr>
          <w:rFonts w:eastAsia="SimSun"/>
          <w:szCs w:val="24"/>
        </w:rPr>
        <w:t>utilstrækkelig dosis.</w:t>
      </w:r>
    </w:p>
    <w:p w14:paraId="3DE2473D" w14:textId="77777777" w:rsidR="00093A1E" w:rsidRPr="00E400E9" w:rsidRDefault="00093A1E" w:rsidP="00F37506">
      <w:pPr>
        <w:pStyle w:val="Listeafsnit"/>
        <w:numPr>
          <w:ilvl w:val="0"/>
          <w:numId w:val="6"/>
        </w:numPr>
        <w:tabs>
          <w:tab w:val="clear" w:pos="720"/>
        </w:tabs>
        <w:spacing w:after="0" w:line="240" w:lineRule="auto"/>
        <w:ind w:left="1276" w:hanging="425"/>
        <w:rPr>
          <w:rFonts w:eastAsia="SimSun"/>
          <w:szCs w:val="24"/>
          <w:lang w:eastAsia="de-AT"/>
        </w:rPr>
      </w:pPr>
      <w:r w:rsidRPr="00E400E9">
        <w:rPr>
          <w:rFonts w:eastAsia="SimSun"/>
          <w:szCs w:val="24"/>
        </w:rPr>
        <w:t xml:space="preserve">Genvurdering af relevansen af behandling med </w:t>
      </w:r>
      <w:proofErr w:type="spellStart"/>
      <w:r w:rsidRPr="00E400E9">
        <w:rPr>
          <w:rFonts w:eastAsia="SimSun"/>
          <w:szCs w:val="24"/>
        </w:rPr>
        <w:t>botulinumtoksin</w:t>
      </w:r>
      <w:proofErr w:type="spellEnd"/>
      <w:r w:rsidRPr="00E400E9">
        <w:rPr>
          <w:rFonts w:eastAsia="SimSun"/>
          <w:szCs w:val="24"/>
        </w:rPr>
        <w:t xml:space="preserve"> type A.</w:t>
      </w:r>
    </w:p>
    <w:p w14:paraId="2CD3C3C1" w14:textId="77777777" w:rsidR="00093A1E" w:rsidRPr="00E400E9" w:rsidRDefault="00093A1E" w:rsidP="00093A1E">
      <w:pPr>
        <w:ind w:left="851"/>
        <w:rPr>
          <w:bCs/>
          <w:i/>
          <w:iCs/>
          <w:sz w:val="24"/>
          <w:szCs w:val="24"/>
          <w:lang w:eastAsia="da-DK"/>
        </w:rPr>
      </w:pPr>
    </w:p>
    <w:p w14:paraId="53099FB9" w14:textId="77777777" w:rsidR="00093A1E" w:rsidRPr="00E400E9" w:rsidRDefault="00093A1E" w:rsidP="00093A1E">
      <w:pPr>
        <w:tabs>
          <w:tab w:val="left" w:pos="0"/>
        </w:tabs>
        <w:ind w:left="851"/>
        <w:rPr>
          <w:sz w:val="24"/>
          <w:szCs w:val="24"/>
        </w:rPr>
      </w:pPr>
      <w:r w:rsidRPr="00E400E9">
        <w:rPr>
          <w:sz w:val="24"/>
          <w:szCs w:val="24"/>
        </w:rPr>
        <w:t xml:space="preserve">Virkning og sikkerhed ved gentagne injektioner af </w:t>
      </w:r>
      <w:proofErr w:type="spellStart"/>
      <w:r w:rsidRPr="00E400E9">
        <w:rPr>
          <w:sz w:val="24"/>
          <w:szCs w:val="24"/>
        </w:rPr>
        <w:t>Letybo</w:t>
      </w:r>
      <w:proofErr w:type="spellEnd"/>
      <w:r w:rsidRPr="00E400E9">
        <w:rPr>
          <w:sz w:val="24"/>
          <w:szCs w:val="24"/>
        </w:rPr>
        <w:t xml:space="preserve"> ud over 12 måneder er ikke vurderet.</w:t>
      </w:r>
    </w:p>
    <w:p w14:paraId="33416987" w14:textId="77777777" w:rsidR="00093A1E" w:rsidRPr="00E400E9" w:rsidRDefault="00093A1E" w:rsidP="00093A1E">
      <w:pPr>
        <w:ind w:left="851"/>
        <w:rPr>
          <w:bCs/>
          <w:i/>
          <w:iCs/>
          <w:sz w:val="24"/>
          <w:szCs w:val="24"/>
        </w:rPr>
      </w:pPr>
    </w:p>
    <w:p w14:paraId="6F7A3A67" w14:textId="77777777" w:rsidR="00093A1E" w:rsidRPr="00E400E9" w:rsidRDefault="00093A1E" w:rsidP="00093A1E">
      <w:pPr>
        <w:ind w:left="851"/>
        <w:rPr>
          <w:i/>
          <w:sz w:val="24"/>
          <w:szCs w:val="24"/>
          <w:u w:val="single"/>
        </w:rPr>
      </w:pPr>
      <w:r w:rsidRPr="00E400E9">
        <w:rPr>
          <w:i/>
          <w:sz w:val="24"/>
          <w:szCs w:val="24"/>
          <w:u w:val="single"/>
        </w:rPr>
        <w:t>Særlige populationer</w:t>
      </w:r>
    </w:p>
    <w:p w14:paraId="3F1F83DE" w14:textId="77777777" w:rsidR="00093A1E" w:rsidRPr="00E400E9" w:rsidRDefault="00093A1E" w:rsidP="00093A1E">
      <w:pPr>
        <w:ind w:left="851"/>
        <w:rPr>
          <w:i/>
          <w:sz w:val="24"/>
          <w:szCs w:val="24"/>
        </w:rPr>
      </w:pPr>
      <w:r w:rsidRPr="00E400E9">
        <w:rPr>
          <w:i/>
          <w:sz w:val="24"/>
          <w:szCs w:val="24"/>
        </w:rPr>
        <w:t xml:space="preserve">Ældre </w:t>
      </w:r>
    </w:p>
    <w:p w14:paraId="3712BEA1" w14:textId="77777777" w:rsidR="00093A1E" w:rsidRPr="00E400E9" w:rsidRDefault="00093A1E" w:rsidP="00093A1E">
      <w:pPr>
        <w:ind w:left="851"/>
        <w:rPr>
          <w:sz w:val="24"/>
          <w:szCs w:val="24"/>
        </w:rPr>
      </w:pPr>
      <w:r w:rsidRPr="00E400E9">
        <w:rPr>
          <w:sz w:val="24"/>
          <w:szCs w:val="24"/>
        </w:rPr>
        <w:t xml:space="preserve">Der foreligger ingen kliniske data med </w:t>
      </w:r>
      <w:proofErr w:type="spellStart"/>
      <w:r w:rsidRPr="00E400E9">
        <w:rPr>
          <w:sz w:val="24"/>
          <w:szCs w:val="24"/>
        </w:rPr>
        <w:t>Letybo</w:t>
      </w:r>
      <w:proofErr w:type="spellEnd"/>
      <w:r w:rsidRPr="00E400E9">
        <w:rPr>
          <w:sz w:val="24"/>
          <w:szCs w:val="24"/>
        </w:rPr>
        <w:t xml:space="preserve"> hos patienter, der er ældre end 75 år. Der er ikke behov for specifik dosisjustering til ældre over 65 år (se pkt. 5.1).</w:t>
      </w:r>
    </w:p>
    <w:p w14:paraId="6527FE4D" w14:textId="77777777" w:rsidR="00093A1E" w:rsidRPr="00E400E9" w:rsidRDefault="00093A1E" w:rsidP="00093A1E">
      <w:pPr>
        <w:ind w:left="851"/>
        <w:rPr>
          <w:sz w:val="24"/>
          <w:szCs w:val="24"/>
        </w:rPr>
      </w:pPr>
    </w:p>
    <w:p w14:paraId="4A53CBAE" w14:textId="77777777" w:rsidR="00093A1E" w:rsidRPr="00E400E9" w:rsidRDefault="00093A1E" w:rsidP="00093A1E">
      <w:pPr>
        <w:ind w:left="851"/>
        <w:rPr>
          <w:i/>
          <w:sz w:val="24"/>
          <w:szCs w:val="24"/>
        </w:rPr>
      </w:pPr>
      <w:r w:rsidRPr="00E400E9">
        <w:rPr>
          <w:i/>
          <w:sz w:val="24"/>
          <w:szCs w:val="24"/>
        </w:rPr>
        <w:t>Pædiatrisk population</w:t>
      </w:r>
    </w:p>
    <w:p w14:paraId="0BB9A7C8" w14:textId="77777777" w:rsidR="00093A1E" w:rsidRPr="00E400E9" w:rsidRDefault="00093A1E" w:rsidP="00093A1E">
      <w:pPr>
        <w:ind w:left="851"/>
        <w:rPr>
          <w:sz w:val="24"/>
          <w:szCs w:val="24"/>
        </w:rPr>
      </w:pPr>
      <w:r w:rsidRPr="00E400E9">
        <w:rPr>
          <w:sz w:val="24"/>
          <w:szCs w:val="24"/>
        </w:rPr>
        <w:t xml:space="preserve">Det er ikke relevant at anvende </w:t>
      </w:r>
      <w:proofErr w:type="spellStart"/>
      <w:r w:rsidRPr="00E400E9">
        <w:rPr>
          <w:sz w:val="24"/>
          <w:szCs w:val="24"/>
        </w:rPr>
        <w:t>Letybo</w:t>
      </w:r>
      <w:proofErr w:type="spellEnd"/>
      <w:r w:rsidRPr="00E400E9">
        <w:rPr>
          <w:sz w:val="24"/>
          <w:szCs w:val="24"/>
        </w:rPr>
        <w:t xml:space="preserve"> hos den pædiatriske population (se pkt. 5.1).</w:t>
      </w:r>
    </w:p>
    <w:p w14:paraId="6C6667C4" w14:textId="77777777" w:rsidR="00093A1E" w:rsidRPr="00E400E9" w:rsidRDefault="00093A1E" w:rsidP="00093A1E">
      <w:pPr>
        <w:ind w:left="851"/>
        <w:rPr>
          <w:sz w:val="24"/>
          <w:szCs w:val="24"/>
        </w:rPr>
      </w:pPr>
    </w:p>
    <w:p w14:paraId="2FA7A850" w14:textId="77777777" w:rsidR="00093A1E" w:rsidRPr="00E400E9" w:rsidRDefault="00093A1E" w:rsidP="00093A1E">
      <w:pPr>
        <w:ind w:left="851"/>
        <w:rPr>
          <w:sz w:val="24"/>
          <w:szCs w:val="24"/>
          <w:u w:val="single"/>
        </w:rPr>
      </w:pPr>
      <w:r w:rsidRPr="00E400E9">
        <w:rPr>
          <w:sz w:val="24"/>
          <w:szCs w:val="24"/>
          <w:u w:val="single"/>
        </w:rPr>
        <w:t>Administration</w:t>
      </w:r>
    </w:p>
    <w:p w14:paraId="4DF0E44C" w14:textId="77777777" w:rsidR="00093A1E" w:rsidRPr="00E400E9" w:rsidRDefault="00093A1E" w:rsidP="00093A1E">
      <w:pPr>
        <w:ind w:left="851"/>
        <w:rPr>
          <w:rFonts w:eastAsia="SimSun"/>
          <w:sz w:val="24"/>
          <w:szCs w:val="24"/>
          <w:lang w:eastAsia="de-AT"/>
        </w:rPr>
      </w:pPr>
    </w:p>
    <w:p w14:paraId="2D730C48" w14:textId="77777777" w:rsidR="00093A1E" w:rsidRPr="00E400E9" w:rsidRDefault="00093A1E" w:rsidP="00093A1E">
      <w:pPr>
        <w:ind w:left="851"/>
        <w:rPr>
          <w:rFonts w:eastAsia="SimSun"/>
          <w:sz w:val="24"/>
          <w:szCs w:val="24"/>
          <w:lang w:eastAsia="de-AT"/>
        </w:rPr>
      </w:pPr>
      <w:r w:rsidRPr="00E400E9">
        <w:rPr>
          <w:rFonts w:eastAsia="SimSun"/>
          <w:sz w:val="24"/>
          <w:szCs w:val="24"/>
        </w:rPr>
        <w:t>Intramuskulær anvendelse.</w:t>
      </w:r>
    </w:p>
    <w:p w14:paraId="31AAE360" w14:textId="77777777" w:rsidR="00093A1E" w:rsidRPr="00E400E9" w:rsidRDefault="00093A1E" w:rsidP="00093A1E">
      <w:pPr>
        <w:ind w:left="851"/>
        <w:rPr>
          <w:rFonts w:eastAsia="SimSun"/>
          <w:sz w:val="24"/>
          <w:szCs w:val="24"/>
          <w:lang w:eastAsia="de-AT"/>
        </w:rPr>
      </w:pPr>
    </w:p>
    <w:p w14:paraId="03E19CB7" w14:textId="77777777" w:rsidR="00093A1E" w:rsidRPr="00E400E9" w:rsidRDefault="00093A1E" w:rsidP="00093A1E">
      <w:pPr>
        <w:ind w:left="851"/>
        <w:rPr>
          <w:rFonts w:eastAsia="SimSun"/>
          <w:sz w:val="24"/>
          <w:szCs w:val="24"/>
          <w:lang w:eastAsia="de-AT"/>
        </w:rPr>
      </w:pPr>
      <w:r w:rsidRPr="00E400E9">
        <w:rPr>
          <w:rFonts w:eastAsia="SimSun"/>
          <w:sz w:val="24"/>
          <w:szCs w:val="24"/>
        </w:rPr>
        <w:t xml:space="preserve">Efter </w:t>
      </w:r>
      <w:proofErr w:type="spellStart"/>
      <w:r w:rsidRPr="00E400E9">
        <w:rPr>
          <w:rFonts w:eastAsia="SimSun"/>
          <w:sz w:val="24"/>
          <w:szCs w:val="24"/>
        </w:rPr>
        <w:t>rekonstitution</w:t>
      </w:r>
      <w:proofErr w:type="spellEnd"/>
      <w:r w:rsidRPr="00E400E9">
        <w:rPr>
          <w:sz w:val="24"/>
          <w:szCs w:val="24"/>
        </w:rPr>
        <w:t xml:space="preserve"> må </w:t>
      </w:r>
      <w:proofErr w:type="spellStart"/>
      <w:r w:rsidRPr="00E400E9">
        <w:rPr>
          <w:sz w:val="24"/>
          <w:szCs w:val="24"/>
        </w:rPr>
        <w:t>Letybo</w:t>
      </w:r>
      <w:proofErr w:type="spellEnd"/>
      <w:r w:rsidRPr="00E400E9">
        <w:rPr>
          <w:rFonts w:eastAsia="SimSun"/>
          <w:sz w:val="24"/>
          <w:szCs w:val="24"/>
        </w:rPr>
        <w:t xml:space="preserve"> kun anvendes til ét forløb med injektion(er) pr. patient.</w:t>
      </w:r>
    </w:p>
    <w:p w14:paraId="0145CCDC" w14:textId="77777777" w:rsidR="00093A1E" w:rsidRPr="00E400E9" w:rsidRDefault="00093A1E" w:rsidP="00093A1E">
      <w:pPr>
        <w:ind w:left="851"/>
        <w:rPr>
          <w:rFonts w:eastAsia="SimSun"/>
          <w:sz w:val="24"/>
          <w:szCs w:val="24"/>
          <w:lang w:eastAsia="de-AT"/>
        </w:rPr>
      </w:pPr>
    </w:p>
    <w:p w14:paraId="6DD0C61F" w14:textId="77777777" w:rsidR="00093A1E" w:rsidRPr="00E400E9" w:rsidRDefault="00093A1E" w:rsidP="00093A1E">
      <w:pPr>
        <w:ind w:left="851"/>
        <w:rPr>
          <w:rFonts w:eastAsia="SimSun"/>
          <w:sz w:val="24"/>
          <w:szCs w:val="24"/>
          <w:lang w:eastAsia="de-AT"/>
        </w:rPr>
      </w:pPr>
      <w:r w:rsidRPr="00E400E9">
        <w:rPr>
          <w:rFonts w:eastAsia="SimSun"/>
          <w:sz w:val="24"/>
          <w:szCs w:val="24"/>
        </w:rPr>
        <w:t>For instruktioner om fortynding, anvendelse, håndtering og bortskaffelse af hætteglassene, se pkt. 6.6.</w:t>
      </w:r>
    </w:p>
    <w:p w14:paraId="7D4D87EC" w14:textId="77777777" w:rsidR="00093A1E" w:rsidRPr="00E400E9" w:rsidRDefault="00093A1E" w:rsidP="00093A1E">
      <w:pPr>
        <w:ind w:left="851"/>
        <w:rPr>
          <w:sz w:val="24"/>
          <w:szCs w:val="24"/>
          <w:lang w:eastAsia="da-DK"/>
        </w:rPr>
      </w:pPr>
    </w:p>
    <w:p w14:paraId="22646D6F" w14:textId="77777777" w:rsidR="00093A1E" w:rsidRPr="00E400E9" w:rsidRDefault="00093A1E" w:rsidP="00093A1E">
      <w:pPr>
        <w:ind w:left="851"/>
        <w:rPr>
          <w:sz w:val="24"/>
          <w:szCs w:val="24"/>
        </w:rPr>
      </w:pPr>
      <w:r w:rsidRPr="00E400E9">
        <w:rPr>
          <w:sz w:val="24"/>
          <w:szCs w:val="24"/>
        </w:rPr>
        <w:t>Intramuskulære injektioner skal udføres ved brug af en steril 1 ml-sprøjte af insulin</w:t>
      </w:r>
      <w:r w:rsidRPr="00E400E9">
        <w:rPr>
          <w:sz w:val="24"/>
          <w:szCs w:val="24"/>
        </w:rPr>
        <w:noBreakHyphen/>
        <w:t xml:space="preserve"> eller tuberkulin-typen med 0,01 ml graduering og en kanyle med gaugeinterval på 30-31 G.</w:t>
      </w:r>
    </w:p>
    <w:p w14:paraId="01C7092E" w14:textId="77777777" w:rsidR="00093A1E" w:rsidRPr="00E400E9" w:rsidRDefault="00093A1E" w:rsidP="00093A1E">
      <w:pPr>
        <w:ind w:left="851"/>
        <w:rPr>
          <w:sz w:val="24"/>
          <w:szCs w:val="24"/>
          <w:u w:val="single"/>
        </w:rPr>
      </w:pPr>
    </w:p>
    <w:p w14:paraId="4BB7D29F" w14:textId="77777777" w:rsidR="00093A1E" w:rsidRPr="00E400E9" w:rsidRDefault="00093A1E" w:rsidP="00093A1E">
      <w:pPr>
        <w:ind w:left="851"/>
        <w:rPr>
          <w:sz w:val="24"/>
          <w:szCs w:val="24"/>
        </w:rPr>
      </w:pPr>
      <w:r w:rsidRPr="00E400E9">
        <w:rPr>
          <w:sz w:val="24"/>
          <w:szCs w:val="24"/>
        </w:rPr>
        <w:t xml:space="preserve">Et volumen på 0,5 ml af den korrekt </w:t>
      </w:r>
      <w:proofErr w:type="spellStart"/>
      <w:r w:rsidRPr="00E400E9">
        <w:rPr>
          <w:sz w:val="24"/>
          <w:szCs w:val="24"/>
        </w:rPr>
        <w:t>rekonstituerede</w:t>
      </w:r>
      <w:proofErr w:type="spellEnd"/>
      <w:r w:rsidRPr="00E400E9">
        <w:rPr>
          <w:sz w:val="24"/>
          <w:szCs w:val="24"/>
        </w:rPr>
        <w:t xml:space="preserve"> opløsning trækkes op i den sterile sprøjte, og eventuelle luftbobler i sprøjtecylinderen presses ud. Kanylen, som anvendes til at </w:t>
      </w:r>
      <w:proofErr w:type="spellStart"/>
      <w:r w:rsidRPr="00E400E9">
        <w:rPr>
          <w:sz w:val="24"/>
          <w:szCs w:val="24"/>
        </w:rPr>
        <w:t>rekonstituere</w:t>
      </w:r>
      <w:proofErr w:type="spellEnd"/>
      <w:r w:rsidRPr="00E400E9">
        <w:rPr>
          <w:sz w:val="24"/>
          <w:szCs w:val="24"/>
        </w:rPr>
        <w:t xml:space="preserve"> lægemidlet, skal fjernes og erstattes ved administration.</w:t>
      </w:r>
    </w:p>
    <w:p w14:paraId="6617FE58" w14:textId="77777777" w:rsidR="00093A1E" w:rsidRPr="00E400E9" w:rsidRDefault="00093A1E" w:rsidP="00093A1E">
      <w:pPr>
        <w:ind w:left="851"/>
        <w:rPr>
          <w:sz w:val="24"/>
          <w:szCs w:val="24"/>
        </w:rPr>
      </w:pPr>
    </w:p>
    <w:p w14:paraId="41856BFB" w14:textId="77777777" w:rsidR="00093A1E" w:rsidRPr="00E400E9" w:rsidRDefault="00093A1E" w:rsidP="00093A1E">
      <w:pPr>
        <w:ind w:left="851"/>
        <w:rPr>
          <w:sz w:val="24"/>
          <w:szCs w:val="24"/>
        </w:rPr>
      </w:pPr>
      <w:r w:rsidRPr="00E400E9">
        <w:rPr>
          <w:sz w:val="24"/>
          <w:szCs w:val="24"/>
        </w:rPr>
        <w:t xml:space="preserve">Der skal udvises forsigtighed, således at </w:t>
      </w:r>
      <w:proofErr w:type="spellStart"/>
      <w:r w:rsidRPr="00E400E9">
        <w:rPr>
          <w:sz w:val="24"/>
          <w:szCs w:val="24"/>
        </w:rPr>
        <w:t>Letybo</w:t>
      </w:r>
      <w:proofErr w:type="spellEnd"/>
      <w:r w:rsidRPr="00E400E9">
        <w:rPr>
          <w:sz w:val="24"/>
          <w:szCs w:val="24"/>
        </w:rPr>
        <w:t xml:space="preserve"> ikke injiceres i et blodkar.</w:t>
      </w:r>
    </w:p>
    <w:p w14:paraId="368C593F" w14:textId="77777777" w:rsidR="00093A1E" w:rsidRPr="00E400E9" w:rsidRDefault="00093A1E" w:rsidP="00093A1E">
      <w:pPr>
        <w:ind w:left="851"/>
        <w:rPr>
          <w:sz w:val="24"/>
          <w:szCs w:val="24"/>
        </w:rPr>
      </w:pPr>
    </w:p>
    <w:p w14:paraId="4148904A" w14:textId="77777777" w:rsidR="00093A1E" w:rsidRPr="00E400E9" w:rsidRDefault="00093A1E" w:rsidP="00093A1E">
      <w:pPr>
        <w:ind w:left="851"/>
        <w:rPr>
          <w:sz w:val="24"/>
          <w:szCs w:val="24"/>
        </w:rPr>
      </w:pPr>
      <w:r w:rsidRPr="00E400E9">
        <w:rPr>
          <w:sz w:val="24"/>
          <w:szCs w:val="24"/>
        </w:rPr>
        <w:t xml:space="preserve">For at mindske komplikationer i form af </w:t>
      </w:r>
      <w:proofErr w:type="spellStart"/>
      <w:r w:rsidRPr="00E400E9">
        <w:rPr>
          <w:sz w:val="24"/>
          <w:szCs w:val="24"/>
        </w:rPr>
        <w:t>blefaroptose</w:t>
      </w:r>
      <w:proofErr w:type="spellEnd"/>
      <w:r w:rsidRPr="00E400E9">
        <w:rPr>
          <w:sz w:val="24"/>
          <w:szCs w:val="24"/>
        </w:rPr>
        <w:t xml:space="preserve"> skal injektioner i nærheden af </w:t>
      </w:r>
      <w:proofErr w:type="spellStart"/>
      <w:r w:rsidRPr="00E400E9">
        <w:rPr>
          <w:i/>
          <w:sz w:val="24"/>
          <w:szCs w:val="24"/>
        </w:rPr>
        <w:t>levator</w:t>
      </w:r>
      <w:proofErr w:type="spellEnd"/>
      <w:r w:rsidRPr="00E400E9">
        <w:rPr>
          <w:i/>
          <w:sz w:val="24"/>
          <w:szCs w:val="24"/>
        </w:rPr>
        <w:t xml:space="preserve"> </w:t>
      </w:r>
      <w:proofErr w:type="spellStart"/>
      <w:r w:rsidRPr="00E400E9">
        <w:rPr>
          <w:i/>
          <w:sz w:val="24"/>
          <w:szCs w:val="24"/>
        </w:rPr>
        <w:t>palpebrae</w:t>
      </w:r>
      <w:proofErr w:type="spellEnd"/>
      <w:r w:rsidRPr="00E400E9">
        <w:rPr>
          <w:i/>
          <w:sz w:val="24"/>
          <w:szCs w:val="24"/>
        </w:rPr>
        <w:t xml:space="preserve"> </w:t>
      </w:r>
      <w:proofErr w:type="spellStart"/>
      <w:r w:rsidRPr="00E400E9">
        <w:rPr>
          <w:i/>
          <w:sz w:val="24"/>
          <w:szCs w:val="24"/>
        </w:rPr>
        <w:t>superioris</w:t>
      </w:r>
      <w:proofErr w:type="spellEnd"/>
      <w:r w:rsidRPr="00E400E9">
        <w:rPr>
          <w:i/>
          <w:sz w:val="24"/>
          <w:szCs w:val="24"/>
        </w:rPr>
        <w:t xml:space="preserve"> </w:t>
      </w:r>
      <w:r w:rsidRPr="00E400E9">
        <w:rPr>
          <w:sz w:val="24"/>
          <w:szCs w:val="24"/>
        </w:rPr>
        <w:t xml:space="preserve">undgås, særligt hos patienter med større </w:t>
      </w:r>
      <w:proofErr w:type="spellStart"/>
      <w:r w:rsidRPr="00E400E9">
        <w:rPr>
          <w:sz w:val="24"/>
          <w:szCs w:val="24"/>
        </w:rPr>
        <w:t>depressor</w:t>
      </w:r>
      <w:proofErr w:type="spellEnd"/>
      <w:r w:rsidRPr="00E400E9">
        <w:rPr>
          <w:sz w:val="24"/>
          <w:szCs w:val="24"/>
        </w:rPr>
        <w:noBreakHyphen/>
        <w:t xml:space="preserve">komplekser ved øjenbrynene. Når der injiceres to steder i hver </w:t>
      </w:r>
      <w:proofErr w:type="spellStart"/>
      <w:r w:rsidRPr="00E400E9">
        <w:rPr>
          <w:i/>
          <w:sz w:val="24"/>
          <w:szCs w:val="24"/>
        </w:rPr>
        <w:t>corrugator</w:t>
      </w:r>
      <w:proofErr w:type="spellEnd"/>
      <w:r w:rsidRPr="00E400E9">
        <w:rPr>
          <w:i/>
          <w:sz w:val="24"/>
          <w:szCs w:val="24"/>
        </w:rPr>
        <w:t xml:space="preserve"> </w:t>
      </w:r>
      <w:proofErr w:type="spellStart"/>
      <w:r w:rsidRPr="00E400E9">
        <w:rPr>
          <w:i/>
          <w:sz w:val="24"/>
          <w:szCs w:val="24"/>
        </w:rPr>
        <w:t>supercilii</w:t>
      </w:r>
      <w:proofErr w:type="spellEnd"/>
      <w:r w:rsidRPr="00E400E9">
        <w:rPr>
          <w:sz w:val="24"/>
          <w:szCs w:val="24"/>
        </w:rPr>
        <w:noBreakHyphen/>
        <w:t xml:space="preserve">muskel, skal den første injektion foretages lige over øjenbrynenes centrale kant. Den anden injektion foretages ca. 1 cm over den supraorbitale kant (de faste knoglegrænser, der kan mærkes over den øvre del af øverste øjenlåg), hvor øjenbrynenes midterlinjer mødes. Injektionsstedet i </w:t>
      </w:r>
      <w:proofErr w:type="spellStart"/>
      <w:r w:rsidRPr="00E400E9">
        <w:rPr>
          <w:sz w:val="24"/>
          <w:szCs w:val="24"/>
        </w:rPr>
        <w:lastRenderedPageBreak/>
        <w:t>procerus</w:t>
      </w:r>
      <w:proofErr w:type="spellEnd"/>
      <w:r w:rsidRPr="00E400E9">
        <w:rPr>
          <w:sz w:val="24"/>
          <w:szCs w:val="24"/>
        </w:rPr>
        <w:noBreakHyphen/>
        <w:t xml:space="preserve">musklen er lige over næsebroens midterlinje, hvor der dannes horisontale rynker mellem øjenbrynenes </w:t>
      </w:r>
      <w:proofErr w:type="spellStart"/>
      <w:r w:rsidRPr="00E400E9">
        <w:rPr>
          <w:sz w:val="24"/>
          <w:szCs w:val="24"/>
        </w:rPr>
        <w:t>mediale</w:t>
      </w:r>
      <w:proofErr w:type="spellEnd"/>
      <w:r w:rsidRPr="00E400E9">
        <w:rPr>
          <w:sz w:val="24"/>
          <w:szCs w:val="24"/>
        </w:rPr>
        <w:t xml:space="preserve"> ender. Når der injiceres i de </w:t>
      </w:r>
      <w:proofErr w:type="spellStart"/>
      <w:r w:rsidRPr="00E400E9">
        <w:rPr>
          <w:sz w:val="24"/>
          <w:szCs w:val="24"/>
        </w:rPr>
        <w:t>mediale</w:t>
      </w:r>
      <w:proofErr w:type="spellEnd"/>
      <w:r w:rsidRPr="00E400E9">
        <w:rPr>
          <w:sz w:val="24"/>
          <w:szCs w:val="24"/>
        </w:rPr>
        <w:t xml:space="preserve"> ender af </w:t>
      </w:r>
      <w:proofErr w:type="spellStart"/>
      <w:r w:rsidRPr="00E400E9">
        <w:rPr>
          <w:i/>
          <w:sz w:val="24"/>
          <w:szCs w:val="24"/>
        </w:rPr>
        <w:t>corrugator</w:t>
      </w:r>
      <w:proofErr w:type="spellEnd"/>
      <w:r w:rsidRPr="00E400E9">
        <w:rPr>
          <w:i/>
          <w:sz w:val="24"/>
          <w:szCs w:val="24"/>
        </w:rPr>
        <w:t xml:space="preserve"> </w:t>
      </w:r>
      <w:proofErr w:type="spellStart"/>
      <w:r w:rsidRPr="00E400E9">
        <w:rPr>
          <w:i/>
          <w:sz w:val="24"/>
          <w:szCs w:val="24"/>
        </w:rPr>
        <w:t>supercilii</w:t>
      </w:r>
      <w:proofErr w:type="spellEnd"/>
      <w:r w:rsidRPr="00E400E9">
        <w:rPr>
          <w:sz w:val="24"/>
          <w:szCs w:val="24"/>
        </w:rPr>
        <w:noBreakHyphen/>
        <w:t>musklerne og på øjenbrynenes midterlinjer, skal injektionsstederne være mindst 1 cm væk fra den supraorbitale kant (de faste knoglegrænser, der kan mærkes over den øvre del af øverste øjenlåg).</w:t>
      </w:r>
    </w:p>
    <w:p w14:paraId="17D44EE3" w14:textId="77777777" w:rsidR="00093A1E" w:rsidRPr="00E400E9" w:rsidRDefault="00093A1E" w:rsidP="00093A1E">
      <w:pPr>
        <w:ind w:left="851"/>
        <w:rPr>
          <w:sz w:val="24"/>
          <w:szCs w:val="24"/>
        </w:rPr>
      </w:pPr>
    </w:p>
    <w:p w14:paraId="46E31270" w14:textId="797D88B8" w:rsidR="00093A1E" w:rsidRPr="00E400E9" w:rsidRDefault="00093A1E" w:rsidP="00093A1E">
      <w:pPr>
        <w:ind w:left="851"/>
        <w:rPr>
          <w:sz w:val="24"/>
          <w:szCs w:val="24"/>
        </w:rPr>
      </w:pPr>
      <w:r w:rsidRPr="00E400E9">
        <w:rPr>
          <w:noProof/>
          <w:sz w:val="24"/>
          <w:szCs w:val="24"/>
        </w:rPr>
        <mc:AlternateContent>
          <mc:Choice Requires="wps">
            <w:drawing>
              <wp:anchor distT="0" distB="0" distL="114300" distR="114300" simplePos="0" relativeHeight="251661312" behindDoc="0" locked="0" layoutInCell="1" allowOverlap="1" wp14:anchorId="3D5560F5" wp14:editId="20BC7913">
                <wp:simplePos x="0" y="0"/>
                <wp:positionH relativeFrom="column">
                  <wp:posOffset>3244215</wp:posOffset>
                </wp:positionH>
                <wp:positionV relativeFrom="paragraph">
                  <wp:posOffset>704850</wp:posOffset>
                </wp:positionV>
                <wp:extent cx="1573530" cy="196215"/>
                <wp:effectExtent l="0" t="0" r="7620" b="0"/>
                <wp:wrapNone/>
                <wp:docPr id="5" name="Tekstfelt 5"/>
                <wp:cNvGraphicFramePr/>
                <a:graphic xmlns:a="http://schemas.openxmlformats.org/drawingml/2006/main">
                  <a:graphicData uri="http://schemas.microsoft.com/office/word/2010/wordprocessingShape">
                    <wps:wsp>
                      <wps:cNvSpPr txBox="1"/>
                      <wps:spPr>
                        <a:xfrm>
                          <a:off x="0" y="0"/>
                          <a:ext cx="1572895" cy="195580"/>
                        </a:xfrm>
                        <a:prstGeom prst="rect">
                          <a:avLst/>
                        </a:prstGeom>
                        <a:solidFill>
                          <a:schemeClr val="lt1"/>
                        </a:solidFill>
                        <a:ln w="6350">
                          <a:noFill/>
                        </a:ln>
                      </wps:spPr>
                      <wps:txbx>
                        <w:txbxContent>
                          <w:p w14:paraId="16436442" w14:textId="77777777" w:rsidR="00093A1E" w:rsidRDefault="00093A1E" w:rsidP="00093A1E">
                            <w:pPr>
                              <w:rPr>
                                <w:sz w:val="18"/>
                                <w:szCs w:val="18"/>
                              </w:rPr>
                            </w:pPr>
                            <w:r>
                              <w:rPr>
                                <w:i/>
                                <w:iCs/>
                                <w:sz w:val="18"/>
                                <w:szCs w:val="18"/>
                              </w:rPr>
                              <w:t xml:space="preserve"> </w:t>
                            </w:r>
                            <w:proofErr w:type="spellStart"/>
                            <w:r>
                              <w:rPr>
                                <w:i/>
                                <w:iCs/>
                                <w:sz w:val="18"/>
                                <w:szCs w:val="18"/>
                              </w:rPr>
                              <w:t>corrugator</w:t>
                            </w:r>
                            <w:proofErr w:type="spellEnd"/>
                            <w:r>
                              <w:rPr>
                                <w:i/>
                                <w:iCs/>
                                <w:sz w:val="18"/>
                                <w:szCs w:val="18"/>
                              </w:rPr>
                              <w:t xml:space="preserve"> </w:t>
                            </w:r>
                            <w:proofErr w:type="spellStart"/>
                            <w:r>
                              <w:rPr>
                                <w:i/>
                                <w:iCs/>
                                <w:sz w:val="18"/>
                                <w:szCs w:val="18"/>
                              </w:rPr>
                              <w:t>supercilii</w:t>
                            </w:r>
                            <w:proofErr w:type="spellEnd"/>
                            <w:r>
                              <w:rPr>
                                <w:i/>
                                <w:iCs/>
                                <w:sz w:val="18"/>
                                <w:szCs w:val="18"/>
                              </w:rPr>
                              <w:t xml:space="preserve"> </w:t>
                            </w:r>
                            <w:r>
                              <w:rPr>
                                <w:sz w:val="18"/>
                                <w:szCs w:val="18"/>
                              </w:rPr>
                              <w:noBreakHyphen/>
                              <w:t>muskel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D5560F5" id="_x0000_t202" coordsize="21600,21600" o:spt="202" path="m,l,21600r21600,l21600,xe">
                <v:stroke joinstyle="miter"/>
                <v:path gradientshapeok="t" o:connecttype="rect"/>
              </v:shapetype>
              <v:shape id="Tekstfelt 5" o:spid="_x0000_s1026" type="#_x0000_t202" style="position:absolute;left:0;text-align:left;margin-left:255.45pt;margin-top:55.5pt;width:123.9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" fillcolor="white [3201]" stroked="f" strokeweight=".5pt">
                <v:textbox inset="0,0,0,0">
                  <w:txbxContent>
                    <w:p w14:paraId="16436442" w14:textId="77777777" w:rsidR="00093A1E" w:rsidRDefault="00093A1E" w:rsidP="00093A1E">
                      <w:pPr>
                        <w:rPr>
                          <w:sz w:val="18"/>
                          <w:szCs w:val="18"/>
                        </w:rPr>
                      </w:pPr>
                      <w:r>
                        <w:rPr>
                          <w:i/>
                          <w:iCs/>
                          <w:sz w:val="18"/>
                          <w:szCs w:val="18"/>
                        </w:rPr>
                        <w:t xml:space="preserve"> </w:t>
                      </w:r>
                      <w:proofErr w:type="spellStart"/>
                      <w:r>
                        <w:rPr>
                          <w:i/>
                          <w:iCs/>
                          <w:sz w:val="18"/>
                          <w:szCs w:val="18"/>
                        </w:rPr>
                        <w:t>corrugator</w:t>
                      </w:r>
                      <w:proofErr w:type="spellEnd"/>
                      <w:r>
                        <w:rPr>
                          <w:i/>
                          <w:iCs/>
                          <w:sz w:val="18"/>
                          <w:szCs w:val="18"/>
                        </w:rPr>
                        <w:t xml:space="preserve"> </w:t>
                      </w:r>
                      <w:proofErr w:type="spellStart"/>
                      <w:r>
                        <w:rPr>
                          <w:i/>
                          <w:iCs/>
                          <w:sz w:val="18"/>
                          <w:szCs w:val="18"/>
                        </w:rPr>
                        <w:t>supercilii</w:t>
                      </w:r>
                      <w:proofErr w:type="spellEnd"/>
                      <w:r>
                        <w:rPr>
                          <w:i/>
                          <w:iCs/>
                          <w:sz w:val="18"/>
                          <w:szCs w:val="18"/>
                        </w:rPr>
                        <w:t xml:space="preserve"> </w:t>
                      </w:r>
                      <w:r>
                        <w:rPr>
                          <w:sz w:val="18"/>
                          <w:szCs w:val="18"/>
                        </w:rPr>
                        <w:noBreakHyphen/>
                        <w:t>muskel</w:t>
                      </w:r>
                    </w:p>
                  </w:txbxContent>
                </v:textbox>
              </v:shape>
            </w:pict>
          </mc:Fallback>
        </mc:AlternateContent>
      </w:r>
      <w:r w:rsidRPr="00E400E9">
        <w:rPr>
          <w:noProof/>
          <w:sz w:val="24"/>
          <w:szCs w:val="24"/>
        </w:rPr>
        <mc:AlternateContent>
          <mc:Choice Requires="wps">
            <w:drawing>
              <wp:anchor distT="0" distB="0" distL="114300" distR="114300" simplePos="0" relativeHeight="251660288" behindDoc="0" locked="0" layoutInCell="1" allowOverlap="1" wp14:anchorId="0F757A96" wp14:editId="3C99A2B6">
                <wp:simplePos x="0" y="0"/>
                <wp:positionH relativeFrom="column">
                  <wp:posOffset>2795270</wp:posOffset>
                </wp:positionH>
                <wp:positionV relativeFrom="paragraph">
                  <wp:posOffset>80645</wp:posOffset>
                </wp:positionV>
                <wp:extent cx="884555" cy="196215"/>
                <wp:effectExtent l="0" t="0" r="0" b="0"/>
                <wp:wrapNone/>
                <wp:docPr id="4" name="Tekstfelt 4"/>
                <wp:cNvGraphicFramePr/>
                <a:graphic xmlns:a="http://schemas.openxmlformats.org/drawingml/2006/main">
                  <a:graphicData uri="http://schemas.microsoft.com/office/word/2010/wordprocessingShape">
                    <wps:wsp>
                      <wps:cNvSpPr txBox="1"/>
                      <wps:spPr>
                        <a:xfrm>
                          <a:off x="0" y="0"/>
                          <a:ext cx="884555" cy="195580"/>
                        </a:xfrm>
                        <a:prstGeom prst="rect">
                          <a:avLst/>
                        </a:prstGeom>
                        <a:solidFill>
                          <a:schemeClr val="lt1"/>
                        </a:solidFill>
                        <a:ln w="6350">
                          <a:noFill/>
                        </a:ln>
                      </wps:spPr>
                      <wps:txbx>
                        <w:txbxContent>
                          <w:p w14:paraId="2449B503" w14:textId="77777777" w:rsidR="00093A1E" w:rsidRDefault="00093A1E" w:rsidP="00093A1E">
                            <w:pPr>
                              <w:rPr>
                                <w:sz w:val="18"/>
                                <w:szCs w:val="18"/>
                              </w:rPr>
                            </w:pPr>
                            <w:r>
                              <w:rPr>
                                <w:i/>
                                <w:iCs/>
                                <w:sz w:val="18"/>
                                <w:szCs w:val="18"/>
                              </w:rPr>
                              <w:t xml:space="preserve"> </w:t>
                            </w:r>
                            <w:proofErr w:type="spellStart"/>
                            <w:r>
                              <w:rPr>
                                <w:i/>
                                <w:iCs/>
                                <w:sz w:val="18"/>
                                <w:szCs w:val="18"/>
                              </w:rPr>
                              <w:t>procerus</w:t>
                            </w:r>
                            <w:proofErr w:type="spellEnd"/>
                            <w:r>
                              <w:rPr>
                                <w:sz w:val="18"/>
                                <w:szCs w:val="18"/>
                              </w:rPr>
                              <w:noBreakHyphen/>
                              <w:t>muskel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F757A96" id="Tekstfelt 4" o:spid="_x0000_s1027" type="#_x0000_t202" style="position:absolute;left:0;text-align:left;margin-left:220.1pt;margin-top:6.35pt;width:69.65pt;height:1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" fillcolor="white [3201]" stroked="f" strokeweight=".5pt">
                <v:textbox inset="0,0,0,0">
                  <w:txbxContent>
                    <w:p w14:paraId="2449B503" w14:textId="77777777" w:rsidR="00093A1E" w:rsidRDefault="00093A1E" w:rsidP="00093A1E">
                      <w:pPr>
                        <w:rPr>
                          <w:sz w:val="18"/>
                          <w:szCs w:val="18"/>
                        </w:rPr>
                      </w:pPr>
                      <w:r>
                        <w:rPr>
                          <w:i/>
                          <w:iCs/>
                          <w:sz w:val="18"/>
                          <w:szCs w:val="18"/>
                        </w:rPr>
                        <w:t xml:space="preserve"> </w:t>
                      </w:r>
                      <w:proofErr w:type="spellStart"/>
                      <w:r>
                        <w:rPr>
                          <w:i/>
                          <w:iCs/>
                          <w:sz w:val="18"/>
                          <w:szCs w:val="18"/>
                        </w:rPr>
                        <w:t>procerus</w:t>
                      </w:r>
                      <w:proofErr w:type="spellEnd"/>
                      <w:r>
                        <w:rPr>
                          <w:sz w:val="18"/>
                          <w:szCs w:val="18"/>
                        </w:rPr>
                        <w:noBreakHyphen/>
                        <w:t>muskel</w:t>
                      </w:r>
                    </w:p>
                  </w:txbxContent>
                </v:textbox>
              </v:shape>
            </w:pict>
          </mc:Fallback>
        </mc:AlternateContent>
      </w:r>
      <w:r w:rsidRPr="00E400E9">
        <w:rPr>
          <w:noProof/>
          <w:sz w:val="24"/>
          <w:szCs w:val="24"/>
        </w:rPr>
        <w:drawing>
          <wp:inline distT="0" distB="0" distL="0" distR="0" wp14:anchorId="28EC8F54" wp14:editId="5428BCDC">
            <wp:extent cx="5274310" cy="3408680"/>
            <wp:effectExtent l="0" t="0" r="2540" b="127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408680"/>
                    </a:xfrm>
                    <a:prstGeom prst="rect">
                      <a:avLst/>
                    </a:prstGeom>
                    <a:noFill/>
                    <a:ln>
                      <a:noFill/>
                    </a:ln>
                  </pic:spPr>
                </pic:pic>
              </a:graphicData>
            </a:graphic>
          </wp:inline>
        </w:drawing>
      </w:r>
    </w:p>
    <w:p w14:paraId="10472077" w14:textId="77777777" w:rsidR="00093A1E" w:rsidRPr="00E400E9" w:rsidRDefault="00093A1E" w:rsidP="00093A1E">
      <w:pPr>
        <w:ind w:left="851"/>
        <w:rPr>
          <w:sz w:val="24"/>
          <w:szCs w:val="24"/>
        </w:rPr>
      </w:pPr>
    </w:p>
    <w:p w14:paraId="13B53D8A" w14:textId="77777777" w:rsidR="00093A1E" w:rsidRPr="00E400E9" w:rsidRDefault="00093A1E" w:rsidP="00093A1E">
      <w:pPr>
        <w:ind w:left="851"/>
        <w:rPr>
          <w:sz w:val="24"/>
          <w:szCs w:val="24"/>
        </w:rPr>
      </w:pPr>
      <w:r w:rsidRPr="00E400E9">
        <w:rPr>
          <w:sz w:val="24"/>
          <w:szCs w:val="24"/>
        </w:rPr>
        <w:t xml:space="preserve">Injektionerne skal foretages med forsigtighed for at undgå </w:t>
      </w:r>
      <w:proofErr w:type="spellStart"/>
      <w:r w:rsidRPr="00E400E9">
        <w:rPr>
          <w:sz w:val="24"/>
          <w:szCs w:val="24"/>
        </w:rPr>
        <w:t>intravaskulær</w:t>
      </w:r>
      <w:proofErr w:type="spellEnd"/>
      <w:r w:rsidRPr="00E400E9">
        <w:rPr>
          <w:sz w:val="24"/>
          <w:szCs w:val="24"/>
        </w:rPr>
        <w:t xml:space="preserve"> injektion. Inden injektion kan en tommel</w:t>
      </w:r>
      <w:r w:rsidRPr="00E400E9">
        <w:rPr>
          <w:sz w:val="24"/>
          <w:szCs w:val="24"/>
        </w:rPr>
        <w:noBreakHyphen/>
        <w:t xml:space="preserve"> eller pegefinger placeres fast under den orbitale kant for at undgå </w:t>
      </w:r>
      <w:proofErr w:type="spellStart"/>
      <w:r w:rsidRPr="00E400E9">
        <w:rPr>
          <w:sz w:val="24"/>
          <w:szCs w:val="24"/>
        </w:rPr>
        <w:t>effusion</w:t>
      </w:r>
      <w:proofErr w:type="spellEnd"/>
      <w:r w:rsidRPr="00E400E9">
        <w:rPr>
          <w:sz w:val="24"/>
          <w:szCs w:val="24"/>
        </w:rPr>
        <w:t xml:space="preserve"> af lægemidlet til dette område. Kanylen skal vendes opad og </w:t>
      </w:r>
      <w:proofErr w:type="spellStart"/>
      <w:r w:rsidRPr="00E400E9">
        <w:rPr>
          <w:sz w:val="24"/>
          <w:szCs w:val="24"/>
        </w:rPr>
        <w:t>medialt</w:t>
      </w:r>
      <w:proofErr w:type="spellEnd"/>
      <w:r w:rsidRPr="00E400E9">
        <w:rPr>
          <w:sz w:val="24"/>
          <w:szCs w:val="24"/>
        </w:rPr>
        <w:t>.</w:t>
      </w:r>
    </w:p>
    <w:p w14:paraId="4DA02D8C" w14:textId="77777777" w:rsidR="009260DE" w:rsidRPr="00E400E9" w:rsidRDefault="009260DE" w:rsidP="009260DE">
      <w:pPr>
        <w:tabs>
          <w:tab w:val="left" w:pos="851"/>
        </w:tabs>
        <w:ind w:left="851"/>
        <w:rPr>
          <w:sz w:val="24"/>
          <w:szCs w:val="24"/>
        </w:rPr>
      </w:pPr>
    </w:p>
    <w:p w14:paraId="1500339F" w14:textId="77777777" w:rsidR="009260DE" w:rsidRPr="00E400E9" w:rsidRDefault="009260DE" w:rsidP="009260DE">
      <w:pPr>
        <w:tabs>
          <w:tab w:val="left" w:pos="851"/>
        </w:tabs>
        <w:ind w:left="851" w:hanging="851"/>
        <w:rPr>
          <w:b/>
          <w:sz w:val="24"/>
          <w:szCs w:val="24"/>
        </w:rPr>
      </w:pPr>
      <w:r w:rsidRPr="00E400E9">
        <w:rPr>
          <w:b/>
          <w:sz w:val="24"/>
          <w:szCs w:val="24"/>
        </w:rPr>
        <w:t>4.3</w:t>
      </w:r>
      <w:r w:rsidRPr="00E400E9">
        <w:rPr>
          <w:b/>
          <w:sz w:val="24"/>
          <w:szCs w:val="24"/>
        </w:rPr>
        <w:tab/>
        <w:t>Kontraindikationer</w:t>
      </w:r>
    </w:p>
    <w:p w14:paraId="29A64CD0" w14:textId="0C75BCEB" w:rsidR="00093A1E" w:rsidRPr="00E400E9" w:rsidRDefault="00093A1E" w:rsidP="00093A1E">
      <w:pPr>
        <w:ind w:left="851"/>
        <w:rPr>
          <w:sz w:val="24"/>
          <w:szCs w:val="24"/>
          <w:lang w:eastAsia="da-DK"/>
        </w:rPr>
      </w:pPr>
      <w:r w:rsidRPr="00E400E9">
        <w:rPr>
          <w:sz w:val="24"/>
          <w:szCs w:val="24"/>
        </w:rPr>
        <w:t>Overfølsomhed over for det aktive stof eller over for et eller flere af hjælpestofferne anført i pkt. 6.1.</w:t>
      </w:r>
    </w:p>
    <w:p w14:paraId="6BDD8FCB" w14:textId="77777777" w:rsidR="00093A1E" w:rsidRPr="00E400E9" w:rsidRDefault="00093A1E" w:rsidP="00093A1E">
      <w:pPr>
        <w:ind w:left="851"/>
        <w:rPr>
          <w:sz w:val="24"/>
          <w:szCs w:val="24"/>
        </w:rPr>
      </w:pPr>
    </w:p>
    <w:p w14:paraId="2DE23C7C" w14:textId="77777777" w:rsidR="00093A1E" w:rsidRPr="00E400E9" w:rsidRDefault="00093A1E" w:rsidP="00093A1E">
      <w:pPr>
        <w:ind w:left="851"/>
        <w:rPr>
          <w:sz w:val="24"/>
          <w:szCs w:val="24"/>
        </w:rPr>
      </w:pPr>
      <w:r w:rsidRPr="00E400E9">
        <w:rPr>
          <w:sz w:val="24"/>
          <w:szCs w:val="24"/>
        </w:rPr>
        <w:t xml:space="preserve">Generaliserede </w:t>
      </w:r>
      <w:r w:rsidRPr="00E400E9">
        <w:rPr>
          <w:sz w:val="24"/>
          <w:szCs w:val="24"/>
          <w:lang w:val="nb-NO"/>
        </w:rPr>
        <w:t xml:space="preserve">forstyrrelser i </w:t>
      </w:r>
      <w:r w:rsidRPr="00E400E9">
        <w:rPr>
          <w:sz w:val="24"/>
          <w:szCs w:val="24"/>
        </w:rPr>
        <w:t xml:space="preserve">muskelaktivitet (f.eks. </w:t>
      </w:r>
      <w:proofErr w:type="spellStart"/>
      <w:r w:rsidRPr="00E400E9">
        <w:rPr>
          <w:sz w:val="24"/>
          <w:szCs w:val="24"/>
        </w:rPr>
        <w:t>mystasthenia</w:t>
      </w:r>
      <w:proofErr w:type="spellEnd"/>
      <w:r w:rsidRPr="00E400E9">
        <w:rPr>
          <w:sz w:val="24"/>
          <w:szCs w:val="24"/>
        </w:rPr>
        <w:t xml:space="preserve"> </w:t>
      </w:r>
      <w:proofErr w:type="spellStart"/>
      <w:r w:rsidRPr="00E400E9">
        <w:rPr>
          <w:sz w:val="24"/>
          <w:szCs w:val="24"/>
        </w:rPr>
        <w:t>gravis</w:t>
      </w:r>
      <w:proofErr w:type="spellEnd"/>
      <w:r w:rsidRPr="00E400E9">
        <w:rPr>
          <w:sz w:val="24"/>
          <w:szCs w:val="24"/>
        </w:rPr>
        <w:t xml:space="preserve">, Lambert-Eatons syndrom, </w:t>
      </w:r>
      <w:proofErr w:type="spellStart"/>
      <w:r w:rsidRPr="00E400E9">
        <w:rPr>
          <w:sz w:val="24"/>
          <w:szCs w:val="24"/>
        </w:rPr>
        <w:t>amyotrofisk</w:t>
      </w:r>
      <w:proofErr w:type="spellEnd"/>
      <w:r w:rsidRPr="00E400E9">
        <w:rPr>
          <w:sz w:val="24"/>
          <w:szCs w:val="24"/>
        </w:rPr>
        <w:t xml:space="preserve"> lateral sklerose).</w:t>
      </w:r>
    </w:p>
    <w:p w14:paraId="5B371D83" w14:textId="77777777" w:rsidR="00093A1E" w:rsidRPr="00E400E9" w:rsidRDefault="00093A1E" w:rsidP="00093A1E">
      <w:pPr>
        <w:ind w:left="851"/>
        <w:rPr>
          <w:sz w:val="24"/>
          <w:szCs w:val="24"/>
        </w:rPr>
      </w:pPr>
    </w:p>
    <w:p w14:paraId="6C741AD4" w14:textId="77777777" w:rsidR="00093A1E" w:rsidRPr="00E400E9" w:rsidRDefault="00093A1E" w:rsidP="00093A1E">
      <w:pPr>
        <w:ind w:left="851"/>
        <w:rPr>
          <w:sz w:val="24"/>
          <w:szCs w:val="24"/>
        </w:rPr>
      </w:pPr>
      <w:r w:rsidRPr="00E400E9">
        <w:rPr>
          <w:sz w:val="24"/>
          <w:szCs w:val="24"/>
        </w:rPr>
        <w:t>Forekomst af akut infektion eller inflammation på de tiltænkte injektionssteder.</w:t>
      </w:r>
    </w:p>
    <w:p w14:paraId="13FD42C8" w14:textId="77777777" w:rsidR="009260DE" w:rsidRPr="00E400E9" w:rsidRDefault="009260DE" w:rsidP="009260DE">
      <w:pPr>
        <w:tabs>
          <w:tab w:val="left" w:pos="851"/>
        </w:tabs>
        <w:ind w:left="851"/>
        <w:rPr>
          <w:sz w:val="24"/>
          <w:szCs w:val="24"/>
        </w:rPr>
      </w:pPr>
    </w:p>
    <w:p w14:paraId="75F7B81D" w14:textId="77777777" w:rsidR="009260DE" w:rsidRPr="00E400E9" w:rsidRDefault="009260DE" w:rsidP="009260DE">
      <w:pPr>
        <w:tabs>
          <w:tab w:val="left" w:pos="851"/>
        </w:tabs>
        <w:ind w:left="851" w:hanging="851"/>
        <w:rPr>
          <w:b/>
          <w:sz w:val="24"/>
          <w:szCs w:val="24"/>
        </w:rPr>
      </w:pPr>
      <w:r w:rsidRPr="00E400E9">
        <w:rPr>
          <w:b/>
          <w:sz w:val="24"/>
          <w:szCs w:val="24"/>
        </w:rPr>
        <w:t>4.4</w:t>
      </w:r>
      <w:r w:rsidRPr="00E400E9">
        <w:rPr>
          <w:b/>
          <w:sz w:val="24"/>
          <w:szCs w:val="24"/>
        </w:rPr>
        <w:tab/>
        <w:t>Særlige advarsler og forsigtighedsregler vedrørende brugen</w:t>
      </w:r>
    </w:p>
    <w:p w14:paraId="115A0B53" w14:textId="77777777" w:rsidR="00F37506" w:rsidRPr="00E400E9" w:rsidRDefault="00F37506" w:rsidP="00093A1E">
      <w:pPr>
        <w:ind w:left="851"/>
        <w:rPr>
          <w:sz w:val="24"/>
          <w:szCs w:val="24"/>
          <w:u w:val="single"/>
        </w:rPr>
      </w:pPr>
    </w:p>
    <w:p w14:paraId="725545AC" w14:textId="1BDD3C2B" w:rsidR="00093A1E" w:rsidRPr="00E400E9" w:rsidRDefault="00093A1E" w:rsidP="00093A1E">
      <w:pPr>
        <w:ind w:left="851"/>
        <w:rPr>
          <w:sz w:val="24"/>
          <w:szCs w:val="24"/>
          <w:u w:val="single"/>
          <w:lang w:eastAsia="da-DK"/>
        </w:rPr>
      </w:pPr>
      <w:r w:rsidRPr="00E400E9">
        <w:rPr>
          <w:sz w:val="24"/>
          <w:szCs w:val="24"/>
          <w:u w:val="single"/>
        </w:rPr>
        <w:t>Generelt</w:t>
      </w:r>
    </w:p>
    <w:p w14:paraId="4C5ECD45" w14:textId="77777777" w:rsidR="00093A1E" w:rsidRPr="00E400E9" w:rsidRDefault="00093A1E" w:rsidP="00093A1E">
      <w:pPr>
        <w:ind w:left="851"/>
        <w:rPr>
          <w:sz w:val="24"/>
          <w:szCs w:val="24"/>
        </w:rPr>
      </w:pPr>
      <w:r w:rsidRPr="00E400E9">
        <w:rPr>
          <w:sz w:val="24"/>
          <w:szCs w:val="24"/>
        </w:rPr>
        <w:t xml:space="preserve">Det er nødvendigt at forstå musklernes anatomi og de omkringliggende </w:t>
      </w:r>
      <w:proofErr w:type="spellStart"/>
      <w:r w:rsidRPr="00E400E9">
        <w:rPr>
          <w:sz w:val="24"/>
          <w:szCs w:val="24"/>
        </w:rPr>
        <w:t>vaskulære</w:t>
      </w:r>
      <w:proofErr w:type="spellEnd"/>
      <w:r w:rsidRPr="00E400E9">
        <w:rPr>
          <w:sz w:val="24"/>
          <w:szCs w:val="24"/>
        </w:rPr>
        <w:t xml:space="preserve"> strukturer og nervestrukturer i </w:t>
      </w:r>
      <w:proofErr w:type="spellStart"/>
      <w:r w:rsidRPr="00E400E9">
        <w:rPr>
          <w:sz w:val="24"/>
          <w:szCs w:val="24"/>
        </w:rPr>
        <w:t>glabellaregionen</w:t>
      </w:r>
      <w:proofErr w:type="spellEnd"/>
      <w:r w:rsidRPr="00E400E9">
        <w:rPr>
          <w:sz w:val="24"/>
          <w:szCs w:val="24"/>
        </w:rPr>
        <w:t xml:space="preserve"> hos patienten samt eventuelle ændringer af anatomien som følge af tidligere kirurgi, før </w:t>
      </w:r>
      <w:proofErr w:type="spellStart"/>
      <w:r w:rsidRPr="00E400E9">
        <w:rPr>
          <w:sz w:val="24"/>
          <w:szCs w:val="24"/>
        </w:rPr>
        <w:t>Letybo</w:t>
      </w:r>
      <w:proofErr w:type="spellEnd"/>
      <w:r w:rsidRPr="00E400E9">
        <w:rPr>
          <w:sz w:val="24"/>
          <w:szCs w:val="24"/>
        </w:rPr>
        <w:t xml:space="preserve"> administreres. Det skal undgås at injicere i sårbare anatomiske strukturer.</w:t>
      </w:r>
    </w:p>
    <w:p w14:paraId="6BF5BE95" w14:textId="77777777" w:rsidR="00093A1E" w:rsidRPr="00E400E9" w:rsidRDefault="00093A1E" w:rsidP="00093A1E">
      <w:pPr>
        <w:ind w:left="851"/>
        <w:rPr>
          <w:sz w:val="24"/>
          <w:szCs w:val="24"/>
        </w:rPr>
      </w:pPr>
    </w:p>
    <w:p w14:paraId="4D9D5742" w14:textId="77777777" w:rsidR="00093A1E" w:rsidRPr="00E400E9" w:rsidRDefault="00093A1E" w:rsidP="00093A1E">
      <w:pPr>
        <w:ind w:left="851"/>
        <w:rPr>
          <w:sz w:val="24"/>
          <w:szCs w:val="24"/>
        </w:rPr>
      </w:pPr>
      <w:bookmarkStart w:id="0" w:name="_Hlk10551641"/>
      <w:r w:rsidRPr="00E400E9">
        <w:rPr>
          <w:sz w:val="24"/>
          <w:szCs w:val="24"/>
        </w:rPr>
        <w:t xml:space="preserve">Der bør udvises forsigtighed ved anvendelse af </w:t>
      </w:r>
      <w:proofErr w:type="spellStart"/>
      <w:r w:rsidRPr="00E400E9">
        <w:rPr>
          <w:sz w:val="24"/>
          <w:szCs w:val="24"/>
        </w:rPr>
        <w:t>Letybo</w:t>
      </w:r>
      <w:proofErr w:type="spellEnd"/>
      <w:r w:rsidRPr="00E400E9">
        <w:rPr>
          <w:sz w:val="24"/>
          <w:szCs w:val="24"/>
        </w:rPr>
        <w:t>, når målmusklen udviser markant svaghed eller atrofi.</w:t>
      </w:r>
    </w:p>
    <w:bookmarkEnd w:id="0"/>
    <w:p w14:paraId="28296601" w14:textId="77777777" w:rsidR="00093A1E" w:rsidRPr="00E400E9" w:rsidRDefault="00093A1E" w:rsidP="00093A1E">
      <w:pPr>
        <w:ind w:left="851"/>
        <w:rPr>
          <w:sz w:val="24"/>
          <w:szCs w:val="24"/>
        </w:rPr>
      </w:pPr>
    </w:p>
    <w:p w14:paraId="573B04D6" w14:textId="77777777" w:rsidR="00093A1E" w:rsidRPr="00E400E9" w:rsidRDefault="00093A1E" w:rsidP="00093A1E">
      <w:pPr>
        <w:ind w:left="851"/>
        <w:rPr>
          <w:sz w:val="24"/>
          <w:szCs w:val="24"/>
        </w:rPr>
      </w:pPr>
      <w:r w:rsidRPr="00E400E9">
        <w:rPr>
          <w:sz w:val="24"/>
          <w:szCs w:val="24"/>
        </w:rPr>
        <w:lastRenderedPageBreak/>
        <w:t xml:space="preserve">Der er risiko for </w:t>
      </w:r>
      <w:proofErr w:type="spellStart"/>
      <w:r w:rsidRPr="00E400E9">
        <w:rPr>
          <w:sz w:val="24"/>
          <w:szCs w:val="24"/>
        </w:rPr>
        <w:t>øjenlågsptose</w:t>
      </w:r>
      <w:proofErr w:type="spellEnd"/>
      <w:r w:rsidRPr="00E400E9">
        <w:rPr>
          <w:sz w:val="24"/>
          <w:szCs w:val="24"/>
        </w:rPr>
        <w:t xml:space="preserve"> efter behandling, se pkt. 4.2 for administrationsanvisninger til, hvordan denne risiko minimeres.</w:t>
      </w:r>
    </w:p>
    <w:p w14:paraId="0E3562BB" w14:textId="77777777" w:rsidR="00093A1E" w:rsidRPr="00E400E9" w:rsidRDefault="00093A1E" w:rsidP="00093A1E">
      <w:pPr>
        <w:ind w:left="851"/>
        <w:rPr>
          <w:sz w:val="24"/>
          <w:szCs w:val="24"/>
        </w:rPr>
      </w:pPr>
    </w:p>
    <w:p w14:paraId="3119635F" w14:textId="77777777" w:rsidR="00093A1E" w:rsidRPr="00E400E9" w:rsidRDefault="00093A1E" w:rsidP="00093A1E">
      <w:pPr>
        <w:ind w:left="851"/>
        <w:rPr>
          <w:noProof/>
          <w:sz w:val="24"/>
          <w:szCs w:val="24"/>
          <w:u w:val="single"/>
        </w:rPr>
      </w:pPr>
      <w:r w:rsidRPr="00E400E9">
        <w:rPr>
          <w:sz w:val="24"/>
          <w:szCs w:val="24"/>
          <w:u w:val="single"/>
        </w:rPr>
        <w:t>Procedurerelaterede hændelser</w:t>
      </w:r>
    </w:p>
    <w:p w14:paraId="3605F945" w14:textId="77777777" w:rsidR="00093A1E" w:rsidRPr="00E400E9" w:rsidRDefault="00093A1E" w:rsidP="00093A1E">
      <w:pPr>
        <w:ind w:left="851"/>
        <w:rPr>
          <w:noProof/>
          <w:sz w:val="24"/>
          <w:szCs w:val="24"/>
        </w:rPr>
      </w:pPr>
      <w:r w:rsidRPr="00E400E9">
        <w:rPr>
          <w:sz w:val="24"/>
          <w:szCs w:val="24"/>
        </w:rPr>
        <w:t xml:space="preserve">Nålerelaterede smerter og/eller angst har medført </w:t>
      </w:r>
      <w:proofErr w:type="spellStart"/>
      <w:r w:rsidRPr="00E400E9">
        <w:rPr>
          <w:sz w:val="24"/>
          <w:szCs w:val="24"/>
        </w:rPr>
        <w:t>vasovagale</w:t>
      </w:r>
      <w:proofErr w:type="spellEnd"/>
      <w:r w:rsidRPr="00E400E9">
        <w:rPr>
          <w:sz w:val="24"/>
          <w:szCs w:val="24"/>
        </w:rPr>
        <w:t xml:space="preserve"> reaktioner, herunder forbigående symptomatisk hypotension og synkope efter behandling med andre </w:t>
      </w:r>
      <w:proofErr w:type="spellStart"/>
      <w:r w:rsidRPr="00E400E9">
        <w:rPr>
          <w:sz w:val="24"/>
          <w:szCs w:val="24"/>
        </w:rPr>
        <w:t>botulinumtoksiner</w:t>
      </w:r>
      <w:proofErr w:type="spellEnd"/>
      <w:r w:rsidRPr="00E400E9">
        <w:rPr>
          <w:sz w:val="24"/>
          <w:szCs w:val="24"/>
        </w:rPr>
        <w:t>.</w:t>
      </w:r>
    </w:p>
    <w:p w14:paraId="1E38AA07" w14:textId="77777777" w:rsidR="00093A1E" w:rsidRPr="00E400E9" w:rsidRDefault="00093A1E" w:rsidP="00093A1E">
      <w:pPr>
        <w:ind w:left="851"/>
        <w:rPr>
          <w:sz w:val="24"/>
          <w:szCs w:val="24"/>
        </w:rPr>
      </w:pPr>
    </w:p>
    <w:p w14:paraId="7EDF9FD6" w14:textId="77777777" w:rsidR="00093A1E" w:rsidRPr="00E400E9" w:rsidRDefault="00093A1E" w:rsidP="00093A1E">
      <w:pPr>
        <w:ind w:left="851"/>
        <w:rPr>
          <w:noProof/>
          <w:sz w:val="24"/>
          <w:szCs w:val="24"/>
          <w:u w:val="single"/>
        </w:rPr>
      </w:pPr>
      <w:r w:rsidRPr="00E400E9">
        <w:rPr>
          <w:sz w:val="24"/>
          <w:szCs w:val="24"/>
          <w:u w:val="single"/>
        </w:rPr>
        <w:t xml:space="preserve">Eksisterende </w:t>
      </w:r>
      <w:proofErr w:type="spellStart"/>
      <w:r w:rsidRPr="00E400E9">
        <w:rPr>
          <w:sz w:val="24"/>
          <w:szCs w:val="24"/>
          <w:u w:val="single"/>
        </w:rPr>
        <w:t>neuromuskulære</w:t>
      </w:r>
      <w:proofErr w:type="spellEnd"/>
      <w:r w:rsidRPr="00E400E9">
        <w:rPr>
          <w:sz w:val="24"/>
          <w:szCs w:val="24"/>
          <w:u w:val="single"/>
        </w:rPr>
        <w:t xml:space="preserve"> sygdomme</w:t>
      </w:r>
    </w:p>
    <w:p w14:paraId="6403D804" w14:textId="77777777" w:rsidR="00093A1E" w:rsidRPr="00E400E9" w:rsidRDefault="00093A1E" w:rsidP="00093A1E">
      <w:pPr>
        <w:ind w:left="851"/>
        <w:rPr>
          <w:sz w:val="24"/>
          <w:szCs w:val="24"/>
        </w:rPr>
      </w:pPr>
      <w:r w:rsidRPr="00E400E9">
        <w:rPr>
          <w:sz w:val="24"/>
          <w:szCs w:val="24"/>
        </w:rPr>
        <w:t>Patienter med ikke</w:t>
      </w:r>
      <w:r w:rsidRPr="00E400E9">
        <w:rPr>
          <w:sz w:val="24"/>
          <w:szCs w:val="24"/>
        </w:rPr>
        <w:noBreakHyphen/>
        <w:t xml:space="preserve">diagnosticerede </w:t>
      </w:r>
      <w:proofErr w:type="spellStart"/>
      <w:r w:rsidRPr="00E400E9">
        <w:rPr>
          <w:sz w:val="24"/>
          <w:szCs w:val="24"/>
        </w:rPr>
        <w:t>neuromuskulære</w:t>
      </w:r>
      <w:proofErr w:type="spellEnd"/>
      <w:r w:rsidRPr="00E400E9">
        <w:rPr>
          <w:sz w:val="24"/>
          <w:szCs w:val="24"/>
        </w:rPr>
        <w:t xml:space="preserve"> sygdomme kan have en øget risiko for at få klinisk signifikante systemiske bivirkninger, herunder svær </w:t>
      </w:r>
      <w:proofErr w:type="spellStart"/>
      <w:r w:rsidRPr="00E400E9">
        <w:rPr>
          <w:sz w:val="24"/>
          <w:szCs w:val="24"/>
        </w:rPr>
        <w:t>dysfagi</w:t>
      </w:r>
      <w:proofErr w:type="spellEnd"/>
      <w:r w:rsidRPr="00E400E9">
        <w:rPr>
          <w:sz w:val="24"/>
          <w:szCs w:val="24"/>
        </w:rPr>
        <w:t xml:space="preserve"> og kompromitteret respiratorisk funktion, ved de sædvanlige doser af </w:t>
      </w:r>
      <w:proofErr w:type="spellStart"/>
      <w:r w:rsidRPr="00E400E9">
        <w:rPr>
          <w:sz w:val="24"/>
          <w:szCs w:val="24"/>
        </w:rPr>
        <w:t>botulinumtoksin</w:t>
      </w:r>
      <w:proofErr w:type="spellEnd"/>
      <w:r w:rsidRPr="00E400E9">
        <w:rPr>
          <w:sz w:val="24"/>
          <w:szCs w:val="24"/>
        </w:rPr>
        <w:t xml:space="preserve"> type A.</w:t>
      </w:r>
    </w:p>
    <w:p w14:paraId="0282F44A" w14:textId="77777777" w:rsidR="00093A1E" w:rsidRPr="00E400E9" w:rsidRDefault="00093A1E" w:rsidP="00093A1E">
      <w:pPr>
        <w:ind w:left="851"/>
        <w:rPr>
          <w:sz w:val="24"/>
          <w:szCs w:val="24"/>
        </w:rPr>
      </w:pPr>
    </w:p>
    <w:p w14:paraId="74E25E65" w14:textId="77777777" w:rsidR="00093A1E" w:rsidRPr="00E400E9" w:rsidRDefault="00093A1E" w:rsidP="00093A1E">
      <w:pPr>
        <w:ind w:left="851"/>
        <w:rPr>
          <w:sz w:val="24"/>
          <w:szCs w:val="24"/>
          <w:u w:val="single"/>
        </w:rPr>
      </w:pPr>
      <w:r w:rsidRPr="00E400E9">
        <w:rPr>
          <w:sz w:val="24"/>
          <w:szCs w:val="24"/>
          <w:u w:val="single"/>
        </w:rPr>
        <w:t>Overfølsomhedsreaktioner</w:t>
      </w:r>
    </w:p>
    <w:p w14:paraId="2B4C4CA5" w14:textId="77777777" w:rsidR="00093A1E" w:rsidRPr="00E400E9" w:rsidRDefault="00093A1E" w:rsidP="00093A1E">
      <w:pPr>
        <w:ind w:left="851"/>
        <w:rPr>
          <w:sz w:val="24"/>
          <w:szCs w:val="24"/>
        </w:rPr>
      </w:pPr>
      <w:r w:rsidRPr="00E400E9">
        <w:rPr>
          <w:sz w:val="24"/>
          <w:szCs w:val="24"/>
        </w:rPr>
        <w:t xml:space="preserve">I meget sjældne tilfælde kan der opstå en </w:t>
      </w:r>
      <w:proofErr w:type="spellStart"/>
      <w:r w:rsidRPr="00E400E9">
        <w:rPr>
          <w:sz w:val="24"/>
          <w:szCs w:val="24"/>
        </w:rPr>
        <w:t>anafylaktisk</w:t>
      </w:r>
      <w:proofErr w:type="spellEnd"/>
      <w:r w:rsidRPr="00E400E9">
        <w:rPr>
          <w:sz w:val="24"/>
          <w:szCs w:val="24"/>
        </w:rPr>
        <w:t xml:space="preserve"> reaktion efter injektion af </w:t>
      </w:r>
      <w:proofErr w:type="spellStart"/>
      <w:r w:rsidRPr="00E400E9">
        <w:rPr>
          <w:sz w:val="24"/>
          <w:szCs w:val="24"/>
        </w:rPr>
        <w:t>botulinumtoksin</w:t>
      </w:r>
      <w:proofErr w:type="spellEnd"/>
      <w:r w:rsidRPr="00E400E9">
        <w:rPr>
          <w:sz w:val="24"/>
          <w:szCs w:val="24"/>
        </w:rPr>
        <w:t xml:space="preserve">. </w:t>
      </w:r>
      <w:proofErr w:type="spellStart"/>
      <w:r w:rsidRPr="00E400E9">
        <w:rPr>
          <w:sz w:val="24"/>
          <w:szCs w:val="24"/>
        </w:rPr>
        <w:t>Epinefrin</w:t>
      </w:r>
      <w:proofErr w:type="spellEnd"/>
      <w:r w:rsidRPr="00E400E9">
        <w:rPr>
          <w:sz w:val="24"/>
          <w:szCs w:val="24"/>
        </w:rPr>
        <w:t xml:space="preserve"> (adrenalin) eller anden </w:t>
      </w:r>
      <w:proofErr w:type="spellStart"/>
      <w:r w:rsidRPr="00E400E9">
        <w:rPr>
          <w:sz w:val="24"/>
          <w:szCs w:val="24"/>
        </w:rPr>
        <w:t>anti</w:t>
      </w:r>
      <w:r w:rsidRPr="00E400E9">
        <w:rPr>
          <w:sz w:val="24"/>
          <w:szCs w:val="24"/>
        </w:rPr>
        <w:noBreakHyphen/>
        <w:t>anafylaktisk</w:t>
      </w:r>
      <w:proofErr w:type="spellEnd"/>
      <w:r w:rsidRPr="00E400E9">
        <w:rPr>
          <w:sz w:val="24"/>
          <w:szCs w:val="24"/>
        </w:rPr>
        <w:t xml:space="preserve"> foranstaltning skal derfor være tilgængelig.</w:t>
      </w:r>
    </w:p>
    <w:p w14:paraId="29251B67" w14:textId="77777777" w:rsidR="00093A1E" w:rsidRPr="00E400E9" w:rsidRDefault="00093A1E" w:rsidP="00093A1E">
      <w:pPr>
        <w:ind w:left="851"/>
        <w:rPr>
          <w:sz w:val="24"/>
          <w:szCs w:val="24"/>
        </w:rPr>
      </w:pPr>
    </w:p>
    <w:p w14:paraId="0F990082" w14:textId="77777777" w:rsidR="00093A1E" w:rsidRPr="00E400E9" w:rsidRDefault="00093A1E" w:rsidP="00093A1E">
      <w:pPr>
        <w:ind w:left="851"/>
        <w:rPr>
          <w:sz w:val="24"/>
          <w:szCs w:val="24"/>
          <w:u w:val="single"/>
        </w:rPr>
      </w:pPr>
      <w:r w:rsidRPr="00E400E9">
        <w:rPr>
          <w:sz w:val="24"/>
          <w:szCs w:val="24"/>
          <w:u w:val="single"/>
        </w:rPr>
        <w:t>Lokal eller fjernspredning af toksinets effekt</w:t>
      </w:r>
    </w:p>
    <w:p w14:paraId="7BB536A4" w14:textId="77777777" w:rsidR="00093A1E" w:rsidRPr="00E400E9" w:rsidRDefault="00093A1E" w:rsidP="00093A1E">
      <w:pPr>
        <w:ind w:left="851"/>
        <w:rPr>
          <w:sz w:val="24"/>
          <w:szCs w:val="24"/>
        </w:rPr>
      </w:pPr>
      <w:r w:rsidRPr="00E400E9">
        <w:rPr>
          <w:sz w:val="24"/>
          <w:szCs w:val="24"/>
        </w:rPr>
        <w:t xml:space="preserve">Der er i meget sjældne tilfælde rapporteret om bivirkninger ved </w:t>
      </w:r>
      <w:proofErr w:type="spellStart"/>
      <w:r w:rsidRPr="00E400E9">
        <w:rPr>
          <w:sz w:val="24"/>
          <w:szCs w:val="24"/>
        </w:rPr>
        <w:t>botulinumtoksin</w:t>
      </w:r>
      <w:proofErr w:type="spellEnd"/>
      <w:r w:rsidRPr="00E400E9">
        <w:rPr>
          <w:sz w:val="24"/>
          <w:szCs w:val="24"/>
        </w:rPr>
        <w:t>, der muligvis er relateret til spredning af toksinet fjernt fra administrationsstedet (se pkt. 4.8). Patienter, der behandles med terapeutiske doser, kan opleve markant muskelsvaghed.</w:t>
      </w:r>
    </w:p>
    <w:p w14:paraId="71FE335A" w14:textId="77777777" w:rsidR="00093A1E" w:rsidRPr="00E400E9" w:rsidRDefault="00093A1E" w:rsidP="00093A1E">
      <w:pPr>
        <w:ind w:left="851"/>
        <w:rPr>
          <w:sz w:val="24"/>
          <w:szCs w:val="24"/>
        </w:rPr>
      </w:pPr>
    </w:p>
    <w:p w14:paraId="4004F49D" w14:textId="77777777" w:rsidR="00093A1E" w:rsidRPr="00E400E9" w:rsidRDefault="00093A1E" w:rsidP="00093A1E">
      <w:pPr>
        <w:ind w:left="851"/>
        <w:rPr>
          <w:sz w:val="24"/>
          <w:szCs w:val="24"/>
        </w:rPr>
      </w:pPr>
      <w:r w:rsidRPr="00E400E9">
        <w:rPr>
          <w:sz w:val="24"/>
          <w:szCs w:val="24"/>
        </w:rPr>
        <w:t>Synke</w:t>
      </w:r>
      <w:r w:rsidRPr="00E400E9">
        <w:rPr>
          <w:sz w:val="24"/>
          <w:szCs w:val="24"/>
        </w:rPr>
        <w:noBreakHyphen/>
        <w:t xml:space="preserve"> og vejrtrækningsbesvær er alvorligt og kan medføre dødsfald. Injektion af </w:t>
      </w:r>
      <w:proofErr w:type="spellStart"/>
      <w:r w:rsidRPr="00E400E9">
        <w:rPr>
          <w:sz w:val="24"/>
          <w:szCs w:val="24"/>
        </w:rPr>
        <w:t>Letybo</w:t>
      </w:r>
      <w:proofErr w:type="spellEnd"/>
      <w:r w:rsidRPr="00E400E9">
        <w:rPr>
          <w:sz w:val="24"/>
          <w:szCs w:val="24"/>
        </w:rPr>
        <w:t xml:space="preserve"> anbefales ikke til patienter med </w:t>
      </w:r>
      <w:proofErr w:type="spellStart"/>
      <w:r w:rsidRPr="00E400E9">
        <w:rPr>
          <w:sz w:val="24"/>
          <w:szCs w:val="24"/>
        </w:rPr>
        <w:t>dysfagi</w:t>
      </w:r>
      <w:proofErr w:type="spellEnd"/>
      <w:r w:rsidRPr="00E400E9">
        <w:rPr>
          <w:sz w:val="24"/>
          <w:szCs w:val="24"/>
        </w:rPr>
        <w:t xml:space="preserve"> og aspiration i anamnesen.</w:t>
      </w:r>
    </w:p>
    <w:p w14:paraId="1928FAB0" w14:textId="77777777" w:rsidR="00093A1E" w:rsidRPr="00E400E9" w:rsidRDefault="00093A1E" w:rsidP="00093A1E">
      <w:pPr>
        <w:ind w:left="851"/>
        <w:rPr>
          <w:sz w:val="24"/>
          <w:szCs w:val="24"/>
        </w:rPr>
      </w:pPr>
    </w:p>
    <w:p w14:paraId="5425E8A2" w14:textId="77777777" w:rsidR="00093A1E" w:rsidRPr="00E400E9" w:rsidRDefault="00093A1E" w:rsidP="00093A1E">
      <w:pPr>
        <w:ind w:left="851"/>
        <w:rPr>
          <w:sz w:val="24"/>
          <w:szCs w:val="24"/>
        </w:rPr>
      </w:pPr>
      <w:r w:rsidRPr="00E400E9">
        <w:rPr>
          <w:sz w:val="24"/>
          <w:szCs w:val="24"/>
        </w:rPr>
        <w:t>Patienterne bør rådes til straks at søge lægehjælp, hvis der opstår synke-, tale- eller vejrtrækningsbesvær.</w:t>
      </w:r>
    </w:p>
    <w:p w14:paraId="4D5A7F9E" w14:textId="77777777" w:rsidR="00093A1E" w:rsidRPr="00E400E9" w:rsidRDefault="00093A1E" w:rsidP="00093A1E">
      <w:pPr>
        <w:ind w:left="851"/>
        <w:rPr>
          <w:sz w:val="24"/>
          <w:szCs w:val="24"/>
        </w:rPr>
      </w:pPr>
    </w:p>
    <w:p w14:paraId="23DEB867" w14:textId="77777777" w:rsidR="00093A1E" w:rsidRPr="00E400E9" w:rsidRDefault="00093A1E" w:rsidP="00093A1E">
      <w:pPr>
        <w:ind w:left="851"/>
        <w:rPr>
          <w:sz w:val="24"/>
          <w:szCs w:val="24"/>
          <w:u w:val="single"/>
        </w:rPr>
      </w:pPr>
      <w:r w:rsidRPr="00E400E9">
        <w:rPr>
          <w:sz w:val="24"/>
          <w:szCs w:val="24"/>
          <w:u w:val="single"/>
        </w:rPr>
        <w:t>Dannelse af antistoffer</w:t>
      </w:r>
    </w:p>
    <w:p w14:paraId="3254FF64" w14:textId="77777777" w:rsidR="00093A1E" w:rsidRPr="00E400E9" w:rsidRDefault="00093A1E" w:rsidP="00093A1E">
      <w:pPr>
        <w:ind w:left="851"/>
        <w:rPr>
          <w:sz w:val="24"/>
          <w:szCs w:val="24"/>
        </w:rPr>
      </w:pPr>
      <w:r w:rsidRPr="00E400E9">
        <w:rPr>
          <w:sz w:val="24"/>
          <w:szCs w:val="24"/>
        </w:rPr>
        <w:t xml:space="preserve">For hyppige eller for store doser kan øge risikoen for dannelse af antistoffer. Når der udvikles antistoffer, kan det medføre, at behandlingen med </w:t>
      </w:r>
      <w:proofErr w:type="spellStart"/>
      <w:r w:rsidRPr="00E400E9">
        <w:rPr>
          <w:sz w:val="24"/>
          <w:szCs w:val="24"/>
        </w:rPr>
        <w:t>botulinumtoksin</w:t>
      </w:r>
      <w:proofErr w:type="spellEnd"/>
      <w:r w:rsidRPr="00E400E9">
        <w:rPr>
          <w:sz w:val="24"/>
          <w:szCs w:val="24"/>
        </w:rPr>
        <w:t xml:space="preserve"> type A svigter, selv ved andre indikationer.</w:t>
      </w:r>
    </w:p>
    <w:p w14:paraId="01D66D1C" w14:textId="77777777" w:rsidR="00093A1E" w:rsidRPr="00E400E9" w:rsidRDefault="00093A1E" w:rsidP="00093A1E">
      <w:pPr>
        <w:ind w:left="851"/>
        <w:rPr>
          <w:sz w:val="24"/>
          <w:szCs w:val="24"/>
        </w:rPr>
      </w:pPr>
    </w:p>
    <w:p w14:paraId="1A246D1E" w14:textId="77777777" w:rsidR="00093A1E" w:rsidRPr="00E400E9" w:rsidRDefault="00093A1E" w:rsidP="00093A1E">
      <w:pPr>
        <w:ind w:left="851"/>
        <w:rPr>
          <w:rFonts w:eastAsia="SimSun"/>
          <w:sz w:val="24"/>
          <w:szCs w:val="24"/>
          <w:u w:val="single"/>
          <w:lang w:eastAsia="de-AT"/>
        </w:rPr>
      </w:pPr>
      <w:r w:rsidRPr="00E400E9">
        <w:rPr>
          <w:rFonts w:eastAsia="SimSun"/>
          <w:sz w:val="24"/>
          <w:szCs w:val="24"/>
          <w:u w:val="single"/>
        </w:rPr>
        <w:t>Blødningsforstyrrelser</w:t>
      </w:r>
    </w:p>
    <w:p w14:paraId="027AD63F" w14:textId="77777777" w:rsidR="00093A1E" w:rsidRPr="00E400E9" w:rsidRDefault="00093A1E" w:rsidP="00093A1E">
      <w:pPr>
        <w:ind w:left="851"/>
        <w:rPr>
          <w:sz w:val="24"/>
          <w:szCs w:val="24"/>
          <w:lang w:eastAsia="da-DK"/>
        </w:rPr>
      </w:pPr>
      <w:r w:rsidRPr="00E400E9">
        <w:rPr>
          <w:rFonts w:eastAsia="SimSun"/>
          <w:color w:val="000000"/>
          <w:sz w:val="24"/>
          <w:szCs w:val="24"/>
        </w:rPr>
        <w:t xml:space="preserve">Der skal udvises forsigtighed, når </w:t>
      </w:r>
      <w:proofErr w:type="spellStart"/>
      <w:r w:rsidRPr="00E400E9">
        <w:rPr>
          <w:sz w:val="24"/>
          <w:szCs w:val="24"/>
        </w:rPr>
        <w:t>Letybo</w:t>
      </w:r>
      <w:proofErr w:type="spellEnd"/>
      <w:r w:rsidRPr="00E400E9">
        <w:rPr>
          <w:rFonts w:eastAsia="SimSun"/>
          <w:color w:val="000000"/>
          <w:sz w:val="24"/>
          <w:szCs w:val="24"/>
        </w:rPr>
        <w:t xml:space="preserve"> anvendes til patienter med blødningsforstyrrelser, da injektionen kan give blå mærker.</w:t>
      </w:r>
    </w:p>
    <w:p w14:paraId="3D79D7CC" w14:textId="77777777" w:rsidR="00093A1E" w:rsidRPr="00E400E9" w:rsidRDefault="00093A1E" w:rsidP="00093A1E">
      <w:pPr>
        <w:ind w:left="851"/>
        <w:rPr>
          <w:sz w:val="24"/>
          <w:szCs w:val="24"/>
        </w:rPr>
      </w:pPr>
    </w:p>
    <w:p w14:paraId="06588DB3" w14:textId="77777777" w:rsidR="00093A1E" w:rsidRPr="00E400E9" w:rsidRDefault="00093A1E" w:rsidP="00093A1E">
      <w:pPr>
        <w:ind w:left="851"/>
        <w:rPr>
          <w:sz w:val="24"/>
          <w:szCs w:val="24"/>
        </w:rPr>
      </w:pPr>
      <w:r w:rsidRPr="00E400E9">
        <w:rPr>
          <w:sz w:val="24"/>
          <w:szCs w:val="24"/>
        </w:rPr>
        <w:t>Dette lægemiddel indeholder mindre end 1 mmol (23 mg) natrium pr. dosis, dvs. det er i det væsentlige natriumfrit.</w:t>
      </w:r>
    </w:p>
    <w:p w14:paraId="0E40B551" w14:textId="77777777" w:rsidR="00093A1E" w:rsidRPr="00E400E9" w:rsidRDefault="00093A1E" w:rsidP="00093A1E">
      <w:pPr>
        <w:ind w:left="851"/>
        <w:rPr>
          <w:sz w:val="24"/>
          <w:szCs w:val="24"/>
        </w:rPr>
      </w:pPr>
    </w:p>
    <w:p w14:paraId="63789B1F" w14:textId="77777777" w:rsidR="00093A1E" w:rsidRPr="00E400E9" w:rsidRDefault="00093A1E" w:rsidP="00093A1E">
      <w:pPr>
        <w:ind w:left="851"/>
        <w:rPr>
          <w:sz w:val="24"/>
          <w:szCs w:val="24"/>
          <w:u w:val="single"/>
        </w:rPr>
      </w:pPr>
      <w:r w:rsidRPr="00E400E9">
        <w:rPr>
          <w:sz w:val="24"/>
          <w:szCs w:val="24"/>
          <w:u w:val="single"/>
        </w:rPr>
        <w:t>Sporbarhed</w:t>
      </w:r>
    </w:p>
    <w:p w14:paraId="24E3E508" w14:textId="77777777" w:rsidR="00093A1E" w:rsidRPr="00E400E9" w:rsidRDefault="00093A1E" w:rsidP="00093A1E">
      <w:pPr>
        <w:ind w:left="851"/>
        <w:rPr>
          <w:sz w:val="24"/>
          <w:szCs w:val="24"/>
        </w:rPr>
      </w:pPr>
      <w:r w:rsidRPr="00E400E9">
        <w:rPr>
          <w:sz w:val="24"/>
          <w:szCs w:val="24"/>
        </w:rPr>
        <w:t>For at forbedre sporbarheden af biologiske lægemidler skal det administrerede produkts navn og batchnummer tydeligt registreres.</w:t>
      </w:r>
    </w:p>
    <w:p w14:paraId="4A4E5D7A" w14:textId="77777777" w:rsidR="009260DE" w:rsidRPr="00E400E9" w:rsidRDefault="009260DE" w:rsidP="009260DE">
      <w:pPr>
        <w:tabs>
          <w:tab w:val="left" w:pos="851"/>
        </w:tabs>
        <w:ind w:left="851"/>
        <w:rPr>
          <w:sz w:val="24"/>
          <w:szCs w:val="24"/>
        </w:rPr>
      </w:pPr>
    </w:p>
    <w:p w14:paraId="3B64FAAC" w14:textId="77777777" w:rsidR="009260DE" w:rsidRPr="00E400E9" w:rsidRDefault="009260DE" w:rsidP="009260DE">
      <w:pPr>
        <w:tabs>
          <w:tab w:val="left" w:pos="851"/>
        </w:tabs>
        <w:ind w:left="851" w:hanging="851"/>
        <w:rPr>
          <w:b/>
          <w:sz w:val="24"/>
          <w:szCs w:val="24"/>
        </w:rPr>
      </w:pPr>
      <w:r w:rsidRPr="00E400E9">
        <w:rPr>
          <w:b/>
          <w:sz w:val="24"/>
          <w:szCs w:val="24"/>
        </w:rPr>
        <w:t>4.5</w:t>
      </w:r>
      <w:r w:rsidRPr="00E400E9">
        <w:rPr>
          <w:b/>
          <w:sz w:val="24"/>
          <w:szCs w:val="24"/>
        </w:rPr>
        <w:tab/>
        <w:t>Interaktion med andre lægemidler og andre former for interaktion</w:t>
      </w:r>
    </w:p>
    <w:p w14:paraId="476AA37A" w14:textId="77777777" w:rsidR="00093A1E" w:rsidRPr="00E400E9" w:rsidRDefault="00093A1E" w:rsidP="00093A1E">
      <w:pPr>
        <w:ind w:left="851"/>
        <w:rPr>
          <w:sz w:val="24"/>
          <w:szCs w:val="24"/>
          <w:lang w:eastAsia="de-DE"/>
        </w:rPr>
      </w:pPr>
      <w:r w:rsidRPr="00E400E9">
        <w:rPr>
          <w:sz w:val="24"/>
          <w:szCs w:val="24"/>
        </w:rPr>
        <w:t>Der er ikke udført interaktionsstudier. Der er ikke rapporteret andre interaktioner af klinisk signifikans med denne indikation.</w:t>
      </w:r>
    </w:p>
    <w:p w14:paraId="610E6BD1" w14:textId="77777777" w:rsidR="00093A1E" w:rsidRPr="00E400E9" w:rsidRDefault="00093A1E" w:rsidP="00093A1E">
      <w:pPr>
        <w:ind w:left="851"/>
        <w:rPr>
          <w:noProof/>
          <w:sz w:val="24"/>
          <w:szCs w:val="24"/>
          <w:lang w:eastAsia="da-DK"/>
        </w:rPr>
      </w:pPr>
    </w:p>
    <w:p w14:paraId="014B0B5E" w14:textId="77777777" w:rsidR="00093A1E" w:rsidRPr="00E400E9" w:rsidRDefault="00093A1E" w:rsidP="00093A1E">
      <w:pPr>
        <w:ind w:left="851"/>
        <w:rPr>
          <w:sz w:val="24"/>
          <w:szCs w:val="24"/>
          <w:lang w:eastAsia="de-DE"/>
        </w:rPr>
      </w:pPr>
      <w:r w:rsidRPr="00E400E9">
        <w:rPr>
          <w:sz w:val="24"/>
          <w:szCs w:val="24"/>
        </w:rPr>
        <w:lastRenderedPageBreak/>
        <w:t xml:space="preserve">Teoretisk set kan virkningen af </w:t>
      </w:r>
      <w:proofErr w:type="spellStart"/>
      <w:r w:rsidRPr="00E400E9">
        <w:rPr>
          <w:sz w:val="24"/>
          <w:szCs w:val="24"/>
        </w:rPr>
        <w:t>botulinumtoksin</w:t>
      </w:r>
      <w:proofErr w:type="spellEnd"/>
      <w:r w:rsidRPr="00E400E9">
        <w:rPr>
          <w:sz w:val="24"/>
          <w:szCs w:val="24"/>
        </w:rPr>
        <w:t xml:space="preserve"> forstærkes af </w:t>
      </w:r>
      <w:proofErr w:type="spellStart"/>
      <w:r w:rsidRPr="00E400E9">
        <w:rPr>
          <w:sz w:val="24"/>
          <w:szCs w:val="24"/>
        </w:rPr>
        <w:t>aminoglycosid</w:t>
      </w:r>
      <w:proofErr w:type="spellEnd"/>
      <w:r w:rsidRPr="00E400E9">
        <w:rPr>
          <w:sz w:val="24"/>
          <w:szCs w:val="24"/>
        </w:rPr>
        <w:t>-antibiotika,</w:t>
      </w:r>
      <w:r w:rsidRPr="00E400E9">
        <w:rPr>
          <w:b/>
          <w:bCs/>
          <w:sz w:val="24"/>
          <w:szCs w:val="24"/>
        </w:rPr>
        <w:t xml:space="preserve"> </w:t>
      </w:r>
      <w:proofErr w:type="spellStart"/>
      <w:r w:rsidRPr="00E400E9">
        <w:rPr>
          <w:sz w:val="24"/>
          <w:szCs w:val="24"/>
        </w:rPr>
        <w:t>spectinomycin</w:t>
      </w:r>
      <w:proofErr w:type="spellEnd"/>
      <w:r w:rsidRPr="00E400E9">
        <w:rPr>
          <w:sz w:val="24"/>
          <w:szCs w:val="24"/>
        </w:rPr>
        <w:t xml:space="preserve"> eller andre lægemidler, der interfererer med </w:t>
      </w:r>
      <w:proofErr w:type="spellStart"/>
      <w:r w:rsidRPr="00E400E9">
        <w:rPr>
          <w:sz w:val="24"/>
          <w:szCs w:val="24"/>
        </w:rPr>
        <w:t>neuromuskulær</w:t>
      </w:r>
      <w:proofErr w:type="spellEnd"/>
      <w:r w:rsidRPr="00E400E9">
        <w:rPr>
          <w:sz w:val="24"/>
          <w:szCs w:val="24"/>
        </w:rPr>
        <w:t xml:space="preserve"> transmission (f.eks. </w:t>
      </w:r>
      <w:proofErr w:type="spellStart"/>
      <w:r w:rsidRPr="00E400E9">
        <w:rPr>
          <w:sz w:val="24"/>
          <w:szCs w:val="24"/>
        </w:rPr>
        <w:t>neuromuskulært</w:t>
      </w:r>
      <w:proofErr w:type="spellEnd"/>
      <w:r w:rsidRPr="00E400E9">
        <w:rPr>
          <w:sz w:val="24"/>
          <w:szCs w:val="24"/>
        </w:rPr>
        <w:t xml:space="preserve"> blokerende lægemidler).</w:t>
      </w:r>
    </w:p>
    <w:p w14:paraId="36FFD1D7" w14:textId="77777777" w:rsidR="00093A1E" w:rsidRPr="00E400E9" w:rsidRDefault="00093A1E" w:rsidP="00093A1E">
      <w:pPr>
        <w:ind w:left="851"/>
        <w:rPr>
          <w:sz w:val="24"/>
          <w:szCs w:val="24"/>
          <w:lang w:eastAsia="de-DE"/>
        </w:rPr>
      </w:pPr>
    </w:p>
    <w:p w14:paraId="0F2203E5" w14:textId="77777777" w:rsidR="00093A1E" w:rsidRPr="00E400E9" w:rsidRDefault="00093A1E" w:rsidP="00093A1E">
      <w:pPr>
        <w:ind w:left="851"/>
        <w:rPr>
          <w:sz w:val="24"/>
          <w:szCs w:val="24"/>
          <w:lang w:eastAsia="de-DE"/>
        </w:rPr>
      </w:pPr>
      <w:bookmarkStart w:id="1" w:name="_Hlk10545274"/>
      <w:r w:rsidRPr="00E400E9">
        <w:rPr>
          <w:sz w:val="24"/>
          <w:szCs w:val="24"/>
        </w:rPr>
        <w:t xml:space="preserve">Virkningen ved administration af forskellige </w:t>
      </w:r>
      <w:proofErr w:type="spellStart"/>
      <w:r w:rsidRPr="00E400E9">
        <w:rPr>
          <w:sz w:val="24"/>
          <w:szCs w:val="24"/>
        </w:rPr>
        <w:t>botulinumneurotoksin</w:t>
      </w:r>
      <w:r w:rsidRPr="00E400E9">
        <w:rPr>
          <w:sz w:val="24"/>
          <w:szCs w:val="24"/>
        </w:rPr>
        <w:noBreakHyphen/>
        <w:t>serotyper</w:t>
      </w:r>
      <w:proofErr w:type="spellEnd"/>
      <w:r w:rsidRPr="00E400E9">
        <w:rPr>
          <w:sz w:val="24"/>
          <w:szCs w:val="24"/>
        </w:rPr>
        <w:t xml:space="preserve"> samtidigt eller med flere måneders mellemrum er ikke kendt. Kraftig </w:t>
      </w:r>
      <w:proofErr w:type="spellStart"/>
      <w:r w:rsidRPr="00E400E9">
        <w:rPr>
          <w:sz w:val="24"/>
          <w:szCs w:val="24"/>
        </w:rPr>
        <w:t>neuromuskulær</w:t>
      </w:r>
      <w:proofErr w:type="spellEnd"/>
      <w:r w:rsidRPr="00E400E9">
        <w:rPr>
          <w:sz w:val="24"/>
          <w:szCs w:val="24"/>
        </w:rPr>
        <w:t xml:space="preserve"> svaghed kan forværres ved administration af et andet </w:t>
      </w:r>
      <w:proofErr w:type="spellStart"/>
      <w:r w:rsidRPr="00E400E9">
        <w:rPr>
          <w:sz w:val="24"/>
          <w:szCs w:val="24"/>
        </w:rPr>
        <w:t>botulinumtoksin</w:t>
      </w:r>
      <w:proofErr w:type="spellEnd"/>
      <w:r w:rsidRPr="00E400E9">
        <w:rPr>
          <w:sz w:val="24"/>
          <w:szCs w:val="24"/>
        </w:rPr>
        <w:t xml:space="preserve">, før virkningen af et tidligere administreret </w:t>
      </w:r>
      <w:proofErr w:type="spellStart"/>
      <w:r w:rsidRPr="00E400E9">
        <w:rPr>
          <w:sz w:val="24"/>
          <w:szCs w:val="24"/>
        </w:rPr>
        <w:t>botulinumtoksin</w:t>
      </w:r>
      <w:proofErr w:type="spellEnd"/>
      <w:r w:rsidRPr="00E400E9">
        <w:rPr>
          <w:sz w:val="24"/>
          <w:szCs w:val="24"/>
        </w:rPr>
        <w:t xml:space="preserve"> har fortaget sig.</w:t>
      </w:r>
    </w:p>
    <w:bookmarkEnd w:id="1"/>
    <w:p w14:paraId="6535146E" w14:textId="77777777" w:rsidR="009260DE" w:rsidRPr="00E400E9" w:rsidRDefault="009260DE" w:rsidP="009260DE">
      <w:pPr>
        <w:tabs>
          <w:tab w:val="left" w:pos="851"/>
        </w:tabs>
        <w:ind w:left="851"/>
        <w:rPr>
          <w:sz w:val="24"/>
          <w:szCs w:val="24"/>
        </w:rPr>
      </w:pPr>
    </w:p>
    <w:p w14:paraId="405DB560" w14:textId="1F8F7BF0" w:rsidR="009260DE" w:rsidRPr="00E400E9" w:rsidRDefault="009260DE" w:rsidP="009260DE">
      <w:pPr>
        <w:tabs>
          <w:tab w:val="left" w:pos="851"/>
        </w:tabs>
        <w:ind w:left="851" w:hanging="851"/>
        <w:rPr>
          <w:b/>
          <w:sz w:val="24"/>
          <w:szCs w:val="24"/>
        </w:rPr>
      </w:pPr>
      <w:r w:rsidRPr="00E400E9">
        <w:rPr>
          <w:b/>
          <w:sz w:val="24"/>
          <w:szCs w:val="24"/>
        </w:rPr>
        <w:t>4.6</w:t>
      </w:r>
      <w:r w:rsidRPr="00E400E9">
        <w:rPr>
          <w:b/>
          <w:sz w:val="24"/>
          <w:szCs w:val="24"/>
        </w:rPr>
        <w:tab/>
      </w:r>
      <w:r w:rsidR="001C7B69">
        <w:rPr>
          <w:b/>
          <w:sz w:val="24"/>
          <w:szCs w:val="24"/>
        </w:rPr>
        <w:t>Fertilitet, g</w:t>
      </w:r>
      <w:r w:rsidRPr="00E400E9">
        <w:rPr>
          <w:b/>
          <w:sz w:val="24"/>
          <w:szCs w:val="24"/>
        </w:rPr>
        <w:t>raviditet og amning</w:t>
      </w:r>
    </w:p>
    <w:p w14:paraId="7F5E143B" w14:textId="77777777" w:rsidR="00F37506" w:rsidRPr="00E400E9" w:rsidRDefault="00F37506" w:rsidP="00093A1E">
      <w:pPr>
        <w:ind w:left="851"/>
        <w:rPr>
          <w:sz w:val="24"/>
          <w:szCs w:val="24"/>
        </w:rPr>
      </w:pPr>
    </w:p>
    <w:p w14:paraId="0897257D" w14:textId="4671307D" w:rsidR="00093A1E" w:rsidRPr="00E400E9" w:rsidRDefault="00093A1E" w:rsidP="00093A1E">
      <w:pPr>
        <w:ind w:left="851"/>
        <w:rPr>
          <w:noProof/>
          <w:sz w:val="24"/>
          <w:szCs w:val="24"/>
          <w:u w:val="single"/>
          <w:lang w:eastAsia="da-DK"/>
        </w:rPr>
      </w:pPr>
      <w:r w:rsidRPr="00E400E9">
        <w:rPr>
          <w:sz w:val="24"/>
          <w:szCs w:val="24"/>
          <w:u w:val="single"/>
        </w:rPr>
        <w:t>Graviditet</w:t>
      </w:r>
    </w:p>
    <w:p w14:paraId="2985E01D" w14:textId="77777777" w:rsidR="00093A1E" w:rsidRPr="00E400E9" w:rsidRDefault="00093A1E" w:rsidP="00093A1E">
      <w:pPr>
        <w:ind w:left="851"/>
        <w:rPr>
          <w:sz w:val="24"/>
          <w:szCs w:val="24"/>
          <w:lang w:eastAsia="de-DE"/>
        </w:rPr>
      </w:pPr>
      <w:r w:rsidRPr="00E400E9">
        <w:rPr>
          <w:sz w:val="24"/>
          <w:szCs w:val="24"/>
        </w:rPr>
        <w:t xml:space="preserve">Der er utilstrækkelige data fra anvendelse af </w:t>
      </w:r>
      <w:proofErr w:type="spellStart"/>
      <w:r w:rsidRPr="00E400E9">
        <w:rPr>
          <w:sz w:val="24"/>
          <w:szCs w:val="24"/>
        </w:rPr>
        <w:t>botulinumtoksin</w:t>
      </w:r>
      <w:proofErr w:type="spellEnd"/>
      <w:r w:rsidRPr="00E400E9">
        <w:rPr>
          <w:sz w:val="24"/>
          <w:szCs w:val="24"/>
        </w:rPr>
        <w:t xml:space="preserve"> type A til gravide kvinder. Dyrestudier har påvist reproduktionstoksicitet ved høje doser (se pkt. 5.3). Den potentielle risiko for mennesker er ikke kendt. </w:t>
      </w:r>
      <w:proofErr w:type="spellStart"/>
      <w:r w:rsidRPr="00E400E9">
        <w:rPr>
          <w:sz w:val="24"/>
          <w:szCs w:val="24"/>
        </w:rPr>
        <w:t>Letybo</w:t>
      </w:r>
      <w:proofErr w:type="spellEnd"/>
      <w:r w:rsidRPr="00E400E9">
        <w:rPr>
          <w:sz w:val="24"/>
          <w:szCs w:val="24"/>
        </w:rPr>
        <w:t xml:space="preserve"> bør ikke anvendes under graviditet og til kvinder i den fertile alder, som ikke anvender sikker </w:t>
      </w:r>
      <w:proofErr w:type="spellStart"/>
      <w:r w:rsidRPr="00E400E9">
        <w:rPr>
          <w:sz w:val="24"/>
          <w:szCs w:val="24"/>
        </w:rPr>
        <w:t>kontraception</w:t>
      </w:r>
      <w:proofErr w:type="spellEnd"/>
      <w:r w:rsidRPr="00E400E9">
        <w:rPr>
          <w:sz w:val="24"/>
          <w:szCs w:val="24"/>
        </w:rPr>
        <w:t>.</w:t>
      </w:r>
    </w:p>
    <w:p w14:paraId="0FF378C1" w14:textId="77777777" w:rsidR="00093A1E" w:rsidRPr="00E400E9" w:rsidRDefault="00093A1E" w:rsidP="00093A1E">
      <w:pPr>
        <w:ind w:left="851"/>
        <w:rPr>
          <w:noProof/>
          <w:sz w:val="24"/>
          <w:szCs w:val="24"/>
          <w:lang w:eastAsia="da-DK"/>
        </w:rPr>
      </w:pPr>
    </w:p>
    <w:p w14:paraId="0A6C2AC8" w14:textId="77777777" w:rsidR="00093A1E" w:rsidRPr="00E400E9" w:rsidRDefault="00093A1E" w:rsidP="00093A1E">
      <w:pPr>
        <w:ind w:left="851"/>
        <w:rPr>
          <w:noProof/>
          <w:sz w:val="24"/>
          <w:szCs w:val="24"/>
          <w:u w:val="single"/>
        </w:rPr>
      </w:pPr>
      <w:r w:rsidRPr="00E400E9">
        <w:rPr>
          <w:sz w:val="24"/>
          <w:szCs w:val="24"/>
          <w:u w:val="single"/>
        </w:rPr>
        <w:t>Amning</w:t>
      </w:r>
    </w:p>
    <w:p w14:paraId="72B1E3A4" w14:textId="77777777" w:rsidR="00093A1E" w:rsidRPr="00E400E9" w:rsidRDefault="00093A1E" w:rsidP="00093A1E">
      <w:pPr>
        <w:ind w:left="851"/>
        <w:rPr>
          <w:noProof/>
          <w:sz w:val="24"/>
          <w:szCs w:val="24"/>
        </w:rPr>
      </w:pPr>
      <w:r w:rsidRPr="00E400E9">
        <w:rPr>
          <w:sz w:val="24"/>
          <w:szCs w:val="24"/>
        </w:rPr>
        <w:t xml:space="preserve">Det er ukendt, om </w:t>
      </w:r>
      <w:proofErr w:type="spellStart"/>
      <w:r w:rsidRPr="00E400E9">
        <w:rPr>
          <w:sz w:val="24"/>
          <w:szCs w:val="24"/>
        </w:rPr>
        <w:t>Letybo</w:t>
      </w:r>
      <w:proofErr w:type="spellEnd"/>
      <w:r w:rsidRPr="00E400E9">
        <w:rPr>
          <w:sz w:val="24"/>
          <w:szCs w:val="24"/>
        </w:rPr>
        <w:t xml:space="preserve"> udskilles i human mælk. </w:t>
      </w:r>
      <w:proofErr w:type="spellStart"/>
      <w:r w:rsidRPr="00E400E9">
        <w:rPr>
          <w:sz w:val="24"/>
          <w:szCs w:val="24"/>
        </w:rPr>
        <w:t>Letybo</w:t>
      </w:r>
      <w:proofErr w:type="spellEnd"/>
      <w:r w:rsidRPr="00E400E9">
        <w:rPr>
          <w:sz w:val="24"/>
          <w:szCs w:val="24"/>
        </w:rPr>
        <w:t xml:space="preserve"> bør ikke anvendes under amning.</w:t>
      </w:r>
    </w:p>
    <w:p w14:paraId="2D76F221" w14:textId="77777777" w:rsidR="00093A1E" w:rsidRPr="00E400E9" w:rsidRDefault="00093A1E" w:rsidP="00093A1E">
      <w:pPr>
        <w:ind w:left="851"/>
        <w:rPr>
          <w:noProof/>
          <w:sz w:val="24"/>
          <w:szCs w:val="24"/>
        </w:rPr>
      </w:pPr>
    </w:p>
    <w:p w14:paraId="4733B707" w14:textId="77777777" w:rsidR="00093A1E" w:rsidRPr="00E400E9" w:rsidRDefault="00093A1E" w:rsidP="00093A1E">
      <w:pPr>
        <w:ind w:left="851"/>
        <w:rPr>
          <w:noProof/>
          <w:sz w:val="24"/>
          <w:szCs w:val="24"/>
          <w:u w:val="single"/>
        </w:rPr>
      </w:pPr>
      <w:r w:rsidRPr="00E400E9">
        <w:rPr>
          <w:sz w:val="24"/>
          <w:szCs w:val="24"/>
          <w:u w:val="single"/>
        </w:rPr>
        <w:t>Fertilitet</w:t>
      </w:r>
    </w:p>
    <w:p w14:paraId="2601559F" w14:textId="77777777" w:rsidR="00093A1E" w:rsidRPr="00E400E9" w:rsidRDefault="00093A1E" w:rsidP="00093A1E">
      <w:pPr>
        <w:ind w:left="851"/>
        <w:rPr>
          <w:noProof/>
          <w:sz w:val="24"/>
          <w:szCs w:val="24"/>
        </w:rPr>
      </w:pPr>
      <w:r w:rsidRPr="00E400E9">
        <w:rPr>
          <w:sz w:val="24"/>
          <w:szCs w:val="24"/>
        </w:rPr>
        <w:t xml:space="preserve">Der er utilstrækkelige data om indvirkningen på fertilitet ved anvendelse af </w:t>
      </w:r>
      <w:proofErr w:type="spellStart"/>
      <w:r w:rsidRPr="00E400E9">
        <w:rPr>
          <w:sz w:val="24"/>
          <w:szCs w:val="24"/>
        </w:rPr>
        <w:t>botulinumtoksin</w:t>
      </w:r>
      <w:proofErr w:type="spellEnd"/>
      <w:r w:rsidRPr="00E400E9">
        <w:rPr>
          <w:sz w:val="24"/>
          <w:szCs w:val="24"/>
        </w:rPr>
        <w:t xml:space="preserve"> type A til kvinder i den fertile alder. Studier med han</w:t>
      </w:r>
      <w:r w:rsidRPr="00E400E9">
        <w:rPr>
          <w:sz w:val="24"/>
          <w:szCs w:val="24"/>
        </w:rPr>
        <w:noBreakHyphen/>
        <w:t xml:space="preserve"> og hunrotter har vist nedsat fertilitet (se pkt. 5.3).</w:t>
      </w:r>
    </w:p>
    <w:p w14:paraId="4009DF98" w14:textId="77777777" w:rsidR="009260DE" w:rsidRPr="00E400E9" w:rsidRDefault="009260DE" w:rsidP="009260DE">
      <w:pPr>
        <w:tabs>
          <w:tab w:val="left" w:pos="851"/>
        </w:tabs>
        <w:ind w:left="851"/>
        <w:rPr>
          <w:sz w:val="24"/>
          <w:szCs w:val="24"/>
        </w:rPr>
      </w:pPr>
    </w:p>
    <w:p w14:paraId="55D3AF39" w14:textId="7BB0AFD9" w:rsidR="009260DE" w:rsidRPr="00E400E9" w:rsidRDefault="009260DE" w:rsidP="009260DE">
      <w:pPr>
        <w:tabs>
          <w:tab w:val="left" w:pos="851"/>
        </w:tabs>
        <w:ind w:left="851" w:hanging="851"/>
        <w:rPr>
          <w:b/>
          <w:sz w:val="24"/>
          <w:szCs w:val="24"/>
        </w:rPr>
      </w:pPr>
      <w:r w:rsidRPr="00E400E9">
        <w:rPr>
          <w:b/>
          <w:sz w:val="24"/>
          <w:szCs w:val="24"/>
        </w:rPr>
        <w:t>4.7</w:t>
      </w:r>
      <w:r w:rsidRPr="00E400E9">
        <w:rPr>
          <w:b/>
          <w:sz w:val="24"/>
          <w:szCs w:val="24"/>
        </w:rPr>
        <w:tab/>
        <w:t>Virkning</w:t>
      </w:r>
      <w:r w:rsidR="001C7B69">
        <w:rPr>
          <w:b/>
          <w:sz w:val="24"/>
          <w:szCs w:val="24"/>
        </w:rPr>
        <w:t xml:space="preserve"> </w:t>
      </w:r>
      <w:r w:rsidRPr="00E400E9">
        <w:rPr>
          <w:b/>
          <w:sz w:val="24"/>
          <w:szCs w:val="24"/>
        </w:rPr>
        <w:t xml:space="preserve">på evnen til at føre motorkøretøj </w:t>
      </w:r>
      <w:r w:rsidR="001C7B69">
        <w:rPr>
          <w:b/>
          <w:sz w:val="24"/>
          <w:szCs w:val="24"/>
        </w:rPr>
        <w:t>og</w:t>
      </w:r>
      <w:r w:rsidRPr="00E400E9">
        <w:rPr>
          <w:b/>
          <w:sz w:val="24"/>
          <w:szCs w:val="24"/>
        </w:rPr>
        <w:t xml:space="preserve"> betjene maskiner</w:t>
      </w:r>
    </w:p>
    <w:p w14:paraId="28C859A1" w14:textId="77777777" w:rsidR="00093A1E" w:rsidRPr="00E400E9" w:rsidRDefault="00093A1E" w:rsidP="00093A1E">
      <w:pPr>
        <w:ind w:left="851"/>
        <w:rPr>
          <w:sz w:val="24"/>
          <w:szCs w:val="24"/>
        </w:rPr>
      </w:pPr>
      <w:r w:rsidRPr="00E400E9">
        <w:rPr>
          <w:sz w:val="24"/>
          <w:szCs w:val="24"/>
        </w:rPr>
        <w:t>Ikke mærkning.</w:t>
      </w:r>
    </w:p>
    <w:p w14:paraId="292331E2" w14:textId="77777777" w:rsidR="00093A1E" w:rsidRPr="00E400E9" w:rsidRDefault="00093A1E" w:rsidP="00093A1E">
      <w:pPr>
        <w:ind w:left="851"/>
        <w:rPr>
          <w:sz w:val="24"/>
          <w:szCs w:val="24"/>
        </w:rPr>
      </w:pPr>
    </w:p>
    <w:p w14:paraId="463D6E03" w14:textId="77777777" w:rsidR="00093A1E" w:rsidRPr="00E400E9" w:rsidRDefault="00093A1E" w:rsidP="00093A1E">
      <w:pPr>
        <w:ind w:left="851"/>
        <w:rPr>
          <w:noProof/>
          <w:sz w:val="24"/>
          <w:szCs w:val="24"/>
          <w:lang w:eastAsia="da-DK" w:bidi="da-DK"/>
        </w:rPr>
      </w:pPr>
      <w:r w:rsidRPr="00E400E9">
        <w:rPr>
          <w:sz w:val="24"/>
          <w:szCs w:val="24"/>
        </w:rPr>
        <w:t xml:space="preserve">Der er ikke udført studier af, hvordan evnen til at føre motorkøretøj og betjene maskiner påvirkes. </w:t>
      </w:r>
      <w:proofErr w:type="spellStart"/>
      <w:r w:rsidRPr="00E400E9">
        <w:rPr>
          <w:sz w:val="24"/>
          <w:szCs w:val="24"/>
        </w:rPr>
        <w:t>Botulinumtoksin</w:t>
      </w:r>
      <w:proofErr w:type="spellEnd"/>
      <w:r w:rsidRPr="00E400E9">
        <w:rPr>
          <w:sz w:val="24"/>
          <w:szCs w:val="24"/>
        </w:rPr>
        <w:t xml:space="preserve"> type A er imidlertid blevet forbundet med asteni, muskelsvaghed, svimmelhed og synsforstyrrelser, hvilket kan påvirke evnen til at føre motorkøretøj og betjene maskiner.</w:t>
      </w:r>
    </w:p>
    <w:p w14:paraId="5A4C115C" w14:textId="77777777" w:rsidR="009260DE" w:rsidRPr="00E400E9" w:rsidRDefault="009260DE" w:rsidP="009260DE">
      <w:pPr>
        <w:tabs>
          <w:tab w:val="left" w:pos="851"/>
        </w:tabs>
        <w:ind w:left="851"/>
        <w:rPr>
          <w:sz w:val="24"/>
          <w:szCs w:val="24"/>
        </w:rPr>
      </w:pPr>
    </w:p>
    <w:p w14:paraId="3342D61B" w14:textId="77777777" w:rsidR="009260DE" w:rsidRPr="00E400E9" w:rsidRDefault="009260DE" w:rsidP="009260DE">
      <w:pPr>
        <w:tabs>
          <w:tab w:val="left" w:pos="851"/>
        </w:tabs>
        <w:ind w:left="851" w:hanging="851"/>
        <w:rPr>
          <w:b/>
          <w:sz w:val="24"/>
          <w:szCs w:val="24"/>
        </w:rPr>
      </w:pPr>
      <w:r w:rsidRPr="00E400E9">
        <w:rPr>
          <w:b/>
          <w:sz w:val="24"/>
          <w:szCs w:val="24"/>
        </w:rPr>
        <w:t>4.8</w:t>
      </w:r>
      <w:r w:rsidRPr="00E400E9">
        <w:rPr>
          <w:b/>
          <w:sz w:val="24"/>
          <w:szCs w:val="24"/>
        </w:rPr>
        <w:tab/>
        <w:t>Bivirkninger</w:t>
      </w:r>
    </w:p>
    <w:p w14:paraId="1249A669" w14:textId="77777777" w:rsidR="00F37506" w:rsidRPr="00E400E9" w:rsidRDefault="00F37506" w:rsidP="00093A1E">
      <w:pPr>
        <w:ind w:left="851"/>
        <w:rPr>
          <w:sz w:val="24"/>
          <w:szCs w:val="24"/>
        </w:rPr>
      </w:pPr>
    </w:p>
    <w:p w14:paraId="46C2C13E" w14:textId="573B200E" w:rsidR="00093A1E" w:rsidRPr="00E400E9" w:rsidRDefault="00093A1E" w:rsidP="00093A1E">
      <w:pPr>
        <w:ind w:left="851"/>
        <w:rPr>
          <w:i/>
          <w:noProof/>
          <w:sz w:val="24"/>
          <w:szCs w:val="24"/>
          <w:u w:val="single"/>
          <w:lang w:eastAsia="da-DK"/>
        </w:rPr>
      </w:pPr>
      <w:r w:rsidRPr="00E400E9">
        <w:rPr>
          <w:i/>
          <w:sz w:val="24"/>
          <w:szCs w:val="24"/>
          <w:u w:val="single"/>
        </w:rPr>
        <w:t>Sammenfatning af sikkerhedsprofilen</w:t>
      </w:r>
    </w:p>
    <w:p w14:paraId="387C34DA" w14:textId="77777777" w:rsidR="00093A1E" w:rsidRPr="00E400E9" w:rsidRDefault="00093A1E" w:rsidP="00093A1E">
      <w:pPr>
        <w:ind w:left="851"/>
        <w:rPr>
          <w:noProof/>
          <w:sz w:val="24"/>
          <w:szCs w:val="24"/>
        </w:rPr>
      </w:pPr>
      <w:proofErr w:type="spellStart"/>
      <w:r w:rsidRPr="00E400E9">
        <w:rPr>
          <w:sz w:val="24"/>
          <w:szCs w:val="24"/>
        </w:rPr>
        <w:t>Letybo</w:t>
      </w:r>
      <w:proofErr w:type="spellEnd"/>
      <w:r w:rsidRPr="00E400E9">
        <w:rPr>
          <w:sz w:val="24"/>
          <w:szCs w:val="24"/>
        </w:rPr>
        <w:t xml:space="preserve"> sikkerhed blev vurderet i tre pivotale kliniske fase 3</w:t>
      </w:r>
      <w:r w:rsidRPr="00E400E9">
        <w:rPr>
          <w:sz w:val="24"/>
          <w:szCs w:val="24"/>
        </w:rPr>
        <w:noBreakHyphen/>
        <w:t>studier, der alle omfattede en placebokontrolleret del (cyklus 1) og en længerevarende forlængelsesdel (cyklus 2</w:t>
      </w:r>
      <w:r w:rsidRPr="00E400E9">
        <w:rPr>
          <w:sz w:val="24"/>
          <w:szCs w:val="24"/>
        </w:rPr>
        <w:noBreakHyphen/>
        <w:t xml:space="preserve">4), som dækkede en periode på op til et år og omfattede 1.162 patienter, som fik </w:t>
      </w:r>
      <w:proofErr w:type="spellStart"/>
      <w:r w:rsidRPr="00E400E9">
        <w:rPr>
          <w:sz w:val="24"/>
          <w:szCs w:val="24"/>
        </w:rPr>
        <w:t>Letybo</w:t>
      </w:r>
      <w:proofErr w:type="spellEnd"/>
      <w:r w:rsidRPr="00E400E9">
        <w:rPr>
          <w:sz w:val="24"/>
          <w:szCs w:val="24"/>
        </w:rPr>
        <w:t>. Derudover er understøttende data tilgængelige fra et fase 3</w:t>
      </w:r>
      <w:r w:rsidRPr="00E400E9">
        <w:rPr>
          <w:sz w:val="24"/>
          <w:szCs w:val="24"/>
        </w:rPr>
        <w:noBreakHyphen/>
        <w:t xml:space="preserve">studie af </w:t>
      </w:r>
      <w:proofErr w:type="spellStart"/>
      <w:r w:rsidRPr="00E400E9">
        <w:rPr>
          <w:sz w:val="24"/>
          <w:szCs w:val="24"/>
        </w:rPr>
        <w:t>glabellalinjer</w:t>
      </w:r>
      <w:proofErr w:type="spellEnd"/>
      <w:r w:rsidRPr="00E400E9">
        <w:rPr>
          <w:sz w:val="24"/>
          <w:szCs w:val="24"/>
        </w:rPr>
        <w:t>, som blev udført i Korea, samt data efter markedsføring.</w:t>
      </w:r>
    </w:p>
    <w:p w14:paraId="1004540F" w14:textId="77777777" w:rsidR="00093A1E" w:rsidRPr="00E400E9" w:rsidRDefault="00093A1E" w:rsidP="00093A1E">
      <w:pPr>
        <w:pStyle w:val="NormalWeb"/>
        <w:spacing w:before="0" w:beforeAutospacing="0" w:after="0" w:afterAutospacing="0"/>
        <w:ind w:left="851"/>
        <w:rPr>
          <w:noProof/>
        </w:rPr>
      </w:pPr>
    </w:p>
    <w:p w14:paraId="11197428" w14:textId="77777777" w:rsidR="00093A1E" w:rsidRPr="00E400E9" w:rsidRDefault="00093A1E" w:rsidP="00093A1E">
      <w:pPr>
        <w:pStyle w:val="NormalWeb"/>
        <w:spacing w:before="0" w:beforeAutospacing="0" w:after="0" w:afterAutospacing="0"/>
        <w:ind w:left="851"/>
      </w:pPr>
      <w:r w:rsidRPr="00E400E9">
        <w:t>Bivirkningerne kan være forbundet med studiemedicinen (</w:t>
      </w:r>
      <w:proofErr w:type="spellStart"/>
      <w:r w:rsidRPr="00E400E9">
        <w:t>Letybo</w:t>
      </w:r>
      <w:proofErr w:type="spellEnd"/>
      <w:r w:rsidRPr="00E400E9">
        <w:t xml:space="preserve">), injektionsproceduren eller begge dele. Generelt forekommer bivirkningerne inden for de første få dage efter injektion, og de er forbigående. De fleste rapporterede bivirkninger var af let til moderat sværhedsgrad. De hyppigste bivirkninger (rapporteret hos mindst 2 patienter, som blev behandlet med </w:t>
      </w:r>
      <w:proofErr w:type="spellStart"/>
      <w:r w:rsidRPr="00E400E9">
        <w:t>Letybo</w:t>
      </w:r>
      <w:proofErr w:type="spellEnd"/>
      <w:r w:rsidRPr="00E400E9">
        <w:t xml:space="preserve"> i cyklus 1) i de tre pivotale studier med </w:t>
      </w:r>
      <w:proofErr w:type="spellStart"/>
      <w:r w:rsidRPr="00E400E9">
        <w:t>Letybo</w:t>
      </w:r>
      <w:proofErr w:type="spellEnd"/>
      <w:r w:rsidRPr="00E400E9">
        <w:t xml:space="preserve"> i </w:t>
      </w:r>
      <w:proofErr w:type="spellStart"/>
      <w:r w:rsidRPr="00E400E9">
        <w:t>glabellalinjer</w:t>
      </w:r>
      <w:proofErr w:type="spellEnd"/>
      <w:r w:rsidRPr="00E400E9">
        <w:t xml:space="preserve"> var hovedpine (1,7 % af patienterne), smerter på injektionsstedet (0,3 % af patienterne) og </w:t>
      </w:r>
      <w:proofErr w:type="spellStart"/>
      <w:r w:rsidRPr="00E400E9">
        <w:t>øjenlågsptose</w:t>
      </w:r>
      <w:proofErr w:type="spellEnd"/>
      <w:r w:rsidRPr="00E400E9">
        <w:t xml:space="preserve">, </w:t>
      </w:r>
      <w:proofErr w:type="spellStart"/>
      <w:r w:rsidRPr="00E400E9">
        <w:t>blefarospasme</w:t>
      </w:r>
      <w:proofErr w:type="spellEnd"/>
      <w:r w:rsidRPr="00E400E9">
        <w:t>, ubehag i hovedet og kontusion (0,2 % af patienterne for hver bivirkning).</w:t>
      </w:r>
    </w:p>
    <w:p w14:paraId="1889D88F" w14:textId="77777777" w:rsidR="00093A1E" w:rsidRPr="00E400E9" w:rsidRDefault="00093A1E" w:rsidP="00093A1E">
      <w:pPr>
        <w:pStyle w:val="NormalWeb"/>
        <w:spacing w:before="0" w:beforeAutospacing="0" w:after="0" w:afterAutospacing="0"/>
        <w:ind w:left="851"/>
      </w:pPr>
    </w:p>
    <w:p w14:paraId="7B4597FF" w14:textId="77777777" w:rsidR="00093A1E" w:rsidRPr="00E400E9" w:rsidRDefault="00093A1E" w:rsidP="00093A1E">
      <w:pPr>
        <w:pStyle w:val="NormalWeb"/>
        <w:spacing w:before="0" w:beforeAutospacing="0" w:after="0" w:afterAutospacing="0"/>
        <w:ind w:left="851"/>
      </w:pPr>
      <w:r w:rsidRPr="00E400E9">
        <w:t xml:space="preserve">Lokale smerter, inflammation, </w:t>
      </w:r>
      <w:proofErr w:type="spellStart"/>
      <w:r w:rsidRPr="00E400E9">
        <w:t>paræstesi</w:t>
      </w:r>
      <w:proofErr w:type="spellEnd"/>
      <w:r w:rsidRPr="00E400E9">
        <w:t xml:space="preserve">, </w:t>
      </w:r>
      <w:proofErr w:type="spellStart"/>
      <w:r w:rsidRPr="00E400E9">
        <w:t>hypæstesi</w:t>
      </w:r>
      <w:proofErr w:type="spellEnd"/>
      <w:r w:rsidRPr="00E400E9">
        <w:t xml:space="preserve">, ømhed, hævelse/ødem, </w:t>
      </w:r>
      <w:proofErr w:type="spellStart"/>
      <w:r w:rsidRPr="00E400E9">
        <w:t>erytem</w:t>
      </w:r>
      <w:proofErr w:type="spellEnd"/>
      <w:r w:rsidRPr="00E400E9">
        <w:t xml:space="preserve">, lokal infektion, blødning og/eller blå mærker er blevet forbundet med injektionen. Feber og influenzasyndrom er også rapporteret efter injektioner med </w:t>
      </w:r>
      <w:proofErr w:type="spellStart"/>
      <w:r w:rsidRPr="00E400E9">
        <w:t>botulinumtoksin</w:t>
      </w:r>
      <w:proofErr w:type="spellEnd"/>
      <w:r w:rsidRPr="00E400E9">
        <w:t xml:space="preserve"> (se pkt. 4.4).</w:t>
      </w:r>
    </w:p>
    <w:p w14:paraId="37E51EBA" w14:textId="77777777" w:rsidR="00093A1E" w:rsidRPr="00E400E9" w:rsidRDefault="00093A1E" w:rsidP="00093A1E">
      <w:pPr>
        <w:pStyle w:val="NormalWeb"/>
        <w:spacing w:before="0" w:beforeAutospacing="0" w:after="0" w:afterAutospacing="0"/>
        <w:ind w:left="851"/>
      </w:pPr>
    </w:p>
    <w:p w14:paraId="6BD8A09B" w14:textId="77777777" w:rsidR="00093A1E" w:rsidRPr="00E400E9" w:rsidRDefault="00093A1E" w:rsidP="00093A1E">
      <w:pPr>
        <w:ind w:left="851"/>
        <w:rPr>
          <w:sz w:val="24"/>
          <w:szCs w:val="24"/>
        </w:rPr>
      </w:pPr>
      <w:r w:rsidRPr="00E400E9">
        <w:rPr>
          <w:sz w:val="24"/>
          <w:szCs w:val="24"/>
        </w:rPr>
        <w:t>Sammenfatning af bivirkninger i tabelform</w:t>
      </w:r>
    </w:p>
    <w:p w14:paraId="70964EBF" w14:textId="77777777" w:rsidR="00093A1E" w:rsidRPr="00E400E9" w:rsidRDefault="00093A1E" w:rsidP="00093A1E">
      <w:pPr>
        <w:ind w:left="851"/>
        <w:rPr>
          <w:sz w:val="24"/>
          <w:szCs w:val="24"/>
        </w:rPr>
      </w:pPr>
      <w:r w:rsidRPr="00E400E9">
        <w:rPr>
          <w:sz w:val="24"/>
          <w:szCs w:val="24"/>
        </w:rPr>
        <w:t>Nedenfor ses information om hyppigheden af bivirkninger baseret på klinisk erfaring. Hyppighedskategorierne er defineret som følger: meget almindelig (≥1/10); almindelig (≥1/100 til &lt;1/10); ikke almindelig (≥1/1.000 til &lt;1/100); sjælden (≥1/10.000 til &lt;1/1.000); meget sjælden (&lt;1/10.000).</w:t>
      </w:r>
    </w:p>
    <w:p w14:paraId="5157D9B7" w14:textId="77777777" w:rsidR="00093A1E" w:rsidRPr="00E400E9" w:rsidRDefault="00093A1E" w:rsidP="00F37506">
      <w:pPr>
        <w:rPr>
          <w:sz w:val="24"/>
          <w:szCs w:val="24"/>
        </w:rPr>
      </w:pPr>
    </w:p>
    <w:p w14:paraId="7DE2ABF9" w14:textId="77777777" w:rsidR="001C7B69" w:rsidRPr="00E400E9" w:rsidRDefault="001C7B69" w:rsidP="001C7B69">
      <w:pPr>
        <w:rPr>
          <w:noProof/>
          <w:sz w:val="24"/>
          <w:szCs w:val="24"/>
        </w:rPr>
      </w:pPr>
      <w:r w:rsidRPr="00E400E9">
        <w:rPr>
          <w:rFonts w:eastAsia="SimSun"/>
          <w:b/>
          <w:sz w:val="24"/>
          <w:szCs w:val="24"/>
        </w:rPr>
        <w:t xml:space="preserve">Tabel 1: Bivirkninger rapporteret i kliniske studier og studier efter markedsføring efter administration af </w:t>
      </w:r>
      <w:proofErr w:type="spellStart"/>
      <w:r w:rsidRPr="00E400E9">
        <w:rPr>
          <w:rFonts w:eastAsia="SimSun"/>
          <w:b/>
          <w:sz w:val="24"/>
          <w:szCs w:val="24"/>
        </w:rPr>
        <w:t>Letybo</w:t>
      </w:r>
      <w:proofErr w:type="spellEnd"/>
      <w:r w:rsidRPr="00E400E9">
        <w:rPr>
          <w:rFonts w:eastAsia="SimSun"/>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0"/>
        <w:gridCol w:w="1350"/>
        <w:gridCol w:w="4998"/>
      </w:tblGrid>
      <w:tr w:rsidR="001C7B69" w:rsidRPr="00E400E9" w14:paraId="6A38A4F3" w14:textId="77777777" w:rsidTr="00BB2340">
        <w:trPr>
          <w:tblHeader/>
        </w:trPr>
        <w:tc>
          <w:tcPr>
            <w:tcW w:w="1709" w:type="pct"/>
            <w:tcBorders>
              <w:top w:val="single" w:sz="4" w:space="0" w:color="auto"/>
              <w:left w:val="single" w:sz="4" w:space="0" w:color="auto"/>
              <w:bottom w:val="single" w:sz="4" w:space="0" w:color="auto"/>
              <w:right w:val="single" w:sz="4" w:space="0" w:color="auto"/>
            </w:tcBorders>
            <w:hideMark/>
          </w:tcPr>
          <w:p w14:paraId="7BEC6744" w14:textId="77777777" w:rsidR="001C7B69" w:rsidRPr="00E400E9" w:rsidRDefault="001C7B69" w:rsidP="00BB2340">
            <w:pPr>
              <w:rPr>
                <w:b/>
                <w:noProof/>
                <w:sz w:val="24"/>
                <w:szCs w:val="24"/>
              </w:rPr>
            </w:pPr>
            <w:bookmarkStart w:id="2" w:name="_Hlk10039810"/>
            <w:r w:rsidRPr="00E400E9">
              <w:rPr>
                <w:b/>
                <w:sz w:val="24"/>
                <w:szCs w:val="24"/>
              </w:rPr>
              <w:t>Systemorganklassifikation</w:t>
            </w:r>
          </w:p>
        </w:tc>
        <w:tc>
          <w:tcPr>
            <w:tcW w:w="690" w:type="pct"/>
            <w:tcBorders>
              <w:top w:val="single" w:sz="4" w:space="0" w:color="auto"/>
              <w:left w:val="single" w:sz="4" w:space="0" w:color="auto"/>
              <w:bottom w:val="single" w:sz="4" w:space="0" w:color="auto"/>
              <w:right w:val="single" w:sz="4" w:space="0" w:color="auto"/>
            </w:tcBorders>
            <w:hideMark/>
          </w:tcPr>
          <w:p w14:paraId="374286A0" w14:textId="77777777" w:rsidR="001C7B69" w:rsidRPr="00E400E9" w:rsidRDefault="001C7B69" w:rsidP="00BB2340">
            <w:pPr>
              <w:rPr>
                <w:b/>
                <w:noProof/>
                <w:sz w:val="24"/>
                <w:szCs w:val="24"/>
              </w:rPr>
            </w:pPr>
            <w:r w:rsidRPr="00E400E9">
              <w:rPr>
                <w:b/>
                <w:sz w:val="24"/>
                <w:szCs w:val="24"/>
              </w:rPr>
              <w:t>Hyppighed</w:t>
            </w:r>
          </w:p>
        </w:tc>
        <w:tc>
          <w:tcPr>
            <w:tcW w:w="2601" w:type="pct"/>
            <w:tcBorders>
              <w:top w:val="single" w:sz="4" w:space="0" w:color="auto"/>
              <w:left w:val="single" w:sz="4" w:space="0" w:color="auto"/>
              <w:bottom w:val="single" w:sz="4" w:space="0" w:color="auto"/>
              <w:right w:val="single" w:sz="4" w:space="0" w:color="auto"/>
            </w:tcBorders>
            <w:hideMark/>
          </w:tcPr>
          <w:p w14:paraId="0E3389C3" w14:textId="77777777" w:rsidR="001C7B69" w:rsidRPr="00E400E9" w:rsidRDefault="001C7B69" w:rsidP="00BB2340">
            <w:pPr>
              <w:rPr>
                <w:b/>
                <w:noProof/>
                <w:sz w:val="24"/>
                <w:szCs w:val="24"/>
              </w:rPr>
            </w:pPr>
            <w:r w:rsidRPr="00E400E9">
              <w:rPr>
                <w:b/>
                <w:sz w:val="24"/>
                <w:szCs w:val="24"/>
              </w:rPr>
              <w:t>Bivirkning</w:t>
            </w:r>
          </w:p>
        </w:tc>
      </w:tr>
      <w:tr w:rsidR="001C7B69" w:rsidRPr="00E400E9" w14:paraId="4CE9D8F1" w14:textId="77777777" w:rsidTr="00BB2340">
        <w:trPr>
          <w:trHeight w:val="252"/>
        </w:trPr>
        <w:tc>
          <w:tcPr>
            <w:tcW w:w="1709" w:type="pct"/>
            <w:tcBorders>
              <w:top w:val="single" w:sz="4" w:space="0" w:color="auto"/>
              <w:left w:val="single" w:sz="4" w:space="0" w:color="auto"/>
              <w:bottom w:val="nil"/>
              <w:right w:val="single" w:sz="4" w:space="0" w:color="auto"/>
            </w:tcBorders>
            <w:hideMark/>
          </w:tcPr>
          <w:p w14:paraId="1A1CF770" w14:textId="77777777" w:rsidR="001C7B69" w:rsidRPr="00E400E9" w:rsidRDefault="001C7B69" w:rsidP="00BB2340">
            <w:pPr>
              <w:rPr>
                <w:noProof/>
                <w:sz w:val="24"/>
                <w:szCs w:val="24"/>
              </w:rPr>
            </w:pPr>
            <w:r w:rsidRPr="00E400E9">
              <w:rPr>
                <w:sz w:val="24"/>
                <w:szCs w:val="24"/>
              </w:rPr>
              <w:t>Infektioner og parasitære sygdomme</w:t>
            </w:r>
          </w:p>
        </w:tc>
        <w:tc>
          <w:tcPr>
            <w:tcW w:w="690" w:type="pct"/>
            <w:tcBorders>
              <w:top w:val="single" w:sz="4" w:space="0" w:color="auto"/>
              <w:left w:val="single" w:sz="4" w:space="0" w:color="auto"/>
              <w:bottom w:val="single" w:sz="4" w:space="0" w:color="auto"/>
              <w:right w:val="single" w:sz="4" w:space="0" w:color="auto"/>
            </w:tcBorders>
            <w:hideMark/>
          </w:tcPr>
          <w:p w14:paraId="644D5283" w14:textId="77777777" w:rsidR="001C7B69" w:rsidRPr="00E400E9" w:rsidRDefault="001C7B69" w:rsidP="00BB2340">
            <w:pPr>
              <w:rPr>
                <w:noProof/>
                <w:sz w:val="24"/>
                <w:szCs w:val="24"/>
              </w:rPr>
            </w:pPr>
            <w:r w:rsidRPr="00E400E9">
              <w:rPr>
                <w:sz w:val="24"/>
                <w:szCs w:val="24"/>
              </w:rPr>
              <w:t>ikke almindelig</w:t>
            </w:r>
          </w:p>
        </w:tc>
        <w:tc>
          <w:tcPr>
            <w:tcW w:w="2601" w:type="pct"/>
            <w:tcBorders>
              <w:top w:val="single" w:sz="4" w:space="0" w:color="auto"/>
              <w:left w:val="single" w:sz="4" w:space="0" w:color="auto"/>
              <w:bottom w:val="single" w:sz="4" w:space="0" w:color="auto"/>
              <w:right w:val="single" w:sz="4" w:space="0" w:color="auto"/>
            </w:tcBorders>
            <w:hideMark/>
          </w:tcPr>
          <w:p w14:paraId="056348BB" w14:textId="77777777" w:rsidR="001C7B69" w:rsidRPr="00E400E9" w:rsidRDefault="001C7B69" w:rsidP="00BB2340">
            <w:pPr>
              <w:rPr>
                <w:noProof/>
                <w:sz w:val="24"/>
                <w:szCs w:val="24"/>
              </w:rPr>
            </w:pPr>
            <w:proofErr w:type="spellStart"/>
            <w:r w:rsidRPr="00E400E9">
              <w:rPr>
                <w:sz w:val="24"/>
                <w:szCs w:val="24"/>
              </w:rPr>
              <w:t>nasofaryngitis</w:t>
            </w:r>
            <w:proofErr w:type="spellEnd"/>
          </w:p>
        </w:tc>
      </w:tr>
      <w:tr w:rsidR="001C7B69" w:rsidRPr="00E400E9" w14:paraId="519783CC" w14:textId="77777777" w:rsidTr="00BB2340">
        <w:trPr>
          <w:trHeight w:val="392"/>
        </w:trPr>
        <w:tc>
          <w:tcPr>
            <w:tcW w:w="1709" w:type="pct"/>
            <w:tcBorders>
              <w:top w:val="nil"/>
              <w:left w:val="single" w:sz="4" w:space="0" w:color="auto"/>
              <w:bottom w:val="single" w:sz="4" w:space="0" w:color="auto"/>
              <w:right w:val="single" w:sz="4" w:space="0" w:color="auto"/>
            </w:tcBorders>
          </w:tcPr>
          <w:p w14:paraId="4234796E" w14:textId="77777777" w:rsidR="001C7B69" w:rsidRPr="00E400E9" w:rsidRDefault="001C7B69" w:rsidP="00BB2340">
            <w:pPr>
              <w:rPr>
                <w:noProof/>
                <w:sz w:val="24"/>
                <w:szCs w:val="24"/>
              </w:rPr>
            </w:pPr>
          </w:p>
        </w:tc>
        <w:tc>
          <w:tcPr>
            <w:tcW w:w="690" w:type="pct"/>
            <w:tcBorders>
              <w:top w:val="single" w:sz="4" w:space="0" w:color="auto"/>
              <w:left w:val="single" w:sz="4" w:space="0" w:color="auto"/>
              <w:bottom w:val="single" w:sz="4" w:space="0" w:color="auto"/>
              <w:right w:val="single" w:sz="4" w:space="0" w:color="auto"/>
            </w:tcBorders>
            <w:hideMark/>
          </w:tcPr>
          <w:p w14:paraId="72234FAB" w14:textId="77777777" w:rsidR="001C7B69" w:rsidRPr="00E400E9" w:rsidRDefault="001C7B69" w:rsidP="00BB2340">
            <w:pPr>
              <w:rPr>
                <w:noProof/>
                <w:sz w:val="24"/>
                <w:szCs w:val="24"/>
              </w:rPr>
            </w:pPr>
            <w:r w:rsidRPr="00E400E9">
              <w:rPr>
                <w:sz w:val="24"/>
                <w:szCs w:val="24"/>
              </w:rPr>
              <w:t>sjælden</w:t>
            </w:r>
          </w:p>
        </w:tc>
        <w:tc>
          <w:tcPr>
            <w:tcW w:w="2601" w:type="pct"/>
            <w:tcBorders>
              <w:top w:val="single" w:sz="4" w:space="0" w:color="auto"/>
              <w:left w:val="single" w:sz="4" w:space="0" w:color="auto"/>
              <w:bottom w:val="single" w:sz="4" w:space="0" w:color="auto"/>
              <w:right w:val="single" w:sz="4" w:space="0" w:color="auto"/>
            </w:tcBorders>
            <w:hideMark/>
          </w:tcPr>
          <w:p w14:paraId="4FB443BD" w14:textId="77777777" w:rsidR="001C7B69" w:rsidRPr="00E400E9" w:rsidRDefault="001C7B69" w:rsidP="00BB2340">
            <w:pPr>
              <w:rPr>
                <w:noProof/>
                <w:sz w:val="24"/>
                <w:szCs w:val="24"/>
              </w:rPr>
            </w:pPr>
            <w:r w:rsidRPr="00E400E9">
              <w:rPr>
                <w:sz w:val="24"/>
                <w:szCs w:val="24"/>
              </w:rPr>
              <w:t xml:space="preserve">oral herpes, </w:t>
            </w:r>
            <w:proofErr w:type="spellStart"/>
            <w:r w:rsidRPr="00E400E9">
              <w:rPr>
                <w:sz w:val="24"/>
                <w:szCs w:val="24"/>
              </w:rPr>
              <w:t>follikulitis</w:t>
            </w:r>
            <w:proofErr w:type="spellEnd"/>
            <w:r w:rsidRPr="00E400E9">
              <w:rPr>
                <w:sz w:val="24"/>
                <w:szCs w:val="24"/>
              </w:rPr>
              <w:t>*</w:t>
            </w:r>
          </w:p>
        </w:tc>
      </w:tr>
      <w:tr w:rsidR="001C7B69" w:rsidRPr="00E400E9" w14:paraId="7D7287AC" w14:textId="77777777" w:rsidTr="00BB2340">
        <w:trPr>
          <w:trHeight w:val="146"/>
        </w:trPr>
        <w:tc>
          <w:tcPr>
            <w:tcW w:w="1709" w:type="pct"/>
            <w:vMerge w:val="restart"/>
            <w:tcBorders>
              <w:top w:val="single" w:sz="4" w:space="0" w:color="auto"/>
              <w:left w:val="single" w:sz="4" w:space="0" w:color="auto"/>
              <w:bottom w:val="single" w:sz="4" w:space="0" w:color="auto"/>
              <w:right w:val="single" w:sz="4" w:space="0" w:color="auto"/>
            </w:tcBorders>
            <w:hideMark/>
          </w:tcPr>
          <w:p w14:paraId="3CA816A8" w14:textId="77777777" w:rsidR="001C7B69" w:rsidRPr="00E400E9" w:rsidRDefault="001C7B69" w:rsidP="00BB2340">
            <w:pPr>
              <w:rPr>
                <w:noProof/>
                <w:sz w:val="24"/>
                <w:szCs w:val="24"/>
              </w:rPr>
            </w:pPr>
            <w:r w:rsidRPr="00E400E9">
              <w:rPr>
                <w:sz w:val="24"/>
                <w:szCs w:val="24"/>
              </w:rPr>
              <w:t>Nervesystemet</w:t>
            </w:r>
          </w:p>
        </w:tc>
        <w:tc>
          <w:tcPr>
            <w:tcW w:w="690" w:type="pct"/>
            <w:tcBorders>
              <w:top w:val="single" w:sz="4" w:space="0" w:color="auto"/>
              <w:left w:val="single" w:sz="4" w:space="0" w:color="auto"/>
              <w:bottom w:val="single" w:sz="4" w:space="0" w:color="auto"/>
              <w:right w:val="single" w:sz="4" w:space="0" w:color="auto"/>
            </w:tcBorders>
            <w:hideMark/>
          </w:tcPr>
          <w:p w14:paraId="1779F3F0" w14:textId="77777777" w:rsidR="001C7B69" w:rsidRPr="00E400E9" w:rsidRDefault="001C7B69" w:rsidP="00BB2340">
            <w:pPr>
              <w:rPr>
                <w:noProof/>
                <w:sz w:val="24"/>
                <w:szCs w:val="24"/>
              </w:rPr>
            </w:pPr>
            <w:r w:rsidRPr="00E400E9">
              <w:rPr>
                <w:sz w:val="24"/>
                <w:szCs w:val="24"/>
              </w:rPr>
              <w:t>almindelig</w:t>
            </w:r>
          </w:p>
        </w:tc>
        <w:tc>
          <w:tcPr>
            <w:tcW w:w="2601" w:type="pct"/>
            <w:tcBorders>
              <w:top w:val="single" w:sz="4" w:space="0" w:color="auto"/>
              <w:left w:val="single" w:sz="4" w:space="0" w:color="auto"/>
              <w:bottom w:val="single" w:sz="4" w:space="0" w:color="auto"/>
              <w:right w:val="single" w:sz="4" w:space="0" w:color="auto"/>
            </w:tcBorders>
            <w:hideMark/>
          </w:tcPr>
          <w:p w14:paraId="3C900DE9" w14:textId="77777777" w:rsidR="001C7B69" w:rsidRPr="00E400E9" w:rsidRDefault="001C7B69" w:rsidP="00BB2340">
            <w:pPr>
              <w:rPr>
                <w:noProof/>
                <w:sz w:val="24"/>
                <w:szCs w:val="24"/>
              </w:rPr>
            </w:pPr>
            <w:r w:rsidRPr="00E400E9">
              <w:rPr>
                <w:sz w:val="24"/>
                <w:szCs w:val="24"/>
              </w:rPr>
              <w:t>hovedpine</w:t>
            </w:r>
          </w:p>
        </w:tc>
      </w:tr>
      <w:tr w:rsidR="001C7B69" w:rsidRPr="00E400E9" w14:paraId="0AC8E30D" w14:textId="77777777" w:rsidTr="00BB2340">
        <w:trPr>
          <w:trHeight w:val="70"/>
        </w:trPr>
        <w:tc>
          <w:tcPr>
            <w:tcW w:w="1709" w:type="pct"/>
            <w:vMerge/>
            <w:tcBorders>
              <w:top w:val="single" w:sz="4" w:space="0" w:color="auto"/>
              <w:left w:val="single" w:sz="4" w:space="0" w:color="auto"/>
              <w:bottom w:val="single" w:sz="4" w:space="0" w:color="auto"/>
              <w:right w:val="single" w:sz="4" w:space="0" w:color="auto"/>
            </w:tcBorders>
            <w:vAlign w:val="center"/>
            <w:hideMark/>
          </w:tcPr>
          <w:p w14:paraId="2DCBBE22" w14:textId="77777777" w:rsidR="001C7B69" w:rsidRPr="00E400E9" w:rsidRDefault="001C7B69" w:rsidP="00BB2340">
            <w:pPr>
              <w:rPr>
                <w:noProof/>
                <w:sz w:val="24"/>
                <w:szCs w:val="24"/>
                <w:lang w:bidi="da-DK"/>
              </w:rPr>
            </w:pPr>
          </w:p>
        </w:tc>
        <w:tc>
          <w:tcPr>
            <w:tcW w:w="690" w:type="pct"/>
            <w:tcBorders>
              <w:top w:val="single" w:sz="4" w:space="0" w:color="auto"/>
              <w:left w:val="single" w:sz="4" w:space="0" w:color="auto"/>
              <w:bottom w:val="single" w:sz="4" w:space="0" w:color="auto"/>
              <w:right w:val="single" w:sz="4" w:space="0" w:color="auto"/>
            </w:tcBorders>
            <w:hideMark/>
          </w:tcPr>
          <w:p w14:paraId="7C49E083" w14:textId="77777777" w:rsidR="001C7B69" w:rsidRPr="00E400E9" w:rsidRDefault="001C7B69" w:rsidP="00BB2340">
            <w:pPr>
              <w:rPr>
                <w:noProof/>
                <w:sz w:val="24"/>
                <w:szCs w:val="24"/>
              </w:rPr>
            </w:pPr>
            <w:r w:rsidRPr="00E400E9">
              <w:rPr>
                <w:sz w:val="24"/>
                <w:szCs w:val="24"/>
              </w:rPr>
              <w:t>ikke almindelig</w:t>
            </w:r>
          </w:p>
        </w:tc>
        <w:tc>
          <w:tcPr>
            <w:tcW w:w="2601" w:type="pct"/>
            <w:tcBorders>
              <w:top w:val="single" w:sz="4" w:space="0" w:color="auto"/>
              <w:left w:val="single" w:sz="4" w:space="0" w:color="auto"/>
              <w:bottom w:val="single" w:sz="4" w:space="0" w:color="auto"/>
              <w:right w:val="single" w:sz="4" w:space="0" w:color="auto"/>
            </w:tcBorders>
            <w:hideMark/>
          </w:tcPr>
          <w:p w14:paraId="3936EA57" w14:textId="77777777" w:rsidR="001C7B69" w:rsidRPr="00E400E9" w:rsidRDefault="001C7B69" w:rsidP="00BB2340">
            <w:pPr>
              <w:rPr>
                <w:noProof/>
                <w:sz w:val="24"/>
                <w:szCs w:val="24"/>
              </w:rPr>
            </w:pPr>
            <w:r w:rsidRPr="00E400E9">
              <w:rPr>
                <w:sz w:val="24"/>
                <w:szCs w:val="24"/>
              </w:rPr>
              <w:t>ubehag i hovedet*</w:t>
            </w:r>
          </w:p>
        </w:tc>
      </w:tr>
      <w:tr w:rsidR="001C7B69" w:rsidRPr="00E400E9" w14:paraId="05CD92F7" w14:textId="77777777" w:rsidTr="00BB2340">
        <w:tc>
          <w:tcPr>
            <w:tcW w:w="1709" w:type="pct"/>
            <w:vMerge/>
            <w:tcBorders>
              <w:top w:val="single" w:sz="4" w:space="0" w:color="auto"/>
              <w:left w:val="single" w:sz="4" w:space="0" w:color="auto"/>
              <w:bottom w:val="single" w:sz="4" w:space="0" w:color="auto"/>
              <w:right w:val="single" w:sz="4" w:space="0" w:color="auto"/>
            </w:tcBorders>
            <w:vAlign w:val="center"/>
            <w:hideMark/>
          </w:tcPr>
          <w:p w14:paraId="57BB1C39" w14:textId="77777777" w:rsidR="001C7B69" w:rsidRPr="00E400E9" w:rsidRDefault="001C7B69" w:rsidP="00BB2340">
            <w:pPr>
              <w:rPr>
                <w:noProof/>
                <w:sz w:val="24"/>
                <w:szCs w:val="24"/>
                <w:lang w:bidi="da-DK"/>
              </w:rPr>
            </w:pPr>
          </w:p>
        </w:tc>
        <w:tc>
          <w:tcPr>
            <w:tcW w:w="690" w:type="pct"/>
            <w:tcBorders>
              <w:top w:val="single" w:sz="4" w:space="0" w:color="auto"/>
              <w:left w:val="single" w:sz="4" w:space="0" w:color="auto"/>
              <w:bottom w:val="single" w:sz="4" w:space="0" w:color="auto"/>
              <w:right w:val="single" w:sz="4" w:space="0" w:color="auto"/>
            </w:tcBorders>
            <w:hideMark/>
          </w:tcPr>
          <w:p w14:paraId="4036A0E1" w14:textId="77777777" w:rsidR="001C7B69" w:rsidRPr="00E400E9" w:rsidRDefault="001C7B69" w:rsidP="00BB2340">
            <w:pPr>
              <w:rPr>
                <w:noProof/>
                <w:sz w:val="24"/>
                <w:szCs w:val="24"/>
              </w:rPr>
            </w:pPr>
            <w:r w:rsidRPr="00E400E9">
              <w:rPr>
                <w:sz w:val="24"/>
                <w:szCs w:val="24"/>
              </w:rPr>
              <w:t>sjælden</w:t>
            </w:r>
          </w:p>
        </w:tc>
        <w:tc>
          <w:tcPr>
            <w:tcW w:w="2601" w:type="pct"/>
            <w:tcBorders>
              <w:top w:val="single" w:sz="4" w:space="0" w:color="auto"/>
              <w:left w:val="single" w:sz="4" w:space="0" w:color="auto"/>
              <w:bottom w:val="single" w:sz="4" w:space="0" w:color="auto"/>
              <w:right w:val="single" w:sz="4" w:space="0" w:color="auto"/>
            </w:tcBorders>
            <w:hideMark/>
          </w:tcPr>
          <w:p w14:paraId="0AC6C057" w14:textId="77777777" w:rsidR="001C7B69" w:rsidRPr="00E400E9" w:rsidRDefault="001C7B69" w:rsidP="00BB2340">
            <w:pPr>
              <w:rPr>
                <w:noProof/>
                <w:sz w:val="24"/>
                <w:szCs w:val="24"/>
              </w:rPr>
            </w:pPr>
            <w:r w:rsidRPr="00E400E9">
              <w:rPr>
                <w:sz w:val="24"/>
                <w:szCs w:val="24"/>
              </w:rPr>
              <w:t xml:space="preserve">migræne, svimmelhed, </w:t>
            </w:r>
            <w:proofErr w:type="spellStart"/>
            <w:r w:rsidRPr="00E400E9">
              <w:rPr>
                <w:sz w:val="24"/>
                <w:szCs w:val="24"/>
              </w:rPr>
              <w:t>paræstesi</w:t>
            </w:r>
            <w:proofErr w:type="spellEnd"/>
            <w:r w:rsidRPr="00E400E9">
              <w:rPr>
                <w:sz w:val="24"/>
                <w:szCs w:val="24"/>
              </w:rPr>
              <w:t xml:space="preserve">, synsfeltdefekt, </w:t>
            </w:r>
            <w:proofErr w:type="spellStart"/>
            <w:r w:rsidRPr="00E400E9">
              <w:rPr>
                <w:sz w:val="24"/>
                <w:szCs w:val="24"/>
              </w:rPr>
              <w:t>dysartri</w:t>
            </w:r>
            <w:proofErr w:type="spellEnd"/>
            <w:r w:rsidRPr="00E400E9">
              <w:rPr>
                <w:sz w:val="24"/>
                <w:szCs w:val="24"/>
              </w:rPr>
              <w:t xml:space="preserve"> </w:t>
            </w:r>
          </w:p>
        </w:tc>
      </w:tr>
      <w:tr w:rsidR="001C7B69" w:rsidRPr="00E400E9" w14:paraId="3F008797" w14:textId="77777777" w:rsidTr="00BB2340">
        <w:trPr>
          <w:trHeight w:val="168"/>
        </w:trPr>
        <w:tc>
          <w:tcPr>
            <w:tcW w:w="1709" w:type="pct"/>
            <w:vMerge w:val="restart"/>
            <w:tcBorders>
              <w:top w:val="single" w:sz="4" w:space="0" w:color="auto"/>
              <w:left w:val="single" w:sz="4" w:space="0" w:color="auto"/>
              <w:bottom w:val="single" w:sz="4" w:space="0" w:color="auto"/>
              <w:right w:val="single" w:sz="4" w:space="0" w:color="auto"/>
            </w:tcBorders>
            <w:hideMark/>
          </w:tcPr>
          <w:p w14:paraId="3A8BBA8A" w14:textId="77777777" w:rsidR="001C7B69" w:rsidRPr="00E400E9" w:rsidRDefault="001C7B69" w:rsidP="00BB2340">
            <w:pPr>
              <w:rPr>
                <w:noProof/>
                <w:sz w:val="24"/>
                <w:szCs w:val="24"/>
              </w:rPr>
            </w:pPr>
            <w:r w:rsidRPr="00E400E9">
              <w:rPr>
                <w:sz w:val="24"/>
                <w:szCs w:val="24"/>
              </w:rPr>
              <w:t>Øjne</w:t>
            </w:r>
          </w:p>
        </w:tc>
        <w:tc>
          <w:tcPr>
            <w:tcW w:w="690" w:type="pct"/>
            <w:tcBorders>
              <w:top w:val="single" w:sz="4" w:space="0" w:color="auto"/>
              <w:left w:val="single" w:sz="4" w:space="0" w:color="auto"/>
              <w:bottom w:val="single" w:sz="4" w:space="0" w:color="auto"/>
              <w:right w:val="single" w:sz="4" w:space="0" w:color="auto"/>
            </w:tcBorders>
            <w:hideMark/>
          </w:tcPr>
          <w:p w14:paraId="1D800B70" w14:textId="77777777" w:rsidR="001C7B69" w:rsidRPr="00E400E9" w:rsidRDefault="001C7B69" w:rsidP="00BB2340">
            <w:pPr>
              <w:rPr>
                <w:noProof/>
                <w:sz w:val="24"/>
                <w:szCs w:val="24"/>
              </w:rPr>
            </w:pPr>
            <w:r w:rsidRPr="00E400E9">
              <w:rPr>
                <w:sz w:val="24"/>
                <w:szCs w:val="24"/>
              </w:rPr>
              <w:t>ikke almindelig</w:t>
            </w:r>
          </w:p>
        </w:tc>
        <w:tc>
          <w:tcPr>
            <w:tcW w:w="2601" w:type="pct"/>
            <w:tcBorders>
              <w:top w:val="single" w:sz="4" w:space="0" w:color="auto"/>
              <w:left w:val="single" w:sz="4" w:space="0" w:color="auto"/>
              <w:bottom w:val="single" w:sz="4" w:space="0" w:color="auto"/>
              <w:right w:val="single" w:sz="4" w:space="0" w:color="auto"/>
            </w:tcBorders>
            <w:hideMark/>
          </w:tcPr>
          <w:p w14:paraId="54439038" w14:textId="77777777" w:rsidR="001C7B69" w:rsidRPr="00E400E9" w:rsidRDefault="001C7B69" w:rsidP="00BB2340">
            <w:pPr>
              <w:rPr>
                <w:noProof/>
                <w:sz w:val="24"/>
                <w:szCs w:val="24"/>
              </w:rPr>
            </w:pPr>
            <w:proofErr w:type="spellStart"/>
            <w:r w:rsidRPr="00E400E9">
              <w:rPr>
                <w:sz w:val="24"/>
                <w:szCs w:val="24"/>
              </w:rPr>
              <w:t>øjenlågsptose</w:t>
            </w:r>
            <w:proofErr w:type="spellEnd"/>
            <w:r w:rsidRPr="00E400E9">
              <w:rPr>
                <w:sz w:val="24"/>
                <w:szCs w:val="24"/>
              </w:rPr>
              <w:t xml:space="preserve">, </w:t>
            </w:r>
            <w:proofErr w:type="spellStart"/>
            <w:r w:rsidRPr="00E400E9">
              <w:rPr>
                <w:sz w:val="24"/>
                <w:szCs w:val="24"/>
              </w:rPr>
              <w:t>blefarospasme</w:t>
            </w:r>
            <w:proofErr w:type="spellEnd"/>
            <w:r w:rsidRPr="00E400E9">
              <w:rPr>
                <w:sz w:val="24"/>
                <w:szCs w:val="24"/>
              </w:rPr>
              <w:t xml:space="preserve">, </w:t>
            </w:r>
            <w:proofErr w:type="spellStart"/>
            <w:r w:rsidRPr="00E400E9">
              <w:rPr>
                <w:sz w:val="24"/>
                <w:szCs w:val="24"/>
              </w:rPr>
              <w:t>periorbitalt</w:t>
            </w:r>
            <w:proofErr w:type="spellEnd"/>
            <w:r w:rsidRPr="00E400E9">
              <w:rPr>
                <w:sz w:val="24"/>
                <w:szCs w:val="24"/>
              </w:rPr>
              <w:t xml:space="preserve"> ødem</w:t>
            </w:r>
          </w:p>
        </w:tc>
      </w:tr>
      <w:tr w:rsidR="001C7B69" w:rsidRPr="00E400E9" w14:paraId="47134399" w14:textId="77777777" w:rsidTr="00BB2340">
        <w:trPr>
          <w:trHeight w:val="627"/>
        </w:trPr>
        <w:tc>
          <w:tcPr>
            <w:tcW w:w="1709" w:type="pct"/>
            <w:vMerge/>
            <w:tcBorders>
              <w:top w:val="single" w:sz="4" w:space="0" w:color="auto"/>
              <w:left w:val="single" w:sz="4" w:space="0" w:color="auto"/>
              <w:bottom w:val="single" w:sz="4" w:space="0" w:color="auto"/>
              <w:right w:val="single" w:sz="4" w:space="0" w:color="auto"/>
            </w:tcBorders>
            <w:vAlign w:val="center"/>
            <w:hideMark/>
          </w:tcPr>
          <w:p w14:paraId="125E7E21" w14:textId="77777777" w:rsidR="001C7B69" w:rsidRPr="00E400E9" w:rsidRDefault="001C7B69" w:rsidP="00BB2340">
            <w:pPr>
              <w:rPr>
                <w:noProof/>
                <w:sz w:val="24"/>
                <w:szCs w:val="24"/>
                <w:lang w:bidi="da-DK"/>
              </w:rPr>
            </w:pPr>
          </w:p>
        </w:tc>
        <w:tc>
          <w:tcPr>
            <w:tcW w:w="690" w:type="pct"/>
            <w:tcBorders>
              <w:top w:val="single" w:sz="4" w:space="0" w:color="auto"/>
              <w:left w:val="single" w:sz="4" w:space="0" w:color="auto"/>
              <w:bottom w:val="single" w:sz="4" w:space="0" w:color="auto"/>
              <w:right w:val="single" w:sz="4" w:space="0" w:color="auto"/>
            </w:tcBorders>
            <w:hideMark/>
          </w:tcPr>
          <w:p w14:paraId="4E197C66" w14:textId="77777777" w:rsidR="001C7B69" w:rsidRPr="00E400E9" w:rsidRDefault="001C7B69" w:rsidP="00BB2340">
            <w:pPr>
              <w:rPr>
                <w:noProof/>
                <w:sz w:val="24"/>
                <w:szCs w:val="24"/>
              </w:rPr>
            </w:pPr>
            <w:r w:rsidRPr="00E400E9">
              <w:rPr>
                <w:sz w:val="24"/>
                <w:szCs w:val="24"/>
              </w:rPr>
              <w:t>sjælden</w:t>
            </w:r>
          </w:p>
        </w:tc>
        <w:tc>
          <w:tcPr>
            <w:tcW w:w="2601" w:type="pct"/>
            <w:tcBorders>
              <w:top w:val="single" w:sz="4" w:space="0" w:color="auto"/>
              <w:left w:val="single" w:sz="4" w:space="0" w:color="auto"/>
              <w:bottom w:val="single" w:sz="4" w:space="0" w:color="auto"/>
              <w:right w:val="single" w:sz="4" w:space="0" w:color="auto"/>
            </w:tcBorders>
            <w:hideMark/>
          </w:tcPr>
          <w:p w14:paraId="42C628AD" w14:textId="77777777" w:rsidR="001C7B69" w:rsidRPr="00E400E9" w:rsidRDefault="001C7B69" w:rsidP="00BB2340">
            <w:pPr>
              <w:rPr>
                <w:noProof/>
                <w:sz w:val="24"/>
                <w:szCs w:val="24"/>
              </w:rPr>
            </w:pPr>
            <w:proofErr w:type="spellStart"/>
            <w:r w:rsidRPr="00E400E9">
              <w:rPr>
                <w:sz w:val="24"/>
                <w:szCs w:val="24"/>
              </w:rPr>
              <w:t>konjunktival</w:t>
            </w:r>
            <w:proofErr w:type="spellEnd"/>
            <w:r w:rsidRPr="00E400E9">
              <w:rPr>
                <w:sz w:val="24"/>
                <w:szCs w:val="24"/>
              </w:rPr>
              <w:t xml:space="preserve"> blødning*, tørre øjne, sløret syn, øjensmerter*, </w:t>
            </w:r>
            <w:bookmarkStart w:id="3" w:name="_Hlk65073296"/>
            <w:r w:rsidRPr="00E400E9">
              <w:rPr>
                <w:sz w:val="24"/>
                <w:szCs w:val="24"/>
              </w:rPr>
              <w:t>føleforstyrrelse i øjenlåget**</w:t>
            </w:r>
            <w:bookmarkEnd w:id="3"/>
          </w:p>
        </w:tc>
      </w:tr>
      <w:tr w:rsidR="001C7B69" w:rsidRPr="00E400E9" w14:paraId="44C3D9C6" w14:textId="77777777" w:rsidTr="00BB2340">
        <w:trPr>
          <w:trHeight w:val="453"/>
        </w:trPr>
        <w:tc>
          <w:tcPr>
            <w:tcW w:w="1709" w:type="pct"/>
            <w:tcBorders>
              <w:top w:val="single" w:sz="4" w:space="0" w:color="auto"/>
              <w:left w:val="single" w:sz="4" w:space="0" w:color="auto"/>
              <w:bottom w:val="single" w:sz="4" w:space="0" w:color="auto"/>
              <w:right w:val="single" w:sz="4" w:space="0" w:color="auto"/>
            </w:tcBorders>
            <w:hideMark/>
          </w:tcPr>
          <w:p w14:paraId="49151AC0" w14:textId="77777777" w:rsidR="001C7B69" w:rsidRPr="00E400E9" w:rsidRDefault="001C7B69" w:rsidP="00BB2340">
            <w:pPr>
              <w:rPr>
                <w:noProof/>
                <w:sz w:val="24"/>
                <w:szCs w:val="24"/>
              </w:rPr>
            </w:pPr>
            <w:r w:rsidRPr="00E400E9">
              <w:rPr>
                <w:sz w:val="24"/>
                <w:szCs w:val="24"/>
              </w:rPr>
              <w:t xml:space="preserve">Luftveje, thorax og </w:t>
            </w:r>
            <w:proofErr w:type="spellStart"/>
            <w:r w:rsidRPr="00E400E9">
              <w:rPr>
                <w:sz w:val="24"/>
                <w:szCs w:val="24"/>
              </w:rPr>
              <w:t>mediastinum</w:t>
            </w:r>
            <w:proofErr w:type="spellEnd"/>
          </w:p>
        </w:tc>
        <w:tc>
          <w:tcPr>
            <w:tcW w:w="690" w:type="pct"/>
            <w:tcBorders>
              <w:top w:val="single" w:sz="4" w:space="0" w:color="auto"/>
              <w:left w:val="single" w:sz="4" w:space="0" w:color="auto"/>
              <w:bottom w:val="single" w:sz="4" w:space="0" w:color="auto"/>
              <w:right w:val="single" w:sz="4" w:space="0" w:color="auto"/>
            </w:tcBorders>
            <w:hideMark/>
          </w:tcPr>
          <w:p w14:paraId="49B00D3E" w14:textId="77777777" w:rsidR="001C7B69" w:rsidRPr="00E400E9" w:rsidRDefault="001C7B69" w:rsidP="00BB2340">
            <w:pPr>
              <w:rPr>
                <w:noProof/>
                <w:sz w:val="24"/>
                <w:szCs w:val="24"/>
              </w:rPr>
            </w:pPr>
            <w:r w:rsidRPr="00E400E9">
              <w:rPr>
                <w:sz w:val="24"/>
                <w:szCs w:val="24"/>
              </w:rPr>
              <w:t>sjælden</w:t>
            </w:r>
          </w:p>
        </w:tc>
        <w:tc>
          <w:tcPr>
            <w:tcW w:w="2601" w:type="pct"/>
            <w:tcBorders>
              <w:top w:val="single" w:sz="4" w:space="0" w:color="auto"/>
              <w:left w:val="single" w:sz="4" w:space="0" w:color="auto"/>
              <w:bottom w:val="single" w:sz="4" w:space="0" w:color="auto"/>
              <w:right w:val="single" w:sz="4" w:space="0" w:color="auto"/>
            </w:tcBorders>
            <w:hideMark/>
          </w:tcPr>
          <w:p w14:paraId="01F8E708" w14:textId="77777777" w:rsidR="001C7B69" w:rsidRPr="00E400E9" w:rsidRDefault="001C7B69" w:rsidP="00BB2340">
            <w:pPr>
              <w:rPr>
                <w:noProof/>
                <w:sz w:val="24"/>
                <w:szCs w:val="24"/>
              </w:rPr>
            </w:pPr>
            <w:proofErr w:type="spellStart"/>
            <w:r w:rsidRPr="00E400E9">
              <w:rPr>
                <w:sz w:val="24"/>
                <w:szCs w:val="24"/>
              </w:rPr>
              <w:t>faryngeal</w:t>
            </w:r>
            <w:proofErr w:type="spellEnd"/>
            <w:r w:rsidRPr="00E400E9">
              <w:rPr>
                <w:sz w:val="24"/>
                <w:szCs w:val="24"/>
              </w:rPr>
              <w:t xml:space="preserve"> </w:t>
            </w:r>
            <w:proofErr w:type="spellStart"/>
            <w:r w:rsidRPr="00E400E9">
              <w:rPr>
                <w:sz w:val="24"/>
                <w:szCs w:val="24"/>
              </w:rPr>
              <w:t>hypæstesi</w:t>
            </w:r>
            <w:proofErr w:type="spellEnd"/>
          </w:p>
        </w:tc>
      </w:tr>
      <w:tr w:rsidR="001C7B69" w:rsidRPr="00E400E9" w14:paraId="3F7FE378" w14:textId="77777777" w:rsidTr="00BB2340">
        <w:tc>
          <w:tcPr>
            <w:tcW w:w="1709" w:type="pct"/>
            <w:tcBorders>
              <w:top w:val="single" w:sz="4" w:space="0" w:color="auto"/>
              <w:left w:val="single" w:sz="4" w:space="0" w:color="auto"/>
              <w:bottom w:val="single" w:sz="4" w:space="0" w:color="auto"/>
              <w:right w:val="single" w:sz="4" w:space="0" w:color="auto"/>
            </w:tcBorders>
            <w:hideMark/>
          </w:tcPr>
          <w:p w14:paraId="28865FCB" w14:textId="77777777" w:rsidR="001C7B69" w:rsidRPr="00E400E9" w:rsidRDefault="001C7B69" w:rsidP="00BB2340">
            <w:pPr>
              <w:rPr>
                <w:noProof/>
                <w:sz w:val="24"/>
                <w:szCs w:val="24"/>
              </w:rPr>
            </w:pPr>
            <w:r w:rsidRPr="00E400E9">
              <w:rPr>
                <w:sz w:val="24"/>
                <w:szCs w:val="24"/>
              </w:rPr>
              <w:t>Mave-tarm-kanalen</w:t>
            </w:r>
          </w:p>
        </w:tc>
        <w:tc>
          <w:tcPr>
            <w:tcW w:w="690" w:type="pct"/>
            <w:tcBorders>
              <w:top w:val="single" w:sz="4" w:space="0" w:color="auto"/>
              <w:left w:val="single" w:sz="4" w:space="0" w:color="auto"/>
              <w:bottom w:val="single" w:sz="4" w:space="0" w:color="auto"/>
              <w:right w:val="single" w:sz="4" w:space="0" w:color="auto"/>
            </w:tcBorders>
            <w:hideMark/>
          </w:tcPr>
          <w:p w14:paraId="4615B794" w14:textId="77777777" w:rsidR="001C7B69" w:rsidRPr="00E400E9" w:rsidRDefault="001C7B69" w:rsidP="00BB2340">
            <w:pPr>
              <w:rPr>
                <w:noProof/>
                <w:sz w:val="24"/>
                <w:szCs w:val="24"/>
              </w:rPr>
            </w:pPr>
            <w:r w:rsidRPr="00E400E9">
              <w:rPr>
                <w:sz w:val="24"/>
                <w:szCs w:val="24"/>
              </w:rPr>
              <w:t>sjælden</w:t>
            </w:r>
          </w:p>
        </w:tc>
        <w:tc>
          <w:tcPr>
            <w:tcW w:w="2601" w:type="pct"/>
            <w:tcBorders>
              <w:top w:val="single" w:sz="4" w:space="0" w:color="auto"/>
              <w:left w:val="single" w:sz="4" w:space="0" w:color="auto"/>
              <w:bottom w:val="single" w:sz="4" w:space="0" w:color="auto"/>
              <w:right w:val="single" w:sz="4" w:space="0" w:color="auto"/>
            </w:tcBorders>
            <w:hideMark/>
          </w:tcPr>
          <w:p w14:paraId="4A307185" w14:textId="77777777" w:rsidR="001C7B69" w:rsidRPr="00E400E9" w:rsidRDefault="001C7B69" w:rsidP="00BB2340">
            <w:pPr>
              <w:rPr>
                <w:noProof/>
                <w:sz w:val="24"/>
                <w:szCs w:val="24"/>
              </w:rPr>
            </w:pPr>
            <w:r w:rsidRPr="00E400E9">
              <w:rPr>
                <w:sz w:val="24"/>
                <w:szCs w:val="24"/>
              </w:rPr>
              <w:t>forstoppelse, kvalme</w:t>
            </w:r>
          </w:p>
        </w:tc>
      </w:tr>
      <w:tr w:rsidR="001C7B69" w:rsidRPr="00E400E9" w14:paraId="51751BD5" w14:textId="77777777" w:rsidTr="00BB2340">
        <w:trPr>
          <w:trHeight w:val="189"/>
        </w:trPr>
        <w:tc>
          <w:tcPr>
            <w:tcW w:w="1709" w:type="pct"/>
            <w:tcBorders>
              <w:top w:val="single" w:sz="4" w:space="0" w:color="auto"/>
              <w:left w:val="single" w:sz="4" w:space="0" w:color="auto"/>
              <w:bottom w:val="single" w:sz="4" w:space="0" w:color="auto"/>
              <w:right w:val="single" w:sz="4" w:space="0" w:color="auto"/>
            </w:tcBorders>
            <w:hideMark/>
          </w:tcPr>
          <w:p w14:paraId="28463881" w14:textId="77777777" w:rsidR="001C7B69" w:rsidRPr="00E400E9" w:rsidRDefault="001C7B69" w:rsidP="00BB2340">
            <w:pPr>
              <w:rPr>
                <w:noProof/>
                <w:sz w:val="24"/>
                <w:szCs w:val="24"/>
              </w:rPr>
            </w:pPr>
            <w:r w:rsidRPr="00E400E9">
              <w:rPr>
                <w:sz w:val="24"/>
                <w:szCs w:val="24"/>
              </w:rPr>
              <w:t>Hud og subkutane væv</w:t>
            </w:r>
          </w:p>
        </w:tc>
        <w:tc>
          <w:tcPr>
            <w:tcW w:w="690" w:type="pct"/>
            <w:tcBorders>
              <w:top w:val="single" w:sz="4" w:space="0" w:color="auto"/>
              <w:left w:val="single" w:sz="4" w:space="0" w:color="auto"/>
              <w:bottom w:val="single" w:sz="4" w:space="0" w:color="auto"/>
              <w:right w:val="single" w:sz="4" w:space="0" w:color="auto"/>
            </w:tcBorders>
            <w:hideMark/>
          </w:tcPr>
          <w:p w14:paraId="28F27266" w14:textId="77777777" w:rsidR="001C7B69" w:rsidRPr="00E400E9" w:rsidRDefault="001C7B69" w:rsidP="00BB2340">
            <w:pPr>
              <w:rPr>
                <w:noProof/>
                <w:sz w:val="24"/>
                <w:szCs w:val="24"/>
              </w:rPr>
            </w:pPr>
            <w:r w:rsidRPr="00E400E9">
              <w:rPr>
                <w:sz w:val="24"/>
                <w:szCs w:val="24"/>
              </w:rPr>
              <w:t>sjælden</w:t>
            </w:r>
          </w:p>
        </w:tc>
        <w:tc>
          <w:tcPr>
            <w:tcW w:w="2601" w:type="pct"/>
            <w:tcBorders>
              <w:top w:val="single" w:sz="4" w:space="0" w:color="auto"/>
              <w:left w:val="single" w:sz="4" w:space="0" w:color="auto"/>
              <w:bottom w:val="single" w:sz="4" w:space="0" w:color="auto"/>
              <w:right w:val="single" w:sz="4" w:space="0" w:color="auto"/>
            </w:tcBorders>
            <w:hideMark/>
          </w:tcPr>
          <w:p w14:paraId="781B7C1B" w14:textId="77777777" w:rsidR="001C7B69" w:rsidRPr="00E400E9" w:rsidRDefault="001C7B69" w:rsidP="00BB2340">
            <w:pPr>
              <w:rPr>
                <w:noProof/>
                <w:sz w:val="24"/>
                <w:szCs w:val="24"/>
              </w:rPr>
            </w:pPr>
            <w:proofErr w:type="spellStart"/>
            <w:r w:rsidRPr="00E400E9">
              <w:rPr>
                <w:sz w:val="24"/>
                <w:szCs w:val="24"/>
              </w:rPr>
              <w:t>øjenbrynsptose</w:t>
            </w:r>
            <w:proofErr w:type="spellEnd"/>
            <w:r w:rsidRPr="00E400E9">
              <w:rPr>
                <w:sz w:val="24"/>
                <w:szCs w:val="24"/>
              </w:rPr>
              <w:t xml:space="preserve">, tør hud, </w:t>
            </w:r>
            <w:proofErr w:type="spellStart"/>
            <w:r w:rsidRPr="00E400E9">
              <w:rPr>
                <w:sz w:val="24"/>
                <w:szCs w:val="24"/>
              </w:rPr>
              <w:t>urticaria</w:t>
            </w:r>
            <w:proofErr w:type="spellEnd"/>
            <w:r w:rsidRPr="00E400E9">
              <w:rPr>
                <w:sz w:val="24"/>
                <w:szCs w:val="24"/>
              </w:rPr>
              <w:t xml:space="preserve">, </w:t>
            </w:r>
          </w:p>
        </w:tc>
      </w:tr>
      <w:tr w:rsidR="001C7B69" w:rsidRPr="00E400E9" w14:paraId="6019A65F" w14:textId="77777777" w:rsidTr="00BB2340">
        <w:trPr>
          <w:trHeight w:val="189"/>
        </w:trPr>
        <w:tc>
          <w:tcPr>
            <w:tcW w:w="1709" w:type="pct"/>
            <w:tcBorders>
              <w:top w:val="single" w:sz="4" w:space="0" w:color="auto"/>
              <w:left w:val="single" w:sz="4" w:space="0" w:color="auto"/>
              <w:bottom w:val="single" w:sz="4" w:space="0" w:color="auto"/>
              <w:right w:val="single" w:sz="4" w:space="0" w:color="auto"/>
            </w:tcBorders>
          </w:tcPr>
          <w:p w14:paraId="14B99652" w14:textId="77777777" w:rsidR="001C7B69" w:rsidRPr="00E400E9" w:rsidRDefault="001C7B69" w:rsidP="00BB2340">
            <w:pPr>
              <w:rPr>
                <w:sz w:val="24"/>
                <w:szCs w:val="24"/>
              </w:rPr>
            </w:pPr>
            <w:r w:rsidRPr="00B3116D">
              <w:rPr>
                <w:sz w:val="24"/>
                <w:szCs w:val="24"/>
              </w:rPr>
              <w:t>Knogler, led, muskler og bindevæv</w:t>
            </w:r>
          </w:p>
        </w:tc>
        <w:tc>
          <w:tcPr>
            <w:tcW w:w="690" w:type="pct"/>
            <w:tcBorders>
              <w:top w:val="single" w:sz="4" w:space="0" w:color="auto"/>
              <w:left w:val="single" w:sz="4" w:space="0" w:color="auto"/>
              <w:bottom w:val="single" w:sz="4" w:space="0" w:color="auto"/>
              <w:right w:val="single" w:sz="4" w:space="0" w:color="auto"/>
            </w:tcBorders>
          </w:tcPr>
          <w:p w14:paraId="2EC87665" w14:textId="77777777" w:rsidR="001C7B69" w:rsidRPr="00E400E9" w:rsidRDefault="001C7B69" w:rsidP="00BB2340">
            <w:pPr>
              <w:rPr>
                <w:sz w:val="24"/>
                <w:szCs w:val="24"/>
              </w:rPr>
            </w:pPr>
            <w:r w:rsidRPr="00E400E9">
              <w:rPr>
                <w:sz w:val="24"/>
                <w:szCs w:val="24"/>
              </w:rPr>
              <w:t>ikke almindelig</w:t>
            </w:r>
          </w:p>
        </w:tc>
        <w:tc>
          <w:tcPr>
            <w:tcW w:w="2601" w:type="pct"/>
            <w:tcBorders>
              <w:top w:val="single" w:sz="4" w:space="0" w:color="auto"/>
              <w:left w:val="single" w:sz="4" w:space="0" w:color="auto"/>
              <w:bottom w:val="single" w:sz="4" w:space="0" w:color="auto"/>
              <w:right w:val="single" w:sz="4" w:space="0" w:color="auto"/>
            </w:tcBorders>
          </w:tcPr>
          <w:p w14:paraId="5B72D9C8" w14:textId="77777777" w:rsidR="001C7B69" w:rsidRPr="00E400E9" w:rsidRDefault="001C7B69" w:rsidP="00BB2340">
            <w:pPr>
              <w:rPr>
                <w:sz w:val="24"/>
                <w:szCs w:val="24"/>
              </w:rPr>
            </w:pPr>
            <w:proofErr w:type="spellStart"/>
            <w:r w:rsidRPr="00B3116D">
              <w:rPr>
                <w:i/>
                <w:iCs/>
                <w:sz w:val="24"/>
                <w:szCs w:val="24"/>
              </w:rPr>
              <w:t>Mephisto</w:t>
            </w:r>
            <w:proofErr w:type="spellEnd"/>
            <w:r w:rsidRPr="00B3116D">
              <w:rPr>
                <w:i/>
                <w:iCs/>
                <w:sz w:val="24"/>
                <w:szCs w:val="24"/>
              </w:rPr>
              <w:t xml:space="preserve"> sign</w:t>
            </w:r>
            <w:r w:rsidRPr="00B3116D">
              <w:rPr>
                <w:sz w:val="24"/>
                <w:szCs w:val="24"/>
              </w:rPr>
              <w:t xml:space="preserve"> (lateral hævet øjenbryn)</w:t>
            </w:r>
          </w:p>
        </w:tc>
      </w:tr>
      <w:tr w:rsidR="001C7B69" w:rsidRPr="00E400E9" w14:paraId="1B9D87D9" w14:textId="77777777" w:rsidTr="00BB2340">
        <w:tc>
          <w:tcPr>
            <w:tcW w:w="1709" w:type="pct"/>
            <w:vMerge w:val="restart"/>
            <w:tcBorders>
              <w:top w:val="single" w:sz="4" w:space="0" w:color="auto"/>
              <w:left w:val="single" w:sz="4" w:space="0" w:color="auto"/>
              <w:bottom w:val="nil"/>
              <w:right w:val="single" w:sz="4" w:space="0" w:color="auto"/>
            </w:tcBorders>
            <w:hideMark/>
          </w:tcPr>
          <w:p w14:paraId="531066BF" w14:textId="77777777" w:rsidR="001C7B69" w:rsidRPr="00E400E9" w:rsidRDefault="001C7B69" w:rsidP="00BB2340">
            <w:pPr>
              <w:rPr>
                <w:noProof/>
                <w:sz w:val="24"/>
                <w:szCs w:val="24"/>
              </w:rPr>
            </w:pPr>
            <w:r w:rsidRPr="00E400E9">
              <w:rPr>
                <w:sz w:val="24"/>
                <w:szCs w:val="24"/>
              </w:rPr>
              <w:t>Almene symptomer og reaktioner på administrationsstedet</w:t>
            </w:r>
          </w:p>
        </w:tc>
        <w:tc>
          <w:tcPr>
            <w:tcW w:w="690" w:type="pct"/>
            <w:tcBorders>
              <w:top w:val="single" w:sz="4" w:space="0" w:color="auto"/>
              <w:left w:val="single" w:sz="4" w:space="0" w:color="auto"/>
              <w:bottom w:val="single" w:sz="4" w:space="0" w:color="auto"/>
              <w:right w:val="single" w:sz="4" w:space="0" w:color="auto"/>
            </w:tcBorders>
            <w:hideMark/>
          </w:tcPr>
          <w:p w14:paraId="37429E3B" w14:textId="77777777" w:rsidR="001C7B69" w:rsidRPr="00E400E9" w:rsidRDefault="001C7B69" w:rsidP="00BB2340">
            <w:pPr>
              <w:rPr>
                <w:noProof/>
                <w:sz w:val="24"/>
                <w:szCs w:val="24"/>
              </w:rPr>
            </w:pPr>
            <w:r w:rsidRPr="00E400E9">
              <w:rPr>
                <w:sz w:val="24"/>
                <w:szCs w:val="24"/>
              </w:rPr>
              <w:t>almindelig</w:t>
            </w:r>
          </w:p>
        </w:tc>
        <w:tc>
          <w:tcPr>
            <w:tcW w:w="2601" w:type="pct"/>
            <w:tcBorders>
              <w:top w:val="single" w:sz="4" w:space="0" w:color="auto"/>
              <w:left w:val="single" w:sz="4" w:space="0" w:color="auto"/>
              <w:bottom w:val="single" w:sz="4" w:space="0" w:color="auto"/>
              <w:right w:val="single" w:sz="4" w:space="0" w:color="auto"/>
            </w:tcBorders>
            <w:hideMark/>
          </w:tcPr>
          <w:p w14:paraId="11BD060B" w14:textId="77777777" w:rsidR="001C7B69" w:rsidRPr="00E400E9" w:rsidRDefault="001C7B69" w:rsidP="00BB2340">
            <w:pPr>
              <w:rPr>
                <w:noProof/>
                <w:sz w:val="24"/>
                <w:szCs w:val="24"/>
              </w:rPr>
            </w:pPr>
            <w:r w:rsidRPr="00E400E9">
              <w:rPr>
                <w:sz w:val="24"/>
                <w:szCs w:val="24"/>
              </w:rPr>
              <w:t>reaktion på injektionsstedet</w:t>
            </w:r>
          </w:p>
        </w:tc>
      </w:tr>
      <w:tr w:rsidR="001C7B69" w:rsidRPr="00E400E9" w14:paraId="3235CC54" w14:textId="77777777" w:rsidTr="00BB2340">
        <w:tc>
          <w:tcPr>
            <w:tcW w:w="1709" w:type="pct"/>
            <w:vMerge/>
            <w:tcBorders>
              <w:top w:val="single" w:sz="4" w:space="0" w:color="auto"/>
              <w:left w:val="single" w:sz="4" w:space="0" w:color="auto"/>
              <w:bottom w:val="nil"/>
              <w:right w:val="single" w:sz="4" w:space="0" w:color="auto"/>
            </w:tcBorders>
            <w:vAlign w:val="center"/>
            <w:hideMark/>
          </w:tcPr>
          <w:p w14:paraId="05715DFC" w14:textId="77777777" w:rsidR="001C7B69" w:rsidRPr="00E400E9" w:rsidRDefault="001C7B69" w:rsidP="00BB2340">
            <w:pPr>
              <w:rPr>
                <w:noProof/>
                <w:sz w:val="24"/>
                <w:szCs w:val="24"/>
                <w:lang w:bidi="da-DK"/>
              </w:rPr>
            </w:pPr>
          </w:p>
        </w:tc>
        <w:tc>
          <w:tcPr>
            <w:tcW w:w="690" w:type="pct"/>
            <w:tcBorders>
              <w:top w:val="single" w:sz="4" w:space="0" w:color="auto"/>
              <w:left w:val="single" w:sz="4" w:space="0" w:color="auto"/>
              <w:bottom w:val="single" w:sz="4" w:space="0" w:color="auto"/>
              <w:right w:val="single" w:sz="4" w:space="0" w:color="auto"/>
            </w:tcBorders>
            <w:hideMark/>
          </w:tcPr>
          <w:p w14:paraId="692F5154" w14:textId="77777777" w:rsidR="001C7B69" w:rsidRPr="00E400E9" w:rsidRDefault="001C7B69" w:rsidP="00BB2340">
            <w:pPr>
              <w:rPr>
                <w:noProof/>
                <w:sz w:val="24"/>
                <w:szCs w:val="24"/>
              </w:rPr>
            </w:pPr>
            <w:r w:rsidRPr="00E400E9">
              <w:rPr>
                <w:sz w:val="24"/>
                <w:szCs w:val="24"/>
              </w:rPr>
              <w:t>ikke almindelig</w:t>
            </w:r>
          </w:p>
        </w:tc>
        <w:tc>
          <w:tcPr>
            <w:tcW w:w="2601" w:type="pct"/>
            <w:tcBorders>
              <w:top w:val="single" w:sz="4" w:space="0" w:color="auto"/>
              <w:left w:val="single" w:sz="4" w:space="0" w:color="auto"/>
              <w:bottom w:val="single" w:sz="4" w:space="0" w:color="auto"/>
              <w:right w:val="single" w:sz="4" w:space="0" w:color="auto"/>
            </w:tcBorders>
            <w:hideMark/>
          </w:tcPr>
          <w:p w14:paraId="574FF9FA" w14:textId="77777777" w:rsidR="001C7B69" w:rsidRPr="00E400E9" w:rsidRDefault="001C7B69" w:rsidP="00BB2340">
            <w:pPr>
              <w:rPr>
                <w:noProof/>
                <w:sz w:val="24"/>
                <w:szCs w:val="24"/>
              </w:rPr>
            </w:pPr>
            <w:r w:rsidRPr="00E400E9">
              <w:rPr>
                <w:sz w:val="24"/>
                <w:szCs w:val="24"/>
              </w:rPr>
              <w:t xml:space="preserve">smerter på injektionsstedet, blå mærker på injektionsstedet, hævelse på administrationsstedet*, </w:t>
            </w:r>
            <w:proofErr w:type="spellStart"/>
            <w:r w:rsidRPr="00E400E9">
              <w:rPr>
                <w:sz w:val="24"/>
                <w:szCs w:val="24"/>
              </w:rPr>
              <w:t>pruritus</w:t>
            </w:r>
            <w:proofErr w:type="spellEnd"/>
            <w:r w:rsidRPr="00E400E9">
              <w:rPr>
                <w:sz w:val="24"/>
                <w:szCs w:val="24"/>
              </w:rPr>
              <w:t xml:space="preserve"> på injektionsstedet, knude på injektionsstedet, trykken på injektionsstedet**</w:t>
            </w:r>
          </w:p>
        </w:tc>
      </w:tr>
      <w:tr w:rsidR="001C7B69" w:rsidRPr="00E400E9" w14:paraId="704C8C82" w14:textId="77777777" w:rsidTr="00BB2340">
        <w:trPr>
          <w:trHeight w:val="423"/>
        </w:trPr>
        <w:tc>
          <w:tcPr>
            <w:tcW w:w="1709" w:type="pct"/>
            <w:tcBorders>
              <w:top w:val="nil"/>
              <w:left w:val="single" w:sz="4" w:space="0" w:color="auto"/>
              <w:bottom w:val="single" w:sz="4" w:space="0" w:color="auto"/>
              <w:right w:val="single" w:sz="4" w:space="0" w:color="auto"/>
            </w:tcBorders>
          </w:tcPr>
          <w:p w14:paraId="54EC8A8E" w14:textId="77777777" w:rsidR="001C7B69" w:rsidRPr="00E400E9" w:rsidRDefault="001C7B69" w:rsidP="00BB2340">
            <w:pPr>
              <w:rPr>
                <w:noProof/>
                <w:sz w:val="24"/>
                <w:szCs w:val="24"/>
                <w:highlight w:val="yellow"/>
              </w:rPr>
            </w:pPr>
          </w:p>
        </w:tc>
        <w:tc>
          <w:tcPr>
            <w:tcW w:w="690" w:type="pct"/>
            <w:tcBorders>
              <w:top w:val="single" w:sz="4" w:space="0" w:color="auto"/>
              <w:left w:val="single" w:sz="4" w:space="0" w:color="auto"/>
              <w:bottom w:val="single" w:sz="4" w:space="0" w:color="auto"/>
              <w:right w:val="single" w:sz="4" w:space="0" w:color="auto"/>
            </w:tcBorders>
            <w:hideMark/>
          </w:tcPr>
          <w:p w14:paraId="118C53D6" w14:textId="77777777" w:rsidR="001C7B69" w:rsidRPr="00E400E9" w:rsidRDefault="001C7B69" w:rsidP="00BB2340">
            <w:pPr>
              <w:rPr>
                <w:noProof/>
                <w:sz w:val="24"/>
                <w:szCs w:val="24"/>
              </w:rPr>
            </w:pPr>
            <w:r w:rsidRPr="00E400E9">
              <w:rPr>
                <w:sz w:val="24"/>
                <w:szCs w:val="24"/>
              </w:rPr>
              <w:t>sjælden</w:t>
            </w:r>
          </w:p>
        </w:tc>
        <w:tc>
          <w:tcPr>
            <w:tcW w:w="2601" w:type="pct"/>
            <w:tcBorders>
              <w:top w:val="single" w:sz="4" w:space="0" w:color="auto"/>
              <w:left w:val="single" w:sz="4" w:space="0" w:color="auto"/>
              <w:bottom w:val="single" w:sz="4" w:space="0" w:color="auto"/>
              <w:right w:val="single" w:sz="4" w:space="0" w:color="auto"/>
            </w:tcBorders>
            <w:hideMark/>
          </w:tcPr>
          <w:p w14:paraId="4F7901F2" w14:textId="77777777" w:rsidR="001C7B69" w:rsidRPr="00E400E9" w:rsidRDefault="001C7B69" w:rsidP="00BB2340">
            <w:pPr>
              <w:rPr>
                <w:noProof/>
                <w:sz w:val="24"/>
                <w:szCs w:val="24"/>
              </w:rPr>
            </w:pPr>
            <w:r w:rsidRPr="00E400E9">
              <w:rPr>
                <w:sz w:val="24"/>
                <w:szCs w:val="24"/>
              </w:rPr>
              <w:t xml:space="preserve">ansigtssmerter*, influenzalignende sygdom, </w:t>
            </w:r>
            <w:proofErr w:type="spellStart"/>
            <w:r w:rsidRPr="00E400E9">
              <w:rPr>
                <w:sz w:val="24"/>
                <w:szCs w:val="24"/>
              </w:rPr>
              <w:t>pyreksi</w:t>
            </w:r>
            <w:proofErr w:type="spellEnd"/>
          </w:p>
        </w:tc>
      </w:tr>
      <w:tr w:rsidR="001C7B69" w:rsidRPr="00E400E9" w14:paraId="75F5F99B" w14:textId="77777777" w:rsidTr="00BB2340">
        <w:tc>
          <w:tcPr>
            <w:tcW w:w="1709" w:type="pct"/>
            <w:tcBorders>
              <w:top w:val="single" w:sz="4" w:space="0" w:color="auto"/>
              <w:left w:val="single" w:sz="4" w:space="0" w:color="auto"/>
              <w:bottom w:val="single" w:sz="4" w:space="0" w:color="auto"/>
              <w:right w:val="single" w:sz="4" w:space="0" w:color="auto"/>
            </w:tcBorders>
            <w:hideMark/>
          </w:tcPr>
          <w:p w14:paraId="43B75123" w14:textId="77777777" w:rsidR="001C7B69" w:rsidRPr="00E400E9" w:rsidRDefault="001C7B69" w:rsidP="00BB2340">
            <w:pPr>
              <w:rPr>
                <w:noProof/>
                <w:sz w:val="24"/>
                <w:szCs w:val="24"/>
              </w:rPr>
            </w:pPr>
            <w:r w:rsidRPr="00E400E9">
              <w:rPr>
                <w:sz w:val="24"/>
                <w:szCs w:val="24"/>
              </w:rPr>
              <w:t>Undersøgelser</w:t>
            </w:r>
          </w:p>
        </w:tc>
        <w:tc>
          <w:tcPr>
            <w:tcW w:w="690" w:type="pct"/>
            <w:tcBorders>
              <w:top w:val="single" w:sz="4" w:space="0" w:color="auto"/>
              <w:left w:val="single" w:sz="4" w:space="0" w:color="auto"/>
              <w:bottom w:val="single" w:sz="4" w:space="0" w:color="auto"/>
              <w:right w:val="single" w:sz="4" w:space="0" w:color="auto"/>
            </w:tcBorders>
            <w:hideMark/>
          </w:tcPr>
          <w:p w14:paraId="6AB07392" w14:textId="77777777" w:rsidR="001C7B69" w:rsidRPr="00E400E9" w:rsidRDefault="001C7B69" w:rsidP="00BB2340">
            <w:pPr>
              <w:rPr>
                <w:noProof/>
                <w:sz w:val="24"/>
                <w:szCs w:val="24"/>
              </w:rPr>
            </w:pPr>
            <w:r w:rsidRPr="00E400E9">
              <w:rPr>
                <w:sz w:val="24"/>
                <w:szCs w:val="24"/>
              </w:rPr>
              <w:t>sjælden</w:t>
            </w:r>
          </w:p>
        </w:tc>
        <w:tc>
          <w:tcPr>
            <w:tcW w:w="2601" w:type="pct"/>
            <w:tcBorders>
              <w:top w:val="single" w:sz="4" w:space="0" w:color="auto"/>
              <w:left w:val="single" w:sz="4" w:space="0" w:color="auto"/>
              <w:bottom w:val="single" w:sz="4" w:space="0" w:color="auto"/>
              <w:right w:val="single" w:sz="4" w:space="0" w:color="auto"/>
            </w:tcBorders>
            <w:hideMark/>
          </w:tcPr>
          <w:p w14:paraId="0E4E894D" w14:textId="77777777" w:rsidR="001C7B69" w:rsidRPr="00E400E9" w:rsidRDefault="001C7B69" w:rsidP="00BB2340">
            <w:pPr>
              <w:rPr>
                <w:noProof/>
                <w:sz w:val="24"/>
                <w:szCs w:val="24"/>
              </w:rPr>
            </w:pPr>
            <w:r w:rsidRPr="00E400E9">
              <w:rPr>
                <w:sz w:val="24"/>
                <w:szCs w:val="24"/>
              </w:rPr>
              <w:t>forhøjet indhold af kalium i blodet</w:t>
            </w:r>
          </w:p>
        </w:tc>
      </w:tr>
      <w:tr w:rsidR="001C7B69" w:rsidRPr="00E400E9" w14:paraId="2AE82DEA" w14:textId="77777777" w:rsidTr="00BB2340">
        <w:trPr>
          <w:trHeight w:val="251"/>
        </w:trPr>
        <w:tc>
          <w:tcPr>
            <w:tcW w:w="1709" w:type="pct"/>
            <w:tcBorders>
              <w:top w:val="single" w:sz="4" w:space="0" w:color="auto"/>
              <w:left w:val="single" w:sz="4" w:space="0" w:color="auto"/>
              <w:bottom w:val="single" w:sz="4" w:space="0" w:color="auto"/>
              <w:right w:val="single" w:sz="4" w:space="0" w:color="auto"/>
            </w:tcBorders>
            <w:hideMark/>
          </w:tcPr>
          <w:p w14:paraId="787596B5" w14:textId="77777777" w:rsidR="001C7B69" w:rsidRPr="00E400E9" w:rsidRDefault="001C7B69" w:rsidP="00BB2340">
            <w:pPr>
              <w:rPr>
                <w:noProof/>
                <w:sz w:val="24"/>
                <w:szCs w:val="24"/>
              </w:rPr>
            </w:pPr>
            <w:r w:rsidRPr="00E400E9">
              <w:rPr>
                <w:sz w:val="24"/>
                <w:szCs w:val="24"/>
              </w:rPr>
              <w:t>Traumer, forgiftninger og behandlingskomplikationer</w:t>
            </w:r>
          </w:p>
        </w:tc>
        <w:tc>
          <w:tcPr>
            <w:tcW w:w="690" w:type="pct"/>
            <w:tcBorders>
              <w:top w:val="single" w:sz="4" w:space="0" w:color="auto"/>
              <w:left w:val="single" w:sz="4" w:space="0" w:color="auto"/>
              <w:bottom w:val="single" w:sz="4" w:space="0" w:color="auto"/>
              <w:right w:val="single" w:sz="4" w:space="0" w:color="auto"/>
            </w:tcBorders>
            <w:hideMark/>
          </w:tcPr>
          <w:p w14:paraId="52239111" w14:textId="77777777" w:rsidR="001C7B69" w:rsidRPr="00E400E9" w:rsidRDefault="001C7B69" w:rsidP="00BB2340">
            <w:pPr>
              <w:rPr>
                <w:noProof/>
                <w:sz w:val="24"/>
                <w:szCs w:val="24"/>
              </w:rPr>
            </w:pPr>
            <w:r w:rsidRPr="00E400E9">
              <w:rPr>
                <w:sz w:val="24"/>
                <w:szCs w:val="24"/>
              </w:rPr>
              <w:t>ikke almindelig</w:t>
            </w:r>
          </w:p>
        </w:tc>
        <w:tc>
          <w:tcPr>
            <w:tcW w:w="2601" w:type="pct"/>
            <w:tcBorders>
              <w:top w:val="single" w:sz="4" w:space="0" w:color="auto"/>
              <w:left w:val="single" w:sz="4" w:space="0" w:color="auto"/>
              <w:bottom w:val="single" w:sz="4" w:space="0" w:color="auto"/>
              <w:right w:val="single" w:sz="4" w:space="0" w:color="auto"/>
            </w:tcBorders>
            <w:hideMark/>
          </w:tcPr>
          <w:p w14:paraId="398127FF" w14:textId="77777777" w:rsidR="001C7B69" w:rsidRPr="00E400E9" w:rsidRDefault="001C7B69" w:rsidP="00BB2340">
            <w:pPr>
              <w:rPr>
                <w:noProof/>
                <w:sz w:val="24"/>
                <w:szCs w:val="24"/>
              </w:rPr>
            </w:pPr>
            <w:r w:rsidRPr="00E400E9">
              <w:rPr>
                <w:sz w:val="24"/>
                <w:szCs w:val="24"/>
              </w:rPr>
              <w:t xml:space="preserve">kontusion, </w:t>
            </w:r>
            <w:bookmarkStart w:id="4" w:name="_Hlk66184949"/>
            <w:proofErr w:type="spellStart"/>
            <w:r w:rsidRPr="00E400E9">
              <w:rPr>
                <w:sz w:val="24"/>
                <w:szCs w:val="24"/>
              </w:rPr>
              <w:t>periorbitalt</w:t>
            </w:r>
            <w:proofErr w:type="spellEnd"/>
            <w:r w:rsidRPr="00E400E9">
              <w:rPr>
                <w:sz w:val="24"/>
                <w:szCs w:val="24"/>
              </w:rPr>
              <w:t xml:space="preserve"> </w:t>
            </w:r>
            <w:proofErr w:type="spellStart"/>
            <w:r w:rsidRPr="00E400E9">
              <w:rPr>
                <w:sz w:val="24"/>
                <w:szCs w:val="24"/>
              </w:rPr>
              <w:t>hæmatom</w:t>
            </w:r>
            <w:bookmarkEnd w:id="4"/>
            <w:proofErr w:type="spellEnd"/>
            <w:r w:rsidRPr="00E400E9">
              <w:rPr>
                <w:sz w:val="24"/>
                <w:szCs w:val="24"/>
              </w:rPr>
              <w:t>*</w:t>
            </w:r>
          </w:p>
        </w:tc>
      </w:tr>
    </w:tbl>
    <w:bookmarkEnd w:id="2"/>
    <w:p w14:paraId="28364067" w14:textId="77777777" w:rsidR="001C7B69" w:rsidRPr="00E400E9" w:rsidRDefault="001C7B69" w:rsidP="001C7B69">
      <w:pPr>
        <w:autoSpaceDE w:val="0"/>
        <w:autoSpaceDN w:val="0"/>
        <w:adjustRightInd w:val="0"/>
        <w:rPr>
          <w:noProof/>
          <w:sz w:val="24"/>
          <w:szCs w:val="24"/>
          <w:lang w:bidi="da-DK"/>
        </w:rPr>
      </w:pPr>
      <w:r w:rsidRPr="00E400E9">
        <w:rPr>
          <w:sz w:val="24"/>
          <w:szCs w:val="24"/>
        </w:rPr>
        <w:t xml:space="preserve">Bemærk: Ud af de 1.162 patienter, som blev behandlet med </w:t>
      </w:r>
      <w:proofErr w:type="spellStart"/>
      <w:r w:rsidRPr="00E400E9">
        <w:rPr>
          <w:sz w:val="24"/>
          <w:szCs w:val="24"/>
        </w:rPr>
        <w:t>Letybo</w:t>
      </w:r>
      <w:proofErr w:type="spellEnd"/>
      <w:r w:rsidRPr="00E400E9">
        <w:rPr>
          <w:sz w:val="24"/>
          <w:szCs w:val="24"/>
        </w:rPr>
        <w:t>, opstod der kun sjældne hændelser hos 1 forsøgsperson.</w:t>
      </w:r>
    </w:p>
    <w:p w14:paraId="44517374" w14:textId="77777777" w:rsidR="001C7B69" w:rsidRPr="00E400E9" w:rsidRDefault="001C7B69" w:rsidP="001C7B69">
      <w:pPr>
        <w:autoSpaceDE w:val="0"/>
        <w:autoSpaceDN w:val="0"/>
        <w:adjustRightInd w:val="0"/>
        <w:rPr>
          <w:noProof/>
          <w:sz w:val="24"/>
          <w:szCs w:val="24"/>
        </w:rPr>
      </w:pPr>
      <w:r w:rsidRPr="00E400E9">
        <w:rPr>
          <w:sz w:val="24"/>
          <w:szCs w:val="24"/>
        </w:rPr>
        <w:t>Der blev anvendt en "</w:t>
      </w:r>
      <w:proofErr w:type="spellStart"/>
      <w:r w:rsidRPr="00E400E9">
        <w:rPr>
          <w:sz w:val="24"/>
          <w:szCs w:val="24"/>
        </w:rPr>
        <w:t>worst</w:t>
      </w:r>
      <w:proofErr w:type="spellEnd"/>
      <w:r w:rsidRPr="00E400E9">
        <w:rPr>
          <w:sz w:val="24"/>
          <w:szCs w:val="24"/>
        </w:rPr>
        <w:t xml:space="preserve"> </w:t>
      </w:r>
      <w:proofErr w:type="spellStart"/>
      <w:r w:rsidRPr="00E400E9">
        <w:rPr>
          <w:sz w:val="24"/>
          <w:szCs w:val="24"/>
        </w:rPr>
        <w:t>case"-tilgang</w:t>
      </w:r>
      <w:proofErr w:type="spellEnd"/>
      <w:r w:rsidRPr="00E400E9">
        <w:rPr>
          <w:sz w:val="24"/>
          <w:szCs w:val="24"/>
        </w:rPr>
        <w:t xml:space="preserve"> til tildelingen af hyppigheder ved hændelser, der forekom i kliniske studier og studier efter markedsføring.</w:t>
      </w:r>
    </w:p>
    <w:p w14:paraId="03C70049" w14:textId="77777777" w:rsidR="001C7B69" w:rsidRPr="00E400E9" w:rsidRDefault="001C7B69" w:rsidP="001C7B69">
      <w:pPr>
        <w:autoSpaceDE w:val="0"/>
        <w:autoSpaceDN w:val="0"/>
        <w:adjustRightInd w:val="0"/>
        <w:rPr>
          <w:noProof/>
          <w:sz w:val="24"/>
          <w:szCs w:val="24"/>
        </w:rPr>
      </w:pPr>
      <w:r w:rsidRPr="00E400E9">
        <w:rPr>
          <w:sz w:val="24"/>
          <w:szCs w:val="24"/>
        </w:rPr>
        <w:t>* bivirkning ved injektionsproceduren. Bemærk, at denne information ikke blev indsamlet ved det koreanske studie efter markedsføring.</w:t>
      </w:r>
    </w:p>
    <w:p w14:paraId="76A56EC8" w14:textId="357A8FC4" w:rsidR="00093A1E" w:rsidRPr="00E400E9" w:rsidRDefault="001C7B69" w:rsidP="001C7B69">
      <w:pPr>
        <w:autoSpaceDE w:val="0"/>
        <w:autoSpaceDN w:val="0"/>
        <w:adjustRightInd w:val="0"/>
        <w:rPr>
          <w:noProof/>
          <w:sz w:val="24"/>
          <w:szCs w:val="24"/>
        </w:rPr>
      </w:pPr>
      <w:r w:rsidRPr="00E400E9">
        <w:rPr>
          <w:sz w:val="24"/>
          <w:szCs w:val="24"/>
        </w:rPr>
        <w:t>** kun studie efter markedsføring</w:t>
      </w:r>
      <w:r>
        <w:rPr>
          <w:noProof/>
          <w:sz w:val="24"/>
          <w:szCs w:val="24"/>
        </w:rPr>
        <w:t>.</w:t>
      </w:r>
    </w:p>
    <w:p w14:paraId="770AB409" w14:textId="77777777" w:rsidR="00093A1E" w:rsidRPr="00E400E9" w:rsidRDefault="00093A1E" w:rsidP="00093A1E">
      <w:pPr>
        <w:ind w:left="851"/>
        <w:rPr>
          <w:noProof/>
          <w:sz w:val="24"/>
          <w:szCs w:val="24"/>
          <w:u w:val="single"/>
        </w:rPr>
      </w:pPr>
      <w:r w:rsidRPr="00E400E9">
        <w:rPr>
          <w:sz w:val="24"/>
          <w:szCs w:val="24"/>
          <w:u w:val="single"/>
        </w:rPr>
        <w:lastRenderedPageBreak/>
        <w:t>Beskrivelse af udvalgte bivirkninger</w:t>
      </w:r>
    </w:p>
    <w:p w14:paraId="70A9B48D" w14:textId="77777777" w:rsidR="00093A1E" w:rsidRPr="00E400E9" w:rsidRDefault="00093A1E" w:rsidP="00093A1E">
      <w:pPr>
        <w:ind w:left="851"/>
        <w:rPr>
          <w:i/>
          <w:noProof/>
          <w:sz w:val="24"/>
          <w:szCs w:val="24"/>
        </w:rPr>
      </w:pPr>
      <w:r w:rsidRPr="00E400E9">
        <w:rPr>
          <w:i/>
          <w:sz w:val="24"/>
          <w:szCs w:val="24"/>
        </w:rPr>
        <w:t>Applikationsrelaterede bivirkninger</w:t>
      </w:r>
    </w:p>
    <w:p w14:paraId="39808C05" w14:textId="77777777" w:rsidR="00093A1E" w:rsidRPr="00E400E9" w:rsidRDefault="00093A1E" w:rsidP="00093A1E">
      <w:pPr>
        <w:ind w:left="851"/>
        <w:rPr>
          <w:iCs/>
          <w:noProof/>
          <w:sz w:val="24"/>
          <w:szCs w:val="24"/>
        </w:rPr>
      </w:pPr>
      <w:r w:rsidRPr="00E400E9">
        <w:rPr>
          <w:iCs/>
          <w:sz w:val="24"/>
          <w:szCs w:val="24"/>
        </w:rPr>
        <w:t xml:space="preserve">Applikationsrelaterede bivirkninger rapporteret efter administration af </w:t>
      </w:r>
      <w:proofErr w:type="spellStart"/>
      <w:r w:rsidRPr="00E400E9">
        <w:rPr>
          <w:iCs/>
          <w:sz w:val="24"/>
          <w:szCs w:val="24"/>
        </w:rPr>
        <w:t>Letybo</w:t>
      </w:r>
      <w:proofErr w:type="spellEnd"/>
      <w:r w:rsidRPr="00E400E9">
        <w:rPr>
          <w:iCs/>
          <w:sz w:val="24"/>
          <w:szCs w:val="24"/>
        </w:rPr>
        <w:t xml:space="preserve"> er ikke almindelige hændelser individuelt og almindelige, når de lægges sammen. Ikke almindelige reaktioner på injektionsstedet omfatter smerter, blå mærker, hævelse, </w:t>
      </w:r>
      <w:proofErr w:type="spellStart"/>
      <w:r w:rsidRPr="00E400E9">
        <w:rPr>
          <w:iCs/>
          <w:sz w:val="24"/>
          <w:szCs w:val="24"/>
        </w:rPr>
        <w:t>pruritus</w:t>
      </w:r>
      <w:proofErr w:type="spellEnd"/>
      <w:r w:rsidRPr="00E400E9">
        <w:rPr>
          <w:iCs/>
          <w:sz w:val="24"/>
          <w:szCs w:val="24"/>
        </w:rPr>
        <w:t>, knuder og trykken. Sjældent forekommende hændelser på injektionsstedet omfatter smerter og ubehag.</w:t>
      </w:r>
    </w:p>
    <w:p w14:paraId="13886CF7" w14:textId="77777777" w:rsidR="00093A1E" w:rsidRPr="00E400E9" w:rsidRDefault="00093A1E" w:rsidP="00093A1E">
      <w:pPr>
        <w:ind w:left="851"/>
        <w:rPr>
          <w:i/>
          <w:noProof/>
          <w:sz w:val="24"/>
          <w:szCs w:val="24"/>
        </w:rPr>
      </w:pPr>
    </w:p>
    <w:p w14:paraId="73C90EB4" w14:textId="77777777" w:rsidR="00093A1E" w:rsidRPr="00E400E9" w:rsidRDefault="00093A1E" w:rsidP="00093A1E">
      <w:pPr>
        <w:ind w:left="851"/>
        <w:rPr>
          <w:i/>
          <w:noProof/>
          <w:sz w:val="24"/>
          <w:szCs w:val="24"/>
        </w:rPr>
      </w:pPr>
      <w:r w:rsidRPr="00E400E9">
        <w:rPr>
          <w:i/>
          <w:sz w:val="24"/>
          <w:szCs w:val="24"/>
        </w:rPr>
        <w:t>Risiko for spredning af toksin fjernt fra administrationsstedet</w:t>
      </w:r>
    </w:p>
    <w:p w14:paraId="0345FA78" w14:textId="77777777" w:rsidR="00093A1E" w:rsidRPr="00E400E9" w:rsidRDefault="00093A1E" w:rsidP="00093A1E">
      <w:pPr>
        <w:ind w:left="851"/>
        <w:rPr>
          <w:noProof/>
          <w:sz w:val="24"/>
          <w:szCs w:val="24"/>
        </w:rPr>
      </w:pPr>
      <w:r w:rsidRPr="00E400E9">
        <w:rPr>
          <w:sz w:val="24"/>
          <w:szCs w:val="24"/>
        </w:rPr>
        <w:t xml:space="preserve">Der er med </w:t>
      </w:r>
      <w:proofErr w:type="spellStart"/>
      <w:r w:rsidRPr="00E400E9">
        <w:rPr>
          <w:sz w:val="24"/>
          <w:szCs w:val="24"/>
        </w:rPr>
        <w:t>botulinumtoksin</w:t>
      </w:r>
      <w:proofErr w:type="spellEnd"/>
      <w:r w:rsidRPr="00E400E9">
        <w:rPr>
          <w:sz w:val="24"/>
          <w:szCs w:val="24"/>
        </w:rPr>
        <w:t xml:space="preserve"> i meget sjældne tilfælde rapporteret om bivirkninger, der muligvis er relateret til spredning af toksin fjernt fra administrationsstedet (f.eks. muskelsvaghed, </w:t>
      </w:r>
      <w:proofErr w:type="spellStart"/>
      <w:r w:rsidRPr="00E400E9">
        <w:rPr>
          <w:sz w:val="24"/>
          <w:szCs w:val="24"/>
        </w:rPr>
        <w:t>dysfagi</w:t>
      </w:r>
      <w:proofErr w:type="spellEnd"/>
      <w:r w:rsidRPr="00E400E9">
        <w:rPr>
          <w:sz w:val="24"/>
          <w:szCs w:val="24"/>
        </w:rPr>
        <w:t>, forstoppelse eller aspirationspneumoni, som kan være dødelig) (se pkt. 4.4).</w:t>
      </w:r>
    </w:p>
    <w:p w14:paraId="2EA67070" w14:textId="77777777" w:rsidR="00093A1E" w:rsidRPr="00E400E9" w:rsidRDefault="00093A1E" w:rsidP="00093A1E">
      <w:pPr>
        <w:ind w:left="851"/>
        <w:rPr>
          <w:noProof/>
          <w:sz w:val="24"/>
          <w:szCs w:val="24"/>
        </w:rPr>
      </w:pPr>
    </w:p>
    <w:p w14:paraId="42343DEC" w14:textId="77777777" w:rsidR="00093A1E" w:rsidRPr="00E400E9" w:rsidRDefault="00093A1E" w:rsidP="00093A1E">
      <w:pPr>
        <w:autoSpaceDE w:val="0"/>
        <w:autoSpaceDN w:val="0"/>
        <w:adjustRightInd w:val="0"/>
        <w:ind w:left="851"/>
        <w:rPr>
          <w:sz w:val="24"/>
          <w:szCs w:val="24"/>
          <w:u w:val="single"/>
        </w:rPr>
      </w:pPr>
      <w:r w:rsidRPr="00E400E9">
        <w:rPr>
          <w:sz w:val="24"/>
          <w:szCs w:val="24"/>
          <w:u w:val="single"/>
        </w:rPr>
        <w:t>Indberetning af formodede bivirkninger</w:t>
      </w:r>
    </w:p>
    <w:p w14:paraId="69387148" w14:textId="77777777" w:rsidR="00093A1E" w:rsidRPr="00E400E9" w:rsidRDefault="00093A1E" w:rsidP="00093A1E">
      <w:pPr>
        <w:autoSpaceDE w:val="0"/>
        <w:autoSpaceDN w:val="0"/>
        <w:adjustRightInd w:val="0"/>
        <w:ind w:left="851"/>
        <w:rPr>
          <w:sz w:val="24"/>
          <w:szCs w:val="24"/>
        </w:rPr>
      </w:pPr>
      <w:r w:rsidRPr="00E400E9">
        <w:rPr>
          <w:sz w:val="24"/>
          <w:szCs w:val="24"/>
        </w:rPr>
        <w:t>Når lægemidlet er godkendt, er indberetning af formodede bivirkninger vigtig. Det muliggør løbende overvågning af benefit/</w:t>
      </w:r>
      <w:proofErr w:type="spellStart"/>
      <w:r w:rsidRPr="00E400E9">
        <w:rPr>
          <w:sz w:val="24"/>
          <w:szCs w:val="24"/>
        </w:rPr>
        <w:t>risk</w:t>
      </w:r>
      <w:proofErr w:type="spellEnd"/>
      <w:r w:rsidRPr="00E400E9">
        <w:rPr>
          <w:sz w:val="24"/>
          <w:szCs w:val="24"/>
        </w:rPr>
        <w:noBreakHyphen/>
        <w:t xml:space="preserve">forholdet for lægemidlet. Sundhedspersoner anmodes om at indberette alle formodede bivirkninger via </w:t>
      </w:r>
    </w:p>
    <w:p w14:paraId="355EBC3C" w14:textId="77777777" w:rsidR="00093A1E" w:rsidRPr="00E400E9" w:rsidRDefault="00093A1E" w:rsidP="00093A1E">
      <w:pPr>
        <w:autoSpaceDE w:val="0"/>
        <w:autoSpaceDN w:val="0"/>
        <w:adjustRightInd w:val="0"/>
        <w:ind w:left="851"/>
        <w:rPr>
          <w:sz w:val="24"/>
          <w:szCs w:val="24"/>
        </w:rPr>
      </w:pPr>
    </w:p>
    <w:p w14:paraId="0E6824EA" w14:textId="77777777" w:rsidR="00093A1E" w:rsidRPr="00E400E9" w:rsidRDefault="00093A1E" w:rsidP="00093A1E">
      <w:pPr>
        <w:autoSpaceDE w:val="0"/>
        <w:autoSpaceDN w:val="0"/>
        <w:adjustRightInd w:val="0"/>
        <w:ind w:left="851"/>
        <w:rPr>
          <w:noProof/>
          <w:sz w:val="24"/>
          <w:szCs w:val="24"/>
        </w:rPr>
      </w:pPr>
      <w:r w:rsidRPr="00E400E9">
        <w:rPr>
          <w:noProof/>
          <w:sz w:val="24"/>
          <w:szCs w:val="24"/>
        </w:rPr>
        <w:t xml:space="preserve">Lægemiddelstyrelsen  </w:t>
      </w:r>
    </w:p>
    <w:p w14:paraId="4C5CD3B0" w14:textId="77777777" w:rsidR="00093A1E" w:rsidRPr="00E400E9" w:rsidRDefault="00093A1E" w:rsidP="00093A1E">
      <w:pPr>
        <w:autoSpaceDE w:val="0"/>
        <w:autoSpaceDN w:val="0"/>
        <w:adjustRightInd w:val="0"/>
        <w:ind w:left="851"/>
        <w:rPr>
          <w:noProof/>
          <w:sz w:val="24"/>
          <w:szCs w:val="24"/>
        </w:rPr>
      </w:pPr>
      <w:r w:rsidRPr="00E400E9">
        <w:rPr>
          <w:noProof/>
          <w:sz w:val="24"/>
          <w:szCs w:val="24"/>
        </w:rPr>
        <w:t>Axel Heides Gade 1</w:t>
      </w:r>
    </w:p>
    <w:p w14:paraId="2031E6FF" w14:textId="77777777" w:rsidR="00093A1E" w:rsidRPr="00E400E9" w:rsidRDefault="00093A1E" w:rsidP="00093A1E">
      <w:pPr>
        <w:autoSpaceDE w:val="0"/>
        <w:autoSpaceDN w:val="0"/>
        <w:adjustRightInd w:val="0"/>
        <w:ind w:left="851"/>
        <w:rPr>
          <w:noProof/>
          <w:sz w:val="24"/>
          <w:szCs w:val="24"/>
        </w:rPr>
      </w:pPr>
      <w:r w:rsidRPr="00E400E9">
        <w:rPr>
          <w:noProof/>
          <w:sz w:val="24"/>
          <w:szCs w:val="24"/>
        </w:rPr>
        <w:t>DK-2300 København S</w:t>
      </w:r>
    </w:p>
    <w:p w14:paraId="3577993B" w14:textId="77777777" w:rsidR="00093A1E" w:rsidRPr="00E400E9" w:rsidRDefault="00093A1E" w:rsidP="00093A1E">
      <w:pPr>
        <w:autoSpaceDE w:val="0"/>
        <w:autoSpaceDN w:val="0"/>
        <w:adjustRightInd w:val="0"/>
        <w:ind w:left="851"/>
        <w:rPr>
          <w:noProof/>
          <w:sz w:val="24"/>
          <w:szCs w:val="24"/>
        </w:rPr>
      </w:pPr>
      <w:r w:rsidRPr="00E400E9">
        <w:rPr>
          <w:noProof/>
          <w:sz w:val="24"/>
          <w:szCs w:val="24"/>
        </w:rPr>
        <w:t>Websted: www.meldenbivirkning.dk</w:t>
      </w:r>
    </w:p>
    <w:p w14:paraId="337CCBF4" w14:textId="77777777" w:rsidR="009260DE" w:rsidRPr="00E400E9" w:rsidRDefault="009260DE" w:rsidP="00A10294">
      <w:pPr>
        <w:tabs>
          <w:tab w:val="left" w:pos="851"/>
        </w:tabs>
        <w:ind w:left="851"/>
        <w:rPr>
          <w:sz w:val="24"/>
          <w:szCs w:val="24"/>
        </w:rPr>
      </w:pPr>
    </w:p>
    <w:p w14:paraId="55A914B9" w14:textId="77777777" w:rsidR="009260DE" w:rsidRPr="00E400E9" w:rsidRDefault="009260DE" w:rsidP="009260DE">
      <w:pPr>
        <w:tabs>
          <w:tab w:val="left" w:pos="851"/>
        </w:tabs>
        <w:ind w:left="851" w:hanging="851"/>
        <w:rPr>
          <w:b/>
          <w:sz w:val="24"/>
          <w:szCs w:val="24"/>
        </w:rPr>
      </w:pPr>
      <w:r w:rsidRPr="00E400E9">
        <w:rPr>
          <w:b/>
          <w:sz w:val="24"/>
          <w:szCs w:val="24"/>
        </w:rPr>
        <w:t>4.9</w:t>
      </w:r>
      <w:r w:rsidRPr="00E400E9">
        <w:rPr>
          <w:b/>
          <w:sz w:val="24"/>
          <w:szCs w:val="24"/>
        </w:rPr>
        <w:tab/>
        <w:t>Overdosering</w:t>
      </w:r>
    </w:p>
    <w:p w14:paraId="19452E75" w14:textId="77777777" w:rsidR="00F37506" w:rsidRPr="00E400E9" w:rsidRDefault="00F37506" w:rsidP="00093A1E">
      <w:pPr>
        <w:ind w:left="851"/>
        <w:rPr>
          <w:sz w:val="24"/>
          <w:szCs w:val="24"/>
        </w:rPr>
      </w:pPr>
    </w:p>
    <w:p w14:paraId="088847F5" w14:textId="2C28189E" w:rsidR="00093A1E" w:rsidRPr="00E400E9" w:rsidRDefault="00093A1E" w:rsidP="00093A1E">
      <w:pPr>
        <w:ind w:left="851"/>
        <w:rPr>
          <w:noProof/>
          <w:sz w:val="24"/>
          <w:szCs w:val="24"/>
          <w:u w:val="single"/>
          <w:lang w:eastAsia="da-DK"/>
        </w:rPr>
      </w:pPr>
      <w:r w:rsidRPr="00E400E9">
        <w:rPr>
          <w:sz w:val="24"/>
          <w:szCs w:val="24"/>
          <w:u w:val="single"/>
        </w:rPr>
        <w:t>Symptomer på overdosering</w:t>
      </w:r>
    </w:p>
    <w:p w14:paraId="6F3D3660" w14:textId="77777777" w:rsidR="00093A1E" w:rsidRPr="00E400E9" w:rsidRDefault="00093A1E" w:rsidP="00093A1E">
      <w:pPr>
        <w:ind w:left="851"/>
        <w:rPr>
          <w:sz w:val="24"/>
          <w:szCs w:val="24"/>
        </w:rPr>
      </w:pPr>
      <w:r w:rsidRPr="00E400E9">
        <w:rPr>
          <w:sz w:val="24"/>
          <w:szCs w:val="24"/>
        </w:rPr>
        <w:t xml:space="preserve">Overdosering af </w:t>
      </w:r>
      <w:proofErr w:type="spellStart"/>
      <w:r w:rsidRPr="00E400E9">
        <w:rPr>
          <w:sz w:val="24"/>
          <w:szCs w:val="24"/>
        </w:rPr>
        <w:t>Letybo</w:t>
      </w:r>
      <w:proofErr w:type="spellEnd"/>
      <w:r w:rsidRPr="00E400E9">
        <w:rPr>
          <w:sz w:val="24"/>
          <w:szCs w:val="24"/>
        </w:rPr>
        <w:t xml:space="preserve"> afhænger af dosis, injektionssted og det underliggende vævs egenskaber.</w:t>
      </w:r>
    </w:p>
    <w:p w14:paraId="1A5BFFCE" w14:textId="77777777" w:rsidR="00093A1E" w:rsidRPr="00E400E9" w:rsidRDefault="00093A1E" w:rsidP="00093A1E">
      <w:pPr>
        <w:ind w:left="851"/>
        <w:rPr>
          <w:sz w:val="24"/>
          <w:szCs w:val="24"/>
        </w:rPr>
      </w:pPr>
      <w:r w:rsidRPr="00E400E9">
        <w:rPr>
          <w:sz w:val="24"/>
          <w:szCs w:val="24"/>
        </w:rPr>
        <w:t xml:space="preserve">Der er ikke observeret nogen tilfælde af systemisk toksicitet som resultat af utilsigtet injektion af </w:t>
      </w:r>
      <w:proofErr w:type="spellStart"/>
      <w:r w:rsidRPr="00E400E9">
        <w:rPr>
          <w:sz w:val="24"/>
          <w:szCs w:val="24"/>
        </w:rPr>
        <w:t>botulinumtoksin</w:t>
      </w:r>
      <w:proofErr w:type="spellEnd"/>
      <w:r w:rsidRPr="00E400E9">
        <w:rPr>
          <w:sz w:val="24"/>
          <w:szCs w:val="24"/>
        </w:rPr>
        <w:t xml:space="preserve"> type A. For store doser kan medføre lokal eller fjern, generaliseret og omfattende </w:t>
      </w:r>
      <w:proofErr w:type="spellStart"/>
      <w:r w:rsidRPr="00E400E9">
        <w:rPr>
          <w:sz w:val="24"/>
          <w:szCs w:val="24"/>
        </w:rPr>
        <w:t>neuromuskulær</w:t>
      </w:r>
      <w:proofErr w:type="spellEnd"/>
      <w:r w:rsidRPr="00E400E9">
        <w:rPr>
          <w:sz w:val="24"/>
          <w:szCs w:val="24"/>
        </w:rPr>
        <w:t xml:space="preserve"> lammelse. Der er ikke observeret nogen tilfælde af indtagelse af </w:t>
      </w:r>
      <w:proofErr w:type="spellStart"/>
      <w:r w:rsidRPr="00E400E9">
        <w:rPr>
          <w:sz w:val="24"/>
          <w:szCs w:val="24"/>
        </w:rPr>
        <w:t>botulinumtoksin</w:t>
      </w:r>
      <w:proofErr w:type="spellEnd"/>
      <w:r w:rsidRPr="00E400E9">
        <w:rPr>
          <w:sz w:val="24"/>
          <w:szCs w:val="24"/>
        </w:rPr>
        <w:t xml:space="preserve"> type A.</w:t>
      </w:r>
    </w:p>
    <w:p w14:paraId="56715049" w14:textId="77777777" w:rsidR="00093A1E" w:rsidRPr="00E400E9" w:rsidRDefault="00093A1E" w:rsidP="00093A1E">
      <w:pPr>
        <w:ind w:left="851"/>
        <w:rPr>
          <w:sz w:val="24"/>
          <w:szCs w:val="24"/>
        </w:rPr>
      </w:pPr>
    </w:p>
    <w:p w14:paraId="5421E12D" w14:textId="77777777" w:rsidR="00093A1E" w:rsidRPr="00E400E9" w:rsidRDefault="00093A1E" w:rsidP="00093A1E">
      <w:pPr>
        <w:ind w:left="851"/>
        <w:rPr>
          <w:sz w:val="24"/>
          <w:szCs w:val="24"/>
        </w:rPr>
      </w:pPr>
      <w:r w:rsidRPr="00E400E9">
        <w:rPr>
          <w:sz w:val="24"/>
          <w:szCs w:val="24"/>
        </w:rPr>
        <w:t>Tegn på overdosering kan ikke nødvendigvis ses straks efter injektionen.</w:t>
      </w:r>
    </w:p>
    <w:p w14:paraId="32C86154" w14:textId="77777777" w:rsidR="00093A1E" w:rsidRPr="00E400E9" w:rsidRDefault="00093A1E" w:rsidP="00093A1E">
      <w:pPr>
        <w:ind w:left="851"/>
        <w:rPr>
          <w:sz w:val="24"/>
          <w:szCs w:val="24"/>
        </w:rPr>
      </w:pPr>
    </w:p>
    <w:p w14:paraId="4C4A8F28" w14:textId="77777777" w:rsidR="00093A1E" w:rsidRPr="00E400E9" w:rsidRDefault="00093A1E" w:rsidP="00093A1E">
      <w:pPr>
        <w:ind w:left="851"/>
        <w:rPr>
          <w:noProof/>
          <w:sz w:val="24"/>
          <w:szCs w:val="24"/>
          <w:u w:val="single"/>
        </w:rPr>
      </w:pPr>
      <w:r w:rsidRPr="00E400E9">
        <w:rPr>
          <w:sz w:val="24"/>
          <w:szCs w:val="24"/>
          <w:u w:val="single"/>
        </w:rPr>
        <w:t>Håndtering af overdosering</w:t>
      </w:r>
    </w:p>
    <w:p w14:paraId="6362E1D9" w14:textId="77777777" w:rsidR="00093A1E" w:rsidRPr="00E400E9" w:rsidRDefault="00093A1E" w:rsidP="00093A1E">
      <w:pPr>
        <w:ind w:left="851"/>
        <w:rPr>
          <w:sz w:val="24"/>
          <w:szCs w:val="24"/>
        </w:rPr>
      </w:pPr>
      <w:r w:rsidRPr="00E400E9">
        <w:rPr>
          <w:sz w:val="24"/>
          <w:szCs w:val="24"/>
        </w:rPr>
        <w:t xml:space="preserve">I tilfælde af utilsigtet injektion eller indtagelse skal patienten overvåges medicinsk for tegn og symptomer på generel svaghed eller muskellammelse. Det bør overvejes at hospitalsindlægge patienter, der har symptomer på forgiftning med </w:t>
      </w:r>
      <w:proofErr w:type="spellStart"/>
      <w:r w:rsidRPr="00E400E9">
        <w:rPr>
          <w:sz w:val="24"/>
          <w:szCs w:val="24"/>
        </w:rPr>
        <w:t>botulinumtoksin</w:t>
      </w:r>
      <w:proofErr w:type="spellEnd"/>
      <w:r w:rsidRPr="00E400E9">
        <w:rPr>
          <w:sz w:val="24"/>
          <w:szCs w:val="24"/>
        </w:rPr>
        <w:t xml:space="preserve"> type A (generaliseret svaghed, </w:t>
      </w:r>
      <w:proofErr w:type="spellStart"/>
      <w:r w:rsidRPr="00E400E9">
        <w:rPr>
          <w:sz w:val="24"/>
          <w:szCs w:val="24"/>
        </w:rPr>
        <w:t>ptose</w:t>
      </w:r>
      <w:proofErr w:type="spellEnd"/>
      <w:r w:rsidRPr="00E400E9">
        <w:rPr>
          <w:sz w:val="24"/>
          <w:szCs w:val="24"/>
        </w:rPr>
        <w:t xml:space="preserve">, </w:t>
      </w:r>
      <w:proofErr w:type="spellStart"/>
      <w:r w:rsidRPr="00E400E9">
        <w:rPr>
          <w:sz w:val="24"/>
          <w:szCs w:val="24"/>
        </w:rPr>
        <w:t>diplopi</w:t>
      </w:r>
      <w:proofErr w:type="spellEnd"/>
      <w:r w:rsidRPr="00E400E9">
        <w:rPr>
          <w:sz w:val="24"/>
          <w:szCs w:val="24"/>
        </w:rPr>
        <w:t>, synke</w:t>
      </w:r>
      <w:r w:rsidRPr="00E400E9">
        <w:rPr>
          <w:sz w:val="24"/>
          <w:szCs w:val="24"/>
        </w:rPr>
        <w:noBreakHyphen/>
        <w:t xml:space="preserve"> og taleforstyrrelser eller parese af respirationsmusklerne).</w:t>
      </w:r>
    </w:p>
    <w:p w14:paraId="02DA59BD" w14:textId="77777777" w:rsidR="009260DE" w:rsidRPr="00E400E9" w:rsidRDefault="009260DE" w:rsidP="009260DE">
      <w:pPr>
        <w:tabs>
          <w:tab w:val="left" w:pos="851"/>
        </w:tabs>
        <w:ind w:left="851"/>
        <w:rPr>
          <w:sz w:val="24"/>
          <w:szCs w:val="24"/>
        </w:rPr>
      </w:pPr>
    </w:p>
    <w:p w14:paraId="0DB15AD7" w14:textId="77777777" w:rsidR="009260DE" w:rsidRPr="00E400E9" w:rsidRDefault="009260DE" w:rsidP="009260DE">
      <w:pPr>
        <w:tabs>
          <w:tab w:val="left" w:pos="851"/>
        </w:tabs>
        <w:ind w:left="851" w:hanging="851"/>
        <w:rPr>
          <w:b/>
          <w:sz w:val="24"/>
          <w:szCs w:val="24"/>
        </w:rPr>
      </w:pPr>
      <w:r w:rsidRPr="00E400E9">
        <w:rPr>
          <w:b/>
          <w:sz w:val="24"/>
          <w:szCs w:val="24"/>
        </w:rPr>
        <w:t>4.10</w:t>
      </w:r>
      <w:r w:rsidRPr="00E400E9">
        <w:rPr>
          <w:b/>
          <w:sz w:val="24"/>
          <w:szCs w:val="24"/>
        </w:rPr>
        <w:tab/>
        <w:t>Udlevering</w:t>
      </w:r>
    </w:p>
    <w:p w14:paraId="6E4BAA88" w14:textId="77777777" w:rsidR="000964F9" w:rsidRDefault="00F37506" w:rsidP="009260DE">
      <w:pPr>
        <w:tabs>
          <w:tab w:val="left" w:pos="851"/>
        </w:tabs>
        <w:ind w:left="851"/>
        <w:rPr>
          <w:sz w:val="24"/>
          <w:szCs w:val="24"/>
        </w:rPr>
      </w:pPr>
      <w:r w:rsidRPr="00E400E9">
        <w:rPr>
          <w:sz w:val="24"/>
          <w:szCs w:val="24"/>
        </w:rPr>
        <w:t>NBS</w:t>
      </w:r>
    </w:p>
    <w:p w14:paraId="67F69FE7" w14:textId="60890CF6" w:rsidR="009260DE" w:rsidRPr="00E400E9" w:rsidRDefault="000964F9" w:rsidP="009260DE">
      <w:pPr>
        <w:tabs>
          <w:tab w:val="left" w:pos="851"/>
        </w:tabs>
        <w:ind w:left="851"/>
        <w:rPr>
          <w:sz w:val="24"/>
          <w:szCs w:val="24"/>
        </w:rPr>
      </w:pPr>
      <w:r>
        <w:rPr>
          <w:sz w:val="24"/>
          <w:szCs w:val="24"/>
        </w:rPr>
        <w:t>Må kun udleveres til sygehuse eller efter ordination</w:t>
      </w:r>
      <w:r w:rsidR="00F37506" w:rsidRPr="00E400E9">
        <w:rPr>
          <w:sz w:val="24"/>
          <w:szCs w:val="24"/>
        </w:rPr>
        <w:t xml:space="preserve"> af speciallæger i </w:t>
      </w:r>
      <w:proofErr w:type="spellStart"/>
      <w:r w:rsidR="00F37506" w:rsidRPr="00E400E9">
        <w:rPr>
          <w:sz w:val="24"/>
          <w:szCs w:val="24"/>
        </w:rPr>
        <w:t>dermato</w:t>
      </w:r>
      <w:proofErr w:type="spellEnd"/>
      <w:r w:rsidR="00F37506" w:rsidRPr="00E400E9">
        <w:rPr>
          <w:sz w:val="24"/>
          <w:szCs w:val="24"/>
        </w:rPr>
        <w:t>-venerologi, neurologi, oftalmologi, plastikkirurgi og urologi</w:t>
      </w:r>
    </w:p>
    <w:p w14:paraId="7B6161CB" w14:textId="77777777" w:rsidR="009260DE" w:rsidRPr="00E400E9" w:rsidRDefault="009260DE" w:rsidP="009260DE">
      <w:pPr>
        <w:tabs>
          <w:tab w:val="left" w:pos="851"/>
        </w:tabs>
        <w:ind w:left="851"/>
        <w:rPr>
          <w:sz w:val="24"/>
          <w:szCs w:val="24"/>
        </w:rPr>
      </w:pPr>
    </w:p>
    <w:p w14:paraId="61F192C5" w14:textId="4397E14C" w:rsidR="00E2298A" w:rsidRDefault="00E2298A">
      <w:pPr>
        <w:rPr>
          <w:sz w:val="24"/>
          <w:szCs w:val="24"/>
        </w:rPr>
      </w:pPr>
      <w:r>
        <w:rPr>
          <w:sz w:val="24"/>
          <w:szCs w:val="24"/>
        </w:rPr>
        <w:br w:type="page"/>
      </w:r>
    </w:p>
    <w:p w14:paraId="34AAF727" w14:textId="77777777" w:rsidR="009260DE" w:rsidRPr="00E400E9" w:rsidRDefault="009260DE" w:rsidP="009260DE">
      <w:pPr>
        <w:tabs>
          <w:tab w:val="left" w:pos="851"/>
        </w:tabs>
        <w:ind w:left="851"/>
        <w:rPr>
          <w:sz w:val="24"/>
          <w:szCs w:val="24"/>
        </w:rPr>
      </w:pPr>
    </w:p>
    <w:p w14:paraId="0ACEA866" w14:textId="1F4C8272" w:rsidR="00093A1E" w:rsidRPr="001C7B69" w:rsidRDefault="009260DE" w:rsidP="001C7B69">
      <w:pPr>
        <w:tabs>
          <w:tab w:val="left" w:pos="851"/>
        </w:tabs>
        <w:ind w:left="851" w:hanging="851"/>
        <w:rPr>
          <w:b/>
          <w:sz w:val="24"/>
          <w:szCs w:val="24"/>
        </w:rPr>
      </w:pPr>
      <w:r w:rsidRPr="00E400E9">
        <w:rPr>
          <w:b/>
          <w:sz w:val="24"/>
          <w:szCs w:val="24"/>
        </w:rPr>
        <w:t>5.</w:t>
      </w:r>
      <w:r w:rsidRPr="00E400E9">
        <w:rPr>
          <w:b/>
          <w:sz w:val="24"/>
          <w:szCs w:val="24"/>
        </w:rPr>
        <w:tab/>
        <w:t>FARMAKOLOGISKE EGENSKABER</w:t>
      </w:r>
    </w:p>
    <w:p w14:paraId="5AB82CE7" w14:textId="77777777" w:rsidR="009260DE" w:rsidRPr="00E400E9" w:rsidRDefault="009260DE" w:rsidP="009260DE">
      <w:pPr>
        <w:tabs>
          <w:tab w:val="left" w:pos="851"/>
        </w:tabs>
        <w:ind w:left="851"/>
        <w:rPr>
          <w:sz w:val="24"/>
          <w:szCs w:val="24"/>
        </w:rPr>
      </w:pPr>
    </w:p>
    <w:p w14:paraId="669F770D" w14:textId="77777777" w:rsidR="009260DE" w:rsidRPr="00E400E9" w:rsidRDefault="009260DE" w:rsidP="009260DE">
      <w:pPr>
        <w:tabs>
          <w:tab w:val="num" w:pos="851"/>
        </w:tabs>
        <w:ind w:left="851" w:hanging="851"/>
        <w:rPr>
          <w:b/>
          <w:sz w:val="24"/>
          <w:szCs w:val="24"/>
        </w:rPr>
      </w:pPr>
      <w:r w:rsidRPr="00E400E9">
        <w:rPr>
          <w:b/>
          <w:sz w:val="24"/>
          <w:szCs w:val="24"/>
        </w:rPr>
        <w:t>5.1</w:t>
      </w:r>
      <w:r w:rsidRPr="00E400E9">
        <w:rPr>
          <w:b/>
          <w:sz w:val="24"/>
          <w:szCs w:val="24"/>
        </w:rPr>
        <w:tab/>
      </w:r>
      <w:proofErr w:type="spellStart"/>
      <w:r w:rsidRPr="00E400E9">
        <w:rPr>
          <w:b/>
          <w:sz w:val="24"/>
          <w:szCs w:val="24"/>
        </w:rPr>
        <w:t>Farmakodynamiske</w:t>
      </w:r>
      <w:proofErr w:type="spellEnd"/>
      <w:r w:rsidRPr="00E400E9">
        <w:rPr>
          <w:b/>
          <w:sz w:val="24"/>
          <w:szCs w:val="24"/>
        </w:rPr>
        <w:t xml:space="preserve"> egenskaber</w:t>
      </w:r>
    </w:p>
    <w:p w14:paraId="3B870E33" w14:textId="4C978475" w:rsidR="001C7B69" w:rsidRPr="00E400E9" w:rsidRDefault="001C7B69" w:rsidP="001C7B69">
      <w:pPr>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E400E9">
        <w:rPr>
          <w:sz w:val="24"/>
          <w:szCs w:val="24"/>
        </w:rPr>
        <w:t>Muskelrelaxantia</w:t>
      </w:r>
      <w:proofErr w:type="spellEnd"/>
      <w:r w:rsidRPr="00E400E9">
        <w:rPr>
          <w:sz w:val="24"/>
          <w:szCs w:val="24"/>
        </w:rPr>
        <w:t xml:space="preserve">, andre </w:t>
      </w:r>
      <w:proofErr w:type="spellStart"/>
      <w:r w:rsidRPr="00E400E9">
        <w:rPr>
          <w:sz w:val="24"/>
          <w:szCs w:val="24"/>
        </w:rPr>
        <w:t>muskelrelaxantia</w:t>
      </w:r>
      <w:proofErr w:type="spellEnd"/>
      <w:r w:rsidRPr="00E400E9">
        <w:rPr>
          <w:sz w:val="24"/>
          <w:szCs w:val="24"/>
        </w:rPr>
        <w:t>, perifert virkende midler.</w:t>
      </w:r>
      <w:r>
        <w:rPr>
          <w:sz w:val="24"/>
          <w:szCs w:val="24"/>
        </w:rPr>
        <w:t xml:space="preserve"> </w:t>
      </w:r>
      <w:r w:rsidRPr="00E400E9">
        <w:rPr>
          <w:sz w:val="24"/>
          <w:szCs w:val="24"/>
        </w:rPr>
        <w:t>ATC-kode: M03AX01</w:t>
      </w:r>
    </w:p>
    <w:p w14:paraId="1BB45CA4" w14:textId="646D954C" w:rsidR="00093A1E" w:rsidRPr="00E400E9" w:rsidRDefault="00093A1E" w:rsidP="00093A1E">
      <w:pPr>
        <w:autoSpaceDE w:val="0"/>
        <w:autoSpaceDN w:val="0"/>
        <w:adjustRightInd w:val="0"/>
        <w:ind w:left="851"/>
        <w:rPr>
          <w:sz w:val="24"/>
          <w:szCs w:val="24"/>
        </w:rPr>
      </w:pPr>
    </w:p>
    <w:p w14:paraId="7152C52F" w14:textId="77777777" w:rsidR="00093A1E" w:rsidRPr="00E400E9" w:rsidRDefault="00093A1E" w:rsidP="00093A1E">
      <w:pPr>
        <w:ind w:left="851"/>
        <w:rPr>
          <w:sz w:val="24"/>
          <w:szCs w:val="24"/>
          <w:u w:val="single"/>
        </w:rPr>
      </w:pPr>
      <w:r w:rsidRPr="00E400E9">
        <w:rPr>
          <w:sz w:val="24"/>
          <w:szCs w:val="24"/>
          <w:u w:val="single"/>
        </w:rPr>
        <w:t>Virkningsmekanisme</w:t>
      </w:r>
    </w:p>
    <w:p w14:paraId="0F639277" w14:textId="77777777" w:rsidR="00093A1E" w:rsidRPr="00E400E9" w:rsidRDefault="00093A1E" w:rsidP="00093A1E">
      <w:pPr>
        <w:ind w:left="851"/>
        <w:rPr>
          <w:sz w:val="24"/>
          <w:szCs w:val="24"/>
        </w:rPr>
      </w:pPr>
      <w:proofErr w:type="spellStart"/>
      <w:r w:rsidRPr="00E400E9">
        <w:rPr>
          <w:i/>
          <w:sz w:val="24"/>
          <w:szCs w:val="24"/>
        </w:rPr>
        <w:t>Clostridium</w:t>
      </w:r>
      <w:proofErr w:type="spellEnd"/>
      <w:r w:rsidRPr="00E400E9">
        <w:rPr>
          <w:i/>
          <w:sz w:val="24"/>
          <w:szCs w:val="24"/>
        </w:rPr>
        <w:t xml:space="preserve"> </w:t>
      </w:r>
      <w:proofErr w:type="spellStart"/>
      <w:r w:rsidRPr="00E400E9">
        <w:rPr>
          <w:i/>
          <w:sz w:val="24"/>
          <w:szCs w:val="24"/>
        </w:rPr>
        <w:t>botulinum</w:t>
      </w:r>
      <w:proofErr w:type="spellEnd"/>
      <w:r w:rsidRPr="00E400E9">
        <w:rPr>
          <w:sz w:val="24"/>
          <w:szCs w:val="24"/>
        </w:rPr>
        <w:t xml:space="preserve"> </w:t>
      </w:r>
      <w:proofErr w:type="spellStart"/>
      <w:r w:rsidRPr="00E400E9">
        <w:rPr>
          <w:sz w:val="24"/>
          <w:szCs w:val="24"/>
        </w:rPr>
        <w:t>neurotoksin</w:t>
      </w:r>
      <w:proofErr w:type="spellEnd"/>
      <w:r w:rsidRPr="00E400E9">
        <w:rPr>
          <w:sz w:val="24"/>
          <w:szCs w:val="24"/>
        </w:rPr>
        <w:t xml:space="preserve"> type A blokerer den perifere frigivelse af neurotransmitteren </w:t>
      </w:r>
      <w:proofErr w:type="spellStart"/>
      <w:r w:rsidRPr="00E400E9">
        <w:rPr>
          <w:sz w:val="24"/>
          <w:szCs w:val="24"/>
        </w:rPr>
        <w:t>acetylcholin</w:t>
      </w:r>
      <w:proofErr w:type="spellEnd"/>
      <w:r w:rsidRPr="00E400E9">
        <w:rPr>
          <w:sz w:val="24"/>
          <w:szCs w:val="24"/>
        </w:rPr>
        <w:t xml:space="preserve"> ved </w:t>
      </w:r>
      <w:proofErr w:type="spellStart"/>
      <w:r w:rsidRPr="00E400E9">
        <w:rPr>
          <w:sz w:val="24"/>
          <w:szCs w:val="24"/>
        </w:rPr>
        <w:t>præsynaptiske</w:t>
      </w:r>
      <w:proofErr w:type="spellEnd"/>
      <w:r w:rsidRPr="00E400E9">
        <w:rPr>
          <w:sz w:val="24"/>
          <w:szCs w:val="24"/>
        </w:rPr>
        <w:t xml:space="preserve"> </w:t>
      </w:r>
      <w:proofErr w:type="spellStart"/>
      <w:r w:rsidRPr="00E400E9">
        <w:rPr>
          <w:sz w:val="24"/>
          <w:szCs w:val="24"/>
        </w:rPr>
        <w:t>kolinerge</w:t>
      </w:r>
      <w:proofErr w:type="spellEnd"/>
      <w:r w:rsidRPr="00E400E9">
        <w:rPr>
          <w:sz w:val="24"/>
          <w:szCs w:val="24"/>
        </w:rPr>
        <w:t xml:space="preserve"> nerveterminaler ved den </w:t>
      </w:r>
      <w:proofErr w:type="spellStart"/>
      <w:r w:rsidRPr="00E400E9">
        <w:rPr>
          <w:sz w:val="24"/>
          <w:szCs w:val="24"/>
        </w:rPr>
        <w:t>neuromuskulære</w:t>
      </w:r>
      <w:proofErr w:type="spellEnd"/>
      <w:r w:rsidRPr="00E400E9">
        <w:rPr>
          <w:sz w:val="24"/>
          <w:szCs w:val="24"/>
        </w:rPr>
        <w:t xml:space="preserve"> forbindelse ved at spalte SNAP</w:t>
      </w:r>
      <w:r w:rsidRPr="00E400E9">
        <w:rPr>
          <w:sz w:val="24"/>
          <w:szCs w:val="24"/>
        </w:rPr>
        <w:noBreakHyphen/>
        <w:t xml:space="preserve">25, et protein, der er afgørende for vellykket sammenkobling og frigivelse af </w:t>
      </w:r>
      <w:proofErr w:type="spellStart"/>
      <w:r w:rsidRPr="00E400E9">
        <w:rPr>
          <w:sz w:val="24"/>
          <w:szCs w:val="24"/>
        </w:rPr>
        <w:t>acetylcholin</w:t>
      </w:r>
      <w:proofErr w:type="spellEnd"/>
      <w:r w:rsidRPr="00E400E9">
        <w:rPr>
          <w:sz w:val="24"/>
          <w:szCs w:val="24"/>
        </w:rPr>
        <w:t xml:space="preserve"> fra </w:t>
      </w:r>
      <w:proofErr w:type="spellStart"/>
      <w:r w:rsidRPr="00E400E9">
        <w:rPr>
          <w:sz w:val="24"/>
          <w:szCs w:val="24"/>
        </w:rPr>
        <w:t>vesikler</w:t>
      </w:r>
      <w:proofErr w:type="spellEnd"/>
      <w:r w:rsidRPr="00E400E9">
        <w:rPr>
          <w:sz w:val="24"/>
          <w:szCs w:val="24"/>
        </w:rPr>
        <w:t xml:space="preserve"> inde i nerveenderne, hvilket medfører </w:t>
      </w:r>
      <w:proofErr w:type="spellStart"/>
      <w:r w:rsidRPr="00E400E9">
        <w:rPr>
          <w:sz w:val="24"/>
          <w:szCs w:val="24"/>
        </w:rPr>
        <w:t>denervering</w:t>
      </w:r>
      <w:proofErr w:type="spellEnd"/>
      <w:r w:rsidRPr="00E400E9">
        <w:rPr>
          <w:sz w:val="24"/>
          <w:szCs w:val="24"/>
        </w:rPr>
        <w:t xml:space="preserve"> af musklen og dermed slap lammelse.</w:t>
      </w:r>
    </w:p>
    <w:p w14:paraId="79F69267" w14:textId="77777777" w:rsidR="00093A1E" w:rsidRPr="00E400E9" w:rsidRDefault="00093A1E" w:rsidP="00093A1E">
      <w:pPr>
        <w:ind w:left="851"/>
        <w:rPr>
          <w:sz w:val="24"/>
          <w:szCs w:val="24"/>
        </w:rPr>
      </w:pPr>
    </w:p>
    <w:p w14:paraId="035B7BF2" w14:textId="77777777" w:rsidR="00093A1E" w:rsidRPr="00E400E9" w:rsidRDefault="00093A1E" w:rsidP="00093A1E">
      <w:pPr>
        <w:ind w:left="851"/>
        <w:rPr>
          <w:sz w:val="24"/>
          <w:szCs w:val="24"/>
        </w:rPr>
      </w:pPr>
      <w:r w:rsidRPr="00E400E9">
        <w:rPr>
          <w:sz w:val="24"/>
          <w:szCs w:val="24"/>
        </w:rPr>
        <w:t xml:space="preserve">Efter injektion sker der en initial hurtig binding af toksin med høj affinitet til specifikke receptorer på celleoverfladen. Dette efterfølges af overførsel af toksinet over plasmamembranen via receptormedieret </w:t>
      </w:r>
      <w:proofErr w:type="spellStart"/>
      <w:r w:rsidRPr="00E400E9">
        <w:rPr>
          <w:sz w:val="24"/>
          <w:szCs w:val="24"/>
        </w:rPr>
        <w:t>endocytose</w:t>
      </w:r>
      <w:proofErr w:type="spellEnd"/>
      <w:r w:rsidRPr="00E400E9">
        <w:rPr>
          <w:sz w:val="24"/>
          <w:szCs w:val="24"/>
        </w:rPr>
        <w:t xml:space="preserve">. Endelig frigives toksinet i </w:t>
      </w:r>
      <w:proofErr w:type="spellStart"/>
      <w:r w:rsidRPr="00E400E9">
        <w:rPr>
          <w:sz w:val="24"/>
          <w:szCs w:val="24"/>
        </w:rPr>
        <w:t>cytosolet</w:t>
      </w:r>
      <w:proofErr w:type="spellEnd"/>
      <w:r w:rsidRPr="00E400E9">
        <w:rPr>
          <w:sz w:val="24"/>
          <w:szCs w:val="24"/>
        </w:rPr>
        <w:t xml:space="preserve"> med progressiv hæmning af </w:t>
      </w:r>
      <w:proofErr w:type="spellStart"/>
      <w:r w:rsidRPr="00E400E9">
        <w:rPr>
          <w:sz w:val="24"/>
          <w:szCs w:val="24"/>
        </w:rPr>
        <w:t>acetylcholinfrigivelse</w:t>
      </w:r>
      <w:proofErr w:type="spellEnd"/>
      <w:r w:rsidRPr="00E400E9">
        <w:rPr>
          <w:sz w:val="24"/>
          <w:szCs w:val="24"/>
        </w:rPr>
        <w:t>. De kliniske tegn manifesterer sig inden for 2</w:t>
      </w:r>
      <w:r w:rsidRPr="00E400E9">
        <w:rPr>
          <w:sz w:val="24"/>
          <w:szCs w:val="24"/>
        </w:rPr>
        <w:noBreakHyphen/>
        <w:t>3 dage, og virkningen topper inden for 4 uger efter injektionen. Normalisering forekommer normalt inden for 3</w:t>
      </w:r>
      <w:r w:rsidRPr="00E400E9">
        <w:rPr>
          <w:sz w:val="24"/>
          <w:szCs w:val="24"/>
        </w:rPr>
        <w:noBreakHyphen/>
        <w:t>4 måneder efter injektionen, når nerveterminalerne vokser ud igen og forbindes med endepladerne igen.</w:t>
      </w:r>
    </w:p>
    <w:p w14:paraId="67AEB692" w14:textId="77777777" w:rsidR="00093A1E" w:rsidRPr="00E400E9" w:rsidRDefault="00093A1E" w:rsidP="00093A1E">
      <w:pPr>
        <w:ind w:left="851"/>
        <w:rPr>
          <w:sz w:val="24"/>
          <w:szCs w:val="24"/>
        </w:rPr>
      </w:pPr>
    </w:p>
    <w:p w14:paraId="349F0011" w14:textId="77777777" w:rsidR="00093A1E" w:rsidRPr="00E400E9" w:rsidRDefault="00093A1E" w:rsidP="00093A1E">
      <w:pPr>
        <w:ind w:left="851"/>
        <w:rPr>
          <w:sz w:val="24"/>
          <w:szCs w:val="24"/>
          <w:u w:val="single"/>
        </w:rPr>
      </w:pPr>
      <w:r w:rsidRPr="00E400E9">
        <w:rPr>
          <w:sz w:val="24"/>
          <w:szCs w:val="24"/>
          <w:u w:val="single"/>
        </w:rPr>
        <w:t>Kliniske data</w:t>
      </w:r>
    </w:p>
    <w:p w14:paraId="52D25DC6" w14:textId="77777777" w:rsidR="00093A1E" w:rsidRPr="00E400E9" w:rsidRDefault="00093A1E" w:rsidP="00093A1E">
      <w:pPr>
        <w:ind w:left="851"/>
        <w:rPr>
          <w:sz w:val="24"/>
          <w:szCs w:val="24"/>
        </w:rPr>
      </w:pPr>
      <w:proofErr w:type="spellStart"/>
      <w:r w:rsidRPr="00E400E9">
        <w:rPr>
          <w:sz w:val="24"/>
          <w:szCs w:val="24"/>
        </w:rPr>
        <w:t>Letybos</w:t>
      </w:r>
      <w:proofErr w:type="spellEnd"/>
      <w:r w:rsidRPr="00E400E9">
        <w:rPr>
          <w:sz w:val="24"/>
          <w:szCs w:val="24"/>
        </w:rPr>
        <w:t xml:space="preserve"> sikkerhed og virkning blev undersøgt i 3 pivotale, dobbeltblindede fase 3</w:t>
      </w:r>
      <w:r w:rsidRPr="00E400E9">
        <w:rPr>
          <w:sz w:val="24"/>
          <w:szCs w:val="24"/>
        </w:rPr>
        <w:noBreakHyphen/>
        <w:t xml:space="preserve">studier (BLESS I, BLESS II og BLESS III), hvor i alt 955 patienter blev behandlet med </w:t>
      </w:r>
      <w:proofErr w:type="spellStart"/>
      <w:r w:rsidRPr="00E400E9">
        <w:rPr>
          <w:sz w:val="24"/>
          <w:szCs w:val="24"/>
        </w:rPr>
        <w:t>Letybo</w:t>
      </w:r>
      <w:proofErr w:type="spellEnd"/>
      <w:r w:rsidRPr="00E400E9">
        <w:rPr>
          <w:sz w:val="24"/>
          <w:szCs w:val="24"/>
        </w:rPr>
        <w:t xml:space="preserve">, og 317 patienter blev behandlet med placebo i 1 behandling. Derudover er der tilgængelige data for 854 patienter behandlet med </w:t>
      </w:r>
      <w:proofErr w:type="spellStart"/>
      <w:r w:rsidRPr="00E400E9">
        <w:rPr>
          <w:sz w:val="24"/>
          <w:szCs w:val="24"/>
        </w:rPr>
        <w:t>Letybo</w:t>
      </w:r>
      <w:proofErr w:type="spellEnd"/>
      <w:r w:rsidRPr="00E400E9">
        <w:rPr>
          <w:sz w:val="24"/>
          <w:szCs w:val="24"/>
        </w:rPr>
        <w:t xml:space="preserve"> i en ikke</w:t>
      </w:r>
      <w:r w:rsidRPr="00E400E9">
        <w:rPr>
          <w:sz w:val="24"/>
          <w:szCs w:val="24"/>
        </w:rPr>
        <w:noBreakHyphen/>
        <w:t xml:space="preserve">blindet forlængelsesdel af studierne BLESS I og II for yderligere 1 til 3 behandlinger. Understøttende data om </w:t>
      </w:r>
      <w:proofErr w:type="spellStart"/>
      <w:r w:rsidRPr="00E400E9">
        <w:rPr>
          <w:sz w:val="24"/>
          <w:szCs w:val="24"/>
        </w:rPr>
        <w:t>glabellalinjer</w:t>
      </w:r>
      <w:proofErr w:type="spellEnd"/>
      <w:r w:rsidRPr="00E400E9">
        <w:rPr>
          <w:sz w:val="24"/>
          <w:szCs w:val="24"/>
        </w:rPr>
        <w:t xml:space="preserve"> kommer fra det kliniske udviklingsprogram i Korea, der omfattede et fase 3</w:t>
      </w:r>
      <w:r w:rsidRPr="00E400E9">
        <w:rPr>
          <w:sz w:val="24"/>
          <w:szCs w:val="24"/>
        </w:rPr>
        <w:noBreakHyphen/>
        <w:t>studie (HG</w:t>
      </w:r>
      <w:r w:rsidRPr="00E400E9">
        <w:rPr>
          <w:sz w:val="24"/>
          <w:szCs w:val="24"/>
        </w:rPr>
        <w:noBreakHyphen/>
        <w:t>11</w:t>
      </w:r>
      <w:r w:rsidRPr="00E400E9">
        <w:rPr>
          <w:sz w:val="24"/>
          <w:szCs w:val="24"/>
        </w:rPr>
        <w:noBreakHyphen/>
        <w:t>01) med 137 patienter og et studie efter markedsføring (HG</w:t>
      </w:r>
      <w:r w:rsidRPr="00E400E9">
        <w:rPr>
          <w:sz w:val="24"/>
          <w:szCs w:val="24"/>
        </w:rPr>
        <w:noBreakHyphen/>
        <w:t>13-02) med 815 patienter.</w:t>
      </w:r>
    </w:p>
    <w:p w14:paraId="6B644759" w14:textId="77777777" w:rsidR="00093A1E" w:rsidRPr="00E400E9" w:rsidRDefault="00093A1E" w:rsidP="00093A1E">
      <w:pPr>
        <w:ind w:left="851"/>
        <w:rPr>
          <w:b/>
          <w:sz w:val="24"/>
          <w:szCs w:val="24"/>
        </w:rPr>
      </w:pPr>
    </w:p>
    <w:p w14:paraId="01121A0C" w14:textId="77777777" w:rsidR="00093A1E" w:rsidRPr="00E400E9" w:rsidRDefault="00093A1E" w:rsidP="00093A1E">
      <w:pPr>
        <w:ind w:left="851"/>
        <w:rPr>
          <w:i/>
          <w:sz w:val="24"/>
          <w:szCs w:val="24"/>
        </w:rPr>
      </w:pPr>
      <w:bookmarkStart w:id="5" w:name="_Hlk9270972"/>
      <w:r w:rsidRPr="00E400E9">
        <w:rPr>
          <w:i/>
          <w:sz w:val="24"/>
          <w:szCs w:val="24"/>
        </w:rPr>
        <w:t>Virkning</w:t>
      </w:r>
    </w:p>
    <w:p w14:paraId="2E7DE373" w14:textId="77777777" w:rsidR="00093A1E" w:rsidRPr="00E400E9" w:rsidRDefault="00093A1E" w:rsidP="00093A1E">
      <w:pPr>
        <w:ind w:left="851"/>
        <w:rPr>
          <w:sz w:val="24"/>
          <w:szCs w:val="24"/>
        </w:rPr>
      </w:pPr>
      <w:r w:rsidRPr="00E400E9">
        <w:rPr>
          <w:sz w:val="24"/>
          <w:szCs w:val="24"/>
        </w:rPr>
        <w:t xml:space="preserve">I studierne BLESS I, BLESS II og BLESS III havde alle patienter moderate (27 % af patienterne) eller svære (73 % af patienterne) </w:t>
      </w:r>
      <w:proofErr w:type="spellStart"/>
      <w:r w:rsidRPr="00E400E9">
        <w:rPr>
          <w:sz w:val="24"/>
          <w:szCs w:val="24"/>
        </w:rPr>
        <w:t>glabellalinjer</w:t>
      </w:r>
      <w:proofErr w:type="spellEnd"/>
      <w:r w:rsidRPr="00E400E9">
        <w:rPr>
          <w:sz w:val="24"/>
          <w:szCs w:val="24"/>
        </w:rPr>
        <w:t xml:space="preserve"> ved maksimal panderynken ved </w:t>
      </w:r>
      <w:r w:rsidRPr="00E400E9">
        <w:rPr>
          <w:i/>
          <w:iCs/>
          <w:sz w:val="24"/>
          <w:szCs w:val="24"/>
        </w:rPr>
        <w:t>baseline</w:t>
      </w:r>
      <w:r w:rsidRPr="00E400E9">
        <w:rPr>
          <w:sz w:val="24"/>
          <w:szCs w:val="24"/>
        </w:rPr>
        <w:t xml:space="preserve">. Ved en dosis på 20 enheder reducerede </w:t>
      </w:r>
      <w:proofErr w:type="spellStart"/>
      <w:r w:rsidRPr="00E400E9">
        <w:rPr>
          <w:sz w:val="24"/>
          <w:szCs w:val="24"/>
        </w:rPr>
        <w:t>Letybo</w:t>
      </w:r>
      <w:proofErr w:type="spellEnd"/>
      <w:r w:rsidRPr="00E400E9">
        <w:rPr>
          <w:sz w:val="24"/>
          <w:szCs w:val="24"/>
        </w:rPr>
        <w:t xml:space="preserve"> betydeligt sværhedsgraden af </w:t>
      </w:r>
      <w:proofErr w:type="spellStart"/>
      <w:r w:rsidRPr="00E400E9">
        <w:rPr>
          <w:sz w:val="24"/>
          <w:szCs w:val="24"/>
        </w:rPr>
        <w:t>glabellalinjer</w:t>
      </w:r>
      <w:proofErr w:type="spellEnd"/>
      <w:r w:rsidRPr="00E400E9">
        <w:rPr>
          <w:sz w:val="24"/>
          <w:szCs w:val="24"/>
        </w:rPr>
        <w:t xml:space="preserve"> set ved maksimal panderynken, målt efter </w:t>
      </w:r>
      <w:proofErr w:type="spellStart"/>
      <w:r w:rsidRPr="00E400E9">
        <w:rPr>
          <w:sz w:val="24"/>
          <w:szCs w:val="24"/>
        </w:rPr>
        <w:t>investigators</w:t>
      </w:r>
      <w:proofErr w:type="spellEnd"/>
      <w:r w:rsidRPr="00E400E9">
        <w:rPr>
          <w:sz w:val="24"/>
          <w:szCs w:val="24"/>
        </w:rPr>
        <w:t xml:space="preserve"> og patientens vurdering af sværhedsgraden af </w:t>
      </w:r>
      <w:proofErr w:type="spellStart"/>
      <w:r w:rsidRPr="00E400E9">
        <w:rPr>
          <w:sz w:val="24"/>
          <w:szCs w:val="24"/>
        </w:rPr>
        <w:t>glabellalinjer</w:t>
      </w:r>
      <w:proofErr w:type="spellEnd"/>
      <w:r w:rsidRPr="00E400E9">
        <w:rPr>
          <w:sz w:val="24"/>
          <w:szCs w:val="24"/>
        </w:rPr>
        <w:t xml:space="preserve"> på en 4</w:t>
      </w:r>
      <w:r w:rsidRPr="00E400E9">
        <w:rPr>
          <w:sz w:val="24"/>
          <w:szCs w:val="24"/>
        </w:rPr>
        <w:noBreakHyphen/>
        <w:t>point</w:t>
      </w:r>
      <w:r w:rsidRPr="00E400E9">
        <w:rPr>
          <w:sz w:val="24"/>
          <w:szCs w:val="24"/>
        </w:rPr>
        <w:noBreakHyphen/>
        <w:t xml:space="preserve">skala for ansigtsrynker (FWS). Statistisk signifikante responsrater, der favoriserede </w:t>
      </w:r>
      <w:proofErr w:type="spellStart"/>
      <w:r w:rsidRPr="00E400E9">
        <w:rPr>
          <w:sz w:val="24"/>
          <w:szCs w:val="24"/>
        </w:rPr>
        <w:t>Letybo</w:t>
      </w:r>
      <w:proofErr w:type="spellEnd"/>
      <w:r w:rsidRPr="00E400E9">
        <w:rPr>
          <w:sz w:val="24"/>
          <w:szCs w:val="24"/>
        </w:rPr>
        <w:t xml:space="preserve">, blev set ved anvendelse af et endepunkt, der krævede 2 points forbedring i FWS. Der blev også set høje responsrater, som favoriserede </w:t>
      </w:r>
      <w:proofErr w:type="spellStart"/>
      <w:r w:rsidRPr="00E400E9">
        <w:rPr>
          <w:sz w:val="24"/>
          <w:szCs w:val="24"/>
        </w:rPr>
        <w:t>Letybo</w:t>
      </w:r>
      <w:proofErr w:type="spellEnd"/>
      <w:r w:rsidRPr="00E400E9">
        <w:rPr>
          <w:sz w:val="24"/>
          <w:szCs w:val="24"/>
        </w:rPr>
        <w:t>, ved anvendelse af den klinisk betydende responsdefinition af opnåelse af en FWS</w:t>
      </w:r>
      <w:r w:rsidRPr="00E400E9">
        <w:rPr>
          <w:sz w:val="24"/>
          <w:szCs w:val="24"/>
        </w:rPr>
        <w:noBreakHyphen/>
        <w:t xml:space="preserve">score på 0 eller 1 (ingen eller milde linjer) ifølge </w:t>
      </w:r>
      <w:proofErr w:type="spellStart"/>
      <w:r w:rsidRPr="00E400E9">
        <w:rPr>
          <w:sz w:val="24"/>
          <w:szCs w:val="24"/>
        </w:rPr>
        <w:t>investigators</w:t>
      </w:r>
      <w:proofErr w:type="spellEnd"/>
      <w:r w:rsidRPr="00E400E9">
        <w:rPr>
          <w:sz w:val="24"/>
          <w:szCs w:val="24"/>
        </w:rPr>
        <w:t xml:space="preserve"> bedømmelse i uge 4 (se tabel 2).</w:t>
      </w:r>
    </w:p>
    <w:p w14:paraId="2E8B893F" w14:textId="1DD86524" w:rsidR="00E2298A" w:rsidRDefault="00E2298A">
      <w:pPr>
        <w:rPr>
          <w:i/>
          <w:sz w:val="24"/>
          <w:szCs w:val="24"/>
        </w:rPr>
      </w:pPr>
      <w:r>
        <w:rPr>
          <w:i/>
          <w:sz w:val="24"/>
          <w:szCs w:val="24"/>
        </w:rPr>
        <w:br w:type="page"/>
      </w:r>
    </w:p>
    <w:p w14:paraId="11ACE4FB" w14:textId="77777777" w:rsidR="00093A1E" w:rsidRPr="00E2298A" w:rsidRDefault="00093A1E" w:rsidP="00093A1E">
      <w:pPr>
        <w:ind w:left="851"/>
        <w:rPr>
          <w:sz w:val="24"/>
          <w:szCs w:val="24"/>
        </w:rPr>
      </w:pPr>
    </w:p>
    <w:p w14:paraId="3A1D0C64" w14:textId="109EAFFC" w:rsidR="00093A1E" w:rsidRPr="00E400E9" w:rsidRDefault="00093A1E" w:rsidP="00F37506">
      <w:pPr>
        <w:rPr>
          <w:b/>
          <w:sz w:val="24"/>
          <w:szCs w:val="24"/>
          <w:lang w:eastAsia="ja-JP"/>
        </w:rPr>
      </w:pPr>
      <w:bookmarkStart w:id="6" w:name="_Ref535314386"/>
      <w:bookmarkStart w:id="7" w:name="_Toc5555949"/>
      <w:bookmarkStart w:id="8" w:name="_Toc2943642"/>
      <w:bookmarkStart w:id="9" w:name="_Toc536636184"/>
      <w:r w:rsidRPr="00E400E9">
        <w:rPr>
          <w:b/>
          <w:sz w:val="24"/>
          <w:szCs w:val="24"/>
        </w:rPr>
        <w:t>Tabel</w:t>
      </w:r>
      <w:bookmarkEnd w:id="6"/>
      <w:r w:rsidRPr="00E400E9">
        <w:rPr>
          <w:b/>
          <w:sz w:val="24"/>
          <w:szCs w:val="24"/>
        </w:rPr>
        <w:t> 2</w:t>
      </w:r>
      <w:r w:rsidR="00F37506" w:rsidRPr="00E400E9">
        <w:rPr>
          <w:b/>
          <w:sz w:val="24"/>
          <w:szCs w:val="24"/>
        </w:rPr>
        <w:t xml:space="preserve">. </w:t>
      </w:r>
      <w:r w:rsidRPr="00E400E9">
        <w:rPr>
          <w:b/>
          <w:sz w:val="24"/>
          <w:szCs w:val="24"/>
        </w:rPr>
        <w:t xml:space="preserve">Responsrate fra </w:t>
      </w:r>
      <w:r w:rsidRPr="00E400E9">
        <w:rPr>
          <w:b/>
          <w:i/>
          <w:iCs/>
          <w:sz w:val="24"/>
          <w:szCs w:val="24"/>
        </w:rPr>
        <w:t>baseline</w:t>
      </w:r>
      <w:r w:rsidRPr="00E400E9">
        <w:rPr>
          <w:b/>
          <w:sz w:val="24"/>
          <w:szCs w:val="24"/>
        </w:rPr>
        <w:t xml:space="preserve"> til uge 4 ved maksimal panderynken baseret på ansigtsrynkeskala (FWS) i studierne BLESS I, BLESS II og BLESS III</w:t>
      </w:r>
      <w:bookmarkEnd w:id="7"/>
      <w:bookmarkEnd w:id="8"/>
      <w:bookmarkEnd w:id="9"/>
      <w:r w:rsidRPr="00E400E9">
        <w:rPr>
          <w:b/>
          <w:sz w:val="24"/>
          <w:szCs w:val="24"/>
        </w:rPr>
        <w:t xml:space="preserve"> – Fuldt analysesæt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5"/>
        <w:gridCol w:w="1611"/>
        <w:gridCol w:w="1128"/>
        <w:gridCol w:w="1611"/>
        <w:gridCol w:w="1126"/>
        <w:gridCol w:w="1611"/>
        <w:gridCol w:w="1126"/>
      </w:tblGrid>
      <w:tr w:rsidR="00093A1E" w:rsidRPr="00E400E9" w14:paraId="14CF52C4" w14:textId="77777777" w:rsidTr="00093A1E">
        <w:trPr>
          <w:trHeight w:val="309"/>
          <w:tblHeader/>
        </w:trPr>
        <w:tc>
          <w:tcPr>
            <w:tcW w:w="0" w:type="auto"/>
            <w:tcBorders>
              <w:top w:val="single" w:sz="4" w:space="0" w:color="000000"/>
              <w:left w:val="single" w:sz="4" w:space="0" w:color="000000"/>
              <w:bottom w:val="single" w:sz="4" w:space="0" w:color="000000"/>
              <w:right w:val="single" w:sz="4" w:space="0" w:color="000000"/>
            </w:tcBorders>
          </w:tcPr>
          <w:p w14:paraId="07713A00" w14:textId="77777777" w:rsidR="00093A1E" w:rsidRPr="00E400E9" w:rsidRDefault="00093A1E">
            <w:pPr>
              <w:keepNext/>
              <w:tabs>
                <w:tab w:val="left" w:pos="7655"/>
              </w:tabs>
              <w:spacing w:beforeLines="20" w:before="48" w:afterLines="20" w:after="48"/>
              <w:rPr>
                <w:b/>
                <w:sz w:val="24"/>
                <w:szCs w:val="24"/>
                <w:lang w:eastAsia="zh-CN"/>
              </w:rPr>
            </w:pPr>
          </w:p>
        </w:tc>
        <w:tc>
          <w:tcPr>
            <w:tcW w:w="0" w:type="auto"/>
            <w:gridSpan w:val="2"/>
            <w:tcBorders>
              <w:top w:val="single" w:sz="4" w:space="0" w:color="000000"/>
              <w:left w:val="single" w:sz="4" w:space="0" w:color="000000"/>
              <w:bottom w:val="single" w:sz="4" w:space="0" w:color="000000"/>
              <w:right w:val="single" w:sz="4" w:space="0" w:color="000000"/>
            </w:tcBorders>
            <w:hideMark/>
          </w:tcPr>
          <w:p w14:paraId="1DCACFBE" w14:textId="77777777" w:rsidR="00093A1E" w:rsidRPr="00E400E9" w:rsidRDefault="00093A1E">
            <w:pPr>
              <w:keepNext/>
              <w:tabs>
                <w:tab w:val="left" w:pos="7655"/>
              </w:tabs>
              <w:spacing w:beforeLines="20" w:before="48" w:afterLines="20" w:after="48"/>
              <w:jc w:val="center"/>
              <w:rPr>
                <w:b/>
                <w:sz w:val="24"/>
                <w:szCs w:val="24"/>
                <w:lang w:eastAsia="zh-CN"/>
              </w:rPr>
            </w:pPr>
            <w:r w:rsidRPr="00E400E9">
              <w:rPr>
                <w:b/>
                <w:sz w:val="24"/>
                <w:szCs w:val="24"/>
              </w:rPr>
              <w:t>BLESS I</w:t>
            </w:r>
          </w:p>
        </w:tc>
        <w:tc>
          <w:tcPr>
            <w:tcW w:w="0" w:type="auto"/>
            <w:gridSpan w:val="2"/>
            <w:tcBorders>
              <w:top w:val="single" w:sz="4" w:space="0" w:color="000000"/>
              <w:left w:val="single" w:sz="4" w:space="0" w:color="000000"/>
              <w:bottom w:val="single" w:sz="4" w:space="0" w:color="000000"/>
              <w:right w:val="single" w:sz="4" w:space="0" w:color="000000"/>
            </w:tcBorders>
            <w:hideMark/>
          </w:tcPr>
          <w:p w14:paraId="08907947" w14:textId="77777777" w:rsidR="00093A1E" w:rsidRPr="00E400E9" w:rsidRDefault="00093A1E">
            <w:pPr>
              <w:keepNext/>
              <w:tabs>
                <w:tab w:val="left" w:pos="7655"/>
              </w:tabs>
              <w:spacing w:beforeLines="20" w:before="48" w:afterLines="20" w:after="48"/>
              <w:jc w:val="center"/>
              <w:rPr>
                <w:b/>
                <w:sz w:val="24"/>
                <w:szCs w:val="24"/>
                <w:lang w:eastAsia="zh-CN"/>
              </w:rPr>
            </w:pPr>
            <w:r w:rsidRPr="00E400E9">
              <w:rPr>
                <w:b/>
                <w:sz w:val="24"/>
                <w:szCs w:val="24"/>
              </w:rPr>
              <w:t>BLESS II</w:t>
            </w:r>
          </w:p>
        </w:tc>
        <w:tc>
          <w:tcPr>
            <w:tcW w:w="0" w:type="auto"/>
            <w:gridSpan w:val="2"/>
            <w:tcBorders>
              <w:top w:val="single" w:sz="4" w:space="0" w:color="000000"/>
              <w:left w:val="single" w:sz="4" w:space="0" w:color="000000"/>
              <w:bottom w:val="single" w:sz="4" w:space="0" w:color="000000"/>
              <w:right w:val="single" w:sz="4" w:space="0" w:color="000000"/>
            </w:tcBorders>
            <w:hideMark/>
          </w:tcPr>
          <w:p w14:paraId="298956AF" w14:textId="77777777" w:rsidR="00093A1E" w:rsidRPr="00E400E9" w:rsidRDefault="00093A1E">
            <w:pPr>
              <w:keepNext/>
              <w:tabs>
                <w:tab w:val="left" w:pos="7655"/>
              </w:tabs>
              <w:spacing w:beforeLines="20" w:before="48" w:afterLines="20" w:after="48"/>
              <w:jc w:val="center"/>
              <w:rPr>
                <w:b/>
                <w:sz w:val="24"/>
                <w:szCs w:val="24"/>
                <w:lang w:eastAsia="zh-CN"/>
              </w:rPr>
            </w:pPr>
            <w:r w:rsidRPr="00E400E9">
              <w:rPr>
                <w:b/>
                <w:sz w:val="24"/>
                <w:szCs w:val="24"/>
              </w:rPr>
              <w:t>BLESS III</w:t>
            </w:r>
          </w:p>
        </w:tc>
      </w:tr>
      <w:tr w:rsidR="00093A1E" w:rsidRPr="00E400E9" w14:paraId="13E6D35C" w14:textId="77777777" w:rsidTr="00093A1E">
        <w:trPr>
          <w:trHeight w:val="514"/>
          <w:tblHeader/>
        </w:trPr>
        <w:tc>
          <w:tcPr>
            <w:tcW w:w="0" w:type="auto"/>
            <w:tcBorders>
              <w:top w:val="single" w:sz="4" w:space="0" w:color="000000"/>
              <w:left w:val="single" w:sz="4" w:space="0" w:color="000000"/>
              <w:bottom w:val="single" w:sz="4" w:space="0" w:color="000000"/>
              <w:right w:val="single" w:sz="4" w:space="0" w:color="000000"/>
            </w:tcBorders>
            <w:vAlign w:val="bottom"/>
            <w:hideMark/>
          </w:tcPr>
          <w:p w14:paraId="70A6DED9" w14:textId="77777777" w:rsidR="00093A1E" w:rsidRPr="00E400E9" w:rsidRDefault="00093A1E">
            <w:pPr>
              <w:keepNext/>
              <w:tabs>
                <w:tab w:val="left" w:pos="7655"/>
              </w:tabs>
              <w:spacing w:beforeLines="20" w:before="48" w:afterLines="20" w:after="48"/>
              <w:rPr>
                <w:b/>
                <w:sz w:val="24"/>
                <w:szCs w:val="24"/>
                <w:lang w:eastAsia="zh-CN"/>
              </w:rPr>
            </w:pPr>
            <w:r w:rsidRPr="00E400E9">
              <w:rPr>
                <w:b/>
                <w:sz w:val="24"/>
                <w:szCs w:val="24"/>
              </w:rPr>
              <w:t>Vurderet af:</w:t>
            </w:r>
          </w:p>
        </w:tc>
        <w:tc>
          <w:tcPr>
            <w:tcW w:w="0" w:type="auto"/>
            <w:tcBorders>
              <w:top w:val="single" w:sz="4" w:space="0" w:color="000000"/>
              <w:left w:val="single" w:sz="4" w:space="0" w:color="000000"/>
              <w:bottom w:val="single" w:sz="4" w:space="0" w:color="000000"/>
              <w:right w:val="single" w:sz="4" w:space="0" w:color="000000"/>
            </w:tcBorders>
            <w:hideMark/>
          </w:tcPr>
          <w:p w14:paraId="4CC02D22" w14:textId="77777777" w:rsidR="00093A1E" w:rsidRPr="00E400E9" w:rsidRDefault="00093A1E">
            <w:pPr>
              <w:keepNext/>
              <w:tabs>
                <w:tab w:val="left" w:pos="7655"/>
              </w:tabs>
              <w:spacing w:beforeLines="20" w:before="48" w:afterLines="20" w:after="48"/>
              <w:jc w:val="center"/>
              <w:rPr>
                <w:b/>
                <w:sz w:val="24"/>
                <w:szCs w:val="24"/>
                <w:lang w:eastAsia="zh-CN"/>
              </w:rPr>
            </w:pPr>
            <w:proofErr w:type="spellStart"/>
            <w:r w:rsidRPr="00E400E9">
              <w:rPr>
                <w:b/>
                <w:sz w:val="24"/>
                <w:szCs w:val="24"/>
              </w:rPr>
              <w:t>Letybo</w:t>
            </w:r>
            <w:proofErr w:type="spellEnd"/>
            <w:r w:rsidRPr="00E400E9">
              <w:rPr>
                <w:b/>
                <w:sz w:val="24"/>
                <w:szCs w:val="24"/>
              </w:rPr>
              <w:t xml:space="preserve"> </w:t>
            </w:r>
            <w:r w:rsidRPr="00E400E9">
              <w:rPr>
                <w:sz w:val="24"/>
                <w:szCs w:val="24"/>
              </w:rPr>
              <w:br/>
            </w:r>
            <w:r w:rsidRPr="00E400E9">
              <w:rPr>
                <w:b/>
                <w:sz w:val="24"/>
                <w:szCs w:val="24"/>
              </w:rPr>
              <w:t>(N = 529)</w:t>
            </w:r>
          </w:p>
        </w:tc>
        <w:tc>
          <w:tcPr>
            <w:tcW w:w="0" w:type="auto"/>
            <w:tcBorders>
              <w:top w:val="single" w:sz="4" w:space="0" w:color="000000"/>
              <w:left w:val="single" w:sz="4" w:space="0" w:color="000000"/>
              <w:bottom w:val="single" w:sz="4" w:space="0" w:color="000000"/>
              <w:right w:val="single" w:sz="4" w:space="0" w:color="000000"/>
            </w:tcBorders>
            <w:hideMark/>
          </w:tcPr>
          <w:p w14:paraId="03904666" w14:textId="77777777" w:rsidR="00093A1E" w:rsidRPr="00E400E9" w:rsidRDefault="00093A1E">
            <w:pPr>
              <w:keepNext/>
              <w:tabs>
                <w:tab w:val="left" w:pos="7655"/>
              </w:tabs>
              <w:spacing w:beforeLines="20" w:before="48" w:afterLines="20" w:after="48"/>
              <w:jc w:val="center"/>
              <w:rPr>
                <w:b/>
                <w:sz w:val="24"/>
                <w:szCs w:val="24"/>
                <w:lang w:eastAsia="zh-CN"/>
              </w:rPr>
            </w:pPr>
            <w:r w:rsidRPr="00E400E9">
              <w:rPr>
                <w:b/>
                <w:sz w:val="24"/>
                <w:szCs w:val="24"/>
              </w:rPr>
              <w:t xml:space="preserve">Placebo </w:t>
            </w:r>
            <w:r w:rsidRPr="00E400E9">
              <w:rPr>
                <w:sz w:val="24"/>
                <w:szCs w:val="24"/>
              </w:rPr>
              <w:br/>
            </w:r>
            <w:r w:rsidRPr="00E400E9">
              <w:rPr>
                <w:b/>
                <w:sz w:val="24"/>
                <w:szCs w:val="24"/>
              </w:rPr>
              <w:t>(N = 175)</w:t>
            </w:r>
          </w:p>
        </w:tc>
        <w:tc>
          <w:tcPr>
            <w:tcW w:w="0" w:type="auto"/>
            <w:tcBorders>
              <w:top w:val="single" w:sz="4" w:space="0" w:color="000000"/>
              <w:left w:val="single" w:sz="4" w:space="0" w:color="000000"/>
              <w:bottom w:val="single" w:sz="4" w:space="0" w:color="000000"/>
              <w:right w:val="single" w:sz="4" w:space="0" w:color="000000"/>
            </w:tcBorders>
            <w:hideMark/>
          </w:tcPr>
          <w:p w14:paraId="50E970C0" w14:textId="77777777" w:rsidR="00093A1E" w:rsidRPr="00E400E9" w:rsidRDefault="00093A1E">
            <w:pPr>
              <w:keepNext/>
              <w:tabs>
                <w:tab w:val="left" w:pos="7655"/>
              </w:tabs>
              <w:spacing w:beforeLines="20" w:before="48" w:afterLines="20" w:after="48"/>
              <w:jc w:val="center"/>
              <w:rPr>
                <w:b/>
                <w:sz w:val="24"/>
                <w:szCs w:val="24"/>
                <w:vertAlign w:val="superscript"/>
                <w:lang w:eastAsia="zh-CN"/>
              </w:rPr>
            </w:pPr>
            <w:proofErr w:type="spellStart"/>
            <w:r w:rsidRPr="00E400E9">
              <w:rPr>
                <w:b/>
                <w:sz w:val="24"/>
                <w:szCs w:val="24"/>
              </w:rPr>
              <w:t>Letybo</w:t>
            </w:r>
            <w:proofErr w:type="spellEnd"/>
            <w:r w:rsidRPr="00E400E9">
              <w:rPr>
                <w:sz w:val="24"/>
                <w:szCs w:val="24"/>
              </w:rPr>
              <w:br/>
            </w:r>
            <w:r w:rsidRPr="00E400E9">
              <w:rPr>
                <w:b/>
                <w:sz w:val="24"/>
                <w:szCs w:val="24"/>
              </w:rPr>
              <w:t>(N = 160)</w:t>
            </w:r>
          </w:p>
        </w:tc>
        <w:tc>
          <w:tcPr>
            <w:tcW w:w="0" w:type="auto"/>
            <w:tcBorders>
              <w:top w:val="single" w:sz="4" w:space="0" w:color="000000"/>
              <w:left w:val="single" w:sz="4" w:space="0" w:color="000000"/>
              <w:bottom w:val="single" w:sz="4" w:space="0" w:color="000000"/>
              <w:right w:val="single" w:sz="4" w:space="0" w:color="000000"/>
            </w:tcBorders>
            <w:hideMark/>
          </w:tcPr>
          <w:p w14:paraId="26974A59" w14:textId="77777777" w:rsidR="00093A1E" w:rsidRPr="00E400E9" w:rsidRDefault="00093A1E">
            <w:pPr>
              <w:keepNext/>
              <w:tabs>
                <w:tab w:val="left" w:pos="7655"/>
              </w:tabs>
              <w:spacing w:beforeLines="20" w:before="48" w:afterLines="20" w:after="48"/>
              <w:jc w:val="center"/>
              <w:rPr>
                <w:b/>
                <w:sz w:val="24"/>
                <w:szCs w:val="24"/>
                <w:lang w:eastAsia="zh-CN"/>
              </w:rPr>
            </w:pPr>
            <w:r w:rsidRPr="00E400E9">
              <w:rPr>
                <w:b/>
                <w:sz w:val="24"/>
                <w:szCs w:val="24"/>
              </w:rPr>
              <w:t xml:space="preserve">Placebo </w:t>
            </w:r>
            <w:r w:rsidRPr="00E400E9">
              <w:rPr>
                <w:sz w:val="24"/>
                <w:szCs w:val="24"/>
              </w:rPr>
              <w:br/>
            </w:r>
            <w:r w:rsidRPr="00E400E9">
              <w:rPr>
                <w:b/>
                <w:sz w:val="24"/>
                <w:szCs w:val="24"/>
              </w:rPr>
              <w:t>(N = 53)</w:t>
            </w:r>
          </w:p>
        </w:tc>
        <w:tc>
          <w:tcPr>
            <w:tcW w:w="0" w:type="auto"/>
            <w:tcBorders>
              <w:top w:val="single" w:sz="4" w:space="0" w:color="000000"/>
              <w:left w:val="single" w:sz="4" w:space="0" w:color="000000"/>
              <w:bottom w:val="single" w:sz="4" w:space="0" w:color="000000"/>
              <w:right w:val="single" w:sz="4" w:space="0" w:color="000000"/>
            </w:tcBorders>
            <w:hideMark/>
          </w:tcPr>
          <w:p w14:paraId="150BEE95" w14:textId="77777777" w:rsidR="00093A1E" w:rsidRPr="00E400E9" w:rsidRDefault="00093A1E">
            <w:pPr>
              <w:keepNext/>
              <w:tabs>
                <w:tab w:val="left" w:pos="7655"/>
              </w:tabs>
              <w:spacing w:beforeLines="20" w:before="48" w:afterLines="20" w:after="48"/>
              <w:jc w:val="center"/>
              <w:rPr>
                <w:b/>
                <w:sz w:val="24"/>
                <w:szCs w:val="24"/>
                <w:lang w:eastAsia="zh-CN"/>
              </w:rPr>
            </w:pPr>
            <w:proofErr w:type="spellStart"/>
            <w:r w:rsidRPr="00E400E9">
              <w:rPr>
                <w:b/>
                <w:sz w:val="24"/>
                <w:szCs w:val="24"/>
              </w:rPr>
              <w:t>Letybo</w:t>
            </w:r>
            <w:proofErr w:type="spellEnd"/>
            <w:r w:rsidRPr="00E400E9">
              <w:rPr>
                <w:sz w:val="24"/>
                <w:szCs w:val="24"/>
              </w:rPr>
              <w:br/>
            </w:r>
            <w:r w:rsidRPr="00E400E9">
              <w:rPr>
                <w:b/>
                <w:sz w:val="24"/>
                <w:szCs w:val="24"/>
              </w:rPr>
              <w:t>(N = 266)</w:t>
            </w:r>
          </w:p>
        </w:tc>
        <w:tc>
          <w:tcPr>
            <w:tcW w:w="0" w:type="auto"/>
            <w:tcBorders>
              <w:top w:val="single" w:sz="4" w:space="0" w:color="000000"/>
              <w:left w:val="single" w:sz="4" w:space="0" w:color="000000"/>
              <w:bottom w:val="single" w:sz="4" w:space="0" w:color="000000"/>
              <w:right w:val="single" w:sz="4" w:space="0" w:color="000000"/>
            </w:tcBorders>
            <w:hideMark/>
          </w:tcPr>
          <w:p w14:paraId="05CC9117" w14:textId="77777777" w:rsidR="00093A1E" w:rsidRPr="00E400E9" w:rsidRDefault="00093A1E">
            <w:pPr>
              <w:keepNext/>
              <w:tabs>
                <w:tab w:val="left" w:pos="7655"/>
              </w:tabs>
              <w:spacing w:beforeLines="20" w:before="48" w:afterLines="20" w:after="48"/>
              <w:jc w:val="center"/>
              <w:rPr>
                <w:b/>
                <w:sz w:val="24"/>
                <w:szCs w:val="24"/>
                <w:vertAlign w:val="superscript"/>
                <w:lang w:eastAsia="zh-CN"/>
              </w:rPr>
            </w:pPr>
            <w:r w:rsidRPr="00E400E9">
              <w:rPr>
                <w:b/>
                <w:sz w:val="24"/>
                <w:szCs w:val="24"/>
              </w:rPr>
              <w:t xml:space="preserve">Placebo </w:t>
            </w:r>
            <w:r w:rsidRPr="00E400E9">
              <w:rPr>
                <w:sz w:val="24"/>
                <w:szCs w:val="24"/>
              </w:rPr>
              <w:br/>
            </w:r>
            <w:r w:rsidRPr="00E400E9">
              <w:rPr>
                <w:b/>
                <w:sz w:val="24"/>
                <w:szCs w:val="24"/>
              </w:rPr>
              <w:t>(N = 89)</w:t>
            </w:r>
          </w:p>
        </w:tc>
      </w:tr>
      <w:tr w:rsidR="00093A1E" w:rsidRPr="00E400E9" w14:paraId="598F3C58" w14:textId="77777777" w:rsidTr="00093A1E">
        <w:trPr>
          <w:trHeight w:val="309"/>
        </w:trPr>
        <w:tc>
          <w:tcPr>
            <w:tcW w:w="0" w:type="auto"/>
            <w:gridSpan w:val="7"/>
            <w:tcBorders>
              <w:top w:val="single" w:sz="4" w:space="0" w:color="000000"/>
              <w:left w:val="single" w:sz="4" w:space="0" w:color="000000"/>
              <w:bottom w:val="single" w:sz="4" w:space="0" w:color="000000"/>
              <w:right w:val="single" w:sz="4" w:space="0" w:color="000000"/>
            </w:tcBorders>
            <w:hideMark/>
          </w:tcPr>
          <w:p w14:paraId="19472626" w14:textId="77777777" w:rsidR="00093A1E" w:rsidRPr="00E400E9" w:rsidRDefault="00093A1E">
            <w:pPr>
              <w:keepNext/>
              <w:tabs>
                <w:tab w:val="left" w:pos="7655"/>
              </w:tabs>
              <w:jc w:val="center"/>
              <w:rPr>
                <w:b/>
                <w:i/>
                <w:sz w:val="24"/>
                <w:szCs w:val="24"/>
                <w:vertAlign w:val="superscript"/>
                <w:lang w:eastAsia="zh-CN"/>
              </w:rPr>
            </w:pPr>
            <w:r w:rsidRPr="00E400E9">
              <w:rPr>
                <w:b/>
                <w:i/>
                <w:sz w:val="24"/>
                <w:szCs w:val="24"/>
              </w:rPr>
              <w:t>Responsrate (n [%]): Reduktion i FWS</w:t>
            </w:r>
            <w:r w:rsidRPr="00E400E9">
              <w:rPr>
                <w:b/>
                <w:i/>
                <w:sz w:val="24"/>
                <w:szCs w:val="24"/>
              </w:rPr>
              <w:noBreakHyphen/>
              <w:t xml:space="preserve">score fra moderat eller svær til ingen eller mild (≥2 points forbedring </w:t>
            </w:r>
            <w:proofErr w:type="gramStart"/>
            <w:r w:rsidRPr="00E400E9">
              <w:rPr>
                <w:b/>
                <w:i/>
                <w:sz w:val="24"/>
                <w:szCs w:val="24"/>
              </w:rPr>
              <w:t>krævet)</w:t>
            </w:r>
            <w:r w:rsidRPr="00E400E9">
              <w:rPr>
                <w:b/>
                <w:i/>
                <w:sz w:val="24"/>
                <w:szCs w:val="24"/>
                <w:vertAlign w:val="superscript"/>
              </w:rPr>
              <w:t>a</w:t>
            </w:r>
            <w:proofErr w:type="gramEnd"/>
          </w:p>
        </w:tc>
      </w:tr>
      <w:tr w:rsidR="00093A1E" w:rsidRPr="00E400E9" w14:paraId="244F6252" w14:textId="77777777" w:rsidTr="00093A1E">
        <w:trPr>
          <w:trHeight w:val="309"/>
        </w:trPr>
        <w:tc>
          <w:tcPr>
            <w:tcW w:w="0" w:type="auto"/>
            <w:tcBorders>
              <w:top w:val="single" w:sz="4" w:space="0" w:color="000000"/>
              <w:left w:val="single" w:sz="4" w:space="0" w:color="000000"/>
              <w:bottom w:val="single" w:sz="4" w:space="0" w:color="000000"/>
              <w:right w:val="single" w:sz="4" w:space="0" w:color="000000"/>
            </w:tcBorders>
            <w:hideMark/>
          </w:tcPr>
          <w:p w14:paraId="670AF32D" w14:textId="77777777" w:rsidR="00093A1E" w:rsidRPr="00E400E9" w:rsidRDefault="00093A1E">
            <w:pPr>
              <w:keepNext/>
              <w:tabs>
                <w:tab w:val="left" w:pos="7655"/>
              </w:tabs>
              <w:spacing w:beforeLines="20" w:before="48" w:afterLines="20" w:after="48"/>
              <w:rPr>
                <w:sz w:val="24"/>
                <w:szCs w:val="24"/>
                <w:lang w:eastAsia="da-DK"/>
              </w:rPr>
            </w:pPr>
            <w:proofErr w:type="spellStart"/>
            <w:r w:rsidRPr="00E400E9">
              <w:rPr>
                <w:sz w:val="24"/>
                <w:szCs w:val="24"/>
              </w:rPr>
              <w:t>Investigator</w:t>
            </w:r>
            <w:proofErr w:type="spellEnd"/>
            <w:r w:rsidRPr="00E400E9">
              <w:rPr>
                <w:sz w:val="24"/>
                <w:szCs w:val="24"/>
              </w:rPr>
              <w:t xml:space="preserve"> OG patient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A20052D" w14:textId="77777777" w:rsidR="00093A1E" w:rsidRPr="00E400E9" w:rsidRDefault="00093A1E">
            <w:pPr>
              <w:keepNext/>
              <w:tabs>
                <w:tab w:val="left" w:pos="7655"/>
              </w:tabs>
              <w:spacing w:beforeLines="20" w:before="48" w:afterLines="20" w:after="48"/>
              <w:jc w:val="center"/>
              <w:rPr>
                <w:sz w:val="24"/>
                <w:szCs w:val="24"/>
                <w:lang w:eastAsia="zh-CN"/>
              </w:rPr>
            </w:pPr>
            <w:r w:rsidRPr="00E400E9">
              <w:rPr>
                <w:sz w:val="24"/>
                <w:szCs w:val="24"/>
              </w:rPr>
              <w:t>246 (46,5 </w:t>
            </w:r>
            <w:proofErr w:type="gramStart"/>
            <w:r w:rsidRPr="00E400E9">
              <w:rPr>
                <w:sz w:val="24"/>
                <w:szCs w:val="24"/>
              </w:rPr>
              <w:t>%)*</w:t>
            </w:r>
            <w:proofErr w:type="gram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973648B" w14:textId="77777777" w:rsidR="00093A1E" w:rsidRPr="00E400E9" w:rsidRDefault="00093A1E">
            <w:pPr>
              <w:keepNext/>
              <w:tabs>
                <w:tab w:val="left" w:pos="7655"/>
              </w:tabs>
              <w:spacing w:beforeLines="20" w:before="48" w:afterLines="20" w:after="48"/>
              <w:jc w:val="center"/>
              <w:rPr>
                <w:sz w:val="24"/>
                <w:szCs w:val="24"/>
                <w:lang w:eastAsia="zh-CN"/>
              </w:rPr>
            </w:pPr>
            <w:r w:rsidRPr="00E400E9">
              <w:rPr>
                <w:sz w:val="24"/>
                <w:szCs w:val="24"/>
              </w:rPr>
              <w:t>0 (0%)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AE4F021" w14:textId="77777777" w:rsidR="00093A1E" w:rsidRPr="00E400E9" w:rsidRDefault="00093A1E">
            <w:pPr>
              <w:keepNext/>
              <w:tabs>
                <w:tab w:val="left" w:pos="7655"/>
              </w:tabs>
              <w:spacing w:beforeLines="20" w:before="48" w:afterLines="20" w:after="48"/>
              <w:jc w:val="center"/>
              <w:rPr>
                <w:sz w:val="24"/>
                <w:szCs w:val="24"/>
                <w:lang w:eastAsia="zh-CN"/>
              </w:rPr>
            </w:pPr>
            <w:r w:rsidRPr="00E400E9">
              <w:rPr>
                <w:sz w:val="24"/>
                <w:szCs w:val="24"/>
              </w:rPr>
              <w:t>78 (48,8 </w:t>
            </w:r>
            <w:proofErr w:type="gramStart"/>
            <w:r w:rsidRPr="00E400E9">
              <w:rPr>
                <w:sz w:val="24"/>
                <w:szCs w:val="24"/>
              </w:rPr>
              <w:t>%)*</w:t>
            </w:r>
            <w:proofErr w:type="gram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BDCEE57" w14:textId="77777777" w:rsidR="00093A1E" w:rsidRPr="00E400E9" w:rsidRDefault="00093A1E">
            <w:pPr>
              <w:keepNext/>
              <w:tabs>
                <w:tab w:val="left" w:pos="7655"/>
              </w:tabs>
              <w:spacing w:beforeLines="20" w:before="48" w:afterLines="20" w:after="48"/>
              <w:jc w:val="center"/>
              <w:rPr>
                <w:sz w:val="24"/>
                <w:szCs w:val="24"/>
                <w:lang w:eastAsia="zh-CN"/>
              </w:rPr>
            </w:pPr>
            <w:r w:rsidRPr="00E400E9">
              <w:rPr>
                <w:sz w:val="24"/>
                <w:szCs w:val="24"/>
              </w:rPr>
              <w:t>1 (1,9 %)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5B05CF7" w14:textId="77777777" w:rsidR="00093A1E" w:rsidRPr="00E400E9" w:rsidRDefault="00093A1E">
            <w:pPr>
              <w:keepNext/>
              <w:tabs>
                <w:tab w:val="left" w:pos="7655"/>
              </w:tabs>
              <w:spacing w:beforeLines="20" w:before="48" w:afterLines="20" w:after="48"/>
              <w:jc w:val="center"/>
              <w:rPr>
                <w:sz w:val="24"/>
                <w:szCs w:val="24"/>
                <w:lang w:eastAsia="zh-CN"/>
              </w:rPr>
            </w:pPr>
            <w:r w:rsidRPr="00E400E9">
              <w:rPr>
                <w:sz w:val="24"/>
                <w:szCs w:val="24"/>
              </w:rPr>
              <w:t>172 (64,7 </w:t>
            </w:r>
            <w:proofErr w:type="gramStart"/>
            <w:r w:rsidRPr="00E400E9">
              <w:rPr>
                <w:sz w:val="24"/>
                <w:szCs w:val="24"/>
              </w:rPr>
              <w:t>%)*</w:t>
            </w:r>
            <w:proofErr w:type="gram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9EB5603" w14:textId="77777777" w:rsidR="00093A1E" w:rsidRPr="00E400E9" w:rsidRDefault="00093A1E">
            <w:pPr>
              <w:keepNext/>
              <w:tabs>
                <w:tab w:val="left" w:pos="7655"/>
              </w:tabs>
              <w:spacing w:beforeLines="20" w:before="48" w:afterLines="20" w:after="48"/>
              <w:jc w:val="center"/>
              <w:rPr>
                <w:sz w:val="24"/>
                <w:szCs w:val="24"/>
                <w:lang w:eastAsia="zh-CN"/>
              </w:rPr>
            </w:pPr>
            <w:r w:rsidRPr="00E400E9">
              <w:rPr>
                <w:sz w:val="24"/>
                <w:szCs w:val="24"/>
              </w:rPr>
              <w:t>0 (0,0 %)</w:t>
            </w:r>
          </w:p>
        </w:tc>
      </w:tr>
      <w:tr w:rsidR="00093A1E" w:rsidRPr="00E400E9" w14:paraId="6B5C4D8D" w14:textId="77777777" w:rsidTr="00093A1E">
        <w:trPr>
          <w:trHeight w:val="309"/>
        </w:trPr>
        <w:tc>
          <w:tcPr>
            <w:tcW w:w="0" w:type="auto"/>
            <w:tcBorders>
              <w:top w:val="single" w:sz="4" w:space="0" w:color="000000"/>
              <w:left w:val="single" w:sz="4" w:space="0" w:color="000000"/>
              <w:bottom w:val="single" w:sz="4" w:space="0" w:color="000000"/>
              <w:right w:val="single" w:sz="4" w:space="0" w:color="000000"/>
            </w:tcBorders>
            <w:hideMark/>
          </w:tcPr>
          <w:p w14:paraId="147BA43B" w14:textId="77777777" w:rsidR="00093A1E" w:rsidRPr="00E400E9" w:rsidRDefault="00093A1E">
            <w:pPr>
              <w:keepNext/>
              <w:tabs>
                <w:tab w:val="left" w:pos="7655"/>
              </w:tabs>
              <w:spacing w:beforeLines="20" w:before="48" w:afterLines="20" w:after="48"/>
              <w:rPr>
                <w:sz w:val="24"/>
                <w:szCs w:val="24"/>
                <w:lang w:eastAsia="da-DK"/>
              </w:rPr>
            </w:pPr>
            <w:proofErr w:type="spellStart"/>
            <w:r w:rsidRPr="00E400E9">
              <w:rPr>
                <w:sz w:val="24"/>
                <w:szCs w:val="24"/>
              </w:rPr>
              <w:t>Investigator</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66582700" w14:textId="77777777" w:rsidR="00093A1E" w:rsidRPr="00E400E9" w:rsidRDefault="00093A1E">
            <w:pPr>
              <w:keepNext/>
              <w:tabs>
                <w:tab w:val="left" w:pos="7655"/>
              </w:tabs>
              <w:spacing w:beforeLines="20" w:before="48" w:afterLines="20" w:after="48"/>
              <w:jc w:val="center"/>
              <w:rPr>
                <w:sz w:val="24"/>
                <w:szCs w:val="24"/>
                <w:lang w:eastAsia="zh-CN"/>
              </w:rPr>
            </w:pPr>
            <w:r w:rsidRPr="00E400E9">
              <w:rPr>
                <w:sz w:val="24"/>
                <w:szCs w:val="24"/>
              </w:rPr>
              <w:t>348 (65,8 </w:t>
            </w:r>
            <w:proofErr w:type="gramStart"/>
            <w:r w:rsidRPr="00E400E9">
              <w:rPr>
                <w:sz w:val="24"/>
                <w:szCs w:val="24"/>
              </w:rPr>
              <w:t>%)*</w:t>
            </w:r>
            <w:proofErr w:type="gramEnd"/>
          </w:p>
        </w:tc>
        <w:tc>
          <w:tcPr>
            <w:tcW w:w="0" w:type="auto"/>
            <w:tcBorders>
              <w:top w:val="single" w:sz="4" w:space="0" w:color="000000"/>
              <w:left w:val="single" w:sz="4" w:space="0" w:color="000000"/>
              <w:bottom w:val="single" w:sz="4" w:space="0" w:color="000000"/>
              <w:right w:val="single" w:sz="4" w:space="0" w:color="000000"/>
            </w:tcBorders>
            <w:hideMark/>
          </w:tcPr>
          <w:p w14:paraId="5EDD1459" w14:textId="77777777" w:rsidR="00093A1E" w:rsidRPr="00E400E9" w:rsidRDefault="00093A1E">
            <w:pPr>
              <w:keepNext/>
              <w:tabs>
                <w:tab w:val="left" w:pos="7655"/>
              </w:tabs>
              <w:spacing w:beforeLines="20" w:before="48" w:afterLines="20" w:after="48"/>
              <w:jc w:val="center"/>
              <w:rPr>
                <w:sz w:val="24"/>
                <w:szCs w:val="24"/>
                <w:lang w:eastAsia="zh-CN"/>
              </w:rPr>
            </w:pPr>
            <w:r w:rsidRPr="00E400E9">
              <w:rPr>
                <w:sz w:val="24"/>
                <w:szCs w:val="24"/>
              </w:rPr>
              <w:t>1 (0,6 %)</w:t>
            </w:r>
          </w:p>
        </w:tc>
        <w:tc>
          <w:tcPr>
            <w:tcW w:w="0" w:type="auto"/>
            <w:tcBorders>
              <w:top w:val="single" w:sz="4" w:space="0" w:color="000000"/>
              <w:left w:val="single" w:sz="4" w:space="0" w:color="000000"/>
              <w:bottom w:val="single" w:sz="4" w:space="0" w:color="000000"/>
              <w:right w:val="single" w:sz="4" w:space="0" w:color="000000"/>
            </w:tcBorders>
            <w:hideMark/>
          </w:tcPr>
          <w:p w14:paraId="62628301" w14:textId="77777777" w:rsidR="00093A1E" w:rsidRPr="00E400E9" w:rsidRDefault="00093A1E">
            <w:pPr>
              <w:keepNext/>
              <w:tabs>
                <w:tab w:val="left" w:pos="7655"/>
              </w:tabs>
              <w:spacing w:beforeLines="20" w:before="48" w:afterLines="20" w:after="48"/>
              <w:jc w:val="center"/>
              <w:rPr>
                <w:sz w:val="24"/>
                <w:szCs w:val="24"/>
                <w:lang w:eastAsia="zh-CN"/>
              </w:rPr>
            </w:pPr>
            <w:r w:rsidRPr="00E400E9">
              <w:rPr>
                <w:sz w:val="24"/>
                <w:szCs w:val="24"/>
              </w:rPr>
              <w:t>120 (75,0 </w:t>
            </w:r>
            <w:proofErr w:type="gramStart"/>
            <w:r w:rsidRPr="00E400E9">
              <w:rPr>
                <w:sz w:val="24"/>
                <w:szCs w:val="24"/>
              </w:rPr>
              <w:t>%)*</w:t>
            </w:r>
            <w:proofErr w:type="gramEnd"/>
          </w:p>
        </w:tc>
        <w:tc>
          <w:tcPr>
            <w:tcW w:w="0" w:type="auto"/>
            <w:tcBorders>
              <w:top w:val="single" w:sz="4" w:space="0" w:color="000000"/>
              <w:left w:val="single" w:sz="4" w:space="0" w:color="000000"/>
              <w:bottom w:val="single" w:sz="4" w:space="0" w:color="000000"/>
              <w:right w:val="single" w:sz="4" w:space="0" w:color="000000"/>
            </w:tcBorders>
            <w:hideMark/>
          </w:tcPr>
          <w:p w14:paraId="7848B40C" w14:textId="77777777" w:rsidR="00093A1E" w:rsidRPr="00E400E9" w:rsidRDefault="00093A1E">
            <w:pPr>
              <w:keepNext/>
              <w:tabs>
                <w:tab w:val="left" w:pos="7655"/>
              </w:tabs>
              <w:spacing w:beforeLines="20" w:before="48" w:afterLines="20" w:after="48"/>
              <w:jc w:val="center"/>
              <w:rPr>
                <w:sz w:val="24"/>
                <w:szCs w:val="24"/>
                <w:lang w:eastAsia="zh-CN"/>
              </w:rPr>
            </w:pPr>
            <w:r w:rsidRPr="00E400E9">
              <w:rPr>
                <w:sz w:val="24"/>
                <w:szCs w:val="24"/>
              </w:rPr>
              <w:t>1 (1,9 %)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3025C6" w14:textId="77777777" w:rsidR="00093A1E" w:rsidRPr="00E400E9" w:rsidRDefault="00093A1E">
            <w:pPr>
              <w:keepNext/>
              <w:tabs>
                <w:tab w:val="left" w:pos="7655"/>
              </w:tabs>
              <w:spacing w:beforeLines="20" w:before="48" w:afterLines="20" w:after="48"/>
              <w:jc w:val="center"/>
              <w:rPr>
                <w:sz w:val="24"/>
                <w:szCs w:val="24"/>
                <w:lang w:eastAsia="zh-CN"/>
              </w:rPr>
            </w:pPr>
            <w:r w:rsidRPr="00E400E9">
              <w:rPr>
                <w:sz w:val="24"/>
                <w:szCs w:val="24"/>
              </w:rPr>
              <w:t>209 (78,6 </w:t>
            </w:r>
            <w:proofErr w:type="gramStart"/>
            <w:r w:rsidRPr="00E400E9">
              <w:rPr>
                <w:sz w:val="24"/>
                <w:szCs w:val="24"/>
              </w:rPr>
              <w:t>%)*</w:t>
            </w:r>
            <w:proofErr w:type="gram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A25E8B0" w14:textId="77777777" w:rsidR="00093A1E" w:rsidRPr="00E400E9" w:rsidRDefault="00093A1E">
            <w:pPr>
              <w:keepNext/>
              <w:tabs>
                <w:tab w:val="left" w:pos="7655"/>
              </w:tabs>
              <w:spacing w:beforeLines="20" w:before="48" w:afterLines="20" w:after="48"/>
              <w:jc w:val="center"/>
              <w:rPr>
                <w:sz w:val="24"/>
                <w:szCs w:val="24"/>
                <w:lang w:eastAsia="zh-CN"/>
              </w:rPr>
            </w:pPr>
            <w:r w:rsidRPr="00E400E9">
              <w:rPr>
                <w:sz w:val="24"/>
                <w:szCs w:val="24"/>
              </w:rPr>
              <w:t>1 (1,1 %)</w:t>
            </w:r>
          </w:p>
        </w:tc>
      </w:tr>
      <w:tr w:rsidR="00093A1E" w:rsidRPr="00E400E9" w14:paraId="5E0E61A5" w14:textId="77777777" w:rsidTr="00093A1E">
        <w:trPr>
          <w:trHeight w:val="295"/>
        </w:trPr>
        <w:tc>
          <w:tcPr>
            <w:tcW w:w="0" w:type="auto"/>
            <w:tcBorders>
              <w:top w:val="single" w:sz="4" w:space="0" w:color="000000"/>
              <w:left w:val="single" w:sz="4" w:space="0" w:color="000000"/>
              <w:bottom w:val="single" w:sz="4" w:space="0" w:color="000000"/>
              <w:right w:val="single" w:sz="4" w:space="0" w:color="000000"/>
            </w:tcBorders>
            <w:hideMark/>
          </w:tcPr>
          <w:p w14:paraId="4F17FB1B" w14:textId="77777777" w:rsidR="00093A1E" w:rsidRPr="00E400E9" w:rsidRDefault="00093A1E">
            <w:pPr>
              <w:tabs>
                <w:tab w:val="left" w:pos="7655"/>
              </w:tabs>
              <w:spacing w:beforeLines="20" w:before="48" w:afterLines="20" w:after="48"/>
              <w:rPr>
                <w:sz w:val="24"/>
                <w:szCs w:val="24"/>
                <w:lang w:eastAsia="da-DK"/>
              </w:rPr>
            </w:pPr>
            <w:r w:rsidRPr="00E400E9">
              <w:rPr>
                <w:sz w:val="24"/>
                <w:szCs w:val="24"/>
              </w:rPr>
              <w:t>Patient</w:t>
            </w:r>
          </w:p>
        </w:tc>
        <w:tc>
          <w:tcPr>
            <w:tcW w:w="0" w:type="auto"/>
            <w:tcBorders>
              <w:top w:val="single" w:sz="4" w:space="0" w:color="000000"/>
              <w:left w:val="single" w:sz="4" w:space="0" w:color="000000"/>
              <w:bottom w:val="single" w:sz="4" w:space="0" w:color="000000"/>
              <w:right w:val="single" w:sz="4" w:space="0" w:color="000000"/>
            </w:tcBorders>
            <w:hideMark/>
          </w:tcPr>
          <w:p w14:paraId="66090F67" w14:textId="77777777" w:rsidR="00093A1E" w:rsidRPr="00E400E9" w:rsidRDefault="00093A1E">
            <w:pPr>
              <w:tabs>
                <w:tab w:val="left" w:pos="7655"/>
              </w:tabs>
              <w:spacing w:beforeLines="20" w:before="48" w:afterLines="20" w:after="48"/>
              <w:jc w:val="center"/>
              <w:rPr>
                <w:sz w:val="24"/>
                <w:szCs w:val="24"/>
                <w:lang w:eastAsia="zh-CN"/>
              </w:rPr>
            </w:pPr>
            <w:r w:rsidRPr="00E400E9">
              <w:rPr>
                <w:sz w:val="24"/>
                <w:szCs w:val="24"/>
              </w:rPr>
              <w:t>290 (54,8 </w:t>
            </w:r>
            <w:proofErr w:type="gramStart"/>
            <w:r w:rsidRPr="00E400E9">
              <w:rPr>
                <w:sz w:val="24"/>
                <w:szCs w:val="24"/>
              </w:rPr>
              <w:t>%)*</w:t>
            </w:r>
            <w:proofErr w:type="gramEnd"/>
          </w:p>
        </w:tc>
        <w:tc>
          <w:tcPr>
            <w:tcW w:w="0" w:type="auto"/>
            <w:tcBorders>
              <w:top w:val="single" w:sz="4" w:space="0" w:color="000000"/>
              <w:left w:val="single" w:sz="4" w:space="0" w:color="000000"/>
              <w:bottom w:val="single" w:sz="4" w:space="0" w:color="000000"/>
              <w:right w:val="single" w:sz="4" w:space="0" w:color="000000"/>
            </w:tcBorders>
            <w:hideMark/>
          </w:tcPr>
          <w:p w14:paraId="04A0BF09" w14:textId="77777777" w:rsidR="00093A1E" w:rsidRPr="00E400E9" w:rsidRDefault="00093A1E">
            <w:pPr>
              <w:tabs>
                <w:tab w:val="left" w:pos="7655"/>
              </w:tabs>
              <w:spacing w:beforeLines="20" w:before="48" w:afterLines="20" w:after="48"/>
              <w:jc w:val="center"/>
              <w:rPr>
                <w:sz w:val="24"/>
                <w:szCs w:val="24"/>
                <w:lang w:eastAsia="zh-CN"/>
              </w:rPr>
            </w:pPr>
            <w:r w:rsidRPr="00E400E9">
              <w:rPr>
                <w:sz w:val="24"/>
                <w:szCs w:val="24"/>
              </w:rPr>
              <w:t>0 (0%)</w:t>
            </w:r>
          </w:p>
        </w:tc>
        <w:tc>
          <w:tcPr>
            <w:tcW w:w="0" w:type="auto"/>
            <w:tcBorders>
              <w:top w:val="single" w:sz="4" w:space="0" w:color="000000"/>
              <w:left w:val="single" w:sz="4" w:space="0" w:color="000000"/>
              <w:bottom w:val="single" w:sz="4" w:space="0" w:color="000000"/>
              <w:right w:val="single" w:sz="4" w:space="0" w:color="000000"/>
            </w:tcBorders>
            <w:hideMark/>
          </w:tcPr>
          <w:p w14:paraId="25CD5CDE" w14:textId="77777777" w:rsidR="00093A1E" w:rsidRPr="00E400E9" w:rsidRDefault="00093A1E">
            <w:pPr>
              <w:tabs>
                <w:tab w:val="left" w:pos="7655"/>
              </w:tabs>
              <w:spacing w:beforeLines="20" w:before="48" w:afterLines="20" w:after="48"/>
              <w:jc w:val="center"/>
              <w:rPr>
                <w:sz w:val="24"/>
                <w:szCs w:val="24"/>
                <w:lang w:eastAsia="zh-CN"/>
              </w:rPr>
            </w:pPr>
            <w:r w:rsidRPr="00E400E9">
              <w:rPr>
                <w:sz w:val="24"/>
                <w:szCs w:val="24"/>
              </w:rPr>
              <w:t>83 (51,9 </w:t>
            </w:r>
            <w:proofErr w:type="gramStart"/>
            <w:r w:rsidRPr="00E400E9">
              <w:rPr>
                <w:sz w:val="24"/>
                <w:szCs w:val="24"/>
              </w:rPr>
              <w:t>%)*</w:t>
            </w:r>
            <w:proofErr w:type="gramEnd"/>
          </w:p>
        </w:tc>
        <w:tc>
          <w:tcPr>
            <w:tcW w:w="0" w:type="auto"/>
            <w:tcBorders>
              <w:top w:val="single" w:sz="4" w:space="0" w:color="000000"/>
              <w:left w:val="single" w:sz="4" w:space="0" w:color="000000"/>
              <w:bottom w:val="single" w:sz="4" w:space="0" w:color="000000"/>
              <w:right w:val="single" w:sz="4" w:space="0" w:color="000000"/>
            </w:tcBorders>
            <w:hideMark/>
          </w:tcPr>
          <w:p w14:paraId="527064A6" w14:textId="77777777" w:rsidR="00093A1E" w:rsidRPr="00E400E9" w:rsidRDefault="00093A1E">
            <w:pPr>
              <w:tabs>
                <w:tab w:val="left" w:pos="7655"/>
              </w:tabs>
              <w:spacing w:beforeLines="20" w:before="48" w:afterLines="20" w:after="48"/>
              <w:jc w:val="center"/>
              <w:rPr>
                <w:sz w:val="24"/>
                <w:szCs w:val="24"/>
                <w:lang w:eastAsia="zh-CN"/>
              </w:rPr>
            </w:pPr>
            <w:r w:rsidRPr="00E400E9">
              <w:rPr>
                <w:sz w:val="24"/>
                <w:szCs w:val="24"/>
              </w:rPr>
              <w:t>1 (1,9 %)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CD21064" w14:textId="77777777" w:rsidR="00093A1E" w:rsidRPr="00E400E9" w:rsidRDefault="00093A1E">
            <w:pPr>
              <w:keepNext/>
              <w:tabs>
                <w:tab w:val="left" w:pos="7655"/>
              </w:tabs>
              <w:spacing w:beforeLines="20" w:before="48" w:afterLines="20" w:after="48"/>
              <w:jc w:val="center"/>
              <w:rPr>
                <w:sz w:val="24"/>
                <w:szCs w:val="24"/>
                <w:lang w:eastAsia="zh-CN"/>
              </w:rPr>
            </w:pPr>
            <w:r w:rsidRPr="00E400E9">
              <w:rPr>
                <w:sz w:val="24"/>
                <w:szCs w:val="24"/>
              </w:rPr>
              <w:t>183 (68,8 </w:t>
            </w:r>
            <w:proofErr w:type="gramStart"/>
            <w:r w:rsidRPr="00E400E9">
              <w:rPr>
                <w:sz w:val="24"/>
                <w:szCs w:val="24"/>
              </w:rPr>
              <w:t>%)*</w:t>
            </w:r>
            <w:proofErr w:type="gram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1CBAF3B" w14:textId="77777777" w:rsidR="00093A1E" w:rsidRPr="00E400E9" w:rsidRDefault="00093A1E">
            <w:pPr>
              <w:keepNext/>
              <w:tabs>
                <w:tab w:val="left" w:pos="7655"/>
              </w:tabs>
              <w:spacing w:beforeLines="20" w:before="48" w:afterLines="20" w:after="48"/>
              <w:jc w:val="center"/>
              <w:rPr>
                <w:sz w:val="24"/>
                <w:szCs w:val="24"/>
                <w:lang w:eastAsia="zh-CN"/>
              </w:rPr>
            </w:pPr>
            <w:r w:rsidRPr="00E400E9">
              <w:rPr>
                <w:sz w:val="24"/>
                <w:szCs w:val="24"/>
              </w:rPr>
              <w:t>0 (0,0 %)</w:t>
            </w:r>
          </w:p>
        </w:tc>
      </w:tr>
      <w:tr w:rsidR="00093A1E" w:rsidRPr="00E400E9" w14:paraId="617BFAF9" w14:textId="77777777" w:rsidTr="00093A1E">
        <w:trPr>
          <w:trHeight w:val="309"/>
        </w:trPr>
        <w:tc>
          <w:tcPr>
            <w:tcW w:w="0" w:type="auto"/>
            <w:gridSpan w:val="7"/>
            <w:tcBorders>
              <w:top w:val="single" w:sz="4" w:space="0" w:color="000000"/>
              <w:left w:val="single" w:sz="4" w:space="0" w:color="000000"/>
              <w:bottom w:val="single" w:sz="4" w:space="0" w:color="000000"/>
              <w:right w:val="single" w:sz="4" w:space="0" w:color="000000"/>
            </w:tcBorders>
            <w:hideMark/>
          </w:tcPr>
          <w:p w14:paraId="68C4D067" w14:textId="77777777" w:rsidR="00093A1E" w:rsidRPr="00E400E9" w:rsidRDefault="00093A1E">
            <w:pPr>
              <w:keepNext/>
              <w:tabs>
                <w:tab w:val="left" w:pos="7655"/>
              </w:tabs>
              <w:spacing w:beforeLines="20" w:before="48" w:afterLines="20" w:after="48"/>
              <w:jc w:val="center"/>
              <w:rPr>
                <w:b/>
                <w:i/>
                <w:sz w:val="24"/>
                <w:szCs w:val="24"/>
                <w:vertAlign w:val="superscript"/>
                <w:lang w:eastAsia="da-DK"/>
              </w:rPr>
            </w:pPr>
            <w:r w:rsidRPr="00E400E9">
              <w:rPr>
                <w:b/>
                <w:i/>
                <w:sz w:val="24"/>
                <w:szCs w:val="24"/>
              </w:rPr>
              <w:t>Responsrate (%): Reduktion i FWS</w:t>
            </w:r>
            <w:r w:rsidRPr="00E400E9">
              <w:rPr>
                <w:b/>
                <w:i/>
                <w:sz w:val="24"/>
                <w:szCs w:val="24"/>
              </w:rPr>
              <w:noBreakHyphen/>
              <w:t xml:space="preserve">score fra moderat eller svær til ingen eller </w:t>
            </w:r>
            <w:proofErr w:type="spellStart"/>
            <w:r w:rsidRPr="00E400E9">
              <w:rPr>
                <w:b/>
                <w:i/>
                <w:sz w:val="24"/>
                <w:szCs w:val="24"/>
              </w:rPr>
              <w:t>mild</w:t>
            </w:r>
            <w:r w:rsidRPr="00E400E9">
              <w:rPr>
                <w:b/>
                <w:i/>
                <w:sz w:val="24"/>
                <w:szCs w:val="24"/>
                <w:vertAlign w:val="superscript"/>
              </w:rPr>
              <w:t>b</w:t>
            </w:r>
            <w:proofErr w:type="spellEnd"/>
          </w:p>
        </w:tc>
      </w:tr>
      <w:tr w:rsidR="00093A1E" w:rsidRPr="00E400E9" w14:paraId="647AEB44" w14:textId="77777777" w:rsidTr="00093A1E">
        <w:trPr>
          <w:trHeight w:val="309"/>
        </w:trPr>
        <w:tc>
          <w:tcPr>
            <w:tcW w:w="0" w:type="auto"/>
            <w:tcBorders>
              <w:top w:val="single" w:sz="4" w:space="0" w:color="000000"/>
              <w:left w:val="single" w:sz="4" w:space="0" w:color="000000"/>
              <w:bottom w:val="single" w:sz="4" w:space="0" w:color="000000"/>
              <w:right w:val="single" w:sz="4" w:space="0" w:color="000000"/>
            </w:tcBorders>
            <w:hideMark/>
          </w:tcPr>
          <w:p w14:paraId="6C581073" w14:textId="77777777" w:rsidR="00093A1E" w:rsidRPr="00E400E9" w:rsidRDefault="00093A1E">
            <w:pPr>
              <w:keepNext/>
              <w:tabs>
                <w:tab w:val="left" w:pos="7655"/>
              </w:tabs>
              <w:spacing w:beforeLines="20" w:before="48" w:afterLines="20" w:after="48"/>
              <w:rPr>
                <w:sz w:val="24"/>
                <w:szCs w:val="24"/>
              </w:rPr>
            </w:pPr>
            <w:proofErr w:type="spellStart"/>
            <w:r w:rsidRPr="00E400E9">
              <w:rPr>
                <w:sz w:val="24"/>
                <w:szCs w:val="24"/>
              </w:rPr>
              <w:t>Investigator</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097BFE7F" w14:textId="77777777" w:rsidR="00093A1E" w:rsidRPr="00E400E9" w:rsidRDefault="00093A1E">
            <w:pPr>
              <w:keepNext/>
              <w:tabs>
                <w:tab w:val="left" w:pos="7655"/>
              </w:tabs>
              <w:spacing w:beforeLines="20" w:before="48" w:afterLines="20" w:after="48"/>
              <w:jc w:val="center"/>
              <w:rPr>
                <w:sz w:val="24"/>
                <w:szCs w:val="24"/>
              </w:rPr>
            </w:pPr>
            <w:r w:rsidRPr="00E400E9">
              <w:rPr>
                <w:sz w:val="24"/>
                <w:szCs w:val="24"/>
              </w:rPr>
              <w:t>393 (74,3 </w:t>
            </w:r>
            <w:proofErr w:type="gramStart"/>
            <w:r w:rsidRPr="00E400E9">
              <w:rPr>
                <w:sz w:val="24"/>
                <w:szCs w:val="24"/>
              </w:rPr>
              <w:t>%)*</w:t>
            </w:r>
            <w:proofErr w:type="gramEnd"/>
          </w:p>
        </w:tc>
        <w:tc>
          <w:tcPr>
            <w:tcW w:w="0" w:type="auto"/>
            <w:tcBorders>
              <w:top w:val="single" w:sz="4" w:space="0" w:color="000000"/>
              <w:left w:val="single" w:sz="4" w:space="0" w:color="000000"/>
              <w:bottom w:val="single" w:sz="4" w:space="0" w:color="000000"/>
              <w:right w:val="single" w:sz="4" w:space="0" w:color="000000"/>
            </w:tcBorders>
            <w:hideMark/>
          </w:tcPr>
          <w:p w14:paraId="74DF0535" w14:textId="77777777" w:rsidR="00093A1E" w:rsidRPr="00E400E9" w:rsidRDefault="00093A1E">
            <w:pPr>
              <w:keepNext/>
              <w:tabs>
                <w:tab w:val="left" w:pos="7655"/>
              </w:tabs>
              <w:spacing w:beforeLines="20" w:before="48" w:afterLines="20" w:after="48"/>
              <w:jc w:val="center"/>
              <w:rPr>
                <w:sz w:val="24"/>
                <w:szCs w:val="24"/>
              </w:rPr>
            </w:pPr>
            <w:r w:rsidRPr="00E400E9">
              <w:rPr>
                <w:sz w:val="24"/>
                <w:szCs w:val="24"/>
              </w:rPr>
              <w:t>3 (1,7 %)</w:t>
            </w:r>
          </w:p>
        </w:tc>
        <w:tc>
          <w:tcPr>
            <w:tcW w:w="0" w:type="auto"/>
            <w:tcBorders>
              <w:top w:val="single" w:sz="4" w:space="0" w:color="000000"/>
              <w:left w:val="single" w:sz="4" w:space="0" w:color="000000"/>
              <w:bottom w:val="single" w:sz="4" w:space="0" w:color="000000"/>
              <w:right w:val="single" w:sz="4" w:space="0" w:color="000000"/>
            </w:tcBorders>
            <w:hideMark/>
          </w:tcPr>
          <w:p w14:paraId="2AD7AF80" w14:textId="77777777" w:rsidR="00093A1E" w:rsidRPr="00E400E9" w:rsidRDefault="00093A1E">
            <w:pPr>
              <w:keepNext/>
              <w:tabs>
                <w:tab w:val="left" w:pos="7655"/>
              </w:tabs>
              <w:spacing w:beforeLines="20" w:before="48" w:afterLines="20" w:after="48"/>
              <w:jc w:val="center"/>
              <w:rPr>
                <w:sz w:val="24"/>
                <w:szCs w:val="24"/>
                <w:highlight w:val="yellow"/>
                <w:lang w:eastAsia="zh-CN"/>
              </w:rPr>
            </w:pPr>
            <w:r w:rsidRPr="00E400E9">
              <w:rPr>
                <w:sz w:val="24"/>
                <w:szCs w:val="24"/>
              </w:rPr>
              <w:t>136 (85,0 </w:t>
            </w:r>
            <w:proofErr w:type="gramStart"/>
            <w:r w:rsidRPr="00E400E9">
              <w:rPr>
                <w:sz w:val="24"/>
                <w:szCs w:val="24"/>
              </w:rPr>
              <w:t>%)*</w:t>
            </w:r>
            <w:proofErr w:type="gramEnd"/>
            <w:r w:rsidRPr="00E400E9">
              <w:rPr>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14:paraId="2F74950C" w14:textId="77777777" w:rsidR="00093A1E" w:rsidRPr="00E400E9" w:rsidRDefault="00093A1E">
            <w:pPr>
              <w:keepNext/>
              <w:tabs>
                <w:tab w:val="left" w:pos="7655"/>
              </w:tabs>
              <w:spacing w:beforeLines="20" w:before="48" w:afterLines="20" w:after="48"/>
              <w:jc w:val="center"/>
              <w:rPr>
                <w:sz w:val="24"/>
                <w:szCs w:val="24"/>
                <w:lang w:eastAsia="zh-CN"/>
              </w:rPr>
            </w:pPr>
            <w:r w:rsidRPr="00E400E9">
              <w:rPr>
                <w:sz w:val="24"/>
                <w:szCs w:val="24"/>
              </w:rPr>
              <w:t>2 (3,8 %)</w:t>
            </w:r>
          </w:p>
        </w:tc>
        <w:tc>
          <w:tcPr>
            <w:tcW w:w="0" w:type="auto"/>
            <w:tcBorders>
              <w:top w:val="single" w:sz="4" w:space="0" w:color="000000"/>
              <w:left w:val="single" w:sz="4" w:space="0" w:color="000000"/>
              <w:bottom w:val="single" w:sz="4" w:space="0" w:color="000000"/>
              <w:right w:val="single" w:sz="4" w:space="0" w:color="000000"/>
            </w:tcBorders>
            <w:hideMark/>
          </w:tcPr>
          <w:p w14:paraId="2686B524" w14:textId="77777777" w:rsidR="00093A1E" w:rsidRPr="00E400E9" w:rsidRDefault="00093A1E">
            <w:pPr>
              <w:keepNext/>
              <w:tabs>
                <w:tab w:val="left" w:pos="7655"/>
              </w:tabs>
              <w:spacing w:beforeLines="20" w:before="48" w:afterLines="20" w:after="48"/>
              <w:jc w:val="center"/>
              <w:rPr>
                <w:sz w:val="24"/>
                <w:szCs w:val="24"/>
                <w:lang w:eastAsia="zh-CN"/>
              </w:rPr>
            </w:pPr>
            <w:r w:rsidRPr="00E400E9">
              <w:rPr>
                <w:sz w:val="24"/>
                <w:szCs w:val="24"/>
              </w:rPr>
              <w:t>218 (82,0 </w:t>
            </w:r>
            <w:proofErr w:type="gramStart"/>
            <w:r w:rsidRPr="00E400E9">
              <w:rPr>
                <w:sz w:val="24"/>
                <w:szCs w:val="24"/>
              </w:rPr>
              <w:t>%)*</w:t>
            </w:r>
            <w:proofErr w:type="gram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E0005F" w14:textId="77777777" w:rsidR="00093A1E" w:rsidRPr="00E400E9" w:rsidRDefault="00093A1E">
            <w:pPr>
              <w:keepNext/>
              <w:tabs>
                <w:tab w:val="left" w:pos="7655"/>
              </w:tabs>
              <w:spacing w:beforeLines="20" w:before="48" w:afterLines="20" w:after="48"/>
              <w:jc w:val="center"/>
              <w:rPr>
                <w:sz w:val="24"/>
                <w:szCs w:val="24"/>
                <w:lang w:eastAsia="zh-CN"/>
              </w:rPr>
            </w:pPr>
            <w:r w:rsidRPr="00E400E9">
              <w:rPr>
                <w:sz w:val="24"/>
                <w:szCs w:val="24"/>
              </w:rPr>
              <w:t>1 (1,1 %)</w:t>
            </w:r>
          </w:p>
        </w:tc>
      </w:tr>
      <w:tr w:rsidR="00093A1E" w:rsidRPr="00E400E9" w14:paraId="33CC0701" w14:textId="77777777" w:rsidTr="00093A1E">
        <w:trPr>
          <w:trHeight w:val="837"/>
        </w:trPr>
        <w:tc>
          <w:tcPr>
            <w:tcW w:w="0" w:type="auto"/>
            <w:gridSpan w:val="7"/>
            <w:tcBorders>
              <w:top w:val="single" w:sz="4" w:space="0" w:color="auto"/>
              <w:left w:val="nil"/>
              <w:bottom w:val="nil"/>
              <w:right w:val="nil"/>
            </w:tcBorders>
            <w:hideMark/>
          </w:tcPr>
          <w:p w14:paraId="5AA076BA" w14:textId="77777777" w:rsidR="00093A1E" w:rsidRPr="00E400E9" w:rsidRDefault="00093A1E" w:rsidP="00F37506">
            <w:pPr>
              <w:ind w:left="311" w:hanging="284"/>
              <w:rPr>
                <w:sz w:val="24"/>
                <w:szCs w:val="24"/>
                <w:lang w:eastAsia="da-DK"/>
              </w:rPr>
            </w:pPr>
            <w:r w:rsidRPr="00E400E9">
              <w:rPr>
                <w:sz w:val="24"/>
                <w:szCs w:val="24"/>
              </w:rPr>
              <w:t>*</w:t>
            </w:r>
            <w:r w:rsidRPr="00E400E9">
              <w:rPr>
                <w:sz w:val="24"/>
                <w:szCs w:val="24"/>
              </w:rPr>
              <w:tab/>
            </w:r>
            <w:proofErr w:type="spellStart"/>
            <w:r w:rsidRPr="00E400E9">
              <w:rPr>
                <w:sz w:val="24"/>
                <w:szCs w:val="24"/>
              </w:rPr>
              <w:t>p</w:t>
            </w:r>
            <w:r w:rsidRPr="00E400E9">
              <w:rPr>
                <w:sz w:val="24"/>
                <w:szCs w:val="24"/>
              </w:rPr>
              <w:noBreakHyphen/>
              <w:t>værdi</w:t>
            </w:r>
            <w:proofErr w:type="spellEnd"/>
            <w:r w:rsidRPr="00E400E9">
              <w:rPr>
                <w:sz w:val="24"/>
                <w:szCs w:val="24"/>
              </w:rPr>
              <w:t xml:space="preserve"> på &lt;0,001 for </w:t>
            </w:r>
            <w:proofErr w:type="spellStart"/>
            <w:r w:rsidRPr="00E400E9">
              <w:rPr>
                <w:sz w:val="24"/>
                <w:szCs w:val="24"/>
              </w:rPr>
              <w:t>Cochran</w:t>
            </w:r>
            <w:proofErr w:type="spellEnd"/>
            <w:r w:rsidRPr="00E400E9">
              <w:rPr>
                <w:sz w:val="24"/>
                <w:szCs w:val="24"/>
              </w:rPr>
              <w:noBreakHyphen/>
            </w:r>
            <w:proofErr w:type="spellStart"/>
            <w:r w:rsidRPr="00E400E9">
              <w:rPr>
                <w:sz w:val="24"/>
                <w:szCs w:val="24"/>
              </w:rPr>
              <w:t>Mantel</w:t>
            </w:r>
            <w:proofErr w:type="spellEnd"/>
            <w:r w:rsidRPr="00E400E9">
              <w:rPr>
                <w:sz w:val="24"/>
                <w:szCs w:val="24"/>
              </w:rPr>
              <w:noBreakHyphen/>
            </w:r>
            <w:proofErr w:type="spellStart"/>
            <w:r w:rsidRPr="00E400E9">
              <w:rPr>
                <w:sz w:val="24"/>
                <w:szCs w:val="24"/>
              </w:rPr>
              <w:t>Haenszel</w:t>
            </w:r>
            <w:proofErr w:type="spellEnd"/>
            <w:r w:rsidRPr="00E400E9">
              <w:rPr>
                <w:sz w:val="24"/>
                <w:szCs w:val="24"/>
              </w:rPr>
              <w:noBreakHyphen/>
              <w:t xml:space="preserve">test for forskel mellem </w:t>
            </w:r>
            <w:proofErr w:type="spellStart"/>
            <w:r w:rsidRPr="00E400E9">
              <w:rPr>
                <w:sz w:val="24"/>
                <w:szCs w:val="24"/>
              </w:rPr>
              <w:t>Letybo</w:t>
            </w:r>
            <w:proofErr w:type="spellEnd"/>
            <w:r w:rsidRPr="00E400E9">
              <w:rPr>
                <w:sz w:val="24"/>
                <w:szCs w:val="24"/>
              </w:rPr>
              <w:t xml:space="preserve"> og placebo; N: antal randomiserede patienter, n: antal respondenter</w:t>
            </w:r>
          </w:p>
          <w:p w14:paraId="58F7B468" w14:textId="77777777" w:rsidR="00093A1E" w:rsidRPr="00E400E9" w:rsidRDefault="00093A1E" w:rsidP="00F37506">
            <w:pPr>
              <w:ind w:left="311" w:hanging="284"/>
              <w:rPr>
                <w:sz w:val="24"/>
                <w:szCs w:val="24"/>
                <w:lang w:val="nb-NO"/>
              </w:rPr>
            </w:pPr>
            <w:r w:rsidRPr="00E400E9">
              <w:rPr>
                <w:sz w:val="24"/>
                <w:szCs w:val="24"/>
                <w:vertAlign w:val="superscript"/>
                <w:lang w:val="nb-NO"/>
              </w:rPr>
              <w:t>a</w:t>
            </w:r>
            <w:r w:rsidRPr="00E400E9">
              <w:rPr>
                <w:sz w:val="24"/>
                <w:szCs w:val="24"/>
                <w:vertAlign w:val="superscript"/>
                <w:lang w:val="nb-NO"/>
              </w:rPr>
              <w:tab/>
            </w:r>
            <w:r w:rsidRPr="00E400E9">
              <w:rPr>
                <w:sz w:val="24"/>
                <w:szCs w:val="24"/>
                <w:lang w:val="nb-NO"/>
              </w:rPr>
              <w:t>Primært effektendepunkt</w:t>
            </w:r>
          </w:p>
          <w:p w14:paraId="31D0D6C5" w14:textId="77777777" w:rsidR="00093A1E" w:rsidRPr="00E400E9" w:rsidRDefault="00093A1E" w:rsidP="00F37506">
            <w:pPr>
              <w:ind w:left="311" w:hanging="284"/>
              <w:rPr>
                <w:sz w:val="24"/>
                <w:szCs w:val="24"/>
                <w:lang w:val="nb-NO" w:eastAsia="zh-CN"/>
              </w:rPr>
            </w:pPr>
            <w:r w:rsidRPr="00E400E9">
              <w:rPr>
                <w:sz w:val="24"/>
                <w:szCs w:val="24"/>
                <w:vertAlign w:val="superscript"/>
                <w:lang w:val="nb-NO"/>
              </w:rPr>
              <w:t>b</w:t>
            </w:r>
            <w:r w:rsidRPr="00E400E9">
              <w:rPr>
                <w:sz w:val="24"/>
                <w:szCs w:val="24"/>
                <w:lang w:val="nb-NO"/>
              </w:rPr>
              <w:tab/>
              <w:t>Post</w:t>
            </w:r>
            <w:r w:rsidRPr="00E400E9">
              <w:rPr>
                <w:sz w:val="24"/>
                <w:szCs w:val="24"/>
                <w:lang w:val="nb-NO"/>
              </w:rPr>
              <w:noBreakHyphen/>
              <w:t>hoc</w:t>
            </w:r>
            <w:r w:rsidRPr="00E400E9">
              <w:rPr>
                <w:sz w:val="24"/>
                <w:szCs w:val="24"/>
                <w:lang w:val="nb-NO"/>
              </w:rPr>
              <w:noBreakHyphen/>
              <w:t>analyse</w:t>
            </w:r>
            <w:r w:rsidRPr="00E400E9">
              <w:rPr>
                <w:sz w:val="24"/>
                <w:szCs w:val="24"/>
                <w:lang w:val="nb-NO"/>
              </w:rPr>
              <w:br/>
            </w:r>
          </w:p>
        </w:tc>
      </w:tr>
    </w:tbl>
    <w:p w14:paraId="3535771F" w14:textId="77777777" w:rsidR="00093A1E" w:rsidRPr="00E400E9" w:rsidRDefault="00093A1E" w:rsidP="00093A1E">
      <w:pPr>
        <w:ind w:left="851"/>
        <w:rPr>
          <w:sz w:val="24"/>
          <w:szCs w:val="24"/>
          <w:lang w:eastAsia="da-DK" w:bidi="da-DK"/>
        </w:rPr>
      </w:pPr>
      <w:r w:rsidRPr="00E400E9">
        <w:rPr>
          <w:sz w:val="24"/>
          <w:szCs w:val="24"/>
        </w:rPr>
        <w:t xml:space="preserve">I alt 38,3 % af de forsøgspersoner, der blev behandlet med </w:t>
      </w:r>
      <w:proofErr w:type="spellStart"/>
      <w:r w:rsidRPr="00E400E9">
        <w:rPr>
          <w:sz w:val="24"/>
          <w:szCs w:val="24"/>
        </w:rPr>
        <w:t>Letybo</w:t>
      </w:r>
      <w:proofErr w:type="spellEnd"/>
      <w:r w:rsidRPr="00E400E9">
        <w:rPr>
          <w:sz w:val="24"/>
          <w:szCs w:val="24"/>
        </w:rPr>
        <w:t>, udviste en forbedring på 3 point af sværhedsgraden af linjer i forhold til en baselineværdi med svære linjer (</w:t>
      </w:r>
      <w:proofErr w:type="gramStart"/>
      <w:r w:rsidRPr="00E400E9">
        <w:rPr>
          <w:sz w:val="24"/>
          <w:szCs w:val="24"/>
        </w:rPr>
        <w:t>FWS grad</w:t>
      </w:r>
      <w:proofErr w:type="gramEnd"/>
      <w:r w:rsidRPr="00E400E9">
        <w:rPr>
          <w:sz w:val="24"/>
          <w:szCs w:val="24"/>
        </w:rPr>
        <w:t xml:space="preserve"> 3) til ingen linjer (FWS grad 0) i uge 4 ifølge </w:t>
      </w:r>
      <w:proofErr w:type="spellStart"/>
      <w:r w:rsidRPr="00E400E9">
        <w:rPr>
          <w:sz w:val="24"/>
          <w:szCs w:val="24"/>
        </w:rPr>
        <w:t>investigators</w:t>
      </w:r>
      <w:proofErr w:type="spellEnd"/>
      <w:r w:rsidRPr="00E400E9">
        <w:rPr>
          <w:sz w:val="24"/>
          <w:szCs w:val="24"/>
        </w:rPr>
        <w:t xml:space="preserve"> vurdering</w:t>
      </w:r>
    </w:p>
    <w:p w14:paraId="5F27BE38" w14:textId="77777777" w:rsidR="00093A1E" w:rsidRPr="00E400E9" w:rsidRDefault="00093A1E" w:rsidP="00093A1E">
      <w:pPr>
        <w:ind w:left="851"/>
        <w:rPr>
          <w:sz w:val="24"/>
          <w:szCs w:val="24"/>
        </w:rPr>
      </w:pPr>
    </w:p>
    <w:p w14:paraId="12B96202" w14:textId="77777777" w:rsidR="00093A1E" w:rsidRPr="00E400E9" w:rsidRDefault="00093A1E" w:rsidP="00093A1E">
      <w:pPr>
        <w:ind w:left="851"/>
        <w:rPr>
          <w:sz w:val="24"/>
          <w:szCs w:val="24"/>
        </w:rPr>
      </w:pPr>
      <w:r w:rsidRPr="00E400E9">
        <w:rPr>
          <w:sz w:val="24"/>
          <w:szCs w:val="24"/>
        </w:rPr>
        <w:t xml:space="preserve">Forbedringen af </w:t>
      </w:r>
      <w:proofErr w:type="spellStart"/>
      <w:r w:rsidRPr="00E400E9">
        <w:rPr>
          <w:sz w:val="24"/>
          <w:szCs w:val="24"/>
        </w:rPr>
        <w:t>glabellalinjer</w:t>
      </w:r>
      <w:proofErr w:type="spellEnd"/>
      <w:r w:rsidRPr="00E400E9">
        <w:rPr>
          <w:sz w:val="24"/>
          <w:szCs w:val="24"/>
        </w:rPr>
        <w:t xml:space="preserve"> (baseret på en forbedring i form af ≥2 points reduktion i FWS</w:t>
      </w:r>
      <w:r w:rsidRPr="00E400E9">
        <w:rPr>
          <w:sz w:val="24"/>
          <w:szCs w:val="24"/>
        </w:rPr>
        <w:noBreakHyphen/>
        <w:t xml:space="preserve">score ved maksimal panderynken, baseret på vurdering fra både forsøgsperson og </w:t>
      </w:r>
      <w:proofErr w:type="spellStart"/>
      <w:r w:rsidRPr="00E400E9">
        <w:rPr>
          <w:sz w:val="24"/>
          <w:szCs w:val="24"/>
        </w:rPr>
        <w:t>investigator</w:t>
      </w:r>
      <w:proofErr w:type="spellEnd"/>
      <w:r w:rsidRPr="00E400E9">
        <w:rPr>
          <w:sz w:val="24"/>
          <w:szCs w:val="24"/>
        </w:rPr>
        <w:t>) begyndte inden for en uge efter injektionen og nåede maksimal virkning i løbet af den anden uge efter injektionen. Varighed af virkningen kan anses for at være mellem 12 og 16 uger (se figur 1).</w:t>
      </w:r>
    </w:p>
    <w:p w14:paraId="6CF19D46" w14:textId="77777777" w:rsidR="00093A1E" w:rsidRPr="00E400E9" w:rsidRDefault="00093A1E" w:rsidP="00093A1E">
      <w:pPr>
        <w:pStyle w:val="Brdtekst"/>
        <w:ind w:left="851"/>
        <w:rPr>
          <w:i w:val="0"/>
          <w:color w:val="auto"/>
          <w:sz w:val="24"/>
          <w:szCs w:val="24"/>
        </w:rPr>
      </w:pPr>
    </w:p>
    <w:p w14:paraId="0C2B6943" w14:textId="78389F53" w:rsidR="00093A1E" w:rsidRPr="00E400E9" w:rsidRDefault="00093A1E" w:rsidP="00093A1E">
      <w:pPr>
        <w:pStyle w:val="Brdtekst"/>
        <w:ind w:left="851"/>
        <w:rPr>
          <w:i w:val="0"/>
          <w:color w:val="auto"/>
          <w:sz w:val="24"/>
          <w:szCs w:val="24"/>
        </w:rPr>
      </w:pPr>
      <w:r w:rsidRPr="00E400E9">
        <w:rPr>
          <w:noProof/>
          <w:sz w:val="24"/>
          <w:szCs w:val="24"/>
        </w:rPr>
        <mc:AlternateContent>
          <mc:Choice Requires="wps">
            <w:drawing>
              <wp:anchor distT="0" distB="0" distL="114300" distR="114300" simplePos="0" relativeHeight="251663360" behindDoc="0" locked="0" layoutInCell="1" allowOverlap="1" wp14:anchorId="2342BB0A" wp14:editId="31392476">
                <wp:simplePos x="0" y="0"/>
                <wp:positionH relativeFrom="column">
                  <wp:posOffset>-695960</wp:posOffset>
                </wp:positionH>
                <wp:positionV relativeFrom="paragraph">
                  <wp:posOffset>1289685</wp:posOffset>
                </wp:positionV>
                <wp:extent cx="1700530" cy="298450"/>
                <wp:effectExtent l="0" t="3810" r="0" b="0"/>
                <wp:wrapNone/>
                <wp:docPr id="8" name="Tekstfelt 8"/>
                <wp:cNvGraphicFramePr/>
                <a:graphic xmlns:a="http://schemas.openxmlformats.org/drawingml/2006/main">
                  <a:graphicData uri="http://schemas.microsoft.com/office/word/2010/wordprocessingShape">
                    <wps:wsp>
                      <wps:cNvSpPr txBox="1"/>
                      <wps:spPr>
                        <a:xfrm rot="16200000">
                          <a:off x="0" y="0"/>
                          <a:ext cx="1700530" cy="298450"/>
                        </a:xfrm>
                        <a:prstGeom prst="rect">
                          <a:avLst/>
                        </a:prstGeom>
                        <a:solidFill>
                          <a:schemeClr val="lt1"/>
                        </a:solidFill>
                        <a:ln w="6350">
                          <a:noFill/>
                        </a:ln>
                      </wps:spPr>
                      <wps:txbx>
                        <w:txbxContent>
                          <w:p w14:paraId="6B7A49C0" w14:textId="77777777" w:rsidR="00093A1E" w:rsidRDefault="00093A1E" w:rsidP="00093A1E">
                            <w:pPr>
                              <w:jc w:val="center"/>
                              <w:rPr>
                                <w:color w:val="808080" w:themeColor="background1" w:themeShade="80"/>
                                <w:sz w:val="18"/>
                                <w:szCs w:val="18"/>
                              </w:rPr>
                            </w:pPr>
                            <w:r>
                              <w:rPr>
                                <w:color w:val="808080" w:themeColor="background1" w:themeShade="80"/>
                                <w:sz w:val="18"/>
                                <w:szCs w:val="18"/>
                              </w:rPr>
                              <w:t>Sammensat endepunkt</w:t>
                            </w:r>
                          </w:p>
                          <w:p w14:paraId="4D6C49E7" w14:textId="77777777" w:rsidR="00093A1E" w:rsidRDefault="00093A1E" w:rsidP="00093A1E">
                            <w:pPr>
                              <w:jc w:val="center"/>
                              <w:rPr>
                                <w:color w:val="808080" w:themeColor="background1" w:themeShade="80"/>
                                <w:sz w:val="18"/>
                                <w:szCs w:val="18"/>
                              </w:rPr>
                            </w:pPr>
                            <w:r>
                              <w:rPr>
                                <w:color w:val="808080" w:themeColor="background1" w:themeShade="80"/>
                                <w:sz w:val="18"/>
                                <w:szCs w:val="18"/>
                              </w:rPr>
                              <w:t>Behandlingsresponsrate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2BB0A" id="Tekstfelt 8" o:spid="_x0000_s1028" type="#_x0000_t202" style="position:absolute;left:0;text-align:left;margin-left:-54.8pt;margin-top:101.55pt;width:133.9pt;height:23.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" fillcolor="white [3201]" stroked="f" strokeweight=".5pt">
                <v:textbox inset="0,0,0,0">
                  <w:txbxContent>
                    <w:p w14:paraId="6B7A49C0" w14:textId="77777777" w:rsidR="00093A1E" w:rsidRDefault="00093A1E" w:rsidP="00093A1E">
                      <w:pPr>
                        <w:jc w:val="center"/>
                        <w:rPr>
                          <w:color w:val="808080" w:themeColor="background1" w:themeShade="80"/>
                          <w:sz w:val="18"/>
                          <w:szCs w:val="18"/>
                        </w:rPr>
                      </w:pPr>
                      <w:r>
                        <w:rPr>
                          <w:color w:val="808080" w:themeColor="background1" w:themeShade="80"/>
                          <w:sz w:val="18"/>
                          <w:szCs w:val="18"/>
                        </w:rPr>
                        <w:t>Sammensat endepunkt</w:t>
                      </w:r>
                    </w:p>
                    <w:p w14:paraId="4D6C49E7" w14:textId="77777777" w:rsidR="00093A1E" w:rsidRDefault="00093A1E" w:rsidP="00093A1E">
                      <w:pPr>
                        <w:jc w:val="center"/>
                        <w:rPr>
                          <w:color w:val="808080" w:themeColor="background1" w:themeShade="80"/>
                          <w:sz w:val="18"/>
                          <w:szCs w:val="18"/>
                        </w:rPr>
                      </w:pPr>
                      <w:r>
                        <w:rPr>
                          <w:color w:val="808080" w:themeColor="background1" w:themeShade="80"/>
                          <w:sz w:val="18"/>
                          <w:szCs w:val="18"/>
                        </w:rPr>
                        <w:t>Behandlingsresponsrate</w:t>
                      </w:r>
                    </w:p>
                  </w:txbxContent>
                </v:textbox>
              </v:shape>
            </w:pict>
          </mc:Fallback>
        </mc:AlternateContent>
      </w:r>
      <w:r w:rsidRPr="00E400E9">
        <w:rPr>
          <w:noProof/>
          <w:sz w:val="24"/>
          <w:szCs w:val="24"/>
        </w:rPr>
        <mc:AlternateContent>
          <mc:Choice Requires="wps">
            <w:drawing>
              <wp:anchor distT="0" distB="0" distL="114300" distR="114300" simplePos="0" relativeHeight="251672576" behindDoc="0" locked="0" layoutInCell="1" allowOverlap="1" wp14:anchorId="520E275A" wp14:editId="42DCA80E">
                <wp:simplePos x="0" y="0"/>
                <wp:positionH relativeFrom="column">
                  <wp:posOffset>2236470</wp:posOffset>
                </wp:positionH>
                <wp:positionV relativeFrom="paragraph">
                  <wp:posOffset>2699385</wp:posOffset>
                </wp:positionV>
                <wp:extent cx="1593850" cy="152400"/>
                <wp:effectExtent l="0" t="0" r="6350" b="0"/>
                <wp:wrapNone/>
                <wp:docPr id="17" name="Tekstfelt 17"/>
                <wp:cNvGraphicFramePr/>
                <a:graphic xmlns:a="http://schemas.openxmlformats.org/drawingml/2006/main">
                  <a:graphicData uri="http://schemas.microsoft.com/office/word/2010/wordprocessingShape">
                    <wps:wsp>
                      <wps:cNvSpPr txBox="1"/>
                      <wps:spPr>
                        <a:xfrm>
                          <a:off x="0" y="0"/>
                          <a:ext cx="1593850" cy="152400"/>
                        </a:xfrm>
                        <a:prstGeom prst="rect">
                          <a:avLst/>
                        </a:prstGeom>
                        <a:solidFill>
                          <a:schemeClr val="lt1"/>
                        </a:solidFill>
                        <a:ln w="6350">
                          <a:noFill/>
                        </a:ln>
                      </wps:spPr>
                      <wps:txbx>
                        <w:txbxContent>
                          <w:p w14:paraId="3B669FDB" w14:textId="77777777" w:rsidR="00093A1E" w:rsidRDefault="00093A1E" w:rsidP="00093A1E">
                            <w:pPr>
                              <w:jc w:val="center"/>
                              <w:rPr>
                                <w:color w:val="808080" w:themeColor="background1" w:themeShade="80"/>
                                <w:sz w:val="17"/>
                                <w:szCs w:val="17"/>
                              </w:rPr>
                            </w:pPr>
                            <w:r>
                              <w:rPr>
                                <w:color w:val="808080" w:themeColor="background1" w:themeShade="80"/>
                                <w:sz w:val="17"/>
                                <w:szCs w:val="17"/>
                              </w:rPr>
                              <w:t>Besøg under Cyklus 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E275A" id="Tekstfelt 17" o:spid="_x0000_s1029" type="#_x0000_t202" style="position:absolute;left:0;text-align:left;margin-left:176.1pt;margin-top:212.55pt;width:125.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" fillcolor="white [3201]" stroked="f" strokeweight=".5pt">
                <v:textbox inset="0,0,0,0">
                  <w:txbxContent>
                    <w:p w14:paraId="3B669FDB" w14:textId="77777777" w:rsidR="00093A1E" w:rsidRDefault="00093A1E" w:rsidP="00093A1E">
                      <w:pPr>
                        <w:jc w:val="center"/>
                        <w:rPr>
                          <w:color w:val="808080" w:themeColor="background1" w:themeShade="80"/>
                          <w:sz w:val="17"/>
                          <w:szCs w:val="17"/>
                        </w:rPr>
                      </w:pPr>
                      <w:r>
                        <w:rPr>
                          <w:color w:val="808080" w:themeColor="background1" w:themeShade="80"/>
                          <w:sz w:val="17"/>
                          <w:szCs w:val="17"/>
                        </w:rPr>
                        <w:t>Besøg under Cyklus 1</w:t>
                      </w:r>
                    </w:p>
                  </w:txbxContent>
                </v:textbox>
              </v:shape>
            </w:pict>
          </mc:Fallback>
        </mc:AlternateContent>
      </w:r>
      <w:r w:rsidRPr="00E400E9">
        <w:rPr>
          <w:noProof/>
          <w:sz w:val="24"/>
          <w:szCs w:val="24"/>
        </w:rPr>
        <mc:AlternateContent>
          <mc:Choice Requires="wps">
            <w:drawing>
              <wp:anchor distT="0" distB="0" distL="114300" distR="114300" simplePos="0" relativeHeight="251671552" behindDoc="0" locked="0" layoutInCell="1" allowOverlap="1" wp14:anchorId="040894CB" wp14:editId="19C3C011">
                <wp:simplePos x="0" y="0"/>
                <wp:positionH relativeFrom="column">
                  <wp:posOffset>5214620</wp:posOffset>
                </wp:positionH>
                <wp:positionV relativeFrom="paragraph">
                  <wp:posOffset>2505710</wp:posOffset>
                </wp:positionV>
                <wp:extent cx="355600" cy="152400"/>
                <wp:effectExtent l="0" t="0" r="6350" b="0"/>
                <wp:wrapNone/>
                <wp:docPr id="16" name="Tekstfelt 16"/>
                <wp:cNvGraphicFramePr/>
                <a:graphic xmlns:a="http://schemas.openxmlformats.org/drawingml/2006/main">
                  <a:graphicData uri="http://schemas.microsoft.com/office/word/2010/wordprocessingShape">
                    <wps:wsp>
                      <wps:cNvSpPr txBox="1"/>
                      <wps:spPr>
                        <a:xfrm>
                          <a:off x="0" y="0"/>
                          <a:ext cx="355600" cy="152400"/>
                        </a:xfrm>
                        <a:prstGeom prst="rect">
                          <a:avLst/>
                        </a:prstGeom>
                        <a:solidFill>
                          <a:schemeClr val="lt1"/>
                        </a:solidFill>
                        <a:ln w="6350">
                          <a:noFill/>
                        </a:ln>
                      </wps:spPr>
                      <wps:txbx>
                        <w:txbxContent>
                          <w:p w14:paraId="46E634F0" w14:textId="77777777" w:rsidR="00093A1E" w:rsidRDefault="00093A1E" w:rsidP="00093A1E">
                            <w:pPr>
                              <w:rPr>
                                <w:color w:val="808080" w:themeColor="background1" w:themeShade="80"/>
                                <w:sz w:val="17"/>
                                <w:szCs w:val="17"/>
                              </w:rPr>
                            </w:pPr>
                            <w:r>
                              <w:rPr>
                                <w:color w:val="808080" w:themeColor="background1" w:themeShade="80"/>
                                <w:sz w:val="17"/>
                                <w:szCs w:val="17"/>
                              </w:rPr>
                              <w:t>UGE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894CB" id="Tekstfelt 16" o:spid="_x0000_s1030" type="#_x0000_t202" style="position:absolute;left:0;text-align:left;margin-left:410.6pt;margin-top:197.3pt;width:28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" fillcolor="white [3201]" stroked="f" strokeweight=".5pt">
                <v:textbox inset="0,0,0,0">
                  <w:txbxContent>
                    <w:p w14:paraId="46E634F0" w14:textId="77777777" w:rsidR="00093A1E" w:rsidRDefault="00093A1E" w:rsidP="00093A1E">
                      <w:pPr>
                        <w:rPr>
                          <w:color w:val="808080" w:themeColor="background1" w:themeShade="80"/>
                          <w:sz w:val="17"/>
                          <w:szCs w:val="17"/>
                        </w:rPr>
                      </w:pPr>
                      <w:r>
                        <w:rPr>
                          <w:color w:val="808080" w:themeColor="background1" w:themeShade="80"/>
                          <w:sz w:val="17"/>
                          <w:szCs w:val="17"/>
                        </w:rPr>
                        <w:t>UGE</w:t>
                      </w:r>
                    </w:p>
                  </w:txbxContent>
                </v:textbox>
              </v:shape>
            </w:pict>
          </mc:Fallback>
        </mc:AlternateContent>
      </w:r>
      <w:r w:rsidRPr="00E400E9">
        <w:rPr>
          <w:noProof/>
          <w:sz w:val="24"/>
          <w:szCs w:val="24"/>
        </w:rPr>
        <mc:AlternateContent>
          <mc:Choice Requires="wps">
            <w:drawing>
              <wp:anchor distT="0" distB="0" distL="114300" distR="114300" simplePos="0" relativeHeight="251670528" behindDoc="0" locked="0" layoutInCell="1" allowOverlap="1" wp14:anchorId="5840F534" wp14:editId="29D914CE">
                <wp:simplePos x="0" y="0"/>
                <wp:positionH relativeFrom="column">
                  <wp:posOffset>4020820</wp:posOffset>
                </wp:positionH>
                <wp:positionV relativeFrom="paragraph">
                  <wp:posOffset>2512060</wp:posOffset>
                </wp:positionV>
                <wp:extent cx="355600" cy="152400"/>
                <wp:effectExtent l="0" t="0" r="6350" b="0"/>
                <wp:wrapNone/>
                <wp:docPr id="15" name="Tekstfelt 15"/>
                <wp:cNvGraphicFramePr/>
                <a:graphic xmlns:a="http://schemas.openxmlformats.org/drawingml/2006/main">
                  <a:graphicData uri="http://schemas.microsoft.com/office/word/2010/wordprocessingShape">
                    <wps:wsp>
                      <wps:cNvSpPr txBox="1"/>
                      <wps:spPr>
                        <a:xfrm>
                          <a:off x="0" y="0"/>
                          <a:ext cx="355600" cy="152400"/>
                        </a:xfrm>
                        <a:prstGeom prst="rect">
                          <a:avLst/>
                        </a:prstGeom>
                        <a:solidFill>
                          <a:schemeClr val="lt1"/>
                        </a:solidFill>
                        <a:ln w="6350">
                          <a:noFill/>
                        </a:ln>
                      </wps:spPr>
                      <wps:txbx>
                        <w:txbxContent>
                          <w:p w14:paraId="265A1A90" w14:textId="77777777" w:rsidR="00093A1E" w:rsidRDefault="00093A1E" w:rsidP="00093A1E">
                            <w:pPr>
                              <w:rPr>
                                <w:color w:val="808080" w:themeColor="background1" w:themeShade="80"/>
                                <w:sz w:val="17"/>
                                <w:szCs w:val="17"/>
                              </w:rPr>
                            </w:pPr>
                            <w:r>
                              <w:rPr>
                                <w:color w:val="808080" w:themeColor="background1" w:themeShade="80"/>
                                <w:sz w:val="17"/>
                                <w:szCs w:val="17"/>
                              </w:rPr>
                              <w:t>UGE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0F534" id="Tekstfelt 15" o:spid="_x0000_s1031" type="#_x0000_t202" style="position:absolute;left:0;text-align:left;margin-left:316.6pt;margin-top:197.8pt;width:28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" fillcolor="white [3201]" stroked="f" strokeweight=".5pt">
                <v:textbox inset="0,0,0,0">
                  <w:txbxContent>
                    <w:p w14:paraId="265A1A90" w14:textId="77777777" w:rsidR="00093A1E" w:rsidRDefault="00093A1E" w:rsidP="00093A1E">
                      <w:pPr>
                        <w:rPr>
                          <w:color w:val="808080" w:themeColor="background1" w:themeShade="80"/>
                          <w:sz w:val="17"/>
                          <w:szCs w:val="17"/>
                        </w:rPr>
                      </w:pPr>
                      <w:r>
                        <w:rPr>
                          <w:color w:val="808080" w:themeColor="background1" w:themeShade="80"/>
                          <w:sz w:val="17"/>
                          <w:szCs w:val="17"/>
                        </w:rPr>
                        <w:t>UGE</w:t>
                      </w:r>
                    </w:p>
                  </w:txbxContent>
                </v:textbox>
              </v:shape>
            </w:pict>
          </mc:Fallback>
        </mc:AlternateContent>
      </w:r>
      <w:r w:rsidRPr="00E400E9">
        <w:rPr>
          <w:noProof/>
          <w:sz w:val="24"/>
          <w:szCs w:val="24"/>
        </w:rPr>
        <mc:AlternateContent>
          <mc:Choice Requires="wps">
            <w:drawing>
              <wp:anchor distT="0" distB="0" distL="114300" distR="114300" simplePos="0" relativeHeight="251669504" behindDoc="0" locked="0" layoutInCell="1" allowOverlap="1" wp14:anchorId="4F0BB457" wp14:editId="04219309">
                <wp:simplePos x="0" y="0"/>
                <wp:positionH relativeFrom="column">
                  <wp:posOffset>2846070</wp:posOffset>
                </wp:positionH>
                <wp:positionV relativeFrom="paragraph">
                  <wp:posOffset>2505710</wp:posOffset>
                </wp:positionV>
                <wp:extent cx="355600" cy="152400"/>
                <wp:effectExtent l="0" t="0" r="6350" b="0"/>
                <wp:wrapNone/>
                <wp:docPr id="14" name="Tekstfelt 14"/>
                <wp:cNvGraphicFramePr/>
                <a:graphic xmlns:a="http://schemas.openxmlformats.org/drawingml/2006/main">
                  <a:graphicData uri="http://schemas.microsoft.com/office/word/2010/wordprocessingShape">
                    <wps:wsp>
                      <wps:cNvSpPr txBox="1"/>
                      <wps:spPr>
                        <a:xfrm>
                          <a:off x="0" y="0"/>
                          <a:ext cx="355600" cy="152400"/>
                        </a:xfrm>
                        <a:prstGeom prst="rect">
                          <a:avLst/>
                        </a:prstGeom>
                        <a:solidFill>
                          <a:schemeClr val="lt1"/>
                        </a:solidFill>
                        <a:ln w="6350">
                          <a:noFill/>
                        </a:ln>
                      </wps:spPr>
                      <wps:txbx>
                        <w:txbxContent>
                          <w:p w14:paraId="15CB840A" w14:textId="77777777" w:rsidR="00093A1E" w:rsidRDefault="00093A1E" w:rsidP="00093A1E">
                            <w:pPr>
                              <w:rPr>
                                <w:color w:val="808080" w:themeColor="background1" w:themeShade="80"/>
                                <w:sz w:val="17"/>
                                <w:szCs w:val="17"/>
                              </w:rPr>
                            </w:pPr>
                            <w:r>
                              <w:rPr>
                                <w:color w:val="808080" w:themeColor="background1" w:themeShade="80"/>
                                <w:sz w:val="17"/>
                                <w:szCs w:val="17"/>
                              </w:rPr>
                              <w:t>UGE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BB457" id="Tekstfelt 14" o:spid="_x0000_s1032" type="#_x0000_t202" style="position:absolute;left:0;text-align:left;margin-left:224.1pt;margin-top:197.3pt;width:28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" fillcolor="white [3201]" stroked="f" strokeweight=".5pt">
                <v:textbox inset="0,0,0,0">
                  <w:txbxContent>
                    <w:p w14:paraId="15CB840A" w14:textId="77777777" w:rsidR="00093A1E" w:rsidRDefault="00093A1E" w:rsidP="00093A1E">
                      <w:pPr>
                        <w:rPr>
                          <w:color w:val="808080" w:themeColor="background1" w:themeShade="80"/>
                          <w:sz w:val="17"/>
                          <w:szCs w:val="17"/>
                        </w:rPr>
                      </w:pPr>
                      <w:r>
                        <w:rPr>
                          <w:color w:val="808080" w:themeColor="background1" w:themeShade="80"/>
                          <w:sz w:val="17"/>
                          <w:szCs w:val="17"/>
                        </w:rPr>
                        <w:t>UGE</w:t>
                      </w:r>
                    </w:p>
                  </w:txbxContent>
                </v:textbox>
              </v:shape>
            </w:pict>
          </mc:Fallback>
        </mc:AlternateContent>
      </w:r>
      <w:r w:rsidRPr="00E400E9">
        <w:rPr>
          <w:noProof/>
          <w:sz w:val="24"/>
          <w:szCs w:val="24"/>
        </w:rPr>
        <mc:AlternateContent>
          <mc:Choice Requires="wps">
            <w:drawing>
              <wp:anchor distT="0" distB="0" distL="114300" distR="114300" simplePos="0" relativeHeight="251668480" behindDoc="0" locked="0" layoutInCell="1" allowOverlap="1" wp14:anchorId="0F124F64" wp14:editId="67832DCD">
                <wp:simplePos x="0" y="0"/>
                <wp:positionH relativeFrom="column">
                  <wp:posOffset>1664970</wp:posOffset>
                </wp:positionH>
                <wp:positionV relativeFrom="paragraph">
                  <wp:posOffset>2512060</wp:posOffset>
                </wp:positionV>
                <wp:extent cx="355600" cy="152400"/>
                <wp:effectExtent l="0" t="0" r="6350" b="0"/>
                <wp:wrapNone/>
                <wp:docPr id="13" name="Tekstfelt 13"/>
                <wp:cNvGraphicFramePr/>
                <a:graphic xmlns:a="http://schemas.openxmlformats.org/drawingml/2006/main">
                  <a:graphicData uri="http://schemas.microsoft.com/office/word/2010/wordprocessingShape">
                    <wps:wsp>
                      <wps:cNvSpPr txBox="1"/>
                      <wps:spPr>
                        <a:xfrm>
                          <a:off x="0" y="0"/>
                          <a:ext cx="355600" cy="152400"/>
                        </a:xfrm>
                        <a:prstGeom prst="rect">
                          <a:avLst/>
                        </a:prstGeom>
                        <a:solidFill>
                          <a:schemeClr val="lt1"/>
                        </a:solidFill>
                        <a:ln w="6350">
                          <a:noFill/>
                        </a:ln>
                      </wps:spPr>
                      <wps:txbx>
                        <w:txbxContent>
                          <w:p w14:paraId="65ED191D" w14:textId="77777777" w:rsidR="00093A1E" w:rsidRDefault="00093A1E" w:rsidP="00093A1E">
                            <w:pPr>
                              <w:rPr>
                                <w:color w:val="808080" w:themeColor="background1" w:themeShade="80"/>
                                <w:sz w:val="17"/>
                                <w:szCs w:val="17"/>
                              </w:rPr>
                            </w:pPr>
                            <w:r>
                              <w:rPr>
                                <w:color w:val="808080" w:themeColor="background1" w:themeShade="80"/>
                                <w:sz w:val="17"/>
                                <w:szCs w:val="17"/>
                              </w:rPr>
                              <w:t>UGE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24F64" id="Tekstfelt 13" o:spid="_x0000_s1033" type="#_x0000_t202" style="position:absolute;left:0;text-align:left;margin-left:131.1pt;margin-top:197.8pt;width:28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" fillcolor="white [3201]" stroked="f" strokeweight=".5pt">
                <v:textbox inset="0,0,0,0">
                  <w:txbxContent>
                    <w:p w14:paraId="65ED191D" w14:textId="77777777" w:rsidR="00093A1E" w:rsidRDefault="00093A1E" w:rsidP="00093A1E">
                      <w:pPr>
                        <w:rPr>
                          <w:color w:val="808080" w:themeColor="background1" w:themeShade="80"/>
                          <w:sz w:val="17"/>
                          <w:szCs w:val="17"/>
                        </w:rPr>
                      </w:pPr>
                      <w:r>
                        <w:rPr>
                          <w:color w:val="808080" w:themeColor="background1" w:themeShade="80"/>
                          <w:sz w:val="17"/>
                          <w:szCs w:val="17"/>
                        </w:rPr>
                        <w:t>UGE</w:t>
                      </w:r>
                    </w:p>
                  </w:txbxContent>
                </v:textbox>
              </v:shape>
            </w:pict>
          </mc:Fallback>
        </mc:AlternateContent>
      </w:r>
      <w:r w:rsidRPr="00E400E9">
        <w:rPr>
          <w:noProof/>
          <w:sz w:val="24"/>
          <w:szCs w:val="24"/>
        </w:rPr>
        <mc:AlternateContent>
          <mc:Choice Requires="wps">
            <w:drawing>
              <wp:anchor distT="0" distB="0" distL="114300" distR="114300" simplePos="0" relativeHeight="251667456" behindDoc="0" locked="0" layoutInCell="1" allowOverlap="1" wp14:anchorId="4C7C6460" wp14:editId="39473CF6">
                <wp:simplePos x="0" y="0"/>
                <wp:positionH relativeFrom="column">
                  <wp:posOffset>1068070</wp:posOffset>
                </wp:positionH>
                <wp:positionV relativeFrom="paragraph">
                  <wp:posOffset>2512060</wp:posOffset>
                </wp:positionV>
                <wp:extent cx="355600" cy="152400"/>
                <wp:effectExtent l="0" t="0" r="6350" b="0"/>
                <wp:wrapNone/>
                <wp:docPr id="12" name="Tekstfelt 12"/>
                <wp:cNvGraphicFramePr/>
                <a:graphic xmlns:a="http://schemas.openxmlformats.org/drawingml/2006/main">
                  <a:graphicData uri="http://schemas.microsoft.com/office/word/2010/wordprocessingShape">
                    <wps:wsp>
                      <wps:cNvSpPr txBox="1"/>
                      <wps:spPr>
                        <a:xfrm>
                          <a:off x="0" y="0"/>
                          <a:ext cx="355600" cy="152400"/>
                        </a:xfrm>
                        <a:prstGeom prst="rect">
                          <a:avLst/>
                        </a:prstGeom>
                        <a:solidFill>
                          <a:schemeClr val="lt1"/>
                        </a:solidFill>
                        <a:ln w="6350">
                          <a:noFill/>
                        </a:ln>
                      </wps:spPr>
                      <wps:txbx>
                        <w:txbxContent>
                          <w:p w14:paraId="3CCD8136" w14:textId="77777777" w:rsidR="00093A1E" w:rsidRDefault="00093A1E" w:rsidP="00093A1E">
                            <w:pPr>
                              <w:rPr>
                                <w:color w:val="808080" w:themeColor="background1" w:themeShade="80"/>
                                <w:sz w:val="17"/>
                                <w:szCs w:val="17"/>
                              </w:rPr>
                            </w:pPr>
                            <w:r>
                              <w:rPr>
                                <w:color w:val="808080" w:themeColor="background1" w:themeShade="80"/>
                                <w:sz w:val="17"/>
                                <w:szCs w:val="17"/>
                              </w:rPr>
                              <w:t>UGE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C6460" id="Tekstfelt 12" o:spid="_x0000_s1034" type="#_x0000_t202" style="position:absolute;left:0;text-align:left;margin-left:84.1pt;margin-top:197.8pt;width:28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" fillcolor="white [3201]" stroked="f" strokeweight=".5pt">
                <v:textbox inset="0,0,0,0">
                  <w:txbxContent>
                    <w:p w14:paraId="3CCD8136" w14:textId="77777777" w:rsidR="00093A1E" w:rsidRDefault="00093A1E" w:rsidP="00093A1E">
                      <w:pPr>
                        <w:rPr>
                          <w:color w:val="808080" w:themeColor="background1" w:themeShade="80"/>
                          <w:sz w:val="17"/>
                          <w:szCs w:val="17"/>
                        </w:rPr>
                      </w:pPr>
                      <w:r>
                        <w:rPr>
                          <w:color w:val="808080" w:themeColor="background1" w:themeShade="80"/>
                          <w:sz w:val="17"/>
                          <w:szCs w:val="17"/>
                        </w:rPr>
                        <w:t>UGE</w:t>
                      </w:r>
                    </w:p>
                  </w:txbxContent>
                </v:textbox>
              </v:shape>
            </w:pict>
          </mc:Fallback>
        </mc:AlternateContent>
      </w:r>
      <w:r w:rsidRPr="00E400E9">
        <w:rPr>
          <w:noProof/>
          <w:sz w:val="24"/>
          <w:szCs w:val="24"/>
        </w:rPr>
        <mc:AlternateContent>
          <mc:Choice Requires="wps">
            <w:drawing>
              <wp:anchor distT="0" distB="0" distL="114300" distR="114300" simplePos="0" relativeHeight="251666432" behindDoc="0" locked="0" layoutInCell="1" allowOverlap="1" wp14:anchorId="5B23A7CA" wp14:editId="6D6D7CD5">
                <wp:simplePos x="0" y="0"/>
                <wp:positionH relativeFrom="column">
                  <wp:posOffset>420370</wp:posOffset>
                </wp:positionH>
                <wp:positionV relativeFrom="paragraph">
                  <wp:posOffset>2505710</wp:posOffset>
                </wp:positionV>
                <wp:extent cx="584835" cy="196850"/>
                <wp:effectExtent l="0" t="0" r="5715" b="0"/>
                <wp:wrapNone/>
                <wp:docPr id="11" name="Tekstfelt 11"/>
                <wp:cNvGraphicFramePr/>
                <a:graphic xmlns:a="http://schemas.openxmlformats.org/drawingml/2006/main">
                  <a:graphicData uri="http://schemas.microsoft.com/office/word/2010/wordprocessingShape">
                    <wps:wsp>
                      <wps:cNvSpPr txBox="1"/>
                      <wps:spPr>
                        <a:xfrm>
                          <a:off x="0" y="0"/>
                          <a:ext cx="584835" cy="196850"/>
                        </a:xfrm>
                        <a:prstGeom prst="rect">
                          <a:avLst/>
                        </a:prstGeom>
                        <a:solidFill>
                          <a:schemeClr val="lt1"/>
                        </a:solidFill>
                        <a:ln w="6350">
                          <a:noFill/>
                        </a:ln>
                      </wps:spPr>
                      <wps:txbx>
                        <w:txbxContent>
                          <w:p w14:paraId="434DA235" w14:textId="77777777" w:rsidR="00093A1E" w:rsidRDefault="00093A1E" w:rsidP="00093A1E">
                            <w:pPr>
                              <w:rPr>
                                <w:color w:val="808080" w:themeColor="background1" w:themeShade="80"/>
                                <w:sz w:val="17"/>
                                <w:szCs w:val="17"/>
                              </w:rPr>
                            </w:pPr>
                            <w:r>
                              <w:rPr>
                                <w:color w:val="808080" w:themeColor="background1" w:themeShade="80"/>
                                <w:sz w:val="17"/>
                                <w:szCs w:val="17"/>
                              </w:rPr>
                              <w:t>BASELINE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3A7CA" id="Tekstfelt 11" o:spid="_x0000_s1035" type="#_x0000_t202" style="position:absolute;left:0;text-align:left;margin-left:33.1pt;margin-top:197.3pt;width:46.05pt;height: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" fillcolor="white [3201]" stroked="f" strokeweight=".5pt">
                <v:textbox inset="0,0,0,0">
                  <w:txbxContent>
                    <w:p w14:paraId="434DA235" w14:textId="77777777" w:rsidR="00093A1E" w:rsidRDefault="00093A1E" w:rsidP="00093A1E">
                      <w:pPr>
                        <w:rPr>
                          <w:color w:val="808080" w:themeColor="background1" w:themeShade="80"/>
                          <w:sz w:val="17"/>
                          <w:szCs w:val="17"/>
                        </w:rPr>
                      </w:pPr>
                      <w:r>
                        <w:rPr>
                          <w:color w:val="808080" w:themeColor="background1" w:themeShade="80"/>
                          <w:sz w:val="17"/>
                          <w:szCs w:val="17"/>
                        </w:rPr>
                        <w:t>BASELINE</w:t>
                      </w:r>
                    </w:p>
                  </w:txbxContent>
                </v:textbox>
              </v:shape>
            </w:pict>
          </mc:Fallback>
        </mc:AlternateContent>
      </w:r>
      <w:r w:rsidRPr="00E400E9">
        <w:rPr>
          <w:noProof/>
          <w:sz w:val="24"/>
          <w:szCs w:val="24"/>
        </w:rPr>
        <mc:AlternateContent>
          <mc:Choice Requires="wps">
            <w:drawing>
              <wp:anchor distT="0" distB="0" distL="114300" distR="114300" simplePos="0" relativeHeight="251665408" behindDoc="0" locked="0" layoutInCell="1" allowOverlap="1" wp14:anchorId="01E8E653" wp14:editId="2A8FFB0C">
                <wp:simplePos x="0" y="0"/>
                <wp:positionH relativeFrom="column">
                  <wp:posOffset>4408170</wp:posOffset>
                </wp:positionH>
                <wp:positionV relativeFrom="paragraph">
                  <wp:posOffset>73660</wp:posOffset>
                </wp:positionV>
                <wp:extent cx="1206500" cy="406400"/>
                <wp:effectExtent l="0" t="0" r="0" b="0"/>
                <wp:wrapNone/>
                <wp:docPr id="10" name="Tekstfelt 10"/>
                <wp:cNvGraphicFramePr/>
                <a:graphic xmlns:a="http://schemas.openxmlformats.org/drawingml/2006/main">
                  <a:graphicData uri="http://schemas.microsoft.com/office/word/2010/wordprocessingShape">
                    <wps:wsp>
                      <wps:cNvSpPr txBox="1"/>
                      <wps:spPr>
                        <a:xfrm>
                          <a:off x="0" y="0"/>
                          <a:ext cx="1206500" cy="406400"/>
                        </a:xfrm>
                        <a:prstGeom prst="rect">
                          <a:avLst/>
                        </a:prstGeom>
                        <a:solidFill>
                          <a:schemeClr val="lt1"/>
                        </a:solidFill>
                        <a:ln w="6350">
                          <a:noFill/>
                        </a:ln>
                      </wps:spPr>
                      <wps:txbx>
                        <w:txbxContent>
                          <w:p w14:paraId="108781CA" w14:textId="77777777" w:rsidR="00093A1E" w:rsidRDefault="00093A1E" w:rsidP="00093A1E">
                            <w:pPr>
                              <w:rPr>
                                <w:color w:val="808080" w:themeColor="background1" w:themeShade="80"/>
                                <w:sz w:val="17"/>
                                <w:szCs w:val="17"/>
                                <w:lang w:val="en-US"/>
                              </w:rPr>
                            </w:pPr>
                            <w:r>
                              <w:rPr>
                                <w:color w:val="808080" w:themeColor="background1" w:themeShade="80"/>
                                <w:sz w:val="17"/>
                                <w:szCs w:val="17"/>
                                <w:lang w:val="en-US"/>
                              </w:rPr>
                              <w:t>BLESS II Placebo</w:t>
                            </w:r>
                          </w:p>
                          <w:p w14:paraId="398ACB12" w14:textId="77777777" w:rsidR="00093A1E" w:rsidRDefault="00093A1E" w:rsidP="00093A1E">
                            <w:pPr>
                              <w:rPr>
                                <w:color w:val="808080" w:themeColor="background1" w:themeShade="80"/>
                                <w:sz w:val="17"/>
                                <w:szCs w:val="17"/>
                                <w:lang w:val="en-US"/>
                              </w:rPr>
                            </w:pPr>
                            <w:r>
                              <w:rPr>
                                <w:color w:val="808080" w:themeColor="background1" w:themeShade="80"/>
                                <w:sz w:val="17"/>
                                <w:szCs w:val="17"/>
                                <w:lang w:val="en-US"/>
                              </w:rPr>
                              <w:t xml:space="preserve">BLESS III </w:t>
                            </w:r>
                            <w:proofErr w:type="spellStart"/>
                            <w:r>
                              <w:rPr>
                                <w:color w:val="808080" w:themeColor="background1" w:themeShade="80"/>
                                <w:sz w:val="17"/>
                                <w:szCs w:val="17"/>
                                <w:lang w:val="en-US"/>
                              </w:rPr>
                              <w:t>Letybo</w:t>
                            </w:r>
                            <w:proofErr w:type="spellEnd"/>
                          </w:p>
                          <w:p w14:paraId="1C9D3D38" w14:textId="77777777" w:rsidR="00093A1E" w:rsidRDefault="00093A1E" w:rsidP="00093A1E">
                            <w:pPr>
                              <w:rPr>
                                <w:color w:val="808080" w:themeColor="background1" w:themeShade="80"/>
                                <w:sz w:val="17"/>
                                <w:szCs w:val="17"/>
                              </w:rPr>
                            </w:pPr>
                            <w:r>
                              <w:rPr>
                                <w:color w:val="808080" w:themeColor="background1" w:themeShade="80"/>
                                <w:sz w:val="17"/>
                                <w:szCs w:val="17"/>
                              </w:rPr>
                              <w:t>BLESS III Placebo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8E653" id="Tekstfelt 10" o:spid="_x0000_s1036" type="#_x0000_t202" style="position:absolute;left:0;text-align:left;margin-left:347.1pt;margin-top:5.8pt;width:95pt;height: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" fillcolor="white [3201]" stroked="f" strokeweight=".5pt">
                <v:textbox inset="0,0,0,0">
                  <w:txbxContent>
                    <w:p w14:paraId="108781CA" w14:textId="77777777" w:rsidR="00093A1E" w:rsidRDefault="00093A1E" w:rsidP="00093A1E">
                      <w:pPr>
                        <w:rPr>
                          <w:color w:val="808080" w:themeColor="background1" w:themeShade="80"/>
                          <w:sz w:val="17"/>
                          <w:szCs w:val="17"/>
                          <w:lang w:val="en-US"/>
                        </w:rPr>
                      </w:pPr>
                      <w:r>
                        <w:rPr>
                          <w:color w:val="808080" w:themeColor="background1" w:themeShade="80"/>
                          <w:sz w:val="17"/>
                          <w:szCs w:val="17"/>
                          <w:lang w:val="en-US"/>
                        </w:rPr>
                        <w:t>BLESS II Placebo</w:t>
                      </w:r>
                    </w:p>
                    <w:p w14:paraId="398ACB12" w14:textId="77777777" w:rsidR="00093A1E" w:rsidRDefault="00093A1E" w:rsidP="00093A1E">
                      <w:pPr>
                        <w:rPr>
                          <w:color w:val="808080" w:themeColor="background1" w:themeShade="80"/>
                          <w:sz w:val="17"/>
                          <w:szCs w:val="17"/>
                          <w:lang w:val="en-US"/>
                        </w:rPr>
                      </w:pPr>
                      <w:r>
                        <w:rPr>
                          <w:color w:val="808080" w:themeColor="background1" w:themeShade="80"/>
                          <w:sz w:val="17"/>
                          <w:szCs w:val="17"/>
                          <w:lang w:val="en-US"/>
                        </w:rPr>
                        <w:t xml:space="preserve">BLESS III </w:t>
                      </w:r>
                      <w:proofErr w:type="spellStart"/>
                      <w:r>
                        <w:rPr>
                          <w:color w:val="808080" w:themeColor="background1" w:themeShade="80"/>
                          <w:sz w:val="17"/>
                          <w:szCs w:val="17"/>
                          <w:lang w:val="en-US"/>
                        </w:rPr>
                        <w:t>Letybo</w:t>
                      </w:r>
                      <w:proofErr w:type="spellEnd"/>
                    </w:p>
                    <w:p w14:paraId="1C9D3D38" w14:textId="77777777" w:rsidR="00093A1E" w:rsidRDefault="00093A1E" w:rsidP="00093A1E">
                      <w:pPr>
                        <w:rPr>
                          <w:color w:val="808080" w:themeColor="background1" w:themeShade="80"/>
                          <w:sz w:val="17"/>
                          <w:szCs w:val="17"/>
                        </w:rPr>
                      </w:pPr>
                      <w:r>
                        <w:rPr>
                          <w:color w:val="808080" w:themeColor="background1" w:themeShade="80"/>
                          <w:sz w:val="17"/>
                          <w:szCs w:val="17"/>
                        </w:rPr>
                        <w:t>BLESS III Placebo</w:t>
                      </w:r>
                    </w:p>
                  </w:txbxContent>
                </v:textbox>
              </v:shape>
            </w:pict>
          </mc:Fallback>
        </mc:AlternateContent>
      </w:r>
      <w:r w:rsidRPr="00E400E9">
        <w:rPr>
          <w:noProof/>
          <w:sz w:val="24"/>
          <w:szCs w:val="24"/>
        </w:rPr>
        <mc:AlternateContent>
          <mc:Choice Requires="wps">
            <w:drawing>
              <wp:anchor distT="0" distB="0" distL="114300" distR="114300" simplePos="0" relativeHeight="251664384" behindDoc="0" locked="0" layoutInCell="1" allowOverlap="1" wp14:anchorId="5ED8ADE1" wp14:editId="1504C5A6">
                <wp:simplePos x="0" y="0"/>
                <wp:positionH relativeFrom="column">
                  <wp:posOffset>3036570</wp:posOffset>
                </wp:positionH>
                <wp:positionV relativeFrom="paragraph">
                  <wp:posOffset>67310</wp:posOffset>
                </wp:positionV>
                <wp:extent cx="984250" cy="406400"/>
                <wp:effectExtent l="0" t="0" r="6350" b="0"/>
                <wp:wrapNone/>
                <wp:docPr id="9" name="Tekstfelt 9"/>
                <wp:cNvGraphicFramePr/>
                <a:graphic xmlns:a="http://schemas.openxmlformats.org/drawingml/2006/main">
                  <a:graphicData uri="http://schemas.microsoft.com/office/word/2010/wordprocessingShape">
                    <wps:wsp>
                      <wps:cNvSpPr txBox="1"/>
                      <wps:spPr>
                        <a:xfrm>
                          <a:off x="0" y="0"/>
                          <a:ext cx="984250" cy="406400"/>
                        </a:xfrm>
                        <a:prstGeom prst="rect">
                          <a:avLst/>
                        </a:prstGeom>
                        <a:solidFill>
                          <a:schemeClr val="lt1"/>
                        </a:solidFill>
                        <a:ln w="6350">
                          <a:noFill/>
                        </a:ln>
                      </wps:spPr>
                      <wps:txbx>
                        <w:txbxContent>
                          <w:p w14:paraId="265E2BB3" w14:textId="77777777" w:rsidR="00093A1E" w:rsidRDefault="00093A1E" w:rsidP="00093A1E">
                            <w:pPr>
                              <w:rPr>
                                <w:color w:val="808080" w:themeColor="background1" w:themeShade="80"/>
                                <w:sz w:val="17"/>
                                <w:szCs w:val="17"/>
                              </w:rPr>
                            </w:pPr>
                            <w:r>
                              <w:rPr>
                                <w:color w:val="808080" w:themeColor="background1" w:themeShade="80"/>
                                <w:sz w:val="17"/>
                                <w:szCs w:val="17"/>
                              </w:rPr>
                              <w:t xml:space="preserve">BLESS I </w:t>
                            </w:r>
                            <w:proofErr w:type="spellStart"/>
                            <w:r>
                              <w:rPr>
                                <w:color w:val="808080" w:themeColor="background1" w:themeShade="80"/>
                                <w:sz w:val="17"/>
                                <w:szCs w:val="17"/>
                              </w:rPr>
                              <w:t>Letybo</w:t>
                            </w:r>
                            <w:proofErr w:type="spellEnd"/>
                          </w:p>
                          <w:p w14:paraId="05BF462D" w14:textId="77777777" w:rsidR="00093A1E" w:rsidRDefault="00093A1E" w:rsidP="00093A1E">
                            <w:pPr>
                              <w:rPr>
                                <w:color w:val="808080" w:themeColor="background1" w:themeShade="80"/>
                                <w:sz w:val="17"/>
                                <w:szCs w:val="17"/>
                              </w:rPr>
                            </w:pPr>
                            <w:r>
                              <w:rPr>
                                <w:color w:val="808080" w:themeColor="background1" w:themeShade="80"/>
                                <w:sz w:val="17"/>
                                <w:szCs w:val="17"/>
                              </w:rPr>
                              <w:t>BLESS I Placebo</w:t>
                            </w:r>
                          </w:p>
                          <w:p w14:paraId="15F3DF27" w14:textId="77777777" w:rsidR="00093A1E" w:rsidRDefault="00093A1E" w:rsidP="00093A1E">
                            <w:pPr>
                              <w:rPr>
                                <w:color w:val="808080" w:themeColor="background1" w:themeShade="80"/>
                                <w:sz w:val="17"/>
                                <w:szCs w:val="17"/>
                              </w:rPr>
                            </w:pPr>
                            <w:r>
                              <w:rPr>
                                <w:color w:val="808080" w:themeColor="background1" w:themeShade="80"/>
                                <w:sz w:val="17"/>
                                <w:szCs w:val="17"/>
                              </w:rPr>
                              <w:t xml:space="preserve">BLESS II </w:t>
                            </w:r>
                            <w:proofErr w:type="spellStart"/>
                            <w:r>
                              <w:rPr>
                                <w:color w:val="808080" w:themeColor="background1" w:themeShade="80"/>
                                <w:sz w:val="17"/>
                                <w:szCs w:val="17"/>
                              </w:rPr>
                              <w:t>Letybo</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8ADE1" id="Tekstfelt 9" o:spid="_x0000_s1037" type="#_x0000_t202" style="position:absolute;left:0;text-align:left;margin-left:239.1pt;margin-top:5.3pt;width:77.5pt;height: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" fillcolor="white [3201]" stroked="f" strokeweight=".5pt">
                <v:textbox inset="0,0,0,0">
                  <w:txbxContent>
                    <w:p w14:paraId="265E2BB3" w14:textId="77777777" w:rsidR="00093A1E" w:rsidRDefault="00093A1E" w:rsidP="00093A1E">
                      <w:pPr>
                        <w:rPr>
                          <w:color w:val="808080" w:themeColor="background1" w:themeShade="80"/>
                          <w:sz w:val="17"/>
                          <w:szCs w:val="17"/>
                        </w:rPr>
                      </w:pPr>
                      <w:r>
                        <w:rPr>
                          <w:color w:val="808080" w:themeColor="background1" w:themeShade="80"/>
                          <w:sz w:val="17"/>
                          <w:szCs w:val="17"/>
                        </w:rPr>
                        <w:t xml:space="preserve">BLESS I </w:t>
                      </w:r>
                      <w:proofErr w:type="spellStart"/>
                      <w:r>
                        <w:rPr>
                          <w:color w:val="808080" w:themeColor="background1" w:themeShade="80"/>
                          <w:sz w:val="17"/>
                          <w:szCs w:val="17"/>
                        </w:rPr>
                        <w:t>Letybo</w:t>
                      </w:r>
                      <w:proofErr w:type="spellEnd"/>
                    </w:p>
                    <w:p w14:paraId="05BF462D" w14:textId="77777777" w:rsidR="00093A1E" w:rsidRDefault="00093A1E" w:rsidP="00093A1E">
                      <w:pPr>
                        <w:rPr>
                          <w:color w:val="808080" w:themeColor="background1" w:themeShade="80"/>
                          <w:sz w:val="17"/>
                          <w:szCs w:val="17"/>
                        </w:rPr>
                      </w:pPr>
                      <w:r>
                        <w:rPr>
                          <w:color w:val="808080" w:themeColor="background1" w:themeShade="80"/>
                          <w:sz w:val="17"/>
                          <w:szCs w:val="17"/>
                        </w:rPr>
                        <w:t>BLESS I Placebo</w:t>
                      </w:r>
                    </w:p>
                    <w:p w14:paraId="15F3DF27" w14:textId="77777777" w:rsidR="00093A1E" w:rsidRDefault="00093A1E" w:rsidP="00093A1E">
                      <w:pPr>
                        <w:rPr>
                          <w:color w:val="808080" w:themeColor="background1" w:themeShade="80"/>
                          <w:sz w:val="17"/>
                          <w:szCs w:val="17"/>
                        </w:rPr>
                      </w:pPr>
                      <w:r>
                        <w:rPr>
                          <w:color w:val="808080" w:themeColor="background1" w:themeShade="80"/>
                          <w:sz w:val="17"/>
                          <w:szCs w:val="17"/>
                        </w:rPr>
                        <w:t xml:space="preserve">BLESS II </w:t>
                      </w:r>
                      <w:proofErr w:type="spellStart"/>
                      <w:r>
                        <w:rPr>
                          <w:color w:val="808080" w:themeColor="background1" w:themeShade="80"/>
                          <w:sz w:val="17"/>
                          <w:szCs w:val="17"/>
                        </w:rPr>
                        <w:t>Letybo</w:t>
                      </w:r>
                      <w:proofErr w:type="spellEnd"/>
                    </w:p>
                  </w:txbxContent>
                </v:textbox>
              </v:shape>
            </w:pict>
          </mc:Fallback>
        </mc:AlternateContent>
      </w:r>
      <w:r w:rsidRPr="00E400E9">
        <w:rPr>
          <w:noProof/>
          <w:sz w:val="24"/>
          <w:szCs w:val="24"/>
        </w:rPr>
        <w:drawing>
          <wp:inline distT="0" distB="0" distL="0" distR="0" wp14:anchorId="399385A1" wp14:editId="078A8219">
            <wp:extent cx="5749925" cy="2845435"/>
            <wp:effectExtent l="0" t="0" r="3175"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9925" cy="2845435"/>
                    </a:xfrm>
                    <a:prstGeom prst="rect">
                      <a:avLst/>
                    </a:prstGeom>
                    <a:noFill/>
                    <a:ln>
                      <a:noFill/>
                    </a:ln>
                  </pic:spPr>
                </pic:pic>
              </a:graphicData>
            </a:graphic>
          </wp:inline>
        </w:drawing>
      </w:r>
    </w:p>
    <w:p w14:paraId="7871F94A" w14:textId="71E03298" w:rsidR="00093A1E" w:rsidRPr="00E400E9" w:rsidRDefault="00093A1E" w:rsidP="00093A1E">
      <w:pPr>
        <w:ind w:left="851"/>
        <w:rPr>
          <w:b/>
          <w:sz w:val="24"/>
          <w:szCs w:val="24"/>
          <w:lang w:eastAsia="ja-JP"/>
        </w:rPr>
      </w:pPr>
      <w:r w:rsidRPr="00E400E9">
        <w:rPr>
          <w:b/>
          <w:sz w:val="24"/>
          <w:szCs w:val="24"/>
        </w:rPr>
        <w:t>Figur 1</w:t>
      </w:r>
      <w:r w:rsidR="00F37506" w:rsidRPr="00E400E9">
        <w:rPr>
          <w:b/>
          <w:sz w:val="24"/>
          <w:szCs w:val="24"/>
        </w:rPr>
        <w:t xml:space="preserve">. </w:t>
      </w:r>
      <w:r w:rsidRPr="00E400E9">
        <w:rPr>
          <w:b/>
          <w:sz w:val="24"/>
          <w:szCs w:val="24"/>
        </w:rPr>
        <w:t xml:space="preserve">Tidsforløb for respondentrate (≥2 points forbedring i FWS krævede både vurdering fra forsøgsperson og fra </w:t>
      </w:r>
      <w:proofErr w:type="spellStart"/>
      <w:r w:rsidRPr="00E400E9">
        <w:rPr>
          <w:b/>
          <w:sz w:val="24"/>
          <w:szCs w:val="24"/>
        </w:rPr>
        <w:t>investigator</w:t>
      </w:r>
      <w:proofErr w:type="spellEnd"/>
      <w:r w:rsidRPr="00E400E9">
        <w:rPr>
          <w:b/>
          <w:sz w:val="24"/>
          <w:szCs w:val="24"/>
        </w:rPr>
        <w:t xml:space="preserve">) i cyklus 1 for aktiv behandling </w:t>
      </w:r>
      <w:r w:rsidRPr="00E400E9">
        <w:rPr>
          <w:b/>
          <w:i/>
          <w:iCs/>
          <w:sz w:val="24"/>
          <w:szCs w:val="24"/>
        </w:rPr>
        <w:t>versus</w:t>
      </w:r>
      <w:r w:rsidRPr="00E400E9">
        <w:rPr>
          <w:b/>
          <w:sz w:val="24"/>
          <w:szCs w:val="24"/>
        </w:rPr>
        <w:t xml:space="preserve"> placebobehandling i pivotale BLESS</w:t>
      </w:r>
      <w:r w:rsidRPr="00E400E9">
        <w:rPr>
          <w:b/>
          <w:sz w:val="24"/>
          <w:szCs w:val="24"/>
        </w:rPr>
        <w:noBreakHyphen/>
        <w:t>studier</w:t>
      </w:r>
    </w:p>
    <w:p w14:paraId="477596CD" w14:textId="77777777" w:rsidR="00093A1E" w:rsidRPr="00E400E9" w:rsidRDefault="00093A1E" w:rsidP="00093A1E">
      <w:pPr>
        <w:ind w:left="851"/>
        <w:rPr>
          <w:sz w:val="24"/>
          <w:szCs w:val="24"/>
          <w:lang w:eastAsia="da-DK"/>
        </w:rPr>
      </w:pPr>
    </w:p>
    <w:p w14:paraId="05270753" w14:textId="77777777" w:rsidR="00093A1E" w:rsidRPr="00E400E9" w:rsidRDefault="00093A1E" w:rsidP="00093A1E">
      <w:pPr>
        <w:pStyle w:val="Brdtekst"/>
        <w:ind w:left="851"/>
        <w:rPr>
          <w:i w:val="0"/>
          <w:color w:val="auto"/>
          <w:sz w:val="24"/>
          <w:szCs w:val="24"/>
        </w:rPr>
      </w:pPr>
      <w:r w:rsidRPr="00E400E9">
        <w:rPr>
          <w:i w:val="0"/>
          <w:color w:val="auto"/>
          <w:sz w:val="24"/>
          <w:szCs w:val="24"/>
        </w:rPr>
        <w:t>Det kunne påvises, at respondentraten på ≥1 points reduktion af FWS</w:t>
      </w:r>
      <w:r w:rsidRPr="00E400E9">
        <w:rPr>
          <w:i w:val="0"/>
          <w:color w:val="auto"/>
          <w:sz w:val="24"/>
          <w:szCs w:val="24"/>
        </w:rPr>
        <w:noBreakHyphen/>
        <w:t xml:space="preserve">score </w:t>
      </w:r>
      <w:r w:rsidRPr="00E400E9">
        <w:rPr>
          <w:i w:val="0"/>
          <w:color w:val="auto"/>
          <w:sz w:val="24"/>
          <w:szCs w:val="24"/>
          <w:u w:val="single"/>
        </w:rPr>
        <w:t>i hvile</w:t>
      </w:r>
      <w:r w:rsidRPr="00E400E9">
        <w:rPr>
          <w:i w:val="0"/>
          <w:color w:val="auto"/>
          <w:sz w:val="24"/>
          <w:szCs w:val="24"/>
        </w:rPr>
        <w:t xml:space="preserve"> var statistisk signifikant højere i </w:t>
      </w:r>
      <w:proofErr w:type="spellStart"/>
      <w:r w:rsidRPr="00E400E9">
        <w:rPr>
          <w:i w:val="0"/>
          <w:color w:val="auto"/>
          <w:sz w:val="24"/>
          <w:szCs w:val="24"/>
        </w:rPr>
        <w:t>Letybo</w:t>
      </w:r>
      <w:proofErr w:type="spellEnd"/>
      <w:r w:rsidRPr="00E400E9">
        <w:rPr>
          <w:i w:val="0"/>
          <w:color w:val="auto"/>
          <w:sz w:val="24"/>
          <w:szCs w:val="24"/>
        </w:rPr>
        <w:noBreakHyphen/>
        <w:t xml:space="preserve">gruppen sammenlignet med placebogruppen: Fire uger efter injektionen vurderede </w:t>
      </w:r>
      <w:proofErr w:type="spellStart"/>
      <w:r w:rsidRPr="00E400E9">
        <w:rPr>
          <w:i w:val="0"/>
          <w:color w:val="auto"/>
          <w:sz w:val="24"/>
          <w:szCs w:val="24"/>
        </w:rPr>
        <w:t>investigatorerne</w:t>
      </w:r>
      <w:proofErr w:type="spellEnd"/>
      <w:r w:rsidRPr="00E400E9">
        <w:rPr>
          <w:i w:val="0"/>
          <w:color w:val="auto"/>
          <w:sz w:val="24"/>
          <w:szCs w:val="24"/>
        </w:rPr>
        <w:t xml:space="preserve">, at henholdsvis 63,1 %, 59,4 % og 61,3 % af de </w:t>
      </w:r>
      <w:proofErr w:type="spellStart"/>
      <w:r w:rsidRPr="00E400E9">
        <w:rPr>
          <w:i w:val="0"/>
          <w:color w:val="auto"/>
          <w:sz w:val="24"/>
          <w:szCs w:val="24"/>
        </w:rPr>
        <w:t>Letybo</w:t>
      </w:r>
      <w:proofErr w:type="spellEnd"/>
      <w:r w:rsidRPr="00E400E9">
        <w:rPr>
          <w:i w:val="0"/>
          <w:color w:val="auto"/>
          <w:sz w:val="24"/>
          <w:szCs w:val="24"/>
        </w:rPr>
        <w:noBreakHyphen/>
        <w:t>behandlede patienter og 15,4 %, 5,7 % og 9,0 % af de placebobehandlede patienter havde oplevet en forbedring på ≥1 point i FWS i hvile i studierne BLESS I, BLESS II og BLESS III (</w:t>
      </w:r>
      <w:proofErr w:type="spellStart"/>
      <w:r w:rsidRPr="00E400E9">
        <w:rPr>
          <w:i w:val="0"/>
          <w:color w:val="auto"/>
          <w:sz w:val="24"/>
          <w:szCs w:val="24"/>
        </w:rPr>
        <w:t>p</w:t>
      </w:r>
      <w:r w:rsidRPr="00E400E9">
        <w:rPr>
          <w:i w:val="0"/>
          <w:color w:val="auto"/>
          <w:sz w:val="24"/>
          <w:szCs w:val="24"/>
        </w:rPr>
        <w:noBreakHyphen/>
        <w:t>værdien</w:t>
      </w:r>
      <w:proofErr w:type="spellEnd"/>
      <w:r w:rsidRPr="00E400E9">
        <w:rPr>
          <w:i w:val="0"/>
          <w:color w:val="auto"/>
          <w:sz w:val="24"/>
          <w:szCs w:val="24"/>
        </w:rPr>
        <w:t xml:space="preserve"> for forskelle mellem behandlinger var &lt;0,001 for alle studier).</w:t>
      </w:r>
    </w:p>
    <w:p w14:paraId="4550AE41" w14:textId="77777777" w:rsidR="00093A1E" w:rsidRPr="00E400E9" w:rsidRDefault="00093A1E" w:rsidP="00093A1E">
      <w:pPr>
        <w:pStyle w:val="Brdtekst"/>
        <w:ind w:left="851"/>
        <w:rPr>
          <w:i w:val="0"/>
          <w:color w:val="auto"/>
          <w:sz w:val="24"/>
          <w:szCs w:val="24"/>
        </w:rPr>
      </w:pPr>
    </w:p>
    <w:p w14:paraId="4339C8CF" w14:textId="77777777" w:rsidR="00093A1E" w:rsidRPr="00E400E9" w:rsidRDefault="00093A1E" w:rsidP="00093A1E">
      <w:pPr>
        <w:pStyle w:val="Brdtekst"/>
        <w:ind w:left="851"/>
        <w:rPr>
          <w:i w:val="0"/>
          <w:color w:val="auto"/>
          <w:sz w:val="24"/>
          <w:szCs w:val="24"/>
        </w:rPr>
      </w:pPr>
      <w:r w:rsidRPr="00E400E9">
        <w:rPr>
          <w:i w:val="0"/>
          <w:color w:val="auto"/>
          <w:sz w:val="24"/>
          <w:szCs w:val="24"/>
        </w:rPr>
        <w:t xml:space="preserve">Data fra åben langtidsbehandling med gentagen dosering bekræftede, at responsraterne efter anden, tredje og fjerde behandling med </w:t>
      </w:r>
      <w:proofErr w:type="spellStart"/>
      <w:r w:rsidRPr="00E400E9">
        <w:rPr>
          <w:i w:val="0"/>
          <w:color w:val="auto"/>
          <w:sz w:val="24"/>
          <w:szCs w:val="24"/>
        </w:rPr>
        <w:t>Letybo</w:t>
      </w:r>
      <w:proofErr w:type="spellEnd"/>
      <w:r w:rsidRPr="00E400E9">
        <w:rPr>
          <w:i w:val="0"/>
          <w:color w:val="auto"/>
          <w:sz w:val="24"/>
          <w:szCs w:val="24"/>
        </w:rPr>
        <w:t xml:space="preserve"> i løbet af den </w:t>
      </w:r>
      <w:proofErr w:type="spellStart"/>
      <w:r w:rsidRPr="00E400E9">
        <w:rPr>
          <w:i w:val="0"/>
          <w:color w:val="auto"/>
          <w:sz w:val="24"/>
          <w:szCs w:val="24"/>
        </w:rPr>
        <w:t>et</w:t>
      </w:r>
      <w:r w:rsidRPr="00E400E9">
        <w:rPr>
          <w:i w:val="0"/>
          <w:color w:val="auto"/>
          <w:sz w:val="24"/>
          <w:szCs w:val="24"/>
        </w:rPr>
        <w:noBreakHyphen/>
        <w:t>årige</w:t>
      </w:r>
      <w:proofErr w:type="spellEnd"/>
      <w:r w:rsidRPr="00E400E9">
        <w:rPr>
          <w:i w:val="0"/>
          <w:color w:val="auto"/>
          <w:sz w:val="24"/>
          <w:szCs w:val="24"/>
        </w:rPr>
        <w:t xml:space="preserve"> studieperiode forblev høje, selvom genbehandlingscyklusserne havde en vis tendens til manglende respons.</w:t>
      </w:r>
    </w:p>
    <w:bookmarkEnd w:id="5"/>
    <w:p w14:paraId="1AD974D5" w14:textId="77777777" w:rsidR="00093A1E" w:rsidRPr="00E400E9" w:rsidRDefault="00093A1E" w:rsidP="00093A1E">
      <w:pPr>
        <w:pStyle w:val="Brdtekst"/>
        <w:ind w:left="851"/>
        <w:rPr>
          <w:i w:val="0"/>
          <w:color w:val="auto"/>
          <w:sz w:val="24"/>
          <w:szCs w:val="24"/>
        </w:rPr>
      </w:pPr>
    </w:p>
    <w:p w14:paraId="2363DBBC" w14:textId="77777777" w:rsidR="00093A1E" w:rsidRPr="00E400E9" w:rsidRDefault="00093A1E" w:rsidP="00093A1E">
      <w:pPr>
        <w:pStyle w:val="Brdtekst"/>
        <w:ind w:left="851"/>
        <w:rPr>
          <w:i w:val="0"/>
          <w:color w:val="auto"/>
          <w:sz w:val="24"/>
          <w:szCs w:val="24"/>
        </w:rPr>
      </w:pPr>
      <w:bookmarkStart w:id="10" w:name="_Hlk65503304"/>
      <w:bookmarkStart w:id="11" w:name="_Hlk8907850"/>
      <w:r w:rsidRPr="00E400E9">
        <w:rPr>
          <w:i w:val="0"/>
          <w:color w:val="auto"/>
          <w:sz w:val="24"/>
          <w:szCs w:val="24"/>
        </w:rPr>
        <w:t xml:space="preserve">Ifølge den nyudviklede </w:t>
      </w:r>
      <w:proofErr w:type="spellStart"/>
      <w:r w:rsidRPr="00E400E9">
        <w:rPr>
          <w:iCs/>
          <w:color w:val="auto"/>
          <w:sz w:val="24"/>
          <w:szCs w:val="24"/>
        </w:rPr>
        <w:t>Modified</w:t>
      </w:r>
      <w:proofErr w:type="spellEnd"/>
      <w:r w:rsidRPr="00E400E9">
        <w:rPr>
          <w:iCs/>
          <w:color w:val="auto"/>
          <w:sz w:val="24"/>
          <w:szCs w:val="24"/>
        </w:rPr>
        <w:t xml:space="preserve"> Skindex</w:t>
      </w:r>
      <w:r w:rsidRPr="00E400E9">
        <w:rPr>
          <w:iCs/>
          <w:color w:val="auto"/>
          <w:sz w:val="24"/>
          <w:szCs w:val="24"/>
        </w:rPr>
        <w:noBreakHyphen/>
        <w:t>16 </w:t>
      </w:r>
      <w:proofErr w:type="spellStart"/>
      <w:r w:rsidRPr="00E400E9">
        <w:rPr>
          <w:iCs/>
          <w:color w:val="auto"/>
          <w:sz w:val="24"/>
          <w:szCs w:val="24"/>
        </w:rPr>
        <w:t>Glabellar</w:t>
      </w:r>
      <w:proofErr w:type="spellEnd"/>
      <w:r w:rsidRPr="00E400E9">
        <w:rPr>
          <w:iCs/>
          <w:color w:val="auto"/>
          <w:sz w:val="24"/>
          <w:szCs w:val="24"/>
        </w:rPr>
        <w:t xml:space="preserve"> Line </w:t>
      </w:r>
      <w:proofErr w:type="spellStart"/>
      <w:r w:rsidRPr="00E400E9">
        <w:rPr>
          <w:iCs/>
          <w:color w:val="auto"/>
          <w:sz w:val="24"/>
          <w:szCs w:val="24"/>
        </w:rPr>
        <w:t>Quality</w:t>
      </w:r>
      <w:proofErr w:type="spellEnd"/>
      <w:r w:rsidRPr="00E400E9">
        <w:rPr>
          <w:iCs/>
          <w:color w:val="auto"/>
          <w:sz w:val="24"/>
          <w:szCs w:val="24"/>
        </w:rPr>
        <w:t xml:space="preserve"> of Life</w:t>
      </w:r>
      <w:r w:rsidRPr="00E400E9">
        <w:rPr>
          <w:i w:val="0"/>
          <w:color w:val="auto"/>
          <w:sz w:val="24"/>
          <w:szCs w:val="24"/>
        </w:rPr>
        <w:noBreakHyphen/>
        <w:t xml:space="preserve">skala var mere end 85 % af de patienter, der deltog i studierne, påvirket psykisk i moderat eller svært negativ grad af deres </w:t>
      </w:r>
      <w:proofErr w:type="spellStart"/>
      <w:r w:rsidRPr="00E400E9">
        <w:rPr>
          <w:i w:val="0"/>
          <w:color w:val="auto"/>
          <w:sz w:val="24"/>
          <w:szCs w:val="24"/>
        </w:rPr>
        <w:t>glabellalinjer</w:t>
      </w:r>
      <w:proofErr w:type="spellEnd"/>
      <w:r w:rsidRPr="00E400E9">
        <w:rPr>
          <w:i w:val="0"/>
          <w:color w:val="auto"/>
          <w:sz w:val="24"/>
          <w:szCs w:val="24"/>
        </w:rPr>
        <w:t xml:space="preserve"> ved </w:t>
      </w:r>
      <w:r w:rsidRPr="00E400E9">
        <w:rPr>
          <w:iCs/>
          <w:color w:val="auto"/>
          <w:sz w:val="24"/>
          <w:szCs w:val="24"/>
        </w:rPr>
        <w:t>baseline</w:t>
      </w:r>
      <w:r w:rsidRPr="00E400E9">
        <w:rPr>
          <w:i w:val="0"/>
          <w:color w:val="auto"/>
          <w:sz w:val="24"/>
          <w:szCs w:val="24"/>
        </w:rPr>
        <w:t>, mens cirka 15 % af patienterne rapporterede om en mild påvirkning.</w:t>
      </w:r>
    </w:p>
    <w:p w14:paraId="48F1724B" w14:textId="77777777" w:rsidR="00093A1E" w:rsidRPr="00E400E9" w:rsidRDefault="00093A1E" w:rsidP="00093A1E">
      <w:pPr>
        <w:pStyle w:val="Brdtekst"/>
        <w:ind w:left="851"/>
        <w:rPr>
          <w:i w:val="0"/>
          <w:color w:val="auto"/>
          <w:sz w:val="24"/>
          <w:szCs w:val="24"/>
        </w:rPr>
      </w:pPr>
    </w:p>
    <w:bookmarkEnd w:id="10"/>
    <w:p w14:paraId="71BA8D85" w14:textId="77777777" w:rsidR="00093A1E" w:rsidRPr="00E400E9" w:rsidRDefault="00093A1E" w:rsidP="00093A1E">
      <w:pPr>
        <w:pStyle w:val="Brdtekst"/>
        <w:ind w:left="851"/>
        <w:rPr>
          <w:i w:val="0"/>
          <w:color w:val="auto"/>
          <w:sz w:val="24"/>
          <w:szCs w:val="24"/>
        </w:rPr>
      </w:pPr>
      <w:r w:rsidRPr="00E400E9">
        <w:rPr>
          <w:i w:val="0"/>
          <w:color w:val="auto"/>
          <w:sz w:val="24"/>
          <w:szCs w:val="24"/>
        </w:rPr>
        <w:t xml:space="preserve">Der blev observeret en betydelig forbedring af den psykiske påvirkning hos patienter, som fik </w:t>
      </w:r>
      <w:proofErr w:type="spellStart"/>
      <w:r w:rsidRPr="00E400E9">
        <w:rPr>
          <w:i w:val="0"/>
          <w:color w:val="auto"/>
          <w:sz w:val="24"/>
          <w:szCs w:val="24"/>
        </w:rPr>
        <w:t>Letybo</w:t>
      </w:r>
      <w:proofErr w:type="spellEnd"/>
      <w:r w:rsidRPr="00E400E9">
        <w:rPr>
          <w:i w:val="0"/>
          <w:color w:val="auto"/>
          <w:sz w:val="24"/>
          <w:szCs w:val="24"/>
        </w:rPr>
        <w:t xml:space="preserve">, sammenlignet med placebobehandlingen, målt med </w:t>
      </w:r>
      <w:proofErr w:type="spellStart"/>
      <w:r w:rsidRPr="00E400E9">
        <w:rPr>
          <w:iCs/>
          <w:color w:val="auto"/>
          <w:sz w:val="24"/>
          <w:szCs w:val="24"/>
        </w:rPr>
        <w:t>Modified</w:t>
      </w:r>
      <w:proofErr w:type="spellEnd"/>
      <w:r w:rsidRPr="00E400E9">
        <w:rPr>
          <w:iCs/>
          <w:color w:val="auto"/>
          <w:sz w:val="24"/>
          <w:szCs w:val="24"/>
        </w:rPr>
        <w:t xml:space="preserve"> Skindex</w:t>
      </w:r>
      <w:r w:rsidRPr="00E400E9">
        <w:rPr>
          <w:iCs/>
          <w:color w:val="auto"/>
          <w:sz w:val="24"/>
          <w:szCs w:val="24"/>
        </w:rPr>
        <w:noBreakHyphen/>
        <w:t>16 </w:t>
      </w:r>
      <w:proofErr w:type="spellStart"/>
      <w:r w:rsidRPr="00E400E9">
        <w:rPr>
          <w:iCs/>
          <w:color w:val="auto"/>
          <w:sz w:val="24"/>
          <w:szCs w:val="24"/>
        </w:rPr>
        <w:t>Glabellar</w:t>
      </w:r>
      <w:proofErr w:type="spellEnd"/>
      <w:r w:rsidRPr="00E400E9">
        <w:rPr>
          <w:iCs/>
          <w:color w:val="auto"/>
          <w:sz w:val="24"/>
          <w:szCs w:val="24"/>
        </w:rPr>
        <w:t xml:space="preserve"> Line </w:t>
      </w:r>
      <w:proofErr w:type="spellStart"/>
      <w:r w:rsidRPr="00E400E9">
        <w:rPr>
          <w:iCs/>
          <w:color w:val="auto"/>
          <w:sz w:val="24"/>
          <w:szCs w:val="24"/>
        </w:rPr>
        <w:t>Quality</w:t>
      </w:r>
      <w:proofErr w:type="spellEnd"/>
      <w:r w:rsidRPr="00E400E9">
        <w:rPr>
          <w:iCs/>
          <w:color w:val="auto"/>
          <w:sz w:val="24"/>
          <w:szCs w:val="24"/>
        </w:rPr>
        <w:t xml:space="preserve"> of Life</w:t>
      </w:r>
      <w:r w:rsidRPr="00E400E9">
        <w:rPr>
          <w:i w:val="0"/>
          <w:color w:val="auto"/>
          <w:sz w:val="24"/>
          <w:szCs w:val="24"/>
        </w:rPr>
        <w:noBreakHyphen/>
        <w:t>skalaen.</w:t>
      </w:r>
    </w:p>
    <w:p w14:paraId="1CD42533" w14:textId="77777777" w:rsidR="00093A1E" w:rsidRPr="00E400E9" w:rsidRDefault="00093A1E" w:rsidP="00093A1E">
      <w:pPr>
        <w:pStyle w:val="Brdtekst"/>
        <w:ind w:left="851"/>
        <w:rPr>
          <w:i w:val="0"/>
          <w:color w:val="auto"/>
          <w:sz w:val="24"/>
          <w:szCs w:val="24"/>
        </w:rPr>
      </w:pPr>
    </w:p>
    <w:bookmarkEnd w:id="11"/>
    <w:p w14:paraId="11A3CF00" w14:textId="77777777" w:rsidR="00093A1E" w:rsidRPr="00E400E9" w:rsidRDefault="00093A1E" w:rsidP="00093A1E">
      <w:pPr>
        <w:pStyle w:val="Brdtekst"/>
        <w:ind w:left="851"/>
        <w:rPr>
          <w:i w:val="0"/>
          <w:color w:val="auto"/>
          <w:sz w:val="24"/>
          <w:szCs w:val="24"/>
        </w:rPr>
      </w:pPr>
      <w:r w:rsidRPr="00E400E9">
        <w:rPr>
          <w:i w:val="0"/>
          <w:color w:val="auto"/>
          <w:sz w:val="24"/>
          <w:szCs w:val="24"/>
        </w:rPr>
        <w:t>Der blev ligeledes registreret bredt favorable patientrapporterede kosmetiske resultater samt høj forekomst af tilfredshed med resultatet.</w:t>
      </w:r>
    </w:p>
    <w:p w14:paraId="5448F2B0" w14:textId="77777777" w:rsidR="00093A1E" w:rsidRPr="00E400E9" w:rsidRDefault="00093A1E" w:rsidP="00093A1E">
      <w:pPr>
        <w:autoSpaceDE w:val="0"/>
        <w:autoSpaceDN w:val="0"/>
        <w:adjustRightInd w:val="0"/>
        <w:ind w:left="851"/>
        <w:rPr>
          <w:bCs/>
          <w:iCs/>
          <w:sz w:val="24"/>
          <w:szCs w:val="24"/>
        </w:rPr>
      </w:pPr>
    </w:p>
    <w:p w14:paraId="0D9332EA" w14:textId="77777777" w:rsidR="00093A1E" w:rsidRPr="00E400E9" w:rsidRDefault="00093A1E" w:rsidP="00093A1E">
      <w:pPr>
        <w:ind w:left="851"/>
        <w:rPr>
          <w:i/>
          <w:sz w:val="24"/>
          <w:szCs w:val="24"/>
        </w:rPr>
      </w:pPr>
      <w:r w:rsidRPr="00E400E9">
        <w:rPr>
          <w:i/>
          <w:sz w:val="24"/>
          <w:szCs w:val="24"/>
        </w:rPr>
        <w:t>Sikkerhed</w:t>
      </w:r>
    </w:p>
    <w:p w14:paraId="631500D7" w14:textId="77777777" w:rsidR="00093A1E" w:rsidRPr="00E400E9" w:rsidRDefault="00093A1E" w:rsidP="00093A1E">
      <w:pPr>
        <w:ind w:left="851"/>
        <w:rPr>
          <w:sz w:val="24"/>
          <w:szCs w:val="24"/>
        </w:rPr>
      </w:pPr>
    </w:p>
    <w:p w14:paraId="37CE1D09" w14:textId="77777777" w:rsidR="00093A1E" w:rsidRPr="00E400E9" w:rsidRDefault="00093A1E" w:rsidP="00093A1E">
      <w:pPr>
        <w:ind w:left="851"/>
        <w:rPr>
          <w:sz w:val="24"/>
          <w:szCs w:val="24"/>
        </w:rPr>
      </w:pPr>
      <w:r w:rsidRPr="00E400E9">
        <w:rPr>
          <w:sz w:val="24"/>
          <w:szCs w:val="24"/>
        </w:rPr>
        <w:t xml:space="preserve">Under dobbeltblindet behandling i BLESS I, BLESS II og BLESS III oplevede 33 (3,5 %) patienter </w:t>
      </w:r>
      <w:proofErr w:type="spellStart"/>
      <w:r w:rsidRPr="00E400E9">
        <w:rPr>
          <w:sz w:val="24"/>
          <w:szCs w:val="24"/>
        </w:rPr>
        <w:t>TEAE'er</w:t>
      </w:r>
      <w:proofErr w:type="spellEnd"/>
      <w:r w:rsidRPr="00E400E9">
        <w:rPr>
          <w:sz w:val="24"/>
          <w:szCs w:val="24"/>
        </w:rPr>
        <w:t xml:space="preserve"> (bivirkninger opstået under behandlingen), som blev anset for at være i det mindste muligvis relateret til </w:t>
      </w:r>
      <w:proofErr w:type="spellStart"/>
      <w:r w:rsidRPr="00E400E9">
        <w:rPr>
          <w:sz w:val="24"/>
          <w:szCs w:val="24"/>
        </w:rPr>
        <w:t>Letybo</w:t>
      </w:r>
      <w:proofErr w:type="spellEnd"/>
      <w:r w:rsidRPr="00E400E9">
        <w:rPr>
          <w:sz w:val="24"/>
          <w:szCs w:val="24"/>
        </w:rPr>
        <w:t xml:space="preserve">, og 8 (2,5 %) patienter oplevede </w:t>
      </w:r>
      <w:proofErr w:type="spellStart"/>
      <w:r w:rsidRPr="00E400E9">
        <w:rPr>
          <w:sz w:val="24"/>
          <w:szCs w:val="24"/>
        </w:rPr>
        <w:t>TEAE'er</w:t>
      </w:r>
      <w:proofErr w:type="spellEnd"/>
      <w:r w:rsidRPr="00E400E9">
        <w:rPr>
          <w:sz w:val="24"/>
          <w:szCs w:val="24"/>
        </w:rPr>
        <w:t xml:space="preserve">, som blev anset for at være i det mindste muligvis relateret til placebobehandlingen. Under den åbne behandling oplevede 46 (5,4 %) patienter </w:t>
      </w:r>
      <w:proofErr w:type="spellStart"/>
      <w:r w:rsidRPr="00E400E9">
        <w:rPr>
          <w:sz w:val="24"/>
          <w:szCs w:val="24"/>
        </w:rPr>
        <w:t>TEAE'er</w:t>
      </w:r>
      <w:proofErr w:type="spellEnd"/>
      <w:r w:rsidRPr="00E400E9">
        <w:rPr>
          <w:sz w:val="24"/>
          <w:szCs w:val="24"/>
        </w:rPr>
        <w:t xml:space="preserve">, som blev anset for at være i det mindste muligvis relateret til behandling med </w:t>
      </w:r>
      <w:proofErr w:type="spellStart"/>
      <w:r w:rsidRPr="00E400E9">
        <w:rPr>
          <w:sz w:val="24"/>
          <w:szCs w:val="24"/>
        </w:rPr>
        <w:t>Letybo</w:t>
      </w:r>
      <w:proofErr w:type="spellEnd"/>
      <w:r w:rsidRPr="00E400E9">
        <w:rPr>
          <w:sz w:val="24"/>
          <w:szCs w:val="24"/>
        </w:rPr>
        <w:t xml:space="preserve"> (inklusive op til 3 behandlingscyklusser). Ingen af disse relaterede bivirkninger blev anset for alvorlige. Resultaterne var i overensstemmelse med det understøttende fase 3</w:t>
      </w:r>
      <w:r w:rsidRPr="00E400E9">
        <w:rPr>
          <w:sz w:val="24"/>
          <w:szCs w:val="24"/>
        </w:rPr>
        <w:noBreakHyphen/>
        <w:t>studie HG</w:t>
      </w:r>
      <w:r w:rsidRPr="00E400E9">
        <w:rPr>
          <w:sz w:val="24"/>
          <w:szCs w:val="24"/>
        </w:rPr>
        <w:noBreakHyphen/>
        <w:t>11</w:t>
      </w:r>
      <w:r w:rsidRPr="00E400E9">
        <w:rPr>
          <w:sz w:val="24"/>
          <w:szCs w:val="24"/>
        </w:rPr>
        <w:noBreakHyphen/>
        <w:t xml:space="preserve">01 af </w:t>
      </w:r>
      <w:proofErr w:type="spellStart"/>
      <w:r w:rsidRPr="00E400E9">
        <w:rPr>
          <w:sz w:val="24"/>
          <w:szCs w:val="24"/>
        </w:rPr>
        <w:t>glabellalinjer</w:t>
      </w:r>
      <w:proofErr w:type="spellEnd"/>
      <w:r w:rsidRPr="00E400E9">
        <w:rPr>
          <w:sz w:val="24"/>
          <w:szCs w:val="24"/>
        </w:rPr>
        <w:t>.</w:t>
      </w:r>
    </w:p>
    <w:p w14:paraId="793CAF71" w14:textId="77777777" w:rsidR="00093A1E" w:rsidRPr="00E400E9" w:rsidRDefault="00093A1E" w:rsidP="00093A1E">
      <w:pPr>
        <w:ind w:left="851"/>
        <w:rPr>
          <w:sz w:val="24"/>
          <w:szCs w:val="24"/>
        </w:rPr>
      </w:pPr>
    </w:p>
    <w:p w14:paraId="282385B4" w14:textId="77777777" w:rsidR="00093A1E" w:rsidRPr="00E400E9" w:rsidRDefault="00093A1E" w:rsidP="00093A1E">
      <w:pPr>
        <w:ind w:left="851"/>
        <w:rPr>
          <w:sz w:val="24"/>
          <w:szCs w:val="24"/>
        </w:rPr>
      </w:pPr>
      <w:r w:rsidRPr="00E400E9">
        <w:rPr>
          <w:sz w:val="24"/>
          <w:szCs w:val="24"/>
        </w:rPr>
        <w:t xml:space="preserve">I BLESS I, BLESS II og BLESS III blev dannelse af antistoffer vurderet før hver behandling, 4 uger efter hver behandling og ved det afsluttende studiebesøg. Der blev ikke påvist nogen neutraliserende antistoffer hos nogen patient efter administration af </w:t>
      </w:r>
      <w:proofErr w:type="spellStart"/>
      <w:r w:rsidRPr="00E400E9">
        <w:rPr>
          <w:sz w:val="24"/>
          <w:szCs w:val="24"/>
        </w:rPr>
        <w:t>Letybo</w:t>
      </w:r>
      <w:proofErr w:type="spellEnd"/>
      <w:r w:rsidRPr="00E400E9">
        <w:rPr>
          <w:sz w:val="24"/>
          <w:szCs w:val="24"/>
        </w:rPr>
        <w:t>.</w:t>
      </w:r>
    </w:p>
    <w:p w14:paraId="75CD0368" w14:textId="77777777" w:rsidR="00093A1E" w:rsidRPr="00E400E9" w:rsidRDefault="00093A1E" w:rsidP="00093A1E">
      <w:pPr>
        <w:ind w:left="851"/>
        <w:rPr>
          <w:sz w:val="24"/>
          <w:szCs w:val="24"/>
        </w:rPr>
      </w:pPr>
    </w:p>
    <w:p w14:paraId="5508B5C0" w14:textId="77777777" w:rsidR="00093A1E" w:rsidRPr="00E400E9" w:rsidRDefault="00093A1E" w:rsidP="00093A1E">
      <w:pPr>
        <w:ind w:left="851"/>
        <w:rPr>
          <w:sz w:val="24"/>
          <w:szCs w:val="24"/>
          <w:u w:val="single"/>
        </w:rPr>
      </w:pPr>
      <w:r w:rsidRPr="00E400E9">
        <w:rPr>
          <w:sz w:val="24"/>
          <w:szCs w:val="24"/>
          <w:u w:val="single"/>
        </w:rPr>
        <w:t>Data efter markedsføring</w:t>
      </w:r>
    </w:p>
    <w:p w14:paraId="4A316216" w14:textId="77777777" w:rsidR="00093A1E" w:rsidRPr="00E400E9" w:rsidRDefault="00093A1E" w:rsidP="00093A1E">
      <w:pPr>
        <w:ind w:left="851"/>
        <w:rPr>
          <w:sz w:val="24"/>
          <w:szCs w:val="24"/>
        </w:rPr>
      </w:pPr>
      <w:r w:rsidRPr="00E400E9">
        <w:rPr>
          <w:sz w:val="24"/>
          <w:szCs w:val="24"/>
        </w:rPr>
        <w:t xml:space="preserve">Data efter markedsføring, herunder data fra et studie af </w:t>
      </w:r>
      <w:proofErr w:type="spellStart"/>
      <w:r w:rsidRPr="00E400E9">
        <w:rPr>
          <w:sz w:val="24"/>
          <w:szCs w:val="24"/>
        </w:rPr>
        <w:t>glabellalinjer</w:t>
      </w:r>
      <w:proofErr w:type="spellEnd"/>
      <w:r w:rsidRPr="00E400E9">
        <w:rPr>
          <w:sz w:val="24"/>
          <w:szCs w:val="24"/>
        </w:rPr>
        <w:t xml:space="preserve"> efter markedsføring (HG</w:t>
      </w:r>
      <w:r w:rsidRPr="00E400E9">
        <w:rPr>
          <w:sz w:val="24"/>
          <w:szCs w:val="24"/>
        </w:rPr>
        <w:noBreakHyphen/>
        <w:t>13</w:t>
      </w:r>
      <w:r w:rsidRPr="00E400E9">
        <w:rPr>
          <w:sz w:val="24"/>
          <w:szCs w:val="24"/>
        </w:rPr>
        <w:noBreakHyphen/>
        <w:t>02) med 815 patienter, er i overensstemmelse med det, der er observeret i kliniske studier.</w:t>
      </w:r>
    </w:p>
    <w:p w14:paraId="638CCFF0" w14:textId="77777777" w:rsidR="00093A1E" w:rsidRPr="00E400E9" w:rsidRDefault="00093A1E" w:rsidP="00093A1E">
      <w:pPr>
        <w:ind w:left="851"/>
        <w:rPr>
          <w:sz w:val="24"/>
          <w:szCs w:val="24"/>
        </w:rPr>
      </w:pPr>
    </w:p>
    <w:p w14:paraId="2C12243F" w14:textId="77777777" w:rsidR="00093A1E" w:rsidRPr="00E400E9" w:rsidRDefault="00093A1E" w:rsidP="00093A1E">
      <w:pPr>
        <w:ind w:left="851"/>
        <w:rPr>
          <w:sz w:val="24"/>
          <w:szCs w:val="24"/>
          <w:u w:val="single"/>
        </w:rPr>
      </w:pPr>
      <w:r w:rsidRPr="00E400E9">
        <w:rPr>
          <w:sz w:val="24"/>
          <w:szCs w:val="24"/>
          <w:u w:val="single"/>
        </w:rPr>
        <w:t>Ældre</w:t>
      </w:r>
    </w:p>
    <w:p w14:paraId="4F055A9B" w14:textId="77777777" w:rsidR="00093A1E" w:rsidRPr="00E400E9" w:rsidRDefault="00093A1E" w:rsidP="00093A1E">
      <w:pPr>
        <w:ind w:left="851"/>
        <w:rPr>
          <w:sz w:val="24"/>
          <w:szCs w:val="24"/>
        </w:rPr>
      </w:pPr>
      <w:r w:rsidRPr="00E400E9">
        <w:rPr>
          <w:sz w:val="24"/>
          <w:szCs w:val="24"/>
        </w:rPr>
        <w:t xml:space="preserve">I studierne BLESS I, BLESS II og BLESS III var 152/1.272 (11,91 %) af patienterne samlet set ≥65 år gamle ved screening. Ingen af patienterne var &gt;75 år. Den samlede respondentrate ved uge 4 (primært endepunkt) for patienter, der fik </w:t>
      </w:r>
      <w:proofErr w:type="spellStart"/>
      <w:r w:rsidRPr="00E400E9">
        <w:rPr>
          <w:sz w:val="24"/>
          <w:szCs w:val="24"/>
        </w:rPr>
        <w:t>Letybo</w:t>
      </w:r>
      <w:proofErr w:type="spellEnd"/>
      <w:r w:rsidRPr="00E400E9">
        <w:rPr>
          <w:sz w:val="24"/>
          <w:szCs w:val="24"/>
        </w:rPr>
        <w:t xml:space="preserve">, var lavere hos </w:t>
      </w:r>
      <w:r w:rsidRPr="00E400E9">
        <w:rPr>
          <w:sz w:val="24"/>
          <w:szCs w:val="24"/>
        </w:rPr>
        <w:lastRenderedPageBreak/>
        <w:t xml:space="preserve">patienter ≥65 år med 46/118 (39,0 %) end hos patienter &lt;65 år med 450/839 (53,6 %) samlet set for studierne BLESS I, BLESS II og BLESS III. Der var ikke nogen større forskelle i det samlede antal patienter med </w:t>
      </w:r>
      <w:proofErr w:type="spellStart"/>
      <w:r w:rsidRPr="00E400E9">
        <w:rPr>
          <w:sz w:val="24"/>
          <w:szCs w:val="24"/>
        </w:rPr>
        <w:t>TEAE'er</w:t>
      </w:r>
      <w:proofErr w:type="spellEnd"/>
      <w:r w:rsidRPr="00E400E9">
        <w:rPr>
          <w:sz w:val="24"/>
          <w:szCs w:val="24"/>
        </w:rPr>
        <w:t xml:space="preserve">, der blev anset for at være relateret til dobbeltblindet behandling med </w:t>
      </w:r>
      <w:proofErr w:type="spellStart"/>
      <w:r w:rsidRPr="00E400E9">
        <w:rPr>
          <w:sz w:val="24"/>
          <w:szCs w:val="24"/>
        </w:rPr>
        <w:t>Letybo</w:t>
      </w:r>
      <w:proofErr w:type="spellEnd"/>
      <w:r w:rsidRPr="00E400E9">
        <w:rPr>
          <w:sz w:val="24"/>
          <w:szCs w:val="24"/>
        </w:rPr>
        <w:t xml:space="preserve"> samlet set i de 3 studier (henholdsvis 3,7 % og 1,7 % hos patienter i alderen &lt;65 år og ≥65 år, når medicinrelaterede og/eller injektionsprocedurerelaterede </w:t>
      </w:r>
      <w:proofErr w:type="spellStart"/>
      <w:r w:rsidRPr="00E400E9">
        <w:rPr>
          <w:sz w:val="24"/>
          <w:szCs w:val="24"/>
        </w:rPr>
        <w:t>TEAE'er</w:t>
      </w:r>
      <w:proofErr w:type="spellEnd"/>
      <w:r w:rsidRPr="00E400E9">
        <w:rPr>
          <w:sz w:val="24"/>
          <w:szCs w:val="24"/>
        </w:rPr>
        <w:t xml:space="preserve"> blev taget i betragtning).</w:t>
      </w:r>
    </w:p>
    <w:p w14:paraId="1B71BE5C" w14:textId="77777777" w:rsidR="00093A1E" w:rsidRPr="00E400E9" w:rsidRDefault="00093A1E" w:rsidP="00093A1E">
      <w:pPr>
        <w:ind w:left="851"/>
        <w:rPr>
          <w:sz w:val="24"/>
          <w:szCs w:val="24"/>
          <w:u w:val="single"/>
        </w:rPr>
      </w:pPr>
    </w:p>
    <w:p w14:paraId="75A07EEC" w14:textId="77777777" w:rsidR="00093A1E" w:rsidRPr="00E400E9" w:rsidRDefault="00093A1E" w:rsidP="00093A1E">
      <w:pPr>
        <w:ind w:left="851"/>
        <w:rPr>
          <w:sz w:val="24"/>
          <w:szCs w:val="24"/>
        </w:rPr>
      </w:pPr>
      <w:r w:rsidRPr="00E400E9">
        <w:rPr>
          <w:sz w:val="24"/>
          <w:szCs w:val="24"/>
          <w:u w:val="single"/>
        </w:rPr>
        <w:t>Pædiatrisk population</w:t>
      </w:r>
    </w:p>
    <w:p w14:paraId="29322A15" w14:textId="77777777" w:rsidR="00093A1E" w:rsidRPr="00E400E9" w:rsidRDefault="00093A1E" w:rsidP="00093A1E">
      <w:pPr>
        <w:ind w:left="851"/>
        <w:rPr>
          <w:noProof/>
          <w:sz w:val="24"/>
          <w:szCs w:val="24"/>
        </w:rPr>
      </w:pPr>
      <w:r w:rsidRPr="00E400E9">
        <w:rPr>
          <w:sz w:val="24"/>
          <w:szCs w:val="24"/>
        </w:rPr>
        <w:t xml:space="preserve">Det Europæiske Lægemiddelagentur har dispenseret fra kravet om at fremlægge resultaterne af studier med </w:t>
      </w:r>
      <w:proofErr w:type="spellStart"/>
      <w:r w:rsidRPr="00E400E9">
        <w:rPr>
          <w:sz w:val="24"/>
          <w:szCs w:val="24"/>
        </w:rPr>
        <w:t>Letybo</w:t>
      </w:r>
      <w:proofErr w:type="spellEnd"/>
      <w:r w:rsidRPr="00E400E9">
        <w:rPr>
          <w:sz w:val="24"/>
          <w:szCs w:val="24"/>
        </w:rPr>
        <w:t xml:space="preserve"> i alle undergrupper af den pædiatriske population ved behandling af muskelfremkaldte rynker (se pkt. 4.2 for oplysninger om pædiatrisk anvendelse).</w:t>
      </w:r>
    </w:p>
    <w:p w14:paraId="3D54DD62" w14:textId="77777777" w:rsidR="009260DE" w:rsidRPr="00E400E9" w:rsidRDefault="009260DE" w:rsidP="009260DE">
      <w:pPr>
        <w:tabs>
          <w:tab w:val="left" w:pos="851"/>
        </w:tabs>
        <w:ind w:left="851"/>
        <w:rPr>
          <w:sz w:val="24"/>
          <w:szCs w:val="24"/>
        </w:rPr>
      </w:pPr>
    </w:p>
    <w:p w14:paraId="7BBDD74F" w14:textId="77777777" w:rsidR="009260DE" w:rsidRPr="00E400E9" w:rsidRDefault="009260DE" w:rsidP="009260DE">
      <w:pPr>
        <w:tabs>
          <w:tab w:val="left" w:pos="851"/>
        </w:tabs>
        <w:ind w:left="851" w:hanging="851"/>
        <w:rPr>
          <w:b/>
          <w:sz w:val="24"/>
          <w:szCs w:val="24"/>
        </w:rPr>
      </w:pPr>
      <w:r w:rsidRPr="00E400E9">
        <w:rPr>
          <w:b/>
          <w:sz w:val="24"/>
          <w:szCs w:val="24"/>
        </w:rPr>
        <w:t>5.2</w:t>
      </w:r>
      <w:r w:rsidRPr="00E400E9">
        <w:rPr>
          <w:b/>
          <w:sz w:val="24"/>
          <w:szCs w:val="24"/>
        </w:rPr>
        <w:tab/>
      </w:r>
      <w:proofErr w:type="spellStart"/>
      <w:r w:rsidRPr="00E400E9">
        <w:rPr>
          <w:b/>
          <w:sz w:val="24"/>
          <w:szCs w:val="24"/>
        </w:rPr>
        <w:t>Farmakokinetiske</w:t>
      </w:r>
      <w:proofErr w:type="spellEnd"/>
      <w:r w:rsidRPr="00E400E9">
        <w:rPr>
          <w:b/>
          <w:sz w:val="24"/>
          <w:szCs w:val="24"/>
        </w:rPr>
        <w:t xml:space="preserve"> egenskaber</w:t>
      </w:r>
    </w:p>
    <w:p w14:paraId="420431C5" w14:textId="77777777" w:rsidR="00093A1E" w:rsidRPr="00E400E9" w:rsidRDefault="00093A1E" w:rsidP="00093A1E">
      <w:pPr>
        <w:ind w:left="851"/>
        <w:rPr>
          <w:sz w:val="24"/>
          <w:szCs w:val="24"/>
          <w:lang w:eastAsia="da-DK"/>
        </w:rPr>
      </w:pPr>
      <w:proofErr w:type="spellStart"/>
      <w:r w:rsidRPr="00E400E9">
        <w:rPr>
          <w:sz w:val="24"/>
          <w:szCs w:val="24"/>
        </w:rPr>
        <w:t>Botulinumtoksin</w:t>
      </w:r>
      <w:proofErr w:type="spellEnd"/>
      <w:r w:rsidRPr="00E400E9">
        <w:rPr>
          <w:sz w:val="24"/>
          <w:szCs w:val="24"/>
        </w:rPr>
        <w:t xml:space="preserve"> type A forventes ikke at være til stede i perifert blod i målbare niveauer efter intramuskulær injektion af den anbefalede dosis på 20 enheder.</w:t>
      </w:r>
    </w:p>
    <w:p w14:paraId="596C1790" w14:textId="77777777" w:rsidR="009260DE" w:rsidRPr="00E400E9" w:rsidRDefault="009260DE" w:rsidP="009260DE">
      <w:pPr>
        <w:tabs>
          <w:tab w:val="left" w:pos="851"/>
        </w:tabs>
        <w:ind w:left="851"/>
        <w:rPr>
          <w:sz w:val="24"/>
          <w:szCs w:val="24"/>
        </w:rPr>
      </w:pPr>
    </w:p>
    <w:p w14:paraId="22D0DCDC" w14:textId="45EF9291" w:rsidR="009260DE" w:rsidRPr="00E400E9" w:rsidRDefault="009260DE" w:rsidP="009260DE">
      <w:pPr>
        <w:tabs>
          <w:tab w:val="left" w:pos="851"/>
        </w:tabs>
        <w:ind w:left="851" w:hanging="851"/>
        <w:rPr>
          <w:b/>
          <w:sz w:val="24"/>
          <w:szCs w:val="24"/>
        </w:rPr>
      </w:pPr>
      <w:r w:rsidRPr="00E400E9">
        <w:rPr>
          <w:b/>
          <w:sz w:val="24"/>
          <w:szCs w:val="24"/>
        </w:rPr>
        <w:t>5.3</w:t>
      </w:r>
      <w:r w:rsidRPr="00E400E9">
        <w:rPr>
          <w:b/>
          <w:sz w:val="24"/>
          <w:szCs w:val="24"/>
        </w:rPr>
        <w:tab/>
      </w:r>
      <w:r w:rsidR="001C7B69">
        <w:rPr>
          <w:b/>
          <w:sz w:val="24"/>
          <w:szCs w:val="24"/>
        </w:rPr>
        <w:t>Non-</w:t>
      </w:r>
      <w:r w:rsidRPr="00E400E9">
        <w:rPr>
          <w:b/>
          <w:sz w:val="24"/>
          <w:szCs w:val="24"/>
        </w:rPr>
        <w:t>kliniske sikkerhedsdata</w:t>
      </w:r>
    </w:p>
    <w:p w14:paraId="4BA18E7E" w14:textId="77777777" w:rsidR="00093A1E" w:rsidRPr="00E400E9" w:rsidRDefault="00093A1E" w:rsidP="00093A1E">
      <w:pPr>
        <w:ind w:left="851"/>
        <w:rPr>
          <w:sz w:val="24"/>
          <w:szCs w:val="24"/>
          <w:lang w:eastAsia="da-DK"/>
        </w:rPr>
      </w:pPr>
      <w:r w:rsidRPr="00E400E9">
        <w:rPr>
          <w:sz w:val="24"/>
          <w:szCs w:val="24"/>
        </w:rPr>
        <w:t xml:space="preserve">Toksicitetsstudier med enkelt og gentagen dosering med ugentlige eller månedlige intramuskulære injektioner af </w:t>
      </w:r>
      <w:proofErr w:type="spellStart"/>
      <w:r w:rsidRPr="00E400E9">
        <w:rPr>
          <w:sz w:val="24"/>
          <w:szCs w:val="24"/>
        </w:rPr>
        <w:t>BoNT</w:t>
      </w:r>
      <w:proofErr w:type="spellEnd"/>
      <w:r w:rsidRPr="00E400E9">
        <w:rPr>
          <w:sz w:val="24"/>
          <w:szCs w:val="24"/>
        </w:rPr>
        <w:t>/A</w:t>
      </w:r>
      <w:r w:rsidRPr="00E400E9">
        <w:rPr>
          <w:sz w:val="24"/>
          <w:szCs w:val="24"/>
        </w:rPr>
        <w:noBreakHyphen/>
        <w:t xml:space="preserve">DP til rotter viste dosisafhængig lammelse af den injicerede muskel, hvilket medførte nedsat bevægelse, nedsat indtag af føde, legemsvægt og </w:t>
      </w:r>
      <w:proofErr w:type="spellStart"/>
      <w:r w:rsidRPr="00E400E9">
        <w:rPr>
          <w:sz w:val="24"/>
          <w:szCs w:val="24"/>
        </w:rPr>
        <w:t>kreatinin</w:t>
      </w:r>
      <w:proofErr w:type="spellEnd"/>
      <w:r w:rsidRPr="00E400E9">
        <w:rPr>
          <w:sz w:val="24"/>
          <w:szCs w:val="24"/>
        </w:rPr>
        <w:t xml:space="preserve"> på grund af muskelatrofi, hvilket anses som sekundært til dyrenes muskellammelse og nedsatte agilitet. Der blev ikke bemærket andre svære bivirkninger, hverken lokale eller systemiske, som er af toksikologisk relevans ved doser på op til 15 E/kg.</w:t>
      </w:r>
    </w:p>
    <w:p w14:paraId="0FE4555D" w14:textId="77777777" w:rsidR="00093A1E" w:rsidRPr="00E400E9" w:rsidRDefault="00093A1E" w:rsidP="00093A1E">
      <w:pPr>
        <w:ind w:left="851"/>
        <w:rPr>
          <w:sz w:val="24"/>
          <w:szCs w:val="24"/>
        </w:rPr>
      </w:pPr>
      <w:r w:rsidRPr="00E400E9">
        <w:rPr>
          <w:sz w:val="24"/>
          <w:szCs w:val="24"/>
        </w:rPr>
        <w:t xml:space="preserve">I et </w:t>
      </w:r>
      <w:proofErr w:type="spellStart"/>
      <w:r w:rsidRPr="00E400E9">
        <w:rPr>
          <w:sz w:val="24"/>
          <w:szCs w:val="24"/>
        </w:rPr>
        <w:t>embryoføtalt</w:t>
      </w:r>
      <w:proofErr w:type="spellEnd"/>
      <w:r w:rsidRPr="00E400E9">
        <w:rPr>
          <w:sz w:val="24"/>
          <w:szCs w:val="24"/>
        </w:rPr>
        <w:t xml:space="preserve"> udviklingsstudie med daglige intramuskulære </w:t>
      </w:r>
      <w:proofErr w:type="spellStart"/>
      <w:r w:rsidRPr="00E400E9">
        <w:rPr>
          <w:sz w:val="24"/>
          <w:szCs w:val="24"/>
        </w:rPr>
        <w:t>BoNT</w:t>
      </w:r>
      <w:proofErr w:type="spellEnd"/>
      <w:r w:rsidRPr="00E400E9">
        <w:rPr>
          <w:sz w:val="24"/>
          <w:szCs w:val="24"/>
        </w:rPr>
        <w:t>/A</w:t>
      </w:r>
      <w:r w:rsidRPr="00E400E9">
        <w:rPr>
          <w:sz w:val="24"/>
          <w:szCs w:val="24"/>
        </w:rPr>
        <w:noBreakHyphen/>
        <w:t>DP</w:t>
      </w:r>
      <w:r w:rsidRPr="00E400E9">
        <w:rPr>
          <w:sz w:val="24"/>
          <w:szCs w:val="24"/>
        </w:rPr>
        <w:noBreakHyphen/>
        <w:t xml:space="preserve">injektioner på op til 8 E/kg fra drægtighedsdag 5 til 16 hos drægtige rotter blev der observeret dosisafhængig muskellammelse, som medførte muskelatrofi, nedsat legemsvægt og snavset </w:t>
      </w:r>
      <w:proofErr w:type="spellStart"/>
      <w:r w:rsidRPr="00E400E9">
        <w:rPr>
          <w:sz w:val="24"/>
          <w:szCs w:val="24"/>
        </w:rPr>
        <w:t>perinealt</w:t>
      </w:r>
      <w:proofErr w:type="spellEnd"/>
      <w:r w:rsidRPr="00E400E9">
        <w:rPr>
          <w:sz w:val="24"/>
          <w:szCs w:val="24"/>
        </w:rPr>
        <w:t xml:space="preserve"> område hos moderdyr. Der blev set forsinket </w:t>
      </w:r>
      <w:proofErr w:type="spellStart"/>
      <w:r w:rsidRPr="00E400E9">
        <w:rPr>
          <w:sz w:val="24"/>
          <w:szCs w:val="24"/>
        </w:rPr>
        <w:t>føtal</w:t>
      </w:r>
      <w:proofErr w:type="spellEnd"/>
      <w:r w:rsidRPr="00E400E9">
        <w:rPr>
          <w:sz w:val="24"/>
          <w:szCs w:val="24"/>
        </w:rPr>
        <w:t xml:space="preserve"> </w:t>
      </w:r>
      <w:proofErr w:type="spellStart"/>
      <w:r w:rsidRPr="00E400E9">
        <w:rPr>
          <w:sz w:val="24"/>
          <w:szCs w:val="24"/>
        </w:rPr>
        <w:t>ossifikation</w:t>
      </w:r>
      <w:proofErr w:type="spellEnd"/>
      <w:r w:rsidRPr="00E400E9">
        <w:rPr>
          <w:sz w:val="24"/>
          <w:szCs w:val="24"/>
        </w:rPr>
        <w:t xml:space="preserve"> og nedsat </w:t>
      </w:r>
      <w:proofErr w:type="spellStart"/>
      <w:r w:rsidRPr="00E400E9">
        <w:rPr>
          <w:sz w:val="24"/>
          <w:szCs w:val="24"/>
        </w:rPr>
        <w:t>føtal</w:t>
      </w:r>
      <w:proofErr w:type="spellEnd"/>
      <w:r w:rsidRPr="00E400E9">
        <w:rPr>
          <w:sz w:val="24"/>
          <w:szCs w:val="24"/>
        </w:rPr>
        <w:t xml:space="preserve"> legemsvægt (≥20 %), men ingen misdannelser, hvilket blev tolket som sekundære konsekvenser af </w:t>
      </w:r>
      <w:proofErr w:type="spellStart"/>
      <w:r w:rsidRPr="00E400E9">
        <w:rPr>
          <w:sz w:val="24"/>
          <w:szCs w:val="24"/>
        </w:rPr>
        <w:t>maternel</w:t>
      </w:r>
      <w:proofErr w:type="spellEnd"/>
      <w:r w:rsidRPr="00E400E9">
        <w:rPr>
          <w:sz w:val="24"/>
          <w:szCs w:val="24"/>
        </w:rPr>
        <w:t xml:space="preserve"> toksicitet i overensstemmelse med erfaring fra andre produkter, som indeholder </w:t>
      </w:r>
      <w:proofErr w:type="spellStart"/>
      <w:r w:rsidRPr="00E400E9">
        <w:rPr>
          <w:sz w:val="24"/>
          <w:szCs w:val="24"/>
        </w:rPr>
        <w:t>botulinumtoksin</w:t>
      </w:r>
      <w:proofErr w:type="spellEnd"/>
      <w:r w:rsidRPr="00E400E9">
        <w:rPr>
          <w:sz w:val="24"/>
          <w:szCs w:val="24"/>
        </w:rPr>
        <w:t xml:space="preserve"> type A. Indvirkninger på peri</w:t>
      </w:r>
      <w:r w:rsidRPr="00E400E9">
        <w:rPr>
          <w:sz w:val="24"/>
          <w:szCs w:val="24"/>
        </w:rPr>
        <w:noBreakHyphen/>
        <w:t>/</w:t>
      </w:r>
      <w:proofErr w:type="spellStart"/>
      <w:r w:rsidRPr="00E400E9">
        <w:rPr>
          <w:sz w:val="24"/>
          <w:szCs w:val="24"/>
        </w:rPr>
        <w:t>postnatal</w:t>
      </w:r>
      <w:proofErr w:type="spellEnd"/>
      <w:r w:rsidRPr="00E400E9">
        <w:rPr>
          <w:sz w:val="24"/>
          <w:szCs w:val="24"/>
        </w:rPr>
        <w:t xml:space="preserve"> udvikling er ikke vurderet.</w:t>
      </w:r>
    </w:p>
    <w:p w14:paraId="45AB7F3E" w14:textId="77777777" w:rsidR="00093A1E" w:rsidRPr="00E400E9" w:rsidRDefault="00093A1E" w:rsidP="00093A1E">
      <w:pPr>
        <w:ind w:left="851"/>
        <w:rPr>
          <w:noProof/>
          <w:sz w:val="24"/>
          <w:szCs w:val="24"/>
        </w:rPr>
      </w:pPr>
      <w:r w:rsidRPr="00E400E9">
        <w:rPr>
          <w:sz w:val="24"/>
          <w:szCs w:val="24"/>
        </w:rPr>
        <w:t xml:space="preserve">Hos rotter er der observeret nedsat fertilitet hos hanner og hunner med høje doser af produkter, som indeholder </w:t>
      </w:r>
      <w:proofErr w:type="spellStart"/>
      <w:r w:rsidRPr="00E400E9">
        <w:rPr>
          <w:sz w:val="24"/>
          <w:szCs w:val="24"/>
        </w:rPr>
        <w:t>botulinumtoksin</w:t>
      </w:r>
      <w:proofErr w:type="spellEnd"/>
      <w:r w:rsidRPr="00E400E9">
        <w:rPr>
          <w:sz w:val="24"/>
          <w:szCs w:val="24"/>
        </w:rPr>
        <w:t xml:space="preserve"> type A.</w:t>
      </w:r>
    </w:p>
    <w:p w14:paraId="5F3D38AD" w14:textId="77777777" w:rsidR="00093A1E" w:rsidRPr="00E400E9" w:rsidRDefault="00093A1E" w:rsidP="00093A1E">
      <w:pPr>
        <w:ind w:left="851"/>
        <w:rPr>
          <w:noProof/>
          <w:sz w:val="24"/>
          <w:szCs w:val="24"/>
        </w:rPr>
      </w:pPr>
      <w:r w:rsidRPr="00E400E9">
        <w:rPr>
          <w:sz w:val="24"/>
          <w:szCs w:val="24"/>
        </w:rPr>
        <w:t xml:space="preserve">Der er ikke udført nogen studier af genotoksicitet, </w:t>
      </w:r>
      <w:proofErr w:type="spellStart"/>
      <w:r w:rsidRPr="00E400E9">
        <w:rPr>
          <w:sz w:val="24"/>
          <w:szCs w:val="24"/>
        </w:rPr>
        <w:t>antigenicitet</w:t>
      </w:r>
      <w:proofErr w:type="spellEnd"/>
      <w:r w:rsidRPr="00E400E9">
        <w:rPr>
          <w:sz w:val="24"/>
          <w:szCs w:val="24"/>
        </w:rPr>
        <w:t xml:space="preserve">, </w:t>
      </w:r>
      <w:proofErr w:type="spellStart"/>
      <w:r w:rsidRPr="00E400E9">
        <w:rPr>
          <w:sz w:val="24"/>
          <w:szCs w:val="24"/>
        </w:rPr>
        <w:t>karcinogenicitet</w:t>
      </w:r>
      <w:proofErr w:type="spellEnd"/>
      <w:r w:rsidRPr="00E400E9">
        <w:rPr>
          <w:sz w:val="24"/>
          <w:szCs w:val="24"/>
        </w:rPr>
        <w:t xml:space="preserve"> eller fertilitet med </w:t>
      </w:r>
      <w:proofErr w:type="spellStart"/>
      <w:r w:rsidRPr="00E400E9">
        <w:rPr>
          <w:sz w:val="24"/>
          <w:szCs w:val="24"/>
        </w:rPr>
        <w:t>BoNT</w:t>
      </w:r>
      <w:proofErr w:type="spellEnd"/>
      <w:r w:rsidRPr="00E400E9">
        <w:rPr>
          <w:sz w:val="24"/>
          <w:szCs w:val="24"/>
        </w:rPr>
        <w:t>/A</w:t>
      </w:r>
      <w:r w:rsidRPr="00E400E9">
        <w:rPr>
          <w:sz w:val="24"/>
          <w:szCs w:val="24"/>
        </w:rPr>
        <w:noBreakHyphen/>
        <w:t xml:space="preserve">DP. </w:t>
      </w:r>
    </w:p>
    <w:p w14:paraId="71B410BD" w14:textId="77777777" w:rsidR="009260DE" w:rsidRPr="00E400E9" w:rsidRDefault="009260DE" w:rsidP="009260DE">
      <w:pPr>
        <w:tabs>
          <w:tab w:val="left" w:pos="851"/>
        </w:tabs>
        <w:ind w:left="851"/>
        <w:rPr>
          <w:sz w:val="24"/>
          <w:szCs w:val="24"/>
        </w:rPr>
      </w:pPr>
    </w:p>
    <w:p w14:paraId="23F306B1" w14:textId="77777777" w:rsidR="009260DE" w:rsidRPr="00E400E9" w:rsidRDefault="009260DE" w:rsidP="009260DE">
      <w:pPr>
        <w:tabs>
          <w:tab w:val="left" w:pos="851"/>
        </w:tabs>
        <w:ind w:left="851"/>
        <w:rPr>
          <w:sz w:val="24"/>
          <w:szCs w:val="24"/>
        </w:rPr>
      </w:pPr>
    </w:p>
    <w:p w14:paraId="3D547AA9" w14:textId="77777777" w:rsidR="009260DE" w:rsidRPr="00E400E9" w:rsidRDefault="009260DE" w:rsidP="009260DE">
      <w:pPr>
        <w:tabs>
          <w:tab w:val="left" w:pos="851"/>
        </w:tabs>
        <w:ind w:left="851" w:hanging="851"/>
        <w:rPr>
          <w:b/>
          <w:sz w:val="24"/>
          <w:szCs w:val="24"/>
        </w:rPr>
      </w:pPr>
      <w:r w:rsidRPr="00E400E9">
        <w:rPr>
          <w:b/>
          <w:sz w:val="24"/>
          <w:szCs w:val="24"/>
        </w:rPr>
        <w:t>6.</w:t>
      </w:r>
      <w:r w:rsidRPr="00E400E9">
        <w:rPr>
          <w:b/>
          <w:sz w:val="24"/>
          <w:szCs w:val="24"/>
        </w:rPr>
        <w:tab/>
        <w:t>FARMACEUTISKE OPLYSNINGER</w:t>
      </w:r>
    </w:p>
    <w:p w14:paraId="6CF26E5F" w14:textId="77777777" w:rsidR="009260DE" w:rsidRPr="00E400E9" w:rsidRDefault="009260DE" w:rsidP="009260DE">
      <w:pPr>
        <w:tabs>
          <w:tab w:val="left" w:pos="851"/>
        </w:tabs>
        <w:ind w:left="851"/>
        <w:rPr>
          <w:sz w:val="24"/>
          <w:szCs w:val="24"/>
        </w:rPr>
      </w:pPr>
    </w:p>
    <w:p w14:paraId="2B812F92" w14:textId="77777777" w:rsidR="009260DE" w:rsidRPr="00E400E9" w:rsidRDefault="009260DE" w:rsidP="009260DE">
      <w:pPr>
        <w:tabs>
          <w:tab w:val="left" w:pos="851"/>
        </w:tabs>
        <w:ind w:left="851" w:hanging="851"/>
        <w:rPr>
          <w:b/>
          <w:sz w:val="24"/>
          <w:szCs w:val="24"/>
        </w:rPr>
      </w:pPr>
      <w:r w:rsidRPr="00E400E9">
        <w:rPr>
          <w:b/>
          <w:sz w:val="24"/>
          <w:szCs w:val="24"/>
        </w:rPr>
        <w:t>6.1</w:t>
      </w:r>
      <w:r w:rsidRPr="00E400E9">
        <w:rPr>
          <w:b/>
          <w:sz w:val="24"/>
          <w:szCs w:val="24"/>
        </w:rPr>
        <w:tab/>
        <w:t>Hjælpestoffer</w:t>
      </w:r>
    </w:p>
    <w:p w14:paraId="68DFD7E7" w14:textId="77777777" w:rsidR="00093A1E" w:rsidRPr="00E400E9" w:rsidRDefault="00093A1E" w:rsidP="00093A1E">
      <w:pPr>
        <w:ind w:left="851"/>
        <w:rPr>
          <w:noProof/>
          <w:sz w:val="24"/>
          <w:szCs w:val="24"/>
          <w:lang w:eastAsia="da-DK"/>
        </w:rPr>
      </w:pPr>
      <w:r w:rsidRPr="00E400E9">
        <w:rPr>
          <w:sz w:val="24"/>
          <w:szCs w:val="24"/>
        </w:rPr>
        <w:t>humant albumin</w:t>
      </w:r>
    </w:p>
    <w:p w14:paraId="6E6AB1ED" w14:textId="77777777" w:rsidR="00093A1E" w:rsidRPr="00E400E9" w:rsidRDefault="00093A1E" w:rsidP="00093A1E">
      <w:pPr>
        <w:ind w:left="851"/>
        <w:rPr>
          <w:noProof/>
          <w:sz w:val="24"/>
          <w:szCs w:val="24"/>
        </w:rPr>
      </w:pPr>
      <w:proofErr w:type="spellStart"/>
      <w:r w:rsidRPr="00E400E9">
        <w:rPr>
          <w:sz w:val="24"/>
          <w:szCs w:val="24"/>
        </w:rPr>
        <w:t>natriumchlorid</w:t>
      </w:r>
      <w:proofErr w:type="spellEnd"/>
    </w:p>
    <w:p w14:paraId="32B4FA05" w14:textId="77777777" w:rsidR="009260DE" w:rsidRPr="00E400E9" w:rsidRDefault="009260DE" w:rsidP="009260DE">
      <w:pPr>
        <w:tabs>
          <w:tab w:val="left" w:pos="851"/>
        </w:tabs>
        <w:ind w:left="851"/>
        <w:rPr>
          <w:sz w:val="24"/>
          <w:szCs w:val="24"/>
        </w:rPr>
      </w:pPr>
    </w:p>
    <w:p w14:paraId="63E8728C" w14:textId="77777777" w:rsidR="009260DE" w:rsidRPr="00E400E9" w:rsidRDefault="009260DE" w:rsidP="009260DE">
      <w:pPr>
        <w:tabs>
          <w:tab w:val="left" w:pos="851"/>
        </w:tabs>
        <w:ind w:left="851" w:hanging="851"/>
        <w:rPr>
          <w:b/>
          <w:sz w:val="24"/>
          <w:szCs w:val="24"/>
        </w:rPr>
      </w:pPr>
      <w:r w:rsidRPr="00E400E9">
        <w:rPr>
          <w:b/>
          <w:sz w:val="24"/>
          <w:szCs w:val="24"/>
        </w:rPr>
        <w:t>6.2</w:t>
      </w:r>
      <w:r w:rsidRPr="00E400E9">
        <w:rPr>
          <w:b/>
          <w:sz w:val="24"/>
          <w:szCs w:val="24"/>
        </w:rPr>
        <w:tab/>
        <w:t>Uforligeligheder</w:t>
      </w:r>
    </w:p>
    <w:p w14:paraId="5B75ACC9" w14:textId="77777777" w:rsidR="00093A1E" w:rsidRPr="00E400E9" w:rsidRDefault="00093A1E" w:rsidP="00093A1E">
      <w:pPr>
        <w:ind w:left="851"/>
        <w:rPr>
          <w:noProof/>
          <w:sz w:val="24"/>
          <w:szCs w:val="24"/>
          <w:lang w:eastAsia="da-DK"/>
        </w:rPr>
      </w:pPr>
      <w:r w:rsidRPr="00E400E9">
        <w:rPr>
          <w:sz w:val="24"/>
          <w:szCs w:val="24"/>
        </w:rPr>
        <w:t>Dette lægemiddel må ikke blandes med andre lægemidler end dem, der er anført under pkt. 6.6.</w:t>
      </w:r>
    </w:p>
    <w:p w14:paraId="28B7688A" w14:textId="2F6E6E18" w:rsidR="009260DE" w:rsidRPr="00E400E9" w:rsidRDefault="00E2298A" w:rsidP="00BD2078">
      <w:pPr>
        <w:rPr>
          <w:b/>
          <w:sz w:val="24"/>
          <w:szCs w:val="24"/>
        </w:rPr>
      </w:pPr>
      <w:r>
        <w:rPr>
          <w:sz w:val="24"/>
          <w:szCs w:val="24"/>
        </w:rPr>
        <w:br w:type="page"/>
      </w:r>
      <w:r w:rsidR="009260DE" w:rsidRPr="00E400E9">
        <w:rPr>
          <w:b/>
          <w:sz w:val="24"/>
          <w:szCs w:val="24"/>
        </w:rPr>
        <w:lastRenderedPageBreak/>
        <w:t>6.3</w:t>
      </w:r>
      <w:r w:rsidR="009260DE" w:rsidRPr="00E400E9">
        <w:rPr>
          <w:b/>
          <w:sz w:val="24"/>
          <w:szCs w:val="24"/>
        </w:rPr>
        <w:tab/>
        <w:t>Opbevaringstid</w:t>
      </w:r>
    </w:p>
    <w:p w14:paraId="506C6521" w14:textId="77777777" w:rsidR="00F37506" w:rsidRPr="00E400E9" w:rsidRDefault="00F37506" w:rsidP="00093A1E">
      <w:pPr>
        <w:ind w:left="851"/>
        <w:rPr>
          <w:sz w:val="24"/>
          <w:szCs w:val="24"/>
        </w:rPr>
      </w:pPr>
    </w:p>
    <w:p w14:paraId="5051E61C" w14:textId="00AEE3F9" w:rsidR="00093A1E" w:rsidRPr="00E400E9" w:rsidRDefault="00093A1E" w:rsidP="00093A1E">
      <w:pPr>
        <w:ind w:left="851"/>
        <w:rPr>
          <w:noProof/>
          <w:sz w:val="24"/>
          <w:szCs w:val="24"/>
          <w:u w:val="single"/>
          <w:lang w:eastAsia="da-DK"/>
        </w:rPr>
      </w:pPr>
      <w:r w:rsidRPr="00E400E9">
        <w:rPr>
          <w:sz w:val="24"/>
          <w:szCs w:val="24"/>
          <w:u w:val="single"/>
        </w:rPr>
        <w:t>Uåbnet hætteglas</w:t>
      </w:r>
    </w:p>
    <w:p w14:paraId="70F5AA7E" w14:textId="77777777" w:rsidR="00093A1E" w:rsidRPr="00E400E9" w:rsidRDefault="00093A1E" w:rsidP="00093A1E">
      <w:pPr>
        <w:ind w:left="851"/>
        <w:rPr>
          <w:noProof/>
          <w:sz w:val="24"/>
          <w:szCs w:val="24"/>
        </w:rPr>
      </w:pPr>
      <w:r w:rsidRPr="00E400E9">
        <w:rPr>
          <w:sz w:val="24"/>
          <w:szCs w:val="24"/>
        </w:rPr>
        <w:t>3 år.</w:t>
      </w:r>
    </w:p>
    <w:p w14:paraId="1B9A9A50" w14:textId="77777777" w:rsidR="00093A1E" w:rsidRPr="00E400E9" w:rsidRDefault="00093A1E" w:rsidP="00093A1E">
      <w:pPr>
        <w:ind w:left="851"/>
        <w:rPr>
          <w:noProof/>
          <w:sz w:val="24"/>
          <w:szCs w:val="24"/>
        </w:rPr>
      </w:pPr>
    </w:p>
    <w:p w14:paraId="151EB054" w14:textId="77777777" w:rsidR="00093A1E" w:rsidRPr="00E400E9" w:rsidRDefault="00093A1E" w:rsidP="00093A1E">
      <w:pPr>
        <w:ind w:left="851"/>
        <w:rPr>
          <w:noProof/>
          <w:sz w:val="24"/>
          <w:szCs w:val="24"/>
          <w:u w:val="single"/>
        </w:rPr>
      </w:pPr>
      <w:proofErr w:type="spellStart"/>
      <w:r w:rsidRPr="00E400E9">
        <w:rPr>
          <w:sz w:val="24"/>
          <w:szCs w:val="24"/>
          <w:u w:val="single"/>
        </w:rPr>
        <w:t>Rekonstitueret</w:t>
      </w:r>
      <w:proofErr w:type="spellEnd"/>
      <w:r w:rsidRPr="00E400E9">
        <w:rPr>
          <w:sz w:val="24"/>
          <w:szCs w:val="24"/>
          <w:u w:val="single"/>
        </w:rPr>
        <w:t xml:space="preserve"> opløsning</w:t>
      </w:r>
    </w:p>
    <w:p w14:paraId="555F4202" w14:textId="77777777" w:rsidR="00093A1E" w:rsidRPr="00E400E9" w:rsidRDefault="00093A1E" w:rsidP="00093A1E">
      <w:pPr>
        <w:ind w:left="851"/>
        <w:rPr>
          <w:noProof/>
          <w:sz w:val="24"/>
          <w:szCs w:val="24"/>
        </w:rPr>
      </w:pPr>
      <w:r w:rsidRPr="00E400E9">
        <w:rPr>
          <w:sz w:val="24"/>
          <w:szCs w:val="24"/>
        </w:rPr>
        <w:t>Kemisk og fysisk stabilitet under brug er blevet påvist i 24 timer ved 2 °C.</w:t>
      </w:r>
    </w:p>
    <w:p w14:paraId="4274291C" w14:textId="77777777" w:rsidR="00093A1E" w:rsidRPr="00E400E9" w:rsidRDefault="00093A1E" w:rsidP="00093A1E">
      <w:pPr>
        <w:ind w:left="851"/>
        <w:rPr>
          <w:noProof/>
          <w:sz w:val="24"/>
          <w:szCs w:val="24"/>
        </w:rPr>
      </w:pPr>
    </w:p>
    <w:p w14:paraId="7D59DD9A" w14:textId="77777777" w:rsidR="00093A1E" w:rsidRPr="00E400E9" w:rsidRDefault="00093A1E" w:rsidP="00093A1E">
      <w:pPr>
        <w:ind w:left="851"/>
        <w:rPr>
          <w:noProof/>
          <w:sz w:val="24"/>
          <w:szCs w:val="24"/>
        </w:rPr>
      </w:pPr>
      <w:r w:rsidRPr="00E400E9">
        <w:rPr>
          <w:sz w:val="24"/>
          <w:szCs w:val="24"/>
        </w:rPr>
        <w:t xml:space="preserve">Ud fra et mikrobiologisk synspunkt bør produktet anvendes straks. Hvis det ikke anvendes straks, er opbevaringstider og </w:t>
      </w:r>
      <w:r w:rsidRPr="00E400E9">
        <w:rPr>
          <w:sz w:val="24"/>
          <w:szCs w:val="24"/>
        </w:rPr>
        <w:noBreakHyphen/>
        <w:t xml:space="preserve">betingelser efter anbrud indtil anvendelse brugerens ansvar og vil normalt ikke være længere end 24 timer ved 2 °C – 8 °C, medmindre </w:t>
      </w:r>
      <w:proofErr w:type="spellStart"/>
      <w:r w:rsidRPr="00E400E9">
        <w:rPr>
          <w:sz w:val="24"/>
          <w:szCs w:val="24"/>
        </w:rPr>
        <w:t>rekonstitution</w:t>
      </w:r>
      <w:proofErr w:type="spellEnd"/>
      <w:r w:rsidRPr="00E400E9">
        <w:rPr>
          <w:sz w:val="24"/>
          <w:szCs w:val="24"/>
        </w:rPr>
        <w:t>/fortynding (osv.) har fundet sted under kontrollerede og validerede aseptiske forhold.</w:t>
      </w:r>
    </w:p>
    <w:p w14:paraId="63870AED" w14:textId="77777777" w:rsidR="009260DE" w:rsidRPr="00E400E9" w:rsidRDefault="009260DE" w:rsidP="009260DE">
      <w:pPr>
        <w:tabs>
          <w:tab w:val="left" w:pos="851"/>
        </w:tabs>
        <w:ind w:left="851"/>
        <w:rPr>
          <w:sz w:val="24"/>
          <w:szCs w:val="24"/>
        </w:rPr>
      </w:pPr>
    </w:p>
    <w:p w14:paraId="4EBB19DC" w14:textId="77777777" w:rsidR="009260DE" w:rsidRPr="00E400E9" w:rsidRDefault="009260DE" w:rsidP="009260DE">
      <w:pPr>
        <w:tabs>
          <w:tab w:val="left" w:pos="851"/>
        </w:tabs>
        <w:ind w:left="851" w:hanging="851"/>
        <w:rPr>
          <w:b/>
          <w:sz w:val="24"/>
          <w:szCs w:val="24"/>
        </w:rPr>
      </w:pPr>
      <w:r w:rsidRPr="00E400E9">
        <w:rPr>
          <w:b/>
          <w:sz w:val="24"/>
          <w:szCs w:val="24"/>
        </w:rPr>
        <w:t>6.4</w:t>
      </w:r>
      <w:r w:rsidRPr="00E400E9">
        <w:rPr>
          <w:b/>
          <w:sz w:val="24"/>
          <w:szCs w:val="24"/>
        </w:rPr>
        <w:tab/>
        <w:t>Særlige opbevaringsforhold</w:t>
      </w:r>
    </w:p>
    <w:p w14:paraId="5A358560" w14:textId="77777777" w:rsidR="00093A1E" w:rsidRPr="00E400E9" w:rsidRDefault="00093A1E" w:rsidP="00093A1E">
      <w:pPr>
        <w:ind w:left="851"/>
        <w:rPr>
          <w:noProof/>
          <w:sz w:val="24"/>
          <w:szCs w:val="24"/>
          <w:lang w:eastAsia="da-DK"/>
        </w:rPr>
      </w:pPr>
      <w:r w:rsidRPr="00E400E9">
        <w:rPr>
          <w:sz w:val="24"/>
          <w:szCs w:val="24"/>
        </w:rPr>
        <w:t>Opbevares i køleskab og transporteres nedkølet (2 °C – 8 °C).</w:t>
      </w:r>
    </w:p>
    <w:p w14:paraId="524A8B04" w14:textId="77777777" w:rsidR="00093A1E" w:rsidRPr="00E400E9" w:rsidRDefault="00093A1E" w:rsidP="00093A1E">
      <w:pPr>
        <w:ind w:left="851"/>
        <w:rPr>
          <w:i/>
          <w:noProof/>
          <w:sz w:val="24"/>
          <w:szCs w:val="24"/>
        </w:rPr>
      </w:pPr>
      <w:r w:rsidRPr="00E400E9">
        <w:rPr>
          <w:sz w:val="24"/>
          <w:szCs w:val="24"/>
        </w:rPr>
        <w:t xml:space="preserve">Opbevaringsforhold efter </w:t>
      </w:r>
      <w:proofErr w:type="spellStart"/>
      <w:r w:rsidRPr="00E400E9">
        <w:rPr>
          <w:sz w:val="24"/>
          <w:szCs w:val="24"/>
        </w:rPr>
        <w:t>rekonstitution</w:t>
      </w:r>
      <w:proofErr w:type="spellEnd"/>
      <w:r w:rsidRPr="00E400E9">
        <w:rPr>
          <w:sz w:val="24"/>
          <w:szCs w:val="24"/>
        </w:rPr>
        <w:t xml:space="preserve"> af lægemidlet, se pkt. 6.3.</w:t>
      </w:r>
    </w:p>
    <w:p w14:paraId="64D6CE7B" w14:textId="77777777" w:rsidR="009260DE" w:rsidRPr="00E400E9" w:rsidRDefault="009260DE" w:rsidP="009260DE">
      <w:pPr>
        <w:tabs>
          <w:tab w:val="left" w:pos="851"/>
        </w:tabs>
        <w:ind w:left="851"/>
        <w:rPr>
          <w:sz w:val="24"/>
          <w:szCs w:val="24"/>
        </w:rPr>
      </w:pPr>
    </w:p>
    <w:p w14:paraId="1FBC2186" w14:textId="12D69E5E" w:rsidR="009260DE" w:rsidRPr="00E400E9" w:rsidRDefault="009260DE" w:rsidP="009260DE">
      <w:pPr>
        <w:tabs>
          <w:tab w:val="left" w:pos="851"/>
        </w:tabs>
        <w:ind w:left="851" w:hanging="851"/>
        <w:rPr>
          <w:b/>
          <w:sz w:val="24"/>
          <w:szCs w:val="24"/>
        </w:rPr>
      </w:pPr>
      <w:r w:rsidRPr="00E400E9">
        <w:rPr>
          <w:b/>
          <w:sz w:val="24"/>
          <w:szCs w:val="24"/>
        </w:rPr>
        <w:t>6.5</w:t>
      </w:r>
      <w:r w:rsidRPr="00E400E9">
        <w:rPr>
          <w:b/>
          <w:sz w:val="24"/>
          <w:szCs w:val="24"/>
        </w:rPr>
        <w:tab/>
        <w:t>Emballagetype og pakningsstørrelser</w:t>
      </w:r>
    </w:p>
    <w:p w14:paraId="6AAEF751" w14:textId="77777777" w:rsidR="00093A1E" w:rsidRPr="00E400E9" w:rsidRDefault="00093A1E" w:rsidP="00093A1E">
      <w:pPr>
        <w:ind w:left="851"/>
        <w:rPr>
          <w:noProof/>
          <w:sz w:val="24"/>
          <w:szCs w:val="24"/>
          <w:lang w:eastAsia="da-DK"/>
        </w:rPr>
      </w:pPr>
      <w:r w:rsidRPr="00E400E9">
        <w:rPr>
          <w:sz w:val="24"/>
          <w:szCs w:val="24"/>
        </w:rPr>
        <w:t>Klart 5 ml-hætteglas (type 1</w:t>
      </w:r>
      <w:r w:rsidRPr="00E400E9">
        <w:rPr>
          <w:sz w:val="24"/>
          <w:szCs w:val="24"/>
        </w:rPr>
        <w:noBreakHyphen/>
        <w:t>glas) med en prop (</w:t>
      </w:r>
      <w:proofErr w:type="spellStart"/>
      <w:r w:rsidRPr="00E400E9">
        <w:rPr>
          <w:sz w:val="24"/>
          <w:szCs w:val="24"/>
        </w:rPr>
        <w:t>chlorbutylgummi</w:t>
      </w:r>
      <w:proofErr w:type="spellEnd"/>
      <w:r w:rsidRPr="00E400E9">
        <w:rPr>
          <w:sz w:val="24"/>
          <w:szCs w:val="24"/>
        </w:rPr>
        <w:t>) og plombering (aluminium).</w:t>
      </w:r>
    </w:p>
    <w:p w14:paraId="5552C933" w14:textId="77777777" w:rsidR="00093A1E" w:rsidRPr="00E400E9" w:rsidRDefault="00093A1E" w:rsidP="00093A1E">
      <w:pPr>
        <w:ind w:left="851"/>
        <w:rPr>
          <w:noProof/>
          <w:sz w:val="24"/>
          <w:szCs w:val="24"/>
        </w:rPr>
      </w:pPr>
    </w:p>
    <w:p w14:paraId="63FD7D25" w14:textId="4912411D" w:rsidR="00093A1E" w:rsidRPr="00E400E9" w:rsidRDefault="00093A1E" w:rsidP="00093A1E">
      <w:pPr>
        <w:ind w:left="851"/>
        <w:rPr>
          <w:noProof/>
          <w:sz w:val="24"/>
          <w:szCs w:val="24"/>
        </w:rPr>
      </w:pPr>
      <w:r w:rsidRPr="00E400E9">
        <w:rPr>
          <w:sz w:val="24"/>
          <w:szCs w:val="24"/>
        </w:rPr>
        <w:t>Pakninger indeholdende 1</w:t>
      </w:r>
      <w:r w:rsidR="00BD2078">
        <w:rPr>
          <w:sz w:val="24"/>
          <w:szCs w:val="24"/>
        </w:rPr>
        <w:t xml:space="preserve"> eller 2 hætteglas</w:t>
      </w:r>
      <w:r w:rsidRPr="00E400E9">
        <w:rPr>
          <w:sz w:val="24"/>
          <w:szCs w:val="24"/>
        </w:rPr>
        <w:t>.</w:t>
      </w:r>
    </w:p>
    <w:p w14:paraId="0EB6E98F" w14:textId="77777777" w:rsidR="00093A1E" w:rsidRPr="00E400E9" w:rsidRDefault="00093A1E" w:rsidP="00093A1E">
      <w:pPr>
        <w:ind w:left="851"/>
        <w:rPr>
          <w:sz w:val="24"/>
          <w:szCs w:val="24"/>
        </w:rPr>
      </w:pPr>
      <w:r w:rsidRPr="00E400E9">
        <w:rPr>
          <w:sz w:val="24"/>
          <w:szCs w:val="24"/>
        </w:rPr>
        <w:t>Multipakning indeholdende 2 (2 pakninger med hver 1) hætteglas</w:t>
      </w:r>
    </w:p>
    <w:p w14:paraId="1A2AC2C2" w14:textId="73C8AF61" w:rsidR="00093A1E" w:rsidRPr="00E400E9" w:rsidRDefault="00093A1E" w:rsidP="00093A1E">
      <w:pPr>
        <w:ind w:left="851"/>
        <w:rPr>
          <w:noProof/>
          <w:sz w:val="24"/>
          <w:szCs w:val="24"/>
        </w:rPr>
      </w:pPr>
      <w:r w:rsidRPr="00E400E9">
        <w:rPr>
          <w:sz w:val="24"/>
          <w:szCs w:val="24"/>
        </w:rPr>
        <w:t>Multipakning indeholdende 6 (6 pakninger med hver 1) hætteglas</w:t>
      </w:r>
    </w:p>
    <w:p w14:paraId="757E3B9B" w14:textId="77777777" w:rsidR="00093A1E" w:rsidRPr="00E400E9" w:rsidRDefault="00093A1E" w:rsidP="00093A1E">
      <w:pPr>
        <w:ind w:left="851"/>
        <w:rPr>
          <w:noProof/>
          <w:sz w:val="24"/>
          <w:szCs w:val="24"/>
        </w:rPr>
      </w:pPr>
    </w:p>
    <w:p w14:paraId="06C18CD1" w14:textId="77777777" w:rsidR="00093A1E" w:rsidRPr="00E400E9" w:rsidRDefault="00093A1E" w:rsidP="00093A1E">
      <w:pPr>
        <w:ind w:left="851"/>
        <w:rPr>
          <w:noProof/>
          <w:sz w:val="24"/>
          <w:szCs w:val="24"/>
        </w:rPr>
      </w:pPr>
      <w:r w:rsidRPr="00E400E9">
        <w:rPr>
          <w:sz w:val="24"/>
          <w:szCs w:val="24"/>
        </w:rPr>
        <w:t>Ikke alle pakningsstørrelser er nødvendigvis markedsført.</w:t>
      </w:r>
    </w:p>
    <w:p w14:paraId="420BFDB6" w14:textId="77777777" w:rsidR="009260DE" w:rsidRPr="00E400E9" w:rsidRDefault="009260DE" w:rsidP="009260DE">
      <w:pPr>
        <w:tabs>
          <w:tab w:val="left" w:pos="851"/>
        </w:tabs>
        <w:ind w:left="851"/>
        <w:rPr>
          <w:sz w:val="24"/>
          <w:szCs w:val="24"/>
        </w:rPr>
      </w:pPr>
    </w:p>
    <w:p w14:paraId="61110C54" w14:textId="675ABB46" w:rsidR="009260DE" w:rsidRPr="00E400E9" w:rsidRDefault="009260DE" w:rsidP="009260DE">
      <w:pPr>
        <w:tabs>
          <w:tab w:val="left" w:pos="851"/>
        </w:tabs>
        <w:ind w:left="851" w:hanging="851"/>
        <w:rPr>
          <w:b/>
          <w:sz w:val="24"/>
          <w:szCs w:val="24"/>
        </w:rPr>
      </w:pPr>
      <w:r w:rsidRPr="00E400E9">
        <w:rPr>
          <w:b/>
          <w:sz w:val="24"/>
          <w:szCs w:val="24"/>
        </w:rPr>
        <w:t>6.6</w:t>
      </w:r>
      <w:r w:rsidRPr="00E400E9">
        <w:rPr>
          <w:b/>
          <w:sz w:val="24"/>
          <w:szCs w:val="24"/>
        </w:rPr>
        <w:tab/>
        <w:t xml:space="preserve">Regler for </w:t>
      </w:r>
      <w:r w:rsidR="001C7B69">
        <w:rPr>
          <w:b/>
          <w:sz w:val="24"/>
          <w:szCs w:val="24"/>
        </w:rPr>
        <w:t>bortskaffelse</w:t>
      </w:r>
      <w:r w:rsidRPr="00E400E9">
        <w:rPr>
          <w:b/>
          <w:sz w:val="24"/>
          <w:szCs w:val="24"/>
        </w:rPr>
        <w:t xml:space="preserve"> og anden håndtering</w:t>
      </w:r>
    </w:p>
    <w:p w14:paraId="5139D587" w14:textId="77777777" w:rsidR="00093A1E" w:rsidRPr="00E400E9" w:rsidRDefault="00093A1E" w:rsidP="00093A1E">
      <w:pPr>
        <w:ind w:left="851"/>
        <w:rPr>
          <w:sz w:val="24"/>
          <w:szCs w:val="24"/>
          <w:lang w:eastAsia="da-DK"/>
        </w:rPr>
      </w:pPr>
      <w:r w:rsidRPr="00E400E9">
        <w:rPr>
          <w:sz w:val="24"/>
          <w:szCs w:val="24"/>
        </w:rPr>
        <w:t>Anvisningerne for anvendelse, håndtering og bortskaffelse skal følges nøje.</w:t>
      </w:r>
    </w:p>
    <w:p w14:paraId="32C17C7B" w14:textId="77777777" w:rsidR="00093A1E" w:rsidRPr="00E400E9" w:rsidRDefault="00093A1E" w:rsidP="00093A1E">
      <w:pPr>
        <w:ind w:left="851"/>
        <w:rPr>
          <w:sz w:val="24"/>
          <w:szCs w:val="24"/>
        </w:rPr>
      </w:pPr>
      <w:proofErr w:type="spellStart"/>
      <w:r w:rsidRPr="00E400E9">
        <w:rPr>
          <w:sz w:val="24"/>
          <w:szCs w:val="24"/>
        </w:rPr>
        <w:t>Rekonstitution</w:t>
      </w:r>
      <w:proofErr w:type="spellEnd"/>
      <w:r w:rsidRPr="00E400E9">
        <w:rPr>
          <w:sz w:val="24"/>
          <w:szCs w:val="24"/>
        </w:rPr>
        <w:t xml:space="preserve"> skal udføres i overensstemmelse med regler for god praksis, særligt hvad angår </w:t>
      </w:r>
      <w:proofErr w:type="spellStart"/>
      <w:r w:rsidRPr="00E400E9">
        <w:rPr>
          <w:sz w:val="24"/>
          <w:szCs w:val="24"/>
        </w:rPr>
        <w:t>asepsis</w:t>
      </w:r>
      <w:proofErr w:type="spellEnd"/>
      <w:r w:rsidRPr="00E400E9">
        <w:rPr>
          <w:sz w:val="24"/>
          <w:szCs w:val="24"/>
        </w:rPr>
        <w:t>.</w:t>
      </w:r>
    </w:p>
    <w:p w14:paraId="43D13C65" w14:textId="77777777" w:rsidR="00093A1E" w:rsidRPr="00E400E9" w:rsidRDefault="00093A1E" w:rsidP="00093A1E">
      <w:pPr>
        <w:ind w:left="851"/>
        <w:rPr>
          <w:sz w:val="24"/>
          <w:szCs w:val="24"/>
        </w:rPr>
      </w:pPr>
    </w:p>
    <w:p w14:paraId="4D06D3FE" w14:textId="77777777" w:rsidR="00093A1E" w:rsidRPr="00E400E9" w:rsidRDefault="00093A1E" w:rsidP="00093A1E">
      <w:pPr>
        <w:ind w:left="851"/>
        <w:rPr>
          <w:rFonts w:eastAsia="MS Mincho"/>
          <w:sz w:val="24"/>
          <w:szCs w:val="24"/>
          <w:lang w:eastAsia="de-DE"/>
        </w:rPr>
      </w:pPr>
      <w:proofErr w:type="spellStart"/>
      <w:r w:rsidRPr="00E400E9">
        <w:rPr>
          <w:rFonts w:eastAsia="MS Mincho"/>
          <w:sz w:val="24"/>
          <w:szCs w:val="24"/>
        </w:rPr>
        <w:t>Natriumchlorid</w:t>
      </w:r>
      <w:proofErr w:type="spellEnd"/>
      <w:r w:rsidRPr="00E400E9">
        <w:rPr>
          <w:rFonts w:eastAsia="MS Mincho"/>
          <w:sz w:val="24"/>
          <w:szCs w:val="24"/>
        </w:rPr>
        <w:t xml:space="preserve"> 9 mg/ml (0,9 %) injektionsvæske, opløsning skal anvendes som </w:t>
      </w:r>
      <w:proofErr w:type="spellStart"/>
      <w:r w:rsidRPr="00E400E9">
        <w:rPr>
          <w:rFonts w:eastAsia="MS Mincho"/>
          <w:sz w:val="24"/>
          <w:szCs w:val="24"/>
        </w:rPr>
        <w:t>diluent</w:t>
      </w:r>
      <w:proofErr w:type="spellEnd"/>
      <w:r w:rsidRPr="00E400E9">
        <w:rPr>
          <w:rFonts w:eastAsia="MS Mincho"/>
          <w:sz w:val="24"/>
          <w:szCs w:val="24"/>
        </w:rPr>
        <w:t xml:space="preserve"> til </w:t>
      </w:r>
      <w:proofErr w:type="spellStart"/>
      <w:r w:rsidRPr="00E400E9">
        <w:rPr>
          <w:rFonts w:eastAsia="MS Mincho"/>
          <w:sz w:val="24"/>
          <w:szCs w:val="24"/>
        </w:rPr>
        <w:t>rekonstitution</w:t>
      </w:r>
      <w:proofErr w:type="spellEnd"/>
      <w:r w:rsidRPr="00E400E9">
        <w:rPr>
          <w:rFonts w:eastAsia="MS Mincho"/>
          <w:sz w:val="24"/>
          <w:szCs w:val="24"/>
        </w:rPr>
        <w:t xml:space="preserve"> af </w:t>
      </w:r>
      <w:proofErr w:type="spellStart"/>
      <w:r w:rsidRPr="00E400E9">
        <w:rPr>
          <w:rFonts w:eastAsia="MS Mincho"/>
          <w:sz w:val="24"/>
          <w:szCs w:val="24"/>
        </w:rPr>
        <w:t>Letybo</w:t>
      </w:r>
      <w:proofErr w:type="spellEnd"/>
      <w:r w:rsidRPr="00E400E9">
        <w:rPr>
          <w:rFonts w:eastAsia="MS Mincho"/>
          <w:sz w:val="24"/>
          <w:szCs w:val="24"/>
        </w:rPr>
        <w:t xml:space="preserve"> og skal tilsættes i et volumen på 1,25 ml.</w:t>
      </w:r>
    </w:p>
    <w:p w14:paraId="19FFA74B" w14:textId="77777777" w:rsidR="00093A1E" w:rsidRPr="00E400E9" w:rsidRDefault="00093A1E" w:rsidP="00093A1E">
      <w:pPr>
        <w:ind w:left="851"/>
        <w:rPr>
          <w:sz w:val="24"/>
          <w:szCs w:val="24"/>
          <w:lang w:eastAsia="da-DK"/>
        </w:rPr>
      </w:pPr>
    </w:p>
    <w:p w14:paraId="7FC1B0EC" w14:textId="77777777" w:rsidR="00093A1E" w:rsidRPr="00E400E9" w:rsidRDefault="00093A1E" w:rsidP="00093A1E">
      <w:pPr>
        <w:ind w:left="851"/>
        <w:rPr>
          <w:rFonts w:eastAsia="MS Mincho"/>
          <w:sz w:val="24"/>
          <w:szCs w:val="24"/>
          <w:lang w:eastAsia="de-DE"/>
        </w:rPr>
      </w:pPr>
      <w:r w:rsidRPr="00E400E9">
        <w:rPr>
          <w:sz w:val="24"/>
          <w:szCs w:val="24"/>
        </w:rPr>
        <w:t xml:space="preserve">Det er god praksis at </w:t>
      </w:r>
      <w:proofErr w:type="spellStart"/>
      <w:r w:rsidRPr="00E400E9">
        <w:rPr>
          <w:sz w:val="24"/>
          <w:szCs w:val="24"/>
        </w:rPr>
        <w:t>rekonstituere</w:t>
      </w:r>
      <w:proofErr w:type="spellEnd"/>
      <w:r w:rsidRPr="00E400E9">
        <w:rPr>
          <w:sz w:val="24"/>
          <w:szCs w:val="24"/>
        </w:rPr>
        <w:t xml:space="preserve"> hætteglassets indhold og klargøre sprøjten over plastforede papirhåndklæder, så eventuelt spild opsamles. </w:t>
      </w:r>
      <w:proofErr w:type="spellStart"/>
      <w:r w:rsidRPr="00E400E9">
        <w:rPr>
          <w:sz w:val="24"/>
          <w:szCs w:val="24"/>
        </w:rPr>
        <w:t>Natriumchlorid</w:t>
      </w:r>
      <w:proofErr w:type="spellEnd"/>
      <w:r w:rsidRPr="00E400E9">
        <w:rPr>
          <w:sz w:val="24"/>
          <w:szCs w:val="24"/>
        </w:rPr>
        <w:t xml:space="preserve"> 9 mg/ml (0,9 %) injektionsvæske, opløsning trækkes op i en sprøjte og injiceres forsigtigt i hætteglasset</w:t>
      </w:r>
      <w:r w:rsidRPr="00E400E9">
        <w:rPr>
          <w:rFonts w:eastAsia="MS Mincho"/>
          <w:sz w:val="24"/>
          <w:szCs w:val="24"/>
        </w:rPr>
        <w:t>, således at man undgår dannelse af skum/bobler eller voldsom omrystning, hvilket kan forårsage denaturering</w:t>
      </w:r>
      <w:r w:rsidRPr="00E400E9">
        <w:rPr>
          <w:sz w:val="24"/>
          <w:szCs w:val="24"/>
        </w:rPr>
        <w:t xml:space="preserve">. Hætteglasset skal bortskaffes, hvis vakuummet ikke trækker solvensen ind i hætteglasset. </w:t>
      </w:r>
      <w:proofErr w:type="spellStart"/>
      <w:r w:rsidRPr="00E400E9">
        <w:rPr>
          <w:sz w:val="24"/>
          <w:szCs w:val="24"/>
        </w:rPr>
        <w:t>Rekonstitueret</w:t>
      </w:r>
      <w:proofErr w:type="spellEnd"/>
      <w:r w:rsidRPr="00E400E9">
        <w:rPr>
          <w:sz w:val="24"/>
          <w:szCs w:val="24"/>
        </w:rPr>
        <w:t xml:space="preserve"> </w:t>
      </w:r>
      <w:proofErr w:type="spellStart"/>
      <w:r w:rsidRPr="00E400E9">
        <w:rPr>
          <w:rFonts w:eastAsia="MS Mincho"/>
          <w:sz w:val="24"/>
          <w:szCs w:val="24"/>
        </w:rPr>
        <w:t>Letybo</w:t>
      </w:r>
      <w:proofErr w:type="spellEnd"/>
      <w:r w:rsidRPr="00E400E9">
        <w:rPr>
          <w:sz w:val="24"/>
          <w:szCs w:val="24"/>
        </w:rPr>
        <w:t xml:space="preserve"> er en klar, farveløs opløsning, der er fri for partikler. </w:t>
      </w:r>
      <w:r w:rsidRPr="00E400E9">
        <w:rPr>
          <w:rFonts w:eastAsia="MS Mincho"/>
          <w:sz w:val="24"/>
          <w:szCs w:val="24"/>
        </w:rPr>
        <w:t>Inden anvendelse skal hætteglasset inspiceres visuelt for at sikre, at produktet er fri for fremmed partikelmateriale.</w:t>
      </w:r>
    </w:p>
    <w:p w14:paraId="44AD5548" w14:textId="77777777" w:rsidR="00093A1E" w:rsidRPr="00E400E9" w:rsidRDefault="00093A1E" w:rsidP="00093A1E">
      <w:pPr>
        <w:ind w:left="851"/>
        <w:rPr>
          <w:sz w:val="24"/>
          <w:szCs w:val="24"/>
          <w:lang w:eastAsia="da-DK"/>
        </w:rPr>
      </w:pPr>
    </w:p>
    <w:p w14:paraId="48AD7543" w14:textId="77777777" w:rsidR="00093A1E" w:rsidRPr="00E400E9" w:rsidRDefault="00093A1E" w:rsidP="00093A1E">
      <w:pPr>
        <w:ind w:left="851"/>
        <w:rPr>
          <w:sz w:val="24"/>
          <w:szCs w:val="24"/>
        </w:rPr>
      </w:pPr>
      <w:proofErr w:type="spellStart"/>
      <w:r w:rsidRPr="00E400E9">
        <w:rPr>
          <w:rFonts w:eastAsia="MS Mincho"/>
          <w:sz w:val="24"/>
          <w:szCs w:val="24"/>
        </w:rPr>
        <w:t>Letybo</w:t>
      </w:r>
      <w:proofErr w:type="spellEnd"/>
      <w:r w:rsidRPr="00E400E9">
        <w:rPr>
          <w:sz w:val="24"/>
          <w:szCs w:val="24"/>
        </w:rPr>
        <w:t xml:space="preserve"> må ikke anvendes, hvis den </w:t>
      </w:r>
      <w:proofErr w:type="spellStart"/>
      <w:r w:rsidRPr="00E400E9">
        <w:rPr>
          <w:sz w:val="24"/>
          <w:szCs w:val="24"/>
        </w:rPr>
        <w:t>rekonstituerede</w:t>
      </w:r>
      <w:proofErr w:type="spellEnd"/>
      <w:r w:rsidRPr="00E400E9">
        <w:rPr>
          <w:sz w:val="24"/>
          <w:szCs w:val="24"/>
        </w:rPr>
        <w:t xml:space="preserve"> opløsning ser uklar ud eller indeholder partikler.</w:t>
      </w:r>
    </w:p>
    <w:p w14:paraId="41785778" w14:textId="77777777" w:rsidR="00093A1E" w:rsidRPr="00E400E9" w:rsidRDefault="00093A1E" w:rsidP="00093A1E">
      <w:pPr>
        <w:ind w:left="851"/>
        <w:rPr>
          <w:sz w:val="24"/>
          <w:szCs w:val="24"/>
        </w:rPr>
      </w:pPr>
    </w:p>
    <w:p w14:paraId="40C05F0D" w14:textId="77777777" w:rsidR="00093A1E" w:rsidRPr="00E400E9" w:rsidRDefault="00093A1E" w:rsidP="00093A1E">
      <w:pPr>
        <w:ind w:left="851"/>
        <w:rPr>
          <w:sz w:val="24"/>
          <w:szCs w:val="24"/>
        </w:rPr>
      </w:pPr>
      <w:r w:rsidRPr="00E400E9">
        <w:rPr>
          <w:sz w:val="24"/>
          <w:szCs w:val="24"/>
        </w:rPr>
        <w:t>En injektionsvæske, opløsning, der har været opbevaret i mere end 24 timer, skal bortskaffes.</w:t>
      </w:r>
    </w:p>
    <w:p w14:paraId="2F0B4200" w14:textId="77777777" w:rsidR="00093A1E" w:rsidRPr="00E400E9" w:rsidRDefault="00093A1E" w:rsidP="00093A1E">
      <w:pPr>
        <w:ind w:left="851"/>
        <w:rPr>
          <w:sz w:val="24"/>
          <w:szCs w:val="24"/>
        </w:rPr>
      </w:pPr>
      <w:r w:rsidRPr="00E400E9">
        <w:rPr>
          <w:sz w:val="24"/>
          <w:szCs w:val="24"/>
        </w:rPr>
        <w:lastRenderedPageBreak/>
        <w:t>Ikke anvendt lægemiddel samt affald heraf skal bortskaffes i henhold til lokale retningslinjer.</w:t>
      </w:r>
    </w:p>
    <w:p w14:paraId="5DEFD064" w14:textId="77777777" w:rsidR="00093A1E" w:rsidRPr="00E400E9" w:rsidRDefault="00093A1E" w:rsidP="00093A1E">
      <w:pPr>
        <w:ind w:left="851"/>
        <w:rPr>
          <w:sz w:val="24"/>
          <w:szCs w:val="24"/>
        </w:rPr>
      </w:pPr>
    </w:p>
    <w:p w14:paraId="541A76BA" w14:textId="77777777" w:rsidR="00093A1E" w:rsidRPr="00E400E9" w:rsidRDefault="00093A1E" w:rsidP="00093A1E">
      <w:pPr>
        <w:ind w:left="851"/>
        <w:rPr>
          <w:sz w:val="24"/>
          <w:szCs w:val="24"/>
        </w:rPr>
      </w:pPr>
      <w:r w:rsidRPr="00E400E9">
        <w:rPr>
          <w:sz w:val="24"/>
          <w:szCs w:val="24"/>
          <w:u w:val="single"/>
        </w:rPr>
        <w:t>Procedure, som skal følges til sikker bortskaffelse af anvendte hætteglas, sprøjter og materialer</w:t>
      </w:r>
    </w:p>
    <w:p w14:paraId="164994B7" w14:textId="77777777" w:rsidR="00093A1E" w:rsidRPr="00E400E9" w:rsidRDefault="00093A1E" w:rsidP="00093A1E">
      <w:pPr>
        <w:ind w:left="851"/>
        <w:rPr>
          <w:sz w:val="24"/>
          <w:szCs w:val="24"/>
        </w:rPr>
      </w:pPr>
      <w:r w:rsidRPr="00E400E9">
        <w:rPr>
          <w:sz w:val="24"/>
          <w:szCs w:val="24"/>
        </w:rPr>
        <w:t>For sikker bortskaffelse skal ikke</w:t>
      </w:r>
      <w:r w:rsidRPr="00E400E9">
        <w:rPr>
          <w:sz w:val="24"/>
          <w:szCs w:val="24"/>
        </w:rPr>
        <w:noBreakHyphen/>
      </w:r>
      <w:proofErr w:type="spellStart"/>
      <w:r w:rsidRPr="00E400E9">
        <w:rPr>
          <w:sz w:val="24"/>
          <w:szCs w:val="24"/>
        </w:rPr>
        <w:t>rekonstitueret</w:t>
      </w:r>
      <w:proofErr w:type="spellEnd"/>
      <w:r w:rsidRPr="00E400E9">
        <w:rPr>
          <w:sz w:val="24"/>
          <w:szCs w:val="24"/>
        </w:rPr>
        <w:t xml:space="preserve"> </w:t>
      </w:r>
      <w:proofErr w:type="spellStart"/>
      <w:r w:rsidRPr="00E400E9">
        <w:rPr>
          <w:rFonts w:eastAsia="MS Mincho"/>
          <w:sz w:val="24"/>
          <w:szCs w:val="24"/>
        </w:rPr>
        <w:t>Letybo</w:t>
      </w:r>
      <w:proofErr w:type="spellEnd"/>
      <w:r w:rsidRPr="00E400E9">
        <w:rPr>
          <w:sz w:val="24"/>
          <w:szCs w:val="24"/>
        </w:rPr>
        <w:t xml:space="preserve"> </w:t>
      </w:r>
      <w:proofErr w:type="spellStart"/>
      <w:r w:rsidRPr="00E400E9">
        <w:rPr>
          <w:sz w:val="24"/>
          <w:szCs w:val="24"/>
        </w:rPr>
        <w:t>rekonstitueres</w:t>
      </w:r>
      <w:proofErr w:type="spellEnd"/>
      <w:r w:rsidRPr="00E400E9">
        <w:rPr>
          <w:sz w:val="24"/>
          <w:szCs w:val="24"/>
        </w:rPr>
        <w:t xml:space="preserve"> i hætteglasset med en lille mængde vand og derefter autoklaveres. Eventuelle tomme hætteglas, hætteglas indeholdende resterende opløsning, sprøjter eller spild skal autoklaveres. Alternativt kan det resterende </w:t>
      </w:r>
      <w:proofErr w:type="spellStart"/>
      <w:r w:rsidRPr="00E400E9">
        <w:rPr>
          <w:rFonts w:eastAsia="MS Mincho"/>
          <w:sz w:val="24"/>
          <w:szCs w:val="24"/>
        </w:rPr>
        <w:t>Letybo</w:t>
      </w:r>
      <w:proofErr w:type="spellEnd"/>
      <w:r w:rsidRPr="00E400E9">
        <w:rPr>
          <w:sz w:val="24"/>
          <w:szCs w:val="24"/>
        </w:rPr>
        <w:t xml:space="preserve"> inaktiveres med fortyndet natriumhydroxidopløsning (0,1 N </w:t>
      </w:r>
      <w:proofErr w:type="spellStart"/>
      <w:r w:rsidRPr="00E400E9">
        <w:rPr>
          <w:sz w:val="24"/>
          <w:szCs w:val="24"/>
        </w:rPr>
        <w:t>NaOH</w:t>
      </w:r>
      <w:proofErr w:type="spellEnd"/>
      <w:r w:rsidRPr="00E400E9">
        <w:rPr>
          <w:sz w:val="24"/>
          <w:szCs w:val="24"/>
        </w:rPr>
        <w:t xml:space="preserve">) eller med fortyndet </w:t>
      </w:r>
      <w:proofErr w:type="spellStart"/>
      <w:r w:rsidRPr="00E400E9">
        <w:rPr>
          <w:sz w:val="24"/>
          <w:szCs w:val="24"/>
        </w:rPr>
        <w:t>natriumhypochloritopløsning</w:t>
      </w:r>
      <w:proofErr w:type="spellEnd"/>
      <w:r w:rsidRPr="00E400E9">
        <w:rPr>
          <w:sz w:val="24"/>
          <w:szCs w:val="24"/>
        </w:rPr>
        <w:t xml:space="preserve"> (0,5 % eller 1 % </w:t>
      </w:r>
      <w:proofErr w:type="spellStart"/>
      <w:r w:rsidRPr="00E400E9">
        <w:rPr>
          <w:sz w:val="24"/>
          <w:szCs w:val="24"/>
        </w:rPr>
        <w:t>NaOCl</w:t>
      </w:r>
      <w:proofErr w:type="spellEnd"/>
      <w:r w:rsidRPr="00E400E9">
        <w:rPr>
          <w:sz w:val="24"/>
          <w:szCs w:val="24"/>
        </w:rPr>
        <w:t>).</w:t>
      </w:r>
    </w:p>
    <w:p w14:paraId="1FDAED79" w14:textId="77777777" w:rsidR="00093A1E" w:rsidRPr="00E400E9" w:rsidRDefault="00093A1E" w:rsidP="00093A1E">
      <w:pPr>
        <w:ind w:left="851"/>
        <w:rPr>
          <w:sz w:val="24"/>
          <w:szCs w:val="24"/>
        </w:rPr>
      </w:pPr>
      <w:r w:rsidRPr="00E400E9">
        <w:rPr>
          <w:sz w:val="24"/>
          <w:szCs w:val="24"/>
        </w:rPr>
        <w:t>Efter inaktivering må brugte hætteglas, sprøjter og materialer ikke tømmes, og de skal kasseres i de korrekte beholdere og bortskaffes i overensstemmelse med lokale krav.</w:t>
      </w:r>
    </w:p>
    <w:p w14:paraId="2CD50F41" w14:textId="77777777" w:rsidR="00093A1E" w:rsidRPr="00E400E9" w:rsidRDefault="00093A1E" w:rsidP="00093A1E">
      <w:pPr>
        <w:ind w:left="851"/>
        <w:rPr>
          <w:sz w:val="24"/>
          <w:szCs w:val="24"/>
        </w:rPr>
      </w:pPr>
    </w:p>
    <w:p w14:paraId="04B6F15B" w14:textId="77777777" w:rsidR="00093A1E" w:rsidRPr="00E400E9" w:rsidRDefault="00093A1E" w:rsidP="00093A1E">
      <w:pPr>
        <w:ind w:left="851"/>
        <w:rPr>
          <w:sz w:val="24"/>
          <w:szCs w:val="24"/>
        </w:rPr>
      </w:pPr>
      <w:r w:rsidRPr="00E400E9">
        <w:rPr>
          <w:sz w:val="24"/>
          <w:szCs w:val="24"/>
          <w:u w:val="single"/>
        </w:rPr>
        <w:t xml:space="preserve">Anbefalinger i tilfælde af uheld under håndtering af </w:t>
      </w:r>
      <w:proofErr w:type="spellStart"/>
      <w:r w:rsidRPr="00E400E9">
        <w:rPr>
          <w:sz w:val="24"/>
          <w:szCs w:val="24"/>
          <w:u w:val="single"/>
        </w:rPr>
        <w:t>botulinumtoksin</w:t>
      </w:r>
      <w:proofErr w:type="spellEnd"/>
    </w:p>
    <w:p w14:paraId="7955E122" w14:textId="77777777" w:rsidR="00093A1E" w:rsidRPr="00E400E9" w:rsidRDefault="00093A1E" w:rsidP="00F37506">
      <w:pPr>
        <w:pStyle w:val="Listeafsnit"/>
        <w:numPr>
          <w:ilvl w:val="0"/>
          <w:numId w:val="8"/>
        </w:numPr>
        <w:tabs>
          <w:tab w:val="clear" w:pos="720"/>
        </w:tabs>
        <w:spacing w:after="0" w:line="240" w:lineRule="auto"/>
        <w:ind w:left="1276" w:hanging="425"/>
        <w:rPr>
          <w:szCs w:val="24"/>
        </w:rPr>
      </w:pPr>
      <w:r w:rsidRPr="00E400E9">
        <w:rPr>
          <w:szCs w:val="24"/>
        </w:rPr>
        <w:t xml:space="preserve">Eventuelt spild af produktet skal tørres op: enten med absorberende materiale vædet med en opløsning af </w:t>
      </w:r>
      <w:proofErr w:type="spellStart"/>
      <w:r w:rsidRPr="00E400E9">
        <w:rPr>
          <w:szCs w:val="24"/>
        </w:rPr>
        <w:t>natriumhypochlorit</w:t>
      </w:r>
      <w:proofErr w:type="spellEnd"/>
      <w:r w:rsidRPr="00E400E9">
        <w:rPr>
          <w:szCs w:val="24"/>
        </w:rPr>
        <w:t xml:space="preserve">, hvis der er tale om pulver, eller med tørt, absorberende materiale, hvis der er tale om det </w:t>
      </w:r>
      <w:proofErr w:type="spellStart"/>
      <w:r w:rsidRPr="00E400E9">
        <w:rPr>
          <w:szCs w:val="24"/>
        </w:rPr>
        <w:t>rekonstituerede</w:t>
      </w:r>
      <w:proofErr w:type="spellEnd"/>
      <w:r w:rsidRPr="00E400E9">
        <w:rPr>
          <w:szCs w:val="24"/>
        </w:rPr>
        <w:t xml:space="preserve"> produkt.</w:t>
      </w:r>
    </w:p>
    <w:p w14:paraId="6EAAD494" w14:textId="77777777" w:rsidR="00093A1E" w:rsidRPr="00E400E9" w:rsidRDefault="00093A1E" w:rsidP="00F37506">
      <w:pPr>
        <w:pStyle w:val="Listeafsnit"/>
        <w:numPr>
          <w:ilvl w:val="0"/>
          <w:numId w:val="8"/>
        </w:numPr>
        <w:tabs>
          <w:tab w:val="clear" w:pos="720"/>
        </w:tabs>
        <w:spacing w:after="0" w:line="240" w:lineRule="auto"/>
        <w:ind w:left="1276" w:hanging="425"/>
        <w:rPr>
          <w:szCs w:val="24"/>
        </w:rPr>
      </w:pPr>
      <w:r w:rsidRPr="00E400E9">
        <w:rPr>
          <w:szCs w:val="24"/>
        </w:rPr>
        <w:t xml:space="preserve">De kontaminerede overflader skal rengøres med absorberende materiale vædet med en opløsning af </w:t>
      </w:r>
      <w:proofErr w:type="spellStart"/>
      <w:r w:rsidRPr="00E400E9">
        <w:rPr>
          <w:szCs w:val="24"/>
        </w:rPr>
        <w:t>natriumhypochlorit</w:t>
      </w:r>
      <w:proofErr w:type="spellEnd"/>
      <w:r w:rsidRPr="00E400E9">
        <w:rPr>
          <w:szCs w:val="24"/>
        </w:rPr>
        <w:t xml:space="preserve"> og derefter tørres.</w:t>
      </w:r>
    </w:p>
    <w:p w14:paraId="2AAA1C17" w14:textId="77777777" w:rsidR="00093A1E" w:rsidRPr="00E400E9" w:rsidRDefault="00093A1E" w:rsidP="00F37506">
      <w:pPr>
        <w:pStyle w:val="Listeafsnit"/>
        <w:numPr>
          <w:ilvl w:val="0"/>
          <w:numId w:val="8"/>
        </w:numPr>
        <w:tabs>
          <w:tab w:val="clear" w:pos="720"/>
        </w:tabs>
        <w:spacing w:after="0" w:line="240" w:lineRule="auto"/>
        <w:ind w:left="1276" w:hanging="425"/>
        <w:rPr>
          <w:szCs w:val="24"/>
        </w:rPr>
      </w:pPr>
      <w:r w:rsidRPr="00E400E9">
        <w:rPr>
          <w:szCs w:val="24"/>
        </w:rPr>
        <w:t>Hvis et hætteglas går i stykker, fortsættes som nævnt ovenfor ved forsigtigt at samle glasskårene op og tørre produktet op. Man skal udvise forsigtighed for at undgå at skære sig.</w:t>
      </w:r>
    </w:p>
    <w:p w14:paraId="5B046E9A" w14:textId="77777777" w:rsidR="00093A1E" w:rsidRPr="00E400E9" w:rsidRDefault="00093A1E" w:rsidP="00F37506">
      <w:pPr>
        <w:pStyle w:val="Listeafsnit"/>
        <w:numPr>
          <w:ilvl w:val="0"/>
          <w:numId w:val="8"/>
        </w:numPr>
        <w:tabs>
          <w:tab w:val="clear" w:pos="720"/>
        </w:tabs>
        <w:spacing w:after="0" w:line="240" w:lineRule="auto"/>
        <w:ind w:left="1276" w:hanging="425"/>
        <w:rPr>
          <w:szCs w:val="24"/>
        </w:rPr>
      </w:pPr>
      <w:r w:rsidRPr="00E400E9">
        <w:rPr>
          <w:szCs w:val="24"/>
        </w:rPr>
        <w:t xml:space="preserve">Hvis lægemidlet kommer i kontakt med huden, vaskes det ramte område med en opløsning af </w:t>
      </w:r>
      <w:proofErr w:type="spellStart"/>
      <w:r w:rsidRPr="00E400E9">
        <w:rPr>
          <w:szCs w:val="24"/>
        </w:rPr>
        <w:t>natriumhypochlorit</w:t>
      </w:r>
      <w:proofErr w:type="spellEnd"/>
      <w:r w:rsidRPr="00E400E9">
        <w:rPr>
          <w:szCs w:val="24"/>
        </w:rPr>
        <w:t xml:space="preserve"> og skylles derefter med rigeligt vand.</w:t>
      </w:r>
    </w:p>
    <w:p w14:paraId="5413F864" w14:textId="77777777" w:rsidR="00093A1E" w:rsidRPr="00E400E9" w:rsidRDefault="00093A1E" w:rsidP="00F37506">
      <w:pPr>
        <w:pStyle w:val="Listeafsnit"/>
        <w:numPr>
          <w:ilvl w:val="0"/>
          <w:numId w:val="8"/>
        </w:numPr>
        <w:tabs>
          <w:tab w:val="clear" w:pos="720"/>
        </w:tabs>
        <w:spacing w:after="0" w:line="240" w:lineRule="auto"/>
        <w:ind w:left="1276" w:hanging="425"/>
        <w:rPr>
          <w:szCs w:val="24"/>
        </w:rPr>
      </w:pPr>
      <w:r w:rsidRPr="00E400E9">
        <w:rPr>
          <w:szCs w:val="24"/>
        </w:rPr>
        <w:t xml:space="preserve">Hvis lægemidlet kommer i kontakt med øjnene, skylles grundigt med rigeligt vand eller med en </w:t>
      </w:r>
      <w:proofErr w:type="spellStart"/>
      <w:r w:rsidRPr="00E400E9">
        <w:rPr>
          <w:szCs w:val="24"/>
        </w:rPr>
        <w:t>oftalmisk</w:t>
      </w:r>
      <w:proofErr w:type="spellEnd"/>
      <w:r w:rsidRPr="00E400E9">
        <w:rPr>
          <w:szCs w:val="24"/>
        </w:rPr>
        <w:t xml:space="preserve"> øjenskylleopløsning.</w:t>
      </w:r>
    </w:p>
    <w:p w14:paraId="1D2CE421" w14:textId="77777777" w:rsidR="00093A1E" w:rsidRPr="00E400E9" w:rsidRDefault="00093A1E" w:rsidP="00F37506">
      <w:pPr>
        <w:pStyle w:val="Listeafsnit"/>
        <w:numPr>
          <w:ilvl w:val="0"/>
          <w:numId w:val="8"/>
        </w:numPr>
        <w:tabs>
          <w:tab w:val="clear" w:pos="720"/>
        </w:tabs>
        <w:spacing w:after="0" w:line="240" w:lineRule="auto"/>
        <w:ind w:left="1276" w:hanging="425"/>
        <w:rPr>
          <w:szCs w:val="24"/>
        </w:rPr>
      </w:pPr>
      <w:r w:rsidRPr="00E400E9">
        <w:rPr>
          <w:szCs w:val="24"/>
        </w:rPr>
        <w:t>Hvis lægemidlet kommer i kontakt med et sår, en rift eller ødelagt hud, skylles grundigt med rigeligt vand, og der iværksættes passende medicinske foranstaltninger i henhold til den injicerede dosis.</w:t>
      </w:r>
    </w:p>
    <w:p w14:paraId="79FD1350" w14:textId="77777777" w:rsidR="009260DE" w:rsidRPr="00E400E9" w:rsidRDefault="009260DE" w:rsidP="000730CA">
      <w:pPr>
        <w:tabs>
          <w:tab w:val="left" w:pos="851"/>
        </w:tabs>
        <w:ind w:left="851"/>
        <w:rPr>
          <w:sz w:val="24"/>
          <w:szCs w:val="24"/>
        </w:rPr>
      </w:pPr>
    </w:p>
    <w:p w14:paraId="7CDAE982" w14:textId="77777777" w:rsidR="009260DE" w:rsidRPr="00E400E9" w:rsidRDefault="009260DE" w:rsidP="009260DE">
      <w:pPr>
        <w:tabs>
          <w:tab w:val="left" w:pos="851"/>
        </w:tabs>
        <w:ind w:left="851" w:hanging="851"/>
        <w:rPr>
          <w:b/>
          <w:sz w:val="24"/>
          <w:szCs w:val="24"/>
        </w:rPr>
      </w:pPr>
      <w:r w:rsidRPr="00E400E9">
        <w:rPr>
          <w:b/>
          <w:sz w:val="24"/>
          <w:szCs w:val="24"/>
        </w:rPr>
        <w:t>7.</w:t>
      </w:r>
      <w:r w:rsidRPr="00E400E9">
        <w:rPr>
          <w:b/>
          <w:sz w:val="24"/>
          <w:szCs w:val="24"/>
        </w:rPr>
        <w:tab/>
        <w:t>INDEHAVER AF MARKEDSFØRINGSTILLADELSEN</w:t>
      </w:r>
    </w:p>
    <w:p w14:paraId="1BCB34A7" w14:textId="77777777" w:rsidR="00093A1E" w:rsidRPr="00E400E9" w:rsidRDefault="00093A1E" w:rsidP="00093A1E">
      <w:pPr>
        <w:ind w:left="851"/>
        <w:rPr>
          <w:sz w:val="24"/>
          <w:szCs w:val="24"/>
          <w:lang w:eastAsia="da-DK"/>
        </w:rPr>
      </w:pPr>
      <w:r w:rsidRPr="00E400E9">
        <w:rPr>
          <w:sz w:val="24"/>
          <w:szCs w:val="24"/>
        </w:rPr>
        <w:t>CROMA-PHARMA GmbH</w:t>
      </w:r>
    </w:p>
    <w:p w14:paraId="5DAFB00D" w14:textId="77777777" w:rsidR="00093A1E" w:rsidRPr="00E400E9" w:rsidRDefault="00093A1E" w:rsidP="00093A1E">
      <w:pPr>
        <w:ind w:left="851"/>
        <w:rPr>
          <w:sz w:val="24"/>
          <w:szCs w:val="24"/>
        </w:rPr>
      </w:pPr>
      <w:proofErr w:type="spellStart"/>
      <w:r w:rsidRPr="00E400E9">
        <w:rPr>
          <w:sz w:val="24"/>
          <w:szCs w:val="24"/>
        </w:rPr>
        <w:t>Industriezeile</w:t>
      </w:r>
      <w:proofErr w:type="spellEnd"/>
      <w:r w:rsidRPr="00E400E9">
        <w:rPr>
          <w:sz w:val="24"/>
          <w:szCs w:val="24"/>
        </w:rPr>
        <w:t xml:space="preserve"> 6 </w:t>
      </w:r>
    </w:p>
    <w:p w14:paraId="3801C435" w14:textId="77777777" w:rsidR="00093A1E" w:rsidRPr="00E400E9" w:rsidRDefault="00093A1E" w:rsidP="00093A1E">
      <w:pPr>
        <w:ind w:left="851"/>
        <w:rPr>
          <w:sz w:val="24"/>
          <w:szCs w:val="24"/>
        </w:rPr>
      </w:pPr>
      <w:r w:rsidRPr="00E400E9">
        <w:rPr>
          <w:sz w:val="24"/>
          <w:szCs w:val="24"/>
        </w:rPr>
        <w:t xml:space="preserve">2100 </w:t>
      </w:r>
      <w:proofErr w:type="spellStart"/>
      <w:r w:rsidRPr="00E400E9">
        <w:rPr>
          <w:sz w:val="24"/>
          <w:szCs w:val="24"/>
        </w:rPr>
        <w:t>Leobendorf</w:t>
      </w:r>
      <w:proofErr w:type="spellEnd"/>
    </w:p>
    <w:p w14:paraId="36D0E4CB" w14:textId="77777777" w:rsidR="00093A1E" w:rsidRPr="00E400E9" w:rsidRDefault="00093A1E" w:rsidP="00093A1E">
      <w:pPr>
        <w:ind w:left="851"/>
        <w:rPr>
          <w:noProof/>
          <w:sz w:val="24"/>
          <w:szCs w:val="24"/>
        </w:rPr>
      </w:pPr>
      <w:r w:rsidRPr="00E400E9">
        <w:rPr>
          <w:sz w:val="24"/>
          <w:szCs w:val="24"/>
        </w:rPr>
        <w:t>Østrig</w:t>
      </w:r>
    </w:p>
    <w:p w14:paraId="4237CE8F" w14:textId="77777777" w:rsidR="009260DE" w:rsidRPr="00E400E9" w:rsidRDefault="009260DE" w:rsidP="009260DE">
      <w:pPr>
        <w:tabs>
          <w:tab w:val="left" w:pos="851"/>
        </w:tabs>
        <w:ind w:left="851"/>
        <w:rPr>
          <w:sz w:val="24"/>
          <w:szCs w:val="24"/>
        </w:rPr>
      </w:pPr>
    </w:p>
    <w:p w14:paraId="71FC08F5" w14:textId="1ECF5901" w:rsidR="009260DE" w:rsidRPr="00E400E9" w:rsidRDefault="009260DE" w:rsidP="009260DE">
      <w:pPr>
        <w:tabs>
          <w:tab w:val="left" w:pos="851"/>
        </w:tabs>
        <w:ind w:left="851" w:hanging="851"/>
        <w:rPr>
          <w:b/>
          <w:sz w:val="24"/>
          <w:szCs w:val="24"/>
        </w:rPr>
      </w:pPr>
      <w:r w:rsidRPr="00E400E9">
        <w:rPr>
          <w:b/>
          <w:sz w:val="24"/>
          <w:szCs w:val="24"/>
        </w:rPr>
        <w:t>8.</w:t>
      </w:r>
      <w:r w:rsidRPr="00E400E9">
        <w:rPr>
          <w:b/>
          <w:sz w:val="24"/>
          <w:szCs w:val="24"/>
        </w:rPr>
        <w:tab/>
        <w:t>MARKEDSFØRINGSTILLADELSESNUMMER (</w:t>
      </w:r>
      <w:r w:rsidR="001C7B69">
        <w:rPr>
          <w:b/>
          <w:sz w:val="24"/>
          <w:szCs w:val="24"/>
        </w:rPr>
        <w:t>-</w:t>
      </w:r>
      <w:r w:rsidRPr="00E400E9">
        <w:rPr>
          <w:b/>
          <w:sz w:val="24"/>
          <w:szCs w:val="24"/>
        </w:rPr>
        <w:t>NUMRE)</w:t>
      </w:r>
    </w:p>
    <w:p w14:paraId="6CF08401" w14:textId="3B83FB60" w:rsidR="009260DE" w:rsidRPr="00E400E9" w:rsidRDefault="00093A1E" w:rsidP="009260DE">
      <w:pPr>
        <w:tabs>
          <w:tab w:val="left" w:pos="851"/>
        </w:tabs>
        <w:ind w:left="851"/>
        <w:rPr>
          <w:sz w:val="24"/>
          <w:szCs w:val="24"/>
        </w:rPr>
      </w:pPr>
      <w:r w:rsidRPr="00E400E9">
        <w:rPr>
          <w:sz w:val="24"/>
          <w:szCs w:val="24"/>
        </w:rPr>
        <w:t>67801</w:t>
      </w:r>
    </w:p>
    <w:p w14:paraId="620514DF" w14:textId="77777777" w:rsidR="009260DE" w:rsidRPr="00E400E9" w:rsidRDefault="009260DE" w:rsidP="009260DE">
      <w:pPr>
        <w:tabs>
          <w:tab w:val="left" w:pos="851"/>
        </w:tabs>
        <w:ind w:left="851"/>
        <w:jc w:val="both"/>
        <w:rPr>
          <w:sz w:val="24"/>
          <w:szCs w:val="24"/>
        </w:rPr>
      </w:pPr>
    </w:p>
    <w:p w14:paraId="77FE8840" w14:textId="77777777" w:rsidR="009260DE" w:rsidRPr="00E400E9" w:rsidRDefault="009260DE" w:rsidP="009260DE">
      <w:pPr>
        <w:tabs>
          <w:tab w:val="left" w:pos="851"/>
        </w:tabs>
        <w:ind w:left="851" w:hanging="851"/>
        <w:rPr>
          <w:b/>
          <w:sz w:val="24"/>
          <w:szCs w:val="24"/>
        </w:rPr>
      </w:pPr>
      <w:r w:rsidRPr="00E400E9">
        <w:rPr>
          <w:b/>
          <w:sz w:val="24"/>
          <w:szCs w:val="24"/>
        </w:rPr>
        <w:t>9.</w:t>
      </w:r>
      <w:r w:rsidRPr="00E400E9">
        <w:rPr>
          <w:b/>
          <w:sz w:val="24"/>
          <w:szCs w:val="24"/>
        </w:rPr>
        <w:tab/>
        <w:t>DATO FOR FØRSTE MARKEDSFØRINGSTILLADELSE</w:t>
      </w:r>
    </w:p>
    <w:p w14:paraId="7ABDE5E6" w14:textId="6F05BA7D" w:rsidR="009260DE" w:rsidRPr="00E400E9" w:rsidRDefault="00CD5A60" w:rsidP="009260DE">
      <w:pPr>
        <w:tabs>
          <w:tab w:val="left" w:pos="851"/>
        </w:tabs>
        <w:ind w:left="851"/>
        <w:rPr>
          <w:sz w:val="24"/>
          <w:szCs w:val="24"/>
        </w:rPr>
      </w:pPr>
      <w:r>
        <w:rPr>
          <w:sz w:val="24"/>
          <w:szCs w:val="24"/>
        </w:rPr>
        <w:t>24. november 2022</w:t>
      </w:r>
    </w:p>
    <w:p w14:paraId="6229A310" w14:textId="77777777" w:rsidR="009260DE" w:rsidRPr="00E400E9" w:rsidRDefault="009260DE" w:rsidP="009260DE">
      <w:pPr>
        <w:tabs>
          <w:tab w:val="left" w:pos="851"/>
        </w:tabs>
        <w:ind w:left="851"/>
        <w:rPr>
          <w:sz w:val="24"/>
          <w:szCs w:val="24"/>
        </w:rPr>
      </w:pPr>
    </w:p>
    <w:p w14:paraId="7261760D" w14:textId="77777777" w:rsidR="009260DE" w:rsidRPr="00E400E9" w:rsidRDefault="009260DE" w:rsidP="009260DE">
      <w:pPr>
        <w:tabs>
          <w:tab w:val="left" w:pos="851"/>
        </w:tabs>
        <w:ind w:left="851" w:hanging="851"/>
        <w:rPr>
          <w:b/>
          <w:sz w:val="24"/>
          <w:szCs w:val="24"/>
        </w:rPr>
      </w:pPr>
      <w:r w:rsidRPr="00E400E9">
        <w:rPr>
          <w:b/>
          <w:sz w:val="24"/>
          <w:szCs w:val="24"/>
        </w:rPr>
        <w:t>10.</w:t>
      </w:r>
      <w:r w:rsidRPr="00E400E9">
        <w:rPr>
          <w:b/>
          <w:sz w:val="24"/>
          <w:szCs w:val="24"/>
        </w:rPr>
        <w:tab/>
        <w:t>DATO FOR ÆNDRING AF TEKSTEN</w:t>
      </w:r>
    </w:p>
    <w:p w14:paraId="1FFAB760" w14:textId="12345C04" w:rsidR="009260DE" w:rsidRPr="00E400E9" w:rsidRDefault="00C72FC6" w:rsidP="009260DE">
      <w:pPr>
        <w:tabs>
          <w:tab w:val="left" w:pos="851"/>
        </w:tabs>
        <w:ind w:left="851"/>
        <w:rPr>
          <w:sz w:val="24"/>
          <w:szCs w:val="24"/>
        </w:rPr>
      </w:pPr>
      <w:r>
        <w:rPr>
          <w:sz w:val="24"/>
          <w:szCs w:val="24"/>
        </w:rPr>
        <w:t>8</w:t>
      </w:r>
      <w:bookmarkStart w:id="12" w:name="_GoBack"/>
      <w:bookmarkEnd w:id="12"/>
      <w:r w:rsidR="001C7B69">
        <w:rPr>
          <w:sz w:val="24"/>
          <w:szCs w:val="24"/>
        </w:rPr>
        <w:t>. november 2023</w:t>
      </w:r>
    </w:p>
    <w:sectPr w:rsidR="009260DE" w:rsidRPr="00E400E9"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7FAA4" w14:textId="77777777" w:rsidR="00E06691" w:rsidRDefault="00E06691">
      <w:r>
        <w:separator/>
      </w:r>
    </w:p>
  </w:endnote>
  <w:endnote w:type="continuationSeparator" w:id="0">
    <w:p w14:paraId="1F14A49A" w14:textId="77777777" w:rsidR="00E06691" w:rsidRDefault="00E0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77374" w14:textId="77777777" w:rsidR="000259B9" w:rsidRDefault="000259B9">
    <w:pPr>
      <w:pStyle w:val="Sidefod"/>
      <w:pBdr>
        <w:bottom w:val="single" w:sz="6" w:space="1" w:color="auto"/>
      </w:pBdr>
    </w:pPr>
  </w:p>
  <w:p w14:paraId="20C510C5" w14:textId="77777777" w:rsidR="000259B9" w:rsidRDefault="000259B9" w:rsidP="00C42586">
    <w:pPr>
      <w:pStyle w:val="Sidefod"/>
      <w:tabs>
        <w:tab w:val="clear" w:pos="4819"/>
        <w:tab w:val="left" w:pos="8505"/>
      </w:tabs>
      <w:rPr>
        <w:i/>
        <w:sz w:val="18"/>
        <w:szCs w:val="18"/>
      </w:rPr>
    </w:pPr>
  </w:p>
  <w:p w14:paraId="4321110F" w14:textId="7A90B7B4"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D2DA6">
      <w:rPr>
        <w:i/>
        <w:noProof/>
        <w:sz w:val="18"/>
        <w:szCs w:val="18"/>
      </w:rPr>
      <w:t>Letybo, pulver til injektionsvæske, opløsning 50 enheder.docx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2E813" w14:textId="77777777" w:rsidR="00E06691" w:rsidRDefault="00E06691">
      <w:r>
        <w:separator/>
      </w:r>
    </w:p>
  </w:footnote>
  <w:footnote w:type="continuationSeparator" w:id="0">
    <w:p w14:paraId="2CFD56BF" w14:textId="77777777" w:rsidR="00E06691" w:rsidRDefault="00E06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5866962"/>
    <w:multiLevelType w:val="hybridMultilevel"/>
    <w:tmpl w:val="499C3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7914BF5"/>
    <w:multiLevelType w:val="hybridMultilevel"/>
    <w:tmpl w:val="D2A492C6"/>
    <w:lvl w:ilvl="0" w:tplc="3100120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96A4FA2"/>
    <w:multiLevelType w:val="hybridMultilevel"/>
    <w:tmpl w:val="9976B0E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691"/>
    <w:rsid w:val="000259B9"/>
    <w:rsid w:val="00041491"/>
    <w:rsid w:val="00050D16"/>
    <w:rsid w:val="000730CA"/>
    <w:rsid w:val="00074F2A"/>
    <w:rsid w:val="00093A1E"/>
    <w:rsid w:val="000964F9"/>
    <w:rsid w:val="000A1CA8"/>
    <w:rsid w:val="000A466B"/>
    <w:rsid w:val="000B058C"/>
    <w:rsid w:val="000E4EE6"/>
    <w:rsid w:val="001454E2"/>
    <w:rsid w:val="001C7B69"/>
    <w:rsid w:val="00206CE8"/>
    <w:rsid w:val="0021526C"/>
    <w:rsid w:val="00283A2B"/>
    <w:rsid w:val="002B30AD"/>
    <w:rsid w:val="002C2C01"/>
    <w:rsid w:val="002D2DA6"/>
    <w:rsid w:val="003A29AE"/>
    <w:rsid w:val="003A32D7"/>
    <w:rsid w:val="003B4074"/>
    <w:rsid w:val="003C769A"/>
    <w:rsid w:val="003F1838"/>
    <w:rsid w:val="00423222"/>
    <w:rsid w:val="0045746C"/>
    <w:rsid w:val="00474B6D"/>
    <w:rsid w:val="0049104B"/>
    <w:rsid w:val="004E3B12"/>
    <w:rsid w:val="00532310"/>
    <w:rsid w:val="00565F0F"/>
    <w:rsid w:val="00594A86"/>
    <w:rsid w:val="00596D86"/>
    <w:rsid w:val="00637F5A"/>
    <w:rsid w:val="006560B1"/>
    <w:rsid w:val="006756DD"/>
    <w:rsid w:val="00737275"/>
    <w:rsid w:val="00740EEC"/>
    <w:rsid w:val="0078011A"/>
    <w:rsid w:val="00782AF4"/>
    <w:rsid w:val="00790EE7"/>
    <w:rsid w:val="007B6649"/>
    <w:rsid w:val="0082576E"/>
    <w:rsid w:val="008509BA"/>
    <w:rsid w:val="00907F75"/>
    <w:rsid w:val="009260DE"/>
    <w:rsid w:val="0093258A"/>
    <w:rsid w:val="009C7BA3"/>
    <w:rsid w:val="009D1F5A"/>
    <w:rsid w:val="00A10294"/>
    <w:rsid w:val="00B003BF"/>
    <w:rsid w:val="00B373D7"/>
    <w:rsid w:val="00BD2078"/>
    <w:rsid w:val="00C36276"/>
    <w:rsid w:val="00C42586"/>
    <w:rsid w:val="00C60CCD"/>
    <w:rsid w:val="00C72FC6"/>
    <w:rsid w:val="00C84483"/>
    <w:rsid w:val="00C934BD"/>
    <w:rsid w:val="00C95551"/>
    <w:rsid w:val="00CB20D7"/>
    <w:rsid w:val="00CD5A60"/>
    <w:rsid w:val="00D020B0"/>
    <w:rsid w:val="00D11748"/>
    <w:rsid w:val="00D366CF"/>
    <w:rsid w:val="00E06691"/>
    <w:rsid w:val="00E108AA"/>
    <w:rsid w:val="00E2298A"/>
    <w:rsid w:val="00E3749A"/>
    <w:rsid w:val="00E400E9"/>
    <w:rsid w:val="00E7437F"/>
    <w:rsid w:val="00E865B8"/>
    <w:rsid w:val="00EC0B9B"/>
    <w:rsid w:val="00ED5E9F"/>
    <w:rsid w:val="00F37506"/>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A223D"/>
  <w15:chartTrackingRefBased/>
  <w15:docId w15:val="{33FCFD2E-B071-49DD-BE3F-9EE4DD5F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B69"/>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semiHidden/>
    <w:unhideWhenUsed/>
    <w:rsid w:val="00093A1E"/>
    <w:rPr>
      <w:color w:val="0000FF"/>
      <w:u w:val="single"/>
    </w:rPr>
  </w:style>
  <w:style w:type="paragraph" w:styleId="Listeafsnit">
    <w:name w:val="List Paragraph"/>
    <w:basedOn w:val="Normal"/>
    <w:uiPriority w:val="34"/>
    <w:qFormat/>
    <w:rsid w:val="00093A1E"/>
    <w:pPr>
      <w:tabs>
        <w:tab w:val="left" w:pos="720"/>
      </w:tabs>
      <w:spacing w:after="300" w:line="288" w:lineRule="auto"/>
      <w:ind w:left="708"/>
    </w:pPr>
    <w:rPr>
      <w:sz w:val="24"/>
      <w:lang w:eastAsia="da-DK" w:bidi="da-DK"/>
    </w:rPr>
  </w:style>
  <w:style w:type="paragraph" w:styleId="NormalWeb">
    <w:name w:val="Normal (Web)"/>
    <w:basedOn w:val="Normal"/>
    <w:uiPriority w:val="99"/>
    <w:semiHidden/>
    <w:unhideWhenUsed/>
    <w:rsid w:val="00093A1E"/>
    <w:pPr>
      <w:spacing w:before="100" w:beforeAutospacing="1" w:after="100" w:afterAutospacing="1"/>
    </w:pPr>
    <w:rPr>
      <w:sz w:val="24"/>
      <w:szCs w:val="24"/>
      <w:lang w:eastAsia="da-DK" w:bidi="da-DK"/>
    </w:rPr>
  </w:style>
  <w:style w:type="paragraph" w:styleId="Brdtekst">
    <w:name w:val="Body Text"/>
    <w:basedOn w:val="Normal"/>
    <w:link w:val="BrdtekstTegn"/>
    <w:semiHidden/>
    <w:unhideWhenUsed/>
    <w:rsid w:val="00093A1E"/>
    <w:rPr>
      <w:i/>
      <w:color w:val="008000"/>
      <w:sz w:val="22"/>
      <w:lang w:eastAsia="da-DK" w:bidi="da-DK"/>
    </w:rPr>
  </w:style>
  <w:style w:type="character" w:customStyle="1" w:styleId="BrdtekstTegn">
    <w:name w:val="Brødtekst Tegn"/>
    <w:basedOn w:val="Standardskrifttypeiafsnit"/>
    <w:link w:val="Brdtekst"/>
    <w:semiHidden/>
    <w:rsid w:val="00093A1E"/>
    <w:rPr>
      <w:i/>
      <w:color w:val="008000"/>
      <w:sz w:val="22"/>
      <w:lang w:bidi="da-DK"/>
    </w:rPr>
  </w:style>
  <w:style w:type="character" w:customStyle="1" w:styleId="BilledtekstTegn">
    <w:name w:val="Billedtekst Tegn"/>
    <w:aliases w:val="Caption Char Tegn,Bayer Caption Tegn,Beschriftung1 Tegn,Caption Char1 Tegn,Caption Char Char Tegn,Caption Char1 Char Char Tegn,Char Tegn,caption Tegn,Caption-FUSA Tegn,Caption Char Char Char Char Tegn,Char Char Char Char Char Tegn"/>
    <w:link w:val="Billedtekst"/>
    <w:semiHidden/>
    <w:locked/>
    <w:rsid w:val="00093A1E"/>
    <w:rPr>
      <w:rFonts w:ascii="SimSun" w:eastAsiaTheme="minorEastAsia" w:hAnsi="SimSun"/>
      <w:b/>
      <w:bCs/>
      <w:szCs w:val="18"/>
    </w:rPr>
  </w:style>
  <w:style w:type="paragraph" w:styleId="Billedtekst">
    <w:name w:val="caption"/>
    <w:aliases w:val="Caption Char,Bayer Caption,Beschriftung1,Caption Char1,Caption Char Char,Caption Char1 Char Char,Char,caption,Caption-FUSA,Caption Char Char Char Char,Char Char Char Char Char,Caption Char Char1"/>
    <w:basedOn w:val="Normal"/>
    <w:next w:val="Brdtekst"/>
    <w:link w:val="BilledtekstTegn"/>
    <w:semiHidden/>
    <w:unhideWhenUsed/>
    <w:qFormat/>
    <w:rsid w:val="00093A1E"/>
    <w:pPr>
      <w:keepNext/>
      <w:keepLines/>
      <w:tabs>
        <w:tab w:val="left" w:pos="1134"/>
      </w:tabs>
      <w:spacing w:before="20" w:after="20"/>
      <w:ind w:left="1134" w:hanging="1134"/>
    </w:pPr>
    <w:rPr>
      <w:rFonts w:ascii="SimSun" w:eastAsiaTheme="minorEastAsia" w:hAnsi="SimSun"/>
      <w:b/>
      <w:bCs/>
      <w:sz w:val="20"/>
      <w:szCs w:val="18"/>
      <w:lang w:eastAsia="da-DK"/>
    </w:rPr>
  </w:style>
  <w:style w:type="character" w:customStyle="1" w:styleId="C-BodyTextChar">
    <w:name w:val="C-Body Text Char"/>
    <w:link w:val="C-BodyText"/>
    <w:locked/>
    <w:rsid w:val="00093A1E"/>
    <w:rPr>
      <w:sz w:val="24"/>
    </w:rPr>
  </w:style>
  <w:style w:type="paragraph" w:customStyle="1" w:styleId="C-BodyText">
    <w:name w:val="C-Body Text"/>
    <w:link w:val="C-BodyTextChar"/>
    <w:rsid w:val="00093A1E"/>
    <w:pPr>
      <w:spacing w:before="120" w:after="120" w:line="280" w:lineRule="atLeas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7594">
      <w:bodyDiv w:val="1"/>
      <w:marLeft w:val="0"/>
      <w:marRight w:val="0"/>
      <w:marTop w:val="0"/>
      <w:marBottom w:val="0"/>
      <w:divBdr>
        <w:top w:val="none" w:sz="0" w:space="0" w:color="auto"/>
        <w:left w:val="none" w:sz="0" w:space="0" w:color="auto"/>
        <w:bottom w:val="none" w:sz="0" w:space="0" w:color="auto"/>
        <w:right w:val="none" w:sz="0" w:space="0" w:color="auto"/>
      </w:divBdr>
    </w:div>
    <w:div w:id="15741783">
      <w:bodyDiv w:val="1"/>
      <w:marLeft w:val="0"/>
      <w:marRight w:val="0"/>
      <w:marTop w:val="0"/>
      <w:marBottom w:val="0"/>
      <w:divBdr>
        <w:top w:val="none" w:sz="0" w:space="0" w:color="auto"/>
        <w:left w:val="none" w:sz="0" w:space="0" w:color="auto"/>
        <w:bottom w:val="none" w:sz="0" w:space="0" w:color="auto"/>
        <w:right w:val="none" w:sz="0" w:space="0" w:color="auto"/>
      </w:divBdr>
    </w:div>
    <w:div w:id="3921023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3289918">
      <w:bodyDiv w:val="1"/>
      <w:marLeft w:val="0"/>
      <w:marRight w:val="0"/>
      <w:marTop w:val="0"/>
      <w:marBottom w:val="0"/>
      <w:divBdr>
        <w:top w:val="none" w:sz="0" w:space="0" w:color="auto"/>
        <w:left w:val="none" w:sz="0" w:space="0" w:color="auto"/>
        <w:bottom w:val="none" w:sz="0" w:space="0" w:color="auto"/>
        <w:right w:val="none" w:sz="0" w:space="0" w:color="auto"/>
      </w:divBdr>
    </w:div>
    <w:div w:id="386418290">
      <w:bodyDiv w:val="1"/>
      <w:marLeft w:val="0"/>
      <w:marRight w:val="0"/>
      <w:marTop w:val="0"/>
      <w:marBottom w:val="0"/>
      <w:divBdr>
        <w:top w:val="none" w:sz="0" w:space="0" w:color="auto"/>
        <w:left w:val="none" w:sz="0" w:space="0" w:color="auto"/>
        <w:bottom w:val="none" w:sz="0" w:space="0" w:color="auto"/>
        <w:right w:val="none" w:sz="0" w:space="0" w:color="auto"/>
      </w:divBdr>
    </w:div>
    <w:div w:id="391852066">
      <w:bodyDiv w:val="1"/>
      <w:marLeft w:val="0"/>
      <w:marRight w:val="0"/>
      <w:marTop w:val="0"/>
      <w:marBottom w:val="0"/>
      <w:divBdr>
        <w:top w:val="none" w:sz="0" w:space="0" w:color="auto"/>
        <w:left w:val="none" w:sz="0" w:space="0" w:color="auto"/>
        <w:bottom w:val="none" w:sz="0" w:space="0" w:color="auto"/>
        <w:right w:val="none" w:sz="0" w:space="0" w:color="auto"/>
      </w:divBdr>
    </w:div>
    <w:div w:id="416948550">
      <w:bodyDiv w:val="1"/>
      <w:marLeft w:val="0"/>
      <w:marRight w:val="0"/>
      <w:marTop w:val="0"/>
      <w:marBottom w:val="0"/>
      <w:divBdr>
        <w:top w:val="none" w:sz="0" w:space="0" w:color="auto"/>
        <w:left w:val="none" w:sz="0" w:space="0" w:color="auto"/>
        <w:bottom w:val="none" w:sz="0" w:space="0" w:color="auto"/>
        <w:right w:val="none" w:sz="0" w:space="0" w:color="auto"/>
      </w:divBdr>
    </w:div>
    <w:div w:id="429813893">
      <w:bodyDiv w:val="1"/>
      <w:marLeft w:val="0"/>
      <w:marRight w:val="0"/>
      <w:marTop w:val="0"/>
      <w:marBottom w:val="0"/>
      <w:divBdr>
        <w:top w:val="none" w:sz="0" w:space="0" w:color="auto"/>
        <w:left w:val="none" w:sz="0" w:space="0" w:color="auto"/>
        <w:bottom w:val="none" w:sz="0" w:space="0" w:color="auto"/>
        <w:right w:val="none" w:sz="0" w:space="0" w:color="auto"/>
      </w:divBdr>
    </w:div>
    <w:div w:id="431324037">
      <w:bodyDiv w:val="1"/>
      <w:marLeft w:val="0"/>
      <w:marRight w:val="0"/>
      <w:marTop w:val="0"/>
      <w:marBottom w:val="0"/>
      <w:divBdr>
        <w:top w:val="none" w:sz="0" w:space="0" w:color="auto"/>
        <w:left w:val="none" w:sz="0" w:space="0" w:color="auto"/>
        <w:bottom w:val="none" w:sz="0" w:space="0" w:color="auto"/>
        <w:right w:val="none" w:sz="0" w:space="0" w:color="auto"/>
      </w:divBdr>
    </w:div>
    <w:div w:id="460462585">
      <w:bodyDiv w:val="1"/>
      <w:marLeft w:val="0"/>
      <w:marRight w:val="0"/>
      <w:marTop w:val="0"/>
      <w:marBottom w:val="0"/>
      <w:divBdr>
        <w:top w:val="none" w:sz="0" w:space="0" w:color="auto"/>
        <w:left w:val="none" w:sz="0" w:space="0" w:color="auto"/>
        <w:bottom w:val="none" w:sz="0" w:space="0" w:color="auto"/>
        <w:right w:val="none" w:sz="0" w:space="0" w:color="auto"/>
      </w:divBdr>
    </w:div>
    <w:div w:id="831260782">
      <w:bodyDiv w:val="1"/>
      <w:marLeft w:val="0"/>
      <w:marRight w:val="0"/>
      <w:marTop w:val="0"/>
      <w:marBottom w:val="0"/>
      <w:divBdr>
        <w:top w:val="none" w:sz="0" w:space="0" w:color="auto"/>
        <w:left w:val="none" w:sz="0" w:space="0" w:color="auto"/>
        <w:bottom w:val="none" w:sz="0" w:space="0" w:color="auto"/>
        <w:right w:val="none" w:sz="0" w:space="0" w:color="auto"/>
      </w:divBdr>
    </w:div>
    <w:div w:id="880557675">
      <w:bodyDiv w:val="1"/>
      <w:marLeft w:val="0"/>
      <w:marRight w:val="0"/>
      <w:marTop w:val="0"/>
      <w:marBottom w:val="0"/>
      <w:divBdr>
        <w:top w:val="none" w:sz="0" w:space="0" w:color="auto"/>
        <w:left w:val="none" w:sz="0" w:space="0" w:color="auto"/>
        <w:bottom w:val="none" w:sz="0" w:space="0" w:color="auto"/>
        <w:right w:val="none" w:sz="0" w:space="0" w:color="auto"/>
      </w:divBdr>
    </w:div>
    <w:div w:id="962152461">
      <w:bodyDiv w:val="1"/>
      <w:marLeft w:val="0"/>
      <w:marRight w:val="0"/>
      <w:marTop w:val="0"/>
      <w:marBottom w:val="0"/>
      <w:divBdr>
        <w:top w:val="none" w:sz="0" w:space="0" w:color="auto"/>
        <w:left w:val="none" w:sz="0" w:space="0" w:color="auto"/>
        <w:bottom w:val="none" w:sz="0" w:space="0" w:color="auto"/>
        <w:right w:val="none" w:sz="0" w:space="0" w:color="auto"/>
      </w:divBdr>
    </w:div>
    <w:div w:id="1104837921">
      <w:bodyDiv w:val="1"/>
      <w:marLeft w:val="0"/>
      <w:marRight w:val="0"/>
      <w:marTop w:val="0"/>
      <w:marBottom w:val="0"/>
      <w:divBdr>
        <w:top w:val="none" w:sz="0" w:space="0" w:color="auto"/>
        <w:left w:val="none" w:sz="0" w:space="0" w:color="auto"/>
        <w:bottom w:val="none" w:sz="0" w:space="0" w:color="auto"/>
        <w:right w:val="none" w:sz="0" w:space="0" w:color="auto"/>
      </w:divBdr>
    </w:div>
    <w:div w:id="1157764101">
      <w:bodyDiv w:val="1"/>
      <w:marLeft w:val="0"/>
      <w:marRight w:val="0"/>
      <w:marTop w:val="0"/>
      <w:marBottom w:val="0"/>
      <w:divBdr>
        <w:top w:val="none" w:sz="0" w:space="0" w:color="auto"/>
        <w:left w:val="none" w:sz="0" w:space="0" w:color="auto"/>
        <w:bottom w:val="none" w:sz="0" w:space="0" w:color="auto"/>
        <w:right w:val="none" w:sz="0" w:space="0" w:color="auto"/>
      </w:divBdr>
    </w:div>
    <w:div w:id="1235428234">
      <w:bodyDiv w:val="1"/>
      <w:marLeft w:val="0"/>
      <w:marRight w:val="0"/>
      <w:marTop w:val="0"/>
      <w:marBottom w:val="0"/>
      <w:divBdr>
        <w:top w:val="none" w:sz="0" w:space="0" w:color="auto"/>
        <w:left w:val="none" w:sz="0" w:space="0" w:color="auto"/>
        <w:bottom w:val="none" w:sz="0" w:space="0" w:color="auto"/>
        <w:right w:val="none" w:sz="0" w:space="0" w:color="auto"/>
      </w:divBdr>
    </w:div>
    <w:div w:id="1274358692">
      <w:bodyDiv w:val="1"/>
      <w:marLeft w:val="0"/>
      <w:marRight w:val="0"/>
      <w:marTop w:val="0"/>
      <w:marBottom w:val="0"/>
      <w:divBdr>
        <w:top w:val="none" w:sz="0" w:space="0" w:color="auto"/>
        <w:left w:val="none" w:sz="0" w:space="0" w:color="auto"/>
        <w:bottom w:val="none" w:sz="0" w:space="0" w:color="auto"/>
        <w:right w:val="none" w:sz="0" w:space="0" w:color="auto"/>
      </w:divBdr>
    </w:div>
    <w:div w:id="1423065332">
      <w:bodyDiv w:val="1"/>
      <w:marLeft w:val="0"/>
      <w:marRight w:val="0"/>
      <w:marTop w:val="0"/>
      <w:marBottom w:val="0"/>
      <w:divBdr>
        <w:top w:val="none" w:sz="0" w:space="0" w:color="auto"/>
        <w:left w:val="none" w:sz="0" w:space="0" w:color="auto"/>
        <w:bottom w:val="none" w:sz="0" w:space="0" w:color="auto"/>
        <w:right w:val="none" w:sz="0" w:space="0" w:color="auto"/>
      </w:divBdr>
    </w:div>
    <w:div w:id="1576743433">
      <w:bodyDiv w:val="1"/>
      <w:marLeft w:val="0"/>
      <w:marRight w:val="0"/>
      <w:marTop w:val="0"/>
      <w:marBottom w:val="0"/>
      <w:divBdr>
        <w:top w:val="none" w:sz="0" w:space="0" w:color="auto"/>
        <w:left w:val="none" w:sz="0" w:space="0" w:color="auto"/>
        <w:bottom w:val="none" w:sz="0" w:space="0" w:color="auto"/>
        <w:right w:val="none" w:sz="0" w:space="0" w:color="auto"/>
      </w:divBdr>
    </w:div>
    <w:div w:id="2056538703">
      <w:bodyDiv w:val="1"/>
      <w:marLeft w:val="0"/>
      <w:marRight w:val="0"/>
      <w:marTop w:val="0"/>
      <w:marBottom w:val="0"/>
      <w:divBdr>
        <w:top w:val="none" w:sz="0" w:space="0" w:color="auto"/>
        <w:left w:val="none" w:sz="0" w:space="0" w:color="auto"/>
        <w:bottom w:val="none" w:sz="0" w:space="0" w:color="auto"/>
        <w:right w:val="none" w:sz="0" w:space="0" w:color="auto"/>
      </w:divBdr>
    </w:div>
    <w:div w:id="211813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3995</Words>
  <Characters>25217</Characters>
  <Application>Microsoft Office Word</Application>
  <DocSecurity>0</DocSecurity>
  <Lines>210</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2023052812_x000d_
SPC pkt. 4.8</dc:description>
  <cp:lastModifiedBy>Iman El Kadiri</cp:lastModifiedBy>
  <cp:revision>4</cp:revision>
  <cp:lastPrinted>2012-08-22T08:53:00Z</cp:lastPrinted>
  <dcterms:created xsi:type="dcterms:W3CDTF">2023-11-02T09:49:00Z</dcterms:created>
  <dcterms:modified xsi:type="dcterms:W3CDTF">2023-11-08T14:34:00Z</dcterms:modified>
</cp:coreProperties>
</file>