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392" w:rsidRPr="00C84483" w:rsidRDefault="00B73392" w:rsidP="00B73392">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106D8C">
        <w:fldChar w:fldCharType="begin"/>
      </w:r>
      <w:r w:rsidR="00106D8C">
        <w:instrText xml:space="preserve"> INCLUDEPICTURE  "cid:image004.jpg@01D117E9.E5553340" \* MERGEFORMATINET </w:instrText>
      </w:r>
      <w:r w:rsidR="00106D8C">
        <w:fldChar w:fldCharType="separate"/>
      </w:r>
      <w:r w:rsidR="00E36023">
        <w:fldChar w:fldCharType="begin"/>
      </w:r>
      <w:r w:rsidR="00E36023">
        <w:instrText xml:space="preserve"> INCLUDEPICTURE  "cid:image004.jpg@01D117E9.E5553340" \* MERGEFORMATINET </w:instrText>
      </w:r>
      <w:r w:rsidR="00E36023">
        <w:fldChar w:fldCharType="separate"/>
      </w:r>
      <w:r w:rsidR="00A64731">
        <w:fldChar w:fldCharType="begin"/>
      </w:r>
      <w:r w:rsidR="00A64731">
        <w:instrText xml:space="preserve"> INCLUDEPICTURE  "cid:image004.jpg@01D117E9.E5553340" \* MERGEFORMATINET </w:instrText>
      </w:r>
      <w:r w:rsidR="00A64731">
        <w:fldChar w:fldCharType="separate"/>
      </w:r>
      <w:r w:rsidR="00DC1A58">
        <w:fldChar w:fldCharType="begin"/>
      </w:r>
      <w:r w:rsidR="00DC1A58">
        <w:instrText xml:space="preserve"> INCLUDEPICTURE  "cid:image004.jpg@01D117E9.E5553340" \* MERGEFORMATINET </w:instrText>
      </w:r>
      <w:r w:rsidR="00DC1A58">
        <w:fldChar w:fldCharType="separate"/>
      </w:r>
      <w:r w:rsidR="005C0180">
        <w:fldChar w:fldCharType="begin"/>
      </w:r>
      <w:r w:rsidR="005C0180">
        <w:instrText xml:space="preserve"> </w:instrText>
      </w:r>
      <w:r w:rsidR="005C0180">
        <w:instrText>INCLUDEPICTURE  "cid:image004.jpg@01D117E9.E5553340" \* MERGEFORMATINET</w:instrText>
      </w:r>
      <w:r w:rsidR="005C0180">
        <w:instrText xml:space="preserve"> </w:instrText>
      </w:r>
      <w:r w:rsidR="005C0180">
        <w:fldChar w:fldCharType="separate"/>
      </w:r>
      <w:r w:rsidR="005C01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95pt;height:54.7pt">
            <v:imagedata r:id="rId7" r:href="rId8"/>
          </v:shape>
        </w:pict>
      </w:r>
      <w:r w:rsidR="005C0180">
        <w:fldChar w:fldCharType="end"/>
      </w:r>
      <w:r w:rsidR="00DC1A58">
        <w:fldChar w:fldCharType="end"/>
      </w:r>
      <w:r w:rsidR="00A64731">
        <w:fldChar w:fldCharType="end"/>
      </w:r>
      <w:r w:rsidR="00E36023">
        <w:fldChar w:fldCharType="end"/>
      </w:r>
      <w:r w:rsidR="00106D8C">
        <w:fldChar w:fldCharType="end"/>
      </w:r>
      <w:r>
        <w:fldChar w:fldCharType="end"/>
      </w:r>
      <w:r>
        <w:fldChar w:fldCharType="end"/>
      </w:r>
      <w:r>
        <w:fldChar w:fldCharType="end"/>
      </w:r>
      <w:r>
        <w:fldChar w:fldCharType="end"/>
      </w:r>
      <w:r>
        <w:fldChar w:fldCharType="end"/>
      </w:r>
      <w:r>
        <w:fldChar w:fldCharType="end"/>
      </w:r>
    </w:p>
    <w:p w:rsidR="00B73392" w:rsidRPr="00C84483" w:rsidRDefault="00B73392" w:rsidP="00B73392">
      <w:pPr>
        <w:pStyle w:val="Titel"/>
        <w:tabs>
          <w:tab w:val="right" w:pos="9356"/>
        </w:tabs>
        <w:jc w:val="left"/>
        <w:rPr>
          <w:b w:val="0"/>
          <w:szCs w:val="24"/>
          <w:lang w:eastAsia="en-US"/>
        </w:rPr>
      </w:pPr>
    </w:p>
    <w:p w:rsidR="00B73392" w:rsidRPr="00097FE5" w:rsidRDefault="005C0180" w:rsidP="00B73392">
      <w:pPr>
        <w:pStyle w:val="Titel"/>
        <w:tabs>
          <w:tab w:val="right" w:pos="9356"/>
        </w:tabs>
        <w:jc w:val="right"/>
        <w:rPr>
          <w:szCs w:val="24"/>
          <w:lang w:eastAsia="en-US"/>
        </w:rPr>
      </w:pPr>
      <w:r>
        <w:rPr>
          <w:szCs w:val="24"/>
          <w:lang w:eastAsia="en-US"/>
        </w:rPr>
        <w:t>24</w:t>
      </w:r>
      <w:r w:rsidR="00D26546">
        <w:rPr>
          <w:szCs w:val="24"/>
          <w:lang w:eastAsia="en-US"/>
        </w:rPr>
        <w:t xml:space="preserve">. </w:t>
      </w:r>
      <w:r w:rsidR="004E29F1">
        <w:rPr>
          <w:szCs w:val="24"/>
          <w:lang w:eastAsia="en-US"/>
        </w:rPr>
        <w:t>september</w:t>
      </w:r>
      <w:r w:rsidR="00D26546">
        <w:rPr>
          <w:szCs w:val="24"/>
          <w:lang w:eastAsia="en-US"/>
        </w:rPr>
        <w:t xml:space="preserve"> 202</w:t>
      </w:r>
      <w:r w:rsidR="004E29F1">
        <w:rPr>
          <w:szCs w:val="24"/>
          <w:lang w:eastAsia="en-US"/>
        </w:rPr>
        <w:t>4</w:t>
      </w:r>
    </w:p>
    <w:p w:rsidR="00685884" w:rsidRDefault="00685884" w:rsidP="00B73392">
      <w:pPr>
        <w:pStyle w:val="Titel"/>
        <w:jc w:val="left"/>
        <w:rPr>
          <w:b w:val="0"/>
          <w:szCs w:val="24"/>
        </w:rPr>
      </w:pPr>
    </w:p>
    <w:p w:rsidR="004E29F1" w:rsidRPr="00C84483" w:rsidRDefault="004E29F1" w:rsidP="00B73392">
      <w:pPr>
        <w:pStyle w:val="Titel"/>
        <w:jc w:val="left"/>
        <w:rPr>
          <w:b w:val="0"/>
          <w:szCs w:val="24"/>
        </w:rPr>
      </w:pPr>
    </w:p>
    <w:p w:rsidR="00B73392" w:rsidRPr="00C84483" w:rsidRDefault="00B73392" w:rsidP="00B73392">
      <w:pPr>
        <w:jc w:val="center"/>
        <w:rPr>
          <w:b/>
          <w:sz w:val="24"/>
          <w:szCs w:val="24"/>
        </w:rPr>
      </w:pPr>
      <w:r w:rsidRPr="00C84483">
        <w:rPr>
          <w:b/>
          <w:sz w:val="24"/>
          <w:szCs w:val="24"/>
        </w:rPr>
        <w:t>PRODUKTRESUMÉ</w:t>
      </w:r>
    </w:p>
    <w:p w:rsidR="00B73392" w:rsidRPr="00C84483" w:rsidRDefault="00B73392" w:rsidP="00B73392">
      <w:pPr>
        <w:jc w:val="center"/>
        <w:rPr>
          <w:b/>
          <w:sz w:val="24"/>
          <w:szCs w:val="24"/>
        </w:rPr>
      </w:pPr>
    </w:p>
    <w:p w:rsidR="00B73392" w:rsidRPr="00C84483" w:rsidRDefault="00B73392" w:rsidP="00B73392">
      <w:pPr>
        <w:jc w:val="center"/>
        <w:rPr>
          <w:b/>
          <w:sz w:val="24"/>
          <w:szCs w:val="24"/>
        </w:rPr>
      </w:pPr>
      <w:r w:rsidRPr="00C84483">
        <w:rPr>
          <w:b/>
          <w:sz w:val="24"/>
          <w:szCs w:val="24"/>
        </w:rPr>
        <w:t>for</w:t>
      </w:r>
    </w:p>
    <w:p w:rsidR="00B73392" w:rsidRPr="00C84483" w:rsidRDefault="00B73392" w:rsidP="00B73392">
      <w:pPr>
        <w:jc w:val="center"/>
        <w:rPr>
          <w:b/>
          <w:sz w:val="24"/>
          <w:szCs w:val="24"/>
        </w:rPr>
      </w:pPr>
    </w:p>
    <w:p w:rsidR="00B73392" w:rsidRPr="00C84483" w:rsidRDefault="00B73392" w:rsidP="00B73392">
      <w:pPr>
        <w:jc w:val="center"/>
        <w:rPr>
          <w:b/>
          <w:sz w:val="24"/>
          <w:szCs w:val="24"/>
        </w:rPr>
      </w:pPr>
      <w:proofErr w:type="spellStart"/>
      <w:r>
        <w:rPr>
          <w:b/>
          <w:sz w:val="24"/>
          <w:szCs w:val="24"/>
        </w:rPr>
        <w:t>Levetiracetam</w:t>
      </w:r>
      <w:proofErr w:type="spellEnd"/>
      <w:r>
        <w:rPr>
          <w:b/>
          <w:sz w:val="24"/>
          <w:szCs w:val="24"/>
        </w:rPr>
        <w:t xml:space="preserve"> ”</w:t>
      </w:r>
      <w:proofErr w:type="spellStart"/>
      <w:r>
        <w:rPr>
          <w:b/>
          <w:sz w:val="24"/>
          <w:szCs w:val="24"/>
        </w:rPr>
        <w:t>Krka</w:t>
      </w:r>
      <w:proofErr w:type="spellEnd"/>
      <w:r>
        <w:rPr>
          <w:b/>
          <w:sz w:val="24"/>
          <w:szCs w:val="24"/>
        </w:rPr>
        <w:t>”, filmovertrukne tabletter</w:t>
      </w:r>
    </w:p>
    <w:p w:rsidR="00B73392" w:rsidRPr="00C84483" w:rsidRDefault="00B73392" w:rsidP="00B73392">
      <w:pPr>
        <w:jc w:val="both"/>
        <w:rPr>
          <w:sz w:val="24"/>
          <w:szCs w:val="24"/>
        </w:rPr>
      </w:pPr>
    </w:p>
    <w:p w:rsidR="00B73392" w:rsidRPr="00D961BD" w:rsidRDefault="00B73392" w:rsidP="00B73392">
      <w:pPr>
        <w:ind w:left="851" w:hanging="851"/>
        <w:jc w:val="both"/>
        <w:rPr>
          <w:sz w:val="24"/>
          <w:szCs w:val="24"/>
        </w:rPr>
      </w:pPr>
    </w:p>
    <w:p w:rsidR="00B73392" w:rsidRPr="00D961BD" w:rsidRDefault="00B73392" w:rsidP="00B73392">
      <w:pPr>
        <w:ind w:left="851" w:hanging="851"/>
        <w:rPr>
          <w:b/>
          <w:sz w:val="24"/>
          <w:szCs w:val="24"/>
        </w:rPr>
      </w:pPr>
      <w:r w:rsidRPr="00D961BD">
        <w:rPr>
          <w:b/>
          <w:sz w:val="24"/>
          <w:szCs w:val="24"/>
        </w:rPr>
        <w:t>0.</w:t>
      </w:r>
      <w:r w:rsidRPr="00D961BD">
        <w:rPr>
          <w:b/>
          <w:sz w:val="24"/>
          <w:szCs w:val="24"/>
        </w:rPr>
        <w:tab/>
        <w:t>D.SP.NR.</w:t>
      </w:r>
    </w:p>
    <w:p w:rsidR="00B73392" w:rsidRPr="00D961BD" w:rsidRDefault="00B73392" w:rsidP="00B73392">
      <w:pPr>
        <w:ind w:left="851" w:hanging="851"/>
        <w:rPr>
          <w:sz w:val="24"/>
          <w:szCs w:val="24"/>
        </w:rPr>
      </w:pPr>
      <w:r w:rsidRPr="00D961BD">
        <w:rPr>
          <w:sz w:val="24"/>
          <w:szCs w:val="24"/>
        </w:rPr>
        <w:tab/>
        <w:t>29161</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1.</w:t>
      </w:r>
      <w:r w:rsidRPr="00D961BD">
        <w:rPr>
          <w:b/>
          <w:sz w:val="24"/>
          <w:szCs w:val="24"/>
        </w:rPr>
        <w:tab/>
        <w:t>LÆGEMIDLETS NAVN</w:t>
      </w:r>
    </w:p>
    <w:p w:rsidR="00B73392" w:rsidRPr="00D961BD" w:rsidRDefault="00B73392" w:rsidP="00B73392">
      <w:pPr>
        <w:ind w:left="851" w:hanging="851"/>
        <w:rPr>
          <w:sz w:val="24"/>
          <w:szCs w:val="24"/>
        </w:rPr>
      </w:pPr>
      <w:r w:rsidRPr="00D961BD">
        <w:rPr>
          <w:sz w:val="24"/>
          <w:szCs w:val="24"/>
        </w:rPr>
        <w:tab/>
      </w:r>
      <w:proofErr w:type="spellStart"/>
      <w:r w:rsidRPr="00D961BD">
        <w:rPr>
          <w:sz w:val="24"/>
          <w:szCs w:val="24"/>
        </w:rPr>
        <w:t>Levetiracetam</w:t>
      </w:r>
      <w:proofErr w:type="spellEnd"/>
      <w:r w:rsidRPr="00D961BD">
        <w:rPr>
          <w:sz w:val="24"/>
          <w:szCs w:val="24"/>
        </w:rPr>
        <w:t xml:space="preserve"> ”</w:t>
      </w:r>
      <w:proofErr w:type="spellStart"/>
      <w:r w:rsidRPr="00D961BD">
        <w:rPr>
          <w:sz w:val="24"/>
          <w:szCs w:val="24"/>
        </w:rPr>
        <w:t>Krka</w:t>
      </w:r>
      <w:proofErr w:type="spellEnd"/>
      <w:r w:rsidRPr="00D961BD">
        <w:rPr>
          <w:sz w:val="24"/>
          <w:szCs w:val="24"/>
        </w:rPr>
        <w:t>”</w:t>
      </w:r>
    </w:p>
    <w:p w:rsidR="00B73392" w:rsidRPr="00D961BD" w:rsidRDefault="00B73392" w:rsidP="00B73392">
      <w:pPr>
        <w:ind w:left="851" w:hanging="851"/>
        <w:rPr>
          <w:sz w:val="24"/>
          <w:szCs w:val="24"/>
        </w:rPr>
      </w:pPr>
      <w:r w:rsidRPr="00D961BD">
        <w:rPr>
          <w:sz w:val="24"/>
          <w:szCs w:val="24"/>
        </w:rPr>
        <w:tab/>
      </w:r>
    </w:p>
    <w:p w:rsidR="00B73392" w:rsidRPr="00D961BD" w:rsidRDefault="00B73392" w:rsidP="00B73392">
      <w:pPr>
        <w:ind w:left="851" w:hanging="851"/>
        <w:rPr>
          <w:b/>
          <w:sz w:val="24"/>
          <w:szCs w:val="24"/>
        </w:rPr>
      </w:pPr>
      <w:r w:rsidRPr="00D961BD">
        <w:rPr>
          <w:b/>
          <w:sz w:val="24"/>
          <w:szCs w:val="24"/>
        </w:rPr>
        <w:t>2.</w:t>
      </w:r>
      <w:r w:rsidRPr="00D961BD">
        <w:rPr>
          <w:b/>
          <w:sz w:val="24"/>
          <w:szCs w:val="24"/>
        </w:rPr>
        <w:tab/>
        <w:t>KVALITATIV OG KVANTITATIV SAMMENSÆTNING</w:t>
      </w:r>
    </w:p>
    <w:p w:rsidR="00B73392" w:rsidRPr="00D961BD" w:rsidRDefault="00B73392" w:rsidP="00B73392">
      <w:pPr>
        <w:spacing w:line="260" w:lineRule="exact"/>
        <w:ind w:left="851" w:hanging="851"/>
        <w:rPr>
          <w:sz w:val="24"/>
          <w:szCs w:val="24"/>
        </w:rPr>
      </w:pPr>
      <w:r w:rsidRPr="00D961BD">
        <w:rPr>
          <w:sz w:val="24"/>
          <w:szCs w:val="24"/>
        </w:rPr>
        <w:tab/>
        <w:t xml:space="preserve">Hver filmovertrukken tablet indeholder 250 mg </w:t>
      </w:r>
      <w:proofErr w:type="spellStart"/>
      <w:r w:rsidRPr="00D961BD">
        <w:rPr>
          <w:sz w:val="24"/>
          <w:szCs w:val="24"/>
        </w:rPr>
        <w:t>levetiracetam</w:t>
      </w:r>
      <w:proofErr w:type="spellEnd"/>
      <w:r w:rsidRPr="00D961BD">
        <w:rPr>
          <w:sz w:val="24"/>
          <w:szCs w:val="24"/>
        </w:rPr>
        <w:t>.</w:t>
      </w:r>
    </w:p>
    <w:p w:rsidR="00B73392" w:rsidRPr="00D961BD" w:rsidRDefault="00B73392" w:rsidP="00B73392">
      <w:pPr>
        <w:spacing w:line="260" w:lineRule="exact"/>
        <w:ind w:left="851"/>
        <w:rPr>
          <w:sz w:val="24"/>
          <w:szCs w:val="24"/>
        </w:rPr>
      </w:pPr>
      <w:r w:rsidRPr="00D961BD">
        <w:rPr>
          <w:sz w:val="24"/>
          <w:szCs w:val="24"/>
        </w:rPr>
        <w:t xml:space="preserve">Hver filmovertrukken tablet indeholder 500 mg </w:t>
      </w:r>
      <w:proofErr w:type="spellStart"/>
      <w:r w:rsidRPr="00D961BD">
        <w:rPr>
          <w:sz w:val="24"/>
          <w:szCs w:val="24"/>
        </w:rPr>
        <w:t>levetiracetam</w:t>
      </w:r>
      <w:proofErr w:type="spellEnd"/>
      <w:r w:rsidRPr="00D961BD">
        <w:rPr>
          <w:sz w:val="24"/>
          <w:szCs w:val="24"/>
        </w:rPr>
        <w:t>.</w:t>
      </w:r>
    </w:p>
    <w:p w:rsidR="00B73392" w:rsidRPr="00D961BD" w:rsidRDefault="00B73392" w:rsidP="00B73392">
      <w:pPr>
        <w:suppressAutoHyphens/>
        <w:ind w:left="851" w:hanging="851"/>
        <w:rPr>
          <w:noProof/>
          <w:sz w:val="24"/>
          <w:szCs w:val="24"/>
        </w:rPr>
      </w:pPr>
    </w:p>
    <w:p w:rsidR="00B73392" w:rsidRPr="00D961BD" w:rsidRDefault="00B73392" w:rsidP="00B73392">
      <w:pPr>
        <w:suppressAutoHyphens/>
        <w:ind w:left="851"/>
        <w:rPr>
          <w:noProof/>
          <w:sz w:val="24"/>
          <w:szCs w:val="24"/>
        </w:rPr>
      </w:pPr>
      <w:r w:rsidRPr="00D961BD">
        <w:rPr>
          <w:noProof/>
          <w:sz w:val="24"/>
          <w:szCs w:val="24"/>
        </w:rPr>
        <w:t>Alle hjælpestoffer er anført under pkt. 6.1.</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3.</w:t>
      </w:r>
      <w:r w:rsidRPr="00D961BD">
        <w:rPr>
          <w:b/>
          <w:sz w:val="24"/>
          <w:szCs w:val="24"/>
        </w:rPr>
        <w:tab/>
        <w:t>LÆGEMIDDELFORM</w:t>
      </w:r>
    </w:p>
    <w:p w:rsidR="00B73392" w:rsidRPr="00D961BD" w:rsidRDefault="00B73392" w:rsidP="00B73392">
      <w:pPr>
        <w:pStyle w:val="Sidehoved"/>
        <w:tabs>
          <w:tab w:val="clear" w:pos="4819"/>
          <w:tab w:val="clear" w:pos="9638"/>
        </w:tabs>
        <w:suppressAutoHyphens/>
        <w:ind w:left="851" w:hanging="851"/>
        <w:rPr>
          <w:szCs w:val="24"/>
        </w:rPr>
      </w:pPr>
      <w:r w:rsidRPr="00D961BD">
        <w:rPr>
          <w:szCs w:val="24"/>
        </w:rPr>
        <w:tab/>
        <w:t>Filmovertruk</w:t>
      </w:r>
      <w:r>
        <w:rPr>
          <w:szCs w:val="24"/>
        </w:rPr>
        <w:t>ne</w:t>
      </w:r>
      <w:r w:rsidRPr="00D961BD">
        <w:rPr>
          <w:szCs w:val="24"/>
        </w:rPr>
        <w:t xml:space="preserve"> tablet</w:t>
      </w:r>
      <w:r>
        <w:rPr>
          <w:szCs w:val="24"/>
        </w:rPr>
        <w:t>ter</w:t>
      </w:r>
      <w:r w:rsidRPr="00D961BD">
        <w:rPr>
          <w:szCs w:val="24"/>
        </w:rPr>
        <w:t>.</w:t>
      </w:r>
    </w:p>
    <w:p w:rsidR="00B73392" w:rsidRPr="00D961BD" w:rsidRDefault="00B73392" w:rsidP="00B73392">
      <w:pPr>
        <w:pStyle w:val="Sidehoved"/>
        <w:tabs>
          <w:tab w:val="clear" w:pos="4819"/>
          <w:tab w:val="clear" w:pos="9638"/>
        </w:tabs>
        <w:suppressAutoHyphens/>
        <w:ind w:left="851" w:hanging="851"/>
        <w:rPr>
          <w:noProof/>
          <w:szCs w:val="24"/>
        </w:rPr>
      </w:pPr>
    </w:p>
    <w:p w:rsidR="00B73392" w:rsidRPr="00D961BD" w:rsidRDefault="00B73392" w:rsidP="00B73392">
      <w:pPr>
        <w:pStyle w:val="Default"/>
        <w:ind w:left="851"/>
        <w:rPr>
          <w:lang w:val="da-DK"/>
        </w:rPr>
      </w:pPr>
      <w:r w:rsidRPr="00D961BD">
        <w:rPr>
          <w:lang w:val="da-DK"/>
        </w:rPr>
        <w:t>250 mg: Lyseblå, aflang tablet, 13,2 x 6,1 x 5,3 mm.</w:t>
      </w:r>
    </w:p>
    <w:p w:rsidR="00B73392" w:rsidRPr="00D961BD" w:rsidRDefault="00B73392" w:rsidP="00B73392">
      <w:pPr>
        <w:pStyle w:val="Default"/>
        <w:ind w:left="851" w:hanging="851"/>
        <w:rPr>
          <w:lang w:val="da-DK"/>
        </w:rPr>
      </w:pPr>
    </w:p>
    <w:p w:rsidR="00B73392" w:rsidRPr="00D961BD" w:rsidRDefault="00B73392" w:rsidP="00B73392">
      <w:pPr>
        <w:suppressAutoHyphens/>
        <w:ind w:left="851"/>
        <w:rPr>
          <w:sz w:val="24"/>
          <w:szCs w:val="24"/>
        </w:rPr>
      </w:pPr>
      <w:r w:rsidRPr="00D961BD">
        <w:rPr>
          <w:sz w:val="24"/>
          <w:szCs w:val="24"/>
        </w:rPr>
        <w:t>500 mg: Lysegul, aflang tablet med delekærv</w:t>
      </w:r>
      <w:r>
        <w:rPr>
          <w:sz w:val="24"/>
          <w:szCs w:val="24"/>
        </w:rPr>
        <w:t xml:space="preserve"> på begge sider 17,2 x 8,2 x 5,7</w:t>
      </w:r>
      <w:r w:rsidRPr="00D961BD">
        <w:rPr>
          <w:sz w:val="24"/>
          <w:szCs w:val="24"/>
        </w:rPr>
        <w:t xml:space="preserve"> mm.</w:t>
      </w:r>
    </w:p>
    <w:p w:rsidR="00B73392" w:rsidRPr="00D961BD" w:rsidRDefault="00B73392" w:rsidP="00B73392">
      <w:pPr>
        <w:suppressAutoHyphens/>
        <w:ind w:left="851"/>
        <w:rPr>
          <w:sz w:val="24"/>
          <w:szCs w:val="24"/>
        </w:rPr>
      </w:pPr>
      <w:r w:rsidRPr="00D961BD">
        <w:rPr>
          <w:sz w:val="24"/>
          <w:szCs w:val="24"/>
        </w:rPr>
        <w:t>Tabletten kan deles i to lige store doser.</w:t>
      </w:r>
    </w:p>
    <w:p w:rsidR="00B73392" w:rsidRPr="00D961BD" w:rsidRDefault="00B73392" w:rsidP="00B73392">
      <w:pPr>
        <w:ind w:left="851" w:hanging="851"/>
        <w:rPr>
          <w:sz w:val="24"/>
          <w:szCs w:val="24"/>
        </w:rPr>
      </w:pP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4.</w:t>
      </w:r>
      <w:r w:rsidRPr="00D961BD">
        <w:rPr>
          <w:b/>
          <w:sz w:val="24"/>
          <w:szCs w:val="24"/>
        </w:rPr>
        <w:tab/>
        <w:t>KLINISKE OPLYSNINGER</w:t>
      </w:r>
    </w:p>
    <w:p w:rsidR="00B73392" w:rsidRPr="00D961BD" w:rsidRDefault="00B73392" w:rsidP="00B73392">
      <w:pPr>
        <w:ind w:left="851" w:hanging="851"/>
        <w:rPr>
          <w:b/>
          <w:sz w:val="24"/>
          <w:szCs w:val="24"/>
        </w:rPr>
      </w:pPr>
    </w:p>
    <w:p w:rsidR="00B73392" w:rsidRPr="00D961BD" w:rsidRDefault="00B73392" w:rsidP="00B73392">
      <w:pPr>
        <w:ind w:left="851" w:hanging="851"/>
        <w:rPr>
          <w:b/>
          <w:sz w:val="24"/>
          <w:szCs w:val="24"/>
          <w:u w:val="single"/>
        </w:rPr>
      </w:pPr>
      <w:r w:rsidRPr="00D961BD">
        <w:rPr>
          <w:b/>
          <w:sz w:val="24"/>
          <w:szCs w:val="24"/>
        </w:rPr>
        <w:t>4.1</w:t>
      </w:r>
      <w:r w:rsidRPr="00D961BD">
        <w:rPr>
          <w:b/>
          <w:sz w:val="24"/>
          <w:szCs w:val="24"/>
        </w:rPr>
        <w:tab/>
        <w:t>Terapeutiske indikationer</w:t>
      </w:r>
    </w:p>
    <w:p w:rsidR="00B73392" w:rsidRPr="00D961BD" w:rsidRDefault="00B73392" w:rsidP="00B73392">
      <w:pPr>
        <w:autoSpaceDE w:val="0"/>
        <w:autoSpaceDN w:val="0"/>
        <w:adjustRightInd w:val="0"/>
        <w:ind w:left="851" w:hanging="851"/>
        <w:rPr>
          <w:sz w:val="24"/>
          <w:szCs w:val="24"/>
          <w:lang w:eastAsia="da-DK"/>
        </w:rPr>
      </w:pPr>
      <w:r w:rsidRPr="00D961BD">
        <w:rPr>
          <w:sz w:val="24"/>
          <w:szCs w:val="24"/>
        </w:rPr>
        <w:tab/>
      </w:r>
      <w:r w:rsidRPr="00D961BD">
        <w:rPr>
          <w:sz w:val="24"/>
          <w:szCs w:val="24"/>
          <w:lang w:eastAsia="da-DK"/>
        </w:rPr>
        <w:t xml:space="preserve">Indikationen for </w:t>
      </w:r>
      <w:proofErr w:type="spellStart"/>
      <w:r w:rsidRPr="00D961BD">
        <w:rPr>
          <w:sz w:val="24"/>
          <w:szCs w:val="24"/>
          <w:lang w:eastAsia="da-DK"/>
        </w:rPr>
        <w:t>Levetiracetam</w:t>
      </w:r>
      <w:proofErr w:type="spellEnd"/>
      <w:r w:rsidRPr="00D961BD">
        <w:rPr>
          <w:sz w:val="24"/>
          <w:szCs w:val="24"/>
          <w:lang w:eastAsia="da-DK"/>
        </w:rPr>
        <w:t xml:space="preserve"> </w:t>
      </w:r>
      <w:r>
        <w:rPr>
          <w:sz w:val="24"/>
          <w:szCs w:val="24"/>
          <w:lang w:eastAsia="da-DK"/>
        </w:rPr>
        <w:t>”</w:t>
      </w:r>
      <w:proofErr w:type="spellStart"/>
      <w:r>
        <w:rPr>
          <w:sz w:val="24"/>
          <w:szCs w:val="24"/>
          <w:lang w:eastAsia="da-DK"/>
        </w:rPr>
        <w:t>Krka</w:t>
      </w:r>
      <w:proofErr w:type="spellEnd"/>
      <w:r>
        <w:rPr>
          <w:sz w:val="24"/>
          <w:szCs w:val="24"/>
          <w:lang w:eastAsia="da-DK"/>
        </w:rPr>
        <w:t>”</w:t>
      </w:r>
      <w:r w:rsidRPr="00D961BD">
        <w:rPr>
          <w:sz w:val="24"/>
          <w:szCs w:val="24"/>
          <w:lang w:eastAsia="da-DK"/>
        </w:rPr>
        <w:t xml:space="preserve"> er monoterapibehandling af voksne og unge over 16 år, som for nyligt har fået stillet diagnosen partiel epilepsi med eller uden sekundær generalisering.</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Indikationen for </w:t>
      </w:r>
      <w:proofErr w:type="spellStart"/>
      <w:r w:rsidRPr="00D961BD">
        <w:rPr>
          <w:sz w:val="24"/>
          <w:szCs w:val="24"/>
          <w:lang w:eastAsia="da-DK"/>
        </w:rPr>
        <w:t>Levetiracetam</w:t>
      </w:r>
      <w:proofErr w:type="spellEnd"/>
      <w:r w:rsidRPr="00D961BD">
        <w:rPr>
          <w:sz w:val="24"/>
          <w:szCs w:val="24"/>
          <w:lang w:eastAsia="da-DK"/>
        </w:rPr>
        <w:t xml:space="preserve"> </w:t>
      </w:r>
      <w:r>
        <w:rPr>
          <w:sz w:val="24"/>
          <w:szCs w:val="24"/>
          <w:lang w:eastAsia="da-DK"/>
        </w:rPr>
        <w:t>”</w:t>
      </w:r>
      <w:proofErr w:type="spellStart"/>
      <w:r>
        <w:rPr>
          <w:sz w:val="24"/>
          <w:szCs w:val="24"/>
          <w:lang w:eastAsia="da-DK"/>
        </w:rPr>
        <w:t>Krka</w:t>
      </w:r>
      <w:proofErr w:type="spellEnd"/>
      <w:r>
        <w:rPr>
          <w:sz w:val="24"/>
          <w:szCs w:val="24"/>
          <w:lang w:eastAsia="da-DK"/>
        </w:rPr>
        <w:t>”</w:t>
      </w:r>
      <w:r w:rsidRPr="00D961BD">
        <w:rPr>
          <w:sz w:val="24"/>
          <w:szCs w:val="24"/>
          <w:lang w:eastAsia="da-DK"/>
        </w:rPr>
        <w:t xml:space="preserve"> er tillægsbehandling</w:t>
      </w:r>
    </w:p>
    <w:p w:rsidR="00B73392" w:rsidRPr="00D961BD" w:rsidRDefault="00B73392" w:rsidP="00B73392">
      <w:pPr>
        <w:numPr>
          <w:ilvl w:val="0"/>
          <w:numId w:val="6"/>
        </w:numPr>
        <w:autoSpaceDE w:val="0"/>
        <w:autoSpaceDN w:val="0"/>
        <w:adjustRightInd w:val="0"/>
        <w:ind w:left="1276" w:hanging="425"/>
        <w:rPr>
          <w:sz w:val="24"/>
          <w:szCs w:val="24"/>
          <w:lang w:eastAsia="da-DK"/>
        </w:rPr>
      </w:pPr>
      <w:r w:rsidRPr="00D961BD">
        <w:rPr>
          <w:sz w:val="24"/>
          <w:szCs w:val="24"/>
          <w:lang w:eastAsia="da-DK"/>
        </w:rPr>
        <w:t>af voksne, børn og spædbørn over 1 måned med partiel epilepsi med eller uden sekundær generalisering.</w:t>
      </w:r>
    </w:p>
    <w:p w:rsidR="00B73392" w:rsidRPr="00D961BD" w:rsidRDefault="00B73392" w:rsidP="00B73392">
      <w:pPr>
        <w:numPr>
          <w:ilvl w:val="0"/>
          <w:numId w:val="6"/>
        </w:numPr>
        <w:autoSpaceDE w:val="0"/>
        <w:autoSpaceDN w:val="0"/>
        <w:adjustRightInd w:val="0"/>
        <w:ind w:left="1276" w:hanging="425"/>
        <w:rPr>
          <w:sz w:val="24"/>
          <w:szCs w:val="24"/>
          <w:lang w:eastAsia="da-DK"/>
        </w:rPr>
      </w:pPr>
      <w:r w:rsidRPr="00D961BD">
        <w:rPr>
          <w:sz w:val="24"/>
          <w:szCs w:val="24"/>
          <w:lang w:eastAsia="da-DK"/>
        </w:rPr>
        <w:t xml:space="preserve">af voksne og unge over 12 år med juvenil </w:t>
      </w:r>
      <w:proofErr w:type="spellStart"/>
      <w:r w:rsidRPr="00D961BD">
        <w:rPr>
          <w:sz w:val="24"/>
          <w:szCs w:val="24"/>
          <w:lang w:eastAsia="da-DK"/>
        </w:rPr>
        <w:t>myoklon</w:t>
      </w:r>
      <w:proofErr w:type="spellEnd"/>
      <w:r w:rsidRPr="00D961BD">
        <w:rPr>
          <w:sz w:val="24"/>
          <w:szCs w:val="24"/>
          <w:lang w:eastAsia="da-DK"/>
        </w:rPr>
        <w:t xml:space="preserve"> epilepsi med </w:t>
      </w:r>
      <w:proofErr w:type="spellStart"/>
      <w:r w:rsidRPr="00D961BD">
        <w:rPr>
          <w:sz w:val="24"/>
          <w:szCs w:val="24"/>
          <w:lang w:eastAsia="da-DK"/>
        </w:rPr>
        <w:t>myoklone</w:t>
      </w:r>
      <w:proofErr w:type="spellEnd"/>
      <w:r w:rsidRPr="00D961BD">
        <w:rPr>
          <w:sz w:val="24"/>
          <w:szCs w:val="24"/>
          <w:lang w:eastAsia="da-DK"/>
        </w:rPr>
        <w:t xml:space="preserve"> anfald.</w:t>
      </w:r>
    </w:p>
    <w:p w:rsidR="00B73392" w:rsidRPr="00D961BD" w:rsidRDefault="00B73392" w:rsidP="00B73392">
      <w:pPr>
        <w:numPr>
          <w:ilvl w:val="0"/>
          <w:numId w:val="6"/>
        </w:numPr>
        <w:autoSpaceDE w:val="0"/>
        <w:autoSpaceDN w:val="0"/>
        <w:adjustRightInd w:val="0"/>
        <w:ind w:left="1276" w:hanging="425"/>
        <w:rPr>
          <w:sz w:val="24"/>
          <w:szCs w:val="24"/>
        </w:rPr>
      </w:pPr>
      <w:r w:rsidRPr="00D961BD">
        <w:rPr>
          <w:sz w:val="24"/>
          <w:szCs w:val="24"/>
          <w:lang w:eastAsia="da-DK"/>
        </w:rPr>
        <w:t>af voksne og unge over 12 år med idiopatisk generaliseret epilepsi med primært generaliserede tonisk-kloniske anfald.</w:t>
      </w:r>
    </w:p>
    <w:p w:rsidR="00B73392" w:rsidRPr="00D961BD" w:rsidRDefault="00B73392" w:rsidP="00B73392">
      <w:pPr>
        <w:ind w:left="851" w:hanging="851"/>
        <w:rPr>
          <w:sz w:val="24"/>
          <w:szCs w:val="24"/>
        </w:rPr>
      </w:pPr>
      <w:r>
        <w:rPr>
          <w:sz w:val="24"/>
          <w:szCs w:val="24"/>
        </w:rPr>
        <w:br w:type="page"/>
      </w:r>
    </w:p>
    <w:p w:rsidR="00B73392" w:rsidRPr="00D961BD" w:rsidRDefault="00B73392" w:rsidP="00B73392">
      <w:pPr>
        <w:ind w:left="851" w:hanging="851"/>
        <w:rPr>
          <w:b/>
          <w:sz w:val="24"/>
          <w:szCs w:val="24"/>
        </w:rPr>
      </w:pPr>
      <w:r w:rsidRPr="00D961BD">
        <w:rPr>
          <w:b/>
          <w:sz w:val="24"/>
          <w:szCs w:val="24"/>
        </w:rPr>
        <w:lastRenderedPageBreak/>
        <w:t>4.2</w:t>
      </w:r>
      <w:r w:rsidRPr="00D961BD">
        <w:rPr>
          <w:b/>
          <w:sz w:val="24"/>
          <w:szCs w:val="24"/>
        </w:rPr>
        <w:tab/>
        <w:t xml:space="preserve">Dosering og </w:t>
      </w:r>
      <w:r w:rsidR="00A64731">
        <w:rPr>
          <w:b/>
          <w:sz w:val="24"/>
          <w:szCs w:val="24"/>
        </w:rPr>
        <w:t>administration</w:t>
      </w:r>
    </w:p>
    <w:p w:rsidR="00A64731" w:rsidRDefault="00B73392" w:rsidP="00A64731">
      <w:pPr>
        <w:ind w:left="851" w:hanging="851"/>
        <w:rPr>
          <w:noProof/>
          <w:sz w:val="24"/>
          <w:szCs w:val="24"/>
          <w:u w:val="single"/>
        </w:rPr>
      </w:pPr>
      <w:r w:rsidRPr="00D961BD">
        <w:rPr>
          <w:sz w:val="24"/>
          <w:szCs w:val="24"/>
        </w:rPr>
        <w:tab/>
      </w:r>
      <w:r w:rsidR="00A64731">
        <w:rPr>
          <w:noProof/>
          <w:sz w:val="24"/>
          <w:szCs w:val="24"/>
          <w:u w:val="single"/>
        </w:rPr>
        <w:t>Dosering</w:t>
      </w:r>
    </w:p>
    <w:p w:rsidR="00A64731" w:rsidRDefault="00A64731" w:rsidP="00A64731">
      <w:pPr>
        <w:ind w:left="851" w:hanging="851"/>
        <w:rPr>
          <w:noProof/>
          <w:sz w:val="24"/>
          <w:szCs w:val="24"/>
          <w:u w:val="single"/>
        </w:rPr>
      </w:pPr>
    </w:p>
    <w:p w:rsidR="00A64731" w:rsidRPr="00A64731" w:rsidRDefault="00A64731" w:rsidP="00A64731">
      <w:pPr>
        <w:autoSpaceDE w:val="0"/>
        <w:autoSpaceDN w:val="0"/>
        <w:adjustRightInd w:val="0"/>
        <w:ind w:left="851"/>
        <w:rPr>
          <w:i/>
          <w:iCs/>
          <w:sz w:val="24"/>
          <w:szCs w:val="24"/>
        </w:rPr>
      </w:pPr>
      <w:r w:rsidRPr="00A64731">
        <w:rPr>
          <w:i/>
          <w:iCs/>
          <w:sz w:val="24"/>
          <w:szCs w:val="24"/>
        </w:rPr>
        <w:t>Partielt udløste anfald</w:t>
      </w:r>
    </w:p>
    <w:p w:rsidR="00A64731" w:rsidRPr="00A64731" w:rsidRDefault="00A64731" w:rsidP="00A64731">
      <w:pPr>
        <w:autoSpaceDE w:val="0"/>
        <w:autoSpaceDN w:val="0"/>
        <w:adjustRightInd w:val="0"/>
        <w:ind w:left="851"/>
        <w:rPr>
          <w:iCs/>
          <w:sz w:val="24"/>
          <w:szCs w:val="24"/>
        </w:rPr>
      </w:pPr>
      <w:r w:rsidRPr="00A64731">
        <w:rPr>
          <w:iCs/>
          <w:sz w:val="24"/>
          <w:szCs w:val="24"/>
        </w:rPr>
        <w:t>Den anbefalede dosering ved monoterapi (fra 16 år) og tillægsbehandling er den samme; som beskrevet nedenfor.</w:t>
      </w:r>
    </w:p>
    <w:p w:rsidR="00A64731" w:rsidRPr="00A64731" w:rsidRDefault="00A64731" w:rsidP="00A64731">
      <w:pPr>
        <w:autoSpaceDE w:val="0"/>
        <w:autoSpaceDN w:val="0"/>
        <w:adjustRightInd w:val="0"/>
        <w:ind w:left="851"/>
        <w:rPr>
          <w:iCs/>
          <w:sz w:val="24"/>
          <w:szCs w:val="24"/>
        </w:rPr>
      </w:pPr>
    </w:p>
    <w:p w:rsidR="00A64731" w:rsidRPr="00A64731" w:rsidRDefault="00A64731" w:rsidP="00A64731">
      <w:pPr>
        <w:autoSpaceDE w:val="0"/>
        <w:autoSpaceDN w:val="0"/>
        <w:adjustRightInd w:val="0"/>
        <w:ind w:left="851"/>
        <w:rPr>
          <w:i/>
          <w:iCs/>
          <w:sz w:val="24"/>
          <w:szCs w:val="24"/>
        </w:rPr>
      </w:pPr>
      <w:r w:rsidRPr="00A64731">
        <w:rPr>
          <w:i/>
          <w:iCs/>
          <w:sz w:val="24"/>
          <w:szCs w:val="24"/>
        </w:rPr>
        <w:t>Alle indikationer</w:t>
      </w:r>
    </w:p>
    <w:p w:rsidR="00A64731" w:rsidRPr="00A64731" w:rsidRDefault="00A64731" w:rsidP="00A64731">
      <w:pPr>
        <w:autoSpaceDE w:val="0"/>
        <w:autoSpaceDN w:val="0"/>
        <w:adjustRightInd w:val="0"/>
        <w:ind w:left="851"/>
        <w:rPr>
          <w:i/>
          <w:iCs/>
          <w:sz w:val="24"/>
          <w:szCs w:val="24"/>
        </w:rPr>
      </w:pPr>
    </w:p>
    <w:p w:rsidR="00A64731" w:rsidRPr="00A64731" w:rsidRDefault="00A64731" w:rsidP="00A64731">
      <w:pPr>
        <w:autoSpaceDE w:val="0"/>
        <w:autoSpaceDN w:val="0"/>
        <w:adjustRightInd w:val="0"/>
        <w:ind w:left="851"/>
        <w:rPr>
          <w:i/>
          <w:iCs/>
          <w:sz w:val="24"/>
          <w:szCs w:val="24"/>
        </w:rPr>
      </w:pPr>
      <w:r w:rsidRPr="00A64731">
        <w:rPr>
          <w:i/>
          <w:iCs/>
          <w:sz w:val="24"/>
          <w:szCs w:val="24"/>
        </w:rPr>
        <w:t>Voksne (</w:t>
      </w:r>
      <w:r w:rsidRPr="00A64731">
        <w:rPr>
          <w:i/>
          <w:sz w:val="24"/>
          <w:szCs w:val="24"/>
        </w:rPr>
        <w:t xml:space="preserve">≥ </w:t>
      </w:r>
      <w:r w:rsidRPr="00A64731">
        <w:rPr>
          <w:i/>
          <w:iCs/>
          <w:sz w:val="24"/>
          <w:szCs w:val="24"/>
        </w:rPr>
        <w:t>18 år) og unge (12 til 17 år), som vejer 50 kg eller mere</w:t>
      </w:r>
    </w:p>
    <w:p w:rsidR="00A64731" w:rsidRPr="00A64731" w:rsidRDefault="00A64731" w:rsidP="00A64731">
      <w:pPr>
        <w:autoSpaceDE w:val="0"/>
        <w:autoSpaceDN w:val="0"/>
        <w:adjustRightInd w:val="0"/>
        <w:ind w:left="851" w:hanging="851"/>
        <w:rPr>
          <w:sz w:val="24"/>
          <w:szCs w:val="24"/>
        </w:rPr>
      </w:pPr>
    </w:p>
    <w:p w:rsidR="00A64731" w:rsidRPr="00A64731" w:rsidRDefault="00A64731" w:rsidP="00A64731">
      <w:pPr>
        <w:autoSpaceDE w:val="0"/>
        <w:autoSpaceDN w:val="0"/>
        <w:adjustRightInd w:val="0"/>
        <w:ind w:left="851"/>
        <w:rPr>
          <w:sz w:val="24"/>
          <w:szCs w:val="24"/>
          <w:lang w:eastAsia="da-DK"/>
        </w:rPr>
      </w:pPr>
      <w:r w:rsidRPr="00A64731">
        <w:rPr>
          <w:sz w:val="24"/>
          <w:szCs w:val="24"/>
          <w:lang w:eastAsia="da-DK"/>
        </w:rPr>
        <w:t xml:space="preserve">Den initiale terapeutiske dosis er 500 mg to gange dagligt. Man kan starte med denne dosering fra den første behandlingsdag. Der kan imidlertid gives en lavere initialdosis på 250 mg to gange dagligt baseret på lægens vurdering af </w:t>
      </w:r>
      <w:proofErr w:type="spellStart"/>
      <w:r w:rsidRPr="00A64731">
        <w:rPr>
          <w:sz w:val="24"/>
          <w:szCs w:val="24"/>
          <w:lang w:eastAsia="da-DK"/>
        </w:rPr>
        <w:t>anfaldsreduktion</w:t>
      </w:r>
      <w:proofErr w:type="spellEnd"/>
      <w:r w:rsidRPr="00A64731">
        <w:rPr>
          <w:sz w:val="24"/>
          <w:szCs w:val="24"/>
          <w:lang w:eastAsia="da-DK"/>
        </w:rPr>
        <w:t xml:space="preserve"> i forhold til potentielle bivirkninger. Dette kan øges til 500 mg to gange dagligt efter to uger.</w:t>
      </w:r>
    </w:p>
    <w:p w:rsidR="00A64731" w:rsidRPr="00A64731" w:rsidRDefault="00A64731" w:rsidP="00A64731">
      <w:pPr>
        <w:autoSpaceDE w:val="0"/>
        <w:autoSpaceDN w:val="0"/>
        <w:adjustRightInd w:val="0"/>
        <w:ind w:left="851"/>
        <w:rPr>
          <w:sz w:val="24"/>
          <w:szCs w:val="24"/>
          <w:lang w:eastAsia="da-DK"/>
        </w:rPr>
      </w:pPr>
    </w:p>
    <w:p w:rsidR="00A64731" w:rsidRPr="00A64731" w:rsidRDefault="00A64731" w:rsidP="00A64731">
      <w:pPr>
        <w:autoSpaceDE w:val="0"/>
        <w:autoSpaceDN w:val="0"/>
        <w:adjustRightInd w:val="0"/>
        <w:ind w:left="851"/>
        <w:rPr>
          <w:sz w:val="24"/>
          <w:szCs w:val="24"/>
          <w:lang w:eastAsia="da-DK"/>
        </w:rPr>
      </w:pPr>
      <w:r w:rsidRPr="00A64731">
        <w:rPr>
          <w:sz w:val="24"/>
          <w:szCs w:val="24"/>
          <w:lang w:eastAsia="da-DK"/>
        </w:rPr>
        <w:t xml:space="preserve">Afhængigt af klinisk virkning og </w:t>
      </w:r>
      <w:proofErr w:type="spellStart"/>
      <w:r w:rsidRPr="00A64731">
        <w:rPr>
          <w:sz w:val="24"/>
          <w:szCs w:val="24"/>
          <w:lang w:eastAsia="da-DK"/>
        </w:rPr>
        <w:t>tolerabilitet</w:t>
      </w:r>
      <w:proofErr w:type="spellEnd"/>
      <w:r w:rsidRPr="00A64731">
        <w:rPr>
          <w:sz w:val="24"/>
          <w:szCs w:val="24"/>
          <w:lang w:eastAsia="da-DK"/>
        </w:rPr>
        <w:t>, kan den daglige dosis øges til 1.500 mg to gange dagligt. Dosisændring kan gennemføres med en dosisøgning eller -reduktion på 250 mg eller 500 mg to gange dagligt hver anden til fjerde uge.</w:t>
      </w:r>
    </w:p>
    <w:p w:rsidR="00A64731" w:rsidRPr="00A64731" w:rsidRDefault="00A64731" w:rsidP="00A64731">
      <w:pPr>
        <w:autoSpaceDE w:val="0"/>
        <w:autoSpaceDN w:val="0"/>
        <w:adjustRightInd w:val="0"/>
        <w:ind w:left="851"/>
        <w:rPr>
          <w:sz w:val="24"/>
          <w:szCs w:val="24"/>
          <w:lang w:eastAsia="da-DK"/>
        </w:rPr>
      </w:pPr>
    </w:p>
    <w:p w:rsidR="00A64731" w:rsidRPr="00A64731" w:rsidRDefault="00A64731" w:rsidP="00A64731">
      <w:pPr>
        <w:autoSpaceDE w:val="0"/>
        <w:autoSpaceDN w:val="0"/>
        <w:adjustRightInd w:val="0"/>
        <w:ind w:left="851"/>
        <w:rPr>
          <w:i/>
          <w:sz w:val="24"/>
          <w:szCs w:val="24"/>
          <w:lang w:eastAsia="da-DK"/>
        </w:rPr>
      </w:pPr>
      <w:r w:rsidRPr="00A64731">
        <w:rPr>
          <w:i/>
          <w:sz w:val="24"/>
          <w:szCs w:val="24"/>
          <w:lang w:eastAsia="da-DK"/>
        </w:rPr>
        <w:t>Unge (12 til 17 år), som vejer under 50 kg, og børn over 1 måned</w:t>
      </w:r>
    </w:p>
    <w:p w:rsidR="00A64731" w:rsidRPr="00A64731" w:rsidRDefault="00A64731" w:rsidP="00A64731">
      <w:pPr>
        <w:autoSpaceDE w:val="0"/>
        <w:autoSpaceDN w:val="0"/>
        <w:adjustRightInd w:val="0"/>
        <w:ind w:left="851"/>
        <w:rPr>
          <w:i/>
          <w:sz w:val="24"/>
          <w:szCs w:val="24"/>
          <w:lang w:eastAsia="da-DK"/>
        </w:rPr>
      </w:pPr>
    </w:p>
    <w:p w:rsidR="00A64731" w:rsidRDefault="00A64731" w:rsidP="00A64731">
      <w:pPr>
        <w:autoSpaceDE w:val="0"/>
        <w:autoSpaceDN w:val="0"/>
        <w:adjustRightInd w:val="0"/>
        <w:ind w:left="851"/>
        <w:rPr>
          <w:sz w:val="24"/>
          <w:szCs w:val="24"/>
          <w:lang w:eastAsia="da-DK"/>
        </w:rPr>
      </w:pPr>
      <w:r w:rsidRPr="00A64731">
        <w:rPr>
          <w:sz w:val="24"/>
          <w:szCs w:val="24"/>
          <w:lang w:eastAsia="da-DK"/>
        </w:rPr>
        <w:t xml:space="preserve">Lægen bør ordinere den mest hensigtsmæssige lægemiddelform, pakningsstørrelse og styrke afhængigt af alder, vægt og dosis. Se afsnittet </w:t>
      </w:r>
      <w:r w:rsidRPr="00A64731">
        <w:rPr>
          <w:i/>
          <w:sz w:val="24"/>
          <w:szCs w:val="24"/>
          <w:lang w:eastAsia="da-DK"/>
        </w:rPr>
        <w:t>Pædiatrisk population</w:t>
      </w:r>
      <w:r w:rsidRPr="00A64731">
        <w:rPr>
          <w:sz w:val="24"/>
          <w:szCs w:val="24"/>
          <w:lang w:eastAsia="da-DK"/>
        </w:rPr>
        <w:t xml:space="preserve"> for dosisjusteringer baseret på vægt.</w:t>
      </w:r>
    </w:p>
    <w:p w:rsidR="00A64731" w:rsidRDefault="00A64731" w:rsidP="00A64731">
      <w:pPr>
        <w:autoSpaceDE w:val="0"/>
        <w:autoSpaceDN w:val="0"/>
        <w:adjustRightInd w:val="0"/>
        <w:ind w:left="851" w:hanging="851"/>
        <w:rPr>
          <w:sz w:val="24"/>
          <w:szCs w:val="24"/>
        </w:rPr>
      </w:pPr>
    </w:p>
    <w:p w:rsidR="00B73392" w:rsidRDefault="00B73392" w:rsidP="00A64731">
      <w:pPr>
        <w:ind w:left="851"/>
        <w:rPr>
          <w:sz w:val="24"/>
          <w:szCs w:val="24"/>
          <w:u w:val="single"/>
          <w:lang w:eastAsia="da-DK"/>
        </w:rPr>
      </w:pPr>
      <w:proofErr w:type="spellStart"/>
      <w:r>
        <w:rPr>
          <w:sz w:val="24"/>
          <w:szCs w:val="24"/>
          <w:u w:val="single"/>
          <w:lang w:eastAsia="da-DK"/>
        </w:rPr>
        <w:t>Seponering</w:t>
      </w:r>
      <w:proofErr w:type="spellEnd"/>
    </w:p>
    <w:p w:rsidR="00B73392" w:rsidRDefault="00B73392" w:rsidP="00B73392">
      <w:pPr>
        <w:autoSpaceDE w:val="0"/>
        <w:autoSpaceDN w:val="0"/>
        <w:adjustRightInd w:val="0"/>
        <w:ind w:left="851"/>
        <w:rPr>
          <w:sz w:val="24"/>
          <w:szCs w:val="24"/>
        </w:rPr>
      </w:pPr>
      <w:r>
        <w:rPr>
          <w:sz w:val="24"/>
          <w:szCs w:val="24"/>
          <w:lang w:eastAsia="da-DK"/>
        </w:rPr>
        <w:t xml:space="preserve">Hvis behandlingen med </w:t>
      </w:r>
      <w:proofErr w:type="spellStart"/>
      <w:r>
        <w:rPr>
          <w:sz w:val="24"/>
          <w:szCs w:val="24"/>
          <w:lang w:eastAsia="da-DK"/>
        </w:rPr>
        <w:t>levetiracetam</w:t>
      </w:r>
      <w:proofErr w:type="spellEnd"/>
      <w:r>
        <w:rPr>
          <w:sz w:val="24"/>
          <w:szCs w:val="24"/>
          <w:lang w:eastAsia="da-DK"/>
        </w:rPr>
        <w:t xml:space="preserve"> skal afbrydes, anbefales det at seponere det gradvist (f.eks. for voksne og unge, som vejer mere end 50 kg: reduktion med 500 mg to gange dagligt hver anden til fjerde uge; for spædbørn over 6 måneder, børn og unge, som vejer under 50 kg: dosis bør ikke reduceres med mere end 10 mg/kg to gange dagligt hver anden uge; for spædbørn (under 6 måneder): dosis bør ikke reduceres med mere end 7 mg/kg to gange dagligt hver anden uge).</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u w:val="single"/>
        </w:rPr>
      </w:pPr>
      <w:r>
        <w:rPr>
          <w:sz w:val="24"/>
          <w:szCs w:val="24"/>
          <w:u w:val="single"/>
        </w:rPr>
        <w:t>Særlige populationer</w:t>
      </w:r>
    </w:p>
    <w:p w:rsidR="00B73392" w:rsidRDefault="00B73392" w:rsidP="00B73392">
      <w:pPr>
        <w:autoSpaceDE w:val="0"/>
        <w:autoSpaceDN w:val="0"/>
        <w:adjustRightInd w:val="0"/>
        <w:ind w:left="851"/>
        <w:rPr>
          <w:i/>
          <w:iCs/>
          <w:sz w:val="24"/>
          <w:szCs w:val="24"/>
        </w:rPr>
      </w:pPr>
      <w:r>
        <w:rPr>
          <w:i/>
          <w:iCs/>
          <w:sz w:val="24"/>
          <w:szCs w:val="24"/>
        </w:rPr>
        <w:t>Ældre (65 år og derover)</w:t>
      </w:r>
    </w:p>
    <w:p w:rsidR="00B73392" w:rsidRDefault="00B73392" w:rsidP="00B73392">
      <w:pPr>
        <w:autoSpaceDE w:val="0"/>
        <w:autoSpaceDN w:val="0"/>
        <w:adjustRightInd w:val="0"/>
        <w:ind w:left="851"/>
        <w:rPr>
          <w:sz w:val="24"/>
          <w:szCs w:val="24"/>
          <w:lang w:eastAsia="da-DK"/>
        </w:rPr>
      </w:pPr>
      <w:r>
        <w:rPr>
          <w:sz w:val="24"/>
          <w:szCs w:val="24"/>
          <w:lang w:eastAsia="da-DK"/>
        </w:rPr>
        <w:t>Justering af dosis anbefales hos ældre patienter med nedsat nyrefunktion (se “Nedsat nyrefunktion” nedenfor).</w:t>
      </w:r>
    </w:p>
    <w:p w:rsidR="00B73392" w:rsidRDefault="00B73392" w:rsidP="00B73392">
      <w:pPr>
        <w:ind w:left="851" w:hanging="851"/>
        <w:rPr>
          <w:sz w:val="24"/>
          <w:szCs w:val="24"/>
        </w:rPr>
      </w:pPr>
    </w:p>
    <w:p w:rsidR="00B73392" w:rsidRDefault="00B73392" w:rsidP="00B73392">
      <w:pPr>
        <w:autoSpaceDE w:val="0"/>
        <w:autoSpaceDN w:val="0"/>
        <w:adjustRightInd w:val="0"/>
        <w:ind w:left="851"/>
        <w:rPr>
          <w:i/>
          <w:iCs/>
          <w:sz w:val="24"/>
          <w:szCs w:val="24"/>
        </w:rPr>
      </w:pPr>
      <w:r>
        <w:rPr>
          <w:i/>
          <w:iCs/>
          <w:sz w:val="24"/>
          <w:szCs w:val="24"/>
        </w:rPr>
        <w:t>Nedsat nyrefunktion</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Den daglige dosis skal justeres individuelt i forhold til nyrefunktion.</w:t>
      </w:r>
    </w:p>
    <w:p w:rsidR="00B73392" w:rsidRDefault="00B73392" w:rsidP="00B73392">
      <w:pPr>
        <w:autoSpaceDE w:val="0"/>
        <w:autoSpaceDN w:val="0"/>
        <w:adjustRightInd w:val="0"/>
        <w:ind w:left="851" w:hanging="851"/>
        <w:rPr>
          <w:sz w:val="24"/>
          <w:szCs w:val="24"/>
          <w:lang w:eastAsia="da-DK"/>
        </w:rPr>
      </w:pPr>
    </w:p>
    <w:p w:rsidR="00B73392" w:rsidRDefault="00B73392" w:rsidP="00B73392">
      <w:pPr>
        <w:pStyle w:val="Default"/>
        <w:ind w:left="851"/>
        <w:rPr>
          <w:lang w:val="da-DK"/>
        </w:rPr>
      </w:pPr>
      <w:r>
        <w:rPr>
          <w:lang w:val="da-DK"/>
        </w:rPr>
        <w:t xml:space="preserve">Dosis hos voksne skal justeres i henhold til nedenstående tabel. For at anvende denne doseringstabel er det nødvendigt at beregne patientens </w:t>
      </w:r>
      <w:proofErr w:type="spellStart"/>
      <w:r>
        <w:rPr>
          <w:lang w:val="da-DK"/>
        </w:rPr>
        <w:t>kreatininclearance</w:t>
      </w:r>
      <w:proofErr w:type="spellEnd"/>
      <w:r>
        <w:rPr>
          <w:lang w:val="da-DK"/>
        </w:rPr>
        <w:t xml:space="preserve"> (</w:t>
      </w:r>
      <w:proofErr w:type="spellStart"/>
      <w:r>
        <w:rPr>
          <w:lang w:val="da-DK"/>
        </w:rPr>
        <w:t>CLcr</w:t>
      </w:r>
      <w:proofErr w:type="spellEnd"/>
      <w:r>
        <w:rPr>
          <w:lang w:val="da-DK"/>
        </w:rPr>
        <w:t xml:space="preserve">) i ml/min. Hos voksne og unge, som vejer over 50 kg, kan </w:t>
      </w:r>
      <w:proofErr w:type="spellStart"/>
      <w:r>
        <w:rPr>
          <w:lang w:val="da-DK"/>
        </w:rPr>
        <w:t>CLcr</w:t>
      </w:r>
      <w:proofErr w:type="spellEnd"/>
      <w:r>
        <w:rPr>
          <w:lang w:val="da-DK"/>
        </w:rPr>
        <w:t xml:space="preserve"> i ml/min beregnes ud fra serum-</w:t>
      </w:r>
      <w:proofErr w:type="spellStart"/>
      <w:r>
        <w:rPr>
          <w:lang w:val="da-DK"/>
        </w:rPr>
        <w:t>kreatinin</w:t>
      </w:r>
      <w:proofErr w:type="spellEnd"/>
      <w:r>
        <w:rPr>
          <w:lang w:val="da-DK"/>
        </w:rPr>
        <w:t xml:space="preserve"> (mg/dl) ved at anvende følgende formel: </w:t>
      </w:r>
    </w:p>
    <w:p w:rsidR="00B73392" w:rsidRDefault="00B73392" w:rsidP="00B73392">
      <w:pPr>
        <w:autoSpaceDE w:val="0"/>
        <w:autoSpaceDN w:val="0"/>
        <w:adjustRightInd w:val="0"/>
        <w:ind w:left="851" w:hanging="851"/>
        <w:rPr>
          <w:iCs/>
          <w:sz w:val="24"/>
          <w:szCs w:val="24"/>
        </w:rPr>
      </w:pPr>
    </w:p>
    <w:tbl>
      <w:tblPr>
        <w:tblW w:w="4405" w:type="pct"/>
        <w:tblInd w:w="959" w:type="dxa"/>
        <w:tblLook w:val="01E0" w:firstRow="1" w:lastRow="1" w:firstColumn="1" w:lastColumn="1" w:noHBand="0" w:noVBand="0"/>
      </w:tblPr>
      <w:tblGrid>
        <w:gridCol w:w="2081"/>
        <w:gridCol w:w="3605"/>
        <w:gridCol w:w="2805"/>
      </w:tblGrid>
      <w:tr w:rsidR="00B73392" w:rsidTr="00A64731">
        <w:trPr>
          <w:trHeight w:val="278"/>
        </w:trPr>
        <w:tc>
          <w:tcPr>
            <w:tcW w:w="1225" w:type="pct"/>
            <w:vMerge w:val="restart"/>
            <w:hideMark/>
          </w:tcPr>
          <w:p w:rsidR="00B73392" w:rsidRDefault="00B73392" w:rsidP="00A64731">
            <w:pPr>
              <w:spacing w:line="400" w:lineRule="exact"/>
              <w:ind w:left="851" w:hanging="851"/>
              <w:rPr>
                <w:iCs/>
                <w:sz w:val="24"/>
                <w:szCs w:val="24"/>
              </w:rPr>
            </w:pPr>
            <w:proofErr w:type="spellStart"/>
            <w:r>
              <w:rPr>
                <w:sz w:val="24"/>
                <w:szCs w:val="24"/>
                <w:lang w:val="en-GB"/>
              </w:rPr>
              <w:t>CLcr</w:t>
            </w:r>
            <w:proofErr w:type="spellEnd"/>
            <w:r>
              <w:rPr>
                <w:sz w:val="24"/>
                <w:szCs w:val="24"/>
                <w:lang w:val="en-GB"/>
              </w:rPr>
              <w:t xml:space="preserve"> (ml/min) =</w:t>
            </w:r>
          </w:p>
        </w:tc>
        <w:tc>
          <w:tcPr>
            <w:tcW w:w="2122" w:type="pct"/>
            <w:tcBorders>
              <w:top w:val="nil"/>
              <w:left w:val="nil"/>
              <w:bottom w:val="single" w:sz="4" w:space="0" w:color="auto"/>
              <w:right w:val="nil"/>
            </w:tcBorders>
            <w:hideMark/>
          </w:tcPr>
          <w:p w:rsidR="00B73392" w:rsidRDefault="00B73392" w:rsidP="00A64731">
            <w:pPr>
              <w:spacing w:line="360" w:lineRule="exact"/>
              <w:ind w:left="851" w:hanging="851"/>
              <w:rPr>
                <w:iCs/>
                <w:sz w:val="24"/>
                <w:szCs w:val="24"/>
              </w:rPr>
            </w:pPr>
            <w:r>
              <w:rPr>
                <w:sz w:val="24"/>
                <w:szCs w:val="24"/>
              </w:rPr>
              <w:t>[140-alder (år)] x vægt (kg)</w:t>
            </w:r>
          </w:p>
        </w:tc>
        <w:tc>
          <w:tcPr>
            <w:tcW w:w="1652" w:type="pct"/>
            <w:vMerge w:val="restart"/>
            <w:hideMark/>
          </w:tcPr>
          <w:p w:rsidR="00B73392" w:rsidRDefault="00B73392" w:rsidP="00A64731">
            <w:pPr>
              <w:spacing w:line="360" w:lineRule="exact"/>
              <w:ind w:left="851" w:hanging="851"/>
              <w:rPr>
                <w:iCs/>
                <w:sz w:val="24"/>
                <w:szCs w:val="24"/>
              </w:rPr>
            </w:pPr>
            <w:r>
              <w:rPr>
                <w:sz w:val="24"/>
                <w:szCs w:val="24"/>
                <w:lang w:val="en-GB"/>
              </w:rPr>
              <w:t xml:space="preserve">(x 0,85 for </w:t>
            </w:r>
            <w:proofErr w:type="spellStart"/>
            <w:r>
              <w:rPr>
                <w:sz w:val="24"/>
                <w:szCs w:val="24"/>
                <w:lang w:val="en-GB"/>
              </w:rPr>
              <w:t>kvinder</w:t>
            </w:r>
            <w:proofErr w:type="spellEnd"/>
            <w:r>
              <w:rPr>
                <w:sz w:val="24"/>
                <w:szCs w:val="24"/>
                <w:lang w:val="en-GB"/>
              </w:rPr>
              <w:t>)</w:t>
            </w:r>
          </w:p>
        </w:tc>
      </w:tr>
      <w:tr w:rsidR="00B73392" w:rsidTr="00A64731">
        <w:tc>
          <w:tcPr>
            <w:tcW w:w="0" w:type="auto"/>
            <w:vMerge/>
            <w:vAlign w:val="center"/>
            <w:hideMark/>
          </w:tcPr>
          <w:p w:rsidR="00B73392" w:rsidRDefault="00B73392" w:rsidP="00A64731">
            <w:pPr>
              <w:rPr>
                <w:iCs/>
                <w:sz w:val="24"/>
                <w:szCs w:val="24"/>
              </w:rPr>
            </w:pPr>
          </w:p>
        </w:tc>
        <w:tc>
          <w:tcPr>
            <w:tcW w:w="2122" w:type="pct"/>
            <w:tcBorders>
              <w:top w:val="single" w:sz="4" w:space="0" w:color="auto"/>
              <w:left w:val="nil"/>
              <w:bottom w:val="nil"/>
              <w:right w:val="nil"/>
            </w:tcBorders>
            <w:hideMark/>
          </w:tcPr>
          <w:p w:rsidR="00B73392" w:rsidRDefault="00B73392" w:rsidP="00A64731">
            <w:pPr>
              <w:ind w:left="851" w:hanging="851"/>
              <w:rPr>
                <w:iCs/>
                <w:sz w:val="24"/>
                <w:szCs w:val="24"/>
                <w:lang w:val="en-US"/>
              </w:rPr>
            </w:pPr>
            <w:r>
              <w:rPr>
                <w:sz w:val="24"/>
                <w:szCs w:val="24"/>
                <w:lang w:val="en-GB"/>
              </w:rPr>
              <w:t xml:space="preserve">72 x </w:t>
            </w:r>
            <w:proofErr w:type="spellStart"/>
            <w:r>
              <w:rPr>
                <w:sz w:val="24"/>
                <w:szCs w:val="24"/>
                <w:lang w:val="en-GB"/>
              </w:rPr>
              <w:t>serumkreatinin</w:t>
            </w:r>
            <w:proofErr w:type="spellEnd"/>
            <w:r>
              <w:rPr>
                <w:sz w:val="24"/>
                <w:szCs w:val="24"/>
                <w:lang w:val="en-GB"/>
              </w:rPr>
              <w:t xml:space="preserve"> (mg/dl)</w:t>
            </w:r>
          </w:p>
        </w:tc>
        <w:tc>
          <w:tcPr>
            <w:tcW w:w="0" w:type="auto"/>
            <w:vMerge/>
            <w:vAlign w:val="center"/>
            <w:hideMark/>
          </w:tcPr>
          <w:p w:rsidR="00B73392" w:rsidRDefault="00B73392" w:rsidP="00A64731">
            <w:pPr>
              <w:rPr>
                <w:iCs/>
                <w:sz w:val="24"/>
                <w:szCs w:val="24"/>
              </w:rPr>
            </w:pPr>
          </w:p>
        </w:tc>
      </w:tr>
    </w:tbl>
    <w:p w:rsidR="00B73392" w:rsidRDefault="00B73392" w:rsidP="00B73392">
      <w:pPr>
        <w:ind w:left="851" w:hanging="851"/>
        <w:rPr>
          <w:sz w:val="24"/>
          <w:szCs w:val="24"/>
          <w:lang w:val="en-GB"/>
        </w:rPr>
      </w:pPr>
    </w:p>
    <w:p w:rsidR="00B73392" w:rsidRDefault="00B73392" w:rsidP="00B73392">
      <w:pPr>
        <w:ind w:left="851"/>
        <w:rPr>
          <w:sz w:val="24"/>
          <w:szCs w:val="24"/>
        </w:rPr>
      </w:pPr>
      <w:r>
        <w:rPr>
          <w:sz w:val="24"/>
          <w:szCs w:val="24"/>
        </w:rPr>
        <w:lastRenderedPageBreak/>
        <w:t xml:space="preserve">Derefter justeres </w:t>
      </w:r>
      <w:proofErr w:type="spellStart"/>
      <w:r>
        <w:rPr>
          <w:sz w:val="24"/>
          <w:szCs w:val="24"/>
        </w:rPr>
        <w:t>CLcr</w:t>
      </w:r>
      <w:proofErr w:type="spellEnd"/>
      <w:r>
        <w:rPr>
          <w:sz w:val="24"/>
          <w:szCs w:val="24"/>
        </w:rPr>
        <w:t xml:space="preserve"> for legemsoverfladeareal (BSA) på følgende måde:</w:t>
      </w:r>
    </w:p>
    <w:p w:rsidR="00B73392" w:rsidRDefault="00B73392" w:rsidP="00B73392">
      <w:pPr>
        <w:ind w:left="851" w:hanging="851"/>
        <w:rPr>
          <w:iCs/>
          <w:sz w:val="24"/>
          <w:szCs w:val="24"/>
        </w:rPr>
      </w:pPr>
    </w:p>
    <w:tbl>
      <w:tblPr>
        <w:tblW w:w="4460" w:type="pct"/>
        <w:tblInd w:w="817" w:type="dxa"/>
        <w:tblLook w:val="01E0" w:firstRow="1" w:lastRow="1" w:firstColumn="1" w:lastColumn="1" w:noHBand="0" w:noVBand="0"/>
      </w:tblPr>
      <w:tblGrid>
        <w:gridCol w:w="2634"/>
        <w:gridCol w:w="2650"/>
        <w:gridCol w:w="3313"/>
      </w:tblGrid>
      <w:tr w:rsidR="00B73392" w:rsidTr="00A64731">
        <w:trPr>
          <w:trHeight w:val="278"/>
        </w:trPr>
        <w:tc>
          <w:tcPr>
            <w:tcW w:w="1532" w:type="pct"/>
            <w:vMerge w:val="restart"/>
            <w:hideMark/>
          </w:tcPr>
          <w:p w:rsidR="00B73392" w:rsidRDefault="00B73392" w:rsidP="00A64731">
            <w:pPr>
              <w:spacing w:line="400" w:lineRule="exact"/>
              <w:ind w:left="851" w:hanging="851"/>
              <w:jc w:val="center"/>
              <w:rPr>
                <w:iCs/>
                <w:sz w:val="24"/>
                <w:szCs w:val="24"/>
              </w:rPr>
            </w:pPr>
            <w:proofErr w:type="spellStart"/>
            <w:r>
              <w:rPr>
                <w:sz w:val="24"/>
                <w:szCs w:val="24"/>
                <w:lang w:val="en-GB"/>
              </w:rPr>
              <w:t>CLcr</w:t>
            </w:r>
            <w:proofErr w:type="spellEnd"/>
            <w:r>
              <w:rPr>
                <w:sz w:val="24"/>
                <w:szCs w:val="24"/>
                <w:lang w:val="en-GB"/>
              </w:rPr>
              <w:t xml:space="preserve"> (ml/min/1,73 m</w:t>
            </w:r>
            <w:r>
              <w:rPr>
                <w:sz w:val="24"/>
                <w:szCs w:val="24"/>
                <w:vertAlign w:val="superscript"/>
                <w:lang w:val="en-GB"/>
              </w:rPr>
              <w:t>2</w:t>
            </w:r>
            <w:r>
              <w:rPr>
                <w:sz w:val="24"/>
                <w:szCs w:val="24"/>
                <w:lang w:val="en-GB"/>
              </w:rPr>
              <w:t>) =</w:t>
            </w:r>
          </w:p>
        </w:tc>
        <w:tc>
          <w:tcPr>
            <w:tcW w:w="1541" w:type="pct"/>
            <w:tcBorders>
              <w:top w:val="nil"/>
              <w:left w:val="nil"/>
              <w:bottom w:val="single" w:sz="4" w:space="0" w:color="auto"/>
              <w:right w:val="nil"/>
            </w:tcBorders>
            <w:hideMark/>
          </w:tcPr>
          <w:p w:rsidR="00B73392" w:rsidRDefault="00B73392" w:rsidP="00A64731">
            <w:pPr>
              <w:spacing w:line="360" w:lineRule="exact"/>
              <w:ind w:left="851" w:hanging="851"/>
              <w:jc w:val="center"/>
              <w:rPr>
                <w:iCs/>
                <w:sz w:val="24"/>
                <w:szCs w:val="24"/>
              </w:rPr>
            </w:pPr>
            <w:proofErr w:type="spellStart"/>
            <w:r>
              <w:rPr>
                <w:sz w:val="24"/>
                <w:szCs w:val="24"/>
              </w:rPr>
              <w:t>CLcr</w:t>
            </w:r>
            <w:proofErr w:type="spellEnd"/>
            <w:r>
              <w:rPr>
                <w:sz w:val="24"/>
                <w:szCs w:val="24"/>
              </w:rPr>
              <w:t xml:space="preserve"> (ml/min)</w:t>
            </w:r>
          </w:p>
        </w:tc>
        <w:tc>
          <w:tcPr>
            <w:tcW w:w="1927" w:type="pct"/>
            <w:vMerge w:val="restart"/>
            <w:hideMark/>
          </w:tcPr>
          <w:p w:rsidR="00B73392" w:rsidRDefault="00B73392" w:rsidP="00A64731">
            <w:pPr>
              <w:spacing w:line="360" w:lineRule="exact"/>
              <w:ind w:left="851" w:hanging="851"/>
              <w:rPr>
                <w:iCs/>
                <w:sz w:val="24"/>
                <w:szCs w:val="24"/>
              </w:rPr>
            </w:pPr>
            <w:r>
              <w:rPr>
                <w:sz w:val="24"/>
                <w:szCs w:val="24"/>
                <w:lang w:val="en-GB"/>
              </w:rPr>
              <w:t>x 1,73</w:t>
            </w:r>
          </w:p>
        </w:tc>
      </w:tr>
      <w:tr w:rsidR="00B73392" w:rsidTr="00A64731">
        <w:tc>
          <w:tcPr>
            <w:tcW w:w="0" w:type="auto"/>
            <w:vMerge/>
            <w:vAlign w:val="center"/>
            <w:hideMark/>
          </w:tcPr>
          <w:p w:rsidR="00B73392" w:rsidRDefault="00B73392" w:rsidP="00A64731">
            <w:pPr>
              <w:rPr>
                <w:iCs/>
                <w:sz w:val="24"/>
                <w:szCs w:val="24"/>
              </w:rPr>
            </w:pPr>
          </w:p>
        </w:tc>
        <w:tc>
          <w:tcPr>
            <w:tcW w:w="1541" w:type="pct"/>
            <w:tcBorders>
              <w:top w:val="single" w:sz="4" w:space="0" w:color="auto"/>
              <w:left w:val="nil"/>
              <w:bottom w:val="nil"/>
              <w:right w:val="nil"/>
            </w:tcBorders>
            <w:hideMark/>
          </w:tcPr>
          <w:p w:rsidR="00B73392" w:rsidRDefault="00B73392" w:rsidP="00A64731">
            <w:pPr>
              <w:ind w:left="851" w:hanging="851"/>
              <w:jc w:val="center"/>
              <w:rPr>
                <w:iCs/>
                <w:sz w:val="24"/>
                <w:szCs w:val="24"/>
              </w:rPr>
            </w:pPr>
            <w:r>
              <w:rPr>
                <w:sz w:val="24"/>
                <w:szCs w:val="24"/>
              </w:rPr>
              <w:t>Personens BSA (m</w:t>
            </w:r>
            <w:r>
              <w:rPr>
                <w:sz w:val="24"/>
                <w:szCs w:val="24"/>
                <w:vertAlign w:val="superscript"/>
              </w:rPr>
              <w:t>2</w:t>
            </w:r>
            <w:r>
              <w:rPr>
                <w:sz w:val="24"/>
                <w:szCs w:val="24"/>
              </w:rPr>
              <w:t>)</w:t>
            </w:r>
          </w:p>
        </w:tc>
        <w:tc>
          <w:tcPr>
            <w:tcW w:w="0" w:type="auto"/>
            <w:vMerge/>
            <w:vAlign w:val="center"/>
            <w:hideMark/>
          </w:tcPr>
          <w:p w:rsidR="00B73392" w:rsidRDefault="00B73392" w:rsidP="00A64731">
            <w:pPr>
              <w:rPr>
                <w:iCs/>
                <w:sz w:val="24"/>
                <w:szCs w:val="24"/>
              </w:rPr>
            </w:pPr>
          </w:p>
        </w:tc>
      </w:tr>
    </w:tbl>
    <w:p w:rsidR="00B73392" w:rsidRDefault="00B73392" w:rsidP="00B73392">
      <w:pPr>
        <w:ind w:left="851" w:hanging="851"/>
        <w:rPr>
          <w:sz w:val="24"/>
          <w:szCs w:val="24"/>
          <w:lang w:val="en-GB"/>
        </w:rPr>
      </w:pPr>
    </w:p>
    <w:p w:rsidR="00B73392" w:rsidRDefault="00B73392" w:rsidP="00B73392">
      <w:pPr>
        <w:pStyle w:val="Default"/>
        <w:ind w:left="851"/>
        <w:rPr>
          <w:lang w:val="da-DK"/>
        </w:rPr>
      </w:pPr>
    </w:p>
    <w:p w:rsidR="00B73392" w:rsidRDefault="00B73392" w:rsidP="00B73392">
      <w:pPr>
        <w:pStyle w:val="Default"/>
        <w:ind w:left="851"/>
        <w:rPr>
          <w:lang w:val="da-DK"/>
        </w:rPr>
      </w:pPr>
    </w:p>
    <w:p w:rsidR="00B73392" w:rsidRDefault="00B73392" w:rsidP="00B73392">
      <w:pPr>
        <w:pStyle w:val="Default"/>
        <w:ind w:left="851"/>
        <w:rPr>
          <w:lang w:val="da-DK"/>
        </w:rPr>
      </w:pPr>
      <w:r>
        <w:rPr>
          <w:lang w:val="da-DK"/>
        </w:rPr>
        <w:t>Dosisjustering for voksne og unge patienter, der vejer mere end 50 kg, med nedsat nyrefunktion:</w:t>
      </w:r>
    </w:p>
    <w:p w:rsidR="00B73392" w:rsidRDefault="00B73392" w:rsidP="00B73392">
      <w:pPr>
        <w:pStyle w:val="Default"/>
        <w:ind w:left="851" w:hanging="851"/>
        <w:rPr>
          <w:lang w:val="da-DK"/>
        </w:rPr>
      </w:pPr>
    </w:p>
    <w:tbl>
      <w:tblPr>
        <w:tblW w:w="4459" w:type="pct"/>
        <w:tblInd w:w="9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13"/>
        <w:gridCol w:w="2388"/>
        <w:gridCol w:w="2994"/>
      </w:tblGrid>
      <w:tr w:rsidR="00B73392" w:rsidTr="00A64731">
        <w:tc>
          <w:tcPr>
            <w:tcW w:w="1869" w:type="pct"/>
            <w:tcBorders>
              <w:top w:val="single" w:sz="4" w:space="0" w:color="auto"/>
              <w:left w:val="nil"/>
              <w:bottom w:val="single" w:sz="4" w:space="0" w:color="auto"/>
              <w:right w:val="nil"/>
            </w:tcBorders>
            <w:hideMark/>
          </w:tcPr>
          <w:p w:rsidR="00B73392" w:rsidRDefault="00B73392" w:rsidP="00A64731">
            <w:pPr>
              <w:rPr>
                <w:sz w:val="24"/>
                <w:szCs w:val="24"/>
                <w:lang w:val="en-GB"/>
              </w:rPr>
            </w:pPr>
            <w:r>
              <w:rPr>
                <w:sz w:val="24"/>
                <w:szCs w:val="24"/>
              </w:rPr>
              <w:t>Gruppe</w:t>
            </w:r>
          </w:p>
        </w:tc>
        <w:tc>
          <w:tcPr>
            <w:tcW w:w="1389" w:type="pct"/>
            <w:tcBorders>
              <w:top w:val="single" w:sz="4" w:space="0" w:color="auto"/>
              <w:left w:val="nil"/>
              <w:bottom w:val="single" w:sz="4" w:space="0" w:color="auto"/>
              <w:right w:val="nil"/>
            </w:tcBorders>
            <w:hideMark/>
          </w:tcPr>
          <w:p w:rsidR="00B73392" w:rsidRDefault="00B73392" w:rsidP="00A64731">
            <w:pPr>
              <w:rPr>
                <w:sz w:val="24"/>
                <w:szCs w:val="24"/>
                <w:lang w:val="en-US"/>
              </w:rPr>
            </w:pPr>
            <w:proofErr w:type="spellStart"/>
            <w:r>
              <w:rPr>
                <w:sz w:val="24"/>
                <w:szCs w:val="24"/>
                <w:lang w:val="en-US"/>
              </w:rPr>
              <w:t>kreatininclearance</w:t>
            </w:r>
            <w:proofErr w:type="spellEnd"/>
          </w:p>
          <w:p w:rsidR="00B73392" w:rsidRDefault="00B73392" w:rsidP="00A64731">
            <w:pPr>
              <w:rPr>
                <w:sz w:val="24"/>
                <w:szCs w:val="24"/>
                <w:lang w:val="en-GB"/>
              </w:rPr>
            </w:pPr>
            <w:r>
              <w:rPr>
                <w:sz w:val="24"/>
                <w:szCs w:val="24"/>
                <w:lang w:val="en-US"/>
              </w:rPr>
              <w:t>(ml/min/1,73m</w:t>
            </w:r>
            <w:r>
              <w:rPr>
                <w:sz w:val="24"/>
                <w:szCs w:val="24"/>
                <w:vertAlign w:val="superscript"/>
                <w:lang w:val="en-US"/>
              </w:rPr>
              <w:t>2</w:t>
            </w:r>
            <w:r>
              <w:rPr>
                <w:sz w:val="24"/>
                <w:szCs w:val="24"/>
                <w:lang w:val="en-US"/>
              </w:rPr>
              <w:t>)</w:t>
            </w:r>
          </w:p>
        </w:tc>
        <w:tc>
          <w:tcPr>
            <w:tcW w:w="1742" w:type="pct"/>
            <w:tcBorders>
              <w:top w:val="single" w:sz="4" w:space="0" w:color="auto"/>
              <w:left w:val="nil"/>
              <w:bottom w:val="single" w:sz="4" w:space="0" w:color="auto"/>
              <w:right w:val="nil"/>
            </w:tcBorders>
            <w:hideMark/>
          </w:tcPr>
          <w:p w:rsidR="00B73392" w:rsidRDefault="00B73392" w:rsidP="00A64731">
            <w:pPr>
              <w:rPr>
                <w:sz w:val="24"/>
                <w:szCs w:val="24"/>
                <w:lang w:val="en-GB"/>
              </w:rPr>
            </w:pPr>
            <w:r>
              <w:rPr>
                <w:sz w:val="24"/>
                <w:szCs w:val="24"/>
              </w:rPr>
              <w:t>Dosis og doseringshyppighed</w:t>
            </w:r>
          </w:p>
        </w:tc>
      </w:tr>
      <w:tr w:rsidR="00B73392" w:rsidTr="00A64731">
        <w:tc>
          <w:tcPr>
            <w:tcW w:w="1869" w:type="pct"/>
            <w:tcBorders>
              <w:top w:val="single" w:sz="4" w:space="0" w:color="auto"/>
              <w:left w:val="nil"/>
              <w:bottom w:val="nil"/>
              <w:right w:val="nil"/>
            </w:tcBorders>
            <w:hideMark/>
          </w:tcPr>
          <w:p w:rsidR="00B73392" w:rsidRPr="002775A7" w:rsidRDefault="00B73392" w:rsidP="00A64731">
            <w:pPr>
              <w:rPr>
                <w:sz w:val="24"/>
                <w:szCs w:val="24"/>
                <w:lang w:val="en-GB"/>
              </w:rPr>
            </w:pPr>
            <w:r w:rsidRPr="002775A7">
              <w:rPr>
                <w:sz w:val="24"/>
                <w:szCs w:val="24"/>
              </w:rPr>
              <w:t>Normal</w:t>
            </w:r>
          </w:p>
        </w:tc>
        <w:tc>
          <w:tcPr>
            <w:tcW w:w="1389" w:type="pct"/>
            <w:tcBorders>
              <w:top w:val="single" w:sz="4" w:space="0" w:color="auto"/>
              <w:left w:val="nil"/>
              <w:bottom w:val="nil"/>
              <w:right w:val="nil"/>
            </w:tcBorders>
            <w:hideMark/>
          </w:tcPr>
          <w:p w:rsidR="00B73392" w:rsidRPr="002775A7" w:rsidRDefault="002775A7" w:rsidP="00A64731">
            <w:pPr>
              <w:rPr>
                <w:sz w:val="24"/>
                <w:szCs w:val="24"/>
                <w:lang w:val="en-GB"/>
              </w:rPr>
            </w:pPr>
            <w:r w:rsidRPr="002775A7">
              <w:rPr>
                <w:sz w:val="24"/>
                <w:szCs w:val="24"/>
              </w:rPr>
              <w:t>≥ 80</w:t>
            </w:r>
          </w:p>
        </w:tc>
        <w:tc>
          <w:tcPr>
            <w:tcW w:w="1742" w:type="pct"/>
            <w:tcBorders>
              <w:top w:val="single" w:sz="4" w:space="0" w:color="auto"/>
              <w:left w:val="nil"/>
              <w:bottom w:val="nil"/>
              <w:right w:val="nil"/>
            </w:tcBorders>
            <w:hideMark/>
          </w:tcPr>
          <w:p w:rsidR="00B73392" w:rsidRDefault="00B73392" w:rsidP="00A64731">
            <w:pPr>
              <w:rPr>
                <w:sz w:val="24"/>
                <w:szCs w:val="24"/>
              </w:rPr>
            </w:pPr>
            <w:r>
              <w:rPr>
                <w:sz w:val="24"/>
                <w:szCs w:val="24"/>
              </w:rPr>
              <w:t>500-1.500 mg to gange dagligt</w:t>
            </w:r>
          </w:p>
        </w:tc>
      </w:tr>
      <w:tr w:rsidR="00B73392" w:rsidTr="00A64731">
        <w:tc>
          <w:tcPr>
            <w:tcW w:w="1869" w:type="pct"/>
            <w:tcBorders>
              <w:top w:val="nil"/>
              <w:left w:val="nil"/>
              <w:bottom w:val="nil"/>
              <w:right w:val="nil"/>
            </w:tcBorders>
            <w:hideMark/>
          </w:tcPr>
          <w:p w:rsidR="00B73392" w:rsidRDefault="00B73392" w:rsidP="00A64731">
            <w:pPr>
              <w:rPr>
                <w:sz w:val="24"/>
                <w:szCs w:val="24"/>
                <w:lang w:val="en-GB"/>
              </w:rPr>
            </w:pPr>
            <w:r>
              <w:rPr>
                <w:sz w:val="24"/>
                <w:szCs w:val="24"/>
              </w:rPr>
              <w:t>Let</w:t>
            </w:r>
          </w:p>
        </w:tc>
        <w:tc>
          <w:tcPr>
            <w:tcW w:w="1389" w:type="pct"/>
            <w:tcBorders>
              <w:top w:val="nil"/>
              <w:left w:val="nil"/>
              <w:bottom w:val="nil"/>
              <w:right w:val="nil"/>
            </w:tcBorders>
            <w:hideMark/>
          </w:tcPr>
          <w:p w:rsidR="00B73392" w:rsidRDefault="00B73392" w:rsidP="00A64731">
            <w:pPr>
              <w:rPr>
                <w:sz w:val="24"/>
                <w:szCs w:val="24"/>
                <w:lang w:val="en-GB"/>
              </w:rPr>
            </w:pPr>
            <w:r>
              <w:rPr>
                <w:sz w:val="24"/>
                <w:szCs w:val="24"/>
              </w:rPr>
              <w:t>50-79</w:t>
            </w:r>
          </w:p>
        </w:tc>
        <w:tc>
          <w:tcPr>
            <w:tcW w:w="1742" w:type="pct"/>
            <w:tcBorders>
              <w:top w:val="nil"/>
              <w:left w:val="nil"/>
              <w:bottom w:val="nil"/>
              <w:right w:val="nil"/>
            </w:tcBorders>
            <w:hideMark/>
          </w:tcPr>
          <w:p w:rsidR="00B73392" w:rsidRDefault="00B73392" w:rsidP="00A64731">
            <w:pPr>
              <w:rPr>
                <w:sz w:val="24"/>
                <w:szCs w:val="24"/>
              </w:rPr>
            </w:pPr>
            <w:r>
              <w:rPr>
                <w:sz w:val="24"/>
                <w:szCs w:val="24"/>
              </w:rPr>
              <w:t>500-1.000 mg to gange dagligt</w:t>
            </w:r>
          </w:p>
        </w:tc>
      </w:tr>
      <w:tr w:rsidR="00B73392" w:rsidTr="00A64731">
        <w:tc>
          <w:tcPr>
            <w:tcW w:w="1869" w:type="pct"/>
            <w:tcBorders>
              <w:top w:val="nil"/>
              <w:left w:val="nil"/>
              <w:bottom w:val="nil"/>
              <w:right w:val="nil"/>
            </w:tcBorders>
            <w:hideMark/>
          </w:tcPr>
          <w:p w:rsidR="00B73392" w:rsidRDefault="00B73392" w:rsidP="00A64731">
            <w:pPr>
              <w:rPr>
                <w:sz w:val="24"/>
                <w:szCs w:val="24"/>
                <w:lang w:val="en-GB"/>
              </w:rPr>
            </w:pPr>
            <w:r>
              <w:rPr>
                <w:sz w:val="24"/>
                <w:szCs w:val="24"/>
              </w:rPr>
              <w:t>Moderat</w:t>
            </w:r>
          </w:p>
        </w:tc>
        <w:tc>
          <w:tcPr>
            <w:tcW w:w="1389" w:type="pct"/>
            <w:tcBorders>
              <w:top w:val="nil"/>
              <w:left w:val="nil"/>
              <w:bottom w:val="nil"/>
              <w:right w:val="nil"/>
            </w:tcBorders>
            <w:hideMark/>
          </w:tcPr>
          <w:p w:rsidR="00B73392" w:rsidRDefault="00B73392" w:rsidP="00A64731">
            <w:pPr>
              <w:rPr>
                <w:sz w:val="24"/>
                <w:szCs w:val="24"/>
                <w:lang w:val="en-GB"/>
              </w:rPr>
            </w:pPr>
            <w:r>
              <w:rPr>
                <w:sz w:val="24"/>
                <w:szCs w:val="24"/>
              </w:rPr>
              <w:t>30-49</w:t>
            </w:r>
          </w:p>
        </w:tc>
        <w:tc>
          <w:tcPr>
            <w:tcW w:w="1742" w:type="pct"/>
            <w:tcBorders>
              <w:top w:val="nil"/>
              <w:left w:val="nil"/>
              <w:bottom w:val="nil"/>
              <w:right w:val="nil"/>
            </w:tcBorders>
            <w:hideMark/>
          </w:tcPr>
          <w:p w:rsidR="00B73392" w:rsidRDefault="00B73392" w:rsidP="00A64731">
            <w:pPr>
              <w:rPr>
                <w:sz w:val="24"/>
                <w:szCs w:val="24"/>
              </w:rPr>
            </w:pPr>
            <w:r>
              <w:rPr>
                <w:sz w:val="24"/>
                <w:szCs w:val="24"/>
              </w:rPr>
              <w:t>250-750 mg to gange dagligt</w:t>
            </w:r>
          </w:p>
        </w:tc>
      </w:tr>
      <w:tr w:rsidR="00B73392" w:rsidTr="00A64731">
        <w:tc>
          <w:tcPr>
            <w:tcW w:w="1869" w:type="pct"/>
            <w:tcBorders>
              <w:top w:val="nil"/>
              <w:left w:val="nil"/>
              <w:bottom w:val="nil"/>
              <w:right w:val="nil"/>
            </w:tcBorders>
            <w:hideMark/>
          </w:tcPr>
          <w:p w:rsidR="00B73392" w:rsidRDefault="00B73392" w:rsidP="00A64731">
            <w:pPr>
              <w:rPr>
                <w:sz w:val="24"/>
                <w:szCs w:val="24"/>
                <w:lang w:val="en-GB"/>
              </w:rPr>
            </w:pPr>
            <w:r>
              <w:rPr>
                <w:sz w:val="24"/>
                <w:szCs w:val="24"/>
              </w:rPr>
              <w:t>Udtalt</w:t>
            </w:r>
          </w:p>
        </w:tc>
        <w:tc>
          <w:tcPr>
            <w:tcW w:w="1389" w:type="pct"/>
            <w:tcBorders>
              <w:top w:val="nil"/>
              <w:left w:val="nil"/>
              <w:bottom w:val="nil"/>
              <w:right w:val="nil"/>
            </w:tcBorders>
            <w:hideMark/>
          </w:tcPr>
          <w:p w:rsidR="00B73392" w:rsidRDefault="00B73392" w:rsidP="00A64731">
            <w:pPr>
              <w:rPr>
                <w:sz w:val="24"/>
                <w:szCs w:val="24"/>
                <w:lang w:val="en-GB"/>
              </w:rPr>
            </w:pPr>
            <w:r>
              <w:rPr>
                <w:sz w:val="24"/>
                <w:szCs w:val="24"/>
              </w:rPr>
              <w:t>&lt; 30</w:t>
            </w:r>
          </w:p>
        </w:tc>
        <w:tc>
          <w:tcPr>
            <w:tcW w:w="1742" w:type="pct"/>
            <w:tcBorders>
              <w:top w:val="nil"/>
              <w:left w:val="nil"/>
              <w:bottom w:val="nil"/>
              <w:right w:val="nil"/>
            </w:tcBorders>
            <w:hideMark/>
          </w:tcPr>
          <w:p w:rsidR="00B73392" w:rsidRDefault="00B73392" w:rsidP="00A64731">
            <w:pPr>
              <w:rPr>
                <w:sz w:val="24"/>
                <w:szCs w:val="24"/>
              </w:rPr>
            </w:pPr>
            <w:r>
              <w:rPr>
                <w:sz w:val="24"/>
                <w:szCs w:val="24"/>
              </w:rPr>
              <w:t>250-500 mg to gange dagligt</w:t>
            </w:r>
          </w:p>
        </w:tc>
      </w:tr>
      <w:tr w:rsidR="00B73392" w:rsidTr="00A64731">
        <w:tc>
          <w:tcPr>
            <w:tcW w:w="1869" w:type="pct"/>
            <w:tcBorders>
              <w:top w:val="nil"/>
              <w:left w:val="nil"/>
              <w:bottom w:val="single" w:sz="4" w:space="0" w:color="auto"/>
              <w:right w:val="nil"/>
            </w:tcBorders>
            <w:hideMark/>
          </w:tcPr>
          <w:p w:rsidR="00B73392" w:rsidRDefault="00B73392" w:rsidP="00A64731">
            <w:pPr>
              <w:rPr>
                <w:sz w:val="24"/>
                <w:szCs w:val="24"/>
              </w:rPr>
            </w:pPr>
            <w:r>
              <w:rPr>
                <w:sz w:val="24"/>
                <w:szCs w:val="24"/>
              </w:rPr>
              <w:t>Patienter i slutstadiet af nyresygdom, som får dialysebehandling (1)</w:t>
            </w:r>
          </w:p>
        </w:tc>
        <w:tc>
          <w:tcPr>
            <w:tcW w:w="1389" w:type="pct"/>
            <w:tcBorders>
              <w:top w:val="nil"/>
              <w:left w:val="nil"/>
              <w:bottom w:val="single" w:sz="4" w:space="0" w:color="auto"/>
              <w:right w:val="nil"/>
            </w:tcBorders>
            <w:hideMark/>
          </w:tcPr>
          <w:p w:rsidR="00B73392" w:rsidRDefault="00B73392" w:rsidP="00A64731">
            <w:pPr>
              <w:rPr>
                <w:sz w:val="24"/>
                <w:szCs w:val="24"/>
                <w:lang w:val="en-GB"/>
              </w:rPr>
            </w:pPr>
            <w:r>
              <w:rPr>
                <w:sz w:val="24"/>
                <w:szCs w:val="24"/>
                <w:lang w:val="en-GB"/>
              </w:rPr>
              <w:t>-</w:t>
            </w:r>
          </w:p>
        </w:tc>
        <w:tc>
          <w:tcPr>
            <w:tcW w:w="1742" w:type="pct"/>
            <w:tcBorders>
              <w:top w:val="nil"/>
              <w:left w:val="nil"/>
              <w:bottom w:val="single" w:sz="4" w:space="0" w:color="auto"/>
              <w:right w:val="nil"/>
            </w:tcBorders>
            <w:hideMark/>
          </w:tcPr>
          <w:p w:rsidR="00B73392" w:rsidRDefault="00B73392" w:rsidP="00A64731">
            <w:pPr>
              <w:rPr>
                <w:sz w:val="24"/>
                <w:szCs w:val="24"/>
              </w:rPr>
            </w:pPr>
            <w:r>
              <w:rPr>
                <w:sz w:val="24"/>
                <w:szCs w:val="24"/>
              </w:rPr>
              <w:t xml:space="preserve">500-1.000 mg én gang dagligt </w:t>
            </w:r>
            <w:r>
              <w:rPr>
                <w:sz w:val="24"/>
                <w:szCs w:val="24"/>
                <w:vertAlign w:val="superscript"/>
              </w:rPr>
              <w:t>(2)</w:t>
            </w:r>
          </w:p>
        </w:tc>
      </w:tr>
    </w:tbl>
    <w:p w:rsidR="00B73392" w:rsidRDefault="00B73392" w:rsidP="00B73392">
      <w:pPr>
        <w:ind w:left="851" w:hanging="851"/>
        <w:rPr>
          <w:noProof/>
          <w:sz w:val="24"/>
          <w:szCs w:val="24"/>
        </w:rPr>
      </w:pPr>
    </w:p>
    <w:p w:rsidR="00B73392" w:rsidRDefault="00B73392" w:rsidP="00B73392">
      <w:pPr>
        <w:autoSpaceDE w:val="0"/>
        <w:autoSpaceDN w:val="0"/>
        <w:adjustRightInd w:val="0"/>
        <w:ind w:left="851"/>
        <w:rPr>
          <w:sz w:val="24"/>
          <w:szCs w:val="24"/>
        </w:rPr>
      </w:pPr>
      <w:r>
        <w:rPr>
          <w:sz w:val="24"/>
          <w:szCs w:val="24"/>
          <w:vertAlign w:val="superscript"/>
        </w:rPr>
        <w:t>(1)</w:t>
      </w:r>
      <w:r>
        <w:rPr>
          <w:sz w:val="24"/>
          <w:szCs w:val="24"/>
        </w:rPr>
        <w:t xml:space="preserve"> En 750 mg støddosis anbefales på første behandlingsdag med </w:t>
      </w:r>
      <w:proofErr w:type="spellStart"/>
      <w:r>
        <w:rPr>
          <w:sz w:val="24"/>
          <w:szCs w:val="24"/>
        </w:rPr>
        <w:t>levetiracetam</w:t>
      </w:r>
      <w:proofErr w:type="spellEnd"/>
      <w:r>
        <w:rPr>
          <w:sz w:val="24"/>
          <w:szCs w:val="24"/>
        </w:rPr>
        <w:t>.</w:t>
      </w:r>
    </w:p>
    <w:p w:rsidR="00B73392" w:rsidRDefault="00B73392" w:rsidP="00B73392">
      <w:pPr>
        <w:autoSpaceDE w:val="0"/>
        <w:autoSpaceDN w:val="0"/>
        <w:adjustRightInd w:val="0"/>
        <w:ind w:left="851"/>
        <w:rPr>
          <w:sz w:val="24"/>
          <w:szCs w:val="24"/>
        </w:rPr>
      </w:pPr>
      <w:r>
        <w:rPr>
          <w:sz w:val="24"/>
          <w:szCs w:val="24"/>
          <w:vertAlign w:val="superscript"/>
        </w:rPr>
        <w:t>(2)</w:t>
      </w:r>
      <w:r>
        <w:rPr>
          <w:sz w:val="24"/>
          <w:szCs w:val="24"/>
        </w:rPr>
        <w:t xml:space="preserve"> Efter dialyse anbefales 250 mg-500 mg som supplerende dosis.</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Hos børn med nedsat nyrefunktion skal </w:t>
      </w:r>
      <w:proofErr w:type="spellStart"/>
      <w:r>
        <w:rPr>
          <w:sz w:val="24"/>
          <w:szCs w:val="24"/>
          <w:lang w:eastAsia="da-DK"/>
        </w:rPr>
        <w:t>levetiracetam</w:t>
      </w:r>
      <w:proofErr w:type="spellEnd"/>
      <w:r>
        <w:rPr>
          <w:sz w:val="24"/>
          <w:szCs w:val="24"/>
          <w:lang w:eastAsia="da-DK"/>
        </w:rPr>
        <w:t xml:space="preserve"> dosis justeres i forhold til nyrefunktionen, da </w:t>
      </w:r>
      <w:proofErr w:type="spellStart"/>
      <w:r>
        <w:rPr>
          <w:sz w:val="24"/>
          <w:szCs w:val="24"/>
          <w:lang w:eastAsia="da-DK"/>
        </w:rPr>
        <w:t>levetiracetamclearance</w:t>
      </w:r>
      <w:proofErr w:type="spellEnd"/>
      <w:r>
        <w:rPr>
          <w:sz w:val="24"/>
          <w:szCs w:val="24"/>
          <w:lang w:eastAsia="da-DK"/>
        </w:rPr>
        <w:t xml:space="preserve"> er afhængigt af nyrefunktionen. Denne anbefaling er baseret på et studie med voksne patienter med nedsat nyrefunktion.</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rPr>
      </w:pPr>
      <w:proofErr w:type="spellStart"/>
      <w:r>
        <w:rPr>
          <w:sz w:val="24"/>
          <w:szCs w:val="24"/>
        </w:rPr>
        <w:t>CLcr</w:t>
      </w:r>
      <w:proofErr w:type="spellEnd"/>
      <w:r>
        <w:rPr>
          <w:sz w:val="24"/>
          <w:szCs w:val="24"/>
        </w:rPr>
        <w:t xml:space="preserve"> i ml/min/1,73 m</w:t>
      </w:r>
      <w:r>
        <w:rPr>
          <w:sz w:val="24"/>
          <w:szCs w:val="24"/>
          <w:vertAlign w:val="superscript"/>
        </w:rPr>
        <w:t>2</w:t>
      </w:r>
      <w:r>
        <w:rPr>
          <w:sz w:val="24"/>
          <w:szCs w:val="24"/>
        </w:rPr>
        <w:t xml:space="preserve"> kan, hos ganske unge, børn og spædbørn, beregnes ud fra </w:t>
      </w:r>
      <w:proofErr w:type="spellStart"/>
      <w:r>
        <w:rPr>
          <w:sz w:val="24"/>
          <w:szCs w:val="24"/>
        </w:rPr>
        <w:t>serumkreatinin</w:t>
      </w:r>
      <w:proofErr w:type="spellEnd"/>
      <w:r>
        <w:rPr>
          <w:sz w:val="24"/>
          <w:szCs w:val="24"/>
        </w:rPr>
        <w:t xml:space="preserve"> (mg/dl) ved at anvende følgende formel (Schwartz formel):</w:t>
      </w:r>
    </w:p>
    <w:p w:rsidR="00B73392" w:rsidRDefault="00B73392" w:rsidP="00B73392">
      <w:pPr>
        <w:ind w:left="851" w:hanging="851"/>
        <w:rPr>
          <w:iCs/>
          <w:sz w:val="24"/>
          <w:szCs w:val="24"/>
        </w:rPr>
      </w:pPr>
    </w:p>
    <w:tbl>
      <w:tblPr>
        <w:tblW w:w="0" w:type="auto"/>
        <w:tblInd w:w="959" w:type="dxa"/>
        <w:tblLook w:val="01E0" w:firstRow="1" w:lastRow="1" w:firstColumn="1" w:lastColumn="1" w:noHBand="0" w:noVBand="0"/>
      </w:tblPr>
      <w:tblGrid>
        <w:gridCol w:w="2735"/>
        <w:gridCol w:w="3419"/>
        <w:gridCol w:w="2457"/>
      </w:tblGrid>
      <w:tr w:rsidR="00B73392" w:rsidTr="00A64731">
        <w:trPr>
          <w:trHeight w:val="278"/>
        </w:trPr>
        <w:tc>
          <w:tcPr>
            <w:tcW w:w="2735" w:type="dxa"/>
            <w:vMerge w:val="restart"/>
            <w:hideMark/>
          </w:tcPr>
          <w:p w:rsidR="00B73392" w:rsidRDefault="00B73392" w:rsidP="00A64731">
            <w:pPr>
              <w:spacing w:line="400" w:lineRule="exact"/>
              <w:ind w:left="851" w:hanging="851"/>
              <w:jc w:val="right"/>
              <w:rPr>
                <w:iCs/>
                <w:sz w:val="24"/>
                <w:szCs w:val="24"/>
              </w:rPr>
            </w:pPr>
            <w:proofErr w:type="spellStart"/>
            <w:r>
              <w:rPr>
                <w:sz w:val="24"/>
                <w:szCs w:val="24"/>
                <w:lang w:val="en-GB"/>
              </w:rPr>
              <w:t>CLcr</w:t>
            </w:r>
            <w:proofErr w:type="spellEnd"/>
            <w:r>
              <w:rPr>
                <w:sz w:val="24"/>
                <w:szCs w:val="24"/>
                <w:lang w:val="en-GB"/>
              </w:rPr>
              <w:t xml:space="preserve"> (ml/min/1,73 m</w:t>
            </w:r>
            <w:r>
              <w:rPr>
                <w:sz w:val="24"/>
                <w:szCs w:val="24"/>
                <w:vertAlign w:val="superscript"/>
                <w:lang w:val="en-GB"/>
              </w:rPr>
              <w:t>2</w:t>
            </w:r>
            <w:r>
              <w:rPr>
                <w:sz w:val="24"/>
                <w:szCs w:val="24"/>
                <w:lang w:val="en-GB"/>
              </w:rPr>
              <w:t>) =</w:t>
            </w:r>
          </w:p>
        </w:tc>
        <w:tc>
          <w:tcPr>
            <w:tcW w:w="3419" w:type="dxa"/>
            <w:tcBorders>
              <w:top w:val="nil"/>
              <w:left w:val="nil"/>
              <w:bottom w:val="single" w:sz="4" w:space="0" w:color="auto"/>
              <w:right w:val="nil"/>
            </w:tcBorders>
            <w:hideMark/>
          </w:tcPr>
          <w:p w:rsidR="00B73392" w:rsidRDefault="00B73392" w:rsidP="00A64731">
            <w:pPr>
              <w:spacing w:line="360" w:lineRule="exact"/>
              <w:ind w:left="851" w:hanging="851"/>
              <w:jc w:val="center"/>
              <w:rPr>
                <w:iCs/>
                <w:sz w:val="24"/>
                <w:szCs w:val="24"/>
              </w:rPr>
            </w:pPr>
            <w:r>
              <w:rPr>
                <w:sz w:val="24"/>
                <w:szCs w:val="24"/>
              </w:rPr>
              <w:t>Højde (cm) x ks</w:t>
            </w:r>
          </w:p>
        </w:tc>
        <w:tc>
          <w:tcPr>
            <w:tcW w:w="2457" w:type="dxa"/>
            <w:vMerge w:val="restart"/>
          </w:tcPr>
          <w:p w:rsidR="00B73392" w:rsidRDefault="00B73392" w:rsidP="00A64731">
            <w:pPr>
              <w:spacing w:line="360" w:lineRule="exact"/>
              <w:ind w:left="851" w:hanging="851"/>
              <w:rPr>
                <w:iCs/>
                <w:sz w:val="24"/>
                <w:szCs w:val="24"/>
              </w:rPr>
            </w:pPr>
          </w:p>
        </w:tc>
      </w:tr>
      <w:tr w:rsidR="00B73392" w:rsidTr="00A64731">
        <w:tc>
          <w:tcPr>
            <w:tcW w:w="0" w:type="auto"/>
            <w:vMerge/>
            <w:vAlign w:val="center"/>
            <w:hideMark/>
          </w:tcPr>
          <w:p w:rsidR="00B73392" w:rsidRDefault="00B73392" w:rsidP="00A64731">
            <w:pPr>
              <w:rPr>
                <w:iCs/>
                <w:sz w:val="24"/>
                <w:szCs w:val="24"/>
              </w:rPr>
            </w:pPr>
          </w:p>
        </w:tc>
        <w:tc>
          <w:tcPr>
            <w:tcW w:w="3419" w:type="dxa"/>
            <w:tcBorders>
              <w:top w:val="single" w:sz="4" w:space="0" w:color="auto"/>
              <w:left w:val="nil"/>
              <w:bottom w:val="nil"/>
              <w:right w:val="nil"/>
            </w:tcBorders>
            <w:hideMark/>
          </w:tcPr>
          <w:p w:rsidR="00B73392" w:rsidRDefault="00B73392" w:rsidP="00A64731">
            <w:pPr>
              <w:ind w:left="851" w:hanging="851"/>
              <w:jc w:val="center"/>
              <w:rPr>
                <w:iCs/>
                <w:sz w:val="24"/>
                <w:szCs w:val="24"/>
              </w:rPr>
            </w:pPr>
            <w:proofErr w:type="spellStart"/>
            <w:r>
              <w:rPr>
                <w:sz w:val="24"/>
                <w:szCs w:val="24"/>
              </w:rPr>
              <w:t>Serumkreatinin</w:t>
            </w:r>
            <w:proofErr w:type="spellEnd"/>
            <w:r>
              <w:rPr>
                <w:sz w:val="24"/>
                <w:szCs w:val="24"/>
              </w:rPr>
              <w:t xml:space="preserve"> (mg/dl)</w:t>
            </w:r>
          </w:p>
        </w:tc>
        <w:tc>
          <w:tcPr>
            <w:tcW w:w="0" w:type="auto"/>
            <w:vMerge/>
            <w:vAlign w:val="center"/>
            <w:hideMark/>
          </w:tcPr>
          <w:p w:rsidR="00B73392" w:rsidRDefault="00B73392" w:rsidP="00A64731">
            <w:pPr>
              <w:rPr>
                <w:iCs/>
                <w:sz w:val="24"/>
                <w:szCs w:val="24"/>
              </w:rPr>
            </w:pPr>
          </w:p>
        </w:tc>
      </w:tr>
    </w:tbl>
    <w:p w:rsidR="00B73392" w:rsidRDefault="00B73392" w:rsidP="00B73392">
      <w:pPr>
        <w:ind w:left="851" w:hanging="851"/>
        <w:rPr>
          <w:sz w:val="24"/>
          <w:szCs w:val="24"/>
        </w:rPr>
      </w:pPr>
    </w:p>
    <w:p w:rsidR="00B73392" w:rsidRDefault="00B73392" w:rsidP="00B73392">
      <w:pPr>
        <w:autoSpaceDE w:val="0"/>
        <w:autoSpaceDN w:val="0"/>
        <w:adjustRightInd w:val="0"/>
        <w:ind w:left="851"/>
        <w:rPr>
          <w:sz w:val="24"/>
          <w:szCs w:val="24"/>
        </w:rPr>
      </w:pPr>
      <w:r>
        <w:rPr>
          <w:sz w:val="24"/>
          <w:szCs w:val="24"/>
        </w:rPr>
        <w:t>ks = 0,45 hos spædbørn født til terminen op til 1 år; ks = 0,55 hos børn under 13 år og unge kvinder; ks = 0,7 hos unge drenge.</w:t>
      </w:r>
    </w:p>
    <w:p w:rsidR="00B73392" w:rsidRDefault="00B73392" w:rsidP="00B73392">
      <w:pPr>
        <w:autoSpaceDE w:val="0"/>
        <w:autoSpaceDN w:val="0"/>
        <w:adjustRightInd w:val="0"/>
        <w:ind w:left="851"/>
        <w:rPr>
          <w:sz w:val="24"/>
          <w:szCs w:val="24"/>
        </w:rPr>
      </w:pPr>
    </w:p>
    <w:p w:rsidR="00B73392" w:rsidRDefault="00B73392" w:rsidP="00B73392">
      <w:pPr>
        <w:ind w:left="851"/>
        <w:rPr>
          <w:sz w:val="24"/>
          <w:szCs w:val="24"/>
        </w:rPr>
      </w:pPr>
      <w:r>
        <w:rPr>
          <w:sz w:val="24"/>
          <w:szCs w:val="24"/>
        </w:rPr>
        <w:t>Dosisjustering for spædbørn, børn og unge, der vejer mindre end 50 kg, med nedsat nyrefunktion:</w:t>
      </w:r>
    </w:p>
    <w:p w:rsidR="00B73392" w:rsidRDefault="00B73392" w:rsidP="00B73392">
      <w:pPr>
        <w:pStyle w:val="Default"/>
        <w:ind w:left="851" w:hanging="851"/>
        <w:rPr>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2085"/>
        <w:gridCol w:w="2796"/>
        <w:gridCol w:w="2950"/>
      </w:tblGrid>
      <w:tr w:rsidR="00B73392" w:rsidTr="00A64731">
        <w:tc>
          <w:tcPr>
            <w:tcW w:w="933" w:type="pct"/>
            <w:vMerge w:val="restar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rPr>
            </w:pPr>
            <w:r>
              <w:rPr>
                <w:sz w:val="24"/>
                <w:szCs w:val="24"/>
              </w:rPr>
              <w:t>Gruppe</w:t>
            </w:r>
          </w:p>
        </w:tc>
        <w:tc>
          <w:tcPr>
            <w:tcW w:w="1083" w:type="pct"/>
            <w:vMerge w:val="restar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lang w:val="en-GB"/>
              </w:rPr>
            </w:pPr>
            <w:proofErr w:type="spellStart"/>
            <w:r>
              <w:rPr>
                <w:sz w:val="24"/>
                <w:szCs w:val="24"/>
                <w:lang w:val="en-GB"/>
              </w:rPr>
              <w:t>Kreatinin</w:t>
            </w:r>
            <w:proofErr w:type="spellEnd"/>
            <w:r>
              <w:rPr>
                <w:sz w:val="24"/>
                <w:szCs w:val="24"/>
                <w:lang w:val="en-GB"/>
              </w:rPr>
              <w:t>-clearance</w:t>
            </w:r>
          </w:p>
          <w:p w:rsidR="00B73392" w:rsidRDefault="00B73392" w:rsidP="00A64731">
            <w:pPr>
              <w:rPr>
                <w:sz w:val="24"/>
                <w:szCs w:val="24"/>
                <w:lang w:val="en-GB"/>
              </w:rPr>
            </w:pPr>
            <w:r>
              <w:rPr>
                <w:sz w:val="24"/>
                <w:szCs w:val="24"/>
                <w:lang w:val="en-GB"/>
              </w:rPr>
              <w:t>(ml/min/1,73m</w:t>
            </w:r>
            <w:r>
              <w:rPr>
                <w:sz w:val="24"/>
                <w:szCs w:val="24"/>
                <w:vertAlign w:val="superscript"/>
                <w:lang w:val="en-GB"/>
              </w:rPr>
              <w:t>2</w:t>
            </w:r>
            <w:r>
              <w:rPr>
                <w:sz w:val="24"/>
                <w:szCs w:val="24"/>
                <w:lang w:val="en-GB"/>
              </w:rPr>
              <w:t>)</w:t>
            </w:r>
          </w:p>
        </w:tc>
        <w:tc>
          <w:tcPr>
            <w:tcW w:w="2984" w:type="pct"/>
            <w:gridSpan w:val="2"/>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 xml:space="preserve">Dosis og doseringshyppighed </w:t>
            </w:r>
            <w:r>
              <w:rPr>
                <w:sz w:val="24"/>
                <w:szCs w:val="24"/>
                <w:vertAlign w:val="superscript"/>
              </w:rPr>
              <w:t>(1)</w:t>
            </w:r>
          </w:p>
        </w:tc>
      </w:tr>
      <w:tr w:rsidR="00B73392" w:rsidTr="00A64731">
        <w:tc>
          <w:tcPr>
            <w:tcW w:w="0" w:type="auto"/>
            <w:vMerge/>
            <w:tcBorders>
              <w:top w:val="single" w:sz="4" w:space="0" w:color="auto"/>
              <w:left w:val="single" w:sz="4" w:space="0" w:color="auto"/>
              <w:bottom w:val="single" w:sz="4" w:space="0" w:color="auto"/>
              <w:right w:val="single" w:sz="4" w:space="0" w:color="auto"/>
            </w:tcBorders>
            <w:vAlign w:val="center"/>
            <w:hideMark/>
          </w:tcPr>
          <w:p w:rsidR="00B73392" w:rsidRDefault="00B73392" w:rsidP="00A64731">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3392" w:rsidRDefault="00B73392" w:rsidP="00A64731">
            <w:pPr>
              <w:rPr>
                <w:sz w:val="24"/>
                <w:szCs w:val="24"/>
                <w:lang w:val="en-GB"/>
              </w:rPr>
            </w:pP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autoSpaceDE w:val="0"/>
              <w:autoSpaceDN w:val="0"/>
              <w:adjustRightInd w:val="0"/>
              <w:jc w:val="center"/>
              <w:rPr>
                <w:sz w:val="24"/>
                <w:szCs w:val="24"/>
              </w:rPr>
            </w:pPr>
            <w:r>
              <w:rPr>
                <w:sz w:val="24"/>
                <w:szCs w:val="24"/>
              </w:rPr>
              <w:t>Spædbørn fra 1 måned til under 6 måneder</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autoSpaceDE w:val="0"/>
              <w:autoSpaceDN w:val="0"/>
              <w:adjustRightInd w:val="0"/>
              <w:jc w:val="center"/>
              <w:rPr>
                <w:sz w:val="24"/>
                <w:szCs w:val="24"/>
              </w:rPr>
            </w:pPr>
            <w:r>
              <w:rPr>
                <w:sz w:val="24"/>
                <w:szCs w:val="24"/>
              </w:rPr>
              <w:t>Spædbørn mellem 6 og 23 måneder, børn og unge, som vejer under 50 kg</w:t>
            </w:r>
          </w:p>
        </w:tc>
      </w:tr>
      <w:tr w:rsidR="00B73392" w:rsidTr="00A64731">
        <w:tc>
          <w:tcPr>
            <w:tcW w:w="933" w:type="pc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lang w:val="en-GB"/>
              </w:rPr>
            </w:pPr>
            <w:r>
              <w:rPr>
                <w:sz w:val="24"/>
                <w:szCs w:val="24"/>
              </w:rPr>
              <w:t>Normal</w:t>
            </w:r>
          </w:p>
        </w:tc>
        <w:tc>
          <w:tcPr>
            <w:tcW w:w="1083" w:type="pct"/>
            <w:tcBorders>
              <w:top w:val="single" w:sz="4" w:space="0" w:color="auto"/>
              <w:left w:val="single" w:sz="4" w:space="0" w:color="auto"/>
              <w:bottom w:val="single" w:sz="4" w:space="0" w:color="auto"/>
              <w:right w:val="single" w:sz="4" w:space="0" w:color="auto"/>
            </w:tcBorders>
            <w:hideMark/>
          </w:tcPr>
          <w:p w:rsidR="00B73392" w:rsidRDefault="002775A7" w:rsidP="00A64731">
            <w:pPr>
              <w:jc w:val="center"/>
              <w:rPr>
                <w:sz w:val="24"/>
                <w:szCs w:val="24"/>
                <w:lang w:val="en-GB"/>
              </w:rPr>
            </w:pPr>
            <w:r w:rsidRPr="002775A7">
              <w:rPr>
                <w:sz w:val="24"/>
                <w:szCs w:val="24"/>
              </w:rPr>
              <w:t>≥ 80</w:t>
            </w: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7-21 mg/kg to gange dagligt</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10-30 mg/kg to gange dagligt</w:t>
            </w:r>
          </w:p>
        </w:tc>
      </w:tr>
      <w:tr w:rsidR="00B73392" w:rsidTr="00A64731">
        <w:tc>
          <w:tcPr>
            <w:tcW w:w="933" w:type="pc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lang w:val="en-GB"/>
              </w:rPr>
            </w:pPr>
            <w:r>
              <w:rPr>
                <w:sz w:val="24"/>
                <w:szCs w:val="24"/>
              </w:rPr>
              <w:t>Let</w:t>
            </w:r>
          </w:p>
        </w:tc>
        <w:tc>
          <w:tcPr>
            <w:tcW w:w="1083"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lang w:val="en-GB"/>
              </w:rPr>
            </w:pPr>
            <w:r>
              <w:rPr>
                <w:sz w:val="24"/>
                <w:szCs w:val="24"/>
              </w:rPr>
              <w:t>50-79</w:t>
            </w: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7-14 mg/kg to gange dagligt</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10-20 mg/kg to gange dagligt</w:t>
            </w:r>
          </w:p>
        </w:tc>
      </w:tr>
      <w:tr w:rsidR="00B73392" w:rsidTr="00A64731">
        <w:tc>
          <w:tcPr>
            <w:tcW w:w="933" w:type="pc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lang w:val="en-GB"/>
              </w:rPr>
            </w:pPr>
            <w:r>
              <w:rPr>
                <w:sz w:val="24"/>
                <w:szCs w:val="24"/>
              </w:rPr>
              <w:lastRenderedPageBreak/>
              <w:t>Moderat</w:t>
            </w:r>
          </w:p>
        </w:tc>
        <w:tc>
          <w:tcPr>
            <w:tcW w:w="1083"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lang w:val="en-GB"/>
              </w:rPr>
            </w:pPr>
            <w:r>
              <w:rPr>
                <w:sz w:val="24"/>
                <w:szCs w:val="24"/>
              </w:rPr>
              <w:t>30-49</w:t>
            </w: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3,5-10,5 mg/kg to gange dagligt</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5-15 mg/kg to gange dagligt</w:t>
            </w:r>
          </w:p>
        </w:tc>
      </w:tr>
      <w:tr w:rsidR="00B73392" w:rsidTr="00A64731">
        <w:tc>
          <w:tcPr>
            <w:tcW w:w="933" w:type="pc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lang w:val="en-GB"/>
              </w:rPr>
            </w:pPr>
            <w:r>
              <w:rPr>
                <w:sz w:val="24"/>
                <w:szCs w:val="24"/>
              </w:rPr>
              <w:t>Udtalt</w:t>
            </w:r>
          </w:p>
        </w:tc>
        <w:tc>
          <w:tcPr>
            <w:tcW w:w="1083"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lang w:val="en-GB"/>
              </w:rPr>
            </w:pPr>
            <w:r>
              <w:rPr>
                <w:sz w:val="24"/>
                <w:szCs w:val="24"/>
              </w:rPr>
              <w:t>&lt; 30</w:t>
            </w: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3,5 til 7 mg/kg to gange dagligt</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5-10 mg/kg to gange dagligt</w:t>
            </w:r>
          </w:p>
        </w:tc>
      </w:tr>
      <w:tr w:rsidR="00B73392" w:rsidTr="00A64731">
        <w:tc>
          <w:tcPr>
            <w:tcW w:w="933" w:type="pct"/>
            <w:tcBorders>
              <w:top w:val="single" w:sz="4" w:space="0" w:color="auto"/>
              <w:left w:val="single" w:sz="4" w:space="0" w:color="auto"/>
              <w:bottom w:val="single" w:sz="4" w:space="0" w:color="auto"/>
              <w:right w:val="single" w:sz="4" w:space="0" w:color="auto"/>
            </w:tcBorders>
            <w:hideMark/>
          </w:tcPr>
          <w:p w:rsidR="00B73392" w:rsidRDefault="00B73392" w:rsidP="00A64731">
            <w:pPr>
              <w:rPr>
                <w:sz w:val="24"/>
                <w:szCs w:val="24"/>
              </w:rPr>
            </w:pPr>
            <w:r>
              <w:rPr>
                <w:sz w:val="24"/>
                <w:szCs w:val="24"/>
              </w:rPr>
              <w:t xml:space="preserve">Patienter i slutstadiet af nyresygdom, som får </w:t>
            </w:r>
            <w:proofErr w:type="spellStart"/>
            <w:r>
              <w:rPr>
                <w:sz w:val="24"/>
                <w:szCs w:val="24"/>
              </w:rPr>
              <w:t>dialyse-behandling</w:t>
            </w:r>
            <w:proofErr w:type="spellEnd"/>
            <w:r>
              <w:rPr>
                <w:sz w:val="24"/>
                <w:szCs w:val="24"/>
              </w:rPr>
              <w:t xml:space="preserve"> (1)</w:t>
            </w:r>
          </w:p>
        </w:tc>
        <w:tc>
          <w:tcPr>
            <w:tcW w:w="1083"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lang w:val="en-GB"/>
              </w:rPr>
            </w:pPr>
            <w:r>
              <w:rPr>
                <w:sz w:val="24"/>
                <w:szCs w:val="24"/>
                <w:lang w:val="en-GB"/>
              </w:rPr>
              <w:t>--</w:t>
            </w:r>
          </w:p>
        </w:tc>
        <w:tc>
          <w:tcPr>
            <w:tcW w:w="145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vertAlign w:val="superscript"/>
              </w:rPr>
            </w:pPr>
            <w:r>
              <w:rPr>
                <w:sz w:val="24"/>
                <w:szCs w:val="24"/>
              </w:rPr>
              <w:t xml:space="preserve">7-14 mg/kg én gang </w:t>
            </w:r>
            <w:proofErr w:type="gramStart"/>
            <w:r>
              <w:rPr>
                <w:sz w:val="24"/>
                <w:szCs w:val="24"/>
              </w:rPr>
              <w:t>dagligt</w:t>
            </w:r>
            <w:r>
              <w:rPr>
                <w:sz w:val="24"/>
                <w:szCs w:val="24"/>
                <w:vertAlign w:val="superscript"/>
              </w:rPr>
              <w:t>(</w:t>
            </w:r>
            <w:proofErr w:type="gramEnd"/>
            <w:r>
              <w:rPr>
                <w:sz w:val="24"/>
                <w:szCs w:val="24"/>
                <w:vertAlign w:val="superscript"/>
              </w:rPr>
              <w:t>2) (4)</w:t>
            </w:r>
          </w:p>
        </w:tc>
        <w:tc>
          <w:tcPr>
            <w:tcW w:w="1532" w:type="pct"/>
            <w:tcBorders>
              <w:top w:val="single" w:sz="4" w:space="0" w:color="auto"/>
              <w:left w:val="single" w:sz="4" w:space="0" w:color="auto"/>
              <w:bottom w:val="single" w:sz="4" w:space="0" w:color="auto"/>
              <w:right w:val="single" w:sz="4" w:space="0" w:color="auto"/>
            </w:tcBorders>
            <w:hideMark/>
          </w:tcPr>
          <w:p w:rsidR="00B73392" w:rsidRDefault="00B73392" w:rsidP="00A64731">
            <w:pPr>
              <w:jc w:val="center"/>
              <w:rPr>
                <w:sz w:val="24"/>
                <w:szCs w:val="24"/>
              </w:rPr>
            </w:pPr>
            <w:r>
              <w:rPr>
                <w:sz w:val="24"/>
                <w:szCs w:val="24"/>
              </w:rPr>
              <w:t xml:space="preserve">10-20 mg/kg én gang dagligt </w:t>
            </w:r>
            <w:r>
              <w:rPr>
                <w:sz w:val="24"/>
                <w:szCs w:val="24"/>
                <w:vertAlign w:val="superscript"/>
              </w:rPr>
              <w:t>(3) (5)</w:t>
            </w:r>
          </w:p>
        </w:tc>
      </w:tr>
    </w:tbl>
    <w:p w:rsidR="00B73392" w:rsidRDefault="00B73392" w:rsidP="00B73392">
      <w:pPr>
        <w:autoSpaceDE w:val="0"/>
        <w:autoSpaceDN w:val="0"/>
        <w:adjustRightInd w:val="0"/>
        <w:rPr>
          <w:sz w:val="24"/>
          <w:szCs w:val="24"/>
        </w:rPr>
      </w:pPr>
      <w:r>
        <w:rPr>
          <w:sz w:val="24"/>
          <w:szCs w:val="24"/>
          <w:vertAlign w:val="superscript"/>
        </w:rPr>
        <w:t>(1)</w:t>
      </w:r>
      <w:r>
        <w:rPr>
          <w:sz w:val="24"/>
          <w:szCs w:val="24"/>
        </w:rPr>
        <w:t xml:space="preserve"> En oral opløsning bør anvendes ved doser under 250 mg, for doser, som ikke er delelige med 250 mg, når den anbefalede dosis ikke kan opnås ved at tage flere tabletter og til patienter, som ikke kan synke tabletter.</w:t>
      </w:r>
    </w:p>
    <w:p w:rsidR="00B73392" w:rsidRDefault="00B73392" w:rsidP="00B73392">
      <w:pPr>
        <w:autoSpaceDE w:val="0"/>
        <w:autoSpaceDN w:val="0"/>
        <w:adjustRightInd w:val="0"/>
        <w:rPr>
          <w:sz w:val="24"/>
          <w:szCs w:val="24"/>
        </w:rPr>
      </w:pPr>
      <w:r>
        <w:rPr>
          <w:sz w:val="24"/>
          <w:szCs w:val="24"/>
          <w:vertAlign w:val="superscript"/>
        </w:rPr>
        <w:t>(2)</w:t>
      </w:r>
      <w:r>
        <w:rPr>
          <w:sz w:val="24"/>
          <w:szCs w:val="24"/>
        </w:rPr>
        <w:t xml:space="preserve"> En 10,5 mg/kg støddosis anbefales på den første behandlingsdag med </w:t>
      </w:r>
      <w:proofErr w:type="spellStart"/>
      <w:r>
        <w:rPr>
          <w:sz w:val="24"/>
          <w:szCs w:val="24"/>
        </w:rPr>
        <w:t>levetiracetam</w:t>
      </w:r>
      <w:proofErr w:type="spellEnd"/>
      <w:r>
        <w:rPr>
          <w:sz w:val="24"/>
          <w:szCs w:val="24"/>
        </w:rPr>
        <w:t>.</w:t>
      </w:r>
    </w:p>
    <w:p w:rsidR="00B73392" w:rsidRDefault="00B73392" w:rsidP="00B73392">
      <w:pPr>
        <w:autoSpaceDE w:val="0"/>
        <w:autoSpaceDN w:val="0"/>
        <w:adjustRightInd w:val="0"/>
        <w:rPr>
          <w:sz w:val="24"/>
          <w:szCs w:val="24"/>
        </w:rPr>
      </w:pPr>
      <w:r>
        <w:rPr>
          <w:sz w:val="24"/>
          <w:szCs w:val="24"/>
          <w:vertAlign w:val="superscript"/>
        </w:rPr>
        <w:t>(3)</w:t>
      </w:r>
      <w:r>
        <w:rPr>
          <w:sz w:val="24"/>
          <w:szCs w:val="24"/>
        </w:rPr>
        <w:t xml:space="preserve"> En 15 mg/kg) støddosis anbefales på den første behandlingsdag med </w:t>
      </w:r>
      <w:proofErr w:type="spellStart"/>
      <w:r>
        <w:rPr>
          <w:sz w:val="24"/>
          <w:szCs w:val="24"/>
        </w:rPr>
        <w:t>levetiracetam</w:t>
      </w:r>
      <w:proofErr w:type="spellEnd"/>
      <w:r>
        <w:rPr>
          <w:sz w:val="24"/>
          <w:szCs w:val="24"/>
        </w:rPr>
        <w:t>.</w:t>
      </w:r>
    </w:p>
    <w:p w:rsidR="00B73392" w:rsidRDefault="00B73392" w:rsidP="00B73392">
      <w:pPr>
        <w:autoSpaceDE w:val="0"/>
        <w:autoSpaceDN w:val="0"/>
        <w:adjustRightInd w:val="0"/>
        <w:rPr>
          <w:sz w:val="24"/>
          <w:szCs w:val="24"/>
        </w:rPr>
      </w:pPr>
      <w:r>
        <w:rPr>
          <w:sz w:val="24"/>
          <w:szCs w:val="24"/>
          <w:vertAlign w:val="superscript"/>
        </w:rPr>
        <w:t>(4)</w:t>
      </w:r>
      <w:r>
        <w:rPr>
          <w:sz w:val="24"/>
          <w:szCs w:val="24"/>
        </w:rPr>
        <w:t xml:space="preserve"> Efter dialyse anbefales 3,5-7 mg/kg som supplerende dosis.</w:t>
      </w:r>
    </w:p>
    <w:p w:rsidR="00B73392" w:rsidRDefault="00B73392" w:rsidP="00B73392">
      <w:pPr>
        <w:autoSpaceDE w:val="0"/>
        <w:autoSpaceDN w:val="0"/>
        <w:adjustRightInd w:val="0"/>
        <w:rPr>
          <w:sz w:val="24"/>
          <w:szCs w:val="24"/>
        </w:rPr>
      </w:pPr>
      <w:r>
        <w:rPr>
          <w:sz w:val="24"/>
          <w:szCs w:val="24"/>
          <w:vertAlign w:val="superscript"/>
        </w:rPr>
        <w:t>(5)</w:t>
      </w:r>
      <w:r>
        <w:rPr>
          <w:sz w:val="24"/>
          <w:szCs w:val="24"/>
        </w:rPr>
        <w:t xml:space="preserve"> Efter dialyse anbefales 5-10 mg/kg som supplerende dosis.</w:t>
      </w:r>
    </w:p>
    <w:p w:rsidR="00B73392" w:rsidRDefault="00B73392" w:rsidP="00B73392">
      <w:pPr>
        <w:autoSpaceDE w:val="0"/>
        <w:autoSpaceDN w:val="0"/>
        <w:adjustRightInd w:val="0"/>
        <w:ind w:left="851" w:hanging="851"/>
        <w:rPr>
          <w:i/>
          <w:iCs/>
          <w:sz w:val="24"/>
          <w:szCs w:val="24"/>
        </w:rPr>
      </w:pPr>
    </w:p>
    <w:p w:rsidR="00B73392" w:rsidRDefault="00B73392" w:rsidP="00B73392">
      <w:pPr>
        <w:autoSpaceDE w:val="0"/>
        <w:autoSpaceDN w:val="0"/>
        <w:adjustRightInd w:val="0"/>
        <w:ind w:left="851"/>
        <w:rPr>
          <w:i/>
          <w:iCs/>
          <w:sz w:val="24"/>
          <w:szCs w:val="24"/>
        </w:rPr>
      </w:pPr>
      <w:r>
        <w:rPr>
          <w:i/>
          <w:iCs/>
          <w:sz w:val="24"/>
          <w:szCs w:val="24"/>
        </w:rPr>
        <w:t>Nedsat leverfunktion</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rPr>
      </w:pPr>
      <w:r>
        <w:rPr>
          <w:sz w:val="24"/>
          <w:szCs w:val="24"/>
        </w:rPr>
        <w:t xml:space="preserve">Dosisjustering er ikke nødvendig hos patienter med let til moderat nedsat leverfunktion. Hos patienter med alvorligt nedsat leverfunktion kan </w:t>
      </w:r>
      <w:proofErr w:type="spellStart"/>
      <w:r>
        <w:rPr>
          <w:sz w:val="24"/>
          <w:szCs w:val="24"/>
        </w:rPr>
        <w:t>kreatininclearance</w:t>
      </w:r>
      <w:proofErr w:type="spellEnd"/>
      <w:r>
        <w:rPr>
          <w:sz w:val="24"/>
          <w:szCs w:val="24"/>
        </w:rPr>
        <w:t xml:space="preserve"> underestimere nyreinsufficiensen.</w:t>
      </w:r>
    </w:p>
    <w:p w:rsidR="00B73392" w:rsidRDefault="00B73392" w:rsidP="00B73392">
      <w:pPr>
        <w:autoSpaceDE w:val="0"/>
        <w:autoSpaceDN w:val="0"/>
        <w:adjustRightInd w:val="0"/>
        <w:ind w:left="851"/>
        <w:rPr>
          <w:sz w:val="24"/>
          <w:szCs w:val="24"/>
        </w:rPr>
      </w:pPr>
      <w:r>
        <w:rPr>
          <w:sz w:val="24"/>
          <w:szCs w:val="24"/>
        </w:rPr>
        <w:t xml:space="preserve">Derfor anbefales en reduktion på 50 % af den daglige vedligeholdelsesdosis, når </w:t>
      </w:r>
      <w:proofErr w:type="spellStart"/>
      <w:r>
        <w:rPr>
          <w:sz w:val="24"/>
          <w:szCs w:val="24"/>
        </w:rPr>
        <w:t>kreatininclearance</w:t>
      </w:r>
      <w:proofErr w:type="spellEnd"/>
      <w:r>
        <w:rPr>
          <w:sz w:val="24"/>
          <w:szCs w:val="24"/>
        </w:rPr>
        <w:t xml:space="preserve"> er &lt; 60 ml/min/1,73 m</w:t>
      </w:r>
      <w:r>
        <w:rPr>
          <w:sz w:val="24"/>
          <w:szCs w:val="24"/>
          <w:vertAlign w:val="superscript"/>
        </w:rPr>
        <w:t>2</w:t>
      </w:r>
      <w:r>
        <w:rPr>
          <w:sz w:val="24"/>
          <w:szCs w:val="24"/>
        </w:rPr>
        <w:t>.</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u w:val="single"/>
        </w:rPr>
      </w:pPr>
      <w:r>
        <w:rPr>
          <w:sz w:val="24"/>
          <w:szCs w:val="24"/>
          <w:u w:val="single"/>
        </w:rPr>
        <w:t>Pædiatrisk population</w:t>
      </w:r>
    </w:p>
    <w:p w:rsidR="00B73392" w:rsidRDefault="00B73392" w:rsidP="00B73392">
      <w:pPr>
        <w:autoSpaceDE w:val="0"/>
        <w:autoSpaceDN w:val="0"/>
        <w:adjustRightInd w:val="0"/>
        <w:ind w:left="851"/>
        <w:rPr>
          <w:sz w:val="24"/>
          <w:szCs w:val="24"/>
        </w:rPr>
      </w:pPr>
      <w:r>
        <w:rPr>
          <w:sz w:val="24"/>
          <w:szCs w:val="24"/>
        </w:rPr>
        <w:t>Lægen bør ordinere den mest hensigtsmæssige lægemiddelform, formulering og styrke afhængigt af alder, vægt og dosis.</w:t>
      </w:r>
    </w:p>
    <w:p w:rsidR="00B73392" w:rsidRDefault="00B73392" w:rsidP="00B73392">
      <w:pPr>
        <w:autoSpaceDE w:val="0"/>
        <w:autoSpaceDN w:val="0"/>
        <w:adjustRightInd w:val="0"/>
        <w:ind w:left="851" w:hanging="851"/>
        <w:rPr>
          <w:iCs/>
          <w:sz w:val="24"/>
          <w:szCs w:val="24"/>
        </w:rPr>
      </w:pPr>
    </w:p>
    <w:p w:rsidR="00B73392" w:rsidRDefault="00B73392" w:rsidP="00B73392">
      <w:pPr>
        <w:autoSpaceDE w:val="0"/>
        <w:autoSpaceDN w:val="0"/>
        <w:adjustRightInd w:val="0"/>
        <w:ind w:left="851"/>
        <w:rPr>
          <w:sz w:val="24"/>
          <w:szCs w:val="24"/>
        </w:rPr>
      </w:pPr>
      <w:r>
        <w:rPr>
          <w:sz w:val="24"/>
          <w:szCs w:val="24"/>
        </w:rPr>
        <w:t>Tabletformuleringen er ikke egnet til brug hos spædbørn og børn under 6 år. Oral opløsning bør foretrækkes til denne population. Desuden er de tilgængelige tabletstyrker ikke egnet til initialbehandling af børn, som vejer mindre end 25 kg, til patienter, som ikke er i stand til at synke tabletter, eller til administration af doser under 250 mg. I alle ovennævnte tilfælde skal oral opløsning anvendes.</w:t>
      </w:r>
    </w:p>
    <w:p w:rsidR="00B73392" w:rsidRDefault="00B73392" w:rsidP="00B73392">
      <w:pPr>
        <w:autoSpaceDE w:val="0"/>
        <w:autoSpaceDN w:val="0"/>
        <w:adjustRightInd w:val="0"/>
        <w:ind w:left="851" w:hanging="851"/>
        <w:rPr>
          <w:iCs/>
          <w:sz w:val="24"/>
          <w:szCs w:val="24"/>
        </w:rPr>
      </w:pPr>
    </w:p>
    <w:p w:rsidR="00A64731" w:rsidRPr="00A64731" w:rsidRDefault="00A64731" w:rsidP="00A64731">
      <w:pPr>
        <w:autoSpaceDE w:val="0"/>
        <w:autoSpaceDN w:val="0"/>
        <w:adjustRightInd w:val="0"/>
        <w:ind w:left="851"/>
        <w:rPr>
          <w:i/>
          <w:iCs/>
          <w:sz w:val="24"/>
          <w:szCs w:val="24"/>
        </w:rPr>
      </w:pPr>
      <w:r w:rsidRPr="00A64731">
        <w:rPr>
          <w:i/>
          <w:iCs/>
          <w:sz w:val="24"/>
          <w:szCs w:val="24"/>
        </w:rPr>
        <w:t>Monoterapi</w:t>
      </w:r>
    </w:p>
    <w:p w:rsidR="00A64731" w:rsidRPr="00A64731" w:rsidRDefault="00A64731" w:rsidP="00A64731">
      <w:pPr>
        <w:autoSpaceDE w:val="0"/>
        <w:autoSpaceDN w:val="0"/>
        <w:adjustRightInd w:val="0"/>
        <w:ind w:left="851"/>
        <w:rPr>
          <w:sz w:val="24"/>
          <w:szCs w:val="24"/>
        </w:rPr>
      </w:pPr>
      <w:proofErr w:type="spellStart"/>
      <w:r w:rsidRPr="00A64731">
        <w:rPr>
          <w:sz w:val="24"/>
          <w:szCs w:val="24"/>
        </w:rPr>
        <w:t>Levetiracetam</w:t>
      </w:r>
      <w:proofErr w:type="spellEnd"/>
      <w:r w:rsidRPr="00A64731">
        <w:rPr>
          <w:sz w:val="24"/>
          <w:szCs w:val="24"/>
        </w:rPr>
        <w:t xml:space="preserve"> ”</w:t>
      </w:r>
      <w:proofErr w:type="spellStart"/>
      <w:r w:rsidRPr="00A64731">
        <w:rPr>
          <w:sz w:val="24"/>
          <w:szCs w:val="24"/>
        </w:rPr>
        <w:t>Krka”s</w:t>
      </w:r>
      <w:proofErr w:type="spellEnd"/>
      <w:r w:rsidRPr="00A64731">
        <w:rPr>
          <w:sz w:val="24"/>
          <w:szCs w:val="24"/>
        </w:rPr>
        <w:t xml:space="preserve"> sikkerhed og virkning som monoterapi til behandling hos børn og unge under 16 år er ikke klarlagt. </w:t>
      </w:r>
    </w:p>
    <w:p w:rsidR="00A64731" w:rsidRPr="00A64731" w:rsidRDefault="00A64731" w:rsidP="00A64731">
      <w:pPr>
        <w:autoSpaceDE w:val="0"/>
        <w:autoSpaceDN w:val="0"/>
        <w:adjustRightInd w:val="0"/>
        <w:ind w:left="851"/>
        <w:rPr>
          <w:sz w:val="24"/>
          <w:szCs w:val="24"/>
        </w:rPr>
      </w:pPr>
      <w:r w:rsidRPr="00A64731">
        <w:rPr>
          <w:sz w:val="24"/>
          <w:szCs w:val="24"/>
        </w:rPr>
        <w:t>Der foreligger ingen data.</w:t>
      </w:r>
    </w:p>
    <w:p w:rsidR="00A64731" w:rsidRPr="00A64731" w:rsidRDefault="00A64731" w:rsidP="00A64731">
      <w:pPr>
        <w:autoSpaceDE w:val="0"/>
        <w:autoSpaceDN w:val="0"/>
        <w:adjustRightInd w:val="0"/>
        <w:ind w:left="851"/>
        <w:rPr>
          <w:sz w:val="24"/>
          <w:szCs w:val="24"/>
        </w:rPr>
      </w:pPr>
    </w:p>
    <w:p w:rsidR="00A64731" w:rsidRPr="00A64731" w:rsidRDefault="00A64731" w:rsidP="00A64731">
      <w:pPr>
        <w:autoSpaceDE w:val="0"/>
        <w:autoSpaceDN w:val="0"/>
        <w:adjustRightInd w:val="0"/>
        <w:ind w:left="851"/>
        <w:rPr>
          <w:i/>
          <w:sz w:val="24"/>
          <w:szCs w:val="24"/>
        </w:rPr>
      </w:pPr>
      <w:r w:rsidRPr="00A64731">
        <w:rPr>
          <w:i/>
          <w:sz w:val="24"/>
          <w:szCs w:val="24"/>
        </w:rPr>
        <w:t>Unge (16 og 17 år), som vejer 50 kg eller mere, og som for nyligt har fået stillet diagnosen epilepsi med partielt udløste anfald med eller uden sekundær generalisering.</w:t>
      </w:r>
    </w:p>
    <w:p w:rsidR="00A64731" w:rsidRPr="00A64731" w:rsidRDefault="00A64731" w:rsidP="00A64731">
      <w:pPr>
        <w:autoSpaceDE w:val="0"/>
        <w:autoSpaceDN w:val="0"/>
        <w:adjustRightInd w:val="0"/>
        <w:ind w:left="851"/>
        <w:rPr>
          <w:i/>
          <w:sz w:val="24"/>
          <w:szCs w:val="24"/>
        </w:rPr>
      </w:pPr>
      <w:r w:rsidRPr="00A64731">
        <w:rPr>
          <w:sz w:val="24"/>
          <w:szCs w:val="24"/>
        </w:rPr>
        <w:t xml:space="preserve">Se ovenstående afsnit om </w:t>
      </w:r>
      <w:r w:rsidRPr="00A64731">
        <w:rPr>
          <w:i/>
          <w:sz w:val="24"/>
          <w:szCs w:val="24"/>
        </w:rPr>
        <w:t>Voksne (≥ 18 år) og unge (12 til 17 år), som vejer 50 kg eller mere.</w:t>
      </w:r>
    </w:p>
    <w:p w:rsidR="00A64731" w:rsidRPr="00A64731" w:rsidRDefault="00A64731" w:rsidP="00A64731">
      <w:pPr>
        <w:autoSpaceDE w:val="0"/>
        <w:autoSpaceDN w:val="0"/>
        <w:adjustRightInd w:val="0"/>
        <w:ind w:left="851" w:hanging="851"/>
        <w:rPr>
          <w:i/>
          <w:sz w:val="24"/>
          <w:szCs w:val="24"/>
        </w:rPr>
      </w:pPr>
    </w:p>
    <w:p w:rsidR="00A64731" w:rsidRPr="00A64731" w:rsidRDefault="00A64731" w:rsidP="00A64731">
      <w:pPr>
        <w:autoSpaceDE w:val="0"/>
        <w:autoSpaceDN w:val="0"/>
        <w:adjustRightInd w:val="0"/>
        <w:ind w:left="851"/>
        <w:rPr>
          <w:i/>
          <w:iCs/>
          <w:sz w:val="24"/>
          <w:szCs w:val="24"/>
        </w:rPr>
      </w:pPr>
      <w:r w:rsidRPr="00A64731">
        <w:rPr>
          <w:i/>
          <w:iCs/>
          <w:sz w:val="24"/>
          <w:szCs w:val="24"/>
        </w:rPr>
        <w:t>Tillægsbehandling til spædbørn i alderen 6-23 måneder, børn (2-11 år) og unge (12-17 år), som vejer mindre end 50 kg</w:t>
      </w:r>
    </w:p>
    <w:p w:rsidR="00A64731" w:rsidRPr="00A64731" w:rsidRDefault="00A64731" w:rsidP="00A64731">
      <w:pPr>
        <w:autoSpaceDE w:val="0"/>
        <w:autoSpaceDN w:val="0"/>
        <w:adjustRightInd w:val="0"/>
        <w:ind w:left="851" w:hanging="851"/>
        <w:rPr>
          <w:sz w:val="24"/>
          <w:szCs w:val="24"/>
        </w:rPr>
      </w:pPr>
    </w:p>
    <w:p w:rsidR="00A64731" w:rsidRPr="00A64731" w:rsidRDefault="00A64731" w:rsidP="00A64731">
      <w:pPr>
        <w:autoSpaceDE w:val="0"/>
        <w:autoSpaceDN w:val="0"/>
        <w:adjustRightInd w:val="0"/>
        <w:ind w:left="851"/>
        <w:rPr>
          <w:sz w:val="24"/>
          <w:szCs w:val="24"/>
        </w:rPr>
      </w:pPr>
      <w:r w:rsidRPr="00A64731">
        <w:rPr>
          <w:sz w:val="24"/>
          <w:szCs w:val="24"/>
        </w:rPr>
        <w:t>Den orale opløsning er den fortrukne lægemiddelform til spædbørn og børn i alderen under 6 år.</w:t>
      </w:r>
    </w:p>
    <w:p w:rsidR="00A64731" w:rsidRPr="00A64731" w:rsidRDefault="00A64731" w:rsidP="00A64731">
      <w:pPr>
        <w:autoSpaceDE w:val="0"/>
        <w:autoSpaceDN w:val="0"/>
        <w:adjustRightInd w:val="0"/>
        <w:ind w:left="851"/>
        <w:rPr>
          <w:sz w:val="24"/>
          <w:szCs w:val="24"/>
        </w:rPr>
      </w:pPr>
    </w:p>
    <w:p w:rsidR="00A64731" w:rsidRPr="00A64731" w:rsidRDefault="00A64731" w:rsidP="00A64731">
      <w:pPr>
        <w:autoSpaceDE w:val="0"/>
        <w:autoSpaceDN w:val="0"/>
        <w:adjustRightInd w:val="0"/>
        <w:ind w:left="851"/>
        <w:rPr>
          <w:sz w:val="24"/>
          <w:szCs w:val="24"/>
        </w:rPr>
      </w:pPr>
      <w:r w:rsidRPr="00A64731">
        <w:rPr>
          <w:sz w:val="24"/>
          <w:szCs w:val="24"/>
        </w:rPr>
        <w:lastRenderedPageBreak/>
        <w:t>For børn, der er 6 år og ældre, bør en oral opløsning anvendes ved doser under 250 mg, for doser, som ikke er delelige med 250 mg, når den anbefalede dosis ikke kan opnås ved at tage flere tabletter og til patienter, som ikke er i stand til at synke tabletter.</w:t>
      </w:r>
    </w:p>
    <w:p w:rsidR="00A64731" w:rsidRPr="00A64731" w:rsidRDefault="00A64731" w:rsidP="00A64731">
      <w:pPr>
        <w:autoSpaceDE w:val="0"/>
        <w:autoSpaceDN w:val="0"/>
        <w:adjustRightInd w:val="0"/>
        <w:ind w:left="851" w:hanging="851"/>
        <w:rPr>
          <w:sz w:val="24"/>
          <w:szCs w:val="24"/>
        </w:rPr>
      </w:pPr>
    </w:p>
    <w:p w:rsidR="00A64731" w:rsidRPr="00A64731" w:rsidRDefault="00A64731" w:rsidP="00A64731">
      <w:pPr>
        <w:autoSpaceDE w:val="0"/>
        <w:autoSpaceDN w:val="0"/>
        <w:adjustRightInd w:val="0"/>
        <w:ind w:left="851"/>
        <w:rPr>
          <w:sz w:val="24"/>
          <w:szCs w:val="24"/>
        </w:rPr>
      </w:pPr>
      <w:r w:rsidRPr="00A64731">
        <w:rPr>
          <w:sz w:val="24"/>
          <w:szCs w:val="24"/>
        </w:rPr>
        <w:t>Den laveste effektive dosis bør anvendes til alle indikationer. Den initiale dosis for et barn eller en ung på 25 kg bør være 250 mg to gange dagligt med en maksimal dosis på 750 mg to gange dagligt.</w:t>
      </w:r>
    </w:p>
    <w:p w:rsidR="00A64731" w:rsidRPr="00A64731" w:rsidRDefault="00A64731" w:rsidP="00A64731">
      <w:pPr>
        <w:autoSpaceDE w:val="0"/>
        <w:autoSpaceDN w:val="0"/>
        <w:adjustRightInd w:val="0"/>
        <w:ind w:left="851"/>
        <w:rPr>
          <w:sz w:val="24"/>
          <w:szCs w:val="24"/>
        </w:rPr>
      </w:pPr>
    </w:p>
    <w:p w:rsidR="00A64731" w:rsidRPr="00A64731" w:rsidRDefault="00A64731" w:rsidP="00A64731">
      <w:pPr>
        <w:autoSpaceDE w:val="0"/>
        <w:autoSpaceDN w:val="0"/>
        <w:adjustRightInd w:val="0"/>
        <w:ind w:left="851"/>
        <w:rPr>
          <w:sz w:val="24"/>
          <w:szCs w:val="24"/>
        </w:rPr>
      </w:pPr>
      <w:r w:rsidRPr="00A64731">
        <w:rPr>
          <w:sz w:val="24"/>
          <w:szCs w:val="24"/>
        </w:rPr>
        <w:t>Dosis til børn, som vejer 50 kg eller mere, er den samme som til voksne for alle indikationer.</w:t>
      </w:r>
    </w:p>
    <w:p w:rsidR="00A64731" w:rsidRDefault="00A64731" w:rsidP="00A64731">
      <w:pPr>
        <w:autoSpaceDE w:val="0"/>
        <w:autoSpaceDN w:val="0"/>
        <w:adjustRightInd w:val="0"/>
        <w:ind w:left="851"/>
        <w:rPr>
          <w:sz w:val="24"/>
          <w:szCs w:val="24"/>
        </w:rPr>
      </w:pPr>
      <w:r w:rsidRPr="00A64731">
        <w:rPr>
          <w:sz w:val="24"/>
          <w:szCs w:val="24"/>
        </w:rPr>
        <w:t xml:space="preserve">Se ovenstående afsnit om </w:t>
      </w:r>
      <w:r w:rsidRPr="00A64731">
        <w:rPr>
          <w:i/>
          <w:sz w:val="24"/>
          <w:szCs w:val="24"/>
        </w:rPr>
        <w:t>Voksne (≥ 18 år) og unge (12 til 17 år), som vejer 50 kg eller mere, for alle indikationer.</w:t>
      </w:r>
    </w:p>
    <w:p w:rsidR="00A64731" w:rsidRDefault="00A64731" w:rsidP="00A64731">
      <w:pPr>
        <w:autoSpaceDE w:val="0"/>
        <w:autoSpaceDN w:val="0"/>
        <w:adjustRightInd w:val="0"/>
        <w:ind w:left="851" w:hanging="851"/>
        <w:rPr>
          <w:sz w:val="24"/>
          <w:szCs w:val="24"/>
        </w:rPr>
      </w:pPr>
    </w:p>
    <w:p w:rsidR="00A64731" w:rsidRDefault="00A64731" w:rsidP="00A64731">
      <w:pPr>
        <w:autoSpaceDE w:val="0"/>
        <w:autoSpaceDN w:val="0"/>
        <w:adjustRightInd w:val="0"/>
        <w:ind w:left="851"/>
        <w:rPr>
          <w:iCs/>
          <w:sz w:val="24"/>
          <w:szCs w:val="24"/>
          <w:u w:val="single"/>
        </w:rPr>
      </w:pPr>
      <w:r>
        <w:rPr>
          <w:iCs/>
          <w:sz w:val="24"/>
          <w:szCs w:val="24"/>
          <w:u w:val="single"/>
        </w:rPr>
        <w:t>Tillægsbehandling til spædbørn i alderen fra 1 måned til under 6 måneder</w:t>
      </w:r>
    </w:p>
    <w:p w:rsidR="00A64731" w:rsidRDefault="00A64731" w:rsidP="00A64731">
      <w:pPr>
        <w:autoSpaceDE w:val="0"/>
        <w:autoSpaceDN w:val="0"/>
        <w:adjustRightInd w:val="0"/>
        <w:ind w:left="851"/>
        <w:rPr>
          <w:sz w:val="24"/>
          <w:szCs w:val="24"/>
        </w:rPr>
      </w:pPr>
      <w:r>
        <w:rPr>
          <w:sz w:val="24"/>
          <w:szCs w:val="24"/>
        </w:rPr>
        <w:t>En oral opløsning skal anvendes til spædbørn.</w:t>
      </w:r>
    </w:p>
    <w:p w:rsidR="00A64731" w:rsidRDefault="00A64731" w:rsidP="00A64731">
      <w:pPr>
        <w:autoSpaceDE w:val="0"/>
        <w:autoSpaceDN w:val="0"/>
        <w:adjustRightInd w:val="0"/>
        <w:ind w:left="851" w:hanging="851"/>
        <w:rPr>
          <w:sz w:val="24"/>
          <w:szCs w:val="24"/>
        </w:rPr>
      </w:pPr>
    </w:p>
    <w:p w:rsidR="00A64731" w:rsidRDefault="00A64731" w:rsidP="00A64731">
      <w:pPr>
        <w:keepNext/>
        <w:autoSpaceDE w:val="0"/>
        <w:autoSpaceDN w:val="0"/>
        <w:adjustRightInd w:val="0"/>
        <w:ind w:left="851"/>
        <w:rPr>
          <w:sz w:val="24"/>
          <w:szCs w:val="24"/>
          <w:u w:val="single"/>
        </w:rPr>
      </w:pPr>
      <w:r>
        <w:rPr>
          <w:sz w:val="24"/>
          <w:szCs w:val="24"/>
          <w:u w:val="single"/>
        </w:rPr>
        <w:t>Administration</w:t>
      </w:r>
    </w:p>
    <w:p w:rsidR="00A64731" w:rsidRDefault="00A64731" w:rsidP="00A64731">
      <w:pPr>
        <w:autoSpaceDE w:val="0"/>
        <w:autoSpaceDN w:val="0"/>
        <w:adjustRightInd w:val="0"/>
        <w:ind w:left="851"/>
        <w:rPr>
          <w:sz w:val="24"/>
          <w:szCs w:val="24"/>
        </w:rPr>
      </w:pPr>
      <w:r>
        <w:rPr>
          <w:sz w:val="24"/>
          <w:szCs w:val="24"/>
        </w:rPr>
        <w:t xml:space="preserve">De filmovertrukne tabletter skal indtages oralt, synkes med tilstrækkelig væske og kan tages med eller uden mad. Den bitre smag af </w:t>
      </w:r>
      <w:proofErr w:type="spellStart"/>
      <w:r>
        <w:rPr>
          <w:sz w:val="24"/>
          <w:szCs w:val="24"/>
        </w:rPr>
        <w:t>levetiracetam</w:t>
      </w:r>
      <w:proofErr w:type="spellEnd"/>
      <w:r>
        <w:rPr>
          <w:sz w:val="24"/>
          <w:szCs w:val="24"/>
        </w:rPr>
        <w:t xml:space="preserve"> kan opleves efter oralt indtag. Den daglige dosis fordeles på to lige store doser.</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4.3</w:t>
      </w:r>
      <w:r w:rsidRPr="00D961BD">
        <w:rPr>
          <w:b/>
          <w:sz w:val="24"/>
          <w:szCs w:val="24"/>
        </w:rPr>
        <w:tab/>
        <w:t>Kontraindikationer</w:t>
      </w:r>
    </w:p>
    <w:p w:rsidR="00B73392" w:rsidRPr="00D961BD" w:rsidRDefault="00B73392" w:rsidP="00B73392">
      <w:pPr>
        <w:autoSpaceDE w:val="0"/>
        <w:autoSpaceDN w:val="0"/>
        <w:adjustRightInd w:val="0"/>
        <w:ind w:left="851" w:hanging="851"/>
        <w:rPr>
          <w:sz w:val="24"/>
          <w:szCs w:val="24"/>
        </w:rPr>
      </w:pPr>
      <w:r w:rsidRPr="00D961BD">
        <w:rPr>
          <w:sz w:val="24"/>
          <w:szCs w:val="24"/>
        </w:rPr>
        <w:tab/>
        <w:t xml:space="preserve">Overfølsomhed over for </w:t>
      </w:r>
      <w:proofErr w:type="spellStart"/>
      <w:r w:rsidRPr="00D961BD">
        <w:rPr>
          <w:sz w:val="24"/>
          <w:szCs w:val="24"/>
        </w:rPr>
        <w:t>levetiracetam</w:t>
      </w:r>
      <w:proofErr w:type="spellEnd"/>
      <w:r w:rsidRPr="00D961BD">
        <w:rPr>
          <w:sz w:val="24"/>
          <w:szCs w:val="24"/>
        </w:rPr>
        <w:t xml:space="preserve"> eller andre </w:t>
      </w:r>
      <w:proofErr w:type="spellStart"/>
      <w:r w:rsidRPr="00D961BD">
        <w:rPr>
          <w:sz w:val="24"/>
          <w:szCs w:val="24"/>
        </w:rPr>
        <w:t>pyrrolidonderivater</w:t>
      </w:r>
      <w:proofErr w:type="spellEnd"/>
      <w:r w:rsidRPr="00D961BD">
        <w:rPr>
          <w:sz w:val="24"/>
          <w:szCs w:val="24"/>
        </w:rPr>
        <w:t xml:space="preserve"> eller over for et eller flere af hjælpestofferne anført i pkt. 6.1.</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4.4</w:t>
      </w:r>
      <w:r w:rsidRPr="00D961BD">
        <w:rPr>
          <w:b/>
          <w:sz w:val="24"/>
          <w:szCs w:val="24"/>
        </w:rPr>
        <w:tab/>
        <w:t>Særlige advarsler og forsigtighedsregler vedrørende brugen</w:t>
      </w:r>
    </w:p>
    <w:p w:rsidR="00B73392" w:rsidRDefault="00B73392" w:rsidP="00B73392">
      <w:pPr>
        <w:autoSpaceDE w:val="0"/>
        <w:autoSpaceDN w:val="0"/>
        <w:adjustRightInd w:val="0"/>
        <w:ind w:left="851" w:hanging="851"/>
        <w:rPr>
          <w:sz w:val="24"/>
          <w:szCs w:val="24"/>
        </w:rPr>
      </w:pPr>
      <w:r w:rsidRPr="00D961BD">
        <w:rPr>
          <w:sz w:val="24"/>
          <w:szCs w:val="24"/>
        </w:rPr>
        <w:tab/>
      </w:r>
      <w:r>
        <w:rPr>
          <w:sz w:val="24"/>
          <w:szCs w:val="24"/>
          <w:u w:val="single"/>
        </w:rPr>
        <w:t>Nedsat nyrefunktion</w:t>
      </w:r>
    </w:p>
    <w:p w:rsidR="00B73392" w:rsidRDefault="00B73392" w:rsidP="00B73392">
      <w:pPr>
        <w:autoSpaceDE w:val="0"/>
        <w:autoSpaceDN w:val="0"/>
        <w:adjustRightInd w:val="0"/>
        <w:ind w:left="851"/>
        <w:rPr>
          <w:sz w:val="24"/>
          <w:szCs w:val="24"/>
          <w:lang w:eastAsia="da-DK"/>
        </w:rPr>
      </w:pPr>
      <w:r>
        <w:rPr>
          <w:sz w:val="24"/>
          <w:szCs w:val="24"/>
          <w:lang w:eastAsia="da-DK"/>
        </w:rPr>
        <w:t xml:space="preserve">Anvendelse af </w:t>
      </w:r>
      <w:proofErr w:type="spellStart"/>
      <w:r>
        <w:rPr>
          <w:sz w:val="24"/>
          <w:szCs w:val="24"/>
          <w:lang w:eastAsia="da-DK"/>
        </w:rPr>
        <w:t>levetiracetam</w:t>
      </w:r>
      <w:proofErr w:type="spellEnd"/>
      <w:r>
        <w:rPr>
          <w:sz w:val="24"/>
          <w:szCs w:val="24"/>
          <w:lang w:eastAsia="da-DK"/>
        </w:rPr>
        <w:t xml:space="preserve"> til patienter med nedsat nyrefunktion kan kræve dosisjustering. Hos patienter med svært nedsat leverfunktion anbefales bestemmelse af nyrefunktion før valg af dosis (se pkt. 4.2).</w:t>
      </w:r>
    </w:p>
    <w:p w:rsidR="00B73392" w:rsidRDefault="00B73392" w:rsidP="00B73392">
      <w:pPr>
        <w:autoSpaceDE w:val="0"/>
        <w:autoSpaceDN w:val="0"/>
        <w:adjustRightInd w:val="0"/>
        <w:ind w:left="851"/>
        <w:rPr>
          <w:sz w:val="24"/>
          <w:szCs w:val="24"/>
          <w:lang w:eastAsia="da-DK"/>
        </w:rPr>
      </w:pPr>
    </w:p>
    <w:p w:rsidR="00B73392" w:rsidRDefault="00B73392" w:rsidP="00B73392">
      <w:pPr>
        <w:autoSpaceDE w:val="0"/>
        <w:autoSpaceDN w:val="0"/>
        <w:adjustRightInd w:val="0"/>
        <w:ind w:left="851"/>
        <w:rPr>
          <w:sz w:val="24"/>
          <w:szCs w:val="24"/>
          <w:u w:val="single"/>
          <w:lang w:eastAsia="da-DK"/>
        </w:rPr>
      </w:pPr>
      <w:r>
        <w:rPr>
          <w:sz w:val="24"/>
          <w:szCs w:val="24"/>
          <w:u w:val="single"/>
          <w:lang w:eastAsia="da-DK"/>
        </w:rPr>
        <w:t>Akut nyreskade</w:t>
      </w:r>
    </w:p>
    <w:p w:rsidR="00B73392" w:rsidRDefault="00B73392" w:rsidP="00B73392">
      <w:pPr>
        <w:autoSpaceDE w:val="0"/>
        <w:autoSpaceDN w:val="0"/>
        <w:adjustRightInd w:val="0"/>
        <w:ind w:left="851"/>
        <w:rPr>
          <w:sz w:val="24"/>
          <w:szCs w:val="24"/>
          <w:lang w:eastAsia="da-DK"/>
        </w:rPr>
      </w:pPr>
      <w:r>
        <w:rPr>
          <w:sz w:val="24"/>
          <w:szCs w:val="24"/>
          <w:lang w:eastAsia="da-DK"/>
        </w:rPr>
        <w:t xml:space="preserve">Brug af </w:t>
      </w:r>
      <w:proofErr w:type="spellStart"/>
      <w:r>
        <w:rPr>
          <w:sz w:val="24"/>
          <w:szCs w:val="24"/>
          <w:lang w:eastAsia="da-DK"/>
        </w:rPr>
        <w:t>levetiracetam</w:t>
      </w:r>
      <w:proofErr w:type="spellEnd"/>
      <w:r>
        <w:rPr>
          <w:sz w:val="24"/>
          <w:szCs w:val="24"/>
          <w:lang w:eastAsia="da-DK"/>
        </w:rPr>
        <w:t xml:space="preserve"> er i meget sjældne tilfælde blevet forbundet med akut nyreskade, som indtræffer fra få dage til flere måneder efter behandlingsstart.</w:t>
      </w:r>
    </w:p>
    <w:p w:rsidR="00B73392" w:rsidRDefault="00B73392" w:rsidP="00B73392">
      <w:pPr>
        <w:autoSpaceDE w:val="0"/>
        <w:autoSpaceDN w:val="0"/>
        <w:adjustRightInd w:val="0"/>
        <w:ind w:left="851"/>
        <w:rPr>
          <w:sz w:val="24"/>
          <w:szCs w:val="24"/>
          <w:u w:val="single"/>
        </w:rPr>
      </w:pPr>
    </w:p>
    <w:p w:rsidR="00B73392" w:rsidRDefault="00B73392" w:rsidP="00B73392">
      <w:pPr>
        <w:autoSpaceDE w:val="0"/>
        <w:autoSpaceDN w:val="0"/>
        <w:adjustRightInd w:val="0"/>
        <w:ind w:left="851"/>
        <w:rPr>
          <w:sz w:val="24"/>
          <w:szCs w:val="24"/>
          <w:u w:val="single"/>
        </w:rPr>
      </w:pPr>
      <w:r>
        <w:rPr>
          <w:sz w:val="24"/>
          <w:szCs w:val="24"/>
          <w:u w:val="single"/>
        </w:rPr>
        <w:t>Blodtælling</w:t>
      </w:r>
    </w:p>
    <w:p w:rsidR="00B73392" w:rsidRDefault="00B73392" w:rsidP="00B73392">
      <w:pPr>
        <w:autoSpaceDE w:val="0"/>
        <w:autoSpaceDN w:val="0"/>
        <w:adjustRightInd w:val="0"/>
        <w:ind w:left="851"/>
        <w:rPr>
          <w:sz w:val="24"/>
          <w:szCs w:val="24"/>
        </w:rPr>
      </w:pPr>
      <w:r>
        <w:rPr>
          <w:sz w:val="24"/>
          <w:szCs w:val="24"/>
        </w:rPr>
        <w:t>Der er blevet beskrevet sjældne tilfælde med fald i blodcelletallet (</w:t>
      </w:r>
      <w:proofErr w:type="spellStart"/>
      <w:r>
        <w:rPr>
          <w:sz w:val="24"/>
          <w:szCs w:val="24"/>
        </w:rPr>
        <w:t>neutropeni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og </w:t>
      </w:r>
      <w:proofErr w:type="spellStart"/>
      <w:r>
        <w:rPr>
          <w:sz w:val="24"/>
          <w:szCs w:val="24"/>
        </w:rPr>
        <w:t>pancytopeni</w:t>
      </w:r>
      <w:proofErr w:type="spellEnd"/>
      <w:r>
        <w:rPr>
          <w:sz w:val="24"/>
          <w:szCs w:val="24"/>
        </w:rPr>
        <w:t xml:space="preserve">) i forbindelse med administration af </w:t>
      </w:r>
      <w:proofErr w:type="spellStart"/>
      <w:r>
        <w:rPr>
          <w:sz w:val="24"/>
          <w:szCs w:val="24"/>
        </w:rPr>
        <w:t>levetiracetam</w:t>
      </w:r>
      <w:proofErr w:type="spellEnd"/>
      <w:r>
        <w:rPr>
          <w:sz w:val="24"/>
          <w:szCs w:val="24"/>
        </w:rPr>
        <w:t xml:space="preserve">, især i begyndelsen af behandlingen. Det anbefales, at foretage en komplet blodtælling hos patienter, som oplever betydelig svækkelse, </w:t>
      </w:r>
      <w:proofErr w:type="spellStart"/>
      <w:r>
        <w:rPr>
          <w:sz w:val="24"/>
          <w:szCs w:val="24"/>
        </w:rPr>
        <w:t>pyreksi</w:t>
      </w:r>
      <w:proofErr w:type="spellEnd"/>
      <w:r>
        <w:rPr>
          <w:sz w:val="24"/>
          <w:szCs w:val="24"/>
        </w:rPr>
        <w:t>, tilbagevendende infektioner eller koagulationsforstyrrelser (se pkt. 4.8).</w:t>
      </w:r>
    </w:p>
    <w:p w:rsidR="00B73392" w:rsidRDefault="00B73392" w:rsidP="00B73392">
      <w:pPr>
        <w:autoSpaceDE w:val="0"/>
        <w:autoSpaceDN w:val="0"/>
        <w:adjustRightInd w:val="0"/>
        <w:rPr>
          <w:sz w:val="24"/>
          <w:szCs w:val="24"/>
          <w:lang w:eastAsia="da-DK"/>
        </w:rPr>
      </w:pPr>
    </w:p>
    <w:p w:rsidR="00B73392" w:rsidRDefault="00B73392" w:rsidP="00B73392">
      <w:pPr>
        <w:autoSpaceDE w:val="0"/>
        <w:autoSpaceDN w:val="0"/>
        <w:adjustRightInd w:val="0"/>
        <w:ind w:left="851"/>
        <w:rPr>
          <w:sz w:val="24"/>
          <w:szCs w:val="24"/>
          <w:u w:val="single"/>
          <w:lang w:eastAsia="da-DK"/>
        </w:rPr>
      </w:pPr>
      <w:r>
        <w:rPr>
          <w:sz w:val="24"/>
          <w:szCs w:val="24"/>
          <w:u w:val="single"/>
          <w:lang w:eastAsia="da-DK"/>
        </w:rPr>
        <w:t>Selvmord</w:t>
      </w:r>
    </w:p>
    <w:p w:rsidR="00B73392" w:rsidRDefault="00B73392" w:rsidP="00B73392">
      <w:pPr>
        <w:autoSpaceDE w:val="0"/>
        <w:autoSpaceDN w:val="0"/>
        <w:adjustRightInd w:val="0"/>
        <w:ind w:left="851"/>
        <w:rPr>
          <w:sz w:val="24"/>
          <w:szCs w:val="24"/>
          <w:lang w:eastAsia="da-DK"/>
        </w:rPr>
      </w:pPr>
      <w:r>
        <w:rPr>
          <w:sz w:val="24"/>
          <w:szCs w:val="24"/>
          <w:lang w:eastAsia="da-DK"/>
        </w:rPr>
        <w:t xml:space="preserve">Selvmord, selvmordsforsøg, selvmordstanker og -adfærd er rapporteret hos patienter i behandling med </w:t>
      </w:r>
      <w:proofErr w:type="spellStart"/>
      <w:r>
        <w:rPr>
          <w:sz w:val="24"/>
          <w:szCs w:val="24"/>
          <w:lang w:eastAsia="da-DK"/>
        </w:rPr>
        <w:t>antiepileptika</w:t>
      </w:r>
      <w:proofErr w:type="spellEnd"/>
      <w:r>
        <w:rPr>
          <w:sz w:val="24"/>
          <w:szCs w:val="24"/>
          <w:lang w:eastAsia="da-DK"/>
        </w:rPr>
        <w:t xml:space="preserve"> (inklusive </w:t>
      </w:r>
      <w:proofErr w:type="spellStart"/>
      <w:r>
        <w:rPr>
          <w:sz w:val="24"/>
          <w:szCs w:val="24"/>
          <w:lang w:eastAsia="da-DK"/>
        </w:rPr>
        <w:t>levetiracetam</w:t>
      </w:r>
      <w:proofErr w:type="spellEnd"/>
      <w:r>
        <w:rPr>
          <w:sz w:val="24"/>
          <w:szCs w:val="24"/>
          <w:lang w:eastAsia="da-DK"/>
        </w:rPr>
        <w:t xml:space="preserve">). En metaanalyse af randomiserede, placebokontrollerede studier med </w:t>
      </w:r>
      <w:proofErr w:type="spellStart"/>
      <w:r>
        <w:rPr>
          <w:sz w:val="24"/>
          <w:szCs w:val="24"/>
          <w:lang w:eastAsia="da-DK"/>
        </w:rPr>
        <w:t>antiepileptika</w:t>
      </w:r>
      <w:proofErr w:type="spellEnd"/>
      <w:r>
        <w:rPr>
          <w:sz w:val="24"/>
          <w:szCs w:val="24"/>
          <w:lang w:eastAsia="da-DK"/>
        </w:rPr>
        <w:t xml:space="preserve"> har vist en let øget risiko for selvmordstanker og -adfærd. Mekanismen bag denne risiko er ikke kendt.</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Derfor bør patienterne overvåges for, om de får tegn på depression og/eller selvmordstanker og -adfærd, og passende behandling bør overvejes. Patienter (og </w:t>
      </w:r>
      <w:r>
        <w:rPr>
          <w:sz w:val="24"/>
          <w:szCs w:val="24"/>
          <w:lang w:eastAsia="da-DK"/>
        </w:rPr>
        <w:lastRenderedPageBreak/>
        <w:t>plejepersonale) bør rådes til straks at kontakte læge, hvis der opstår tegn på depression og/eller selvmordstanker eller -adfærd.</w:t>
      </w:r>
    </w:p>
    <w:p w:rsidR="00B73392" w:rsidRDefault="00B73392" w:rsidP="00B73392">
      <w:pPr>
        <w:autoSpaceDE w:val="0"/>
        <w:autoSpaceDN w:val="0"/>
        <w:adjustRightInd w:val="0"/>
        <w:rPr>
          <w:sz w:val="24"/>
          <w:szCs w:val="24"/>
          <w:u w:val="single"/>
        </w:rPr>
      </w:pPr>
    </w:p>
    <w:p w:rsidR="00FB26B9" w:rsidRDefault="00FB26B9" w:rsidP="00FB26B9">
      <w:pPr>
        <w:autoSpaceDE w:val="0"/>
        <w:autoSpaceDN w:val="0"/>
        <w:adjustRightInd w:val="0"/>
        <w:ind w:left="851"/>
        <w:rPr>
          <w:sz w:val="24"/>
          <w:szCs w:val="24"/>
          <w:u w:val="single"/>
        </w:rPr>
      </w:pPr>
      <w:r>
        <w:rPr>
          <w:sz w:val="24"/>
          <w:szCs w:val="24"/>
          <w:u w:val="single"/>
        </w:rPr>
        <w:t>Unormal og aggressiv adfærd</w:t>
      </w:r>
    </w:p>
    <w:p w:rsidR="00FB26B9" w:rsidRDefault="00FB26B9" w:rsidP="00FB26B9">
      <w:pPr>
        <w:autoSpaceDE w:val="0"/>
        <w:autoSpaceDN w:val="0"/>
        <w:adjustRightInd w:val="0"/>
        <w:ind w:left="851"/>
        <w:rPr>
          <w:sz w:val="24"/>
          <w:szCs w:val="24"/>
        </w:rPr>
      </w:pPr>
      <w:proofErr w:type="spellStart"/>
      <w:r>
        <w:rPr>
          <w:sz w:val="24"/>
          <w:szCs w:val="24"/>
        </w:rPr>
        <w:t>Levetiracetam</w:t>
      </w:r>
      <w:proofErr w:type="spellEnd"/>
      <w:r>
        <w:rPr>
          <w:sz w:val="24"/>
          <w:szCs w:val="24"/>
        </w:rPr>
        <w:t xml:space="preserve"> kan forårsage psykotiske symptomer og unormal adfærd, inklusive irritabilitet og aggressivitet. Patienter, der behandles med </w:t>
      </w:r>
      <w:proofErr w:type="spellStart"/>
      <w:r>
        <w:rPr>
          <w:sz w:val="24"/>
          <w:szCs w:val="24"/>
        </w:rPr>
        <w:t>levetiracetam</w:t>
      </w:r>
      <w:proofErr w:type="spellEnd"/>
      <w:r>
        <w:rPr>
          <w:sz w:val="24"/>
          <w:szCs w:val="24"/>
        </w:rPr>
        <w:t xml:space="preserve">, bør overvåges for udvikling af psykiatriske tegn, der tyder på væsentlige humør- og/eller personlighedsændringer. Hvis sådan adfærd bemærkes, bør justering eller gradvis </w:t>
      </w:r>
      <w:proofErr w:type="spellStart"/>
      <w:r>
        <w:rPr>
          <w:sz w:val="24"/>
          <w:szCs w:val="24"/>
        </w:rPr>
        <w:t>seponering</w:t>
      </w:r>
      <w:proofErr w:type="spellEnd"/>
      <w:r>
        <w:rPr>
          <w:sz w:val="24"/>
          <w:szCs w:val="24"/>
        </w:rPr>
        <w:t xml:space="preserve"> af behandlingen overvejes. Hvis </w:t>
      </w:r>
      <w:proofErr w:type="spellStart"/>
      <w:r>
        <w:rPr>
          <w:sz w:val="24"/>
          <w:szCs w:val="24"/>
        </w:rPr>
        <w:t>seponering</w:t>
      </w:r>
      <w:proofErr w:type="spellEnd"/>
      <w:r>
        <w:rPr>
          <w:sz w:val="24"/>
          <w:szCs w:val="24"/>
        </w:rPr>
        <w:t xml:space="preserve"> overvejes, se pkt. 4.2.</w:t>
      </w:r>
    </w:p>
    <w:p w:rsidR="00FB26B9" w:rsidRDefault="00FB26B9" w:rsidP="00FB26B9">
      <w:pPr>
        <w:autoSpaceDE w:val="0"/>
        <w:autoSpaceDN w:val="0"/>
        <w:adjustRightInd w:val="0"/>
        <w:ind w:left="851"/>
        <w:rPr>
          <w:sz w:val="24"/>
          <w:szCs w:val="24"/>
        </w:rPr>
      </w:pPr>
    </w:p>
    <w:p w:rsidR="00FB26B9" w:rsidRDefault="00FB26B9" w:rsidP="00FB26B9">
      <w:pPr>
        <w:autoSpaceDE w:val="0"/>
        <w:autoSpaceDN w:val="0"/>
        <w:adjustRightInd w:val="0"/>
        <w:ind w:left="851"/>
        <w:rPr>
          <w:sz w:val="24"/>
          <w:szCs w:val="24"/>
          <w:u w:val="single"/>
        </w:rPr>
      </w:pPr>
      <w:r>
        <w:rPr>
          <w:sz w:val="24"/>
          <w:szCs w:val="24"/>
          <w:u w:val="single"/>
        </w:rPr>
        <w:t>Forværring af krampeanfald</w:t>
      </w:r>
    </w:p>
    <w:p w:rsidR="00FB26B9" w:rsidRDefault="00FB26B9" w:rsidP="00FB26B9">
      <w:pPr>
        <w:autoSpaceDE w:val="0"/>
        <w:autoSpaceDN w:val="0"/>
        <w:adjustRightInd w:val="0"/>
        <w:ind w:left="851"/>
        <w:rPr>
          <w:sz w:val="24"/>
          <w:szCs w:val="24"/>
        </w:rPr>
      </w:pPr>
      <w:r>
        <w:rPr>
          <w:sz w:val="24"/>
          <w:szCs w:val="24"/>
        </w:rPr>
        <w:t xml:space="preserve">Som med andre typer af </w:t>
      </w:r>
      <w:proofErr w:type="spellStart"/>
      <w:r>
        <w:rPr>
          <w:sz w:val="24"/>
          <w:szCs w:val="24"/>
        </w:rPr>
        <w:t>antiepileptika</w:t>
      </w:r>
      <w:proofErr w:type="spellEnd"/>
      <w:r>
        <w:rPr>
          <w:sz w:val="24"/>
          <w:szCs w:val="24"/>
        </w:rPr>
        <w:t xml:space="preserve">, kan </w:t>
      </w:r>
      <w:proofErr w:type="spellStart"/>
      <w:r>
        <w:rPr>
          <w:sz w:val="24"/>
          <w:szCs w:val="24"/>
        </w:rPr>
        <w:t>levetiracetam</w:t>
      </w:r>
      <w:proofErr w:type="spellEnd"/>
      <w:r>
        <w:rPr>
          <w:sz w:val="24"/>
          <w:szCs w:val="24"/>
        </w:rPr>
        <w:t xml:space="preserve"> i sjældne tilfælde forværre krampeanfaldshyppighed eller -sværhedsgrad. Denne paradoksale effekt blev overvejende rapporteret inden for den første måned efter påbegyndelse af behandling med </w:t>
      </w:r>
      <w:proofErr w:type="spellStart"/>
      <w:r>
        <w:rPr>
          <w:sz w:val="24"/>
          <w:szCs w:val="24"/>
        </w:rPr>
        <w:t>levetiracetam</w:t>
      </w:r>
      <w:proofErr w:type="spellEnd"/>
      <w:r>
        <w:rPr>
          <w:sz w:val="24"/>
          <w:szCs w:val="24"/>
        </w:rPr>
        <w:t xml:space="preserve"> eller dosisoptrapning, og var reversibel ved </w:t>
      </w:r>
      <w:proofErr w:type="spellStart"/>
      <w:r>
        <w:rPr>
          <w:sz w:val="24"/>
          <w:szCs w:val="24"/>
        </w:rPr>
        <w:t>seponering</w:t>
      </w:r>
      <w:proofErr w:type="spellEnd"/>
      <w:r>
        <w:rPr>
          <w:sz w:val="24"/>
          <w:szCs w:val="24"/>
        </w:rPr>
        <w:t xml:space="preserve"> af lægemidlet eller dosisreduktion. Patienterne bør rådes til at konsultere deres læge øjeblikkeligt i tilfælde af forværring af epilepsi.</w:t>
      </w:r>
    </w:p>
    <w:p w:rsidR="00DC1A58" w:rsidRDefault="00DC1A58" w:rsidP="00DC1A58">
      <w:pPr>
        <w:autoSpaceDE w:val="0"/>
        <w:autoSpaceDN w:val="0"/>
        <w:adjustRightInd w:val="0"/>
        <w:ind w:left="851"/>
        <w:rPr>
          <w:sz w:val="24"/>
          <w:szCs w:val="24"/>
          <w:u w:val="single"/>
        </w:rPr>
      </w:pPr>
      <w:r w:rsidRPr="003C0FE3">
        <w:rPr>
          <w:sz w:val="24"/>
          <w:szCs w:val="24"/>
          <w:u w:val="single"/>
        </w:rPr>
        <w:t xml:space="preserve">Manglende virkning eller forværring af anfald er for </w:t>
      </w:r>
      <w:r>
        <w:rPr>
          <w:sz w:val="24"/>
          <w:szCs w:val="24"/>
          <w:u w:val="single"/>
        </w:rPr>
        <w:t xml:space="preserve">eksempel blevet rapporteret hos </w:t>
      </w:r>
      <w:r w:rsidRPr="003C0FE3">
        <w:rPr>
          <w:sz w:val="24"/>
          <w:szCs w:val="24"/>
          <w:u w:val="single"/>
        </w:rPr>
        <w:t>patienter med epilepsi forbundet med mutationer i de</w:t>
      </w:r>
      <w:r>
        <w:rPr>
          <w:sz w:val="24"/>
          <w:szCs w:val="24"/>
          <w:u w:val="single"/>
        </w:rPr>
        <w:t xml:space="preserve">n spændingsstyrede natriumkanal </w:t>
      </w:r>
      <w:r w:rsidRPr="003C0FE3">
        <w:rPr>
          <w:sz w:val="24"/>
          <w:szCs w:val="24"/>
          <w:u w:val="single"/>
        </w:rPr>
        <w:t>alfa-subunit 8 (SCN8A).</w:t>
      </w:r>
    </w:p>
    <w:p w:rsidR="00DC1A58" w:rsidRDefault="00DC1A58" w:rsidP="00FB26B9">
      <w:pPr>
        <w:autoSpaceDE w:val="0"/>
        <w:autoSpaceDN w:val="0"/>
        <w:adjustRightInd w:val="0"/>
        <w:ind w:left="851"/>
        <w:rPr>
          <w:sz w:val="24"/>
          <w:szCs w:val="24"/>
          <w:u w:val="single"/>
        </w:rPr>
      </w:pPr>
    </w:p>
    <w:p w:rsidR="00FB26B9" w:rsidRDefault="00FB26B9" w:rsidP="00FB26B9">
      <w:pPr>
        <w:autoSpaceDE w:val="0"/>
        <w:autoSpaceDN w:val="0"/>
        <w:adjustRightInd w:val="0"/>
        <w:ind w:left="851"/>
        <w:rPr>
          <w:sz w:val="24"/>
          <w:szCs w:val="24"/>
          <w:u w:val="single"/>
        </w:rPr>
      </w:pPr>
      <w:r>
        <w:rPr>
          <w:sz w:val="24"/>
          <w:szCs w:val="24"/>
          <w:u w:val="single"/>
        </w:rPr>
        <w:t>Forlænget QT-interval på elektrokardiogram</w:t>
      </w:r>
    </w:p>
    <w:p w:rsidR="00FB26B9" w:rsidRDefault="00FB26B9" w:rsidP="00FB26B9">
      <w:pPr>
        <w:autoSpaceDE w:val="0"/>
        <w:autoSpaceDN w:val="0"/>
        <w:adjustRightInd w:val="0"/>
        <w:ind w:left="851"/>
        <w:rPr>
          <w:sz w:val="24"/>
          <w:szCs w:val="24"/>
        </w:rPr>
      </w:pPr>
      <w:r>
        <w:rPr>
          <w:sz w:val="24"/>
          <w:szCs w:val="24"/>
        </w:rPr>
        <w:t xml:space="preserve">Der er blevet observeret sjældne tilfælde af forlænget QT-interval på EKG under overvågning efter markedsføringen. </w:t>
      </w:r>
      <w:proofErr w:type="spellStart"/>
      <w:r>
        <w:rPr>
          <w:sz w:val="24"/>
          <w:szCs w:val="24"/>
        </w:rPr>
        <w:t>Levetiracetam</w:t>
      </w:r>
      <w:proofErr w:type="spellEnd"/>
      <w:r>
        <w:rPr>
          <w:sz w:val="24"/>
          <w:szCs w:val="24"/>
        </w:rPr>
        <w:t xml:space="preserve"> skal anvendes med forsigtighed hos patienter med forlænget </w:t>
      </w:r>
      <w:proofErr w:type="spellStart"/>
      <w:r>
        <w:rPr>
          <w:sz w:val="24"/>
          <w:szCs w:val="24"/>
        </w:rPr>
        <w:t>QTcinterval</w:t>
      </w:r>
      <w:proofErr w:type="spellEnd"/>
      <w:r>
        <w:rPr>
          <w:sz w:val="24"/>
          <w:szCs w:val="24"/>
        </w:rPr>
        <w:t xml:space="preserve">, hos patienter, der samtidig behandles med lægemidler, der påvirker </w:t>
      </w:r>
      <w:proofErr w:type="spellStart"/>
      <w:r>
        <w:rPr>
          <w:sz w:val="24"/>
          <w:szCs w:val="24"/>
        </w:rPr>
        <w:t>QTc</w:t>
      </w:r>
      <w:proofErr w:type="spellEnd"/>
      <w:r>
        <w:rPr>
          <w:sz w:val="24"/>
          <w:szCs w:val="24"/>
        </w:rPr>
        <w:t xml:space="preserve">-intervallet, eller hos patienter med relevant </w:t>
      </w:r>
      <w:proofErr w:type="spellStart"/>
      <w:r>
        <w:rPr>
          <w:sz w:val="24"/>
          <w:szCs w:val="24"/>
        </w:rPr>
        <w:t>forudeksisterende</w:t>
      </w:r>
      <w:proofErr w:type="spellEnd"/>
      <w:r>
        <w:rPr>
          <w:sz w:val="24"/>
          <w:szCs w:val="24"/>
        </w:rPr>
        <w:t xml:space="preserve"> hjertesygdom eller elektrolytforstyrrelser.</w:t>
      </w:r>
    </w:p>
    <w:p w:rsidR="00FB26B9" w:rsidRDefault="00FB26B9" w:rsidP="00FB26B9">
      <w:pPr>
        <w:autoSpaceDE w:val="0"/>
        <w:autoSpaceDN w:val="0"/>
        <w:adjustRightInd w:val="0"/>
        <w:ind w:left="851"/>
        <w:rPr>
          <w:sz w:val="24"/>
          <w:szCs w:val="24"/>
        </w:rPr>
      </w:pPr>
    </w:p>
    <w:p w:rsidR="00FB26B9" w:rsidRDefault="00FB26B9" w:rsidP="00FB26B9">
      <w:pPr>
        <w:autoSpaceDE w:val="0"/>
        <w:autoSpaceDN w:val="0"/>
        <w:adjustRightInd w:val="0"/>
        <w:ind w:left="851"/>
        <w:rPr>
          <w:sz w:val="24"/>
          <w:szCs w:val="24"/>
          <w:u w:val="single"/>
        </w:rPr>
      </w:pPr>
      <w:r>
        <w:rPr>
          <w:sz w:val="24"/>
          <w:szCs w:val="24"/>
          <w:u w:val="single"/>
        </w:rPr>
        <w:t>Pædiatrisk population</w:t>
      </w:r>
    </w:p>
    <w:p w:rsidR="00FB26B9" w:rsidRDefault="00FB26B9" w:rsidP="00FB26B9">
      <w:pPr>
        <w:ind w:left="851"/>
        <w:rPr>
          <w:sz w:val="24"/>
          <w:szCs w:val="24"/>
        </w:rPr>
      </w:pPr>
      <w:r>
        <w:rPr>
          <w:sz w:val="24"/>
          <w:szCs w:val="24"/>
        </w:rPr>
        <w:t>Tabletformuleringen er ikke egnet til brug hos spædbørn og børn under 6 år.</w:t>
      </w:r>
    </w:p>
    <w:p w:rsidR="00FB26B9" w:rsidRDefault="00FB26B9" w:rsidP="00FB26B9">
      <w:pPr>
        <w:ind w:left="851" w:hanging="851"/>
        <w:rPr>
          <w:sz w:val="24"/>
          <w:szCs w:val="24"/>
        </w:rPr>
      </w:pPr>
    </w:p>
    <w:p w:rsidR="00B73392" w:rsidRDefault="00FB26B9" w:rsidP="00FB26B9">
      <w:pPr>
        <w:autoSpaceDE w:val="0"/>
        <w:autoSpaceDN w:val="0"/>
        <w:adjustRightInd w:val="0"/>
        <w:ind w:left="851"/>
        <w:rPr>
          <w:sz w:val="24"/>
          <w:szCs w:val="24"/>
        </w:rPr>
      </w:pPr>
      <w:r>
        <w:rPr>
          <w:sz w:val="24"/>
          <w:szCs w:val="24"/>
        </w:rPr>
        <w:t>Tilgængelige data for børn tyder ikke på nogen virkning på vækst og pubertet. Langtidsvirkninger på indlæring, intelligens, vækst, endokrin funktion, pubertet og fertilitetspotentiale hos børn kendes imidlertid ikke.</w:t>
      </w:r>
    </w:p>
    <w:p w:rsidR="00FB26B9" w:rsidRPr="00D961BD" w:rsidRDefault="00FB26B9" w:rsidP="00FB26B9">
      <w:pPr>
        <w:autoSpaceDE w:val="0"/>
        <w:autoSpaceDN w:val="0"/>
        <w:adjustRightInd w:val="0"/>
        <w:ind w:left="851" w:hanging="851"/>
        <w:rPr>
          <w:sz w:val="24"/>
          <w:szCs w:val="24"/>
        </w:rPr>
      </w:pPr>
    </w:p>
    <w:p w:rsidR="00B73392" w:rsidRPr="00D961BD" w:rsidRDefault="00B73392" w:rsidP="00B73392">
      <w:pPr>
        <w:ind w:left="851" w:hanging="851"/>
        <w:rPr>
          <w:b/>
          <w:sz w:val="24"/>
          <w:szCs w:val="24"/>
        </w:rPr>
      </w:pPr>
      <w:r w:rsidRPr="00D961BD">
        <w:rPr>
          <w:b/>
          <w:sz w:val="24"/>
          <w:szCs w:val="24"/>
        </w:rPr>
        <w:t>4.5</w:t>
      </w:r>
      <w:r w:rsidRPr="00D961BD">
        <w:rPr>
          <w:b/>
          <w:sz w:val="24"/>
          <w:szCs w:val="24"/>
        </w:rPr>
        <w:tab/>
        <w:t>Interaktion med andre lægemidler og andre former for interaktion</w:t>
      </w:r>
    </w:p>
    <w:p w:rsidR="00B73392" w:rsidRPr="00D961BD" w:rsidRDefault="00B73392" w:rsidP="00B73392">
      <w:pPr>
        <w:autoSpaceDE w:val="0"/>
        <w:autoSpaceDN w:val="0"/>
        <w:adjustRightInd w:val="0"/>
        <w:ind w:left="851" w:hanging="851"/>
        <w:rPr>
          <w:sz w:val="24"/>
          <w:szCs w:val="24"/>
          <w:u w:val="single"/>
          <w:lang w:eastAsia="da-DK"/>
        </w:rPr>
      </w:pPr>
      <w:r w:rsidRPr="00D961BD">
        <w:rPr>
          <w:sz w:val="24"/>
          <w:szCs w:val="24"/>
        </w:rPr>
        <w:tab/>
      </w:r>
      <w:proofErr w:type="spellStart"/>
      <w:r w:rsidRPr="00D961BD">
        <w:rPr>
          <w:sz w:val="24"/>
          <w:szCs w:val="24"/>
          <w:u w:val="single"/>
          <w:lang w:eastAsia="da-DK"/>
        </w:rPr>
        <w:t>Antiepileptika</w:t>
      </w:r>
      <w:proofErr w:type="spellEnd"/>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Data fra kliniske studier før markedsføring med voksne tyder på, at </w:t>
      </w:r>
      <w:proofErr w:type="spellStart"/>
      <w:r w:rsidRPr="00D961BD">
        <w:rPr>
          <w:sz w:val="24"/>
          <w:szCs w:val="24"/>
          <w:lang w:eastAsia="da-DK"/>
        </w:rPr>
        <w:t>levetiracetam</w:t>
      </w:r>
      <w:proofErr w:type="spellEnd"/>
      <w:r w:rsidRPr="00D961BD">
        <w:rPr>
          <w:sz w:val="24"/>
          <w:szCs w:val="24"/>
          <w:lang w:eastAsia="da-DK"/>
        </w:rPr>
        <w:t xml:space="preserve"> ikke påvirker serumkoncentrationerne af eksisterende </w:t>
      </w:r>
      <w:proofErr w:type="spellStart"/>
      <w:r w:rsidRPr="00D961BD">
        <w:rPr>
          <w:sz w:val="24"/>
          <w:szCs w:val="24"/>
          <w:lang w:eastAsia="da-DK"/>
        </w:rPr>
        <w:t>antiepileptika</w:t>
      </w:r>
      <w:proofErr w:type="spellEnd"/>
      <w:r w:rsidRPr="00D961BD">
        <w:rPr>
          <w:sz w:val="24"/>
          <w:szCs w:val="24"/>
          <w:lang w:eastAsia="da-DK"/>
        </w:rPr>
        <w:t xml:space="preserve"> (</w:t>
      </w:r>
      <w:proofErr w:type="spellStart"/>
      <w:r w:rsidRPr="00D961BD">
        <w:rPr>
          <w:sz w:val="24"/>
          <w:szCs w:val="24"/>
          <w:lang w:eastAsia="da-DK"/>
        </w:rPr>
        <w:t>phenytoin</w:t>
      </w:r>
      <w:proofErr w:type="spellEnd"/>
      <w:r w:rsidRPr="00D961BD">
        <w:rPr>
          <w:sz w:val="24"/>
          <w:szCs w:val="24"/>
          <w:lang w:eastAsia="da-DK"/>
        </w:rPr>
        <w:t xml:space="preserve">, </w:t>
      </w:r>
      <w:proofErr w:type="spellStart"/>
      <w:r w:rsidRPr="00D961BD">
        <w:rPr>
          <w:sz w:val="24"/>
          <w:szCs w:val="24"/>
          <w:lang w:eastAsia="da-DK"/>
        </w:rPr>
        <w:t>carbamazepin</w:t>
      </w:r>
      <w:proofErr w:type="spellEnd"/>
      <w:r w:rsidRPr="00D961BD">
        <w:rPr>
          <w:sz w:val="24"/>
          <w:szCs w:val="24"/>
          <w:lang w:eastAsia="da-DK"/>
        </w:rPr>
        <w:t xml:space="preserve">, </w:t>
      </w:r>
      <w:proofErr w:type="spellStart"/>
      <w:r w:rsidRPr="00D961BD">
        <w:rPr>
          <w:sz w:val="24"/>
          <w:szCs w:val="24"/>
          <w:lang w:eastAsia="da-DK"/>
        </w:rPr>
        <w:t>valproat</w:t>
      </w:r>
      <w:proofErr w:type="spellEnd"/>
      <w:r w:rsidRPr="00D961BD">
        <w:rPr>
          <w:sz w:val="24"/>
          <w:szCs w:val="24"/>
          <w:lang w:eastAsia="da-DK"/>
        </w:rPr>
        <w:t xml:space="preserve">, </w:t>
      </w:r>
      <w:proofErr w:type="spellStart"/>
      <w:r w:rsidRPr="00D961BD">
        <w:rPr>
          <w:sz w:val="24"/>
          <w:szCs w:val="24"/>
          <w:lang w:eastAsia="da-DK"/>
        </w:rPr>
        <w:t>phenobarbital</w:t>
      </w:r>
      <w:proofErr w:type="spellEnd"/>
      <w:r w:rsidRPr="00D961BD">
        <w:rPr>
          <w:sz w:val="24"/>
          <w:szCs w:val="24"/>
          <w:lang w:eastAsia="da-DK"/>
        </w:rPr>
        <w:t xml:space="preserve">, </w:t>
      </w:r>
      <w:proofErr w:type="spellStart"/>
      <w:r w:rsidRPr="00D961BD">
        <w:rPr>
          <w:sz w:val="24"/>
          <w:szCs w:val="24"/>
          <w:lang w:eastAsia="da-DK"/>
        </w:rPr>
        <w:t>lamotrigin</w:t>
      </w:r>
      <w:proofErr w:type="spellEnd"/>
      <w:r w:rsidRPr="00D961BD">
        <w:rPr>
          <w:sz w:val="24"/>
          <w:szCs w:val="24"/>
          <w:lang w:eastAsia="da-DK"/>
        </w:rPr>
        <w:t xml:space="preserve">, </w:t>
      </w:r>
      <w:proofErr w:type="spellStart"/>
      <w:r w:rsidRPr="00D961BD">
        <w:rPr>
          <w:sz w:val="24"/>
          <w:szCs w:val="24"/>
          <w:lang w:eastAsia="da-DK"/>
        </w:rPr>
        <w:t>gabapentin</w:t>
      </w:r>
      <w:proofErr w:type="spellEnd"/>
      <w:r w:rsidRPr="00D961BD">
        <w:rPr>
          <w:sz w:val="24"/>
          <w:szCs w:val="24"/>
          <w:lang w:eastAsia="da-DK"/>
        </w:rPr>
        <w:t xml:space="preserve"> og </w:t>
      </w:r>
      <w:proofErr w:type="spellStart"/>
      <w:r w:rsidRPr="00D961BD">
        <w:rPr>
          <w:sz w:val="24"/>
          <w:szCs w:val="24"/>
          <w:lang w:eastAsia="da-DK"/>
        </w:rPr>
        <w:t>primidon</w:t>
      </w:r>
      <w:proofErr w:type="spellEnd"/>
      <w:r w:rsidRPr="00D961BD">
        <w:rPr>
          <w:sz w:val="24"/>
          <w:szCs w:val="24"/>
          <w:lang w:eastAsia="da-DK"/>
        </w:rPr>
        <w:t xml:space="preserve">), og at disse </w:t>
      </w:r>
      <w:proofErr w:type="spellStart"/>
      <w:r w:rsidRPr="00D961BD">
        <w:rPr>
          <w:sz w:val="24"/>
          <w:szCs w:val="24"/>
          <w:lang w:eastAsia="da-DK"/>
        </w:rPr>
        <w:t>antiepileptika</w:t>
      </w:r>
      <w:proofErr w:type="spellEnd"/>
      <w:r w:rsidRPr="00D961BD">
        <w:rPr>
          <w:sz w:val="24"/>
          <w:szCs w:val="24"/>
          <w:lang w:eastAsia="da-DK"/>
        </w:rPr>
        <w:t xml:space="preserve"> ikke påvirker </w:t>
      </w:r>
      <w:proofErr w:type="spellStart"/>
      <w:r w:rsidRPr="00D961BD">
        <w:rPr>
          <w:sz w:val="24"/>
          <w:szCs w:val="24"/>
          <w:lang w:eastAsia="da-DK"/>
        </w:rPr>
        <w:t>levetiracetams</w:t>
      </w:r>
      <w:proofErr w:type="spellEnd"/>
      <w:r w:rsidRPr="00D961BD">
        <w:rPr>
          <w:sz w:val="24"/>
          <w:szCs w:val="24"/>
          <w:lang w:eastAsia="da-DK"/>
        </w:rPr>
        <w:t xml:space="preserve"> farmakokinetik.</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Som for voksne er der ikke nogen evidens for klinisk signifikante lægemiddelinteraktioner i pædiatriske patienter, som fik op til 60 mg/kg </w:t>
      </w:r>
      <w:proofErr w:type="spellStart"/>
      <w:r w:rsidRPr="00D961BD">
        <w:rPr>
          <w:sz w:val="24"/>
          <w:szCs w:val="24"/>
          <w:lang w:eastAsia="da-DK"/>
        </w:rPr>
        <w:t>levetiracetam</w:t>
      </w:r>
      <w:proofErr w:type="spellEnd"/>
      <w:r w:rsidRPr="00D961BD">
        <w:rPr>
          <w:sz w:val="24"/>
          <w:szCs w:val="24"/>
          <w:lang w:eastAsia="da-DK"/>
        </w:rPr>
        <w:t xml:space="preserve"> pr. dag.</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En retrospektiv vurdering af </w:t>
      </w:r>
      <w:proofErr w:type="spellStart"/>
      <w:r w:rsidRPr="00D961BD">
        <w:rPr>
          <w:sz w:val="24"/>
          <w:szCs w:val="24"/>
          <w:lang w:eastAsia="da-DK"/>
        </w:rPr>
        <w:t>farmakokinetiske</w:t>
      </w:r>
      <w:proofErr w:type="spellEnd"/>
      <w:r w:rsidRPr="00D961BD">
        <w:rPr>
          <w:sz w:val="24"/>
          <w:szCs w:val="24"/>
          <w:lang w:eastAsia="da-DK"/>
        </w:rPr>
        <w:t xml:space="preserve"> interaktioner hos børn og unge (4 til 17 år) med epilepsi bekræftede at samtidig behandling med oralt administreret </w:t>
      </w:r>
      <w:proofErr w:type="spellStart"/>
      <w:r w:rsidRPr="00D961BD">
        <w:rPr>
          <w:sz w:val="24"/>
          <w:szCs w:val="24"/>
          <w:lang w:eastAsia="da-DK"/>
        </w:rPr>
        <w:t>levetiracetam</w:t>
      </w:r>
      <w:proofErr w:type="spellEnd"/>
      <w:r w:rsidRPr="00D961BD">
        <w:rPr>
          <w:sz w:val="24"/>
          <w:szCs w:val="24"/>
          <w:lang w:eastAsia="da-DK"/>
        </w:rPr>
        <w:t xml:space="preserve"> ikke havde indflydelse på </w:t>
      </w:r>
      <w:proofErr w:type="spellStart"/>
      <w:r w:rsidRPr="00D961BD">
        <w:rPr>
          <w:sz w:val="24"/>
          <w:szCs w:val="24"/>
          <w:lang w:eastAsia="da-DK"/>
        </w:rPr>
        <w:t>steady</w:t>
      </w:r>
      <w:proofErr w:type="spellEnd"/>
      <w:r w:rsidRPr="00D961BD">
        <w:rPr>
          <w:sz w:val="24"/>
          <w:szCs w:val="24"/>
          <w:lang w:eastAsia="da-DK"/>
        </w:rPr>
        <w:t xml:space="preserve"> </w:t>
      </w:r>
      <w:proofErr w:type="spellStart"/>
      <w:r w:rsidRPr="00D961BD">
        <w:rPr>
          <w:sz w:val="24"/>
          <w:szCs w:val="24"/>
          <w:lang w:eastAsia="da-DK"/>
        </w:rPr>
        <w:t>state</w:t>
      </w:r>
      <w:proofErr w:type="spellEnd"/>
      <w:r w:rsidRPr="00D961BD">
        <w:rPr>
          <w:sz w:val="24"/>
          <w:szCs w:val="24"/>
          <w:lang w:eastAsia="da-DK"/>
        </w:rPr>
        <w:t xml:space="preserve"> serumkoncentrationer af samtidigt administreret </w:t>
      </w:r>
      <w:proofErr w:type="spellStart"/>
      <w:r w:rsidRPr="00D961BD">
        <w:rPr>
          <w:sz w:val="24"/>
          <w:szCs w:val="24"/>
          <w:lang w:eastAsia="da-DK"/>
        </w:rPr>
        <w:t>carbamazepin</w:t>
      </w:r>
      <w:proofErr w:type="spellEnd"/>
      <w:r w:rsidRPr="00D961BD">
        <w:rPr>
          <w:sz w:val="24"/>
          <w:szCs w:val="24"/>
          <w:lang w:eastAsia="da-DK"/>
        </w:rPr>
        <w:t xml:space="preserve"> og </w:t>
      </w:r>
      <w:proofErr w:type="spellStart"/>
      <w:r w:rsidRPr="00D961BD">
        <w:rPr>
          <w:sz w:val="24"/>
          <w:szCs w:val="24"/>
          <w:lang w:eastAsia="da-DK"/>
        </w:rPr>
        <w:t>valproat</w:t>
      </w:r>
      <w:proofErr w:type="spellEnd"/>
      <w:r w:rsidRPr="00D961BD">
        <w:rPr>
          <w:sz w:val="24"/>
          <w:szCs w:val="24"/>
          <w:lang w:eastAsia="da-DK"/>
        </w:rPr>
        <w:t xml:space="preserve">. Data tydede imidlertid på en 20 % højere </w:t>
      </w:r>
      <w:proofErr w:type="spellStart"/>
      <w:r w:rsidRPr="00D961BD">
        <w:rPr>
          <w:sz w:val="24"/>
          <w:szCs w:val="24"/>
          <w:lang w:eastAsia="da-DK"/>
        </w:rPr>
        <w:t>levetiracetam-clearance</w:t>
      </w:r>
      <w:proofErr w:type="spellEnd"/>
      <w:r w:rsidRPr="00D961BD">
        <w:rPr>
          <w:sz w:val="24"/>
          <w:szCs w:val="24"/>
          <w:lang w:eastAsia="da-DK"/>
        </w:rPr>
        <w:t xml:space="preserve"> hos børn, som tog enzyminducerende antiepileptiske lægemidler. Dosisjustering er ikke nødvendig.</w:t>
      </w:r>
    </w:p>
    <w:p w:rsidR="00B73392" w:rsidRPr="00D961BD" w:rsidRDefault="00B73392" w:rsidP="00B73392">
      <w:pPr>
        <w:ind w:left="851" w:hanging="851"/>
        <w:rPr>
          <w:sz w:val="24"/>
          <w:szCs w:val="24"/>
          <w:lang w:eastAsia="da-DK"/>
        </w:rPr>
      </w:pPr>
    </w:p>
    <w:p w:rsidR="00B73392" w:rsidRPr="00D961BD" w:rsidRDefault="00B73392" w:rsidP="00B73392">
      <w:pPr>
        <w:ind w:left="851"/>
        <w:rPr>
          <w:sz w:val="24"/>
          <w:szCs w:val="24"/>
          <w:lang w:eastAsia="da-DK"/>
        </w:rPr>
      </w:pPr>
      <w:proofErr w:type="spellStart"/>
      <w:r w:rsidRPr="00D961BD">
        <w:rPr>
          <w:sz w:val="24"/>
          <w:szCs w:val="24"/>
          <w:u w:val="single"/>
          <w:lang w:eastAsia="da-DK"/>
        </w:rPr>
        <w:lastRenderedPageBreak/>
        <w:t>Probenecid</w:t>
      </w:r>
      <w:proofErr w:type="spellEnd"/>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Det er påvist, at </w:t>
      </w:r>
      <w:proofErr w:type="spellStart"/>
      <w:r w:rsidRPr="00D961BD">
        <w:rPr>
          <w:sz w:val="24"/>
          <w:szCs w:val="24"/>
          <w:lang w:eastAsia="da-DK"/>
        </w:rPr>
        <w:t>probenecid</w:t>
      </w:r>
      <w:proofErr w:type="spellEnd"/>
      <w:r w:rsidRPr="00D961BD">
        <w:rPr>
          <w:sz w:val="24"/>
          <w:szCs w:val="24"/>
          <w:lang w:eastAsia="da-DK"/>
        </w:rPr>
        <w:t xml:space="preserve"> (500 mg fire gange dagligt), en substans som blokerer den </w:t>
      </w:r>
      <w:proofErr w:type="spellStart"/>
      <w:r w:rsidRPr="00D961BD">
        <w:rPr>
          <w:sz w:val="24"/>
          <w:szCs w:val="24"/>
          <w:lang w:eastAsia="da-DK"/>
        </w:rPr>
        <w:t>tubulære</w:t>
      </w:r>
      <w:proofErr w:type="spellEnd"/>
      <w:r w:rsidRPr="00D961BD">
        <w:rPr>
          <w:sz w:val="24"/>
          <w:szCs w:val="24"/>
          <w:lang w:eastAsia="da-DK"/>
        </w:rPr>
        <w:t xml:space="preserve"> sekretion i nyrerne, hæmmer </w:t>
      </w:r>
      <w:proofErr w:type="spellStart"/>
      <w:r w:rsidRPr="00D961BD">
        <w:rPr>
          <w:sz w:val="24"/>
          <w:szCs w:val="24"/>
          <w:lang w:eastAsia="da-DK"/>
        </w:rPr>
        <w:t>renal</w:t>
      </w:r>
      <w:proofErr w:type="spellEnd"/>
      <w:r w:rsidRPr="00D961BD">
        <w:rPr>
          <w:sz w:val="24"/>
          <w:szCs w:val="24"/>
          <w:lang w:eastAsia="da-DK"/>
        </w:rPr>
        <w:t xml:space="preserve"> udskillelse af den primære metabolit men ikke af </w:t>
      </w:r>
      <w:proofErr w:type="spellStart"/>
      <w:r w:rsidRPr="00D961BD">
        <w:rPr>
          <w:sz w:val="24"/>
          <w:szCs w:val="24"/>
          <w:lang w:eastAsia="da-DK"/>
        </w:rPr>
        <w:t>levetiracetam</w:t>
      </w:r>
      <w:proofErr w:type="spellEnd"/>
      <w:r w:rsidRPr="00D961BD">
        <w:rPr>
          <w:sz w:val="24"/>
          <w:szCs w:val="24"/>
          <w:lang w:eastAsia="da-DK"/>
        </w:rPr>
        <w:t>.</w:t>
      </w:r>
    </w:p>
    <w:p w:rsidR="00B73392" w:rsidRDefault="00B73392" w:rsidP="00B73392">
      <w:pPr>
        <w:autoSpaceDE w:val="0"/>
        <w:autoSpaceDN w:val="0"/>
        <w:adjustRightInd w:val="0"/>
        <w:ind w:left="851"/>
        <w:rPr>
          <w:sz w:val="24"/>
          <w:szCs w:val="24"/>
          <w:lang w:eastAsia="da-DK"/>
        </w:rPr>
      </w:pPr>
      <w:r w:rsidRPr="00D961BD">
        <w:rPr>
          <w:sz w:val="24"/>
          <w:szCs w:val="24"/>
          <w:lang w:eastAsia="da-DK"/>
        </w:rPr>
        <w:t xml:space="preserve">Ikke desto mindre vedbliver koncentrationen af denne metabolit at være lav. </w:t>
      </w:r>
    </w:p>
    <w:p w:rsidR="00B73392" w:rsidRDefault="00B73392" w:rsidP="00B73392">
      <w:pPr>
        <w:autoSpaceDE w:val="0"/>
        <w:autoSpaceDN w:val="0"/>
        <w:adjustRightInd w:val="0"/>
        <w:ind w:left="851"/>
        <w:rPr>
          <w:sz w:val="24"/>
          <w:szCs w:val="24"/>
          <w:lang w:eastAsia="da-DK"/>
        </w:rPr>
      </w:pPr>
    </w:p>
    <w:p w:rsidR="00B73392" w:rsidRPr="00A6209B" w:rsidRDefault="00B73392" w:rsidP="00B73392">
      <w:pPr>
        <w:autoSpaceDE w:val="0"/>
        <w:autoSpaceDN w:val="0"/>
        <w:adjustRightInd w:val="0"/>
        <w:ind w:left="851"/>
        <w:rPr>
          <w:sz w:val="24"/>
          <w:szCs w:val="24"/>
          <w:u w:val="single"/>
          <w:lang w:eastAsia="da-DK"/>
        </w:rPr>
      </w:pPr>
      <w:proofErr w:type="spellStart"/>
      <w:r w:rsidRPr="00A6209B">
        <w:rPr>
          <w:sz w:val="24"/>
          <w:szCs w:val="24"/>
          <w:u w:val="single"/>
          <w:lang w:eastAsia="da-DK"/>
        </w:rPr>
        <w:t>Methotrexat</w:t>
      </w:r>
      <w:proofErr w:type="spellEnd"/>
    </w:p>
    <w:p w:rsidR="00B73392" w:rsidRDefault="00B73392" w:rsidP="00B73392">
      <w:pPr>
        <w:autoSpaceDE w:val="0"/>
        <w:autoSpaceDN w:val="0"/>
        <w:adjustRightInd w:val="0"/>
        <w:ind w:left="851"/>
        <w:rPr>
          <w:sz w:val="24"/>
          <w:szCs w:val="24"/>
          <w:lang w:eastAsia="da-DK"/>
        </w:rPr>
      </w:pPr>
      <w:r w:rsidRPr="000230C3">
        <w:rPr>
          <w:sz w:val="24"/>
          <w:szCs w:val="24"/>
          <w:lang w:eastAsia="da-DK"/>
        </w:rPr>
        <w:t xml:space="preserve">Der er rapporteret fald i </w:t>
      </w:r>
      <w:proofErr w:type="spellStart"/>
      <w:r w:rsidRPr="000230C3">
        <w:rPr>
          <w:sz w:val="24"/>
          <w:szCs w:val="24"/>
          <w:lang w:eastAsia="da-DK"/>
        </w:rPr>
        <w:t>methotraxat-clearance</w:t>
      </w:r>
      <w:proofErr w:type="spellEnd"/>
      <w:r w:rsidRPr="000230C3">
        <w:rPr>
          <w:sz w:val="24"/>
          <w:szCs w:val="24"/>
          <w:lang w:eastAsia="da-DK"/>
        </w:rPr>
        <w:t xml:space="preserve"> ved samtidig administration af </w:t>
      </w:r>
      <w:proofErr w:type="spellStart"/>
      <w:r w:rsidRPr="000230C3">
        <w:rPr>
          <w:sz w:val="24"/>
          <w:szCs w:val="24"/>
          <w:lang w:eastAsia="da-DK"/>
        </w:rPr>
        <w:t>levetiracetam</w:t>
      </w:r>
      <w:proofErr w:type="spellEnd"/>
      <w:r w:rsidRPr="000230C3">
        <w:rPr>
          <w:sz w:val="24"/>
          <w:szCs w:val="24"/>
          <w:lang w:eastAsia="da-DK"/>
        </w:rPr>
        <w:t xml:space="preserve"> og </w:t>
      </w:r>
      <w:proofErr w:type="spellStart"/>
      <w:r w:rsidRPr="000230C3">
        <w:rPr>
          <w:sz w:val="24"/>
          <w:szCs w:val="24"/>
          <w:lang w:eastAsia="da-DK"/>
        </w:rPr>
        <w:t>methotrexat</w:t>
      </w:r>
      <w:proofErr w:type="spellEnd"/>
      <w:r w:rsidRPr="000230C3">
        <w:rPr>
          <w:sz w:val="24"/>
          <w:szCs w:val="24"/>
          <w:lang w:eastAsia="da-DK"/>
        </w:rPr>
        <w:t xml:space="preserve">, hvilket resulterede i forhøjet/forlænget </w:t>
      </w:r>
      <w:proofErr w:type="spellStart"/>
      <w:r w:rsidRPr="000230C3">
        <w:rPr>
          <w:sz w:val="24"/>
          <w:szCs w:val="24"/>
          <w:lang w:eastAsia="da-DK"/>
        </w:rPr>
        <w:t>methotrexat</w:t>
      </w:r>
      <w:proofErr w:type="spellEnd"/>
      <w:r w:rsidRPr="000230C3">
        <w:rPr>
          <w:sz w:val="24"/>
          <w:szCs w:val="24"/>
          <w:lang w:eastAsia="da-DK"/>
        </w:rPr>
        <w:t xml:space="preserve">-koncentration i blodet til potentielt toksiske niveauer. Niveauet af </w:t>
      </w:r>
      <w:proofErr w:type="spellStart"/>
      <w:r w:rsidRPr="000230C3">
        <w:rPr>
          <w:sz w:val="24"/>
          <w:szCs w:val="24"/>
          <w:lang w:eastAsia="da-DK"/>
        </w:rPr>
        <w:t>methotrexat</w:t>
      </w:r>
      <w:proofErr w:type="spellEnd"/>
      <w:r w:rsidRPr="000230C3">
        <w:rPr>
          <w:sz w:val="24"/>
          <w:szCs w:val="24"/>
          <w:lang w:eastAsia="da-DK"/>
        </w:rPr>
        <w:t xml:space="preserve"> og </w:t>
      </w:r>
      <w:proofErr w:type="spellStart"/>
      <w:r w:rsidRPr="000230C3">
        <w:rPr>
          <w:sz w:val="24"/>
          <w:szCs w:val="24"/>
          <w:lang w:eastAsia="da-DK"/>
        </w:rPr>
        <w:t>levetiracetam</w:t>
      </w:r>
      <w:proofErr w:type="spellEnd"/>
      <w:r w:rsidRPr="000230C3">
        <w:rPr>
          <w:sz w:val="24"/>
          <w:szCs w:val="24"/>
          <w:lang w:eastAsia="da-DK"/>
        </w:rPr>
        <w:t xml:space="preserve"> i blodet bør omhyggeligt monitoreres hos patienter, som behandles samtidigt med de to lægemidler.</w:t>
      </w:r>
    </w:p>
    <w:p w:rsidR="00B73392" w:rsidRDefault="00B73392" w:rsidP="00B73392">
      <w:pPr>
        <w:autoSpaceDE w:val="0"/>
        <w:autoSpaceDN w:val="0"/>
        <w:adjustRightInd w:val="0"/>
        <w:ind w:left="851"/>
        <w:rPr>
          <w:sz w:val="24"/>
          <w:szCs w:val="24"/>
          <w:lang w:eastAsia="da-DK"/>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 xml:space="preserve">Orale </w:t>
      </w:r>
      <w:proofErr w:type="spellStart"/>
      <w:r w:rsidRPr="00D961BD">
        <w:rPr>
          <w:sz w:val="24"/>
          <w:szCs w:val="24"/>
          <w:u w:val="single"/>
          <w:lang w:eastAsia="da-DK"/>
        </w:rPr>
        <w:t>kontraceptiva</w:t>
      </w:r>
      <w:proofErr w:type="spellEnd"/>
      <w:r w:rsidRPr="00D961BD">
        <w:rPr>
          <w:sz w:val="24"/>
          <w:szCs w:val="24"/>
          <w:u w:val="single"/>
          <w:lang w:eastAsia="da-DK"/>
        </w:rPr>
        <w:t xml:space="preserve"> og andre </w:t>
      </w:r>
      <w:proofErr w:type="spellStart"/>
      <w:r w:rsidRPr="00D961BD">
        <w:rPr>
          <w:sz w:val="24"/>
          <w:szCs w:val="24"/>
          <w:u w:val="single"/>
          <w:lang w:eastAsia="da-DK"/>
        </w:rPr>
        <w:t>farmakokinetiske</w:t>
      </w:r>
      <w:proofErr w:type="spellEnd"/>
      <w:r w:rsidRPr="00D961BD">
        <w:rPr>
          <w:sz w:val="24"/>
          <w:szCs w:val="24"/>
          <w:u w:val="single"/>
          <w:lang w:eastAsia="da-DK"/>
        </w:rPr>
        <w:t xml:space="preserve"> interaktioner</w:t>
      </w:r>
    </w:p>
    <w:p w:rsidR="00B73392" w:rsidRPr="00D961BD" w:rsidRDefault="00B73392" w:rsidP="00B73392">
      <w:pPr>
        <w:autoSpaceDE w:val="0"/>
        <w:autoSpaceDN w:val="0"/>
        <w:adjustRightInd w:val="0"/>
        <w:ind w:left="851"/>
        <w:rPr>
          <w:sz w:val="24"/>
          <w:szCs w:val="24"/>
          <w:lang w:eastAsia="da-DK"/>
        </w:rPr>
      </w:pPr>
      <w:proofErr w:type="spellStart"/>
      <w:r w:rsidRPr="00D961BD">
        <w:rPr>
          <w:sz w:val="24"/>
          <w:szCs w:val="24"/>
          <w:lang w:eastAsia="da-DK"/>
        </w:rPr>
        <w:t>Levetiracetam</w:t>
      </w:r>
      <w:proofErr w:type="spellEnd"/>
      <w:r w:rsidRPr="00D961BD">
        <w:rPr>
          <w:sz w:val="24"/>
          <w:szCs w:val="24"/>
          <w:lang w:eastAsia="da-DK"/>
        </w:rPr>
        <w:t xml:space="preserve"> 1.000 mg daglig påvirker ikke farmakokinetikken af orale </w:t>
      </w:r>
      <w:proofErr w:type="spellStart"/>
      <w:r w:rsidRPr="00D961BD">
        <w:rPr>
          <w:sz w:val="24"/>
          <w:szCs w:val="24"/>
          <w:lang w:eastAsia="da-DK"/>
        </w:rPr>
        <w:t>kontraceptiva</w:t>
      </w:r>
      <w:proofErr w:type="spellEnd"/>
      <w:r w:rsidRPr="00D961BD">
        <w:rPr>
          <w:sz w:val="24"/>
          <w:szCs w:val="24"/>
          <w:lang w:eastAsia="da-DK"/>
        </w:rPr>
        <w:t xml:space="preserve"> (</w:t>
      </w:r>
      <w:proofErr w:type="spellStart"/>
      <w:r w:rsidRPr="00D961BD">
        <w:rPr>
          <w:sz w:val="24"/>
          <w:szCs w:val="24"/>
          <w:lang w:eastAsia="da-DK"/>
        </w:rPr>
        <w:t>ethinylestradiol</w:t>
      </w:r>
      <w:proofErr w:type="spellEnd"/>
      <w:r w:rsidRPr="00D961BD">
        <w:rPr>
          <w:sz w:val="24"/>
          <w:szCs w:val="24"/>
          <w:lang w:eastAsia="da-DK"/>
        </w:rPr>
        <w:t xml:space="preserve"> og </w:t>
      </w:r>
      <w:proofErr w:type="spellStart"/>
      <w:r w:rsidRPr="00D961BD">
        <w:rPr>
          <w:sz w:val="24"/>
          <w:szCs w:val="24"/>
          <w:lang w:eastAsia="da-DK"/>
        </w:rPr>
        <w:t>levonorgestrel</w:t>
      </w:r>
      <w:proofErr w:type="spellEnd"/>
      <w:r w:rsidRPr="00D961BD">
        <w:rPr>
          <w:sz w:val="24"/>
          <w:szCs w:val="24"/>
          <w:lang w:eastAsia="da-DK"/>
        </w:rPr>
        <w:t>); endokrine parametre (</w:t>
      </w:r>
      <w:proofErr w:type="spellStart"/>
      <w:r w:rsidRPr="00D961BD">
        <w:rPr>
          <w:sz w:val="24"/>
          <w:szCs w:val="24"/>
          <w:lang w:eastAsia="da-DK"/>
        </w:rPr>
        <w:t>luteiniserende</w:t>
      </w:r>
      <w:proofErr w:type="spellEnd"/>
      <w:r w:rsidRPr="00D961BD">
        <w:rPr>
          <w:sz w:val="24"/>
          <w:szCs w:val="24"/>
          <w:lang w:eastAsia="da-DK"/>
        </w:rPr>
        <w:t xml:space="preserve"> hormon og progesteron) blev ikke ændret. </w:t>
      </w:r>
      <w:proofErr w:type="spellStart"/>
      <w:r w:rsidRPr="00D961BD">
        <w:rPr>
          <w:sz w:val="24"/>
          <w:szCs w:val="24"/>
          <w:lang w:eastAsia="da-DK"/>
        </w:rPr>
        <w:t>Levetiracetam</w:t>
      </w:r>
      <w:proofErr w:type="spellEnd"/>
      <w:r w:rsidRPr="00D961BD">
        <w:rPr>
          <w:sz w:val="24"/>
          <w:szCs w:val="24"/>
          <w:lang w:eastAsia="da-DK"/>
        </w:rPr>
        <w:t xml:space="preserve"> 2.000 mg dagligt påvirkede ikke farmakokinetikken af </w:t>
      </w:r>
      <w:proofErr w:type="spellStart"/>
      <w:r w:rsidRPr="00D961BD">
        <w:rPr>
          <w:sz w:val="24"/>
          <w:szCs w:val="24"/>
          <w:lang w:eastAsia="da-DK"/>
        </w:rPr>
        <w:t>digoxin</w:t>
      </w:r>
      <w:proofErr w:type="spellEnd"/>
      <w:r w:rsidRPr="00D961BD">
        <w:rPr>
          <w:sz w:val="24"/>
          <w:szCs w:val="24"/>
          <w:lang w:eastAsia="da-DK"/>
        </w:rPr>
        <w:t xml:space="preserve"> og </w:t>
      </w:r>
      <w:proofErr w:type="spellStart"/>
      <w:r w:rsidRPr="00D961BD">
        <w:rPr>
          <w:sz w:val="24"/>
          <w:szCs w:val="24"/>
          <w:lang w:eastAsia="da-DK"/>
        </w:rPr>
        <w:t>warfarin</w:t>
      </w:r>
      <w:proofErr w:type="spellEnd"/>
      <w:r w:rsidRPr="00D961BD">
        <w:rPr>
          <w:sz w:val="24"/>
          <w:szCs w:val="24"/>
          <w:lang w:eastAsia="da-DK"/>
        </w:rPr>
        <w:t xml:space="preserve">; </w:t>
      </w:r>
      <w:proofErr w:type="spellStart"/>
      <w:r w:rsidRPr="00D961BD">
        <w:rPr>
          <w:sz w:val="24"/>
          <w:szCs w:val="24"/>
          <w:lang w:eastAsia="da-DK"/>
        </w:rPr>
        <w:t>protrombintider</w:t>
      </w:r>
      <w:proofErr w:type="spellEnd"/>
      <w:r w:rsidRPr="00D961BD">
        <w:rPr>
          <w:sz w:val="24"/>
          <w:szCs w:val="24"/>
          <w:lang w:eastAsia="da-DK"/>
        </w:rPr>
        <w:t xml:space="preserve"> blev ikke ændret. Samtidig indtagelse af </w:t>
      </w:r>
      <w:proofErr w:type="spellStart"/>
      <w:r w:rsidRPr="00D961BD">
        <w:rPr>
          <w:sz w:val="24"/>
          <w:szCs w:val="24"/>
          <w:lang w:eastAsia="da-DK"/>
        </w:rPr>
        <w:t>digoxin</w:t>
      </w:r>
      <w:proofErr w:type="spellEnd"/>
      <w:r w:rsidRPr="00D961BD">
        <w:rPr>
          <w:sz w:val="24"/>
          <w:szCs w:val="24"/>
          <w:lang w:eastAsia="da-DK"/>
        </w:rPr>
        <w:t xml:space="preserve">, orale </w:t>
      </w:r>
      <w:proofErr w:type="spellStart"/>
      <w:r w:rsidRPr="00D961BD">
        <w:rPr>
          <w:sz w:val="24"/>
          <w:szCs w:val="24"/>
          <w:lang w:eastAsia="da-DK"/>
        </w:rPr>
        <w:t>kontraceptiva</w:t>
      </w:r>
      <w:proofErr w:type="spellEnd"/>
      <w:r w:rsidRPr="00D961BD">
        <w:rPr>
          <w:sz w:val="24"/>
          <w:szCs w:val="24"/>
          <w:lang w:eastAsia="da-DK"/>
        </w:rPr>
        <w:t xml:space="preserve"> og </w:t>
      </w:r>
      <w:proofErr w:type="spellStart"/>
      <w:r w:rsidRPr="00D961BD">
        <w:rPr>
          <w:sz w:val="24"/>
          <w:szCs w:val="24"/>
          <w:lang w:eastAsia="da-DK"/>
        </w:rPr>
        <w:t>warfarin</w:t>
      </w:r>
      <w:proofErr w:type="spellEnd"/>
      <w:r w:rsidRPr="00D961BD">
        <w:rPr>
          <w:sz w:val="24"/>
          <w:szCs w:val="24"/>
          <w:lang w:eastAsia="da-DK"/>
        </w:rPr>
        <w:t xml:space="preserve"> påvirkede ikke </w:t>
      </w:r>
      <w:proofErr w:type="spellStart"/>
      <w:r w:rsidRPr="00D961BD">
        <w:rPr>
          <w:sz w:val="24"/>
          <w:szCs w:val="24"/>
          <w:lang w:eastAsia="da-DK"/>
        </w:rPr>
        <w:t>levetiracetams</w:t>
      </w:r>
      <w:proofErr w:type="spellEnd"/>
      <w:r w:rsidRPr="00D961BD">
        <w:rPr>
          <w:sz w:val="24"/>
          <w:szCs w:val="24"/>
          <w:lang w:eastAsia="da-DK"/>
        </w:rPr>
        <w:t xml:space="preserve"> farmakokinetik.</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u w:val="single"/>
          <w:lang w:eastAsia="da-DK"/>
        </w:rPr>
      </w:pPr>
      <w:proofErr w:type="spellStart"/>
      <w:r w:rsidRPr="00D961BD">
        <w:rPr>
          <w:sz w:val="24"/>
          <w:szCs w:val="24"/>
          <w:u w:val="single"/>
          <w:lang w:eastAsia="da-DK"/>
        </w:rPr>
        <w:t>Laksantia</w:t>
      </w:r>
      <w:proofErr w:type="spellEnd"/>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Der foreligger enkeltstående indberetninger om nedsat virkning af </w:t>
      </w:r>
      <w:proofErr w:type="spellStart"/>
      <w:r w:rsidRPr="00D961BD">
        <w:rPr>
          <w:sz w:val="24"/>
          <w:szCs w:val="24"/>
          <w:lang w:eastAsia="da-DK"/>
        </w:rPr>
        <w:t>levetiracetam</w:t>
      </w:r>
      <w:proofErr w:type="spellEnd"/>
      <w:r w:rsidRPr="00D961BD">
        <w:rPr>
          <w:sz w:val="24"/>
          <w:szCs w:val="24"/>
          <w:lang w:eastAsia="da-DK"/>
        </w:rPr>
        <w:t xml:space="preserve"> i tilfælde, hvor osmotisk afførende </w:t>
      </w:r>
      <w:proofErr w:type="spellStart"/>
      <w:r w:rsidRPr="00D961BD">
        <w:rPr>
          <w:sz w:val="24"/>
          <w:szCs w:val="24"/>
          <w:lang w:eastAsia="da-DK"/>
        </w:rPr>
        <w:t>macrogol</w:t>
      </w:r>
      <w:proofErr w:type="spellEnd"/>
      <w:r w:rsidRPr="00D961BD">
        <w:rPr>
          <w:sz w:val="24"/>
          <w:szCs w:val="24"/>
          <w:lang w:eastAsia="da-DK"/>
        </w:rPr>
        <w:t xml:space="preserve"> blev administreret samtidig med oral </w:t>
      </w:r>
      <w:proofErr w:type="spellStart"/>
      <w:r w:rsidRPr="00D961BD">
        <w:rPr>
          <w:sz w:val="24"/>
          <w:szCs w:val="24"/>
          <w:lang w:eastAsia="da-DK"/>
        </w:rPr>
        <w:t>levetiracetam</w:t>
      </w:r>
      <w:proofErr w:type="spellEnd"/>
      <w:r w:rsidRPr="00D961BD">
        <w:rPr>
          <w:sz w:val="24"/>
          <w:szCs w:val="24"/>
          <w:lang w:eastAsia="da-DK"/>
        </w:rPr>
        <w:t xml:space="preserve">. Derfor bør </w:t>
      </w:r>
      <w:proofErr w:type="spellStart"/>
      <w:r w:rsidRPr="00D961BD">
        <w:rPr>
          <w:sz w:val="24"/>
          <w:szCs w:val="24"/>
          <w:lang w:eastAsia="da-DK"/>
        </w:rPr>
        <w:t>macrogol</w:t>
      </w:r>
      <w:proofErr w:type="spellEnd"/>
      <w:r w:rsidRPr="00D961BD">
        <w:rPr>
          <w:sz w:val="24"/>
          <w:szCs w:val="24"/>
          <w:lang w:eastAsia="da-DK"/>
        </w:rPr>
        <w:t xml:space="preserve"> ikke indtages oralt i én time før og én time efter indtagelse af </w:t>
      </w:r>
      <w:proofErr w:type="spellStart"/>
      <w:r w:rsidRPr="00D961BD">
        <w:rPr>
          <w:sz w:val="24"/>
          <w:szCs w:val="24"/>
          <w:lang w:eastAsia="da-DK"/>
        </w:rPr>
        <w:t>levetiracetam</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Mad og alkohol</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Absorptionen af </w:t>
      </w:r>
      <w:proofErr w:type="spellStart"/>
      <w:r w:rsidRPr="00D961BD">
        <w:rPr>
          <w:sz w:val="24"/>
          <w:szCs w:val="24"/>
          <w:lang w:eastAsia="da-DK"/>
        </w:rPr>
        <w:t>levetiracetam</w:t>
      </w:r>
      <w:proofErr w:type="spellEnd"/>
      <w:r w:rsidRPr="00D961BD">
        <w:rPr>
          <w:sz w:val="24"/>
          <w:szCs w:val="24"/>
          <w:lang w:eastAsia="da-DK"/>
        </w:rPr>
        <w:t xml:space="preserve"> blev ikke ændret ved fødeindtagelse, men absorptions</w:t>
      </w:r>
      <w:r w:rsidRPr="00D961BD">
        <w:rPr>
          <w:sz w:val="24"/>
          <w:szCs w:val="24"/>
          <w:lang w:eastAsia="da-DK"/>
        </w:rPr>
        <w:softHyphen/>
        <w:t>hastigheden blev lettere reduceret.</w:t>
      </w:r>
    </w:p>
    <w:p w:rsidR="00B73392" w:rsidRDefault="00B73392" w:rsidP="00B73392">
      <w:pPr>
        <w:ind w:left="851"/>
        <w:rPr>
          <w:sz w:val="24"/>
          <w:szCs w:val="24"/>
        </w:rPr>
      </w:pPr>
      <w:r w:rsidRPr="00D961BD">
        <w:rPr>
          <w:sz w:val="24"/>
          <w:szCs w:val="24"/>
          <w:lang w:eastAsia="da-DK"/>
        </w:rPr>
        <w:t xml:space="preserve">Der foreligger ikke data over interaktion mellem </w:t>
      </w:r>
      <w:proofErr w:type="spellStart"/>
      <w:r w:rsidRPr="00D961BD">
        <w:rPr>
          <w:sz w:val="24"/>
          <w:szCs w:val="24"/>
          <w:lang w:eastAsia="da-DK"/>
        </w:rPr>
        <w:t>levetiracetam</w:t>
      </w:r>
      <w:proofErr w:type="spellEnd"/>
      <w:r w:rsidRPr="00D961BD">
        <w:rPr>
          <w:sz w:val="24"/>
          <w:szCs w:val="24"/>
          <w:lang w:eastAsia="da-DK"/>
        </w:rPr>
        <w:t xml:space="preserve"> og alkohol.</w:t>
      </w:r>
    </w:p>
    <w:p w:rsidR="00B73392" w:rsidRPr="00D961BD" w:rsidRDefault="00B73392" w:rsidP="00B73392">
      <w:pPr>
        <w:ind w:left="851" w:hanging="851"/>
        <w:rPr>
          <w:sz w:val="24"/>
          <w:szCs w:val="24"/>
        </w:rPr>
      </w:pPr>
    </w:p>
    <w:p w:rsidR="00B73392" w:rsidRPr="00D961BD" w:rsidRDefault="00B73392" w:rsidP="002775A7">
      <w:pPr>
        <w:keepNext/>
        <w:ind w:left="851" w:hanging="851"/>
        <w:rPr>
          <w:b/>
          <w:sz w:val="24"/>
          <w:szCs w:val="24"/>
        </w:rPr>
      </w:pPr>
      <w:r w:rsidRPr="00D961BD">
        <w:rPr>
          <w:b/>
          <w:sz w:val="24"/>
          <w:szCs w:val="24"/>
        </w:rPr>
        <w:t>4.6</w:t>
      </w:r>
      <w:r w:rsidRPr="00D961BD">
        <w:rPr>
          <w:b/>
          <w:sz w:val="24"/>
          <w:szCs w:val="24"/>
        </w:rPr>
        <w:tab/>
      </w:r>
      <w:r w:rsidR="00FB26B9">
        <w:rPr>
          <w:b/>
          <w:sz w:val="24"/>
          <w:szCs w:val="24"/>
        </w:rPr>
        <w:t>Fertilitet, g</w:t>
      </w:r>
      <w:r w:rsidRPr="00D961BD">
        <w:rPr>
          <w:b/>
          <w:sz w:val="24"/>
          <w:szCs w:val="24"/>
        </w:rPr>
        <w:t>raviditet og amning</w:t>
      </w:r>
    </w:p>
    <w:p w:rsidR="00B73392" w:rsidRDefault="00B73392" w:rsidP="002775A7">
      <w:pPr>
        <w:keepNext/>
        <w:ind w:left="851"/>
        <w:rPr>
          <w:sz w:val="24"/>
          <w:szCs w:val="24"/>
          <w:u w:val="single"/>
        </w:rPr>
      </w:pPr>
      <w:r>
        <w:rPr>
          <w:sz w:val="24"/>
          <w:szCs w:val="24"/>
          <w:u w:val="single"/>
        </w:rPr>
        <w:t>Kvinder i den fertile alder</w:t>
      </w:r>
    </w:p>
    <w:p w:rsidR="00B73392" w:rsidRDefault="00B73392" w:rsidP="00B73392">
      <w:pPr>
        <w:ind w:left="851"/>
        <w:rPr>
          <w:sz w:val="24"/>
          <w:szCs w:val="24"/>
        </w:rPr>
      </w:pPr>
      <w:r>
        <w:rPr>
          <w:sz w:val="24"/>
          <w:szCs w:val="24"/>
        </w:rPr>
        <w:t xml:space="preserve">Der bør gives medicinsk specialistrådgivning til kvinder i den fertile alder. Behandling med </w:t>
      </w:r>
      <w:proofErr w:type="spellStart"/>
      <w:r>
        <w:rPr>
          <w:sz w:val="24"/>
          <w:szCs w:val="24"/>
        </w:rPr>
        <w:t>levetiracetam</w:t>
      </w:r>
      <w:proofErr w:type="spellEnd"/>
      <w:r>
        <w:rPr>
          <w:sz w:val="24"/>
          <w:szCs w:val="24"/>
        </w:rPr>
        <w:t xml:space="preserve"> bør revurderes, når en kvinde planlægger at blive gravid. Som med alle typer </w:t>
      </w:r>
      <w:proofErr w:type="spellStart"/>
      <w:r>
        <w:rPr>
          <w:sz w:val="24"/>
          <w:szCs w:val="24"/>
        </w:rPr>
        <w:t>antiepileptikum</w:t>
      </w:r>
      <w:proofErr w:type="spellEnd"/>
      <w:r>
        <w:rPr>
          <w:sz w:val="24"/>
          <w:szCs w:val="24"/>
        </w:rPr>
        <w:t xml:space="preserve"> bør pludselig </w:t>
      </w:r>
      <w:proofErr w:type="spellStart"/>
      <w:r>
        <w:rPr>
          <w:sz w:val="24"/>
          <w:szCs w:val="24"/>
        </w:rPr>
        <w:t>seponering</w:t>
      </w:r>
      <w:proofErr w:type="spellEnd"/>
      <w:r>
        <w:rPr>
          <w:sz w:val="24"/>
          <w:szCs w:val="24"/>
        </w:rPr>
        <w:t xml:space="preserve"> af </w:t>
      </w:r>
      <w:proofErr w:type="spellStart"/>
      <w:r>
        <w:rPr>
          <w:sz w:val="24"/>
          <w:szCs w:val="24"/>
        </w:rPr>
        <w:t>levetiracetam</w:t>
      </w:r>
      <w:proofErr w:type="spellEnd"/>
      <w:r>
        <w:rPr>
          <w:sz w:val="24"/>
          <w:szCs w:val="24"/>
        </w:rPr>
        <w:t xml:space="preserve"> undgås, da dette kan medføre gennembrudsanfald, der vil kunne få alvorlige følger for både kvinden og det ufødte barn. Hvis det er muligt så foretrækkes monoterapi, da behandling med flere </w:t>
      </w:r>
      <w:proofErr w:type="spellStart"/>
      <w:r>
        <w:rPr>
          <w:sz w:val="24"/>
          <w:szCs w:val="24"/>
        </w:rPr>
        <w:t>antiepileptika</w:t>
      </w:r>
      <w:proofErr w:type="spellEnd"/>
      <w:r>
        <w:rPr>
          <w:sz w:val="24"/>
          <w:szCs w:val="24"/>
        </w:rPr>
        <w:t xml:space="preserve"> (</w:t>
      </w:r>
      <w:proofErr w:type="spellStart"/>
      <w:r>
        <w:rPr>
          <w:sz w:val="24"/>
          <w:szCs w:val="24"/>
        </w:rPr>
        <w:t>AED’er</w:t>
      </w:r>
      <w:proofErr w:type="spellEnd"/>
      <w:r>
        <w:rPr>
          <w:sz w:val="24"/>
          <w:szCs w:val="24"/>
        </w:rPr>
        <w:t xml:space="preserve">) kunne være forbundet med højere risiko for medfødte misdannelser end behandling med monoterapi, afhængigt af de pågældende </w:t>
      </w:r>
      <w:proofErr w:type="spellStart"/>
      <w:r>
        <w:rPr>
          <w:sz w:val="24"/>
          <w:szCs w:val="24"/>
        </w:rPr>
        <w:t>antiepileptika</w:t>
      </w:r>
      <w:proofErr w:type="spellEnd"/>
      <w:r>
        <w:rPr>
          <w:sz w:val="24"/>
          <w:szCs w:val="24"/>
        </w:rPr>
        <w:t>.</w:t>
      </w:r>
    </w:p>
    <w:p w:rsidR="00B73392" w:rsidRDefault="00B73392" w:rsidP="00B73392">
      <w:pPr>
        <w:ind w:left="851" w:hanging="851"/>
        <w:rPr>
          <w:b/>
          <w:sz w:val="24"/>
          <w:szCs w:val="24"/>
        </w:rPr>
      </w:pPr>
    </w:p>
    <w:p w:rsidR="00B73392" w:rsidRDefault="00B73392" w:rsidP="00B73392">
      <w:pPr>
        <w:keepNext/>
        <w:autoSpaceDE w:val="0"/>
        <w:autoSpaceDN w:val="0"/>
        <w:adjustRightInd w:val="0"/>
        <w:ind w:left="851" w:hanging="851"/>
        <w:rPr>
          <w:sz w:val="24"/>
          <w:szCs w:val="24"/>
          <w:u w:val="single"/>
          <w:lang w:eastAsia="da-DK"/>
        </w:rPr>
      </w:pPr>
      <w:r>
        <w:rPr>
          <w:sz w:val="24"/>
          <w:szCs w:val="24"/>
        </w:rPr>
        <w:tab/>
      </w:r>
      <w:r>
        <w:rPr>
          <w:sz w:val="24"/>
          <w:szCs w:val="24"/>
          <w:u w:val="single"/>
          <w:lang w:eastAsia="da-DK"/>
        </w:rPr>
        <w:t>Graviditet</w:t>
      </w:r>
    </w:p>
    <w:p w:rsidR="00B73392" w:rsidRDefault="00B73392" w:rsidP="00B73392">
      <w:pPr>
        <w:autoSpaceDE w:val="0"/>
        <w:autoSpaceDN w:val="0"/>
        <w:adjustRightInd w:val="0"/>
        <w:ind w:left="851"/>
        <w:rPr>
          <w:sz w:val="24"/>
          <w:szCs w:val="24"/>
          <w:lang w:eastAsia="da-DK"/>
        </w:rPr>
      </w:pPr>
      <w:r>
        <w:rPr>
          <w:sz w:val="24"/>
          <w:szCs w:val="24"/>
          <w:lang w:eastAsia="da-DK"/>
        </w:rPr>
        <w:t xml:space="preserve">En stor mængde data indsamlet efter markedsføring fra gravide kvinder, der har fået </w:t>
      </w:r>
      <w:proofErr w:type="spellStart"/>
      <w:r>
        <w:rPr>
          <w:sz w:val="24"/>
          <w:szCs w:val="24"/>
          <w:lang w:eastAsia="da-DK"/>
        </w:rPr>
        <w:t>levetiracetam</w:t>
      </w:r>
      <w:proofErr w:type="spellEnd"/>
      <w:r>
        <w:rPr>
          <w:sz w:val="24"/>
          <w:szCs w:val="24"/>
          <w:lang w:eastAsia="da-DK"/>
        </w:rPr>
        <w:t xml:space="preserve"> monoterapi (flere end 1.800, hvoraf eksponeringen hos flere end 1.500 forekom i løbet af 1. trimester) tyder ikke på en stigning i risikoen for alvorlige medfødte misdannelser. Der findes kun begrænset evidens på </w:t>
      </w:r>
      <w:proofErr w:type="spellStart"/>
      <w:r>
        <w:rPr>
          <w:sz w:val="24"/>
          <w:szCs w:val="24"/>
          <w:lang w:eastAsia="da-DK"/>
        </w:rPr>
        <w:t>neuroudvikling</w:t>
      </w:r>
      <w:proofErr w:type="spellEnd"/>
      <w:r>
        <w:rPr>
          <w:sz w:val="24"/>
          <w:szCs w:val="24"/>
          <w:lang w:eastAsia="da-DK"/>
        </w:rPr>
        <w:t xml:space="preserve"> hos børn udsat for </w:t>
      </w:r>
      <w:proofErr w:type="spellStart"/>
      <w:r>
        <w:rPr>
          <w:sz w:val="24"/>
          <w:szCs w:val="24"/>
          <w:lang w:eastAsia="da-DK"/>
        </w:rPr>
        <w:t>levetiracetam</w:t>
      </w:r>
      <w:proofErr w:type="spellEnd"/>
      <w:r>
        <w:rPr>
          <w:sz w:val="24"/>
          <w:szCs w:val="24"/>
          <w:lang w:eastAsia="da-DK"/>
        </w:rPr>
        <w:t xml:space="preserve"> monoterapi </w:t>
      </w:r>
      <w:r>
        <w:rPr>
          <w:i/>
          <w:sz w:val="24"/>
          <w:szCs w:val="24"/>
          <w:lang w:eastAsia="da-DK"/>
        </w:rPr>
        <w:t xml:space="preserve">in </w:t>
      </w:r>
      <w:proofErr w:type="spellStart"/>
      <w:r>
        <w:rPr>
          <w:i/>
          <w:sz w:val="24"/>
          <w:szCs w:val="24"/>
          <w:lang w:eastAsia="da-DK"/>
        </w:rPr>
        <w:t>utero</w:t>
      </w:r>
      <w:proofErr w:type="spellEnd"/>
      <w:r>
        <w:rPr>
          <w:sz w:val="24"/>
          <w:szCs w:val="24"/>
          <w:lang w:eastAsia="da-DK"/>
        </w:rPr>
        <w:t xml:space="preserve">. De nuværende epidemiologiske undersøgelser (med ca. 100 børn) tyder imidlertid ikke på øget risiko for </w:t>
      </w:r>
      <w:proofErr w:type="spellStart"/>
      <w:r>
        <w:rPr>
          <w:sz w:val="24"/>
          <w:szCs w:val="24"/>
          <w:lang w:eastAsia="da-DK"/>
        </w:rPr>
        <w:t>neuro</w:t>
      </w:r>
      <w:proofErr w:type="spellEnd"/>
      <w:r>
        <w:rPr>
          <w:sz w:val="24"/>
          <w:szCs w:val="24"/>
          <w:lang w:eastAsia="da-DK"/>
        </w:rPr>
        <w:t>-udviklingsmæssige forstyrrelser eller forsinkelser.</w:t>
      </w: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lastRenderedPageBreak/>
        <w:t>Levetiracetam</w:t>
      </w:r>
      <w:proofErr w:type="spellEnd"/>
      <w:r>
        <w:rPr>
          <w:sz w:val="24"/>
          <w:szCs w:val="24"/>
          <w:lang w:eastAsia="da-DK"/>
        </w:rPr>
        <w:t xml:space="preserve"> kan anvendes under graviditeten eller til fertile kvinder, hvis det efter omhyggelig vurdering anses for klinisk nødvendigt. I så fald anbefales den laveste effektive dosis.</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Fysiologiske forandringer under graviditeten kan påvirke koncentrationen af </w:t>
      </w:r>
      <w:proofErr w:type="spellStart"/>
      <w:r>
        <w:rPr>
          <w:sz w:val="24"/>
          <w:szCs w:val="24"/>
          <w:lang w:eastAsia="da-DK"/>
        </w:rPr>
        <w:t>levetiracetam</w:t>
      </w:r>
      <w:proofErr w:type="spellEnd"/>
      <w:r>
        <w:rPr>
          <w:sz w:val="24"/>
          <w:szCs w:val="24"/>
          <w:lang w:eastAsia="da-DK"/>
        </w:rPr>
        <w:t xml:space="preserve">. Der er observeret fald i plasmakoncentration af </w:t>
      </w:r>
      <w:proofErr w:type="spellStart"/>
      <w:r>
        <w:rPr>
          <w:sz w:val="24"/>
          <w:szCs w:val="24"/>
          <w:lang w:eastAsia="da-DK"/>
        </w:rPr>
        <w:t>levetiracetam</w:t>
      </w:r>
      <w:proofErr w:type="spellEnd"/>
      <w:r>
        <w:rPr>
          <w:sz w:val="24"/>
          <w:szCs w:val="24"/>
          <w:lang w:eastAsia="da-DK"/>
        </w:rPr>
        <w:t xml:space="preserve"> under graviditet. Dette fald er mere udtalt i tredje trimester (op til 60 % af baseline-koncentrationen før graviditet). Der skal sikres en passende klinisk kontrol af gravide kvinder, som behandles med </w:t>
      </w:r>
      <w:proofErr w:type="spellStart"/>
      <w:r>
        <w:rPr>
          <w:sz w:val="24"/>
          <w:szCs w:val="24"/>
          <w:lang w:eastAsia="da-DK"/>
        </w:rPr>
        <w:t>levetiracetam</w:t>
      </w:r>
      <w:proofErr w:type="spellEnd"/>
      <w:r>
        <w:rPr>
          <w:sz w:val="24"/>
          <w:szCs w:val="24"/>
          <w:lang w:eastAsia="da-DK"/>
        </w:rPr>
        <w:t xml:space="preserve">. </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Amning</w:t>
      </w:r>
    </w:p>
    <w:p w:rsidR="00B73392" w:rsidRPr="00D961BD" w:rsidRDefault="00B73392" w:rsidP="00B73392">
      <w:pPr>
        <w:autoSpaceDE w:val="0"/>
        <w:autoSpaceDN w:val="0"/>
        <w:adjustRightInd w:val="0"/>
        <w:ind w:left="851"/>
        <w:rPr>
          <w:sz w:val="24"/>
          <w:szCs w:val="24"/>
          <w:lang w:eastAsia="da-DK"/>
        </w:rPr>
      </w:pPr>
      <w:proofErr w:type="spellStart"/>
      <w:r w:rsidRPr="00D961BD">
        <w:rPr>
          <w:sz w:val="24"/>
          <w:szCs w:val="24"/>
          <w:lang w:eastAsia="da-DK"/>
        </w:rPr>
        <w:t>Levetiracetam</w:t>
      </w:r>
      <w:proofErr w:type="spellEnd"/>
      <w:r w:rsidRPr="00D961BD">
        <w:rPr>
          <w:sz w:val="24"/>
          <w:szCs w:val="24"/>
          <w:lang w:eastAsia="da-DK"/>
        </w:rPr>
        <w:t xml:space="preserve"> udskilles i human mælk. Amning anbefales derfor ikke.</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Hvis behandling med </w:t>
      </w:r>
      <w:proofErr w:type="spellStart"/>
      <w:r w:rsidRPr="00D961BD">
        <w:rPr>
          <w:sz w:val="24"/>
          <w:szCs w:val="24"/>
          <w:lang w:eastAsia="da-DK"/>
        </w:rPr>
        <w:t>levetiracetam</w:t>
      </w:r>
      <w:proofErr w:type="spellEnd"/>
      <w:r w:rsidRPr="00D961BD">
        <w:rPr>
          <w:sz w:val="24"/>
          <w:szCs w:val="24"/>
          <w:lang w:eastAsia="da-DK"/>
        </w:rPr>
        <w:t xml:space="preserve"> imidlertid er nødvendig under amning, skal fordele/risici ved behandlingen afvejes i forhold til fordele ved amning.</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Fertilitet</w:t>
      </w:r>
    </w:p>
    <w:p w:rsidR="00B73392" w:rsidRDefault="00B73392" w:rsidP="00B73392">
      <w:pPr>
        <w:autoSpaceDE w:val="0"/>
        <w:autoSpaceDN w:val="0"/>
        <w:adjustRightInd w:val="0"/>
        <w:ind w:left="851"/>
        <w:rPr>
          <w:sz w:val="24"/>
          <w:szCs w:val="24"/>
          <w:lang w:eastAsia="da-DK"/>
        </w:rPr>
      </w:pPr>
      <w:r w:rsidRPr="00D961BD">
        <w:rPr>
          <w:sz w:val="24"/>
          <w:szCs w:val="24"/>
          <w:lang w:eastAsia="da-DK"/>
        </w:rPr>
        <w:t>Der er ikke fundet nogen indvirkning på fertilitet i dyrestudier (se pkt. 5.3). Der findes ingen tilgængelige kliniske data. Den potentielle risiko for mennesker er ukendt.</w:t>
      </w:r>
    </w:p>
    <w:p w:rsidR="00B73392" w:rsidRPr="00D961BD" w:rsidRDefault="00B73392" w:rsidP="00B73392">
      <w:pPr>
        <w:autoSpaceDE w:val="0"/>
        <w:autoSpaceDN w:val="0"/>
        <w:adjustRightInd w:val="0"/>
        <w:ind w:left="851"/>
        <w:rPr>
          <w:sz w:val="24"/>
          <w:szCs w:val="24"/>
          <w:lang w:eastAsia="da-DK"/>
        </w:rPr>
      </w:pPr>
    </w:p>
    <w:p w:rsidR="00B73392" w:rsidRPr="00D961BD" w:rsidRDefault="00B73392" w:rsidP="00B73392">
      <w:pPr>
        <w:ind w:left="851" w:hanging="851"/>
        <w:rPr>
          <w:b/>
          <w:sz w:val="24"/>
          <w:szCs w:val="24"/>
        </w:rPr>
      </w:pPr>
      <w:r w:rsidRPr="00D961BD">
        <w:rPr>
          <w:b/>
          <w:sz w:val="24"/>
          <w:szCs w:val="24"/>
        </w:rPr>
        <w:t>4.7</w:t>
      </w:r>
      <w:r w:rsidRPr="00D961BD">
        <w:rPr>
          <w:b/>
          <w:sz w:val="24"/>
          <w:szCs w:val="24"/>
        </w:rPr>
        <w:tab/>
        <w:t xml:space="preserve">Virkninger på evnen til at føre motorkøretøj </w:t>
      </w:r>
      <w:r w:rsidR="00FB26B9">
        <w:rPr>
          <w:b/>
          <w:sz w:val="24"/>
          <w:szCs w:val="24"/>
        </w:rPr>
        <w:t>og</w:t>
      </w:r>
      <w:r w:rsidRPr="00D961BD">
        <w:rPr>
          <w:b/>
          <w:sz w:val="24"/>
          <w:szCs w:val="24"/>
        </w:rPr>
        <w:t xml:space="preserve"> betjene maskiner</w:t>
      </w:r>
    </w:p>
    <w:p w:rsidR="00B73392" w:rsidRPr="00D961BD" w:rsidRDefault="00B73392" w:rsidP="00B73392">
      <w:pPr>
        <w:autoSpaceDE w:val="0"/>
        <w:autoSpaceDN w:val="0"/>
        <w:adjustRightInd w:val="0"/>
        <w:ind w:left="851" w:hanging="851"/>
        <w:rPr>
          <w:sz w:val="24"/>
          <w:szCs w:val="24"/>
        </w:rPr>
      </w:pPr>
      <w:r w:rsidRPr="00D961BD">
        <w:rPr>
          <w:sz w:val="24"/>
          <w:szCs w:val="24"/>
        </w:rPr>
        <w:tab/>
        <w:t>Ikke mærkning.</w:t>
      </w:r>
    </w:p>
    <w:p w:rsidR="00B73392" w:rsidRPr="00D961BD" w:rsidRDefault="00B73392" w:rsidP="00B73392">
      <w:pPr>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har mild eller moderat</w:t>
      </w:r>
      <w:r w:rsidRPr="00D961BD">
        <w:rPr>
          <w:sz w:val="24"/>
          <w:szCs w:val="24"/>
          <w:lang w:eastAsia="da-DK"/>
        </w:rPr>
        <w:t xml:space="preserve"> </w:t>
      </w:r>
      <w:r>
        <w:rPr>
          <w:sz w:val="24"/>
          <w:szCs w:val="24"/>
          <w:lang w:eastAsia="da-DK"/>
        </w:rPr>
        <w:t>indflydelse på</w:t>
      </w:r>
      <w:r w:rsidRPr="00D961BD">
        <w:rPr>
          <w:sz w:val="24"/>
          <w:szCs w:val="24"/>
          <w:lang w:eastAsia="da-DK"/>
        </w:rPr>
        <w:t xml:space="preserve"> evnen til at føre bil og betjene maskiner.</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Da den individuelle følsomhed er forskellig, kan nogle patienter opleve døsighed eller andre CNS-relaterede symptomer især i begyndelsen af behandlingen eller ved øgning af dosis.</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Derfor tilrådes forsigtighed hos disse patienter ved udførelse af krævende opgaver, f.eks. kørsel og betjening af maskiner. Patienter rådes til ikke at føre motorkøretøj eller betjene maskiner, før det er bevist, at deres evne til at udføre sådanne aktiviteter ikke er påvirket.</w:t>
      </w:r>
    </w:p>
    <w:p w:rsidR="00B73392" w:rsidRPr="00D961BD" w:rsidRDefault="00B73392" w:rsidP="00B73392">
      <w:pPr>
        <w:ind w:left="851" w:hanging="851"/>
        <w:rPr>
          <w:sz w:val="24"/>
          <w:szCs w:val="24"/>
        </w:rPr>
      </w:pPr>
    </w:p>
    <w:p w:rsidR="00B73392" w:rsidRPr="00D961BD" w:rsidRDefault="00B73392" w:rsidP="002775A7">
      <w:pPr>
        <w:keepNext/>
        <w:ind w:left="851" w:hanging="851"/>
        <w:rPr>
          <w:b/>
          <w:sz w:val="24"/>
          <w:szCs w:val="24"/>
        </w:rPr>
      </w:pPr>
      <w:r w:rsidRPr="00D961BD">
        <w:rPr>
          <w:b/>
          <w:sz w:val="24"/>
          <w:szCs w:val="24"/>
        </w:rPr>
        <w:t>4.8</w:t>
      </w:r>
      <w:r w:rsidRPr="00D961BD">
        <w:rPr>
          <w:b/>
          <w:sz w:val="24"/>
          <w:szCs w:val="24"/>
        </w:rPr>
        <w:tab/>
        <w:t>Bivirkninger</w:t>
      </w:r>
    </w:p>
    <w:p w:rsidR="00FB26B9" w:rsidRDefault="00B73392" w:rsidP="00FB26B9">
      <w:pPr>
        <w:keepNext/>
        <w:autoSpaceDE w:val="0"/>
        <w:autoSpaceDN w:val="0"/>
        <w:adjustRightInd w:val="0"/>
        <w:ind w:left="851" w:hanging="851"/>
        <w:rPr>
          <w:sz w:val="24"/>
          <w:szCs w:val="24"/>
          <w:u w:val="single"/>
        </w:rPr>
      </w:pPr>
      <w:r w:rsidRPr="00D961BD">
        <w:rPr>
          <w:sz w:val="24"/>
          <w:szCs w:val="24"/>
        </w:rPr>
        <w:tab/>
      </w:r>
      <w:r w:rsidR="00FB26B9">
        <w:rPr>
          <w:sz w:val="24"/>
          <w:szCs w:val="24"/>
          <w:u w:val="single"/>
        </w:rPr>
        <w:t>Sammendrag af sikkerhedsprofilen</w:t>
      </w:r>
    </w:p>
    <w:p w:rsidR="00FB26B9" w:rsidRDefault="00FB26B9" w:rsidP="00FB26B9">
      <w:pPr>
        <w:ind w:left="851"/>
        <w:rPr>
          <w:sz w:val="24"/>
          <w:szCs w:val="24"/>
        </w:rPr>
      </w:pPr>
      <w:r>
        <w:rPr>
          <w:sz w:val="24"/>
          <w:szCs w:val="24"/>
        </w:rPr>
        <w:t xml:space="preserve">De hyppigst rapporterede bivirkninger var </w:t>
      </w:r>
      <w:proofErr w:type="spellStart"/>
      <w:r>
        <w:rPr>
          <w:sz w:val="24"/>
          <w:szCs w:val="24"/>
        </w:rPr>
        <w:t>nasofaryngitis</w:t>
      </w:r>
      <w:proofErr w:type="spellEnd"/>
      <w:r>
        <w:rPr>
          <w:sz w:val="24"/>
          <w:szCs w:val="24"/>
        </w:rPr>
        <w:t xml:space="preserve">, døsighed, hovedpine, træthed og svimmelhed. Nedenstående bivirkningsprofil er baseret på analyse af sammenfattede placebokontrollerede kliniske studier med alle indikationer med i alt 3.416 patienter, der blev behandlet med </w:t>
      </w:r>
      <w:proofErr w:type="spellStart"/>
      <w:r>
        <w:rPr>
          <w:sz w:val="24"/>
          <w:szCs w:val="24"/>
        </w:rPr>
        <w:t>levetiracetam</w:t>
      </w:r>
      <w:proofErr w:type="spellEnd"/>
      <w:r>
        <w:rPr>
          <w:sz w:val="24"/>
          <w:szCs w:val="24"/>
        </w:rPr>
        <w:t xml:space="preserve">. Disse data er suppleret med data fra brug af </w:t>
      </w:r>
      <w:proofErr w:type="spellStart"/>
      <w:r>
        <w:rPr>
          <w:sz w:val="24"/>
          <w:szCs w:val="24"/>
        </w:rPr>
        <w:t>levetiracetam</w:t>
      </w:r>
      <w:proofErr w:type="spellEnd"/>
      <w:r>
        <w:rPr>
          <w:sz w:val="24"/>
          <w:szCs w:val="24"/>
        </w:rPr>
        <w:t xml:space="preserve"> i tilsvarende åbne forlængede studier og erfaringer efter markedsføring. Sikkerhedsprofilen for </w:t>
      </w:r>
      <w:proofErr w:type="spellStart"/>
      <w:r>
        <w:rPr>
          <w:sz w:val="24"/>
          <w:szCs w:val="24"/>
        </w:rPr>
        <w:t>levetiracetam</w:t>
      </w:r>
      <w:proofErr w:type="spellEnd"/>
      <w:r>
        <w:rPr>
          <w:sz w:val="24"/>
          <w:szCs w:val="24"/>
        </w:rPr>
        <w:t xml:space="preserve"> er generelt den samme på tværs af aldersgrupper (voksne og pædiatriske patienter) og for alle godkendte epilepsi-indikationer.</w:t>
      </w:r>
    </w:p>
    <w:p w:rsidR="00FB26B9" w:rsidRDefault="00FB26B9" w:rsidP="00FB26B9">
      <w:pPr>
        <w:ind w:left="851" w:hanging="851"/>
        <w:rPr>
          <w:sz w:val="24"/>
          <w:szCs w:val="24"/>
        </w:rPr>
      </w:pPr>
    </w:p>
    <w:p w:rsidR="00FB26B9" w:rsidRDefault="00FB26B9" w:rsidP="00FB26B9">
      <w:pPr>
        <w:ind w:left="851"/>
        <w:rPr>
          <w:noProof/>
          <w:sz w:val="24"/>
          <w:szCs w:val="24"/>
          <w:u w:val="single"/>
        </w:rPr>
      </w:pPr>
      <w:r>
        <w:rPr>
          <w:sz w:val="24"/>
          <w:szCs w:val="24"/>
          <w:u w:val="single"/>
        </w:rPr>
        <w:t>Liste over bivirkninger i tabelform</w:t>
      </w:r>
    </w:p>
    <w:p w:rsidR="00DC1A58" w:rsidRDefault="00FB26B9" w:rsidP="00DC1A58">
      <w:pPr>
        <w:autoSpaceDE w:val="0"/>
        <w:autoSpaceDN w:val="0"/>
        <w:adjustRightInd w:val="0"/>
        <w:ind w:left="851"/>
        <w:rPr>
          <w:sz w:val="24"/>
          <w:szCs w:val="24"/>
        </w:rPr>
      </w:pPr>
      <w:r>
        <w:rPr>
          <w:sz w:val="24"/>
          <w:szCs w:val="24"/>
        </w:rPr>
        <w:t xml:space="preserve">Bivirkninger rapporteret i kliniske studier (voksne, unge, børn og spædbørn &gt;1 måned) og efter markedsføring er angivet nedenstående tabel med systemorganklasse og hyppighed. Bivirkningerne er præsenteret i rækkefølge efter faldende alvorlighed, og deres hyppighed er defineret på følgende måde: meget almindelig (≥ 1/10), almindelig (≥ 1/100 til &lt; 1/10), ikke almindelig (≥ 1/1.000 til &lt; 1/100), sjælden: (≥ 1/10.000 til &lt; 1/1.000) og meget </w:t>
      </w:r>
      <w:r w:rsidR="00DC1A58">
        <w:rPr>
          <w:sz w:val="24"/>
          <w:szCs w:val="24"/>
        </w:rPr>
        <w:t>sjælden (&lt; 1/10.000).</w:t>
      </w:r>
    </w:p>
    <w:p w:rsidR="00DC1A58" w:rsidRDefault="00DC1A58" w:rsidP="00DC1A58">
      <w:pPr>
        <w:autoSpaceDE w:val="0"/>
        <w:autoSpaceDN w:val="0"/>
        <w:adjustRightInd w:val="0"/>
        <w:ind w:left="851" w:hanging="851"/>
        <w:rPr>
          <w:sz w:val="24"/>
          <w:szCs w:val="24"/>
        </w:rPr>
      </w:pPr>
    </w:p>
    <w:tbl>
      <w:tblPr>
        <w:tblW w:w="552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1514"/>
        <w:gridCol w:w="1514"/>
        <w:gridCol w:w="1977"/>
        <w:gridCol w:w="1846"/>
        <w:gridCol w:w="1695"/>
      </w:tblGrid>
      <w:tr w:rsidR="00DC1A58" w:rsidTr="00A05457">
        <w:trPr>
          <w:tblHeader/>
        </w:trPr>
        <w:tc>
          <w:tcPr>
            <w:tcW w:w="981" w:type="pct"/>
            <w:vMerge w:val="restart"/>
            <w:tcBorders>
              <w:top w:val="single" w:sz="4" w:space="0" w:color="auto"/>
              <w:left w:val="single" w:sz="4" w:space="0" w:color="auto"/>
              <w:bottom w:val="single" w:sz="4" w:space="0" w:color="auto"/>
              <w:right w:val="single" w:sz="4" w:space="0" w:color="auto"/>
            </w:tcBorders>
            <w:vAlign w:val="center"/>
            <w:hideMark/>
          </w:tcPr>
          <w:p w:rsidR="00DC1A58" w:rsidRDefault="00DC1A58" w:rsidP="00A05457">
            <w:pPr>
              <w:rPr>
                <w:sz w:val="22"/>
                <w:szCs w:val="22"/>
                <w:u w:val="single"/>
              </w:rPr>
            </w:pPr>
            <w:r>
              <w:rPr>
                <w:sz w:val="22"/>
                <w:szCs w:val="22"/>
                <w:u w:val="single"/>
              </w:rPr>
              <w:lastRenderedPageBreak/>
              <w:t>Systemorganklasse (</w:t>
            </w:r>
            <w:proofErr w:type="spellStart"/>
            <w:r>
              <w:rPr>
                <w:sz w:val="22"/>
                <w:szCs w:val="22"/>
                <w:u w:val="single"/>
              </w:rPr>
              <w:t>MeDRA</w:t>
            </w:r>
            <w:proofErr w:type="spellEnd"/>
            <w:r>
              <w:rPr>
                <w:sz w:val="22"/>
                <w:szCs w:val="22"/>
                <w:u w:val="single"/>
              </w:rPr>
              <w:t>-terminologi)</w:t>
            </w:r>
          </w:p>
        </w:tc>
        <w:tc>
          <w:tcPr>
            <w:tcW w:w="4019" w:type="pct"/>
            <w:gridSpan w:val="5"/>
            <w:tcBorders>
              <w:top w:val="single" w:sz="4" w:space="0" w:color="auto"/>
              <w:left w:val="single" w:sz="4" w:space="0" w:color="auto"/>
              <w:bottom w:val="single" w:sz="4" w:space="0" w:color="auto"/>
              <w:right w:val="single" w:sz="4" w:space="0" w:color="auto"/>
            </w:tcBorders>
          </w:tcPr>
          <w:p w:rsidR="00DC1A58" w:rsidRDefault="00DC1A58" w:rsidP="00A05457">
            <w:pPr>
              <w:jc w:val="center"/>
              <w:rPr>
                <w:sz w:val="22"/>
                <w:szCs w:val="22"/>
                <w:u w:val="single"/>
              </w:rPr>
            </w:pPr>
            <w:r>
              <w:rPr>
                <w:sz w:val="22"/>
                <w:szCs w:val="22"/>
                <w:u w:val="single"/>
              </w:rPr>
              <w:t>Hyppighed</w:t>
            </w:r>
          </w:p>
          <w:p w:rsidR="00DC1A58" w:rsidRDefault="00DC1A58" w:rsidP="00A05457">
            <w:pPr>
              <w:jc w:val="center"/>
              <w:rPr>
                <w:sz w:val="22"/>
                <w:szCs w:val="22"/>
                <w:u w:val="single"/>
              </w:rPr>
            </w:pPr>
          </w:p>
        </w:tc>
      </w:tr>
      <w:tr w:rsidR="00DC1A58" w:rsidTr="00DC1A58">
        <w:trPr>
          <w:trHeight w:val="581"/>
          <w:tblHeader/>
        </w:trPr>
        <w:tc>
          <w:tcPr>
            <w:tcW w:w="981" w:type="pct"/>
            <w:vMerge/>
            <w:tcBorders>
              <w:top w:val="single" w:sz="4" w:space="0" w:color="auto"/>
              <w:left w:val="single" w:sz="4" w:space="0" w:color="auto"/>
              <w:bottom w:val="single" w:sz="4" w:space="0" w:color="auto"/>
              <w:right w:val="single" w:sz="4" w:space="0" w:color="auto"/>
            </w:tcBorders>
            <w:vAlign w:val="center"/>
            <w:hideMark/>
          </w:tcPr>
          <w:p w:rsidR="00DC1A58" w:rsidRDefault="00DC1A58" w:rsidP="00A05457">
            <w:pPr>
              <w:rPr>
                <w:sz w:val="22"/>
                <w:szCs w:val="22"/>
                <w:u w:val="single"/>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u w:val="single"/>
              </w:rPr>
            </w:pPr>
            <w:r>
              <w:rPr>
                <w:sz w:val="22"/>
                <w:szCs w:val="22"/>
                <w:u w:val="single"/>
              </w:rPr>
              <w:t>Meget almindelig</w:t>
            </w: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u w:val="single"/>
              </w:rPr>
            </w:pPr>
            <w:r>
              <w:rPr>
                <w:sz w:val="22"/>
                <w:szCs w:val="22"/>
                <w:u w:val="single"/>
              </w:rPr>
              <w:t>Almindelig</w:t>
            </w: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u w:val="single"/>
              </w:rPr>
            </w:pPr>
            <w:r>
              <w:rPr>
                <w:sz w:val="22"/>
                <w:szCs w:val="22"/>
                <w:u w:val="single"/>
              </w:rPr>
              <w:t>Ikke almindelig</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u w:val="single"/>
              </w:rPr>
            </w:pPr>
            <w:r>
              <w:rPr>
                <w:sz w:val="22"/>
                <w:szCs w:val="22"/>
                <w:u w:val="single"/>
              </w:rPr>
              <w:t>Sjælden</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u w:val="single"/>
              </w:rPr>
            </w:pPr>
            <w:r w:rsidRPr="003C0FE3">
              <w:rPr>
                <w:sz w:val="22"/>
                <w:szCs w:val="22"/>
                <w:u w:val="single"/>
              </w:rPr>
              <w:t>Meget sjælden</w:t>
            </w:r>
          </w:p>
        </w:tc>
      </w:tr>
      <w:tr w:rsidR="00DC1A58" w:rsidTr="00DC1A58">
        <w:trPr>
          <w:trHeight w:val="875"/>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Infektioner og parasitære sygdomme</w:t>
            </w: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Nasofaryngitis</w:t>
            </w:r>
            <w:proofErr w:type="spellEnd"/>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Infektion</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846"/>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Blod og lymfesystem</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Trombocytopeni</w:t>
            </w:r>
            <w:proofErr w:type="spellEnd"/>
            <w:r>
              <w:rPr>
                <w:sz w:val="22"/>
                <w:szCs w:val="22"/>
              </w:rPr>
              <w:t xml:space="preserve">, </w:t>
            </w:r>
            <w:proofErr w:type="spellStart"/>
            <w:r>
              <w:rPr>
                <w:sz w:val="22"/>
                <w:szCs w:val="22"/>
              </w:rPr>
              <w:t>leukopeni</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Pancytopeni</w:t>
            </w:r>
            <w:proofErr w:type="spellEnd"/>
            <w:r>
              <w:rPr>
                <w:sz w:val="22"/>
                <w:szCs w:val="22"/>
              </w:rPr>
              <w:t xml:space="preserve">, </w:t>
            </w:r>
            <w:proofErr w:type="spellStart"/>
            <w:r>
              <w:rPr>
                <w:sz w:val="22"/>
                <w:szCs w:val="22"/>
              </w:rPr>
              <w:t>neutropeni</w:t>
            </w:r>
            <w:proofErr w:type="spellEnd"/>
            <w:r>
              <w:rPr>
                <w:sz w:val="22"/>
                <w:szCs w:val="22"/>
              </w:rPr>
              <w:t xml:space="preserve">, </w:t>
            </w:r>
            <w:proofErr w:type="spellStart"/>
            <w:r>
              <w:rPr>
                <w:sz w:val="22"/>
                <w:szCs w:val="22"/>
              </w:rPr>
              <w:t>agranulocytose</w:t>
            </w:r>
            <w:proofErr w:type="spellEnd"/>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2106"/>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Immunsystemlidelse</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 xml:space="preserve">Lægemiddel-reaktion med </w:t>
            </w:r>
            <w:proofErr w:type="spellStart"/>
            <w:r>
              <w:rPr>
                <w:sz w:val="22"/>
                <w:szCs w:val="22"/>
              </w:rPr>
              <w:t>eosinofili</w:t>
            </w:r>
            <w:proofErr w:type="spellEnd"/>
            <w:r>
              <w:rPr>
                <w:sz w:val="22"/>
                <w:szCs w:val="22"/>
              </w:rPr>
              <w:t xml:space="preserve"> og systemiske symptomer (DRESS)</w:t>
            </w:r>
          </w:p>
          <w:p w:rsidR="00DC1A58" w:rsidRDefault="00DC1A58" w:rsidP="00A05457">
            <w:pPr>
              <w:rPr>
                <w:sz w:val="22"/>
                <w:szCs w:val="22"/>
              </w:rPr>
            </w:pPr>
            <w:r>
              <w:rPr>
                <w:sz w:val="22"/>
                <w:szCs w:val="22"/>
              </w:rPr>
              <w:t xml:space="preserve">hypersensitivitet (inklusive </w:t>
            </w:r>
            <w:proofErr w:type="spellStart"/>
            <w:r>
              <w:rPr>
                <w:sz w:val="22"/>
                <w:szCs w:val="22"/>
              </w:rPr>
              <w:t>angioødem</w:t>
            </w:r>
            <w:proofErr w:type="spellEnd"/>
            <w:r>
              <w:rPr>
                <w:sz w:val="22"/>
                <w:szCs w:val="22"/>
              </w:rPr>
              <w:t xml:space="preserve"> og anafylaksi)</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712"/>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Metabolisme og ernæring</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Anoreksi</w:t>
            </w: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Vægttab, vægtøgning</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Hyponatriæmi</w:t>
            </w:r>
            <w:proofErr w:type="spellEnd"/>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2246"/>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Psykiske forstyrrelser</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Depression, fjendtlighed/</w:t>
            </w:r>
          </w:p>
          <w:p w:rsidR="00DC1A58" w:rsidRDefault="00DC1A58" w:rsidP="00A05457">
            <w:pPr>
              <w:rPr>
                <w:sz w:val="22"/>
                <w:szCs w:val="22"/>
              </w:rPr>
            </w:pPr>
            <w:r>
              <w:rPr>
                <w:sz w:val="22"/>
                <w:szCs w:val="22"/>
              </w:rPr>
              <w:t xml:space="preserve">aggression, angst, </w:t>
            </w:r>
            <w:proofErr w:type="spellStart"/>
            <w:r>
              <w:rPr>
                <w:sz w:val="22"/>
                <w:szCs w:val="22"/>
              </w:rPr>
              <w:t>insomni</w:t>
            </w:r>
            <w:proofErr w:type="spellEnd"/>
            <w:r>
              <w:rPr>
                <w:sz w:val="22"/>
                <w:szCs w:val="22"/>
              </w:rPr>
              <w:t>, nervøsitet/ irritabilitet</w:t>
            </w: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Selvmordsforsøg, selvmordstanker, psykose, unormal adfærd, hallucinationer, vrede, konfusion, panikanfald, affektlabilitet/</w:t>
            </w:r>
          </w:p>
          <w:p w:rsidR="00DC1A58" w:rsidRDefault="00DC1A58" w:rsidP="00A05457">
            <w:pPr>
              <w:rPr>
                <w:sz w:val="22"/>
                <w:szCs w:val="22"/>
              </w:rPr>
            </w:pPr>
            <w:r>
              <w:rPr>
                <w:sz w:val="22"/>
                <w:szCs w:val="22"/>
              </w:rPr>
              <w:t>humørsvingninger, agitation</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Selvmord, personligheds-forstyrrelse, abnorm tankegang, delirium</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roofErr w:type="spellStart"/>
            <w:r>
              <w:t>Obsessiv-kompulsiv</w:t>
            </w:r>
            <w:proofErr w:type="spellEnd"/>
            <w:r>
              <w:t xml:space="preserve"> lidelse**</w:t>
            </w:r>
          </w:p>
        </w:tc>
      </w:tr>
      <w:tr w:rsidR="00DC1A58" w:rsidTr="00DC1A58">
        <w:trPr>
          <w:trHeight w:val="1694"/>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Nervesystemet</w:t>
            </w: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Døsighed, hovedpine</w:t>
            </w: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 xml:space="preserve">Konvulsioner, balance-forstyrrelser, svimmelhed, letargi, </w:t>
            </w:r>
            <w:proofErr w:type="spellStart"/>
            <w:r>
              <w:rPr>
                <w:sz w:val="22"/>
                <w:szCs w:val="22"/>
              </w:rPr>
              <w:t>tremor</w:t>
            </w:r>
            <w:proofErr w:type="spellEnd"/>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Amnesi, hukommelses-svækkelse, koordinations-forstyrrelser/</w:t>
            </w:r>
            <w:proofErr w:type="spellStart"/>
            <w:r>
              <w:rPr>
                <w:sz w:val="22"/>
                <w:szCs w:val="22"/>
              </w:rPr>
              <w:t>ataksi</w:t>
            </w:r>
            <w:proofErr w:type="spellEnd"/>
            <w:r>
              <w:rPr>
                <w:sz w:val="22"/>
                <w:szCs w:val="22"/>
              </w:rPr>
              <w:t xml:space="preserve">, </w:t>
            </w:r>
            <w:proofErr w:type="spellStart"/>
            <w:r>
              <w:rPr>
                <w:sz w:val="22"/>
                <w:szCs w:val="22"/>
              </w:rPr>
              <w:t>paræstesi</w:t>
            </w:r>
            <w:proofErr w:type="spellEnd"/>
            <w:r>
              <w:rPr>
                <w:sz w:val="22"/>
                <w:szCs w:val="22"/>
              </w:rPr>
              <w:t>, opmærksomheds-forstyrrelser</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roofErr w:type="spellStart"/>
            <w:r>
              <w:rPr>
                <w:sz w:val="22"/>
                <w:szCs w:val="22"/>
              </w:rPr>
              <w:t>Koreoatetose</w:t>
            </w:r>
            <w:proofErr w:type="spellEnd"/>
            <w:r>
              <w:rPr>
                <w:sz w:val="22"/>
                <w:szCs w:val="22"/>
              </w:rPr>
              <w:t xml:space="preserve">, </w:t>
            </w:r>
            <w:proofErr w:type="spellStart"/>
            <w:r>
              <w:rPr>
                <w:sz w:val="22"/>
                <w:szCs w:val="22"/>
              </w:rPr>
              <w:t>dyskinesi</w:t>
            </w:r>
            <w:proofErr w:type="spellEnd"/>
            <w:r>
              <w:rPr>
                <w:sz w:val="22"/>
                <w:szCs w:val="22"/>
              </w:rPr>
              <w:t xml:space="preserve">, </w:t>
            </w:r>
            <w:proofErr w:type="spellStart"/>
            <w:r>
              <w:rPr>
                <w:sz w:val="22"/>
                <w:szCs w:val="22"/>
              </w:rPr>
              <w:t>hyperkinesi</w:t>
            </w:r>
            <w:proofErr w:type="spellEnd"/>
            <w:r>
              <w:t>,</w:t>
            </w:r>
          </w:p>
          <w:p w:rsidR="00DC1A58" w:rsidRPr="00FB26B9" w:rsidRDefault="00DC1A58" w:rsidP="00A05457">
            <w:pPr>
              <w:rPr>
                <w:sz w:val="22"/>
                <w:szCs w:val="22"/>
              </w:rPr>
            </w:pPr>
            <w:r>
              <w:rPr>
                <w:sz w:val="22"/>
                <w:szCs w:val="22"/>
              </w:rPr>
              <w:t xml:space="preserve">gangforstyrrelse, encefalopati, </w:t>
            </w:r>
            <w:r w:rsidRPr="00FB26B9">
              <w:rPr>
                <w:sz w:val="22"/>
                <w:szCs w:val="22"/>
              </w:rPr>
              <w:t xml:space="preserve">forværrede krampeanfald, </w:t>
            </w:r>
            <w:proofErr w:type="spellStart"/>
            <w:r w:rsidRPr="00FB26B9">
              <w:rPr>
                <w:sz w:val="22"/>
                <w:szCs w:val="22"/>
              </w:rPr>
              <w:t>neuroleptisk</w:t>
            </w:r>
            <w:proofErr w:type="spellEnd"/>
          </w:p>
          <w:p w:rsidR="00DC1A58" w:rsidRDefault="00DC1A58" w:rsidP="00A05457">
            <w:pPr>
              <w:rPr>
                <w:sz w:val="22"/>
                <w:szCs w:val="22"/>
              </w:rPr>
            </w:pPr>
            <w:r w:rsidRPr="00FB26B9">
              <w:rPr>
                <w:sz w:val="22"/>
                <w:szCs w:val="22"/>
              </w:rPr>
              <w:t>malignt syndrom*</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407"/>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Øjne</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Diplopi</w:t>
            </w:r>
            <w:proofErr w:type="spellEnd"/>
            <w:r>
              <w:rPr>
                <w:sz w:val="22"/>
                <w:szCs w:val="22"/>
              </w:rPr>
              <w:t>, sløret syn</w:t>
            </w:r>
          </w:p>
        </w:tc>
        <w:tc>
          <w:tcPr>
            <w:tcW w:w="868"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422"/>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Øre og labyrint</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Vertigo</w:t>
            </w:r>
            <w:proofErr w:type="spellEnd"/>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422"/>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Hjerte</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 xml:space="preserve">QT-forlængelse på </w:t>
            </w:r>
            <w:proofErr w:type="spellStart"/>
            <w:r>
              <w:rPr>
                <w:sz w:val="22"/>
                <w:szCs w:val="22"/>
              </w:rPr>
              <w:t>elektro-kardiogram</w:t>
            </w:r>
            <w:proofErr w:type="spellEnd"/>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698"/>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 xml:space="preserve">Luftveje, thorax, og </w:t>
            </w:r>
            <w:proofErr w:type="spellStart"/>
            <w:r>
              <w:rPr>
                <w:sz w:val="22"/>
                <w:szCs w:val="22"/>
              </w:rPr>
              <w:t>mediastinum</w:t>
            </w:r>
            <w:proofErr w:type="spellEnd"/>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Hoste</w:t>
            </w: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1417"/>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lastRenderedPageBreak/>
              <w:t>Mave-tarm-kanalen</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lang w:val="nb-NO"/>
              </w:rPr>
            </w:pPr>
            <w:r>
              <w:rPr>
                <w:sz w:val="22"/>
                <w:szCs w:val="22"/>
                <w:lang w:val="nb-NO"/>
              </w:rPr>
              <w:t>Abdominal-smerter, diarré, dyspepsi, opkastning, kvalme</w:t>
            </w: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lang w:val="nb-NO"/>
              </w:rPr>
            </w:pP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Pankreatitis</w:t>
            </w:r>
            <w:proofErr w:type="spellEnd"/>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701"/>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Lever og galdeveje</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Unormale leverfunktions-prøver</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Lever-insufficiens, hepatitis</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399"/>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Nyrer og urinveje</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Akut nyreskade</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RPr="00230AB4" w:rsidTr="00DC1A58">
        <w:trPr>
          <w:trHeight w:val="1283"/>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Hud og subkutane væv</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Udslæt</w:t>
            </w: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Alopeci</w:t>
            </w:r>
            <w:proofErr w:type="spellEnd"/>
            <w:r>
              <w:rPr>
                <w:sz w:val="22"/>
                <w:szCs w:val="22"/>
              </w:rPr>
              <w:t xml:space="preserve">, eksem, </w:t>
            </w:r>
            <w:proofErr w:type="spellStart"/>
            <w:r>
              <w:rPr>
                <w:sz w:val="22"/>
                <w:szCs w:val="22"/>
              </w:rPr>
              <w:t>pruritus</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lang w:val="nb-NO"/>
              </w:rPr>
            </w:pPr>
            <w:r>
              <w:rPr>
                <w:sz w:val="22"/>
                <w:szCs w:val="22"/>
                <w:lang w:val="nb-NO"/>
              </w:rPr>
              <w:t>Toksisk epidermal nekrolyse, Stevens-Johnsons-syndrom, erythema multiforme</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lang w:val="nb-NO"/>
              </w:rPr>
            </w:pPr>
          </w:p>
        </w:tc>
      </w:tr>
      <w:tr w:rsidR="00DC1A58" w:rsidTr="00DC1A58">
        <w:trPr>
          <w:trHeight w:val="1131"/>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Knogler, led, muskler og bindevæv</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Muskelsvækkelse, myalgi</w:t>
            </w:r>
          </w:p>
        </w:tc>
        <w:tc>
          <w:tcPr>
            <w:tcW w:w="868"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proofErr w:type="spellStart"/>
            <w:r>
              <w:rPr>
                <w:sz w:val="22"/>
                <w:szCs w:val="22"/>
              </w:rPr>
              <w:t>Rabdomyolyse</w:t>
            </w:r>
            <w:proofErr w:type="spellEnd"/>
            <w:r>
              <w:rPr>
                <w:sz w:val="22"/>
                <w:szCs w:val="22"/>
              </w:rPr>
              <w:t xml:space="preserve"> og forhøjet indhold af </w:t>
            </w:r>
            <w:proofErr w:type="spellStart"/>
            <w:r>
              <w:rPr>
                <w:sz w:val="22"/>
                <w:szCs w:val="22"/>
              </w:rPr>
              <w:t>kreatinkinase</w:t>
            </w:r>
            <w:proofErr w:type="spellEnd"/>
            <w:r>
              <w:rPr>
                <w:sz w:val="22"/>
                <w:szCs w:val="22"/>
              </w:rPr>
              <w:t xml:space="preserve"> i blodet*</w:t>
            </w: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978"/>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Almene symptomer og reaktioner på administrations-stedet</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Asteni/træthed</w:t>
            </w:r>
          </w:p>
        </w:tc>
        <w:tc>
          <w:tcPr>
            <w:tcW w:w="930"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868"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r w:rsidR="00DC1A58" w:rsidTr="00DC1A58">
        <w:trPr>
          <w:trHeight w:val="1165"/>
        </w:trPr>
        <w:tc>
          <w:tcPr>
            <w:tcW w:w="981"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Traumer, forgiftninger og behandlings-komplikationer</w:t>
            </w: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12"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930" w:type="pct"/>
            <w:tcBorders>
              <w:top w:val="single" w:sz="4" w:space="0" w:color="auto"/>
              <w:left w:val="single" w:sz="4" w:space="0" w:color="auto"/>
              <w:bottom w:val="single" w:sz="4" w:space="0" w:color="auto"/>
              <w:right w:val="single" w:sz="4" w:space="0" w:color="auto"/>
            </w:tcBorders>
            <w:hideMark/>
          </w:tcPr>
          <w:p w:rsidR="00DC1A58" w:rsidRDefault="00DC1A58" w:rsidP="00A05457">
            <w:pPr>
              <w:rPr>
                <w:sz w:val="22"/>
                <w:szCs w:val="22"/>
              </w:rPr>
            </w:pPr>
            <w:r>
              <w:rPr>
                <w:sz w:val="22"/>
                <w:szCs w:val="22"/>
              </w:rPr>
              <w:t>Skader</w:t>
            </w:r>
          </w:p>
        </w:tc>
        <w:tc>
          <w:tcPr>
            <w:tcW w:w="868"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c>
          <w:tcPr>
            <w:tcW w:w="797" w:type="pct"/>
            <w:tcBorders>
              <w:top w:val="single" w:sz="4" w:space="0" w:color="auto"/>
              <w:left w:val="single" w:sz="4" w:space="0" w:color="auto"/>
              <w:bottom w:val="single" w:sz="4" w:space="0" w:color="auto"/>
              <w:right w:val="single" w:sz="4" w:space="0" w:color="auto"/>
            </w:tcBorders>
          </w:tcPr>
          <w:p w:rsidR="00DC1A58" w:rsidRDefault="00DC1A58" w:rsidP="00A05457">
            <w:pPr>
              <w:rPr>
                <w:sz w:val="22"/>
                <w:szCs w:val="22"/>
              </w:rPr>
            </w:pPr>
          </w:p>
        </w:tc>
      </w:tr>
    </w:tbl>
    <w:p w:rsidR="00DC1A58" w:rsidRDefault="00DC1A58" w:rsidP="00DC1A58">
      <w:pPr>
        <w:autoSpaceDE w:val="0"/>
        <w:autoSpaceDN w:val="0"/>
        <w:adjustRightInd w:val="0"/>
        <w:ind w:left="851"/>
        <w:rPr>
          <w:sz w:val="24"/>
          <w:szCs w:val="24"/>
        </w:rPr>
      </w:pPr>
      <w:r>
        <w:rPr>
          <w:sz w:val="24"/>
          <w:szCs w:val="24"/>
        </w:rPr>
        <w:t>*Prævalensen er signifikant højere hos patienter af japansk afstamning i forhold til patienter af ikke-japansk afstamning.</w:t>
      </w:r>
    </w:p>
    <w:p w:rsidR="00DC1A58" w:rsidRDefault="00DC1A58" w:rsidP="00DC1A58">
      <w:pPr>
        <w:autoSpaceDE w:val="0"/>
        <w:autoSpaceDN w:val="0"/>
        <w:adjustRightInd w:val="0"/>
        <w:ind w:left="851"/>
        <w:rPr>
          <w:sz w:val="24"/>
          <w:szCs w:val="24"/>
        </w:rPr>
      </w:pPr>
      <w:r>
        <w:rPr>
          <w:sz w:val="24"/>
          <w:szCs w:val="24"/>
        </w:rPr>
        <w:t>**</w:t>
      </w:r>
      <w:r w:rsidRPr="003C0FE3">
        <w:rPr>
          <w:sz w:val="24"/>
          <w:szCs w:val="24"/>
        </w:rPr>
        <w:t xml:space="preserve">I meget sjældne tilfælde er udvikling af </w:t>
      </w:r>
      <w:proofErr w:type="spellStart"/>
      <w:r w:rsidRPr="003C0FE3">
        <w:rPr>
          <w:sz w:val="24"/>
          <w:szCs w:val="24"/>
        </w:rPr>
        <w:t>obsessiv-kompul</w:t>
      </w:r>
      <w:r>
        <w:rPr>
          <w:sz w:val="24"/>
          <w:szCs w:val="24"/>
        </w:rPr>
        <w:t>siv</w:t>
      </w:r>
      <w:proofErr w:type="spellEnd"/>
      <w:r>
        <w:rPr>
          <w:sz w:val="24"/>
          <w:szCs w:val="24"/>
        </w:rPr>
        <w:t xml:space="preserve"> lidelse (OCD) hos patienter </w:t>
      </w:r>
      <w:r w:rsidRPr="003C0FE3">
        <w:rPr>
          <w:sz w:val="24"/>
          <w:szCs w:val="24"/>
        </w:rPr>
        <w:t>med</w:t>
      </w:r>
      <w:r>
        <w:rPr>
          <w:sz w:val="24"/>
          <w:szCs w:val="24"/>
        </w:rPr>
        <w:t xml:space="preserve"> </w:t>
      </w:r>
      <w:r w:rsidRPr="003C0FE3">
        <w:rPr>
          <w:sz w:val="24"/>
          <w:szCs w:val="24"/>
        </w:rPr>
        <w:t>underliggende anamnese med OCD eller psykiske forstyr</w:t>
      </w:r>
      <w:r>
        <w:rPr>
          <w:sz w:val="24"/>
          <w:szCs w:val="24"/>
        </w:rPr>
        <w:t xml:space="preserve">relser blevet observeret i </w:t>
      </w:r>
      <w:r w:rsidRPr="003C0FE3">
        <w:rPr>
          <w:sz w:val="24"/>
          <w:szCs w:val="24"/>
        </w:rPr>
        <w:t>overvågning efter</w:t>
      </w:r>
      <w:r>
        <w:rPr>
          <w:sz w:val="24"/>
          <w:szCs w:val="24"/>
        </w:rPr>
        <w:t xml:space="preserve"> </w:t>
      </w:r>
      <w:r w:rsidRPr="003C0FE3">
        <w:rPr>
          <w:sz w:val="24"/>
          <w:szCs w:val="24"/>
        </w:rPr>
        <w:t>markedsføring</w:t>
      </w:r>
    </w:p>
    <w:p w:rsidR="00FB26B9" w:rsidRDefault="00FB26B9" w:rsidP="00DC1A58">
      <w:pPr>
        <w:autoSpaceDE w:val="0"/>
        <w:autoSpaceDN w:val="0"/>
        <w:adjustRightInd w:val="0"/>
        <w:ind w:left="851"/>
        <w:rPr>
          <w:sz w:val="24"/>
          <w:szCs w:val="24"/>
        </w:rPr>
      </w:pPr>
    </w:p>
    <w:p w:rsidR="00FB26B9" w:rsidRDefault="00FB26B9" w:rsidP="00FB26B9">
      <w:pPr>
        <w:autoSpaceDE w:val="0"/>
        <w:autoSpaceDN w:val="0"/>
        <w:adjustRightInd w:val="0"/>
        <w:ind w:left="851"/>
        <w:rPr>
          <w:sz w:val="24"/>
          <w:szCs w:val="24"/>
          <w:u w:val="single"/>
        </w:rPr>
      </w:pPr>
      <w:r>
        <w:rPr>
          <w:sz w:val="24"/>
          <w:szCs w:val="24"/>
          <w:u w:val="single"/>
        </w:rPr>
        <w:t>Beskrivelse af udvalgte bivirkninger</w:t>
      </w:r>
    </w:p>
    <w:p w:rsidR="00FB26B9" w:rsidRDefault="00FB26B9" w:rsidP="00FB26B9">
      <w:pPr>
        <w:autoSpaceDE w:val="0"/>
        <w:autoSpaceDN w:val="0"/>
        <w:adjustRightInd w:val="0"/>
        <w:ind w:left="851"/>
        <w:rPr>
          <w:sz w:val="24"/>
          <w:szCs w:val="24"/>
        </w:rPr>
      </w:pPr>
      <w:r>
        <w:rPr>
          <w:sz w:val="24"/>
          <w:szCs w:val="24"/>
        </w:rPr>
        <w:t xml:space="preserve">Risikoen for anoreksi er større, når </w:t>
      </w:r>
      <w:proofErr w:type="spellStart"/>
      <w:r>
        <w:rPr>
          <w:sz w:val="24"/>
          <w:szCs w:val="24"/>
        </w:rPr>
        <w:t>levetiracetam</w:t>
      </w:r>
      <w:proofErr w:type="spellEnd"/>
      <w:r>
        <w:rPr>
          <w:sz w:val="24"/>
          <w:szCs w:val="24"/>
        </w:rPr>
        <w:t xml:space="preserve"> administreres samtidigt med </w:t>
      </w:r>
      <w:proofErr w:type="spellStart"/>
      <w:r>
        <w:rPr>
          <w:sz w:val="24"/>
          <w:szCs w:val="24"/>
        </w:rPr>
        <w:t>topiramat</w:t>
      </w:r>
      <w:proofErr w:type="spellEnd"/>
      <w:r>
        <w:rPr>
          <w:sz w:val="24"/>
          <w:szCs w:val="24"/>
        </w:rPr>
        <w:t>.</w:t>
      </w:r>
    </w:p>
    <w:p w:rsidR="00FB26B9" w:rsidRDefault="00FB26B9" w:rsidP="00FB26B9">
      <w:pPr>
        <w:autoSpaceDE w:val="0"/>
        <w:autoSpaceDN w:val="0"/>
        <w:adjustRightInd w:val="0"/>
        <w:ind w:left="851"/>
        <w:rPr>
          <w:sz w:val="24"/>
          <w:szCs w:val="24"/>
        </w:rPr>
      </w:pPr>
      <w:r>
        <w:rPr>
          <w:sz w:val="24"/>
          <w:szCs w:val="24"/>
        </w:rPr>
        <w:t xml:space="preserve">I flere tilfælde af </w:t>
      </w:r>
      <w:proofErr w:type="spellStart"/>
      <w:r>
        <w:rPr>
          <w:sz w:val="24"/>
          <w:szCs w:val="24"/>
        </w:rPr>
        <w:t>alopeci</w:t>
      </w:r>
      <w:proofErr w:type="spellEnd"/>
      <w:r>
        <w:rPr>
          <w:sz w:val="24"/>
          <w:szCs w:val="24"/>
        </w:rPr>
        <w:t xml:space="preserve"> blev der observeret en bedring af tilstanden, når </w:t>
      </w:r>
      <w:proofErr w:type="spellStart"/>
      <w:r>
        <w:rPr>
          <w:sz w:val="24"/>
          <w:szCs w:val="24"/>
        </w:rPr>
        <w:t>levetiracetam</w:t>
      </w:r>
      <w:proofErr w:type="spellEnd"/>
      <w:r>
        <w:rPr>
          <w:sz w:val="24"/>
          <w:szCs w:val="24"/>
        </w:rPr>
        <w:t xml:space="preserve"> blev seponeret.</w:t>
      </w:r>
    </w:p>
    <w:p w:rsidR="00FB26B9" w:rsidRDefault="00FB26B9" w:rsidP="00FB26B9">
      <w:pPr>
        <w:autoSpaceDE w:val="0"/>
        <w:autoSpaceDN w:val="0"/>
        <w:adjustRightInd w:val="0"/>
        <w:ind w:left="851"/>
        <w:rPr>
          <w:sz w:val="24"/>
          <w:szCs w:val="24"/>
        </w:rPr>
      </w:pPr>
      <w:r>
        <w:rPr>
          <w:sz w:val="24"/>
          <w:szCs w:val="24"/>
        </w:rPr>
        <w:t xml:space="preserve">Knoglemarvssuppression blev identificeret i nogle af </w:t>
      </w:r>
      <w:proofErr w:type="spellStart"/>
      <w:r>
        <w:rPr>
          <w:sz w:val="24"/>
          <w:szCs w:val="24"/>
        </w:rPr>
        <w:t>pancytopenitilfældene</w:t>
      </w:r>
      <w:proofErr w:type="spellEnd"/>
      <w:r>
        <w:rPr>
          <w:sz w:val="24"/>
          <w:szCs w:val="24"/>
        </w:rPr>
        <w:t>.</w:t>
      </w:r>
    </w:p>
    <w:p w:rsidR="00FB26B9" w:rsidRDefault="00FB26B9" w:rsidP="00FB26B9">
      <w:pPr>
        <w:autoSpaceDE w:val="0"/>
        <w:autoSpaceDN w:val="0"/>
        <w:adjustRightInd w:val="0"/>
        <w:ind w:left="851"/>
        <w:rPr>
          <w:sz w:val="24"/>
          <w:szCs w:val="24"/>
        </w:rPr>
      </w:pPr>
    </w:p>
    <w:p w:rsidR="00FB26B9" w:rsidRDefault="00FB26B9" w:rsidP="00FB26B9">
      <w:pPr>
        <w:autoSpaceDE w:val="0"/>
        <w:autoSpaceDN w:val="0"/>
        <w:adjustRightInd w:val="0"/>
        <w:ind w:left="851"/>
        <w:rPr>
          <w:sz w:val="24"/>
          <w:szCs w:val="24"/>
        </w:rPr>
      </w:pPr>
      <w:r>
        <w:rPr>
          <w:sz w:val="24"/>
          <w:szCs w:val="24"/>
        </w:rPr>
        <w:t xml:space="preserve">Tilfælde af encefalopati forekom generelt i begyndelsen af behandlingen (fra få dage til flere måneder) og var reversible efter </w:t>
      </w:r>
      <w:proofErr w:type="spellStart"/>
      <w:r>
        <w:rPr>
          <w:sz w:val="24"/>
          <w:szCs w:val="24"/>
        </w:rPr>
        <w:t>seponering</w:t>
      </w:r>
      <w:proofErr w:type="spellEnd"/>
      <w:r>
        <w:rPr>
          <w:sz w:val="24"/>
          <w:szCs w:val="24"/>
        </w:rPr>
        <w:t xml:space="preserve"> af behandlingen.</w:t>
      </w:r>
    </w:p>
    <w:p w:rsidR="00FB26B9" w:rsidRDefault="00FB26B9" w:rsidP="00FB26B9">
      <w:pPr>
        <w:autoSpaceDE w:val="0"/>
        <w:autoSpaceDN w:val="0"/>
        <w:adjustRightInd w:val="0"/>
        <w:ind w:left="851" w:hanging="851"/>
        <w:rPr>
          <w:sz w:val="24"/>
          <w:szCs w:val="24"/>
        </w:rPr>
      </w:pPr>
    </w:p>
    <w:p w:rsidR="00FB26B9" w:rsidRDefault="00FB26B9" w:rsidP="00FB26B9">
      <w:pPr>
        <w:autoSpaceDE w:val="0"/>
        <w:autoSpaceDN w:val="0"/>
        <w:adjustRightInd w:val="0"/>
        <w:ind w:left="851"/>
        <w:rPr>
          <w:sz w:val="24"/>
          <w:szCs w:val="24"/>
          <w:u w:val="single"/>
        </w:rPr>
      </w:pPr>
      <w:r>
        <w:rPr>
          <w:sz w:val="24"/>
          <w:szCs w:val="24"/>
          <w:u w:val="single"/>
        </w:rPr>
        <w:t>Pædiatrisk population</w:t>
      </w:r>
    </w:p>
    <w:p w:rsidR="00FB26B9" w:rsidRDefault="00FB26B9" w:rsidP="00FB26B9">
      <w:pPr>
        <w:autoSpaceDE w:val="0"/>
        <w:autoSpaceDN w:val="0"/>
        <w:adjustRightInd w:val="0"/>
        <w:ind w:left="851"/>
        <w:rPr>
          <w:sz w:val="24"/>
          <w:szCs w:val="24"/>
        </w:rPr>
      </w:pPr>
      <w:r>
        <w:rPr>
          <w:sz w:val="24"/>
          <w:szCs w:val="24"/>
        </w:rPr>
        <w:t xml:space="preserve">I alt 190 patienter i alderen 1 måned til under 4 år er blevet behandlet med </w:t>
      </w:r>
      <w:proofErr w:type="spellStart"/>
      <w:r>
        <w:rPr>
          <w:sz w:val="24"/>
          <w:szCs w:val="24"/>
        </w:rPr>
        <w:t>levetiracetam</w:t>
      </w:r>
      <w:proofErr w:type="spellEnd"/>
      <w:r>
        <w:rPr>
          <w:sz w:val="24"/>
          <w:szCs w:val="24"/>
        </w:rPr>
        <w:t xml:space="preserve"> i placebokontrollerede og åbne, forlængede studier. 60 af disse patienter blev behandlet med </w:t>
      </w:r>
      <w:proofErr w:type="spellStart"/>
      <w:r>
        <w:rPr>
          <w:sz w:val="24"/>
          <w:szCs w:val="24"/>
        </w:rPr>
        <w:lastRenderedPageBreak/>
        <w:t>levetiracetam</w:t>
      </w:r>
      <w:proofErr w:type="spellEnd"/>
      <w:r>
        <w:rPr>
          <w:sz w:val="24"/>
          <w:szCs w:val="24"/>
        </w:rPr>
        <w:t xml:space="preserve"> i placebokontrollerede studier. I alt 645 patienter i alderen 4-16 år er blevet behandlet med </w:t>
      </w:r>
      <w:proofErr w:type="spellStart"/>
      <w:r>
        <w:rPr>
          <w:sz w:val="24"/>
          <w:szCs w:val="24"/>
        </w:rPr>
        <w:t>levetiracetam</w:t>
      </w:r>
      <w:proofErr w:type="spellEnd"/>
      <w:r>
        <w:rPr>
          <w:sz w:val="24"/>
          <w:szCs w:val="24"/>
        </w:rPr>
        <w:t xml:space="preserve"> i placebokontrollerede og åbne, forlængede studier. 233 af disse patienter blev behandlet med </w:t>
      </w:r>
      <w:proofErr w:type="spellStart"/>
      <w:r>
        <w:rPr>
          <w:sz w:val="24"/>
          <w:szCs w:val="24"/>
        </w:rPr>
        <w:t>levetiracetam</w:t>
      </w:r>
      <w:proofErr w:type="spellEnd"/>
      <w:r>
        <w:rPr>
          <w:sz w:val="24"/>
          <w:szCs w:val="24"/>
        </w:rPr>
        <w:t xml:space="preserve"> i placebokontrollerede studier. I begge disse aldersgrupper er data suppleret med erfaringer fra anvendelse af </w:t>
      </w:r>
      <w:proofErr w:type="spellStart"/>
      <w:r>
        <w:rPr>
          <w:sz w:val="24"/>
          <w:szCs w:val="24"/>
        </w:rPr>
        <w:t>levetiracetam</w:t>
      </w:r>
      <w:proofErr w:type="spellEnd"/>
      <w:r>
        <w:rPr>
          <w:sz w:val="24"/>
          <w:szCs w:val="24"/>
        </w:rPr>
        <w:t xml:space="preserve"> efter markedsføring.</w:t>
      </w:r>
    </w:p>
    <w:p w:rsidR="00FB26B9" w:rsidRDefault="00FB26B9" w:rsidP="00FB26B9">
      <w:pPr>
        <w:autoSpaceDE w:val="0"/>
        <w:autoSpaceDN w:val="0"/>
        <w:adjustRightInd w:val="0"/>
        <w:ind w:left="851" w:hanging="851"/>
        <w:rPr>
          <w:sz w:val="24"/>
          <w:szCs w:val="24"/>
        </w:rPr>
      </w:pPr>
    </w:p>
    <w:p w:rsidR="00FB26B9" w:rsidRDefault="00FB26B9" w:rsidP="00FB26B9">
      <w:pPr>
        <w:autoSpaceDE w:val="0"/>
        <w:autoSpaceDN w:val="0"/>
        <w:adjustRightInd w:val="0"/>
        <w:ind w:left="851"/>
        <w:rPr>
          <w:sz w:val="24"/>
          <w:szCs w:val="24"/>
        </w:rPr>
      </w:pPr>
      <w:r>
        <w:rPr>
          <w:sz w:val="24"/>
          <w:szCs w:val="24"/>
        </w:rPr>
        <w:t xml:space="preserve">Herudover har 101 spædbørn under 12 måneder været eksponeret i et </w:t>
      </w:r>
      <w:proofErr w:type="gramStart"/>
      <w:r>
        <w:rPr>
          <w:sz w:val="24"/>
          <w:szCs w:val="24"/>
        </w:rPr>
        <w:t>post-marketing sikkerhedsstudie</w:t>
      </w:r>
      <w:proofErr w:type="gramEnd"/>
      <w:r>
        <w:rPr>
          <w:sz w:val="24"/>
          <w:szCs w:val="24"/>
        </w:rPr>
        <w:t xml:space="preserve">. Der blev ikke identificeret nye sikkerhedsmæssige betænkeligheder ved </w:t>
      </w:r>
      <w:proofErr w:type="spellStart"/>
      <w:r>
        <w:rPr>
          <w:sz w:val="24"/>
          <w:szCs w:val="24"/>
        </w:rPr>
        <w:t>levetiracetam</w:t>
      </w:r>
      <w:proofErr w:type="spellEnd"/>
      <w:r>
        <w:rPr>
          <w:sz w:val="24"/>
          <w:szCs w:val="24"/>
        </w:rPr>
        <w:t xml:space="preserve"> hos spædbørn under 12 måneder med epilepsi.</w:t>
      </w:r>
    </w:p>
    <w:p w:rsidR="00FB26B9" w:rsidRDefault="00FB26B9" w:rsidP="00FB26B9">
      <w:pPr>
        <w:autoSpaceDE w:val="0"/>
        <w:autoSpaceDN w:val="0"/>
        <w:adjustRightInd w:val="0"/>
        <w:ind w:left="851"/>
        <w:rPr>
          <w:sz w:val="24"/>
          <w:szCs w:val="24"/>
        </w:rPr>
      </w:pPr>
      <w:r>
        <w:rPr>
          <w:sz w:val="24"/>
          <w:szCs w:val="24"/>
        </w:rPr>
        <w:t xml:space="preserve">Bivirkningsprofilen for </w:t>
      </w:r>
      <w:proofErr w:type="spellStart"/>
      <w:r>
        <w:rPr>
          <w:sz w:val="24"/>
          <w:szCs w:val="24"/>
        </w:rPr>
        <w:t>levetiracetam</w:t>
      </w:r>
      <w:proofErr w:type="spellEnd"/>
      <w:r>
        <w:rPr>
          <w:sz w:val="24"/>
          <w:szCs w:val="24"/>
        </w:rPr>
        <w:t xml:space="preserve"> er generelt den samme på tværs af aldersgruppe og for alle godkendte epilepsi-indikationer. Sikkerhedsresultaterne for pædiatriske patienter, som deltog i de placebokontrollerede kliniske studier, var i overensstemmelse med </w:t>
      </w:r>
      <w:proofErr w:type="spellStart"/>
      <w:r>
        <w:rPr>
          <w:sz w:val="24"/>
          <w:szCs w:val="24"/>
        </w:rPr>
        <w:t>levetiracetams</w:t>
      </w:r>
      <w:proofErr w:type="spellEnd"/>
      <w:r>
        <w:rPr>
          <w:sz w:val="24"/>
          <w:szCs w:val="24"/>
        </w:rPr>
        <w:t xml:space="preserve"> sikkerhedsprofil hos voksne bortset fra adfærdsmæssige og psykiatriske bivirkninger, som var hyppigere hos børn end hos voksne. Hos børn og unge i alderen 4</w:t>
      </w:r>
      <w:r>
        <w:rPr>
          <w:sz w:val="24"/>
          <w:szCs w:val="24"/>
        </w:rPr>
        <w:noBreakHyphen/>
        <w:t xml:space="preserve">16 år blev der hyppigere rapporteret om opkastning (meget almindelig, 11,2 %), agitation (almindelig, 3,4 %), humørsvingninger (almindelig, 2,1 %), affektlabilitet (almindelig, 1,7 %), aggression (almindelig, 8,2 %), unormal adfærd (almindelig, 5,6 %) og letargi (almindelig, 3,9 %) end i andre aldersgrupper eller i den samlede sikkerhedsprofil. </w:t>
      </w:r>
    </w:p>
    <w:p w:rsidR="00FB26B9" w:rsidRDefault="00FB26B9" w:rsidP="00FB26B9">
      <w:pPr>
        <w:autoSpaceDE w:val="0"/>
        <w:autoSpaceDN w:val="0"/>
        <w:adjustRightInd w:val="0"/>
        <w:ind w:left="851"/>
        <w:rPr>
          <w:sz w:val="24"/>
          <w:szCs w:val="24"/>
        </w:rPr>
      </w:pPr>
      <w:r>
        <w:rPr>
          <w:sz w:val="24"/>
          <w:szCs w:val="24"/>
        </w:rPr>
        <w:t>Hos spædbørn og børn i alderen 1 måned til under 4 år blev der hyppigere rapporteret om irritabilitet (meget almindelig, 11,7 %) og koordinationsforstyrrelser (almindelig, 3,3 %) end i andre aldersgrupper eller i den samlede sikkerhedsprofil.</w:t>
      </w:r>
    </w:p>
    <w:p w:rsidR="00FB26B9" w:rsidRDefault="00FB26B9" w:rsidP="00FB26B9">
      <w:pPr>
        <w:autoSpaceDE w:val="0"/>
        <w:autoSpaceDN w:val="0"/>
        <w:adjustRightInd w:val="0"/>
        <w:ind w:left="851" w:hanging="851"/>
        <w:rPr>
          <w:sz w:val="24"/>
          <w:szCs w:val="24"/>
        </w:rPr>
      </w:pPr>
    </w:p>
    <w:p w:rsidR="00FB26B9" w:rsidRDefault="00FB26B9" w:rsidP="00FB26B9">
      <w:pPr>
        <w:autoSpaceDE w:val="0"/>
        <w:autoSpaceDN w:val="0"/>
        <w:adjustRightInd w:val="0"/>
        <w:ind w:left="851"/>
        <w:rPr>
          <w:sz w:val="24"/>
          <w:szCs w:val="24"/>
        </w:rPr>
      </w:pPr>
      <w:proofErr w:type="spellStart"/>
      <w:r>
        <w:rPr>
          <w:sz w:val="24"/>
          <w:szCs w:val="24"/>
        </w:rPr>
        <w:t>Levetiracetams</w:t>
      </w:r>
      <w:proofErr w:type="spellEnd"/>
      <w:r>
        <w:rPr>
          <w:sz w:val="24"/>
          <w:szCs w:val="24"/>
        </w:rPr>
        <w:t xml:space="preserve"> kognitive og neuropsykologiske virkninger hos 4-16-årige børn med partielle anfald blev undersøgt i et dobbeltblindt, placebokontrolleret pædiatrisk sikkerhedsstudie med non-</w:t>
      </w:r>
      <w:proofErr w:type="spellStart"/>
      <w:r>
        <w:rPr>
          <w:sz w:val="24"/>
          <w:szCs w:val="24"/>
        </w:rPr>
        <w:t>inferiort</w:t>
      </w:r>
      <w:proofErr w:type="spellEnd"/>
      <w:r>
        <w:rPr>
          <w:sz w:val="24"/>
          <w:szCs w:val="24"/>
        </w:rPr>
        <w:t xml:space="preserve"> design. Studiet konkluderede, at </w:t>
      </w:r>
      <w:proofErr w:type="spellStart"/>
      <w:r>
        <w:rPr>
          <w:sz w:val="24"/>
          <w:szCs w:val="24"/>
        </w:rPr>
        <w:t>levetiracetam</w:t>
      </w:r>
      <w:proofErr w:type="spellEnd"/>
      <w:r>
        <w:rPr>
          <w:sz w:val="24"/>
          <w:szCs w:val="24"/>
        </w:rPr>
        <w:t xml:space="preserve"> ikke adskilte sig fra placebo (non-</w:t>
      </w:r>
      <w:proofErr w:type="spellStart"/>
      <w:r>
        <w:rPr>
          <w:sz w:val="24"/>
          <w:szCs w:val="24"/>
        </w:rPr>
        <w:t>inferiort</w:t>
      </w:r>
      <w:proofErr w:type="spellEnd"/>
      <w:r>
        <w:rPr>
          <w:sz w:val="24"/>
          <w:szCs w:val="24"/>
        </w:rPr>
        <w:t xml:space="preserve">) i forhold til ændring fra baseline med hensyn til </w:t>
      </w:r>
      <w:proofErr w:type="spellStart"/>
      <w:r>
        <w:rPr>
          <w:sz w:val="24"/>
          <w:szCs w:val="24"/>
        </w:rPr>
        <w:t>Leiter</w:t>
      </w:r>
      <w:proofErr w:type="spellEnd"/>
      <w:r>
        <w:rPr>
          <w:sz w:val="24"/>
          <w:szCs w:val="24"/>
        </w:rPr>
        <w:t xml:space="preserve">-R Opmærksomhed og Hukommelse, Hukommelsesscreening samlede score per-protokol population. Resultater relateret til adfærds- og følelsesmæssig funktion indikerede en forværring i aggressiv adfærd, vurderet ved brug af et systematisk og valideret instrument (CBLC – </w:t>
      </w:r>
      <w:proofErr w:type="spellStart"/>
      <w:r>
        <w:rPr>
          <w:sz w:val="24"/>
          <w:szCs w:val="24"/>
        </w:rPr>
        <w:t>Achenbach</w:t>
      </w:r>
      <w:proofErr w:type="spellEnd"/>
      <w:r>
        <w:rPr>
          <w:sz w:val="24"/>
          <w:szCs w:val="24"/>
        </w:rPr>
        <w:t xml:space="preserve"> Child </w:t>
      </w:r>
      <w:proofErr w:type="spellStart"/>
      <w:r>
        <w:rPr>
          <w:sz w:val="24"/>
          <w:szCs w:val="24"/>
        </w:rPr>
        <w:t>Behavior</w:t>
      </w:r>
      <w:proofErr w:type="spellEnd"/>
      <w:r>
        <w:rPr>
          <w:sz w:val="24"/>
          <w:szCs w:val="24"/>
        </w:rPr>
        <w:t xml:space="preserve"> Checklist), hos patienter behandlet med </w:t>
      </w:r>
      <w:proofErr w:type="spellStart"/>
      <w:r>
        <w:rPr>
          <w:sz w:val="24"/>
          <w:szCs w:val="24"/>
        </w:rPr>
        <w:t>levetiracetam</w:t>
      </w:r>
      <w:proofErr w:type="spellEnd"/>
      <w:r>
        <w:rPr>
          <w:sz w:val="24"/>
          <w:szCs w:val="24"/>
        </w:rPr>
        <w:t xml:space="preserve">. Deltagere, som fik </w:t>
      </w:r>
      <w:proofErr w:type="spellStart"/>
      <w:r>
        <w:rPr>
          <w:sz w:val="24"/>
          <w:szCs w:val="24"/>
        </w:rPr>
        <w:t>Levetiracetam</w:t>
      </w:r>
      <w:proofErr w:type="spellEnd"/>
      <w:r>
        <w:rPr>
          <w:sz w:val="24"/>
          <w:szCs w:val="24"/>
        </w:rPr>
        <w:t xml:space="preserve"> i det åbne forlængede opfølgningsstudie, oplevede imidlertid generelt ikke nogen forværring af deres adfærds- og følelsesmæssige funktion; navnlig var graden af aggressiv adfærd ikke forværret i forhold til baseline.</w:t>
      </w:r>
    </w:p>
    <w:p w:rsidR="00FB26B9" w:rsidRDefault="00FB26B9" w:rsidP="00FB26B9">
      <w:pPr>
        <w:autoSpaceDE w:val="0"/>
        <w:autoSpaceDN w:val="0"/>
        <w:adjustRightInd w:val="0"/>
        <w:ind w:left="851" w:hanging="851"/>
        <w:rPr>
          <w:sz w:val="24"/>
          <w:szCs w:val="24"/>
        </w:rPr>
      </w:pPr>
    </w:p>
    <w:p w:rsidR="00FB26B9" w:rsidRDefault="00FB26B9" w:rsidP="00FB26B9">
      <w:pPr>
        <w:autoSpaceDE w:val="0"/>
        <w:autoSpaceDN w:val="0"/>
        <w:ind w:left="851"/>
        <w:rPr>
          <w:sz w:val="24"/>
          <w:szCs w:val="24"/>
          <w:u w:val="single"/>
        </w:rPr>
      </w:pPr>
      <w:r>
        <w:rPr>
          <w:sz w:val="24"/>
          <w:szCs w:val="24"/>
          <w:u w:val="single"/>
        </w:rPr>
        <w:t>Indberetning af formodede bivirkninger</w:t>
      </w:r>
    </w:p>
    <w:p w:rsidR="00FB26B9" w:rsidRDefault="00FB26B9" w:rsidP="00FB26B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FB26B9" w:rsidRDefault="00FB26B9" w:rsidP="00FB26B9">
      <w:pPr>
        <w:ind w:left="851"/>
        <w:rPr>
          <w:sz w:val="24"/>
          <w:szCs w:val="24"/>
        </w:rPr>
      </w:pPr>
    </w:p>
    <w:p w:rsidR="00FB26B9" w:rsidRDefault="00FB26B9" w:rsidP="00FB26B9">
      <w:pPr>
        <w:ind w:left="851"/>
        <w:rPr>
          <w:sz w:val="24"/>
          <w:szCs w:val="24"/>
        </w:rPr>
      </w:pPr>
      <w:r>
        <w:rPr>
          <w:sz w:val="24"/>
          <w:szCs w:val="24"/>
        </w:rPr>
        <w:t>Lægemiddelstyrelsen</w:t>
      </w:r>
    </w:p>
    <w:p w:rsidR="00FB26B9" w:rsidRDefault="00FB26B9" w:rsidP="00FB26B9">
      <w:pPr>
        <w:ind w:left="851"/>
        <w:rPr>
          <w:sz w:val="24"/>
          <w:szCs w:val="24"/>
        </w:rPr>
      </w:pPr>
      <w:r>
        <w:rPr>
          <w:sz w:val="24"/>
          <w:szCs w:val="24"/>
        </w:rPr>
        <w:t>Axel Heides Gade 1</w:t>
      </w:r>
    </w:p>
    <w:p w:rsidR="00FB26B9" w:rsidRDefault="00FB26B9" w:rsidP="00FB26B9">
      <w:pPr>
        <w:ind w:left="851"/>
        <w:rPr>
          <w:sz w:val="24"/>
          <w:szCs w:val="24"/>
        </w:rPr>
      </w:pPr>
      <w:r>
        <w:rPr>
          <w:sz w:val="24"/>
          <w:szCs w:val="24"/>
        </w:rPr>
        <w:t>DK-2300 København S</w:t>
      </w:r>
    </w:p>
    <w:p w:rsidR="00FB26B9" w:rsidRDefault="00FB26B9" w:rsidP="00FB26B9">
      <w:pPr>
        <w:ind w:left="851"/>
        <w:rPr>
          <w:sz w:val="24"/>
          <w:szCs w:val="24"/>
        </w:rPr>
      </w:pPr>
      <w:r>
        <w:rPr>
          <w:sz w:val="24"/>
          <w:szCs w:val="24"/>
        </w:rPr>
        <w:t xml:space="preserve">Websted: </w:t>
      </w:r>
      <w:hyperlink r:id="rId9" w:history="1">
        <w:r>
          <w:rPr>
            <w:rStyle w:val="Hyperlink"/>
            <w:color w:val="0000FF"/>
            <w:sz w:val="24"/>
            <w:szCs w:val="24"/>
          </w:rPr>
          <w:t>www.meldenbivirkning.dk</w:t>
        </w:r>
      </w:hyperlink>
    </w:p>
    <w:p w:rsidR="00B73392" w:rsidRPr="00285E3A" w:rsidRDefault="00B73392" w:rsidP="00FB26B9">
      <w:pPr>
        <w:keepNext/>
        <w:autoSpaceDE w:val="0"/>
        <w:autoSpaceDN w:val="0"/>
        <w:adjustRightInd w:val="0"/>
        <w:ind w:left="851" w:hanging="851"/>
        <w:rPr>
          <w:sz w:val="24"/>
          <w:szCs w:val="24"/>
        </w:rPr>
      </w:pPr>
    </w:p>
    <w:p w:rsidR="00B73392" w:rsidRPr="00285E3A" w:rsidRDefault="00B73392" w:rsidP="00B73392">
      <w:pPr>
        <w:ind w:left="851" w:hanging="851"/>
        <w:rPr>
          <w:b/>
          <w:sz w:val="24"/>
          <w:szCs w:val="24"/>
        </w:rPr>
      </w:pPr>
      <w:r w:rsidRPr="00285E3A">
        <w:rPr>
          <w:b/>
          <w:sz w:val="24"/>
          <w:szCs w:val="24"/>
        </w:rPr>
        <w:t>4.9</w:t>
      </w:r>
      <w:r w:rsidRPr="00285E3A">
        <w:rPr>
          <w:b/>
          <w:sz w:val="24"/>
          <w:szCs w:val="24"/>
        </w:rPr>
        <w:tab/>
        <w:t>Overdosering</w:t>
      </w:r>
    </w:p>
    <w:p w:rsidR="00B73392" w:rsidRPr="00285E3A" w:rsidRDefault="00B73392" w:rsidP="00B73392">
      <w:pPr>
        <w:autoSpaceDE w:val="0"/>
        <w:autoSpaceDN w:val="0"/>
        <w:adjustRightInd w:val="0"/>
        <w:ind w:left="851" w:hanging="851"/>
        <w:rPr>
          <w:sz w:val="24"/>
          <w:szCs w:val="24"/>
          <w:u w:val="single"/>
          <w:lang w:eastAsia="da-DK"/>
        </w:rPr>
      </w:pPr>
      <w:r w:rsidRPr="00285E3A">
        <w:rPr>
          <w:sz w:val="24"/>
          <w:szCs w:val="24"/>
        </w:rPr>
        <w:tab/>
      </w:r>
      <w:r w:rsidRPr="00285E3A">
        <w:rPr>
          <w:sz w:val="24"/>
          <w:szCs w:val="24"/>
          <w:u w:val="single"/>
          <w:lang w:eastAsia="da-DK"/>
        </w:rPr>
        <w:t>Symptomer</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Døsighed, agitation aggression, nedsat bevidsthed, respirationshæmning og koma blev set ved overdosering med </w:t>
      </w:r>
      <w:proofErr w:type="spellStart"/>
      <w:r w:rsidRPr="00D961BD">
        <w:rPr>
          <w:sz w:val="24"/>
          <w:szCs w:val="24"/>
          <w:lang w:eastAsia="da-DK"/>
        </w:rPr>
        <w:t>levetiracetam</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u w:val="single"/>
          <w:lang w:eastAsia="da-DK"/>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Behandling af overdosering</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lastRenderedPageBreak/>
        <w:t>Efter en akut overdosis bør maven tømmes ved hjælp af maveskylning og induktion af opkastning.</w:t>
      </w:r>
    </w:p>
    <w:p w:rsidR="00B73392" w:rsidRPr="00D961BD" w:rsidRDefault="00B73392" w:rsidP="00B73392">
      <w:pPr>
        <w:autoSpaceDE w:val="0"/>
        <w:autoSpaceDN w:val="0"/>
        <w:adjustRightInd w:val="0"/>
        <w:ind w:left="851"/>
        <w:rPr>
          <w:noProof/>
          <w:sz w:val="24"/>
          <w:szCs w:val="24"/>
        </w:rPr>
      </w:pPr>
      <w:r w:rsidRPr="00D961BD">
        <w:rPr>
          <w:sz w:val="24"/>
          <w:szCs w:val="24"/>
          <w:lang w:eastAsia="da-DK"/>
        </w:rPr>
        <w:t xml:space="preserve">Der er ingen specifik </w:t>
      </w:r>
      <w:proofErr w:type="spellStart"/>
      <w:r w:rsidRPr="00D961BD">
        <w:rPr>
          <w:sz w:val="24"/>
          <w:szCs w:val="24"/>
          <w:lang w:eastAsia="da-DK"/>
        </w:rPr>
        <w:t>antidot</w:t>
      </w:r>
      <w:proofErr w:type="spellEnd"/>
      <w:r w:rsidRPr="00D961BD">
        <w:rPr>
          <w:sz w:val="24"/>
          <w:szCs w:val="24"/>
          <w:lang w:eastAsia="da-DK"/>
        </w:rPr>
        <w:t xml:space="preserve"> for </w:t>
      </w:r>
      <w:proofErr w:type="spellStart"/>
      <w:r w:rsidRPr="00D961BD">
        <w:rPr>
          <w:sz w:val="24"/>
          <w:szCs w:val="24"/>
          <w:lang w:eastAsia="da-DK"/>
        </w:rPr>
        <w:t>levetiracetam</w:t>
      </w:r>
      <w:proofErr w:type="spellEnd"/>
      <w:r w:rsidRPr="00D961BD">
        <w:rPr>
          <w:sz w:val="24"/>
          <w:szCs w:val="24"/>
          <w:lang w:eastAsia="da-DK"/>
        </w:rPr>
        <w:t xml:space="preserve">. Behandling af overdosering er symptomatisk og kan omfatte hæmodialyse. Effektiviteten ved dialyse ekstraktion er 60 % for </w:t>
      </w:r>
      <w:proofErr w:type="spellStart"/>
      <w:r w:rsidRPr="00D961BD">
        <w:rPr>
          <w:sz w:val="24"/>
          <w:szCs w:val="24"/>
          <w:lang w:eastAsia="da-DK"/>
        </w:rPr>
        <w:t>levetiracetam</w:t>
      </w:r>
      <w:proofErr w:type="spellEnd"/>
      <w:r w:rsidRPr="00D961BD">
        <w:rPr>
          <w:sz w:val="24"/>
          <w:szCs w:val="24"/>
          <w:lang w:eastAsia="da-DK"/>
        </w:rPr>
        <w:t xml:space="preserve"> og 74 % for den primære metabolit.</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4.10</w:t>
      </w:r>
      <w:r w:rsidRPr="00D961BD">
        <w:rPr>
          <w:b/>
          <w:sz w:val="24"/>
          <w:szCs w:val="24"/>
        </w:rPr>
        <w:tab/>
        <w:t>Udlevering</w:t>
      </w:r>
    </w:p>
    <w:p w:rsidR="00B73392" w:rsidRPr="00D961BD" w:rsidRDefault="00B73392" w:rsidP="00B73392">
      <w:pPr>
        <w:ind w:left="851" w:hanging="851"/>
        <w:rPr>
          <w:sz w:val="24"/>
          <w:szCs w:val="24"/>
        </w:rPr>
      </w:pPr>
      <w:r w:rsidRPr="00D961BD">
        <w:rPr>
          <w:sz w:val="24"/>
          <w:szCs w:val="24"/>
        </w:rPr>
        <w:tab/>
        <w:t>B</w:t>
      </w:r>
    </w:p>
    <w:p w:rsidR="00B73392" w:rsidRPr="00D961BD" w:rsidRDefault="00B73392" w:rsidP="00B73392">
      <w:pPr>
        <w:ind w:left="851" w:hanging="851"/>
        <w:rPr>
          <w:sz w:val="24"/>
          <w:szCs w:val="24"/>
        </w:rPr>
      </w:pPr>
    </w:p>
    <w:p w:rsidR="00B73392" w:rsidRPr="00D961BD" w:rsidRDefault="00B73392" w:rsidP="00B73392">
      <w:pPr>
        <w:ind w:left="851" w:hanging="851"/>
        <w:rPr>
          <w:sz w:val="24"/>
          <w:szCs w:val="24"/>
        </w:rPr>
      </w:pPr>
    </w:p>
    <w:p w:rsidR="00B73392" w:rsidRPr="00FB26B9" w:rsidRDefault="00B73392" w:rsidP="00FB26B9">
      <w:pPr>
        <w:keepNext/>
        <w:ind w:left="851" w:hanging="851"/>
        <w:rPr>
          <w:b/>
          <w:sz w:val="24"/>
          <w:szCs w:val="24"/>
        </w:rPr>
      </w:pPr>
      <w:r w:rsidRPr="00D961BD">
        <w:rPr>
          <w:b/>
          <w:sz w:val="24"/>
          <w:szCs w:val="24"/>
        </w:rPr>
        <w:t>5.</w:t>
      </w:r>
      <w:r w:rsidRPr="00D961BD">
        <w:rPr>
          <w:b/>
          <w:sz w:val="24"/>
          <w:szCs w:val="24"/>
        </w:rPr>
        <w:tab/>
        <w:t>FARMAKOLOGISKE EGENSKABER</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5.1</w:t>
      </w:r>
      <w:r w:rsidRPr="00D961BD">
        <w:rPr>
          <w:b/>
          <w:sz w:val="24"/>
          <w:szCs w:val="24"/>
        </w:rPr>
        <w:tab/>
      </w:r>
      <w:proofErr w:type="spellStart"/>
      <w:r w:rsidRPr="00D961BD">
        <w:rPr>
          <w:b/>
          <w:sz w:val="24"/>
          <w:szCs w:val="24"/>
        </w:rPr>
        <w:t>Farmakodynamiske</w:t>
      </w:r>
      <w:proofErr w:type="spellEnd"/>
      <w:r w:rsidRPr="00D961BD">
        <w:rPr>
          <w:b/>
          <w:sz w:val="24"/>
          <w:szCs w:val="24"/>
        </w:rPr>
        <w:t xml:space="preserve"> egenskaber</w:t>
      </w:r>
    </w:p>
    <w:p w:rsidR="00FB26B9" w:rsidRDefault="00B73392" w:rsidP="00B73392">
      <w:pPr>
        <w:autoSpaceDE w:val="0"/>
        <w:autoSpaceDN w:val="0"/>
        <w:adjustRightInd w:val="0"/>
        <w:ind w:left="851" w:hanging="851"/>
        <w:rPr>
          <w:sz w:val="24"/>
          <w:szCs w:val="24"/>
        </w:rPr>
      </w:pPr>
      <w:r w:rsidRPr="00D961BD">
        <w:rPr>
          <w:sz w:val="24"/>
          <w:szCs w:val="24"/>
        </w:rPr>
        <w:tab/>
      </w:r>
      <w:proofErr w:type="spellStart"/>
      <w:r w:rsidR="00FB26B9">
        <w:rPr>
          <w:sz w:val="24"/>
          <w:szCs w:val="24"/>
        </w:rPr>
        <w:t>Farmakoterapeutisk</w:t>
      </w:r>
      <w:proofErr w:type="spellEnd"/>
      <w:r w:rsidR="00FB26B9">
        <w:rPr>
          <w:sz w:val="24"/>
          <w:szCs w:val="24"/>
        </w:rPr>
        <w:t xml:space="preserve"> klassifikation: </w:t>
      </w:r>
      <w:proofErr w:type="spellStart"/>
      <w:r w:rsidR="00FB26B9" w:rsidRPr="00D961BD">
        <w:rPr>
          <w:sz w:val="24"/>
          <w:szCs w:val="24"/>
        </w:rPr>
        <w:t>Antiepileptika</w:t>
      </w:r>
      <w:proofErr w:type="spellEnd"/>
      <w:r w:rsidR="00FB26B9" w:rsidRPr="00D961BD">
        <w:rPr>
          <w:sz w:val="24"/>
          <w:szCs w:val="24"/>
        </w:rPr>
        <w:t xml:space="preserve">, andre </w:t>
      </w:r>
      <w:proofErr w:type="spellStart"/>
      <w:r w:rsidR="00FB26B9" w:rsidRPr="00D961BD">
        <w:rPr>
          <w:sz w:val="24"/>
          <w:szCs w:val="24"/>
        </w:rPr>
        <w:t>antiepileptika</w:t>
      </w:r>
      <w:proofErr w:type="spellEnd"/>
      <w:r w:rsidR="00FB26B9">
        <w:rPr>
          <w:sz w:val="24"/>
          <w:szCs w:val="24"/>
        </w:rPr>
        <w:t>.</w:t>
      </w:r>
      <w:r w:rsidR="00FB26B9" w:rsidRPr="00FB26B9">
        <w:rPr>
          <w:sz w:val="24"/>
          <w:szCs w:val="24"/>
        </w:rPr>
        <w:t xml:space="preserve"> </w:t>
      </w:r>
      <w:r w:rsidR="00FB26B9" w:rsidRPr="00D961BD">
        <w:rPr>
          <w:sz w:val="24"/>
          <w:szCs w:val="24"/>
        </w:rPr>
        <w:t>ATC</w:t>
      </w:r>
      <w:r w:rsidR="00FB26B9">
        <w:rPr>
          <w:sz w:val="24"/>
          <w:szCs w:val="24"/>
        </w:rPr>
        <w:t>-</w:t>
      </w:r>
      <w:r w:rsidR="00FB26B9" w:rsidRPr="00D961BD">
        <w:rPr>
          <w:sz w:val="24"/>
          <w:szCs w:val="24"/>
        </w:rPr>
        <w:t>kode: N03AX14.</w:t>
      </w:r>
    </w:p>
    <w:p w:rsidR="00FB26B9" w:rsidRDefault="00FB26B9" w:rsidP="00B73392">
      <w:pPr>
        <w:autoSpaceDE w:val="0"/>
        <w:autoSpaceDN w:val="0"/>
        <w:adjustRightInd w:val="0"/>
        <w:ind w:left="851" w:hanging="851"/>
        <w:rPr>
          <w:sz w:val="24"/>
          <w:szCs w:val="24"/>
        </w:rPr>
      </w:pPr>
    </w:p>
    <w:p w:rsidR="00B73392" w:rsidRPr="00D961BD" w:rsidRDefault="00B73392" w:rsidP="00FB26B9">
      <w:pPr>
        <w:autoSpaceDE w:val="0"/>
        <w:autoSpaceDN w:val="0"/>
        <w:adjustRightInd w:val="0"/>
        <w:ind w:left="851"/>
        <w:rPr>
          <w:sz w:val="24"/>
          <w:szCs w:val="24"/>
        </w:rPr>
      </w:pPr>
      <w:r w:rsidRPr="00D961BD">
        <w:rPr>
          <w:sz w:val="24"/>
          <w:szCs w:val="24"/>
        </w:rPr>
        <w:t xml:space="preserve">Det aktive stof, </w:t>
      </w:r>
      <w:proofErr w:type="spellStart"/>
      <w:r w:rsidRPr="00D961BD">
        <w:rPr>
          <w:sz w:val="24"/>
          <w:szCs w:val="24"/>
        </w:rPr>
        <w:t>levetiracetam</w:t>
      </w:r>
      <w:proofErr w:type="spellEnd"/>
      <w:r w:rsidRPr="00D961BD">
        <w:rPr>
          <w:sz w:val="24"/>
          <w:szCs w:val="24"/>
        </w:rPr>
        <w:t xml:space="preserve">, er et </w:t>
      </w:r>
      <w:proofErr w:type="spellStart"/>
      <w:r w:rsidRPr="00D961BD">
        <w:rPr>
          <w:sz w:val="24"/>
          <w:szCs w:val="24"/>
        </w:rPr>
        <w:t>pyrrolidonderivat</w:t>
      </w:r>
      <w:proofErr w:type="spellEnd"/>
      <w:r w:rsidRPr="00D961BD">
        <w:rPr>
          <w:sz w:val="24"/>
          <w:szCs w:val="24"/>
        </w:rPr>
        <w:t xml:space="preserve"> (S-</w:t>
      </w:r>
      <w:proofErr w:type="spellStart"/>
      <w:r w:rsidRPr="00D961BD">
        <w:rPr>
          <w:sz w:val="24"/>
          <w:szCs w:val="24"/>
        </w:rPr>
        <w:t>enantiomer</w:t>
      </w:r>
      <w:proofErr w:type="spellEnd"/>
      <w:r w:rsidRPr="00D961BD">
        <w:rPr>
          <w:sz w:val="24"/>
          <w:szCs w:val="24"/>
        </w:rPr>
        <w:t xml:space="preserve"> af </w:t>
      </w:r>
      <w:r w:rsidRPr="00D961BD">
        <w:rPr>
          <w:sz w:val="24"/>
          <w:szCs w:val="24"/>
          <w:lang w:val="en-US"/>
        </w:rPr>
        <w:t>α</w:t>
      </w:r>
      <w:r w:rsidRPr="00D961BD">
        <w:rPr>
          <w:sz w:val="24"/>
          <w:szCs w:val="24"/>
        </w:rPr>
        <w:t xml:space="preserve">-ethyl-2-oxo-1-pyrrolidin </w:t>
      </w:r>
      <w:proofErr w:type="spellStart"/>
      <w:r w:rsidRPr="00D961BD">
        <w:rPr>
          <w:sz w:val="24"/>
          <w:szCs w:val="24"/>
        </w:rPr>
        <w:t>acetamid</w:t>
      </w:r>
      <w:proofErr w:type="spellEnd"/>
      <w:r w:rsidRPr="00D961BD">
        <w:rPr>
          <w:sz w:val="24"/>
          <w:szCs w:val="24"/>
        </w:rPr>
        <w:t>), og er kemisk set ikke beslægtet med kendte antiepileptisk aktive stoffer.</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u w:val="single"/>
          <w:lang w:eastAsia="da-DK"/>
        </w:rPr>
      </w:pPr>
      <w:r w:rsidRPr="00D961BD">
        <w:rPr>
          <w:sz w:val="24"/>
          <w:szCs w:val="24"/>
          <w:u w:val="single"/>
          <w:lang w:eastAsia="da-DK"/>
        </w:rPr>
        <w:t>Virkningsmekanisme</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Virkningsmekanismen for </w:t>
      </w:r>
      <w:proofErr w:type="spellStart"/>
      <w:r w:rsidRPr="00D961BD">
        <w:rPr>
          <w:sz w:val="24"/>
          <w:szCs w:val="24"/>
          <w:lang w:eastAsia="da-DK"/>
        </w:rPr>
        <w:t>levetiracetam</w:t>
      </w:r>
      <w:proofErr w:type="spellEnd"/>
      <w:r w:rsidRPr="00D961BD">
        <w:rPr>
          <w:sz w:val="24"/>
          <w:szCs w:val="24"/>
          <w:lang w:eastAsia="da-DK"/>
        </w:rPr>
        <w:t xml:space="preserve"> mangler stadig at blive fuldstændigt belyst. </w:t>
      </w: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r w:rsidRPr="00D961BD">
        <w:rPr>
          <w:sz w:val="24"/>
          <w:szCs w:val="24"/>
          <w:lang w:eastAsia="da-DK"/>
        </w:rPr>
        <w:t xml:space="preserve">og </w:t>
      </w:r>
      <w:r w:rsidRPr="00D961BD">
        <w:rPr>
          <w:i/>
          <w:iCs/>
          <w:sz w:val="24"/>
          <w:szCs w:val="24"/>
          <w:lang w:eastAsia="da-DK"/>
        </w:rPr>
        <w:t xml:space="preserve">in </w:t>
      </w:r>
      <w:proofErr w:type="spellStart"/>
      <w:r w:rsidRPr="00D961BD">
        <w:rPr>
          <w:i/>
          <w:iCs/>
          <w:sz w:val="24"/>
          <w:szCs w:val="24"/>
          <w:lang w:eastAsia="da-DK"/>
        </w:rPr>
        <w:t>vivo</w:t>
      </w:r>
      <w:proofErr w:type="spellEnd"/>
      <w:r w:rsidRPr="00D961BD">
        <w:rPr>
          <w:i/>
          <w:iCs/>
          <w:sz w:val="24"/>
          <w:szCs w:val="24"/>
          <w:lang w:eastAsia="da-DK"/>
        </w:rPr>
        <w:t xml:space="preserve"> </w:t>
      </w:r>
      <w:r w:rsidRPr="00D961BD">
        <w:rPr>
          <w:sz w:val="24"/>
          <w:szCs w:val="24"/>
          <w:lang w:eastAsia="da-DK"/>
        </w:rPr>
        <w:t xml:space="preserve">studier tyder på, at </w:t>
      </w:r>
      <w:proofErr w:type="spellStart"/>
      <w:r w:rsidRPr="00D961BD">
        <w:rPr>
          <w:sz w:val="24"/>
          <w:szCs w:val="24"/>
          <w:lang w:eastAsia="da-DK"/>
        </w:rPr>
        <w:t>levetiracetam</w:t>
      </w:r>
      <w:proofErr w:type="spellEnd"/>
      <w:r w:rsidRPr="00D961BD">
        <w:rPr>
          <w:sz w:val="24"/>
          <w:szCs w:val="24"/>
          <w:lang w:eastAsia="da-DK"/>
        </w:rPr>
        <w:t xml:space="preserve"> ikke ændrer cellens basale egenskaber og normale </w:t>
      </w:r>
      <w:proofErr w:type="spellStart"/>
      <w:r w:rsidRPr="00D961BD">
        <w:rPr>
          <w:sz w:val="24"/>
          <w:szCs w:val="24"/>
          <w:lang w:eastAsia="da-DK"/>
        </w:rPr>
        <w:t>neurotransmission</w:t>
      </w:r>
      <w:proofErr w:type="spellEnd"/>
      <w:r w:rsidRPr="00D961BD">
        <w:rPr>
          <w:sz w:val="24"/>
          <w:szCs w:val="24"/>
          <w:lang w:eastAsia="da-DK"/>
        </w:rPr>
        <w:t>.</w:t>
      </w:r>
    </w:p>
    <w:p w:rsidR="00B73392" w:rsidRPr="00D961BD" w:rsidRDefault="00B73392" w:rsidP="00B73392">
      <w:pPr>
        <w:autoSpaceDE w:val="0"/>
        <w:autoSpaceDN w:val="0"/>
        <w:adjustRightInd w:val="0"/>
        <w:ind w:left="851"/>
        <w:rPr>
          <w:sz w:val="24"/>
          <w:szCs w:val="24"/>
        </w:rPr>
      </w:pP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r w:rsidRPr="00D961BD">
        <w:rPr>
          <w:sz w:val="24"/>
          <w:szCs w:val="24"/>
          <w:lang w:eastAsia="da-DK"/>
        </w:rPr>
        <w:t xml:space="preserve">studier viser, at </w:t>
      </w:r>
      <w:proofErr w:type="spellStart"/>
      <w:r w:rsidRPr="00D961BD">
        <w:rPr>
          <w:sz w:val="24"/>
          <w:szCs w:val="24"/>
          <w:lang w:eastAsia="da-DK"/>
        </w:rPr>
        <w:t>levetiracetam</w:t>
      </w:r>
      <w:proofErr w:type="spellEnd"/>
      <w:r w:rsidRPr="00D961BD">
        <w:rPr>
          <w:sz w:val="24"/>
          <w:szCs w:val="24"/>
          <w:lang w:eastAsia="da-DK"/>
        </w:rPr>
        <w:t xml:space="preserve"> påvirker de intraneuronale Ca</w:t>
      </w:r>
      <w:r w:rsidRPr="00D961BD">
        <w:rPr>
          <w:sz w:val="24"/>
          <w:szCs w:val="24"/>
          <w:vertAlign w:val="superscript"/>
          <w:lang w:eastAsia="da-DK"/>
        </w:rPr>
        <w:t>2+</w:t>
      </w:r>
      <w:r w:rsidRPr="00D961BD">
        <w:rPr>
          <w:sz w:val="24"/>
          <w:szCs w:val="24"/>
          <w:lang w:eastAsia="da-DK"/>
        </w:rPr>
        <w:t xml:space="preserve"> niveauer ved delvis hæmning af Ca</w:t>
      </w:r>
      <w:r w:rsidRPr="003F096E">
        <w:rPr>
          <w:sz w:val="24"/>
          <w:szCs w:val="24"/>
          <w:vertAlign w:val="superscript"/>
          <w:lang w:eastAsia="da-DK"/>
        </w:rPr>
        <w:t>2+</w:t>
      </w:r>
      <w:r w:rsidRPr="00D961BD">
        <w:rPr>
          <w:sz w:val="24"/>
          <w:szCs w:val="24"/>
          <w:lang w:eastAsia="da-DK"/>
        </w:rPr>
        <w:t xml:space="preserve"> strømme af N-type og ved at reducere frigivelsen af Ca</w:t>
      </w:r>
      <w:r w:rsidRPr="00D961BD">
        <w:rPr>
          <w:sz w:val="24"/>
          <w:szCs w:val="24"/>
          <w:vertAlign w:val="superscript"/>
          <w:lang w:eastAsia="da-DK"/>
        </w:rPr>
        <w:t>2+</w:t>
      </w:r>
      <w:r w:rsidRPr="00D961BD">
        <w:rPr>
          <w:sz w:val="24"/>
          <w:szCs w:val="24"/>
          <w:lang w:eastAsia="da-DK"/>
        </w:rPr>
        <w:t xml:space="preserve"> fra intraneuronale lagre. Desuden ophæver det delvist reduktionen i GABA-og </w:t>
      </w:r>
      <w:proofErr w:type="spellStart"/>
      <w:r w:rsidRPr="00D961BD">
        <w:rPr>
          <w:sz w:val="24"/>
          <w:szCs w:val="24"/>
          <w:lang w:eastAsia="da-DK"/>
        </w:rPr>
        <w:t>glycin</w:t>
      </w:r>
      <w:proofErr w:type="spellEnd"/>
      <w:r w:rsidRPr="00D961BD">
        <w:rPr>
          <w:sz w:val="24"/>
          <w:szCs w:val="24"/>
          <w:lang w:eastAsia="da-DK"/>
        </w:rPr>
        <w:t xml:space="preserve"> medierede strømme induceret af zink og β-</w:t>
      </w:r>
      <w:proofErr w:type="spellStart"/>
      <w:r w:rsidRPr="00D961BD">
        <w:rPr>
          <w:sz w:val="24"/>
          <w:szCs w:val="24"/>
          <w:lang w:eastAsia="da-DK"/>
        </w:rPr>
        <w:t>carboliner</w:t>
      </w:r>
      <w:proofErr w:type="spellEnd"/>
      <w:r w:rsidRPr="00D961BD">
        <w:rPr>
          <w:sz w:val="24"/>
          <w:szCs w:val="24"/>
          <w:lang w:eastAsia="da-DK"/>
        </w:rPr>
        <w:t xml:space="preserve">. Endvidere er det ved </w:t>
      </w: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r w:rsidRPr="00D961BD">
        <w:rPr>
          <w:sz w:val="24"/>
          <w:szCs w:val="24"/>
          <w:lang w:eastAsia="da-DK"/>
        </w:rPr>
        <w:t xml:space="preserve">studier påvist, at </w:t>
      </w:r>
      <w:proofErr w:type="spellStart"/>
      <w:r w:rsidRPr="00D961BD">
        <w:rPr>
          <w:sz w:val="24"/>
          <w:szCs w:val="24"/>
          <w:lang w:eastAsia="da-DK"/>
        </w:rPr>
        <w:t>levetiracetam</w:t>
      </w:r>
      <w:proofErr w:type="spellEnd"/>
      <w:r w:rsidRPr="00D961BD">
        <w:rPr>
          <w:sz w:val="24"/>
          <w:szCs w:val="24"/>
          <w:lang w:eastAsia="da-DK"/>
        </w:rPr>
        <w:t xml:space="preserve"> binder sig til et specifikt sted i hjernevæv hos gnavere. Dette bindingssted er det </w:t>
      </w:r>
      <w:proofErr w:type="spellStart"/>
      <w:r w:rsidRPr="00D961BD">
        <w:rPr>
          <w:sz w:val="24"/>
          <w:szCs w:val="24"/>
          <w:lang w:eastAsia="da-DK"/>
        </w:rPr>
        <w:t>synaptiske</w:t>
      </w:r>
      <w:proofErr w:type="spellEnd"/>
      <w:r w:rsidRPr="00D961BD">
        <w:rPr>
          <w:sz w:val="24"/>
          <w:szCs w:val="24"/>
          <w:lang w:eastAsia="da-DK"/>
        </w:rPr>
        <w:t xml:space="preserve"> </w:t>
      </w:r>
      <w:proofErr w:type="spellStart"/>
      <w:r w:rsidRPr="00D961BD">
        <w:rPr>
          <w:sz w:val="24"/>
          <w:szCs w:val="24"/>
          <w:lang w:eastAsia="da-DK"/>
        </w:rPr>
        <w:t>vesikel</w:t>
      </w:r>
      <w:proofErr w:type="spellEnd"/>
      <w:r w:rsidRPr="00D961BD">
        <w:rPr>
          <w:sz w:val="24"/>
          <w:szCs w:val="24"/>
          <w:lang w:eastAsia="da-DK"/>
        </w:rPr>
        <w:t xml:space="preserve"> protein 2A, som formodes at være involveret i </w:t>
      </w:r>
      <w:proofErr w:type="spellStart"/>
      <w:r w:rsidRPr="00D961BD">
        <w:rPr>
          <w:sz w:val="24"/>
          <w:szCs w:val="24"/>
          <w:lang w:eastAsia="da-DK"/>
        </w:rPr>
        <w:t>vesikelfusion</w:t>
      </w:r>
      <w:proofErr w:type="spellEnd"/>
      <w:r w:rsidRPr="00D961BD">
        <w:rPr>
          <w:sz w:val="24"/>
          <w:szCs w:val="24"/>
          <w:lang w:eastAsia="da-DK"/>
        </w:rPr>
        <w:t xml:space="preserve"> og </w:t>
      </w:r>
      <w:proofErr w:type="spellStart"/>
      <w:r w:rsidRPr="00D961BD">
        <w:rPr>
          <w:sz w:val="24"/>
          <w:szCs w:val="24"/>
          <w:lang w:eastAsia="da-DK"/>
        </w:rPr>
        <w:t>exocytose</w:t>
      </w:r>
      <w:proofErr w:type="spellEnd"/>
      <w:r w:rsidRPr="00D961BD">
        <w:rPr>
          <w:sz w:val="24"/>
          <w:szCs w:val="24"/>
          <w:lang w:eastAsia="da-DK"/>
        </w:rPr>
        <w:t xml:space="preserve"> af neurotransmittere. </w:t>
      </w:r>
      <w:proofErr w:type="spellStart"/>
      <w:r w:rsidRPr="00D961BD">
        <w:rPr>
          <w:sz w:val="24"/>
          <w:szCs w:val="24"/>
          <w:lang w:eastAsia="da-DK"/>
        </w:rPr>
        <w:t>Levetiracetam</w:t>
      </w:r>
      <w:proofErr w:type="spellEnd"/>
      <w:r w:rsidRPr="00D961BD">
        <w:rPr>
          <w:sz w:val="24"/>
          <w:szCs w:val="24"/>
          <w:lang w:eastAsia="da-DK"/>
        </w:rPr>
        <w:t xml:space="preserve"> og beslægtede </w:t>
      </w:r>
      <w:proofErr w:type="spellStart"/>
      <w:r w:rsidRPr="00D961BD">
        <w:rPr>
          <w:sz w:val="24"/>
          <w:szCs w:val="24"/>
          <w:lang w:eastAsia="da-DK"/>
        </w:rPr>
        <w:t>analoger</w:t>
      </w:r>
      <w:proofErr w:type="spellEnd"/>
      <w:r w:rsidRPr="00D961BD">
        <w:rPr>
          <w:sz w:val="24"/>
          <w:szCs w:val="24"/>
          <w:lang w:eastAsia="da-DK"/>
        </w:rPr>
        <w:t xml:space="preserve"> udviser en rangordnet affinitet for binding til det </w:t>
      </w:r>
      <w:proofErr w:type="spellStart"/>
      <w:r w:rsidRPr="00D961BD">
        <w:rPr>
          <w:sz w:val="24"/>
          <w:szCs w:val="24"/>
          <w:lang w:eastAsia="da-DK"/>
        </w:rPr>
        <w:t>synaptiske</w:t>
      </w:r>
      <w:proofErr w:type="spellEnd"/>
      <w:r w:rsidRPr="00D961BD">
        <w:rPr>
          <w:sz w:val="24"/>
          <w:szCs w:val="24"/>
          <w:lang w:eastAsia="da-DK"/>
        </w:rPr>
        <w:t xml:space="preserve"> </w:t>
      </w:r>
      <w:proofErr w:type="spellStart"/>
      <w:r w:rsidRPr="00D961BD">
        <w:rPr>
          <w:sz w:val="24"/>
          <w:szCs w:val="24"/>
          <w:lang w:eastAsia="da-DK"/>
        </w:rPr>
        <w:t>vesikelprotein</w:t>
      </w:r>
      <w:proofErr w:type="spellEnd"/>
      <w:r w:rsidRPr="00D961BD">
        <w:rPr>
          <w:sz w:val="24"/>
          <w:szCs w:val="24"/>
          <w:lang w:eastAsia="da-DK"/>
        </w:rPr>
        <w:t xml:space="preserve"> 2A, som korrelerer med styrken af deres anti-anfalds beskyttelse i den audiogene epilepsimodel hos mus. Dette fund tyder på, at interaktionen mellem </w:t>
      </w:r>
      <w:proofErr w:type="spellStart"/>
      <w:r w:rsidRPr="00D961BD">
        <w:rPr>
          <w:sz w:val="24"/>
          <w:szCs w:val="24"/>
          <w:lang w:eastAsia="da-DK"/>
        </w:rPr>
        <w:t>levetiracetam</w:t>
      </w:r>
      <w:proofErr w:type="spellEnd"/>
      <w:r w:rsidRPr="00D961BD">
        <w:rPr>
          <w:sz w:val="24"/>
          <w:szCs w:val="24"/>
          <w:lang w:eastAsia="da-DK"/>
        </w:rPr>
        <w:t xml:space="preserve"> og det </w:t>
      </w:r>
      <w:proofErr w:type="spellStart"/>
      <w:r w:rsidRPr="00D961BD">
        <w:rPr>
          <w:sz w:val="24"/>
          <w:szCs w:val="24"/>
          <w:lang w:eastAsia="da-DK"/>
        </w:rPr>
        <w:t>synaptiske</w:t>
      </w:r>
      <w:proofErr w:type="spellEnd"/>
      <w:r w:rsidRPr="00D961BD">
        <w:rPr>
          <w:sz w:val="24"/>
          <w:szCs w:val="24"/>
          <w:lang w:eastAsia="da-DK"/>
        </w:rPr>
        <w:t xml:space="preserve"> </w:t>
      </w:r>
      <w:proofErr w:type="spellStart"/>
      <w:r w:rsidRPr="00D961BD">
        <w:rPr>
          <w:sz w:val="24"/>
          <w:szCs w:val="24"/>
          <w:lang w:eastAsia="da-DK"/>
        </w:rPr>
        <w:t>vesikelprotein</w:t>
      </w:r>
      <w:proofErr w:type="spellEnd"/>
      <w:r w:rsidRPr="00D961BD">
        <w:rPr>
          <w:sz w:val="24"/>
          <w:szCs w:val="24"/>
          <w:lang w:eastAsia="da-DK"/>
        </w:rPr>
        <w:t xml:space="preserve"> 2A ser ud til at bidrage til lægemidlets antiepileptiske virkningsmekanisme.</w:t>
      </w:r>
    </w:p>
    <w:p w:rsidR="00B73392" w:rsidRPr="00D961BD" w:rsidRDefault="00B73392" w:rsidP="00B73392">
      <w:pPr>
        <w:autoSpaceDE w:val="0"/>
        <w:autoSpaceDN w:val="0"/>
        <w:adjustRightInd w:val="0"/>
        <w:ind w:left="851" w:hanging="851"/>
        <w:rPr>
          <w:sz w:val="24"/>
          <w:szCs w:val="24"/>
          <w:u w:val="single"/>
        </w:rPr>
      </w:pPr>
    </w:p>
    <w:p w:rsidR="00B73392" w:rsidRPr="00D961BD" w:rsidRDefault="00B73392" w:rsidP="00B73392">
      <w:pPr>
        <w:autoSpaceDE w:val="0"/>
        <w:autoSpaceDN w:val="0"/>
        <w:adjustRightInd w:val="0"/>
        <w:ind w:left="851"/>
        <w:rPr>
          <w:sz w:val="24"/>
          <w:szCs w:val="24"/>
          <w:u w:val="single"/>
        </w:rPr>
      </w:pPr>
      <w:proofErr w:type="spellStart"/>
      <w:r w:rsidRPr="00D961BD">
        <w:rPr>
          <w:sz w:val="24"/>
          <w:szCs w:val="24"/>
          <w:u w:val="single"/>
          <w:lang w:eastAsia="da-DK"/>
        </w:rPr>
        <w:t>Farmakodynamisk</w:t>
      </w:r>
      <w:proofErr w:type="spellEnd"/>
      <w:r w:rsidRPr="00D961BD">
        <w:rPr>
          <w:sz w:val="24"/>
          <w:szCs w:val="24"/>
          <w:u w:val="single"/>
          <w:lang w:eastAsia="da-DK"/>
        </w:rPr>
        <w:t xml:space="preserve"> virkning</w:t>
      </w:r>
    </w:p>
    <w:p w:rsidR="00B73392" w:rsidRPr="00D961BD" w:rsidRDefault="00B73392" w:rsidP="00B73392">
      <w:pPr>
        <w:autoSpaceDE w:val="0"/>
        <w:autoSpaceDN w:val="0"/>
        <w:adjustRightInd w:val="0"/>
        <w:ind w:left="851"/>
        <w:rPr>
          <w:sz w:val="24"/>
          <w:szCs w:val="24"/>
          <w:lang w:eastAsia="da-DK"/>
        </w:rPr>
      </w:pPr>
      <w:proofErr w:type="spellStart"/>
      <w:r w:rsidRPr="00D961BD">
        <w:rPr>
          <w:sz w:val="24"/>
          <w:szCs w:val="24"/>
          <w:lang w:eastAsia="da-DK"/>
        </w:rPr>
        <w:t>Levetiracetam</w:t>
      </w:r>
      <w:proofErr w:type="spellEnd"/>
      <w:r w:rsidRPr="00D961BD">
        <w:rPr>
          <w:sz w:val="24"/>
          <w:szCs w:val="24"/>
          <w:lang w:eastAsia="da-DK"/>
        </w:rPr>
        <w:t xml:space="preserve"> giver beskyttelse i en lang række dyrestudiemodeller med partielle og primært generaliserede anfald uden at udvise en pro-</w:t>
      </w:r>
      <w:proofErr w:type="spellStart"/>
      <w:r w:rsidRPr="00D961BD">
        <w:rPr>
          <w:sz w:val="24"/>
          <w:szCs w:val="24"/>
          <w:lang w:eastAsia="da-DK"/>
        </w:rPr>
        <w:t>konvulsiv</w:t>
      </w:r>
      <w:proofErr w:type="spellEnd"/>
      <w:r w:rsidRPr="00D961BD">
        <w:rPr>
          <w:sz w:val="24"/>
          <w:szCs w:val="24"/>
          <w:lang w:eastAsia="da-DK"/>
        </w:rPr>
        <w:t xml:space="preserve"> virkning. Den primære metabolit er inaktiv.</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Hos mennesket har virkning ved tilstande med både partiel og generaliseret epilepsi (epilepsiforme afladninger/</w:t>
      </w:r>
      <w:proofErr w:type="spellStart"/>
      <w:r w:rsidRPr="00D961BD">
        <w:rPr>
          <w:sz w:val="24"/>
          <w:szCs w:val="24"/>
          <w:lang w:eastAsia="da-DK"/>
        </w:rPr>
        <w:t>fotoparoxysmalt</w:t>
      </w:r>
      <w:proofErr w:type="spellEnd"/>
      <w:r w:rsidRPr="00D961BD">
        <w:rPr>
          <w:sz w:val="24"/>
          <w:szCs w:val="24"/>
          <w:lang w:eastAsia="da-DK"/>
        </w:rPr>
        <w:t xml:space="preserve"> respons) bekræftet den bredspektrede farmakologiske profil af </w:t>
      </w:r>
      <w:proofErr w:type="spellStart"/>
      <w:r w:rsidRPr="00D961BD">
        <w:rPr>
          <w:sz w:val="24"/>
          <w:szCs w:val="24"/>
          <w:lang w:eastAsia="da-DK"/>
        </w:rPr>
        <w:t>levetiracetam</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lang w:val="nb-NO"/>
        </w:rPr>
      </w:pPr>
    </w:p>
    <w:p w:rsidR="00B73392" w:rsidRPr="00D961BD" w:rsidRDefault="00B73392" w:rsidP="002775A7">
      <w:pPr>
        <w:keepNext/>
        <w:autoSpaceDE w:val="0"/>
        <w:autoSpaceDN w:val="0"/>
        <w:adjustRightInd w:val="0"/>
        <w:ind w:left="851"/>
        <w:rPr>
          <w:sz w:val="24"/>
          <w:szCs w:val="24"/>
          <w:u w:val="single"/>
        </w:rPr>
      </w:pPr>
      <w:r w:rsidRPr="00D961BD">
        <w:rPr>
          <w:sz w:val="24"/>
          <w:szCs w:val="24"/>
          <w:u w:val="single"/>
        </w:rPr>
        <w:t>Klinisk virkning og sikkerhed</w:t>
      </w:r>
    </w:p>
    <w:p w:rsidR="00B73392" w:rsidRPr="00D961BD" w:rsidRDefault="00B73392" w:rsidP="00B73392">
      <w:pPr>
        <w:autoSpaceDE w:val="0"/>
        <w:autoSpaceDN w:val="0"/>
        <w:adjustRightInd w:val="0"/>
        <w:ind w:left="851"/>
        <w:rPr>
          <w:i/>
          <w:iCs/>
          <w:sz w:val="24"/>
          <w:szCs w:val="24"/>
          <w:lang w:eastAsia="da-DK"/>
        </w:rPr>
      </w:pPr>
      <w:r w:rsidRPr="00D961BD">
        <w:rPr>
          <w:i/>
          <w:iCs/>
          <w:sz w:val="24"/>
          <w:szCs w:val="24"/>
          <w:lang w:eastAsia="da-DK"/>
        </w:rPr>
        <w:t>Tillægsbehandling af voksne, unge, børn og spædbørn over 1 måned med partiel epilepsi med eller uden sekundær generalisering:</w:t>
      </w:r>
    </w:p>
    <w:p w:rsidR="00B73392" w:rsidRPr="00D961BD" w:rsidRDefault="00B73392" w:rsidP="00B73392">
      <w:pPr>
        <w:autoSpaceDE w:val="0"/>
        <w:autoSpaceDN w:val="0"/>
        <w:adjustRightInd w:val="0"/>
        <w:ind w:left="851"/>
        <w:rPr>
          <w:sz w:val="24"/>
          <w:szCs w:val="24"/>
          <w:lang w:eastAsia="da-DK"/>
        </w:rPr>
      </w:pPr>
    </w:p>
    <w:p w:rsidR="00B73392" w:rsidRDefault="00B73392" w:rsidP="00B73392">
      <w:pPr>
        <w:autoSpaceDE w:val="0"/>
        <w:autoSpaceDN w:val="0"/>
        <w:adjustRightInd w:val="0"/>
        <w:ind w:left="851"/>
        <w:rPr>
          <w:sz w:val="24"/>
          <w:szCs w:val="24"/>
          <w:lang w:eastAsia="da-DK"/>
        </w:rPr>
      </w:pPr>
      <w:proofErr w:type="spellStart"/>
      <w:r w:rsidRPr="00D961BD">
        <w:rPr>
          <w:sz w:val="24"/>
          <w:szCs w:val="24"/>
          <w:lang w:eastAsia="da-DK"/>
        </w:rPr>
        <w:t>Levetiracetams</w:t>
      </w:r>
      <w:proofErr w:type="spellEnd"/>
      <w:r w:rsidRPr="00D961BD">
        <w:rPr>
          <w:sz w:val="24"/>
          <w:szCs w:val="24"/>
          <w:lang w:eastAsia="da-DK"/>
        </w:rPr>
        <w:t xml:space="preserve"> virkning hos voksne er blevet demonstreret i 3 dobbeltblinde placebokontrollerede studier med hhv. 1.000 mg, 2.000 mg eller 3.000 mg/dag, fordelt på to doser, med en behandlingsvarighed på op til 18 uger. I en samlet analyse var den </w:t>
      </w:r>
      <w:r w:rsidRPr="00D961BD">
        <w:rPr>
          <w:sz w:val="24"/>
          <w:szCs w:val="24"/>
          <w:lang w:eastAsia="da-DK"/>
        </w:rPr>
        <w:lastRenderedPageBreak/>
        <w:t xml:space="preserve">procentdel af patienterne, som opnåede 50 % eller større reduktion fra baseline i frekvensen af partielle anfald pr. uge ved stabil dosis (12/14 uger) på 27,7 %, 31,6 % og 41,3 % for patienter, som fik hhv. 1.000, 2.000 eller 3.000 mg </w:t>
      </w:r>
      <w:proofErr w:type="spellStart"/>
      <w:r w:rsidRPr="00D961BD">
        <w:rPr>
          <w:sz w:val="24"/>
          <w:szCs w:val="24"/>
          <w:lang w:eastAsia="da-DK"/>
        </w:rPr>
        <w:t>levetiracetam</w:t>
      </w:r>
      <w:proofErr w:type="spellEnd"/>
      <w:r w:rsidRPr="00D961BD">
        <w:rPr>
          <w:sz w:val="24"/>
          <w:szCs w:val="24"/>
          <w:lang w:eastAsia="da-DK"/>
        </w:rPr>
        <w:t xml:space="preserve"> og på 12,6 % hos patienter, som fik placebo.</w:t>
      </w:r>
    </w:p>
    <w:p w:rsidR="00B73392" w:rsidRDefault="00B73392" w:rsidP="00B73392">
      <w:pPr>
        <w:autoSpaceDE w:val="0"/>
        <w:autoSpaceDN w:val="0"/>
        <w:adjustRightInd w:val="0"/>
        <w:ind w:left="851"/>
        <w:rPr>
          <w:i/>
          <w:iCs/>
          <w:sz w:val="24"/>
          <w:szCs w:val="24"/>
        </w:rPr>
      </w:pPr>
    </w:p>
    <w:p w:rsidR="00B73392" w:rsidRPr="00D961BD" w:rsidRDefault="00B73392" w:rsidP="00B73392">
      <w:pPr>
        <w:autoSpaceDE w:val="0"/>
        <w:autoSpaceDN w:val="0"/>
        <w:adjustRightInd w:val="0"/>
        <w:ind w:left="851"/>
        <w:rPr>
          <w:i/>
          <w:iCs/>
          <w:sz w:val="24"/>
          <w:szCs w:val="24"/>
        </w:rPr>
      </w:pPr>
      <w:r w:rsidRPr="00D961BD">
        <w:rPr>
          <w:i/>
          <w:iCs/>
          <w:sz w:val="24"/>
          <w:szCs w:val="24"/>
        </w:rPr>
        <w:t>Pædiatrisk population</w:t>
      </w:r>
    </w:p>
    <w:p w:rsidR="00B73392" w:rsidRPr="00D961BD"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hos pædiatriske patienter (4-16 år) blev vist i et dobbeltblindt, placebokontrolleret studie med 198 patienter og en behandlingsvarighed på 14 uger. I dette studie fik patienterne </w:t>
      </w:r>
      <w:proofErr w:type="spellStart"/>
      <w:r>
        <w:rPr>
          <w:sz w:val="24"/>
          <w:szCs w:val="24"/>
          <w:lang w:eastAsia="da-DK"/>
        </w:rPr>
        <w:t>levetiracetam</w:t>
      </w:r>
      <w:proofErr w:type="spellEnd"/>
      <w:r>
        <w:rPr>
          <w:sz w:val="24"/>
          <w:szCs w:val="24"/>
          <w:lang w:eastAsia="da-DK"/>
        </w:rPr>
        <w:t xml:space="preserve"> i en fast dosis på 60 mg/kg/dag (fordelt på to doser daglig).</w:t>
      </w:r>
    </w:p>
    <w:p w:rsidR="00B73392" w:rsidRDefault="00B73392" w:rsidP="00B73392">
      <w:pPr>
        <w:autoSpaceDE w:val="0"/>
        <w:autoSpaceDN w:val="0"/>
        <w:adjustRightInd w:val="0"/>
        <w:ind w:left="851"/>
        <w:rPr>
          <w:sz w:val="24"/>
          <w:szCs w:val="24"/>
          <w:lang w:eastAsia="da-DK"/>
        </w:rPr>
      </w:pPr>
      <w:r>
        <w:rPr>
          <w:sz w:val="24"/>
          <w:szCs w:val="24"/>
          <w:lang w:eastAsia="da-DK"/>
        </w:rPr>
        <w:t xml:space="preserve">44,6 % af de patienter, som fik </w:t>
      </w:r>
      <w:proofErr w:type="spellStart"/>
      <w:r>
        <w:rPr>
          <w:sz w:val="24"/>
          <w:szCs w:val="24"/>
          <w:lang w:eastAsia="da-DK"/>
        </w:rPr>
        <w:t>levetiracetam</w:t>
      </w:r>
      <w:proofErr w:type="spellEnd"/>
      <w:r>
        <w:rPr>
          <w:sz w:val="24"/>
          <w:szCs w:val="24"/>
          <w:lang w:eastAsia="da-DK"/>
        </w:rPr>
        <w:t xml:space="preserve">, og 19,6 % af de patienter, som fik placebo, havde 50 % eller større reduktion i frekvensen af partielle anfald pr. uge, i forhold til baseline. Ved fortsat langtidsbehandling var 11,4 % af patienterne </w:t>
      </w:r>
      <w:proofErr w:type="spellStart"/>
      <w:r>
        <w:rPr>
          <w:sz w:val="24"/>
          <w:szCs w:val="24"/>
          <w:lang w:eastAsia="da-DK"/>
        </w:rPr>
        <w:t>anfaldsfrie</w:t>
      </w:r>
      <w:proofErr w:type="spellEnd"/>
      <w:r>
        <w:rPr>
          <w:sz w:val="24"/>
          <w:szCs w:val="24"/>
          <w:lang w:eastAsia="da-DK"/>
        </w:rPr>
        <w:t xml:space="preserve"> i mindst 6 måneder, og 7,2 % var </w:t>
      </w:r>
      <w:proofErr w:type="spellStart"/>
      <w:r>
        <w:rPr>
          <w:sz w:val="24"/>
          <w:szCs w:val="24"/>
          <w:lang w:eastAsia="da-DK"/>
        </w:rPr>
        <w:t>anfaldsfrie</w:t>
      </w:r>
      <w:proofErr w:type="spellEnd"/>
      <w:r>
        <w:rPr>
          <w:sz w:val="24"/>
          <w:szCs w:val="24"/>
          <w:lang w:eastAsia="da-DK"/>
        </w:rPr>
        <w:t xml:space="preserve"> i mindst 1 år.</w:t>
      </w:r>
    </w:p>
    <w:p w:rsidR="00B73392" w:rsidRDefault="00B73392" w:rsidP="00B73392">
      <w:pPr>
        <w:autoSpaceDE w:val="0"/>
        <w:autoSpaceDN w:val="0"/>
        <w:adjustRightInd w:val="0"/>
        <w:ind w:left="851"/>
        <w:rPr>
          <w:sz w:val="24"/>
          <w:szCs w:val="24"/>
          <w:lang w:eastAsia="da-DK"/>
        </w:rPr>
      </w:pPr>
      <w:r>
        <w:rPr>
          <w:sz w:val="24"/>
          <w:szCs w:val="24"/>
          <w:lang w:eastAsia="da-DK"/>
        </w:rPr>
        <w:t>35 spædbørn under 1 år med partielle anfald er blevet eksponeret i placebo-kontrollerede kliniske studier, hvoraf kun 13 var i aldersgruppen &lt; 6 måneder.</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hos pædiatriske patienter (1 måned til under 4 år) blev påvist i et dobbeltblindt, placebokontrolleret studie med 116 patienter og en behandlingsvarighed på 5 dage. I dette studie fik patienterne en daglig dosis oral opløsning på 20 mg/kg, 25 mg/kg, 40 mg/kg eller 50 mg/kg baseret på en titreringsplan i forhold til deres alder. Der blev anvendt en dosis på 20 mg/kg/dag titreret til 40 mg/kg/dag for spædbørn fra 1 måned op til 6 måneder og en dosis på 25 mg/kg/dag titreret til 50 mg/kg/dag for spædbørn og børn fra 6 måneder op til 4 år i dette studie. Den daglige dosis blev administreret 2 gange dagligt.</w:t>
      </w:r>
    </w:p>
    <w:p w:rsidR="00B73392" w:rsidRDefault="00B73392" w:rsidP="00B73392">
      <w:pPr>
        <w:autoSpaceDE w:val="0"/>
        <w:autoSpaceDN w:val="0"/>
        <w:adjustRightInd w:val="0"/>
        <w:ind w:left="851"/>
        <w:rPr>
          <w:sz w:val="24"/>
          <w:szCs w:val="24"/>
          <w:lang w:eastAsia="da-DK"/>
        </w:rPr>
      </w:pPr>
      <w:r>
        <w:rPr>
          <w:sz w:val="24"/>
          <w:szCs w:val="24"/>
          <w:lang w:eastAsia="da-DK"/>
        </w:rPr>
        <w:t xml:space="preserve">Det primære mål for effektivitet var responsraten (procent af patienter med ≥ 50 % reduktion i frekvensen af daglige partielle anfald i forhold til udgangsniveau) vurderet af en centralt blindet læser ved brug af 48 timers video EEG. Effektanalyserne omfattede 109 patienter, som havde mindst 24 timers video EEG i både baseline samt i evalueringsperioderne. 43,6 % af de patienter, som blev behandlet med </w:t>
      </w:r>
      <w:proofErr w:type="spellStart"/>
      <w:r>
        <w:rPr>
          <w:sz w:val="24"/>
          <w:szCs w:val="24"/>
          <w:lang w:eastAsia="da-DK"/>
        </w:rPr>
        <w:t>levetiracetam</w:t>
      </w:r>
      <w:proofErr w:type="spellEnd"/>
      <w:r>
        <w:rPr>
          <w:sz w:val="24"/>
          <w:szCs w:val="24"/>
          <w:lang w:eastAsia="da-DK"/>
        </w:rPr>
        <w:t xml:space="preserve">, og 19,6 % af de patienter, som fik placebo, blev betragtet som responderende. Resultaterne er konsistente på tværs af aldersgrupper. Ved fortsat langtidsbehandling var 8,6 % af patienterne </w:t>
      </w:r>
      <w:proofErr w:type="spellStart"/>
      <w:r>
        <w:rPr>
          <w:sz w:val="24"/>
          <w:szCs w:val="24"/>
          <w:lang w:eastAsia="da-DK"/>
        </w:rPr>
        <w:t>anfaldsfrie</w:t>
      </w:r>
      <w:proofErr w:type="spellEnd"/>
      <w:r>
        <w:rPr>
          <w:sz w:val="24"/>
          <w:szCs w:val="24"/>
          <w:lang w:eastAsia="da-DK"/>
        </w:rPr>
        <w:t xml:space="preserve"> i mere end 6 måneder, og 7,8 % var </w:t>
      </w:r>
      <w:proofErr w:type="spellStart"/>
      <w:r>
        <w:rPr>
          <w:sz w:val="24"/>
          <w:szCs w:val="24"/>
          <w:lang w:eastAsia="da-DK"/>
        </w:rPr>
        <w:t>anfaldsfrie</w:t>
      </w:r>
      <w:proofErr w:type="spellEnd"/>
      <w:r>
        <w:rPr>
          <w:sz w:val="24"/>
          <w:szCs w:val="24"/>
          <w:lang w:eastAsia="da-DK"/>
        </w:rPr>
        <w:t xml:space="preserve"> i mindst 1 år.</w:t>
      </w:r>
    </w:p>
    <w:p w:rsidR="00B73392" w:rsidRDefault="00B73392" w:rsidP="00B73392">
      <w:pPr>
        <w:autoSpaceDE w:val="0"/>
        <w:autoSpaceDN w:val="0"/>
        <w:adjustRightInd w:val="0"/>
        <w:ind w:left="851" w:hanging="851"/>
        <w:rPr>
          <w:i/>
          <w:iCs/>
          <w:sz w:val="24"/>
          <w:szCs w:val="24"/>
        </w:rPr>
      </w:pPr>
    </w:p>
    <w:p w:rsidR="00B73392" w:rsidRDefault="00B73392" w:rsidP="00B73392">
      <w:pPr>
        <w:autoSpaceDE w:val="0"/>
        <w:autoSpaceDN w:val="0"/>
        <w:adjustRightInd w:val="0"/>
        <w:ind w:left="851"/>
        <w:rPr>
          <w:i/>
          <w:iCs/>
          <w:sz w:val="24"/>
          <w:szCs w:val="24"/>
          <w:lang w:eastAsia="da-DK"/>
        </w:rPr>
      </w:pPr>
      <w:r>
        <w:rPr>
          <w:i/>
          <w:iCs/>
          <w:sz w:val="24"/>
          <w:szCs w:val="24"/>
          <w:lang w:eastAsia="da-DK"/>
        </w:rPr>
        <w:t>Monoterapi behandling af patienter over 16 år med nyligt diagnosticeret partiel epilepsi med eller uden sekundær generalisering:</w:t>
      </w:r>
    </w:p>
    <w:p w:rsidR="00B73392" w:rsidRDefault="00B73392" w:rsidP="00B73392">
      <w:pPr>
        <w:autoSpaceDE w:val="0"/>
        <w:autoSpaceDN w:val="0"/>
        <w:adjustRightInd w:val="0"/>
        <w:ind w:left="851" w:hanging="851"/>
        <w:rPr>
          <w:i/>
          <w:iCs/>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Virkningen af </w:t>
      </w:r>
      <w:proofErr w:type="spellStart"/>
      <w:r>
        <w:rPr>
          <w:sz w:val="24"/>
          <w:szCs w:val="24"/>
          <w:lang w:eastAsia="da-DK"/>
        </w:rPr>
        <w:t>levetiracetam</w:t>
      </w:r>
      <w:proofErr w:type="spellEnd"/>
      <w:r>
        <w:rPr>
          <w:sz w:val="24"/>
          <w:szCs w:val="24"/>
          <w:lang w:eastAsia="da-DK"/>
        </w:rPr>
        <w:t xml:space="preserve"> som monoterapi blev påvist i et dobbeltblindt, ækvivalensstudie med parallelle grupper med </w:t>
      </w:r>
      <w:proofErr w:type="spellStart"/>
      <w:r>
        <w:rPr>
          <w:sz w:val="24"/>
          <w:szCs w:val="24"/>
          <w:lang w:eastAsia="da-DK"/>
        </w:rPr>
        <w:t>carbamazepin</w:t>
      </w:r>
      <w:proofErr w:type="spellEnd"/>
      <w:r>
        <w:rPr>
          <w:sz w:val="24"/>
          <w:szCs w:val="24"/>
          <w:lang w:eastAsia="da-DK"/>
        </w:rPr>
        <w:t xml:space="preserve"> depottabletter (CR) hos 576 patienter over 16 år med ny eller nyligt diagnosticeret epilepsi. Patienterne skulle have uprovokerede partielle anfald eller have generaliserede tonisk-kloniske anfald. Patienterne blev randomiseret til </w:t>
      </w:r>
      <w:proofErr w:type="spellStart"/>
      <w:r>
        <w:rPr>
          <w:sz w:val="24"/>
          <w:szCs w:val="24"/>
          <w:lang w:eastAsia="da-DK"/>
        </w:rPr>
        <w:t>carbamazepin</w:t>
      </w:r>
      <w:proofErr w:type="spellEnd"/>
      <w:r>
        <w:rPr>
          <w:sz w:val="24"/>
          <w:szCs w:val="24"/>
          <w:lang w:eastAsia="da-DK"/>
        </w:rPr>
        <w:t xml:space="preserve"> CR 400-1.200 mg/dag eller </w:t>
      </w:r>
      <w:proofErr w:type="spellStart"/>
      <w:r>
        <w:rPr>
          <w:sz w:val="24"/>
          <w:szCs w:val="24"/>
          <w:lang w:eastAsia="da-DK"/>
        </w:rPr>
        <w:t>levetiracetam</w:t>
      </w:r>
      <w:proofErr w:type="spellEnd"/>
      <w:r>
        <w:rPr>
          <w:sz w:val="24"/>
          <w:szCs w:val="24"/>
          <w:lang w:eastAsia="da-DK"/>
        </w:rPr>
        <w:t xml:space="preserve"> 1.000-3.000 mg/dag, varigheden af behandlingen var op til 121 uger afhængigt af respons. </w:t>
      </w:r>
    </w:p>
    <w:p w:rsidR="00B73392" w:rsidRDefault="00B73392" w:rsidP="00B73392">
      <w:pPr>
        <w:autoSpaceDE w:val="0"/>
        <w:autoSpaceDN w:val="0"/>
        <w:adjustRightInd w:val="0"/>
        <w:ind w:left="851"/>
        <w:rPr>
          <w:sz w:val="24"/>
          <w:szCs w:val="24"/>
          <w:lang w:eastAsia="da-DK"/>
        </w:rPr>
      </w:pPr>
      <w:r>
        <w:rPr>
          <w:sz w:val="24"/>
          <w:szCs w:val="24"/>
          <w:lang w:eastAsia="da-DK"/>
        </w:rPr>
        <w:t xml:space="preserve">6 måneders uden anfald blev opnået hos 73,0 % af de patienter, som blev behandlet med </w:t>
      </w:r>
      <w:proofErr w:type="spellStart"/>
      <w:r>
        <w:rPr>
          <w:sz w:val="24"/>
          <w:szCs w:val="24"/>
          <w:lang w:eastAsia="da-DK"/>
        </w:rPr>
        <w:t>levetiracetam</w:t>
      </w:r>
      <w:proofErr w:type="spellEnd"/>
      <w:r>
        <w:rPr>
          <w:sz w:val="24"/>
          <w:szCs w:val="24"/>
          <w:lang w:eastAsia="da-DK"/>
        </w:rPr>
        <w:t xml:space="preserve"> og hos 72,8 % af de patienter, som blev behandlet med </w:t>
      </w:r>
      <w:proofErr w:type="spellStart"/>
      <w:r>
        <w:rPr>
          <w:sz w:val="24"/>
          <w:szCs w:val="24"/>
          <w:lang w:eastAsia="da-DK"/>
        </w:rPr>
        <w:t>carbamazepin</w:t>
      </w:r>
      <w:proofErr w:type="spellEnd"/>
      <w:r>
        <w:rPr>
          <w:sz w:val="24"/>
          <w:szCs w:val="24"/>
          <w:lang w:eastAsia="da-DK"/>
        </w:rPr>
        <w:t xml:space="preserve"> CR; den tilpassede absolutte forskel mellem behandlingerne var 0,2 % (95 % CI: -7,8 8,2). Mere end halvdelen af patienterne forblev </w:t>
      </w:r>
      <w:proofErr w:type="spellStart"/>
      <w:r>
        <w:rPr>
          <w:sz w:val="24"/>
          <w:szCs w:val="24"/>
          <w:lang w:eastAsia="da-DK"/>
        </w:rPr>
        <w:t>anfaldsfrie</w:t>
      </w:r>
      <w:proofErr w:type="spellEnd"/>
      <w:r>
        <w:rPr>
          <w:sz w:val="24"/>
          <w:szCs w:val="24"/>
          <w:lang w:eastAsia="da-DK"/>
        </w:rPr>
        <w:t xml:space="preserve"> i 12 måneder (hhv. 56,6 % på </w:t>
      </w:r>
      <w:proofErr w:type="spellStart"/>
      <w:r>
        <w:rPr>
          <w:sz w:val="24"/>
          <w:szCs w:val="24"/>
          <w:lang w:eastAsia="da-DK"/>
        </w:rPr>
        <w:t>levetiracetam</w:t>
      </w:r>
      <w:proofErr w:type="spellEnd"/>
      <w:r>
        <w:rPr>
          <w:sz w:val="24"/>
          <w:szCs w:val="24"/>
          <w:lang w:eastAsia="da-DK"/>
        </w:rPr>
        <w:t xml:space="preserve"> og 58,5 % på </w:t>
      </w:r>
      <w:proofErr w:type="spellStart"/>
      <w:r>
        <w:rPr>
          <w:sz w:val="24"/>
          <w:szCs w:val="24"/>
          <w:lang w:eastAsia="da-DK"/>
        </w:rPr>
        <w:t>carbamazepin</w:t>
      </w:r>
      <w:proofErr w:type="spellEnd"/>
      <w:r>
        <w:rPr>
          <w:sz w:val="24"/>
          <w:szCs w:val="24"/>
          <w:lang w:eastAsia="da-DK"/>
        </w:rPr>
        <w:t xml:space="preserve"> CR).</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rPr>
      </w:pPr>
      <w:r>
        <w:rPr>
          <w:sz w:val="24"/>
          <w:szCs w:val="24"/>
          <w:lang w:eastAsia="da-DK"/>
        </w:rPr>
        <w:lastRenderedPageBreak/>
        <w:t xml:space="preserve">I et studie, som afspejlede klinisk praksis, kunne samtidig antiepileptisk medicin seponeres hos et afgrænset antal patienter, som responderede på </w:t>
      </w:r>
      <w:proofErr w:type="spellStart"/>
      <w:r>
        <w:rPr>
          <w:sz w:val="24"/>
          <w:szCs w:val="24"/>
          <w:lang w:eastAsia="da-DK"/>
        </w:rPr>
        <w:t>levetiracetam</w:t>
      </w:r>
      <w:proofErr w:type="spellEnd"/>
      <w:r>
        <w:rPr>
          <w:sz w:val="24"/>
          <w:szCs w:val="24"/>
          <w:lang w:eastAsia="da-DK"/>
        </w:rPr>
        <w:t xml:space="preserve"> som tillægsbehandling (36 voksne patienter ud af 69).</w:t>
      </w:r>
    </w:p>
    <w:p w:rsidR="00B73392" w:rsidRDefault="00B73392" w:rsidP="00B73392">
      <w:pPr>
        <w:autoSpaceDE w:val="0"/>
        <w:autoSpaceDN w:val="0"/>
        <w:adjustRightInd w:val="0"/>
        <w:ind w:left="851" w:hanging="851"/>
        <w:rPr>
          <w:i/>
          <w:iCs/>
          <w:sz w:val="24"/>
          <w:szCs w:val="24"/>
        </w:rPr>
      </w:pPr>
    </w:p>
    <w:p w:rsidR="00B73392" w:rsidRDefault="00B73392" w:rsidP="00B73392">
      <w:pPr>
        <w:autoSpaceDE w:val="0"/>
        <w:autoSpaceDN w:val="0"/>
        <w:adjustRightInd w:val="0"/>
        <w:ind w:left="851"/>
        <w:rPr>
          <w:i/>
          <w:iCs/>
          <w:sz w:val="24"/>
          <w:szCs w:val="24"/>
          <w:lang w:eastAsia="da-DK"/>
        </w:rPr>
      </w:pPr>
      <w:r>
        <w:rPr>
          <w:i/>
          <w:iCs/>
          <w:sz w:val="24"/>
          <w:szCs w:val="24"/>
          <w:lang w:eastAsia="da-DK"/>
        </w:rPr>
        <w:t xml:space="preserve">Tillægsbehandling af voksne og unge over 12 år med juvenil </w:t>
      </w:r>
      <w:proofErr w:type="spellStart"/>
      <w:r>
        <w:rPr>
          <w:i/>
          <w:iCs/>
          <w:sz w:val="24"/>
          <w:szCs w:val="24"/>
          <w:lang w:eastAsia="da-DK"/>
        </w:rPr>
        <w:t>myoklon</w:t>
      </w:r>
      <w:proofErr w:type="spellEnd"/>
      <w:r>
        <w:rPr>
          <w:i/>
          <w:iCs/>
          <w:sz w:val="24"/>
          <w:szCs w:val="24"/>
          <w:lang w:eastAsia="da-DK"/>
        </w:rPr>
        <w:t xml:space="preserve"> epilepsi med </w:t>
      </w:r>
      <w:proofErr w:type="spellStart"/>
      <w:r>
        <w:rPr>
          <w:i/>
          <w:iCs/>
          <w:sz w:val="24"/>
          <w:szCs w:val="24"/>
          <w:lang w:eastAsia="da-DK"/>
        </w:rPr>
        <w:t>myoklone</w:t>
      </w:r>
      <w:proofErr w:type="spellEnd"/>
      <w:r>
        <w:rPr>
          <w:i/>
          <w:iCs/>
          <w:sz w:val="24"/>
          <w:szCs w:val="24"/>
          <w:lang w:eastAsia="da-DK"/>
        </w:rPr>
        <w:t xml:space="preserve"> anfald:</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hos patienter over 12 år med idiopatisk generaliseret epilepsi med </w:t>
      </w:r>
      <w:proofErr w:type="spellStart"/>
      <w:r>
        <w:rPr>
          <w:sz w:val="24"/>
          <w:szCs w:val="24"/>
          <w:lang w:eastAsia="da-DK"/>
        </w:rPr>
        <w:t>myoklone</w:t>
      </w:r>
      <w:proofErr w:type="spellEnd"/>
      <w:r>
        <w:rPr>
          <w:sz w:val="24"/>
          <w:szCs w:val="24"/>
          <w:lang w:eastAsia="da-DK"/>
        </w:rPr>
        <w:t xml:space="preserve"> anfald i forskellige syndromer, blev påvist i et dobbeltblindt placebokontrolleret studie med en behandlingsvarighed på 16 uger. De fleste af patienterne havde juvenil </w:t>
      </w:r>
      <w:proofErr w:type="spellStart"/>
      <w:r>
        <w:rPr>
          <w:sz w:val="24"/>
          <w:szCs w:val="24"/>
          <w:lang w:eastAsia="da-DK"/>
        </w:rPr>
        <w:t>myoklon</w:t>
      </w:r>
      <w:proofErr w:type="spellEnd"/>
      <w:r>
        <w:rPr>
          <w:sz w:val="24"/>
          <w:szCs w:val="24"/>
          <w:lang w:eastAsia="da-DK"/>
        </w:rPr>
        <w:t xml:space="preserve"> epilepsi.</w:t>
      </w:r>
    </w:p>
    <w:p w:rsidR="00B73392" w:rsidRDefault="00B73392" w:rsidP="00B73392">
      <w:pPr>
        <w:autoSpaceDE w:val="0"/>
        <w:autoSpaceDN w:val="0"/>
        <w:adjustRightInd w:val="0"/>
        <w:ind w:left="851"/>
        <w:rPr>
          <w:sz w:val="24"/>
          <w:szCs w:val="24"/>
          <w:lang w:eastAsia="da-DK"/>
        </w:rPr>
      </w:pPr>
      <w:r>
        <w:rPr>
          <w:sz w:val="24"/>
          <w:szCs w:val="24"/>
          <w:lang w:eastAsia="da-DK"/>
        </w:rPr>
        <w:t xml:space="preserve">I dette studie var dosis af </w:t>
      </w:r>
      <w:proofErr w:type="spellStart"/>
      <w:r>
        <w:rPr>
          <w:sz w:val="24"/>
          <w:szCs w:val="24"/>
          <w:lang w:eastAsia="da-DK"/>
        </w:rPr>
        <w:t>levetiracetam</w:t>
      </w:r>
      <w:proofErr w:type="spellEnd"/>
      <w:r>
        <w:rPr>
          <w:sz w:val="24"/>
          <w:szCs w:val="24"/>
          <w:lang w:eastAsia="da-DK"/>
        </w:rPr>
        <w:t xml:space="preserve"> 3.000 mg/dag fordelt på 2 doser.</w:t>
      </w:r>
    </w:p>
    <w:p w:rsidR="00B73392" w:rsidRDefault="00B73392" w:rsidP="00B73392">
      <w:pPr>
        <w:autoSpaceDE w:val="0"/>
        <w:autoSpaceDN w:val="0"/>
        <w:adjustRightInd w:val="0"/>
        <w:ind w:left="851"/>
        <w:rPr>
          <w:sz w:val="24"/>
          <w:szCs w:val="24"/>
          <w:lang w:eastAsia="da-DK"/>
        </w:rPr>
      </w:pPr>
      <w:r>
        <w:rPr>
          <w:sz w:val="24"/>
          <w:szCs w:val="24"/>
          <w:lang w:eastAsia="da-DK"/>
        </w:rPr>
        <w:t xml:space="preserve">58,3 % af de patienter, som fik </w:t>
      </w:r>
      <w:proofErr w:type="spellStart"/>
      <w:r>
        <w:rPr>
          <w:sz w:val="24"/>
          <w:szCs w:val="24"/>
          <w:lang w:eastAsia="da-DK"/>
        </w:rPr>
        <w:t>levetiracetam</w:t>
      </w:r>
      <w:proofErr w:type="spellEnd"/>
      <w:r>
        <w:rPr>
          <w:sz w:val="24"/>
          <w:szCs w:val="24"/>
          <w:lang w:eastAsia="da-DK"/>
        </w:rPr>
        <w:t xml:space="preserve">, og 23,3 % af de patienter, som fik placebo, havde mindst 50 % reduktion i antal dage med </w:t>
      </w:r>
      <w:proofErr w:type="spellStart"/>
      <w:r>
        <w:rPr>
          <w:sz w:val="24"/>
          <w:szCs w:val="24"/>
          <w:lang w:eastAsia="da-DK"/>
        </w:rPr>
        <w:t>myoklone</w:t>
      </w:r>
      <w:proofErr w:type="spellEnd"/>
      <w:r>
        <w:rPr>
          <w:sz w:val="24"/>
          <w:szCs w:val="24"/>
          <w:lang w:eastAsia="da-DK"/>
        </w:rPr>
        <w:t xml:space="preserve"> anfald pr. uge. Ved fortsat langtidsbehandling var 28,6 % af patienterne fri for </w:t>
      </w:r>
      <w:proofErr w:type="spellStart"/>
      <w:r>
        <w:rPr>
          <w:sz w:val="24"/>
          <w:szCs w:val="24"/>
          <w:lang w:eastAsia="da-DK"/>
        </w:rPr>
        <w:t>myoklone</w:t>
      </w:r>
      <w:proofErr w:type="spellEnd"/>
      <w:r>
        <w:rPr>
          <w:sz w:val="24"/>
          <w:szCs w:val="24"/>
          <w:lang w:eastAsia="da-DK"/>
        </w:rPr>
        <w:t xml:space="preserve"> anfald i mindst 6 måneder, og 21,0 % var fri for </w:t>
      </w:r>
      <w:proofErr w:type="spellStart"/>
      <w:r>
        <w:rPr>
          <w:sz w:val="24"/>
          <w:szCs w:val="24"/>
          <w:lang w:eastAsia="da-DK"/>
        </w:rPr>
        <w:t>myoklone</w:t>
      </w:r>
      <w:proofErr w:type="spellEnd"/>
      <w:r>
        <w:rPr>
          <w:sz w:val="24"/>
          <w:szCs w:val="24"/>
          <w:lang w:eastAsia="da-DK"/>
        </w:rPr>
        <w:t xml:space="preserve"> anfald i mindst 1 år.</w:t>
      </w:r>
    </w:p>
    <w:p w:rsidR="00B73392" w:rsidRDefault="00B73392" w:rsidP="00B73392">
      <w:pPr>
        <w:autoSpaceDE w:val="0"/>
        <w:autoSpaceDN w:val="0"/>
        <w:adjustRightInd w:val="0"/>
        <w:ind w:left="851" w:hanging="851"/>
        <w:rPr>
          <w:sz w:val="24"/>
          <w:szCs w:val="24"/>
        </w:rPr>
      </w:pPr>
    </w:p>
    <w:p w:rsidR="00B73392" w:rsidRDefault="00B73392" w:rsidP="00B73392">
      <w:pPr>
        <w:autoSpaceDE w:val="0"/>
        <w:autoSpaceDN w:val="0"/>
        <w:adjustRightInd w:val="0"/>
        <w:ind w:left="851"/>
        <w:rPr>
          <w:i/>
          <w:iCs/>
          <w:sz w:val="24"/>
          <w:szCs w:val="24"/>
          <w:lang w:eastAsia="da-DK"/>
        </w:rPr>
      </w:pPr>
      <w:r>
        <w:rPr>
          <w:i/>
          <w:iCs/>
          <w:sz w:val="24"/>
          <w:szCs w:val="24"/>
          <w:lang w:eastAsia="da-DK"/>
        </w:rPr>
        <w:t>Tillægsbehandling af voksne og unge fra 12 år med idiopatisk generaliseret epilepsi med primært generaliserede tonisk-kloniske anfald:</w:t>
      </w:r>
    </w:p>
    <w:p w:rsidR="00B73392" w:rsidRDefault="00B73392" w:rsidP="00B73392">
      <w:pPr>
        <w:autoSpaceDE w:val="0"/>
        <w:autoSpaceDN w:val="0"/>
        <w:adjustRightInd w:val="0"/>
        <w:ind w:left="851" w:hanging="851"/>
        <w:rPr>
          <w:i/>
          <w:iCs/>
          <w:sz w:val="24"/>
          <w:szCs w:val="24"/>
          <w:lang w:eastAsia="da-DK"/>
        </w:rPr>
      </w:pP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t>Levetiracetams</w:t>
      </w:r>
      <w:proofErr w:type="spellEnd"/>
      <w:r>
        <w:rPr>
          <w:sz w:val="24"/>
          <w:szCs w:val="24"/>
          <w:lang w:eastAsia="da-DK"/>
        </w:rPr>
        <w:t xml:space="preserve"> virkning blev påvist i et 24-ugers dobbeltblindt placebokontrolleret studie, som omfattede voksne og unge samt et begrænset antal børn med idiopatisk generaliseret epilepsi med primært generaliserede tonisk-kloniske anfald (PGTC) i forskellige syndromer (juvenil </w:t>
      </w:r>
      <w:proofErr w:type="spellStart"/>
      <w:r>
        <w:rPr>
          <w:sz w:val="24"/>
          <w:szCs w:val="24"/>
          <w:lang w:eastAsia="da-DK"/>
        </w:rPr>
        <w:t>myoklon</w:t>
      </w:r>
      <w:proofErr w:type="spellEnd"/>
      <w:r>
        <w:rPr>
          <w:sz w:val="24"/>
          <w:szCs w:val="24"/>
          <w:lang w:eastAsia="da-DK"/>
        </w:rPr>
        <w:t xml:space="preserve"> epilepsi, juvenil absence epilepsi, juvenil absence epilepsi eller epilepsi med Grand Mal anfald ved opvågning). I dette studie var dosis af </w:t>
      </w:r>
      <w:proofErr w:type="spellStart"/>
      <w:r>
        <w:rPr>
          <w:sz w:val="24"/>
          <w:szCs w:val="24"/>
          <w:lang w:eastAsia="da-DK"/>
        </w:rPr>
        <w:t>levetiracetam</w:t>
      </w:r>
      <w:proofErr w:type="spellEnd"/>
      <w:r>
        <w:rPr>
          <w:sz w:val="24"/>
          <w:szCs w:val="24"/>
          <w:lang w:eastAsia="da-DK"/>
        </w:rPr>
        <w:t xml:space="preserve"> 3.000 mg/dag for voksne og unge eller 60 mg/kg/dag for børn, fordelt på 2 doser.</w:t>
      </w:r>
    </w:p>
    <w:p w:rsidR="00B73392" w:rsidRDefault="00B73392" w:rsidP="00B73392">
      <w:pPr>
        <w:autoSpaceDE w:val="0"/>
        <w:autoSpaceDN w:val="0"/>
        <w:adjustRightInd w:val="0"/>
        <w:ind w:left="851"/>
        <w:rPr>
          <w:noProof/>
          <w:sz w:val="24"/>
          <w:szCs w:val="24"/>
        </w:rPr>
      </w:pPr>
      <w:r>
        <w:rPr>
          <w:sz w:val="24"/>
          <w:szCs w:val="24"/>
          <w:lang w:eastAsia="da-DK"/>
        </w:rPr>
        <w:t xml:space="preserve">72,2 % af de patienter, som blev behandlet med </w:t>
      </w:r>
      <w:proofErr w:type="spellStart"/>
      <w:r>
        <w:rPr>
          <w:sz w:val="24"/>
          <w:szCs w:val="24"/>
          <w:lang w:eastAsia="da-DK"/>
        </w:rPr>
        <w:t>levetiracetam</w:t>
      </w:r>
      <w:proofErr w:type="spellEnd"/>
      <w:r>
        <w:rPr>
          <w:sz w:val="24"/>
          <w:szCs w:val="24"/>
          <w:lang w:eastAsia="da-DK"/>
        </w:rPr>
        <w:t xml:space="preserve">, og 45,2 % af de patienter, som fik placebo, havde 50 % eller større reduktion i frekvensen af </w:t>
      </w:r>
      <w:proofErr w:type="gramStart"/>
      <w:r>
        <w:rPr>
          <w:sz w:val="24"/>
          <w:szCs w:val="24"/>
          <w:lang w:eastAsia="da-DK"/>
        </w:rPr>
        <w:t>PGTC anfald</w:t>
      </w:r>
      <w:proofErr w:type="gramEnd"/>
      <w:r>
        <w:rPr>
          <w:sz w:val="24"/>
          <w:szCs w:val="24"/>
          <w:lang w:eastAsia="da-DK"/>
        </w:rPr>
        <w:t xml:space="preserve"> pr. uge. Ved fortsat langtidsbehandling var 47,4 % af patienterne fri for tonisk-kloniske anfald i mindst 6 måneder og 31,5% var fri for tonisk-kloniske anfald i mindst 1 år.</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5.2</w:t>
      </w:r>
      <w:r w:rsidRPr="00D961BD">
        <w:rPr>
          <w:b/>
          <w:sz w:val="24"/>
          <w:szCs w:val="24"/>
        </w:rPr>
        <w:tab/>
      </w:r>
      <w:proofErr w:type="spellStart"/>
      <w:r w:rsidRPr="00D961BD">
        <w:rPr>
          <w:b/>
          <w:sz w:val="24"/>
          <w:szCs w:val="24"/>
        </w:rPr>
        <w:t>Farmakokinetiske</w:t>
      </w:r>
      <w:proofErr w:type="spellEnd"/>
      <w:r w:rsidRPr="00D961BD">
        <w:rPr>
          <w:b/>
          <w:sz w:val="24"/>
          <w:szCs w:val="24"/>
        </w:rPr>
        <w:t xml:space="preserve"> egenskaber</w:t>
      </w:r>
    </w:p>
    <w:p w:rsidR="00B73392" w:rsidRPr="00D961BD" w:rsidRDefault="00B73392" w:rsidP="00B73392">
      <w:pPr>
        <w:autoSpaceDE w:val="0"/>
        <w:autoSpaceDN w:val="0"/>
        <w:adjustRightInd w:val="0"/>
        <w:ind w:left="851" w:hanging="851"/>
        <w:rPr>
          <w:sz w:val="24"/>
          <w:szCs w:val="24"/>
          <w:lang w:eastAsia="da-DK"/>
        </w:rPr>
      </w:pPr>
      <w:r w:rsidRPr="00D961BD">
        <w:rPr>
          <w:sz w:val="24"/>
          <w:szCs w:val="24"/>
        </w:rPr>
        <w:tab/>
      </w:r>
      <w:proofErr w:type="spellStart"/>
      <w:r w:rsidRPr="00D961BD">
        <w:rPr>
          <w:sz w:val="24"/>
          <w:szCs w:val="24"/>
          <w:lang w:eastAsia="da-DK"/>
        </w:rPr>
        <w:t>Levetiracetam</w:t>
      </w:r>
      <w:proofErr w:type="spellEnd"/>
      <w:r w:rsidRPr="00D961BD">
        <w:rPr>
          <w:sz w:val="24"/>
          <w:szCs w:val="24"/>
          <w:lang w:eastAsia="da-DK"/>
        </w:rPr>
        <w:t xml:space="preserve"> er en højt opløselig og permeabel substans. Den </w:t>
      </w:r>
      <w:proofErr w:type="spellStart"/>
      <w:r w:rsidRPr="00D961BD">
        <w:rPr>
          <w:sz w:val="24"/>
          <w:szCs w:val="24"/>
          <w:lang w:eastAsia="da-DK"/>
        </w:rPr>
        <w:t>farmakokinetiske</w:t>
      </w:r>
      <w:proofErr w:type="spellEnd"/>
      <w:r w:rsidRPr="00D961BD">
        <w:rPr>
          <w:sz w:val="24"/>
          <w:szCs w:val="24"/>
          <w:lang w:eastAsia="da-DK"/>
        </w:rPr>
        <w:t xml:space="preserve"> profil er lineær med lille variation hos det enkelte individ og mellem individer. Der ses ikke ændringer i </w:t>
      </w:r>
      <w:proofErr w:type="spellStart"/>
      <w:r w:rsidRPr="00D961BD">
        <w:rPr>
          <w:sz w:val="24"/>
          <w:szCs w:val="24"/>
          <w:lang w:eastAsia="da-DK"/>
        </w:rPr>
        <w:t>clearance</w:t>
      </w:r>
      <w:proofErr w:type="spellEnd"/>
      <w:r w:rsidRPr="00D961BD">
        <w:rPr>
          <w:sz w:val="24"/>
          <w:szCs w:val="24"/>
          <w:lang w:eastAsia="da-DK"/>
        </w:rPr>
        <w:t xml:space="preserve"> efter gentagen dosering. Der er ikke holdepunkter for nogen relevant køn, race eller døgnvariation. Den </w:t>
      </w:r>
      <w:proofErr w:type="spellStart"/>
      <w:r w:rsidRPr="00D961BD">
        <w:rPr>
          <w:sz w:val="24"/>
          <w:szCs w:val="24"/>
          <w:lang w:eastAsia="da-DK"/>
        </w:rPr>
        <w:t>farmakokinetiske</w:t>
      </w:r>
      <w:proofErr w:type="spellEnd"/>
      <w:r w:rsidRPr="00D961BD">
        <w:rPr>
          <w:sz w:val="24"/>
          <w:szCs w:val="24"/>
          <w:lang w:eastAsia="da-DK"/>
        </w:rPr>
        <w:t xml:space="preserve"> profil er sammenlignelig hos raske forsøgspersoner og hos patienter med epilepsi.</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På grund af fuldstændig og lineær absorption kan plasmaniveauerne forudsiges ud fra oral dosis af </w:t>
      </w:r>
      <w:proofErr w:type="spellStart"/>
      <w:r w:rsidRPr="00D961BD">
        <w:rPr>
          <w:sz w:val="24"/>
          <w:szCs w:val="24"/>
          <w:lang w:eastAsia="da-DK"/>
        </w:rPr>
        <w:t>levetiracetam</w:t>
      </w:r>
      <w:proofErr w:type="spellEnd"/>
      <w:r w:rsidRPr="00D961BD">
        <w:rPr>
          <w:sz w:val="24"/>
          <w:szCs w:val="24"/>
          <w:lang w:eastAsia="da-DK"/>
        </w:rPr>
        <w:t xml:space="preserve"> udtrykt som mg/kg legemsvægt. Der er derfor ikke behov for monitorering af plasmakoncentrationen af </w:t>
      </w:r>
      <w:proofErr w:type="spellStart"/>
      <w:r w:rsidRPr="00D961BD">
        <w:rPr>
          <w:sz w:val="24"/>
          <w:szCs w:val="24"/>
          <w:lang w:eastAsia="da-DK"/>
        </w:rPr>
        <w:t>levetiracetam</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Signifikant korrelation mellem spyt- og plasmakoncentrationer er blevet påvist hos voksne og børn (ratio af spyt/plasmakoncentrationer strakte sig fra 1 til 1,7 for henholdsvis orale tabletformuleringer og orale opløsningsformuleringer 4 timer efter dosering).</w:t>
      </w:r>
    </w:p>
    <w:p w:rsidR="00B73392" w:rsidRPr="00D961BD" w:rsidRDefault="00B73392" w:rsidP="00B73392">
      <w:pPr>
        <w:ind w:left="851" w:hanging="851"/>
        <w:rPr>
          <w:sz w:val="24"/>
          <w:szCs w:val="24"/>
          <w:lang w:eastAsia="da-DK"/>
        </w:rPr>
      </w:pPr>
    </w:p>
    <w:p w:rsidR="00B73392" w:rsidRPr="00CC2A24" w:rsidRDefault="00B73392" w:rsidP="00B73392">
      <w:pPr>
        <w:ind w:left="851"/>
        <w:rPr>
          <w:sz w:val="24"/>
          <w:szCs w:val="24"/>
          <w:u w:val="single"/>
        </w:rPr>
      </w:pPr>
      <w:r w:rsidRPr="00D961BD">
        <w:rPr>
          <w:sz w:val="24"/>
          <w:szCs w:val="24"/>
          <w:u w:val="single"/>
          <w:lang w:eastAsia="da-DK"/>
        </w:rPr>
        <w:t>Voksne og unge</w:t>
      </w:r>
    </w:p>
    <w:p w:rsidR="00B73392" w:rsidRPr="00D961BD" w:rsidRDefault="00B73392" w:rsidP="00B73392">
      <w:pPr>
        <w:autoSpaceDE w:val="0"/>
        <w:autoSpaceDN w:val="0"/>
        <w:adjustRightInd w:val="0"/>
        <w:ind w:left="851" w:hanging="851"/>
        <w:rPr>
          <w:sz w:val="24"/>
          <w:szCs w:val="24"/>
          <w:u w:val="single"/>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Absorption</w:t>
      </w:r>
    </w:p>
    <w:p w:rsidR="00B73392" w:rsidRPr="00D961BD" w:rsidRDefault="00B73392" w:rsidP="00B73392">
      <w:pPr>
        <w:autoSpaceDE w:val="0"/>
        <w:autoSpaceDN w:val="0"/>
        <w:adjustRightInd w:val="0"/>
        <w:ind w:left="851"/>
        <w:rPr>
          <w:sz w:val="24"/>
          <w:szCs w:val="24"/>
          <w:lang w:eastAsia="da-DK"/>
        </w:rPr>
      </w:pPr>
      <w:proofErr w:type="spellStart"/>
      <w:r w:rsidRPr="00D961BD">
        <w:rPr>
          <w:sz w:val="24"/>
          <w:szCs w:val="24"/>
          <w:lang w:eastAsia="da-DK"/>
        </w:rPr>
        <w:lastRenderedPageBreak/>
        <w:t>Levetiracetam</w:t>
      </w:r>
      <w:proofErr w:type="spellEnd"/>
      <w:r w:rsidRPr="00D961BD">
        <w:rPr>
          <w:sz w:val="24"/>
          <w:szCs w:val="24"/>
          <w:lang w:eastAsia="da-DK"/>
        </w:rPr>
        <w:t xml:space="preserve"> absorberes hurtigt efter oral indgift. Den absolutte orale biotilgængelighed er næsten 100 %.</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Maksimale plasmakoncentrationer (</w:t>
      </w:r>
      <w:proofErr w:type="spellStart"/>
      <w:r w:rsidRPr="00D961BD">
        <w:rPr>
          <w:sz w:val="24"/>
          <w:szCs w:val="24"/>
          <w:lang w:eastAsia="da-DK"/>
        </w:rPr>
        <w:t>C</w:t>
      </w:r>
      <w:r w:rsidRPr="00D961BD">
        <w:rPr>
          <w:sz w:val="24"/>
          <w:szCs w:val="24"/>
          <w:vertAlign w:val="subscript"/>
          <w:lang w:eastAsia="da-DK"/>
        </w:rPr>
        <w:t>max</w:t>
      </w:r>
      <w:proofErr w:type="spellEnd"/>
      <w:r w:rsidRPr="00D961BD">
        <w:rPr>
          <w:sz w:val="24"/>
          <w:szCs w:val="24"/>
          <w:lang w:eastAsia="da-DK"/>
        </w:rPr>
        <w:t>) opnås 1,3 time efter indtagelse. Stabilt plasmaniveau (</w:t>
      </w:r>
      <w:proofErr w:type="spellStart"/>
      <w:r w:rsidRPr="00D961BD">
        <w:rPr>
          <w:sz w:val="24"/>
          <w:szCs w:val="24"/>
          <w:lang w:eastAsia="da-DK"/>
        </w:rPr>
        <w:t>steady</w:t>
      </w:r>
      <w:proofErr w:type="spellEnd"/>
      <w:r w:rsidRPr="00D961BD">
        <w:rPr>
          <w:sz w:val="24"/>
          <w:szCs w:val="24"/>
          <w:lang w:eastAsia="da-DK"/>
        </w:rPr>
        <w:t xml:space="preserve"> </w:t>
      </w:r>
      <w:proofErr w:type="spellStart"/>
      <w:r w:rsidRPr="00D961BD">
        <w:rPr>
          <w:sz w:val="24"/>
          <w:szCs w:val="24"/>
          <w:lang w:eastAsia="da-DK"/>
        </w:rPr>
        <w:t>state</w:t>
      </w:r>
      <w:proofErr w:type="spellEnd"/>
      <w:r w:rsidRPr="00D961BD">
        <w:rPr>
          <w:sz w:val="24"/>
          <w:szCs w:val="24"/>
          <w:lang w:eastAsia="da-DK"/>
        </w:rPr>
        <w:t>) opnås indenfor 2 dage med dosering 2 gange dagligt.</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Maksimale koncentrationer er (</w:t>
      </w:r>
      <w:proofErr w:type="spellStart"/>
      <w:r w:rsidRPr="00D961BD">
        <w:rPr>
          <w:sz w:val="24"/>
          <w:szCs w:val="24"/>
          <w:lang w:eastAsia="da-DK"/>
        </w:rPr>
        <w:t>C</w:t>
      </w:r>
      <w:r w:rsidRPr="00D961BD">
        <w:rPr>
          <w:sz w:val="24"/>
          <w:szCs w:val="24"/>
          <w:vertAlign w:val="subscript"/>
          <w:lang w:eastAsia="da-DK"/>
        </w:rPr>
        <w:t>max</w:t>
      </w:r>
      <w:proofErr w:type="spellEnd"/>
      <w:r w:rsidRPr="00D961BD">
        <w:rPr>
          <w:sz w:val="24"/>
          <w:szCs w:val="24"/>
          <w:lang w:eastAsia="da-DK"/>
        </w:rPr>
        <w:t xml:space="preserve">) er normalt 31 og 43 </w:t>
      </w:r>
      <w:r>
        <w:rPr>
          <w:sz w:val="24"/>
          <w:szCs w:val="24"/>
          <w:lang w:eastAsia="da-DK"/>
        </w:rPr>
        <w:t>µ</w:t>
      </w:r>
      <w:r w:rsidRPr="00D961BD">
        <w:rPr>
          <w:sz w:val="24"/>
          <w:szCs w:val="24"/>
          <w:lang w:eastAsia="da-DK"/>
        </w:rPr>
        <w:t>g/ml efter henholdsvis en enkelt dosis på 1.000 mg og gentagen dosering 1.000 mg 2 gange dagligt.</w:t>
      </w:r>
    </w:p>
    <w:p w:rsidR="00B73392" w:rsidRPr="00D961BD" w:rsidRDefault="00B73392" w:rsidP="00B73392">
      <w:pPr>
        <w:autoSpaceDE w:val="0"/>
        <w:autoSpaceDN w:val="0"/>
        <w:adjustRightInd w:val="0"/>
        <w:ind w:left="851"/>
        <w:rPr>
          <w:sz w:val="24"/>
          <w:szCs w:val="24"/>
        </w:rPr>
      </w:pPr>
      <w:r w:rsidRPr="00D961BD">
        <w:rPr>
          <w:sz w:val="24"/>
          <w:szCs w:val="24"/>
          <w:lang w:eastAsia="da-DK"/>
        </w:rPr>
        <w:t>Absorptionen er ikke dosisafhængig og ændres ikke ved fødeindtagelse.</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Fordeling</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Der foreligger ingen data vedrørende vævsfordeling hos mennesker.</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Hverken </w:t>
      </w:r>
      <w:proofErr w:type="spellStart"/>
      <w:r w:rsidRPr="00D961BD">
        <w:rPr>
          <w:sz w:val="24"/>
          <w:szCs w:val="24"/>
          <w:lang w:eastAsia="da-DK"/>
        </w:rPr>
        <w:t>levetiracetam</w:t>
      </w:r>
      <w:proofErr w:type="spellEnd"/>
      <w:r w:rsidRPr="00D961BD">
        <w:rPr>
          <w:sz w:val="24"/>
          <w:szCs w:val="24"/>
          <w:lang w:eastAsia="da-DK"/>
        </w:rPr>
        <w:t xml:space="preserve"> eller den primære metabolit bindes signifikant til plasmaproteiner </w:t>
      </w:r>
      <w:r>
        <w:rPr>
          <w:sz w:val="24"/>
          <w:szCs w:val="24"/>
          <w:lang w:eastAsia="da-DK"/>
        </w:rPr>
        <w:t>(&lt; 10 %)</w:t>
      </w:r>
      <w:r w:rsidRPr="00D961BD">
        <w:rPr>
          <w:sz w:val="24"/>
          <w:szCs w:val="24"/>
          <w:lang w:eastAsia="da-DK"/>
        </w:rPr>
        <w:t>.</w:t>
      </w:r>
    </w:p>
    <w:p w:rsidR="00B73392" w:rsidRPr="00D961BD" w:rsidRDefault="00B73392" w:rsidP="00B73392">
      <w:pPr>
        <w:autoSpaceDE w:val="0"/>
        <w:autoSpaceDN w:val="0"/>
        <w:adjustRightInd w:val="0"/>
        <w:ind w:left="851"/>
        <w:rPr>
          <w:sz w:val="24"/>
          <w:szCs w:val="24"/>
        </w:rPr>
      </w:pPr>
      <w:r w:rsidRPr="00D961BD">
        <w:rPr>
          <w:sz w:val="24"/>
          <w:szCs w:val="24"/>
          <w:lang w:eastAsia="da-DK"/>
        </w:rPr>
        <w:t xml:space="preserve">Fordelingsvolumen for </w:t>
      </w:r>
      <w:proofErr w:type="spellStart"/>
      <w:r w:rsidRPr="00D961BD">
        <w:rPr>
          <w:sz w:val="24"/>
          <w:szCs w:val="24"/>
          <w:lang w:eastAsia="da-DK"/>
        </w:rPr>
        <w:t>levetiracetam</w:t>
      </w:r>
      <w:proofErr w:type="spellEnd"/>
      <w:r w:rsidRPr="00D961BD">
        <w:rPr>
          <w:sz w:val="24"/>
          <w:szCs w:val="24"/>
          <w:lang w:eastAsia="da-DK"/>
        </w:rPr>
        <w:t xml:space="preserve"> er ca. 0,5 til 0,7 l/kg, en værdi der ligger tæt på total volumen af kropsvæske.</w:t>
      </w:r>
    </w:p>
    <w:p w:rsidR="00B73392" w:rsidRPr="00D961BD" w:rsidRDefault="00B73392" w:rsidP="00B73392">
      <w:pPr>
        <w:autoSpaceDE w:val="0"/>
        <w:autoSpaceDN w:val="0"/>
        <w:adjustRightInd w:val="0"/>
        <w:ind w:left="851" w:hanging="851"/>
        <w:rPr>
          <w:sz w:val="24"/>
          <w:szCs w:val="24"/>
          <w:u w:val="single"/>
        </w:rPr>
      </w:pPr>
    </w:p>
    <w:p w:rsidR="00B73392" w:rsidRPr="00D961BD" w:rsidRDefault="00B73392" w:rsidP="00B73392">
      <w:pPr>
        <w:keepNext/>
        <w:autoSpaceDE w:val="0"/>
        <w:autoSpaceDN w:val="0"/>
        <w:adjustRightInd w:val="0"/>
        <w:ind w:left="851"/>
        <w:rPr>
          <w:sz w:val="24"/>
          <w:szCs w:val="24"/>
          <w:u w:val="single"/>
        </w:rPr>
      </w:pPr>
      <w:r w:rsidRPr="00D961BD">
        <w:rPr>
          <w:sz w:val="24"/>
          <w:szCs w:val="24"/>
          <w:u w:val="single"/>
        </w:rPr>
        <w:t>Biotransformation</w:t>
      </w:r>
    </w:p>
    <w:p w:rsidR="00B73392" w:rsidRDefault="00B73392" w:rsidP="00B73392">
      <w:pPr>
        <w:autoSpaceDE w:val="0"/>
        <w:autoSpaceDN w:val="0"/>
        <w:adjustRightInd w:val="0"/>
        <w:ind w:left="851"/>
        <w:rPr>
          <w:sz w:val="24"/>
          <w:szCs w:val="24"/>
          <w:lang w:eastAsia="da-DK"/>
        </w:rPr>
      </w:pPr>
      <w:proofErr w:type="spellStart"/>
      <w:r>
        <w:rPr>
          <w:sz w:val="24"/>
          <w:szCs w:val="24"/>
          <w:lang w:eastAsia="da-DK"/>
        </w:rPr>
        <w:t>Levetiracetam</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ikke i udtalt grad hos mennesker. Den vigtigste </w:t>
      </w:r>
      <w:proofErr w:type="spellStart"/>
      <w:r>
        <w:rPr>
          <w:sz w:val="24"/>
          <w:szCs w:val="24"/>
          <w:lang w:eastAsia="da-DK"/>
        </w:rPr>
        <w:t>metaboliseringsvej</w:t>
      </w:r>
      <w:proofErr w:type="spellEnd"/>
      <w:r>
        <w:rPr>
          <w:sz w:val="24"/>
          <w:szCs w:val="24"/>
          <w:lang w:eastAsia="da-DK"/>
        </w:rPr>
        <w:t xml:space="preserve"> (24 % af dosis) er enzymatisk hydrolyse af </w:t>
      </w:r>
      <w:proofErr w:type="spellStart"/>
      <w:r>
        <w:rPr>
          <w:sz w:val="24"/>
          <w:szCs w:val="24"/>
          <w:lang w:eastAsia="da-DK"/>
        </w:rPr>
        <w:t>acetamid</w:t>
      </w:r>
      <w:proofErr w:type="spellEnd"/>
      <w:r>
        <w:rPr>
          <w:sz w:val="24"/>
          <w:szCs w:val="24"/>
          <w:lang w:eastAsia="da-DK"/>
        </w:rPr>
        <w:t xml:space="preserve"> gruppen. Dannelse af den primære metabolit, </w:t>
      </w:r>
      <w:proofErr w:type="spellStart"/>
      <w:r>
        <w:rPr>
          <w:sz w:val="24"/>
          <w:szCs w:val="24"/>
          <w:lang w:eastAsia="da-DK"/>
        </w:rPr>
        <w:t>ucb</w:t>
      </w:r>
      <w:proofErr w:type="spellEnd"/>
      <w:r>
        <w:rPr>
          <w:sz w:val="24"/>
          <w:szCs w:val="24"/>
          <w:lang w:eastAsia="da-DK"/>
        </w:rPr>
        <w:t xml:space="preserve"> L057 er ikke afhængigt af </w:t>
      </w:r>
      <w:proofErr w:type="spellStart"/>
      <w:r>
        <w:rPr>
          <w:sz w:val="24"/>
          <w:szCs w:val="24"/>
          <w:lang w:eastAsia="da-DK"/>
        </w:rPr>
        <w:t>levercytochrom</w:t>
      </w:r>
      <w:proofErr w:type="spellEnd"/>
      <w:r>
        <w:rPr>
          <w:sz w:val="24"/>
          <w:szCs w:val="24"/>
          <w:lang w:eastAsia="da-DK"/>
        </w:rPr>
        <w:t xml:space="preserve"> P450 </w:t>
      </w:r>
      <w:proofErr w:type="spellStart"/>
      <w:r>
        <w:rPr>
          <w:sz w:val="24"/>
          <w:szCs w:val="24"/>
          <w:lang w:eastAsia="da-DK"/>
        </w:rPr>
        <w:t>isoformer</w:t>
      </w:r>
      <w:proofErr w:type="spellEnd"/>
      <w:r>
        <w:rPr>
          <w:sz w:val="24"/>
          <w:szCs w:val="24"/>
          <w:lang w:eastAsia="da-DK"/>
        </w:rPr>
        <w:t xml:space="preserve">. Hydrolyse af </w:t>
      </w:r>
      <w:proofErr w:type="spellStart"/>
      <w:r>
        <w:rPr>
          <w:sz w:val="24"/>
          <w:szCs w:val="24"/>
          <w:lang w:eastAsia="da-DK"/>
        </w:rPr>
        <w:t>acetamidgruppen</w:t>
      </w:r>
      <w:proofErr w:type="spellEnd"/>
      <w:r>
        <w:rPr>
          <w:sz w:val="24"/>
          <w:szCs w:val="24"/>
          <w:lang w:eastAsia="da-DK"/>
        </w:rPr>
        <w:t xml:space="preserve"> var målelig i en lang række væv inklusive blodceller. Metabolitten </w:t>
      </w:r>
      <w:proofErr w:type="spellStart"/>
      <w:r>
        <w:rPr>
          <w:sz w:val="24"/>
          <w:szCs w:val="24"/>
          <w:lang w:eastAsia="da-DK"/>
        </w:rPr>
        <w:t>ucb</w:t>
      </w:r>
      <w:proofErr w:type="spellEnd"/>
      <w:r>
        <w:rPr>
          <w:sz w:val="24"/>
          <w:szCs w:val="24"/>
          <w:lang w:eastAsia="da-DK"/>
        </w:rPr>
        <w:t xml:space="preserve"> LO57 er farmakologisk inaktiv.</w:t>
      </w:r>
    </w:p>
    <w:p w:rsidR="00B73392"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To mindre metabolitter blev også identificeret. En blev opnået ved </w:t>
      </w:r>
      <w:proofErr w:type="spellStart"/>
      <w:r>
        <w:rPr>
          <w:sz w:val="24"/>
          <w:szCs w:val="24"/>
          <w:lang w:eastAsia="da-DK"/>
        </w:rPr>
        <w:t>hydroxylering</w:t>
      </w:r>
      <w:proofErr w:type="spellEnd"/>
      <w:r>
        <w:rPr>
          <w:sz w:val="24"/>
          <w:szCs w:val="24"/>
          <w:lang w:eastAsia="da-DK"/>
        </w:rPr>
        <w:t xml:space="preserve"> af </w:t>
      </w:r>
      <w:proofErr w:type="spellStart"/>
      <w:r>
        <w:rPr>
          <w:sz w:val="24"/>
          <w:szCs w:val="24"/>
          <w:lang w:eastAsia="da-DK"/>
        </w:rPr>
        <w:t>pyrrolidonringen</w:t>
      </w:r>
      <w:proofErr w:type="spellEnd"/>
      <w:r>
        <w:rPr>
          <w:sz w:val="24"/>
          <w:szCs w:val="24"/>
          <w:lang w:eastAsia="da-DK"/>
        </w:rPr>
        <w:t xml:space="preserve"> (1,6 % af dosis) og den anden ved åbning af </w:t>
      </w:r>
      <w:proofErr w:type="spellStart"/>
      <w:r>
        <w:rPr>
          <w:sz w:val="24"/>
          <w:szCs w:val="24"/>
          <w:lang w:eastAsia="da-DK"/>
        </w:rPr>
        <w:t>pyrrolidonringen</w:t>
      </w:r>
      <w:proofErr w:type="spellEnd"/>
      <w:r>
        <w:rPr>
          <w:sz w:val="24"/>
          <w:szCs w:val="24"/>
          <w:lang w:eastAsia="da-DK"/>
        </w:rPr>
        <w:t xml:space="preserve"> (0,9 % af dosis).</w:t>
      </w:r>
    </w:p>
    <w:p w:rsidR="00B73392" w:rsidRDefault="00B73392" w:rsidP="00B73392">
      <w:pPr>
        <w:autoSpaceDE w:val="0"/>
        <w:autoSpaceDN w:val="0"/>
        <w:adjustRightInd w:val="0"/>
        <w:ind w:left="851"/>
        <w:rPr>
          <w:sz w:val="24"/>
          <w:szCs w:val="24"/>
          <w:lang w:eastAsia="da-DK"/>
        </w:rPr>
      </w:pPr>
      <w:r>
        <w:rPr>
          <w:sz w:val="24"/>
          <w:szCs w:val="24"/>
          <w:lang w:eastAsia="da-DK"/>
        </w:rPr>
        <w:t>Andre uidentificerede komponenter udgjorde kun 0,6 % af dosis.</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i/>
          <w:iCs/>
          <w:sz w:val="24"/>
          <w:szCs w:val="24"/>
          <w:lang w:eastAsia="da-DK"/>
        </w:rPr>
        <w:t xml:space="preserve">In </w:t>
      </w:r>
      <w:proofErr w:type="spellStart"/>
      <w:r w:rsidRPr="00D961BD">
        <w:rPr>
          <w:i/>
          <w:iCs/>
          <w:sz w:val="24"/>
          <w:szCs w:val="24"/>
          <w:lang w:eastAsia="da-DK"/>
        </w:rPr>
        <w:t>vivo</w:t>
      </w:r>
      <w:proofErr w:type="spellEnd"/>
      <w:r w:rsidRPr="00D961BD">
        <w:rPr>
          <w:i/>
          <w:iCs/>
          <w:sz w:val="24"/>
          <w:szCs w:val="24"/>
          <w:lang w:eastAsia="da-DK"/>
        </w:rPr>
        <w:t xml:space="preserve"> </w:t>
      </w:r>
      <w:r w:rsidRPr="00D961BD">
        <w:rPr>
          <w:sz w:val="24"/>
          <w:szCs w:val="24"/>
          <w:lang w:eastAsia="da-DK"/>
        </w:rPr>
        <w:t xml:space="preserve">blev der ikke påvist </w:t>
      </w:r>
      <w:proofErr w:type="spellStart"/>
      <w:r w:rsidRPr="00D961BD">
        <w:rPr>
          <w:sz w:val="24"/>
          <w:szCs w:val="24"/>
          <w:lang w:eastAsia="da-DK"/>
        </w:rPr>
        <w:t>enantiomerisk</w:t>
      </w:r>
      <w:proofErr w:type="spellEnd"/>
      <w:r w:rsidRPr="00D961BD">
        <w:rPr>
          <w:sz w:val="24"/>
          <w:szCs w:val="24"/>
          <w:lang w:eastAsia="da-DK"/>
        </w:rPr>
        <w:t xml:space="preserve"> omdannelse for </w:t>
      </w:r>
      <w:proofErr w:type="spellStart"/>
      <w:r w:rsidRPr="00D961BD">
        <w:rPr>
          <w:sz w:val="24"/>
          <w:szCs w:val="24"/>
          <w:lang w:eastAsia="da-DK"/>
        </w:rPr>
        <w:t>levetiracetam</w:t>
      </w:r>
      <w:proofErr w:type="spellEnd"/>
      <w:r w:rsidRPr="00D961BD">
        <w:rPr>
          <w:sz w:val="24"/>
          <w:szCs w:val="24"/>
          <w:lang w:eastAsia="da-DK"/>
        </w:rPr>
        <w:t xml:space="preserve"> og dets primære metabolit. </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r w:rsidRPr="00D961BD">
        <w:rPr>
          <w:sz w:val="24"/>
          <w:szCs w:val="24"/>
          <w:lang w:eastAsia="da-DK"/>
        </w:rPr>
        <w:t xml:space="preserve">studier viste, at </w:t>
      </w:r>
      <w:proofErr w:type="spellStart"/>
      <w:r w:rsidRPr="00D961BD">
        <w:rPr>
          <w:sz w:val="24"/>
          <w:szCs w:val="24"/>
          <w:lang w:eastAsia="da-DK"/>
        </w:rPr>
        <w:t>levetiracetam</w:t>
      </w:r>
      <w:proofErr w:type="spellEnd"/>
      <w:r w:rsidRPr="00D961BD">
        <w:rPr>
          <w:sz w:val="24"/>
          <w:szCs w:val="24"/>
          <w:lang w:eastAsia="da-DK"/>
        </w:rPr>
        <w:t xml:space="preserve"> og dets primære metabolit ikke hæmmer de vigtigste human lever </w:t>
      </w:r>
      <w:proofErr w:type="spellStart"/>
      <w:r w:rsidRPr="00D961BD">
        <w:rPr>
          <w:sz w:val="24"/>
          <w:szCs w:val="24"/>
          <w:lang w:eastAsia="da-DK"/>
        </w:rPr>
        <w:t>cytochrom</w:t>
      </w:r>
      <w:proofErr w:type="spellEnd"/>
      <w:r w:rsidRPr="00D961BD">
        <w:rPr>
          <w:sz w:val="24"/>
          <w:szCs w:val="24"/>
          <w:lang w:eastAsia="da-DK"/>
        </w:rPr>
        <w:t xml:space="preserve"> P450 </w:t>
      </w:r>
      <w:proofErr w:type="spellStart"/>
      <w:r w:rsidRPr="00D961BD">
        <w:rPr>
          <w:sz w:val="24"/>
          <w:szCs w:val="24"/>
          <w:lang w:eastAsia="da-DK"/>
        </w:rPr>
        <w:t>isoformer</w:t>
      </w:r>
      <w:proofErr w:type="spellEnd"/>
      <w:r w:rsidRPr="00D961BD">
        <w:rPr>
          <w:sz w:val="24"/>
          <w:szCs w:val="24"/>
          <w:lang w:eastAsia="da-DK"/>
        </w:rPr>
        <w:t xml:space="preserve"> (CYP3A4, 2A6, 2C9, 2C19, 2D6, 2E1 og 1A2), </w:t>
      </w:r>
      <w:proofErr w:type="spellStart"/>
      <w:r w:rsidRPr="00D961BD">
        <w:rPr>
          <w:sz w:val="24"/>
          <w:szCs w:val="24"/>
          <w:lang w:eastAsia="da-DK"/>
        </w:rPr>
        <w:t>glucuronyltransferase</w:t>
      </w:r>
      <w:proofErr w:type="spellEnd"/>
      <w:r w:rsidRPr="00D961BD">
        <w:rPr>
          <w:sz w:val="24"/>
          <w:szCs w:val="24"/>
          <w:lang w:eastAsia="da-DK"/>
        </w:rPr>
        <w:t xml:space="preserve"> (UGT1A1 og UGT1A6) og </w:t>
      </w:r>
      <w:proofErr w:type="spellStart"/>
      <w:r w:rsidRPr="00D961BD">
        <w:rPr>
          <w:sz w:val="24"/>
          <w:szCs w:val="24"/>
          <w:lang w:eastAsia="da-DK"/>
        </w:rPr>
        <w:t>epoxid</w:t>
      </w:r>
      <w:proofErr w:type="spellEnd"/>
      <w:r w:rsidRPr="00D961BD">
        <w:rPr>
          <w:sz w:val="24"/>
          <w:szCs w:val="24"/>
          <w:lang w:eastAsia="da-DK"/>
        </w:rPr>
        <w:t xml:space="preserve"> hydroxylase aktiviteter. Desuden påvirker </w:t>
      </w:r>
      <w:proofErr w:type="spellStart"/>
      <w:r w:rsidRPr="00D961BD">
        <w:rPr>
          <w:sz w:val="24"/>
          <w:szCs w:val="24"/>
          <w:lang w:eastAsia="da-DK"/>
        </w:rPr>
        <w:t>levetiracetam</w:t>
      </w:r>
      <w:proofErr w:type="spellEnd"/>
      <w:r w:rsidRPr="00D961BD">
        <w:rPr>
          <w:sz w:val="24"/>
          <w:szCs w:val="24"/>
          <w:lang w:eastAsia="da-DK"/>
        </w:rPr>
        <w:t xml:space="preserve"> ikke </w:t>
      </w: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proofErr w:type="spellStart"/>
      <w:r w:rsidRPr="00D961BD">
        <w:rPr>
          <w:sz w:val="24"/>
          <w:szCs w:val="24"/>
          <w:lang w:eastAsia="da-DK"/>
        </w:rPr>
        <w:t>glukuronidering</w:t>
      </w:r>
      <w:proofErr w:type="spellEnd"/>
      <w:r w:rsidRPr="00D961BD">
        <w:rPr>
          <w:sz w:val="24"/>
          <w:szCs w:val="24"/>
          <w:lang w:eastAsia="da-DK"/>
        </w:rPr>
        <w:t xml:space="preserve"> af </w:t>
      </w:r>
      <w:proofErr w:type="spellStart"/>
      <w:r w:rsidRPr="00D961BD">
        <w:rPr>
          <w:sz w:val="24"/>
          <w:szCs w:val="24"/>
          <w:lang w:eastAsia="da-DK"/>
        </w:rPr>
        <w:t>valproatsyre</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proofErr w:type="spellStart"/>
      <w:r w:rsidRPr="00D961BD">
        <w:rPr>
          <w:sz w:val="24"/>
          <w:szCs w:val="24"/>
          <w:lang w:eastAsia="da-DK"/>
        </w:rPr>
        <w:t>Levetiracetam</w:t>
      </w:r>
      <w:proofErr w:type="spellEnd"/>
      <w:r w:rsidRPr="00D961BD">
        <w:rPr>
          <w:sz w:val="24"/>
          <w:szCs w:val="24"/>
          <w:lang w:eastAsia="da-DK"/>
        </w:rPr>
        <w:t xml:space="preserve"> fremkaldte ikke enzyminduktion i dyrkede humane </w:t>
      </w:r>
      <w:proofErr w:type="spellStart"/>
      <w:r w:rsidRPr="00D961BD">
        <w:rPr>
          <w:sz w:val="24"/>
          <w:szCs w:val="24"/>
          <w:lang w:eastAsia="da-DK"/>
        </w:rPr>
        <w:t>hepatocytter</w:t>
      </w:r>
      <w:proofErr w:type="spellEnd"/>
      <w:r w:rsidRPr="00D961BD">
        <w:rPr>
          <w:sz w:val="24"/>
          <w:szCs w:val="24"/>
          <w:lang w:eastAsia="da-DK"/>
        </w:rPr>
        <w:t xml:space="preserve">, og </w:t>
      </w:r>
      <w:proofErr w:type="spellStart"/>
      <w:r w:rsidRPr="00D961BD">
        <w:rPr>
          <w:sz w:val="24"/>
          <w:szCs w:val="24"/>
          <w:lang w:eastAsia="da-DK"/>
        </w:rPr>
        <w:t>levetiracetam</w:t>
      </w:r>
      <w:proofErr w:type="spellEnd"/>
      <w:r w:rsidRPr="00D961BD">
        <w:rPr>
          <w:sz w:val="24"/>
          <w:szCs w:val="24"/>
          <w:lang w:eastAsia="da-DK"/>
        </w:rPr>
        <w:t xml:space="preserve"> havde ingen eller lille virkning på CYP1A2, SULT1E1 eller UGT1A1. </w:t>
      </w:r>
      <w:proofErr w:type="spellStart"/>
      <w:r w:rsidRPr="00D961BD">
        <w:rPr>
          <w:sz w:val="24"/>
          <w:szCs w:val="24"/>
          <w:lang w:eastAsia="da-DK"/>
        </w:rPr>
        <w:t>Levetiracetam</w:t>
      </w:r>
      <w:proofErr w:type="spellEnd"/>
      <w:r w:rsidRPr="00D961BD">
        <w:rPr>
          <w:sz w:val="24"/>
          <w:szCs w:val="24"/>
          <w:lang w:eastAsia="da-DK"/>
        </w:rPr>
        <w:t xml:space="preserve"> forårsagede let induktion af CYP2B6 og CYP3A4. </w:t>
      </w:r>
      <w:r w:rsidRPr="00D961BD">
        <w:rPr>
          <w:i/>
          <w:iCs/>
          <w:sz w:val="24"/>
          <w:szCs w:val="24"/>
          <w:lang w:eastAsia="da-DK"/>
        </w:rPr>
        <w:t xml:space="preserve">In </w:t>
      </w:r>
      <w:proofErr w:type="spellStart"/>
      <w:r w:rsidRPr="00D961BD">
        <w:rPr>
          <w:i/>
          <w:iCs/>
          <w:sz w:val="24"/>
          <w:szCs w:val="24"/>
          <w:lang w:eastAsia="da-DK"/>
        </w:rPr>
        <w:t>vitro</w:t>
      </w:r>
      <w:proofErr w:type="spellEnd"/>
      <w:r w:rsidRPr="00D961BD">
        <w:rPr>
          <w:i/>
          <w:iCs/>
          <w:sz w:val="24"/>
          <w:szCs w:val="24"/>
          <w:lang w:eastAsia="da-DK"/>
        </w:rPr>
        <w:t xml:space="preserve"> </w:t>
      </w:r>
      <w:r w:rsidRPr="00D961BD">
        <w:rPr>
          <w:sz w:val="24"/>
          <w:szCs w:val="24"/>
          <w:lang w:eastAsia="da-DK"/>
        </w:rPr>
        <w:t xml:space="preserve">data og </w:t>
      </w:r>
      <w:r w:rsidRPr="00D961BD">
        <w:rPr>
          <w:i/>
          <w:iCs/>
          <w:sz w:val="24"/>
          <w:szCs w:val="24"/>
          <w:lang w:eastAsia="da-DK"/>
        </w:rPr>
        <w:t xml:space="preserve">in </w:t>
      </w:r>
      <w:proofErr w:type="spellStart"/>
      <w:r w:rsidRPr="00D961BD">
        <w:rPr>
          <w:i/>
          <w:iCs/>
          <w:sz w:val="24"/>
          <w:szCs w:val="24"/>
          <w:lang w:eastAsia="da-DK"/>
        </w:rPr>
        <w:t>vivo</w:t>
      </w:r>
      <w:proofErr w:type="spellEnd"/>
      <w:r w:rsidRPr="00D961BD">
        <w:rPr>
          <w:i/>
          <w:iCs/>
          <w:sz w:val="24"/>
          <w:szCs w:val="24"/>
          <w:lang w:eastAsia="da-DK"/>
        </w:rPr>
        <w:t xml:space="preserve"> </w:t>
      </w:r>
      <w:r w:rsidRPr="00D961BD">
        <w:rPr>
          <w:sz w:val="24"/>
          <w:szCs w:val="24"/>
          <w:lang w:eastAsia="da-DK"/>
        </w:rPr>
        <w:t xml:space="preserve">interaktionsdata med orale antikonceptionsmidler, </w:t>
      </w:r>
      <w:proofErr w:type="spellStart"/>
      <w:r w:rsidRPr="00D961BD">
        <w:rPr>
          <w:sz w:val="24"/>
          <w:szCs w:val="24"/>
          <w:lang w:eastAsia="da-DK"/>
        </w:rPr>
        <w:t>digoxin</w:t>
      </w:r>
      <w:proofErr w:type="spellEnd"/>
      <w:r w:rsidRPr="00D961BD">
        <w:rPr>
          <w:sz w:val="24"/>
          <w:szCs w:val="24"/>
          <w:lang w:eastAsia="da-DK"/>
        </w:rPr>
        <w:t xml:space="preserve"> og </w:t>
      </w:r>
      <w:proofErr w:type="spellStart"/>
      <w:r w:rsidRPr="00D961BD">
        <w:rPr>
          <w:sz w:val="24"/>
          <w:szCs w:val="24"/>
          <w:lang w:eastAsia="da-DK"/>
        </w:rPr>
        <w:t>warfarin</w:t>
      </w:r>
      <w:proofErr w:type="spellEnd"/>
      <w:r w:rsidRPr="00D961BD">
        <w:rPr>
          <w:sz w:val="24"/>
          <w:szCs w:val="24"/>
          <w:lang w:eastAsia="da-DK"/>
        </w:rPr>
        <w:t xml:space="preserve"> viste, at der ikke kan forventes signifikant enzyminduktion </w:t>
      </w:r>
      <w:r w:rsidRPr="00D961BD">
        <w:rPr>
          <w:i/>
          <w:iCs/>
          <w:sz w:val="24"/>
          <w:szCs w:val="24"/>
          <w:lang w:eastAsia="da-DK"/>
        </w:rPr>
        <w:t xml:space="preserve">in </w:t>
      </w:r>
      <w:proofErr w:type="spellStart"/>
      <w:r w:rsidRPr="00D961BD">
        <w:rPr>
          <w:i/>
          <w:iCs/>
          <w:sz w:val="24"/>
          <w:szCs w:val="24"/>
          <w:lang w:eastAsia="da-DK"/>
        </w:rPr>
        <w:t>vivo</w:t>
      </w:r>
      <w:proofErr w:type="spellEnd"/>
      <w:r w:rsidRPr="00D961BD">
        <w:rPr>
          <w:sz w:val="24"/>
          <w:szCs w:val="24"/>
          <w:lang w:eastAsia="da-DK"/>
        </w:rPr>
        <w:t xml:space="preserve">. Derfor er interaktion mellem </w:t>
      </w:r>
      <w:proofErr w:type="spellStart"/>
      <w:r w:rsidRPr="00D961BD">
        <w:rPr>
          <w:sz w:val="24"/>
          <w:szCs w:val="24"/>
          <w:lang w:eastAsia="da-DK"/>
        </w:rPr>
        <w:t>levetiracetam</w:t>
      </w:r>
      <w:proofErr w:type="spellEnd"/>
      <w:r w:rsidRPr="00D961BD">
        <w:rPr>
          <w:sz w:val="24"/>
          <w:szCs w:val="24"/>
          <w:lang w:eastAsia="da-DK"/>
        </w:rPr>
        <w:t xml:space="preserve"> og andre lægemidler eller </w:t>
      </w:r>
      <w:r w:rsidRPr="00D961BD">
        <w:rPr>
          <w:i/>
          <w:iCs/>
          <w:sz w:val="24"/>
          <w:szCs w:val="24"/>
          <w:lang w:eastAsia="da-DK"/>
        </w:rPr>
        <w:t xml:space="preserve">vice versa </w:t>
      </w:r>
      <w:r w:rsidRPr="00D961BD">
        <w:rPr>
          <w:sz w:val="24"/>
          <w:szCs w:val="24"/>
          <w:lang w:eastAsia="da-DK"/>
        </w:rPr>
        <w:t>ikke sandsynlig.</w:t>
      </w:r>
    </w:p>
    <w:p w:rsidR="00B73392" w:rsidRPr="00D961BD" w:rsidRDefault="00B73392" w:rsidP="00B73392">
      <w:pPr>
        <w:autoSpaceDE w:val="0"/>
        <w:autoSpaceDN w:val="0"/>
        <w:adjustRightInd w:val="0"/>
        <w:ind w:left="851" w:hanging="851"/>
        <w:rPr>
          <w:sz w:val="24"/>
          <w:szCs w:val="24"/>
        </w:rPr>
      </w:pPr>
    </w:p>
    <w:p w:rsidR="00B73392" w:rsidRPr="00D961BD" w:rsidRDefault="00B73392" w:rsidP="002775A7">
      <w:pPr>
        <w:keepNext/>
        <w:ind w:left="851"/>
        <w:rPr>
          <w:sz w:val="24"/>
          <w:szCs w:val="24"/>
          <w:u w:val="single"/>
        </w:rPr>
      </w:pPr>
      <w:r w:rsidRPr="00D961BD">
        <w:rPr>
          <w:sz w:val="24"/>
          <w:szCs w:val="24"/>
          <w:u w:val="single"/>
        </w:rPr>
        <w:t>Elimination</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Halveringstiden for </w:t>
      </w:r>
      <w:proofErr w:type="spellStart"/>
      <w:r w:rsidRPr="00D961BD">
        <w:rPr>
          <w:sz w:val="24"/>
          <w:szCs w:val="24"/>
          <w:lang w:eastAsia="da-DK"/>
        </w:rPr>
        <w:t>levetiracetam</w:t>
      </w:r>
      <w:proofErr w:type="spellEnd"/>
      <w:r w:rsidRPr="00D961BD">
        <w:rPr>
          <w:sz w:val="24"/>
          <w:szCs w:val="24"/>
          <w:lang w:eastAsia="da-DK"/>
        </w:rPr>
        <w:t xml:space="preserve"> hos voksne var 7±1 timer og påvirkedes hverken af dosis, administrationsvej eller gentagen dosering. Den gennemsnitlige totale </w:t>
      </w:r>
      <w:proofErr w:type="spellStart"/>
      <w:r w:rsidRPr="00D961BD">
        <w:rPr>
          <w:sz w:val="24"/>
          <w:szCs w:val="24"/>
          <w:lang w:eastAsia="da-DK"/>
        </w:rPr>
        <w:t>kropsclearance</w:t>
      </w:r>
      <w:proofErr w:type="spellEnd"/>
      <w:r w:rsidRPr="00D961BD">
        <w:rPr>
          <w:sz w:val="24"/>
          <w:szCs w:val="24"/>
          <w:lang w:eastAsia="da-DK"/>
        </w:rPr>
        <w:t xml:space="preserve"> var 0,96 ml/min/kg.</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Hovedparten blev udskilt </w:t>
      </w:r>
      <w:r w:rsidRPr="00D961BD">
        <w:rPr>
          <w:i/>
          <w:iCs/>
          <w:sz w:val="24"/>
          <w:szCs w:val="24"/>
          <w:lang w:eastAsia="da-DK"/>
        </w:rPr>
        <w:t xml:space="preserve">via </w:t>
      </w:r>
      <w:r w:rsidRPr="00D961BD">
        <w:rPr>
          <w:sz w:val="24"/>
          <w:szCs w:val="24"/>
          <w:lang w:eastAsia="da-DK"/>
        </w:rPr>
        <w:t xml:space="preserve">urinen, gennemsnitligt 95 % af dosis (ca. 93 % af dosis var udskilt indenfor 48 timer). Udskillelse </w:t>
      </w:r>
      <w:r w:rsidRPr="00D961BD">
        <w:rPr>
          <w:i/>
          <w:iCs/>
          <w:sz w:val="24"/>
          <w:szCs w:val="24"/>
          <w:lang w:eastAsia="da-DK"/>
        </w:rPr>
        <w:t xml:space="preserve">via </w:t>
      </w:r>
      <w:r w:rsidRPr="00D961BD">
        <w:rPr>
          <w:sz w:val="24"/>
          <w:szCs w:val="24"/>
          <w:lang w:eastAsia="da-DK"/>
        </w:rPr>
        <w:t>fæces omfattede kun 0,3 % af dosis.</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Den akkumulerede urinudskillelse af </w:t>
      </w:r>
      <w:proofErr w:type="spellStart"/>
      <w:r w:rsidRPr="00D961BD">
        <w:rPr>
          <w:sz w:val="24"/>
          <w:szCs w:val="24"/>
          <w:lang w:eastAsia="da-DK"/>
        </w:rPr>
        <w:t>levetiracetam</w:t>
      </w:r>
      <w:proofErr w:type="spellEnd"/>
      <w:r w:rsidRPr="00D961BD">
        <w:rPr>
          <w:sz w:val="24"/>
          <w:szCs w:val="24"/>
          <w:lang w:eastAsia="da-DK"/>
        </w:rPr>
        <w:t xml:space="preserve"> og dets primære metabolit var inden for de første 48 timer henholdsvis 66 % og 24 % af dosis.</w:t>
      </w:r>
    </w:p>
    <w:p w:rsidR="00B73392" w:rsidRPr="00D961BD" w:rsidRDefault="00B73392" w:rsidP="00B73392">
      <w:pPr>
        <w:autoSpaceDE w:val="0"/>
        <w:autoSpaceDN w:val="0"/>
        <w:adjustRightInd w:val="0"/>
        <w:ind w:left="851"/>
        <w:rPr>
          <w:sz w:val="24"/>
          <w:szCs w:val="24"/>
        </w:rPr>
      </w:pPr>
      <w:proofErr w:type="spellStart"/>
      <w:r w:rsidRPr="00D961BD">
        <w:rPr>
          <w:sz w:val="24"/>
          <w:szCs w:val="24"/>
          <w:lang w:eastAsia="da-DK"/>
        </w:rPr>
        <w:lastRenderedPageBreak/>
        <w:t>Renal</w:t>
      </w:r>
      <w:proofErr w:type="spellEnd"/>
      <w:r w:rsidRPr="00D961BD">
        <w:rPr>
          <w:sz w:val="24"/>
          <w:szCs w:val="24"/>
          <w:lang w:eastAsia="da-DK"/>
        </w:rPr>
        <w:t xml:space="preserve"> udskillelse af </w:t>
      </w:r>
      <w:proofErr w:type="spellStart"/>
      <w:r w:rsidRPr="00D961BD">
        <w:rPr>
          <w:sz w:val="24"/>
          <w:szCs w:val="24"/>
          <w:lang w:eastAsia="da-DK"/>
        </w:rPr>
        <w:t>levetiracetam</w:t>
      </w:r>
      <w:proofErr w:type="spellEnd"/>
      <w:r w:rsidRPr="00D961BD">
        <w:rPr>
          <w:sz w:val="24"/>
          <w:szCs w:val="24"/>
          <w:lang w:eastAsia="da-DK"/>
        </w:rPr>
        <w:t xml:space="preserve"> og </w:t>
      </w:r>
      <w:proofErr w:type="spellStart"/>
      <w:r w:rsidRPr="00D961BD">
        <w:rPr>
          <w:sz w:val="24"/>
          <w:szCs w:val="24"/>
          <w:lang w:eastAsia="da-DK"/>
        </w:rPr>
        <w:t>ucb</w:t>
      </w:r>
      <w:proofErr w:type="spellEnd"/>
      <w:r w:rsidRPr="00D961BD">
        <w:rPr>
          <w:sz w:val="24"/>
          <w:szCs w:val="24"/>
          <w:lang w:eastAsia="da-DK"/>
        </w:rPr>
        <w:t xml:space="preserve"> L057 er henholdsvis 0,6 og 4,2ml/min/kg, hvilket tyder på at </w:t>
      </w:r>
      <w:proofErr w:type="spellStart"/>
      <w:r w:rsidRPr="00D961BD">
        <w:rPr>
          <w:sz w:val="24"/>
          <w:szCs w:val="24"/>
          <w:lang w:eastAsia="da-DK"/>
        </w:rPr>
        <w:t>levetiracetam</w:t>
      </w:r>
      <w:proofErr w:type="spellEnd"/>
      <w:r w:rsidRPr="00D961BD">
        <w:rPr>
          <w:sz w:val="24"/>
          <w:szCs w:val="24"/>
          <w:lang w:eastAsia="da-DK"/>
        </w:rPr>
        <w:t xml:space="preserve"> udskilles ved hjælp af </w:t>
      </w:r>
      <w:proofErr w:type="spellStart"/>
      <w:r w:rsidRPr="00D961BD">
        <w:rPr>
          <w:sz w:val="24"/>
          <w:szCs w:val="24"/>
          <w:lang w:eastAsia="da-DK"/>
        </w:rPr>
        <w:t>glomerulær</w:t>
      </w:r>
      <w:proofErr w:type="spellEnd"/>
      <w:r w:rsidRPr="00D961BD">
        <w:rPr>
          <w:sz w:val="24"/>
          <w:szCs w:val="24"/>
          <w:lang w:eastAsia="da-DK"/>
        </w:rPr>
        <w:t xml:space="preserve"> filtration og efterfølgende </w:t>
      </w:r>
      <w:proofErr w:type="spellStart"/>
      <w:r w:rsidRPr="00D961BD">
        <w:rPr>
          <w:sz w:val="24"/>
          <w:szCs w:val="24"/>
          <w:lang w:eastAsia="da-DK"/>
        </w:rPr>
        <w:t>tubulær</w:t>
      </w:r>
      <w:proofErr w:type="spellEnd"/>
      <w:r w:rsidRPr="00D961BD">
        <w:rPr>
          <w:sz w:val="24"/>
          <w:szCs w:val="24"/>
          <w:lang w:eastAsia="da-DK"/>
        </w:rPr>
        <w:t xml:space="preserve"> </w:t>
      </w:r>
      <w:proofErr w:type="spellStart"/>
      <w:r w:rsidRPr="00D961BD">
        <w:rPr>
          <w:sz w:val="24"/>
          <w:szCs w:val="24"/>
          <w:lang w:eastAsia="da-DK"/>
        </w:rPr>
        <w:t>reabsorption</w:t>
      </w:r>
      <w:proofErr w:type="spellEnd"/>
      <w:r w:rsidRPr="00D961BD">
        <w:rPr>
          <w:sz w:val="24"/>
          <w:szCs w:val="24"/>
          <w:lang w:eastAsia="da-DK"/>
        </w:rPr>
        <w:t xml:space="preserve"> og at den primære metabolit også udskilles ved hjælp af aktiv </w:t>
      </w:r>
      <w:proofErr w:type="spellStart"/>
      <w:r w:rsidRPr="00D961BD">
        <w:rPr>
          <w:sz w:val="24"/>
          <w:szCs w:val="24"/>
          <w:lang w:eastAsia="da-DK"/>
        </w:rPr>
        <w:t>tubulær</w:t>
      </w:r>
      <w:proofErr w:type="spellEnd"/>
      <w:r w:rsidRPr="00D961BD">
        <w:rPr>
          <w:sz w:val="24"/>
          <w:szCs w:val="24"/>
          <w:lang w:eastAsia="da-DK"/>
        </w:rPr>
        <w:t xml:space="preserve"> sekretion som tillæg til </w:t>
      </w:r>
      <w:proofErr w:type="spellStart"/>
      <w:r w:rsidRPr="00D961BD">
        <w:rPr>
          <w:sz w:val="24"/>
          <w:szCs w:val="24"/>
          <w:lang w:eastAsia="da-DK"/>
        </w:rPr>
        <w:t>glomerulær</w:t>
      </w:r>
      <w:proofErr w:type="spellEnd"/>
      <w:r w:rsidRPr="00D961BD">
        <w:rPr>
          <w:sz w:val="24"/>
          <w:szCs w:val="24"/>
          <w:lang w:eastAsia="da-DK"/>
        </w:rPr>
        <w:t xml:space="preserve"> filtration. Elimination af </w:t>
      </w:r>
      <w:proofErr w:type="spellStart"/>
      <w:r w:rsidRPr="00D961BD">
        <w:rPr>
          <w:sz w:val="24"/>
          <w:szCs w:val="24"/>
          <w:lang w:eastAsia="da-DK"/>
        </w:rPr>
        <w:t>levetiracetam</w:t>
      </w:r>
      <w:proofErr w:type="spellEnd"/>
      <w:r w:rsidRPr="00D961BD">
        <w:rPr>
          <w:sz w:val="24"/>
          <w:szCs w:val="24"/>
          <w:lang w:eastAsia="da-DK"/>
        </w:rPr>
        <w:t xml:space="preserve"> er korreleret til </w:t>
      </w:r>
      <w:proofErr w:type="spellStart"/>
      <w:r w:rsidRPr="00D961BD">
        <w:rPr>
          <w:sz w:val="24"/>
          <w:szCs w:val="24"/>
          <w:lang w:eastAsia="da-DK"/>
        </w:rPr>
        <w:t>kreatininclearance</w:t>
      </w:r>
      <w:proofErr w:type="spellEnd"/>
      <w:r w:rsidRPr="00D961BD">
        <w:rPr>
          <w:sz w:val="24"/>
          <w:szCs w:val="24"/>
          <w:lang w:eastAsia="da-DK"/>
        </w:rPr>
        <w:t>.</w:t>
      </w:r>
    </w:p>
    <w:p w:rsidR="00B73392" w:rsidRPr="00D961BD" w:rsidRDefault="00B73392" w:rsidP="00B73392">
      <w:pPr>
        <w:autoSpaceDE w:val="0"/>
        <w:autoSpaceDN w:val="0"/>
        <w:adjustRightInd w:val="0"/>
        <w:ind w:left="851" w:hanging="851"/>
        <w:rPr>
          <w:sz w:val="24"/>
          <w:szCs w:val="24"/>
          <w:u w:val="single"/>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Ældre</w:t>
      </w:r>
    </w:p>
    <w:p w:rsidR="00B73392" w:rsidRPr="00D961BD" w:rsidRDefault="00B73392" w:rsidP="00B73392">
      <w:pPr>
        <w:autoSpaceDE w:val="0"/>
        <w:autoSpaceDN w:val="0"/>
        <w:adjustRightInd w:val="0"/>
        <w:ind w:left="851"/>
        <w:rPr>
          <w:sz w:val="24"/>
          <w:szCs w:val="24"/>
        </w:rPr>
      </w:pPr>
      <w:r w:rsidRPr="00D961BD">
        <w:rPr>
          <w:sz w:val="24"/>
          <w:szCs w:val="24"/>
        </w:rPr>
        <w:t>Hos ældre er halveringstiden øget med ca. 40 % (10-11 timer). Dette er relateret til nedsat nyrefunktion hos denne population (se pkt. 4.2).</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Nedsat nyrefunktion</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Den tilsyneladende </w:t>
      </w:r>
      <w:proofErr w:type="spellStart"/>
      <w:r w:rsidRPr="00D961BD">
        <w:rPr>
          <w:sz w:val="24"/>
          <w:szCs w:val="24"/>
          <w:lang w:eastAsia="da-DK"/>
        </w:rPr>
        <w:t>clearance</w:t>
      </w:r>
      <w:proofErr w:type="spellEnd"/>
      <w:r w:rsidRPr="00D961BD">
        <w:rPr>
          <w:sz w:val="24"/>
          <w:szCs w:val="24"/>
          <w:lang w:eastAsia="da-DK"/>
        </w:rPr>
        <w:t xml:space="preserve"> af </w:t>
      </w:r>
      <w:proofErr w:type="spellStart"/>
      <w:r w:rsidRPr="00D961BD">
        <w:rPr>
          <w:sz w:val="24"/>
          <w:szCs w:val="24"/>
          <w:lang w:eastAsia="da-DK"/>
        </w:rPr>
        <w:t>levetiracetam</w:t>
      </w:r>
      <w:proofErr w:type="spellEnd"/>
      <w:r w:rsidRPr="00D961BD">
        <w:rPr>
          <w:sz w:val="24"/>
          <w:szCs w:val="24"/>
          <w:lang w:eastAsia="da-DK"/>
        </w:rPr>
        <w:t xml:space="preserve"> og dens primære metabolit fra kroppen er korreleret til </w:t>
      </w:r>
      <w:proofErr w:type="spellStart"/>
      <w:r w:rsidRPr="00D961BD">
        <w:rPr>
          <w:sz w:val="24"/>
          <w:szCs w:val="24"/>
          <w:lang w:eastAsia="da-DK"/>
        </w:rPr>
        <w:t>kreatininclearance</w:t>
      </w:r>
      <w:proofErr w:type="spellEnd"/>
      <w:r w:rsidRPr="00D961BD">
        <w:rPr>
          <w:sz w:val="24"/>
          <w:szCs w:val="24"/>
          <w:lang w:eastAsia="da-DK"/>
        </w:rPr>
        <w:t xml:space="preserve">. Hos patienter med moderat og udtalt nyrefunktionsnedsættelse anbefales det derfor at justere daglig vedligeholdelsesdosis af </w:t>
      </w:r>
      <w:proofErr w:type="spellStart"/>
      <w:r w:rsidRPr="00D961BD">
        <w:rPr>
          <w:sz w:val="24"/>
          <w:szCs w:val="24"/>
          <w:lang w:eastAsia="da-DK"/>
        </w:rPr>
        <w:t>levetiracetam</w:t>
      </w:r>
      <w:proofErr w:type="spellEnd"/>
      <w:r w:rsidRPr="00D961BD">
        <w:rPr>
          <w:sz w:val="24"/>
          <w:szCs w:val="24"/>
          <w:lang w:eastAsia="da-DK"/>
        </w:rPr>
        <w:t xml:space="preserve"> i forhold til </w:t>
      </w:r>
      <w:proofErr w:type="spellStart"/>
      <w:r w:rsidRPr="00D961BD">
        <w:rPr>
          <w:sz w:val="24"/>
          <w:szCs w:val="24"/>
          <w:lang w:eastAsia="da-DK"/>
        </w:rPr>
        <w:t>kreatininclearance</w:t>
      </w:r>
      <w:proofErr w:type="spellEnd"/>
      <w:r w:rsidRPr="00D961BD">
        <w:rPr>
          <w:sz w:val="24"/>
          <w:szCs w:val="24"/>
          <w:lang w:eastAsia="da-DK"/>
        </w:rPr>
        <w:t xml:space="preserve"> (se pkt. 4.2).</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Hos voksne patienter i </w:t>
      </w:r>
      <w:proofErr w:type="spellStart"/>
      <w:r w:rsidRPr="00D961BD">
        <w:rPr>
          <w:sz w:val="24"/>
          <w:szCs w:val="24"/>
          <w:lang w:eastAsia="da-DK"/>
        </w:rPr>
        <w:t>anurisk</w:t>
      </w:r>
      <w:proofErr w:type="spellEnd"/>
      <w:r w:rsidRPr="00D961BD">
        <w:rPr>
          <w:sz w:val="24"/>
          <w:szCs w:val="24"/>
          <w:lang w:eastAsia="da-DK"/>
        </w:rPr>
        <w:t xml:space="preserve"> slutstadium af nyresygdom var halveringstiden henholdsvis ca. 25 og 3,1 timer mellem og i dialyseperioderne.</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Den </w:t>
      </w:r>
      <w:proofErr w:type="spellStart"/>
      <w:r w:rsidRPr="00D961BD">
        <w:rPr>
          <w:sz w:val="24"/>
          <w:szCs w:val="24"/>
          <w:lang w:eastAsia="da-DK"/>
        </w:rPr>
        <w:t>fraktionelle</w:t>
      </w:r>
      <w:proofErr w:type="spellEnd"/>
      <w:r w:rsidRPr="00D961BD">
        <w:rPr>
          <w:sz w:val="24"/>
          <w:szCs w:val="24"/>
          <w:lang w:eastAsia="da-DK"/>
        </w:rPr>
        <w:t xml:space="preserve"> eliminering af </w:t>
      </w:r>
      <w:proofErr w:type="spellStart"/>
      <w:r w:rsidRPr="00D961BD">
        <w:rPr>
          <w:sz w:val="24"/>
          <w:szCs w:val="24"/>
          <w:lang w:eastAsia="da-DK"/>
        </w:rPr>
        <w:t>levetiracetam</w:t>
      </w:r>
      <w:proofErr w:type="spellEnd"/>
      <w:r w:rsidRPr="00D961BD">
        <w:rPr>
          <w:sz w:val="24"/>
          <w:szCs w:val="24"/>
          <w:lang w:eastAsia="da-DK"/>
        </w:rPr>
        <w:t xml:space="preserve"> var 51 % under et typisk 4-timers dialyseforløb.</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rPr>
      </w:pPr>
      <w:r w:rsidRPr="00D961BD">
        <w:rPr>
          <w:sz w:val="24"/>
          <w:szCs w:val="24"/>
          <w:u w:val="single"/>
        </w:rPr>
        <w:t>Nedsat leverfunktion</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Hos personer med let og moderat leverfunktionsnedsættelse fandtes der ikke nogen relevant ændring af </w:t>
      </w:r>
      <w:proofErr w:type="spellStart"/>
      <w:r w:rsidRPr="00D961BD">
        <w:rPr>
          <w:sz w:val="24"/>
          <w:szCs w:val="24"/>
          <w:lang w:eastAsia="da-DK"/>
        </w:rPr>
        <w:t>levetiracetam-clearance</w:t>
      </w:r>
      <w:proofErr w:type="spellEnd"/>
      <w:r w:rsidRPr="00D961BD">
        <w:rPr>
          <w:sz w:val="24"/>
          <w:szCs w:val="24"/>
          <w:lang w:eastAsia="da-DK"/>
        </w:rPr>
        <w:t xml:space="preserve">. Hos de fleste personer med svært nedsat leverfunktion var </w:t>
      </w:r>
      <w:proofErr w:type="spellStart"/>
      <w:r w:rsidRPr="00D961BD">
        <w:rPr>
          <w:sz w:val="24"/>
          <w:szCs w:val="24"/>
          <w:lang w:eastAsia="da-DK"/>
        </w:rPr>
        <w:t>levetiracetam-clearance</w:t>
      </w:r>
      <w:proofErr w:type="spellEnd"/>
      <w:r w:rsidRPr="00D961BD">
        <w:rPr>
          <w:sz w:val="24"/>
          <w:szCs w:val="24"/>
          <w:lang w:eastAsia="da-DK"/>
        </w:rPr>
        <w:t xml:space="preserve"> nedsat med mere end 50 % på grund af samtidig nyrefunktionsnedsættelse (se pkt. 4.2).</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Pædiatrisk population</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u w:val="single"/>
        </w:rPr>
      </w:pPr>
      <w:r w:rsidRPr="00D961BD">
        <w:rPr>
          <w:sz w:val="24"/>
          <w:szCs w:val="24"/>
          <w:u w:val="single"/>
        </w:rPr>
        <w:t>Børn (4-12 år)</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Efter indgivelse af en enkelt oral dosis (20 mg/kg) til børn (6-12 år) med epilepsi, var halveringstiden for </w:t>
      </w:r>
      <w:proofErr w:type="spellStart"/>
      <w:r w:rsidRPr="00D961BD">
        <w:rPr>
          <w:sz w:val="24"/>
          <w:szCs w:val="24"/>
          <w:lang w:eastAsia="da-DK"/>
        </w:rPr>
        <w:t>levetiracetam</w:t>
      </w:r>
      <w:proofErr w:type="spellEnd"/>
      <w:r w:rsidRPr="00D961BD">
        <w:rPr>
          <w:sz w:val="24"/>
          <w:szCs w:val="24"/>
          <w:lang w:eastAsia="da-DK"/>
        </w:rPr>
        <w:t xml:space="preserve"> 6,0 timer. Den tilsyneladende vægtjusterede </w:t>
      </w:r>
      <w:proofErr w:type="spellStart"/>
      <w:r w:rsidRPr="00D961BD">
        <w:rPr>
          <w:sz w:val="24"/>
          <w:szCs w:val="24"/>
          <w:lang w:eastAsia="da-DK"/>
        </w:rPr>
        <w:t>kropsclearance</w:t>
      </w:r>
      <w:proofErr w:type="spellEnd"/>
      <w:r w:rsidRPr="00D961BD">
        <w:rPr>
          <w:sz w:val="24"/>
          <w:szCs w:val="24"/>
          <w:lang w:eastAsia="da-DK"/>
        </w:rPr>
        <w:t xml:space="preserve"> var ca. 30 % højere end hos voksne med epilepsi.</w:t>
      </w:r>
    </w:p>
    <w:p w:rsidR="00B73392" w:rsidRPr="00D961BD"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 xml:space="preserve">Efter gentagen oral dosering (20 til 60 mg/kg/dag) til epileptiske børn (4-12 år) blev </w:t>
      </w:r>
      <w:proofErr w:type="spellStart"/>
      <w:r>
        <w:rPr>
          <w:sz w:val="24"/>
          <w:szCs w:val="24"/>
          <w:lang w:eastAsia="da-DK"/>
        </w:rPr>
        <w:t>levetiracetam</w:t>
      </w:r>
      <w:proofErr w:type="spellEnd"/>
      <w:r>
        <w:rPr>
          <w:sz w:val="24"/>
          <w:szCs w:val="24"/>
          <w:lang w:eastAsia="da-DK"/>
        </w:rPr>
        <w:t xml:space="preserve"> hurtigt absorberet. Peak-plasmakoncentration blev observeret 0,5 til 1,0 timer efter dosering. Lineær og dosisproportional stigning blev observeret for peak-plasma</w:t>
      </w:r>
      <w:r>
        <w:rPr>
          <w:sz w:val="24"/>
          <w:szCs w:val="24"/>
          <w:lang w:eastAsia="da-DK"/>
        </w:rPr>
        <w:softHyphen/>
        <w:t>koncentrationer og AUC.</w:t>
      </w:r>
    </w:p>
    <w:p w:rsidR="00B73392" w:rsidRDefault="00B73392" w:rsidP="00B73392">
      <w:pPr>
        <w:autoSpaceDE w:val="0"/>
        <w:autoSpaceDN w:val="0"/>
        <w:adjustRightInd w:val="0"/>
        <w:ind w:left="851"/>
        <w:rPr>
          <w:sz w:val="24"/>
          <w:szCs w:val="24"/>
          <w:lang w:eastAsia="da-DK"/>
        </w:rPr>
      </w:pPr>
      <w:r>
        <w:rPr>
          <w:sz w:val="24"/>
          <w:szCs w:val="24"/>
          <w:lang w:eastAsia="da-DK"/>
        </w:rPr>
        <w:t xml:space="preserve">Elimineringshalveringstiden var tilnærmelsesvis 5 timer. Den tilsyneladende </w:t>
      </w:r>
      <w:proofErr w:type="spellStart"/>
      <w:r>
        <w:rPr>
          <w:sz w:val="24"/>
          <w:szCs w:val="24"/>
          <w:lang w:eastAsia="da-DK"/>
        </w:rPr>
        <w:t>clearance</w:t>
      </w:r>
      <w:proofErr w:type="spellEnd"/>
      <w:r>
        <w:rPr>
          <w:sz w:val="24"/>
          <w:szCs w:val="24"/>
          <w:lang w:eastAsia="da-DK"/>
        </w:rPr>
        <w:t xml:space="preserve"> fra kroppen var 1,1 ml/min/kg.</w:t>
      </w:r>
    </w:p>
    <w:p w:rsidR="00B73392" w:rsidRPr="00D961BD" w:rsidRDefault="00B73392" w:rsidP="00B73392">
      <w:pPr>
        <w:autoSpaceDE w:val="0"/>
        <w:autoSpaceDN w:val="0"/>
        <w:adjustRightInd w:val="0"/>
        <w:ind w:left="851" w:hanging="851"/>
        <w:rPr>
          <w:sz w:val="24"/>
          <w:szCs w:val="24"/>
        </w:rPr>
      </w:pPr>
    </w:p>
    <w:p w:rsidR="00B73392" w:rsidRPr="00D961BD" w:rsidRDefault="00B73392" w:rsidP="002775A7">
      <w:pPr>
        <w:keepNext/>
        <w:autoSpaceDE w:val="0"/>
        <w:autoSpaceDN w:val="0"/>
        <w:adjustRightInd w:val="0"/>
        <w:ind w:left="851"/>
        <w:rPr>
          <w:sz w:val="24"/>
          <w:szCs w:val="24"/>
          <w:u w:val="single"/>
        </w:rPr>
      </w:pPr>
      <w:r w:rsidRPr="00D961BD">
        <w:rPr>
          <w:sz w:val="24"/>
          <w:szCs w:val="24"/>
          <w:u w:val="single"/>
        </w:rPr>
        <w:t>Spædbørn og børn (1 måned-4 år)</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Efter administration af en enkelt dosis (20 mg/kg) 100 mg/ml oral opløsning til epileptiske børn (1 måned til 4 år) blev </w:t>
      </w:r>
      <w:proofErr w:type="spellStart"/>
      <w:r w:rsidRPr="00D961BD">
        <w:rPr>
          <w:sz w:val="24"/>
          <w:szCs w:val="24"/>
          <w:lang w:eastAsia="da-DK"/>
        </w:rPr>
        <w:t>levetiracetam</w:t>
      </w:r>
      <w:proofErr w:type="spellEnd"/>
      <w:r w:rsidRPr="00D961BD">
        <w:rPr>
          <w:sz w:val="24"/>
          <w:szCs w:val="24"/>
          <w:lang w:eastAsia="da-DK"/>
        </w:rPr>
        <w:t xml:space="preserve"> hurtigt absorberet og peak-plasma</w:t>
      </w:r>
      <w:r>
        <w:rPr>
          <w:sz w:val="24"/>
          <w:szCs w:val="24"/>
          <w:lang w:eastAsia="da-DK"/>
        </w:rPr>
        <w:softHyphen/>
      </w:r>
      <w:r w:rsidRPr="00D961BD">
        <w:rPr>
          <w:sz w:val="24"/>
          <w:szCs w:val="24"/>
          <w:lang w:eastAsia="da-DK"/>
        </w:rPr>
        <w:t xml:space="preserve">koncentrationer blev observeret ca. 1 time efter administration. </w:t>
      </w:r>
      <w:proofErr w:type="spellStart"/>
      <w:r w:rsidRPr="00D961BD">
        <w:rPr>
          <w:sz w:val="24"/>
          <w:szCs w:val="24"/>
          <w:lang w:eastAsia="da-DK"/>
        </w:rPr>
        <w:t>Farmakokinetiske</w:t>
      </w:r>
      <w:proofErr w:type="spellEnd"/>
      <w:r w:rsidRPr="00D961BD">
        <w:rPr>
          <w:sz w:val="24"/>
          <w:szCs w:val="24"/>
          <w:lang w:eastAsia="da-DK"/>
        </w:rPr>
        <w:t xml:space="preserve"> resultater indikerer, at halveringstiden var kortere (5,3 timer) end for voksne (7,2 timer), og tilsyneladende </w:t>
      </w:r>
      <w:proofErr w:type="spellStart"/>
      <w:r w:rsidRPr="00D961BD">
        <w:rPr>
          <w:sz w:val="24"/>
          <w:szCs w:val="24"/>
          <w:lang w:eastAsia="da-DK"/>
        </w:rPr>
        <w:t>clearance</w:t>
      </w:r>
      <w:proofErr w:type="spellEnd"/>
      <w:r w:rsidRPr="00D961BD">
        <w:rPr>
          <w:sz w:val="24"/>
          <w:szCs w:val="24"/>
          <w:lang w:eastAsia="da-DK"/>
        </w:rPr>
        <w:t xml:space="preserve"> er hurtigere (1,5 ml/min/kg) end hos voksne (0,96 ml/min/kg).</w:t>
      </w:r>
    </w:p>
    <w:p w:rsidR="00B73392" w:rsidRPr="00D961BD" w:rsidRDefault="00B73392" w:rsidP="00B73392">
      <w:pPr>
        <w:autoSpaceDE w:val="0"/>
        <w:autoSpaceDN w:val="0"/>
        <w:adjustRightInd w:val="0"/>
        <w:ind w:left="851" w:hanging="851"/>
        <w:rPr>
          <w:sz w:val="24"/>
          <w:szCs w:val="24"/>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I den populationsbaserede </w:t>
      </w:r>
      <w:proofErr w:type="spellStart"/>
      <w:r w:rsidRPr="00D961BD">
        <w:rPr>
          <w:sz w:val="24"/>
          <w:szCs w:val="24"/>
          <w:lang w:eastAsia="da-DK"/>
        </w:rPr>
        <w:t>farmakokinetiske</w:t>
      </w:r>
      <w:proofErr w:type="spellEnd"/>
      <w:r w:rsidRPr="00D961BD">
        <w:rPr>
          <w:sz w:val="24"/>
          <w:szCs w:val="24"/>
          <w:lang w:eastAsia="da-DK"/>
        </w:rPr>
        <w:t xml:space="preserve"> analyse udført med patienter i alderen fra 1 måned til 16 år var kropsvægten korreleret til den tilsyneladende </w:t>
      </w:r>
      <w:proofErr w:type="spellStart"/>
      <w:r w:rsidRPr="00D961BD">
        <w:rPr>
          <w:sz w:val="24"/>
          <w:szCs w:val="24"/>
          <w:lang w:eastAsia="da-DK"/>
        </w:rPr>
        <w:t>clearance</w:t>
      </w:r>
      <w:proofErr w:type="spellEnd"/>
      <w:r w:rsidRPr="00D961BD">
        <w:rPr>
          <w:sz w:val="24"/>
          <w:szCs w:val="24"/>
          <w:lang w:eastAsia="da-DK"/>
        </w:rPr>
        <w:t xml:space="preserve"> (</w:t>
      </w:r>
      <w:proofErr w:type="spellStart"/>
      <w:r w:rsidRPr="00D961BD">
        <w:rPr>
          <w:sz w:val="24"/>
          <w:szCs w:val="24"/>
          <w:lang w:eastAsia="da-DK"/>
        </w:rPr>
        <w:t>clearance</w:t>
      </w:r>
      <w:proofErr w:type="spellEnd"/>
      <w:r w:rsidRPr="00D961BD">
        <w:rPr>
          <w:sz w:val="24"/>
          <w:szCs w:val="24"/>
          <w:lang w:eastAsia="da-DK"/>
        </w:rPr>
        <w:t xml:space="preserve"> steg med øget kropsvægt) og tilsyneladende fordelingsvolumen i signifikant grad. Alder havde </w:t>
      </w:r>
      <w:r w:rsidRPr="00D961BD">
        <w:rPr>
          <w:sz w:val="24"/>
          <w:szCs w:val="24"/>
          <w:lang w:eastAsia="da-DK"/>
        </w:rPr>
        <w:lastRenderedPageBreak/>
        <w:t>også en indflydelse på begge parametre. Denne virkning var udtalt for de yngste spædbørn og aftog med stigende alder for til sidst at forsvinde omkring 4-års alderen.</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I begge populationsbaserede </w:t>
      </w:r>
      <w:proofErr w:type="spellStart"/>
      <w:r w:rsidRPr="00D961BD">
        <w:rPr>
          <w:sz w:val="24"/>
          <w:szCs w:val="24"/>
          <w:lang w:eastAsia="da-DK"/>
        </w:rPr>
        <w:t>farmakokinetiske</w:t>
      </w:r>
      <w:proofErr w:type="spellEnd"/>
      <w:r w:rsidRPr="00D961BD">
        <w:rPr>
          <w:sz w:val="24"/>
          <w:szCs w:val="24"/>
          <w:lang w:eastAsia="da-DK"/>
        </w:rPr>
        <w:t xml:space="preserve"> analyser var der omkring 20 % stigning i den tilsyneladende </w:t>
      </w:r>
      <w:proofErr w:type="spellStart"/>
      <w:r w:rsidRPr="00D961BD">
        <w:rPr>
          <w:sz w:val="24"/>
          <w:szCs w:val="24"/>
          <w:lang w:eastAsia="da-DK"/>
        </w:rPr>
        <w:t>clearance</w:t>
      </w:r>
      <w:proofErr w:type="spellEnd"/>
      <w:r w:rsidRPr="00D961BD">
        <w:rPr>
          <w:sz w:val="24"/>
          <w:szCs w:val="24"/>
          <w:lang w:eastAsia="da-DK"/>
        </w:rPr>
        <w:t xml:space="preserve"> for </w:t>
      </w:r>
      <w:proofErr w:type="spellStart"/>
      <w:r w:rsidRPr="00D961BD">
        <w:rPr>
          <w:sz w:val="24"/>
          <w:szCs w:val="24"/>
          <w:lang w:eastAsia="da-DK"/>
        </w:rPr>
        <w:t>levetiracetam</w:t>
      </w:r>
      <w:proofErr w:type="spellEnd"/>
      <w:r w:rsidRPr="00D961BD">
        <w:rPr>
          <w:sz w:val="24"/>
          <w:szCs w:val="24"/>
          <w:lang w:eastAsia="da-DK"/>
        </w:rPr>
        <w:t xml:space="preserve">, når </w:t>
      </w:r>
      <w:proofErr w:type="spellStart"/>
      <w:r w:rsidRPr="00D961BD">
        <w:rPr>
          <w:sz w:val="24"/>
          <w:szCs w:val="24"/>
          <w:lang w:eastAsia="da-DK"/>
        </w:rPr>
        <w:t>levetiracetam</w:t>
      </w:r>
      <w:proofErr w:type="spellEnd"/>
      <w:r w:rsidRPr="00D961BD">
        <w:rPr>
          <w:sz w:val="24"/>
          <w:szCs w:val="24"/>
          <w:lang w:eastAsia="da-DK"/>
        </w:rPr>
        <w:t xml:space="preserve"> blev administreret samtidig med et enzyminducerende </w:t>
      </w:r>
      <w:proofErr w:type="spellStart"/>
      <w:r w:rsidRPr="00D961BD">
        <w:rPr>
          <w:sz w:val="24"/>
          <w:szCs w:val="24"/>
          <w:lang w:eastAsia="da-DK"/>
        </w:rPr>
        <w:t>antiepileptikum</w:t>
      </w:r>
      <w:proofErr w:type="spellEnd"/>
      <w:r w:rsidRPr="00D961BD">
        <w:rPr>
          <w:sz w:val="24"/>
          <w:szCs w:val="24"/>
          <w:lang w:eastAsia="da-DK"/>
        </w:rPr>
        <w:t>.</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5.3</w:t>
      </w:r>
      <w:r w:rsidRPr="00D961BD">
        <w:rPr>
          <w:b/>
          <w:sz w:val="24"/>
          <w:szCs w:val="24"/>
        </w:rPr>
        <w:tab/>
      </w:r>
      <w:r w:rsidR="00FB26B9">
        <w:rPr>
          <w:b/>
          <w:sz w:val="24"/>
          <w:szCs w:val="24"/>
        </w:rPr>
        <w:t>Non-</w:t>
      </w:r>
      <w:r w:rsidRPr="00D961BD">
        <w:rPr>
          <w:b/>
          <w:sz w:val="24"/>
          <w:szCs w:val="24"/>
        </w:rPr>
        <w:t>kliniske sikkerhedsdata</w:t>
      </w:r>
    </w:p>
    <w:p w:rsidR="00B73392" w:rsidRPr="00D961BD" w:rsidRDefault="00B73392" w:rsidP="00B73392">
      <w:pPr>
        <w:autoSpaceDE w:val="0"/>
        <w:autoSpaceDN w:val="0"/>
        <w:adjustRightInd w:val="0"/>
        <w:ind w:left="851" w:hanging="851"/>
        <w:rPr>
          <w:sz w:val="24"/>
          <w:szCs w:val="24"/>
          <w:lang w:eastAsia="da-DK"/>
        </w:rPr>
      </w:pPr>
      <w:r w:rsidRPr="00D961BD">
        <w:rPr>
          <w:sz w:val="24"/>
          <w:szCs w:val="24"/>
        </w:rPr>
        <w:tab/>
      </w:r>
      <w:r w:rsidR="00FB26B9">
        <w:rPr>
          <w:sz w:val="24"/>
          <w:szCs w:val="24"/>
          <w:lang w:eastAsia="da-DK"/>
        </w:rPr>
        <w:t>Non-</w:t>
      </w:r>
      <w:r w:rsidRPr="00D961BD">
        <w:rPr>
          <w:sz w:val="24"/>
          <w:szCs w:val="24"/>
          <w:lang w:eastAsia="da-DK"/>
        </w:rPr>
        <w:t xml:space="preserve">kliniske data viser ingen specielrisiko for mennesker vurderet ud fra konventionelle studier af sikkerhedsfarmakologi, genotoksicitet og </w:t>
      </w:r>
      <w:proofErr w:type="spellStart"/>
      <w:r w:rsidRPr="00D961BD">
        <w:rPr>
          <w:sz w:val="24"/>
          <w:szCs w:val="24"/>
          <w:lang w:eastAsia="da-DK"/>
        </w:rPr>
        <w:t>karcinogenicitet</w:t>
      </w:r>
      <w:proofErr w:type="spellEnd"/>
      <w:r w:rsidRPr="00D961BD">
        <w:rPr>
          <w:sz w:val="24"/>
          <w:szCs w:val="24"/>
          <w:lang w:eastAsia="da-DK"/>
        </w:rPr>
        <w:t>.</w:t>
      </w: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Bivirkninger er ikke observeret i kliniske studier, men er set hos rotter og i mindre udstrækning hos mus ved eksponeringsniveauer der svarede til eksponeringsniveauet hos menneske og med mulig relevans for klinisk anvendelse, var leverændringer, som tyder på et adaptivt respons så som vægtøgninger, </w:t>
      </w:r>
      <w:proofErr w:type="spellStart"/>
      <w:r w:rsidRPr="00D961BD">
        <w:rPr>
          <w:sz w:val="24"/>
          <w:szCs w:val="24"/>
          <w:lang w:eastAsia="da-DK"/>
        </w:rPr>
        <w:t>centrilobulær</w:t>
      </w:r>
      <w:proofErr w:type="spellEnd"/>
      <w:r w:rsidRPr="00D961BD">
        <w:rPr>
          <w:sz w:val="24"/>
          <w:szCs w:val="24"/>
          <w:lang w:eastAsia="da-DK"/>
        </w:rPr>
        <w:t xml:space="preserve"> hypertrofi, fedtinfiltration og forhøjede leverenzymer i plasma.</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Der blev ikke observeret bivirkninger mht. mandlig eller kvindelig fertilitet eller andre reproduktionsparametre hos rotter ved doser på op til 1.800 mg/kg/dag (6 x MRHD på basis af mg/m</w:t>
      </w:r>
      <w:r w:rsidRPr="00854E50">
        <w:rPr>
          <w:sz w:val="24"/>
          <w:szCs w:val="24"/>
          <w:vertAlign w:val="superscript"/>
          <w:lang w:eastAsia="da-DK"/>
        </w:rPr>
        <w:t>2</w:t>
      </w:r>
      <w:r w:rsidRPr="00D961BD">
        <w:rPr>
          <w:sz w:val="24"/>
          <w:szCs w:val="24"/>
          <w:lang w:eastAsia="da-DK"/>
        </w:rPr>
        <w:t>) i forældre og F1-afkom.</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Der blev udført to embryo-</w:t>
      </w:r>
      <w:proofErr w:type="spellStart"/>
      <w:r w:rsidRPr="00D961BD">
        <w:rPr>
          <w:sz w:val="24"/>
          <w:szCs w:val="24"/>
          <w:lang w:eastAsia="da-DK"/>
        </w:rPr>
        <w:t>føtale</w:t>
      </w:r>
      <w:proofErr w:type="spellEnd"/>
      <w:r w:rsidRPr="00D961BD">
        <w:rPr>
          <w:sz w:val="24"/>
          <w:szCs w:val="24"/>
          <w:lang w:eastAsia="da-DK"/>
        </w:rPr>
        <w:t xml:space="preserve"> udviklingsstudier med 400, 1.200 og 3.600 mg/kg/dag i rotter. Kun i ét af de to embryo-</w:t>
      </w:r>
      <w:proofErr w:type="spellStart"/>
      <w:r w:rsidRPr="00D961BD">
        <w:rPr>
          <w:sz w:val="24"/>
          <w:szCs w:val="24"/>
          <w:lang w:eastAsia="da-DK"/>
        </w:rPr>
        <w:t>føtale</w:t>
      </w:r>
      <w:proofErr w:type="spellEnd"/>
      <w:r w:rsidRPr="00D961BD">
        <w:rPr>
          <w:sz w:val="24"/>
          <w:szCs w:val="24"/>
          <w:lang w:eastAsia="da-DK"/>
        </w:rPr>
        <w:t xml:space="preserve"> udviklingsstudie med 3.600 mg/kg/dag var der et lille fald i fostervægt forbundet med en marginal forøgelse af skeletale ændringer/mindre anomalier. Der var ingen virkning på </w:t>
      </w:r>
      <w:proofErr w:type="gramStart"/>
      <w:r w:rsidRPr="00D961BD">
        <w:rPr>
          <w:sz w:val="24"/>
          <w:szCs w:val="24"/>
          <w:lang w:eastAsia="da-DK"/>
        </w:rPr>
        <w:t>embryo mortaliteten</w:t>
      </w:r>
      <w:proofErr w:type="gramEnd"/>
      <w:r w:rsidRPr="00D961BD">
        <w:rPr>
          <w:sz w:val="24"/>
          <w:szCs w:val="24"/>
          <w:lang w:eastAsia="da-DK"/>
        </w:rPr>
        <w:t xml:space="preserve"> og ingen øget forekomst af </w:t>
      </w:r>
      <w:proofErr w:type="spellStart"/>
      <w:r w:rsidRPr="00D961BD">
        <w:rPr>
          <w:sz w:val="24"/>
          <w:szCs w:val="24"/>
          <w:lang w:eastAsia="da-DK"/>
        </w:rPr>
        <w:t>malformationer</w:t>
      </w:r>
      <w:proofErr w:type="spellEnd"/>
      <w:r w:rsidRPr="00D961BD">
        <w:rPr>
          <w:sz w:val="24"/>
          <w:szCs w:val="24"/>
          <w:lang w:eastAsia="da-DK"/>
        </w:rPr>
        <w:t xml:space="preserve">. NOAEL (No </w:t>
      </w:r>
      <w:proofErr w:type="spellStart"/>
      <w:r w:rsidRPr="00D961BD">
        <w:rPr>
          <w:sz w:val="24"/>
          <w:szCs w:val="24"/>
          <w:lang w:eastAsia="da-DK"/>
        </w:rPr>
        <w:t>Observed</w:t>
      </w:r>
      <w:proofErr w:type="spellEnd"/>
      <w:r w:rsidRPr="00D961BD">
        <w:rPr>
          <w:sz w:val="24"/>
          <w:szCs w:val="24"/>
          <w:lang w:eastAsia="da-DK"/>
        </w:rPr>
        <w:t xml:space="preserve"> </w:t>
      </w:r>
      <w:proofErr w:type="spellStart"/>
      <w:r w:rsidRPr="00D961BD">
        <w:rPr>
          <w:sz w:val="24"/>
          <w:szCs w:val="24"/>
          <w:lang w:eastAsia="da-DK"/>
        </w:rPr>
        <w:t>Adverse</w:t>
      </w:r>
      <w:proofErr w:type="spellEnd"/>
      <w:r w:rsidRPr="00D961BD">
        <w:rPr>
          <w:sz w:val="24"/>
          <w:szCs w:val="24"/>
          <w:lang w:eastAsia="da-DK"/>
        </w:rPr>
        <w:t xml:space="preserve"> </w:t>
      </w:r>
      <w:proofErr w:type="spellStart"/>
      <w:r w:rsidRPr="00D961BD">
        <w:rPr>
          <w:sz w:val="24"/>
          <w:szCs w:val="24"/>
          <w:lang w:eastAsia="da-DK"/>
        </w:rPr>
        <w:t>Effect</w:t>
      </w:r>
      <w:proofErr w:type="spellEnd"/>
      <w:r w:rsidRPr="00D961BD">
        <w:rPr>
          <w:sz w:val="24"/>
          <w:szCs w:val="24"/>
          <w:lang w:eastAsia="da-DK"/>
        </w:rPr>
        <w:t xml:space="preserve"> Level) var 3.600 mg/kg/dag for gravide hunrotter (12 x MRHD (Maximum </w:t>
      </w:r>
      <w:proofErr w:type="spellStart"/>
      <w:r w:rsidRPr="00D961BD">
        <w:rPr>
          <w:sz w:val="24"/>
          <w:szCs w:val="24"/>
          <w:lang w:eastAsia="da-DK"/>
        </w:rPr>
        <w:t>Recommended</w:t>
      </w:r>
      <w:proofErr w:type="spellEnd"/>
      <w:r w:rsidRPr="00D961BD">
        <w:rPr>
          <w:sz w:val="24"/>
          <w:szCs w:val="24"/>
          <w:lang w:eastAsia="da-DK"/>
        </w:rPr>
        <w:t xml:space="preserve"> Human Dose) på basis af mg/m</w:t>
      </w:r>
      <w:r w:rsidRPr="00D961BD">
        <w:rPr>
          <w:sz w:val="24"/>
          <w:szCs w:val="24"/>
          <w:vertAlign w:val="superscript"/>
          <w:lang w:eastAsia="da-DK"/>
        </w:rPr>
        <w:t>2</w:t>
      </w:r>
      <w:r w:rsidRPr="00D961BD">
        <w:rPr>
          <w:sz w:val="24"/>
          <w:szCs w:val="24"/>
          <w:lang w:eastAsia="da-DK"/>
        </w:rPr>
        <w:t>) og 1.200 mg/kg/dag for fostre.</w:t>
      </w:r>
    </w:p>
    <w:p w:rsidR="00B73392" w:rsidRPr="00D961BD" w:rsidRDefault="00B73392" w:rsidP="00B73392">
      <w:pPr>
        <w:autoSpaceDE w:val="0"/>
        <w:autoSpaceDN w:val="0"/>
        <w:adjustRightInd w:val="0"/>
        <w:ind w:left="851" w:hanging="851"/>
        <w:rPr>
          <w:sz w:val="24"/>
          <w:szCs w:val="24"/>
          <w:lang w:eastAsia="da-DK"/>
        </w:rPr>
      </w:pPr>
    </w:p>
    <w:p w:rsidR="00B73392" w:rsidRDefault="00B73392" w:rsidP="00B73392">
      <w:pPr>
        <w:autoSpaceDE w:val="0"/>
        <w:autoSpaceDN w:val="0"/>
        <w:adjustRightInd w:val="0"/>
        <w:ind w:left="851"/>
        <w:rPr>
          <w:sz w:val="24"/>
          <w:szCs w:val="24"/>
          <w:lang w:eastAsia="da-DK"/>
        </w:rPr>
      </w:pPr>
      <w:r>
        <w:rPr>
          <w:sz w:val="24"/>
          <w:szCs w:val="24"/>
          <w:lang w:eastAsia="da-DK"/>
        </w:rPr>
        <w:t>Der blev udført fire embryo-</w:t>
      </w:r>
      <w:proofErr w:type="spellStart"/>
      <w:r>
        <w:rPr>
          <w:sz w:val="24"/>
          <w:szCs w:val="24"/>
          <w:lang w:eastAsia="da-DK"/>
        </w:rPr>
        <w:t>føtale</w:t>
      </w:r>
      <w:proofErr w:type="spellEnd"/>
      <w:r>
        <w:rPr>
          <w:sz w:val="24"/>
          <w:szCs w:val="24"/>
          <w:lang w:eastAsia="da-DK"/>
        </w:rPr>
        <w:t xml:space="preserve"> udviklingsstudier med doser på 200, 600, 800, 1.200 og 1.800 mg/kg/dag i kaniner. Dosisniveauet på 1.800 mg/kg/dag inducerede markant </w:t>
      </w:r>
      <w:proofErr w:type="spellStart"/>
      <w:r>
        <w:rPr>
          <w:sz w:val="24"/>
          <w:szCs w:val="24"/>
          <w:lang w:eastAsia="da-DK"/>
        </w:rPr>
        <w:t>maternel</w:t>
      </w:r>
      <w:proofErr w:type="spellEnd"/>
      <w:r>
        <w:rPr>
          <w:sz w:val="24"/>
          <w:szCs w:val="24"/>
          <w:lang w:eastAsia="da-DK"/>
        </w:rPr>
        <w:t xml:space="preserve"> toksicitet samt et fald i fostervægt associeret med en øget forekomst af fostre med </w:t>
      </w:r>
      <w:proofErr w:type="spellStart"/>
      <w:r>
        <w:rPr>
          <w:sz w:val="24"/>
          <w:szCs w:val="24"/>
          <w:lang w:eastAsia="da-DK"/>
        </w:rPr>
        <w:t>kardiovaskulære</w:t>
      </w:r>
      <w:proofErr w:type="spellEnd"/>
      <w:r>
        <w:rPr>
          <w:sz w:val="24"/>
          <w:szCs w:val="24"/>
          <w:lang w:eastAsia="da-DK"/>
        </w:rPr>
        <w:t>/skeletale anomalier. NOAEL var &lt; 200 mg/kg/dag for hunnerne og 200 mg/kg/dag for fostrene (svarende til MRHD på basis af mg/m</w:t>
      </w:r>
      <w:r>
        <w:rPr>
          <w:sz w:val="24"/>
          <w:szCs w:val="24"/>
          <w:vertAlign w:val="superscript"/>
          <w:lang w:eastAsia="da-DK"/>
        </w:rPr>
        <w:t>2</w:t>
      </w:r>
      <w:r>
        <w:rPr>
          <w:sz w:val="24"/>
          <w:szCs w:val="24"/>
          <w:lang w:eastAsia="da-DK"/>
        </w:rPr>
        <w:t>).</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 xml:space="preserve">Der blev udført et peri- og </w:t>
      </w:r>
      <w:proofErr w:type="spellStart"/>
      <w:r w:rsidRPr="00D961BD">
        <w:rPr>
          <w:sz w:val="24"/>
          <w:szCs w:val="24"/>
          <w:lang w:eastAsia="da-DK"/>
        </w:rPr>
        <w:t>postnatalt</w:t>
      </w:r>
      <w:proofErr w:type="spellEnd"/>
      <w:r w:rsidRPr="00D961BD">
        <w:rPr>
          <w:sz w:val="24"/>
          <w:szCs w:val="24"/>
          <w:lang w:eastAsia="da-DK"/>
        </w:rPr>
        <w:t xml:space="preserve"> udviklingsstudie med </w:t>
      </w:r>
      <w:proofErr w:type="spellStart"/>
      <w:r w:rsidRPr="00D961BD">
        <w:rPr>
          <w:sz w:val="24"/>
          <w:szCs w:val="24"/>
          <w:lang w:eastAsia="da-DK"/>
        </w:rPr>
        <w:t>levetiracetam</w:t>
      </w:r>
      <w:proofErr w:type="spellEnd"/>
      <w:r w:rsidRPr="00D961BD">
        <w:rPr>
          <w:sz w:val="24"/>
          <w:szCs w:val="24"/>
          <w:lang w:eastAsia="da-DK"/>
        </w:rPr>
        <w:t>-doser på 70, 350 og 1.800 mg/kg/dag i rotter. NOAEL var ≥ 1.800 mg/kg/dag for F0-hunnerne samt for overlevelse, vækst og udvikling af F1-afkom indtil ophør af diegivning (6 x MRHD på basis af mg/m</w:t>
      </w:r>
      <w:r w:rsidRPr="00D961BD">
        <w:rPr>
          <w:sz w:val="24"/>
          <w:szCs w:val="24"/>
          <w:vertAlign w:val="superscript"/>
          <w:lang w:eastAsia="da-DK"/>
        </w:rPr>
        <w:t>2</w:t>
      </w:r>
      <w:r w:rsidRPr="00D961BD">
        <w:rPr>
          <w:sz w:val="24"/>
          <w:szCs w:val="24"/>
          <w:lang w:eastAsia="da-DK"/>
        </w:rPr>
        <w:t>).</w:t>
      </w:r>
    </w:p>
    <w:p w:rsidR="00B73392" w:rsidRPr="00D961BD" w:rsidRDefault="00B73392" w:rsidP="00B73392">
      <w:pPr>
        <w:autoSpaceDE w:val="0"/>
        <w:autoSpaceDN w:val="0"/>
        <w:adjustRightInd w:val="0"/>
        <w:ind w:left="851" w:hanging="851"/>
        <w:rPr>
          <w:sz w:val="24"/>
          <w:szCs w:val="24"/>
          <w:lang w:eastAsia="da-DK"/>
        </w:rPr>
      </w:pPr>
    </w:p>
    <w:p w:rsidR="00B73392" w:rsidRPr="00D961BD" w:rsidRDefault="00B73392" w:rsidP="00B73392">
      <w:pPr>
        <w:autoSpaceDE w:val="0"/>
        <w:autoSpaceDN w:val="0"/>
        <w:adjustRightInd w:val="0"/>
        <w:ind w:left="851"/>
        <w:rPr>
          <w:sz w:val="24"/>
          <w:szCs w:val="24"/>
          <w:lang w:eastAsia="da-DK"/>
        </w:rPr>
      </w:pPr>
      <w:r w:rsidRPr="00D961BD">
        <w:rPr>
          <w:sz w:val="24"/>
          <w:szCs w:val="24"/>
          <w:lang w:eastAsia="da-DK"/>
        </w:rPr>
        <w:t>Neonatale og juvenile dyrestudier med rotter og hunde demonstrerede, at der med doser op til 1.800 mg/kg/dag (6-17 x MRHD på basis af mg/m</w:t>
      </w:r>
      <w:r w:rsidRPr="00D961BD">
        <w:rPr>
          <w:sz w:val="24"/>
          <w:szCs w:val="24"/>
          <w:vertAlign w:val="superscript"/>
          <w:lang w:eastAsia="da-DK"/>
        </w:rPr>
        <w:t>2</w:t>
      </w:r>
      <w:r w:rsidRPr="00D961BD">
        <w:rPr>
          <w:sz w:val="24"/>
          <w:szCs w:val="24"/>
          <w:lang w:eastAsia="da-DK"/>
        </w:rPr>
        <w:t>) ikke var uønskede virkninger på standardudvikling og modningsmålepunkter.</w:t>
      </w:r>
    </w:p>
    <w:p w:rsidR="00B73392" w:rsidRPr="00D961BD" w:rsidRDefault="00B73392" w:rsidP="00B73392">
      <w:pPr>
        <w:autoSpaceDE w:val="0"/>
        <w:autoSpaceDN w:val="0"/>
        <w:adjustRightInd w:val="0"/>
        <w:ind w:left="851" w:hanging="851"/>
        <w:rPr>
          <w:noProof/>
          <w:sz w:val="24"/>
          <w:szCs w:val="24"/>
        </w:rPr>
      </w:pP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w:t>
      </w:r>
      <w:r w:rsidRPr="00D961BD">
        <w:rPr>
          <w:b/>
          <w:sz w:val="24"/>
          <w:szCs w:val="24"/>
        </w:rPr>
        <w:tab/>
        <w:t>FARMACEUTISKE OPLYSNINGER</w:t>
      </w:r>
    </w:p>
    <w:p w:rsidR="00B73392" w:rsidRPr="00D961BD" w:rsidRDefault="00B73392" w:rsidP="00B73392">
      <w:pPr>
        <w:ind w:left="851" w:hanging="851"/>
        <w:rPr>
          <w:b/>
          <w:sz w:val="24"/>
          <w:szCs w:val="24"/>
        </w:rPr>
      </w:pPr>
    </w:p>
    <w:p w:rsidR="00B73392" w:rsidRPr="00D961BD" w:rsidRDefault="00B73392" w:rsidP="00B73392">
      <w:pPr>
        <w:ind w:left="851" w:hanging="851"/>
        <w:rPr>
          <w:b/>
          <w:sz w:val="24"/>
          <w:szCs w:val="24"/>
        </w:rPr>
      </w:pPr>
      <w:r w:rsidRPr="00D961BD">
        <w:rPr>
          <w:b/>
          <w:sz w:val="24"/>
          <w:szCs w:val="24"/>
        </w:rPr>
        <w:t>6.1</w:t>
      </w:r>
      <w:r w:rsidRPr="00D961BD">
        <w:rPr>
          <w:b/>
          <w:sz w:val="24"/>
          <w:szCs w:val="24"/>
        </w:rPr>
        <w:tab/>
        <w:t>Hjælpestoffer</w:t>
      </w:r>
    </w:p>
    <w:p w:rsidR="00B73392" w:rsidRPr="00846C5E" w:rsidRDefault="00B73392" w:rsidP="00B73392">
      <w:pPr>
        <w:ind w:left="851"/>
        <w:rPr>
          <w:sz w:val="24"/>
          <w:szCs w:val="24"/>
          <w:u w:val="single"/>
        </w:rPr>
      </w:pPr>
      <w:r w:rsidRPr="00846C5E">
        <w:rPr>
          <w:sz w:val="24"/>
          <w:szCs w:val="24"/>
          <w:u w:val="single"/>
        </w:rPr>
        <w:t>Tabletkerne:</w:t>
      </w:r>
    </w:p>
    <w:p w:rsidR="00B73392" w:rsidRPr="00846C5E" w:rsidRDefault="00B73392" w:rsidP="00B73392">
      <w:pPr>
        <w:ind w:left="851"/>
        <w:rPr>
          <w:sz w:val="24"/>
          <w:szCs w:val="24"/>
        </w:rPr>
      </w:pPr>
      <w:r w:rsidRPr="00846C5E">
        <w:rPr>
          <w:sz w:val="24"/>
          <w:szCs w:val="24"/>
        </w:rPr>
        <w:t>Majsstivelse</w:t>
      </w:r>
    </w:p>
    <w:p w:rsidR="00B73392" w:rsidRPr="00846C5E" w:rsidRDefault="00B73392" w:rsidP="00B73392">
      <w:pPr>
        <w:ind w:left="851"/>
        <w:rPr>
          <w:sz w:val="24"/>
          <w:szCs w:val="24"/>
        </w:rPr>
      </w:pPr>
      <w:proofErr w:type="spellStart"/>
      <w:r w:rsidRPr="00846C5E">
        <w:rPr>
          <w:sz w:val="24"/>
          <w:szCs w:val="24"/>
        </w:rPr>
        <w:t>Silica</w:t>
      </w:r>
      <w:proofErr w:type="spellEnd"/>
      <w:r w:rsidRPr="00846C5E">
        <w:rPr>
          <w:sz w:val="24"/>
          <w:szCs w:val="24"/>
        </w:rPr>
        <w:t>, kolloid vandfri</w:t>
      </w:r>
    </w:p>
    <w:p w:rsidR="00B73392" w:rsidRPr="00846C5E" w:rsidRDefault="00B73392" w:rsidP="00B73392">
      <w:pPr>
        <w:ind w:left="851"/>
        <w:rPr>
          <w:sz w:val="24"/>
          <w:szCs w:val="24"/>
          <w:lang w:val="en-US"/>
        </w:rPr>
      </w:pPr>
      <w:proofErr w:type="spellStart"/>
      <w:r w:rsidRPr="00846C5E">
        <w:rPr>
          <w:sz w:val="24"/>
          <w:szCs w:val="24"/>
          <w:lang w:val="en-US"/>
        </w:rPr>
        <w:t>Copovidon</w:t>
      </w:r>
      <w:proofErr w:type="spellEnd"/>
    </w:p>
    <w:p w:rsidR="00B73392" w:rsidRPr="00846C5E" w:rsidRDefault="00B73392" w:rsidP="00B73392">
      <w:pPr>
        <w:ind w:left="851"/>
        <w:rPr>
          <w:sz w:val="24"/>
          <w:szCs w:val="24"/>
          <w:lang w:val="en-US"/>
        </w:rPr>
      </w:pPr>
      <w:proofErr w:type="spellStart"/>
      <w:r w:rsidRPr="00846C5E">
        <w:rPr>
          <w:sz w:val="24"/>
          <w:szCs w:val="24"/>
          <w:lang w:val="en-US"/>
        </w:rPr>
        <w:lastRenderedPageBreak/>
        <w:t>Crospovidon</w:t>
      </w:r>
      <w:proofErr w:type="spellEnd"/>
    </w:p>
    <w:p w:rsidR="00B73392" w:rsidRPr="00846C5E" w:rsidRDefault="00B73392" w:rsidP="00B73392">
      <w:pPr>
        <w:ind w:left="851"/>
        <w:rPr>
          <w:sz w:val="24"/>
          <w:szCs w:val="24"/>
          <w:lang w:val="en-US"/>
        </w:rPr>
      </w:pPr>
      <w:proofErr w:type="spellStart"/>
      <w:r w:rsidRPr="00846C5E">
        <w:rPr>
          <w:sz w:val="24"/>
          <w:szCs w:val="24"/>
          <w:lang w:val="en-US"/>
        </w:rPr>
        <w:t>Magnesiumstearat</w:t>
      </w:r>
      <w:proofErr w:type="spellEnd"/>
    </w:p>
    <w:p w:rsidR="00B73392" w:rsidRPr="00846C5E" w:rsidRDefault="00B73392" w:rsidP="00B73392">
      <w:pPr>
        <w:ind w:left="851"/>
        <w:rPr>
          <w:sz w:val="24"/>
          <w:szCs w:val="24"/>
          <w:lang w:val="en-US"/>
        </w:rPr>
      </w:pPr>
    </w:p>
    <w:p w:rsidR="00B73392" w:rsidRPr="00846C5E" w:rsidRDefault="00FB26B9" w:rsidP="00B73392">
      <w:pPr>
        <w:ind w:left="851"/>
        <w:rPr>
          <w:sz w:val="24"/>
          <w:szCs w:val="24"/>
          <w:u w:val="single"/>
          <w:lang w:val="en-US"/>
        </w:rPr>
      </w:pPr>
      <w:proofErr w:type="spellStart"/>
      <w:r>
        <w:rPr>
          <w:sz w:val="24"/>
          <w:szCs w:val="24"/>
          <w:u w:val="single"/>
          <w:lang w:val="en-US"/>
        </w:rPr>
        <w:t>Filmo</w:t>
      </w:r>
      <w:r w:rsidR="00B73392" w:rsidRPr="00846C5E">
        <w:rPr>
          <w:sz w:val="24"/>
          <w:szCs w:val="24"/>
          <w:u w:val="single"/>
          <w:lang w:val="en-US"/>
        </w:rPr>
        <w:t>vertræk</w:t>
      </w:r>
      <w:proofErr w:type="spellEnd"/>
      <w:r w:rsidR="00B73392" w:rsidRPr="00846C5E">
        <w:rPr>
          <w:sz w:val="24"/>
          <w:szCs w:val="24"/>
          <w:u w:val="single"/>
          <w:lang w:val="en-US"/>
        </w:rPr>
        <w:t>:</w:t>
      </w:r>
    </w:p>
    <w:p w:rsidR="00B73392" w:rsidRPr="00846C5E" w:rsidRDefault="00B73392" w:rsidP="00B73392">
      <w:pPr>
        <w:ind w:left="851"/>
        <w:rPr>
          <w:sz w:val="24"/>
          <w:szCs w:val="24"/>
          <w:lang w:val="en-GB"/>
        </w:rPr>
      </w:pPr>
      <w:r w:rsidRPr="00846C5E">
        <w:rPr>
          <w:sz w:val="24"/>
          <w:szCs w:val="24"/>
          <w:lang w:val="en-GB"/>
        </w:rPr>
        <w:t>Hypromellose</w:t>
      </w:r>
    </w:p>
    <w:p w:rsidR="00B73392" w:rsidRPr="00846C5E" w:rsidRDefault="00B73392" w:rsidP="00B73392">
      <w:pPr>
        <w:ind w:left="851"/>
        <w:rPr>
          <w:sz w:val="24"/>
          <w:szCs w:val="24"/>
          <w:lang w:val="en-GB"/>
        </w:rPr>
      </w:pPr>
      <w:r w:rsidRPr="00846C5E">
        <w:rPr>
          <w:sz w:val="24"/>
          <w:szCs w:val="24"/>
          <w:lang w:val="en-GB"/>
        </w:rPr>
        <w:t>Talcum</w:t>
      </w:r>
    </w:p>
    <w:p w:rsidR="00B73392" w:rsidRPr="00846C5E" w:rsidRDefault="00B73392" w:rsidP="00B73392">
      <w:pPr>
        <w:ind w:left="851"/>
        <w:rPr>
          <w:sz w:val="24"/>
          <w:szCs w:val="24"/>
          <w:lang w:val="en-US"/>
        </w:rPr>
      </w:pPr>
      <w:proofErr w:type="spellStart"/>
      <w:r w:rsidRPr="00846C5E">
        <w:rPr>
          <w:sz w:val="24"/>
          <w:szCs w:val="24"/>
          <w:lang w:val="en-US"/>
        </w:rPr>
        <w:t>Titandioxid</w:t>
      </w:r>
      <w:proofErr w:type="spellEnd"/>
      <w:r w:rsidRPr="00846C5E">
        <w:rPr>
          <w:sz w:val="24"/>
          <w:szCs w:val="24"/>
          <w:lang w:val="en-US"/>
        </w:rPr>
        <w:t xml:space="preserve"> (E171)</w:t>
      </w:r>
    </w:p>
    <w:p w:rsidR="00B73392" w:rsidRPr="00846C5E" w:rsidRDefault="00B73392" w:rsidP="00B73392">
      <w:pPr>
        <w:ind w:left="851"/>
        <w:rPr>
          <w:sz w:val="24"/>
          <w:szCs w:val="24"/>
          <w:lang w:val="en-US"/>
        </w:rPr>
      </w:pPr>
      <w:r w:rsidRPr="00846C5E">
        <w:rPr>
          <w:sz w:val="24"/>
          <w:szCs w:val="24"/>
          <w:lang w:val="en-US"/>
        </w:rPr>
        <w:t>Macrogol</w:t>
      </w:r>
    </w:p>
    <w:p w:rsidR="00B73392" w:rsidRPr="00846C5E" w:rsidRDefault="00B73392" w:rsidP="00B73392">
      <w:pPr>
        <w:ind w:left="851"/>
        <w:rPr>
          <w:sz w:val="24"/>
          <w:szCs w:val="24"/>
          <w:lang w:val="en-US"/>
        </w:rPr>
      </w:pPr>
    </w:p>
    <w:p w:rsidR="00B73392" w:rsidRPr="00846C5E" w:rsidRDefault="00B73392" w:rsidP="00B73392">
      <w:pPr>
        <w:ind w:left="851"/>
        <w:rPr>
          <w:sz w:val="24"/>
          <w:szCs w:val="24"/>
          <w:lang w:val="en-US"/>
        </w:rPr>
      </w:pPr>
      <w:r w:rsidRPr="00846C5E">
        <w:rPr>
          <w:sz w:val="24"/>
          <w:szCs w:val="24"/>
          <w:lang w:val="en-US"/>
        </w:rPr>
        <w:t xml:space="preserve">250 mg: </w:t>
      </w:r>
      <w:proofErr w:type="spellStart"/>
      <w:r w:rsidRPr="00846C5E">
        <w:rPr>
          <w:sz w:val="24"/>
          <w:szCs w:val="24"/>
          <w:lang w:val="en-US"/>
        </w:rPr>
        <w:t>Indigocarmin</w:t>
      </w:r>
      <w:proofErr w:type="spellEnd"/>
      <w:r w:rsidRPr="00846C5E">
        <w:rPr>
          <w:sz w:val="24"/>
          <w:szCs w:val="24"/>
          <w:lang w:val="en-US"/>
        </w:rPr>
        <w:t xml:space="preserve"> (E132)</w:t>
      </w:r>
    </w:p>
    <w:p w:rsidR="00B73392" w:rsidRPr="00D961BD" w:rsidRDefault="00B73392" w:rsidP="00B73392">
      <w:pPr>
        <w:ind w:left="851"/>
        <w:rPr>
          <w:sz w:val="24"/>
          <w:szCs w:val="24"/>
        </w:rPr>
      </w:pPr>
      <w:r w:rsidRPr="00846C5E">
        <w:rPr>
          <w:sz w:val="24"/>
          <w:szCs w:val="24"/>
        </w:rPr>
        <w:t>500 mg: Jernoxid, gul (E172)</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6.2</w:t>
      </w:r>
      <w:r w:rsidRPr="00D961BD">
        <w:rPr>
          <w:b/>
          <w:sz w:val="24"/>
          <w:szCs w:val="24"/>
        </w:rPr>
        <w:tab/>
        <w:t>Uforligeligheder</w:t>
      </w:r>
    </w:p>
    <w:p w:rsidR="00B73392" w:rsidRPr="00D961BD" w:rsidRDefault="00B73392" w:rsidP="00B73392">
      <w:pPr>
        <w:ind w:left="851" w:hanging="851"/>
        <w:rPr>
          <w:noProof/>
          <w:sz w:val="24"/>
          <w:szCs w:val="24"/>
        </w:rPr>
      </w:pPr>
      <w:r w:rsidRPr="00D961BD">
        <w:rPr>
          <w:sz w:val="24"/>
          <w:szCs w:val="24"/>
        </w:rPr>
        <w:tab/>
      </w:r>
      <w:r w:rsidRPr="00D961BD">
        <w:rPr>
          <w:noProof/>
          <w:sz w:val="24"/>
          <w:szCs w:val="24"/>
        </w:rPr>
        <w:t>Ikke relevant.</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6.3</w:t>
      </w:r>
      <w:r w:rsidRPr="00D961BD">
        <w:rPr>
          <w:b/>
          <w:sz w:val="24"/>
          <w:szCs w:val="24"/>
        </w:rPr>
        <w:tab/>
        <w:t>Opbevaringstid</w:t>
      </w:r>
    </w:p>
    <w:p w:rsidR="00B73392" w:rsidRPr="00D961BD" w:rsidRDefault="00B73392" w:rsidP="00B73392">
      <w:pPr>
        <w:ind w:left="851" w:hanging="851"/>
        <w:rPr>
          <w:noProof/>
          <w:sz w:val="24"/>
          <w:szCs w:val="24"/>
        </w:rPr>
      </w:pPr>
      <w:r w:rsidRPr="00D961BD">
        <w:rPr>
          <w:sz w:val="24"/>
          <w:szCs w:val="24"/>
        </w:rPr>
        <w:tab/>
      </w:r>
      <w:r w:rsidRPr="00D961BD">
        <w:rPr>
          <w:noProof/>
          <w:sz w:val="24"/>
          <w:szCs w:val="24"/>
        </w:rPr>
        <w:t>5 år.</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6.4</w:t>
      </w:r>
      <w:r w:rsidRPr="00D961BD">
        <w:rPr>
          <w:b/>
          <w:sz w:val="24"/>
          <w:szCs w:val="24"/>
        </w:rPr>
        <w:tab/>
        <w:t>Særlige opbevaringsforhold</w:t>
      </w:r>
    </w:p>
    <w:p w:rsidR="00B73392" w:rsidRPr="00D961BD" w:rsidRDefault="00B73392" w:rsidP="00B73392">
      <w:pPr>
        <w:ind w:left="851" w:hanging="851"/>
        <w:rPr>
          <w:sz w:val="24"/>
          <w:szCs w:val="24"/>
        </w:rPr>
      </w:pPr>
      <w:r w:rsidRPr="00D961BD">
        <w:rPr>
          <w:sz w:val="24"/>
          <w:szCs w:val="24"/>
        </w:rPr>
        <w:tab/>
        <w:t>Må ikke opbevares ved temperaturer over 25 ºC.</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6.5</w:t>
      </w:r>
      <w:r w:rsidRPr="00D961BD">
        <w:rPr>
          <w:b/>
          <w:sz w:val="24"/>
          <w:szCs w:val="24"/>
        </w:rPr>
        <w:tab/>
        <w:t>Emballagetype og pakningsstørrelser</w:t>
      </w:r>
    </w:p>
    <w:p w:rsidR="00B73392" w:rsidRPr="00D961BD" w:rsidRDefault="00B73392" w:rsidP="00B73392">
      <w:pPr>
        <w:suppressAutoHyphens/>
        <w:ind w:left="851" w:hanging="851"/>
        <w:rPr>
          <w:noProof/>
          <w:sz w:val="24"/>
          <w:szCs w:val="24"/>
        </w:rPr>
      </w:pPr>
      <w:r w:rsidRPr="00D961BD">
        <w:rPr>
          <w:sz w:val="24"/>
          <w:szCs w:val="24"/>
        </w:rPr>
        <w:tab/>
      </w:r>
      <w:r w:rsidRPr="00D961BD">
        <w:rPr>
          <w:noProof/>
          <w:sz w:val="24"/>
          <w:szCs w:val="24"/>
        </w:rPr>
        <w:t xml:space="preserve">Levetiracetam </w:t>
      </w:r>
      <w:r>
        <w:rPr>
          <w:noProof/>
          <w:sz w:val="24"/>
          <w:szCs w:val="24"/>
        </w:rPr>
        <w:t>”Krka”</w:t>
      </w:r>
      <w:r w:rsidRPr="00D961BD">
        <w:rPr>
          <w:noProof/>
          <w:sz w:val="24"/>
          <w:szCs w:val="24"/>
        </w:rPr>
        <w:t xml:space="preserve"> fås i blisterkort af  PVC/PVdC aluminiumfolie i en æske med 10, 30, 50, 60, 100 og 200 filmovertrukne tabletter</w:t>
      </w:r>
    </w:p>
    <w:p w:rsidR="00B73392" w:rsidRPr="00D961BD" w:rsidRDefault="00B73392" w:rsidP="00B73392">
      <w:pPr>
        <w:suppressAutoHyphens/>
        <w:ind w:left="851" w:hanging="851"/>
        <w:rPr>
          <w:noProof/>
          <w:sz w:val="24"/>
          <w:szCs w:val="24"/>
        </w:rPr>
      </w:pPr>
    </w:p>
    <w:p w:rsidR="00B73392" w:rsidRPr="00D961BD" w:rsidRDefault="00B73392" w:rsidP="00B73392">
      <w:pPr>
        <w:suppressAutoHyphens/>
        <w:ind w:left="851"/>
        <w:rPr>
          <w:noProof/>
          <w:sz w:val="24"/>
          <w:szCs w:val="24"/>
        </w:rPr>
      </w:pPr>
      <w:r w:rsidRPr="00D961BD">
        <w:rPr>
          <w:noProof/>
          <w:sz w:val="24"/>
          <w:szCs w:val="24"/>
        </w:rPr>
        <w:t>Ikke alle pakningsstørrelser er nødvendigvis markedsført.</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6.6</w:t>
      </w:r>
      <w:r w:rsidRPr="00D961BD">
        <w:rPr>
          <w:b/>
          <w:sz w:val="24"/>
          <w:szCs w:val="24"/>
        </w:rPr>
        <w:tab/>
        <w:t xml:space="preserve">Regler for </w:t>
      </w:r>
      <w:r w:rsidR="00FB26B9">
        <w:rPr>
          <w:b/>
          <w:sz w:val="24"/>
          <w:szCs w:val="24"/>
        </w:rPr>
        <w:t>bortskaffelse</w:t>
      </w:r>
      <w:r w:rsidRPr="00D961BD">
        <w:rPr>
          <w:b/>
          <w:sz w:val="24"/>
          <w:szCs w:val="24"/>
        </w:rPr>
        <w:t xml:space="preserve"> og anden håndtering</w:t>
      </w:r>
    </w:p>
    <w:p w:rsidR="00B73392" w:rsidRDefault="00B73392" w:rsidP="00B73392">
      <w:pPr>
        <w:ind w:left="851" w:hanging="851"/>
        <w:rPr>
          <w:noProof/>
          <w:sz w:val="24"/>
          <w:szCs w:val="24"/>
        </w:rPr>
      </w:pPr>
      <w:r w:rsidRPr="00D961BD">
        <w:rPr>
          <w:sz w:val="24"/>
          <w:szCs w:val="24"/>
        </w:rPr>
        <w:tab/>
      </w:r>
      <w:r w:rsidRPr="00D961BD">
        <w:rPr>
          <w:noProof/>
          <w:sz w:val="24"/>
          <w:szCs w:val="24"/>
        </w:rPr>
        <w:t>Ikke anvendt lægemiddel samt affald heraf skal bortskaffes i henhold til lokale retningslinjer.</w:t>
      </w:r>
    </w:p>
    <w:p w:rsidR="00B73392" w:rsidRPr="00D961BD" w:rsidRDefault="00B73392" w:rsidP="00B73392">
      <w:pPr>
        <w:ind w:left="851" w:hanging="851"/>
        <w:jc w:val="both"/>
        <w:rPr>
          <w:sz w:val="24"/>
          <w:szCs w:val="24"/>
        </w:rPr>
      </w:pPr>
    </w:p>
    <w:p w:rsidR="00B73392" w:rsidRPr="00D961BD" w:rsidRDefault="00B73392" w:rsidP="00B73392">
      <w:pPr>
        <w:ind w:left="851" w:hanging="851"/>
        <w:rPr>
          <w:b/>
          <w:sz w:val="24"/>
          <w:szCs w:val="24"/>
        </w:rPr>
      </w:pPr>
      <w:r w:rsidRPr="00D961BD">
        <w:rPr>
          <w:b/>
          <w:sz w:val="24"/>
          <w:szCs w:val="24"/>
        </w:rPr>
        <w:t>7.</w:t>
      </w:r>
      <w:r w:rsidRPr="00D961BD">
        <w:rPr>
          <w:b/>
          <w:sz w:val="24"/>
          <w:szCs w:val="24"/>
        </w:rPr>
        <w:tab/>
        <w:t>INDEHAVER AF MARKEDSFØRINGSTILLADELSEN</w:t>
      </w:r>
    </w:p>
    <w:p w:rsidR="00B73392" w:rsidRDefault="00B73392" w:rsidP="00B73392">
      <w:pPr>
        <w:ind w:left="851" w:hanging="851"/>
        <w:rPr>
          <w:noProof/>
          <w:sz w:val="24"/>
          <w:szCs w:val="24"/>
        </w:rPr>
      </w:pPr>
      <w:r w:rsidRPr="00D961BD">
        <w:rPr>
          <w:sz w:val="24"/>
          <w:szCs w:val="24"/>
        </w:rPr>
        <w:tab/>
      </w:r>
      <w:r w:rsidRPr="00D961BD">
        <w:rPr>
          <w:noProof/>
          <w:sz w:val="24"/>
          <w:szCs w:val="24"/>
        </w:rPr>
        <w:t>KRKA, d.d.</w:t>
      </w:r>
      <w:r>
        <w:rPr>
          <w:noProof/>
          <w:sz w:val="24"/>
          <w:szCs w:val="24"/>
        </w:rPr>
        <w:t xml:space="preserve">, </w:t>
      </w:r>
      <w:r w:rsidRPr="00D961BD">
        <w:rPr>
          <w:noProof/>
          <w:sz w:val="24"/>
          <w:szCs w:val="24"/>
        </w:rPr>
        <w:t>Novo mesto</w:t>
      </w:r>
    </w:p>
    <w:p w:rsidR="00B73392" w:rsidRDefault="00B73392" w:rsidP="00B73392">
      <w:pPr>
        <w:ind w:left="851"/>
        <w:rPr>
          <w:noProof/>
          <w:sz w:val="24"/>
          <w:szCs w:val="24"/>
        </w:rPr>
      </w:pPr>
      <w:r w:rsidRPr="00D961BD">
        <w:rPr>
          <w:noProof/>
          <w:sz w:val="24"/>
          <w:szCs w:val="24"/>
        </w:rPr>
        <w:t>Šmarješka cesta 6</w:t>
      </w:r>
    </w:p>
    <w:p w:rsidR="00B73392" w:rsidRDefault="00B73392" w:rsidP="00B73392">
      <w:pPr>
        <w:ind w:left="851"/>
        <w:rPr>
          <w:noProof/>
          <w:sz w:val="24"/>
          <w:szCs w:val="24"/>
        </w:rPr>
      </w:pPr>
      <w:r w:rsidRPr="00D961BD">
        <w:rPr>
          <w:noProof/>
          <w:sz w:val="24"/>
          <w:szCs w:val="24"/>
        </w:rPr>
        <w:t>8501 Novo mesto</w:t>
      </w:r>
    </w:p>
    <w:p w:rsidR="00B73392" w:rsidRPr="00D961BD" w:rsidRDefault="00B73392" w:rsidP="00B73392">
      <w:pPr>
        <w:ind w:left="851"/>
        <w:rPr>
          <w:noProof/>
          <w:sz w:val="24"/>
          <w:szCs w:val="24"/>
        </w:rPr>
      </w:pPr>
      <w:r w:rsidRPr="00D961BD">
        <w:rPr>
          <w:noProof/>
          <w:sz w:val="24"/>
          <w:szCs w:val="24"/>
        </w:rPr>
        <w:t>Slovenien</w:t>
      </w:r>
    </w:p>
    <w:p w:rsidR="00B73392" w:rsidRPr="00D961BD" w:rsidRDefault="00B73392" w:rsidP="00B73392">
      <w:pPr>
        <w:ind w:left="851" w:hanging="851"/>
        <w:jc w:val="both"/>
        <w:rPr>
          <w:noProof/>
          <w:sz w:val="24"/>
          <w:szCs w:val="24"/>
        </w:rPr>
      </w:pPr>
    </w:p>
    <w:p w:rsidR="00B73392" w:rsidRPr="00D961BD" w:rsidRDefault="00B73392" w:rsidP="00B73392">
      <w:pPr>
        <w:ind w:left="851"/>
        <w:rPr>
          <w:sz w:val="24"/>
          <w:szCs w:val="24"/>
          <w:lang w:val="sl-SI"/>
        </w:rPr>
      </w:pPr>
      <w:r w:rsidRPr="00D961BD">
        <w:rPr>
          <w:b/>
          <w:sz w:val="24"/>
          <w:szCs w:val="24"/>
          <w:lang w:val="sl-SI"/>
        </w:rPr>
        <w:t>Repræsentant</w:t>
      </w:r>
    </w:p>
    <w:p w:rsidR="00B73392" w:rsidRDefault="00B73392" w:rsidP="00B73392">
      <w:pPr>
        <w:ind w:left="851"/>
        <w:rPr>
          <w:sz w:val="24"/>
          <w:szCs w:val="24"/>
          <w:lang w:val="sl-SI"/>
        </w:rPr>
      </w:pPr>
      <w:r w:rsidRPr="00D961BD">
        <w:rPr>
          <w:sz w:val="24"/>
          <w:szCs w:val="24"/>
          <w:lang w:val="sl-SI"/>
        </w:rPr>
        <w:t>KRKA Sverige AB</w:t>
      </w:r>
    </w:p>
    <w:p w:rsidR="00B73392" w:rsidRDefault="00B73392" w:rsidP="00B73392">
      <w:pPr>
        <w:ind w:left="851"/>
        <w:rPr>
          <w:sz w:val="24"/>
          <w:szCs w:val="24"/>
          <w:lang w:val="sl-SI"/>
        </w:rPr>
      </w:pPr>
      <w:r w:rsidRPr="00D961BD">
        <w:rPr>
          <w:sz w:val="24"/>
          <w:szCs w:val="24"/>
          <w:lang w:val="sl-SI"/>
        </w:rPr>
        <w:t>Göta Ark 175</w:t>
      </w:r>
    </w:p>
    <w:p w:rsidR="00B73392" w:rsidRDefault="00B73392" w:rsidP="00B73392">
      <w:pPr>
        <w:ind w:left="851"/>
        <w:rPr>
          <w:sz w:val="24"/>
          <w:szCs w:val="24"/>
          <w:lang w:val="sl-SI"/>
        </w:rPr>
      </w:pPr>
      <w:r w:rsidRPr="00D961BD">
        <w:rPr>
          <w:sz w:val="24"/>
          <w:szCs w:val="24"/>
          <w:lang w:val="sl-SI"/>
        </w:rPr>
        <w:t>118 72 Stockholm</w:t>
      </w:r>
    </w:p>
    <w:p w:rsidR="00B73392" w:rsidRPr="00D961BD" w:rsidRDefault="00B73392" w:rsidP="00B73392">
      <w:pPr>
        <w:ind w:left="851"/>
        <w:rPr>
          <w:sz w:val="24"/>
          <w:szCs w:val="24"/>
          <w:lang w:val="sl-SI"/>
        </w:rPr>
      </w:pPr>
      <w:r w:rsidRPr="00D961BD">
        <w:rPr>
          <w:sz w:val="24"/>
          <w:szCs w:val="24"/>
          <w:lang w:val="sl-SI"/>
        </w:rPr>
        <w:t>Sverige</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8.</w:t>
      </w:r>
      <w:r w:rsidRPr="00D961BD">
        <w:rPr>
          <w:b/>
          <w:sz w:val="24"/>
          <w:szCs w:val="24"/>
        </w:rPr>
        <w:tab/>
        <w:t>MARKEDSFØRINGSTILLADELSESNUMMER (</w:t>
      </w:r>
      <w:r w:rsidR="00FB26B9">
        <w:rPr>
          <w:b/>
          <w:sz w:val="24"/>
          <w:szCs w:val="24"/>
        </w:rPr>
        <w:t>-</w:t>
      </w:r>
      <w:r w:rsidRPr="00D961BD">
        <w:rPr>
          <w:b/>
          <w:sz w:val="24"/>
          <w:szCs w:val="24"/>
        </w:rPr>
        <w:t>NUMRE)</w:t>
      </w:r>
    </w:p>
    <w:p w:rsidR="00B73392" w:rsidRPr="00D961BD" w:rsidRDefault="00B73392" w:rsidP="00B73392">
      <w:pPr>
        <w:ind w:left="851" w:hanging="851"/>
        <w:rPr>
          <w:sz w:val="24"/>
          <w:szCs w:val="24"/>
        </w:rPr>
      </w:pPr>
      <w:r w:rsidRPr="00D961BD">
        <w:rPr>
          <w:sz w:val="24"/>
          <w:szCs w:val="24"/>
        </w:rPr>
        <w:tab/>
        <w:t>250 mg:</w:t>
      </w:r>
      <w:r>
        <w:rPr>
          <w:sz w:val="24"/>
          <w:szCs w:val="24"/>
        </w:rPr>
        <w:t xml:space="preserve"> 53781</w:t>
      </w:r>
    </w:p>
    <w:p w:rsidR="00B73392" w:rsidRPr="00D961BD" w:rsidRDefault="00B73392" w:rsidP="00B73392">
      <w:pPr>
        <w:ind w:left="851"/>
        <w:rPr>
          <w:sz w:val="24"/>
          <w:szCs w:val="24"/>
        </w:rPr>
      </w:pPr>
      <w:r>
        <w:rPr>
          <w:sz w:val="24"/>
          <w:szCs w:val="24"/>
        </w:rPr>
        <w:t>500 mg: 53782</w:t>
      </w:r>
    </w:p>
    <w:p w:rsidR="00B73392" w:rsidRPr="00D961BD" w:rsidRDefault="00B73392" w:rsidP="00B73392">
      <w:pPr>
        <w:ind w:left="851" w:hanging="851"/>
        <w:jc w:val="both"/>
        <w:rPr>
          <w:sz w:val="24"/>
          <w:szCs w:val="24"/>
        </w:rPr>
      </w:pPr>
    </w:p>
    <w:p w:rsidR="00B73392" w:rsidRPr="00D961BD" w:rsidRDefault="00B73392" w:rsidP="00B73392">
      <w:pPr>
        <w:ind w:left="851" w:hanging="851"/>
        <w:rPr>
          <w:b/>
          <w:sz w:val="24"/>
          <w:szCs w:val="24"/>
        </w:rPr>
      </w:pPr>
      <w:r w:rsidRPr="00D961BD">
        <w:rPr>
          <w:b/>
          <w:sz w:val="24"/>
          <w:szCs w:val="24"/>
        </w:rPr>
        <w:t>9.</w:t>
      </w:r>
      <w:r w:rsidRPr="00D961BD">
        <w:rPr>
          <w:b/>
          <w:sz w:val="24"/>
          <w:szCs w:val="24"/>
        </w:rPr>
        <w:tab/>
        <w:t>DATO FOR FØRSTE MARKEDSFØRINGSTILLADELSE</w:t>
      </w:r>
    </w:p>
    <w:p w:rsidR="00B73392" w:rsidRPr="00D961BD" w:rsidRDefault="00B73392" w:rsidP="00B73392">
      <w:pPr>
        <w:ind w:left="851" w:hanging="851"/>
        <w:rPr>
          <w:sz w:val="24"/>
          <w:szCs w:val="24"/>
        </w:rPr>
      </w:pPr>
      <w:r w:rsidRPr="00D961BD">
        <w:rPr>
          <w:sz w:val="24"/>
          <w:szCs w:val="24"/>
        </w:rPr>
        <w:tab/>
        <w:t>18. august 2014</w:t>
      </w:r>
    </w:p>
    <w:p w:rsidR="00B73392" w:rsidRPr="00D961BD" w:rsidRDefault="00B73392" w:rsidP="00B73392">
      <w:pPr>
        <w:ind w:left="851" w:hanging="851"/>
        <w:rPr>
          <w:sz w:val="24"/>
          <w:szCs w:val="24"/>
        </w:rPr>
      </w:pPr>
    </w:p>
    <w:p w:rsidR="00B73392" w:rsidRPr="00D961BD" w:rsidRDefault="00B73392" w:rsidP="00B73392">
      <w:pPr>
        <w:ind w:left="851" w:hanging="851"/>
        <w:rPr>
          <w:b/>
          <w:sz w:val="24"/>
          <w:szCs w:val="24"/>
        </w:rPr>
      </w:pPr>
      <w:r w:rsidRPr="00D961BD">
        <w:rPr>
          <w:b/>
          <w:sz w:val="24"/>
          <w:szCs w:val="24"/>
        </w:rPr>
        <w:t>10.</w:t>
      </w:r>
      <w:r w:rsidRPr="00D961BD">
        <w:rPr>
          <w:b/>
          <w:sz w:val="24"/>
          <w:szCs w:val="24"/>
        </w:rPr>
        <w:tab/>
        <w:t>DATO FOR ÆNDRING AF TEKSTEN</w:t>
      </w:r>
    </w:p>
    <w:p w:rsidR="00B73392" w:rsidRPr="00097FE5" w:rsidRDefault="005C0180" w:rsidP="00B73392">
      <w:pPr>
        <w:pStyle w:val="Titel"/>
        <w:tabs>
          <w:tab w:val="right" w:pos="9356"/>
        </w:tabs>
        <w:ind w:left="851"/>
        <w:jc w:val="left"/>
        <w:rPr>
          <w:b w:val="0"/>
          <w:szCs w:val="24"/>
          <w:lang w:eastAsia="en-US"/>
        </w:rPr>
      </w:pPr>
      <w:r>
        <w:rPr>
          <w:b w:val="0"/>
          <w:szCs w:val="24"/>
          <w:lang w:eastAsia="en-US"/>
        </w:rPr>
        <w:lastRenderedPageBreak/>
        <w:t>24</w:t>
      </w:r>
      <w:bookmarkStart w:id="0" w:name="_GoBack"/>
      <w:bookmarkEnd w:id="0"/>
      <w:r w:rsidR="00D26546" w:rsidRPr="00D26546">
        <w:rPr>
          <w:b w:val="0"/>
          <w:szCs w:val="24"/>
          <w:lang w:eastAsia="en-US"/>
        </w:rPr>
        <w:t xml:space="preserve">. </w:t>
      </w:r>
      <w:r w:rsidR="004E29F1">
        <w:rPr>
          <w:b w:val="0"/>
          <w:szCs w:val="24"/>
          <w:lang w:eastAsia="en-US"/>
        </w:rPr>
        <w:t>september 2024</w:t>
      </w:r>
    </w:p>
    <w:p w:rsidR="00B73392" w:rsidRPr="00D961BD" w:rsidRDefault="00B73392" w:rsidP="00B73392">
      <w:pPr>
        <w:ind w:left="851" w:hanging="851"/>
        <w:rPr>
          <w:sz w:val="24"/>
          <w:szCs w:val="24"/>
        </w:rPr>
      </w:pPr>
    </w:p>
    <w:p w:rsidR="00B73392" w:rsidRPr="00D961BD" w:rsidRDefault="00B73392" w:rsidP="00B73392">
      <w:pPr>
        <w:ind w:left="851" w:hanging="851"/>
        <w:rPr>
          <w:sz w:val="24"/>
          <w:szCs w:val="24"/>
        </w:rPr>
      </w:pPr>
    </w:p>
    <w:p w:rsidR="00B73392" w:rsidRPr="00296759" w:rsidRDefault="00B73392" w:rsidP="00B73392"/>
    <w:p w:rsidR="00B73392" w:rsidRPr="00EA7F02" w:rsidRDefault="00B73392" w:rsidP="00B73392"/>
    <w:p w:rsidR="009260DE" w:rsidRPr="00B73392" w:rsidRDefault="009260DE" w:rsidP="00B73392"/>
    <w:sectPr w:rsidR="009260DE" w:rsidRPr="00B7339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731" w:rsidRDefault="00A64731">
      <w:r>
        <w:separator/>
      </w:r>
    </w:p>
  </w:endnote>
  <w:endnote w:type="continuationSeparator" w:id="0">
    <w:p w:rsidR="00A64731" w:rsidRDefault="00A6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731" w:rsidRDefault="00A64731">
    <w:pPr>
      <w:pStyle w:val="Sidefod"/>
      <w:pBdr>
        <w:bottom w:val="single" w:sz="6" w:space="1" w:color="auto"/>
      </w:pBdr>
    </w:pPr>
  </w:p>
  <w:p w:rsidR="00A64731" w:rsidRDefault="00A64731" w:rsidP="00C42586">
    <w:pPr>
      <w:pStyle w:val="Sidefod"/>
      <w:tabs>
        <w:tab w:val="clear" w:pos="4819"/>
        <w:tab w:val="left" w:pos="8505"/>
      </w:tabs>
      <w:rPr>
        <w:i/>
        <w:sz w:val="18"/>
        <w:szCs w:val="18"/>
      </w:rPr>
    </w:pPr>
  </w:p>
  <w:p w:rsidR="00A64731" w:rsidRPr="00B373D7" w:rsidRDefault="00A6473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Levetiracetam Krka,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731" w:rsidRDefault="00A64731">
      <w:r>
        <w:separator/>
      </w:r>
    </w:p>
  </w:footnote>
  <w:footnote w:type="continuationSeparator" w:id="0">
    <w:p w:rsidR="00A64731" w:rsidRDefault="00A6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EC1BF7"/>
    <w:multiLevelType w:val="hybridMultilevel"/>
    <w:tmpl w:val="1424F91A"/>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392"/>
    <w:rsid w:val="000259B9"/>
    <w:rsid w:val="00041491"/>
    <w:rsid w:val="00050D16"/>
    <w:rsid w:val="00074F2A"/>
    <w:rsid w:val="000A1CA8"/>
    <w:rsid w:val="000A466B"/>
    <w:rsid w:val="000B058C"/>
    <w:rsid w:val="000E4EE6"/>
    <w:rsid w:val="00106D8C"/>
    <w:rsid w:val="001454E2"/>
    <w:rsid w:val="00206CE8"/>
    <w:rsid w:val="0021526C"/>
    <w:rsid w:val="002775A7"/>
    <w:rsid w:val="00283A2B"/>
    <w:rsid w:val="00285E3A"/>
    <w:rsid w:val="002B30AD"/>
    <w:rsid w:val="002C2C01"/>
    <w:rsid w:val="00347527"/>
    <w:rsid w:val="003A29AE"/>
    <w:rsid w:val="003A32D7"/>
    <w:rsid w:val="003B4074"/>
    <w:rsid w:val="003C769A"/>
    <w:rsid w:val="003F1838"/>
    <w:rsid w:val="0045746C"/>
    <w:rsid w:val="0049104B"/>
    <w:rsid w:val="004E29F1"/>
    <w:rsid w:val="004E3B12"/>
    <w:rsid w:val="00532310"/>
    <w:rsid w:val="00560ECC"/>
    <w:rsid w:val="00565F0F"/>
    <w:rsid w:val="00594A86"/>
    <w:rsid w:val="00596D86"/>
    <w:rsid w:val="005C0180"/>
    <w:rsid w:val="005E1397"/>
    <w:rsid w:val="00633CED"/>
    <w:rsid w:val="00637F5A"/>
    <w:rsid w:val="006560B1"/>
    <w:rsid w:val="006756DD"/>
    <w:rsid w:val="00685884"/>
    <w:rsid w:val="00737275"/>
    <w:rsid w:val="00740EEC"/>
    <w:rsid w:val="00772C2F"/>
    <w:rsid w:val="0078011A"/>
    <w:rsid w:val="00782AF4"/>
    <w:rsid w:val="00790EE7"/>
    <w:rsid w:val="007B6649"/>
    <w:rsid w:val="0081546F"/>
    <w:rsid w:val="0082576E"/>
    <w:rsid w:val="00907F75"/>
    <w:rsid w:val="009260DE"/>
    <w:rsid w:val="0093258A"/>
    <w:rsid w:val="009723FB"/>
    <w:rsid w:val="009C7BA3"/>
    <w:rsid w:val="009D1F5A"/>
    <w:rsid w:val="00A64731"/>
    <w:rsid w:val="00B003BF"/>
    <w:rsid w:val="00B373D7"/>
    <w:rsid w:val="00B73392"/>
    <w:rsid w:val="00C36276"/>
    <w:rsid w:val="00C42586"/>
    <w:rsid w:val="00C60CCD"/>
    <w:rsid w:val="00C84483"/>
    <w:rsid w:val="00C95551"/>
    <w:rsid w:val="00CB20D7"/>
    <w:rsid w:val="00CC2A24"/>
    <w:rsid w:val="00D020B0"/>
    <w:rsid w:val="00D11748"/>
    <w:rsid w:val="00D26546"/>
    <w:rsid w:val="00D366CF"/>
    <w:rsid w:val="00D44D43"/>
    <w:rsid w:val="00DC1A58"/>
    <w:rsid w:val="00E108AA"/>
    <w:rsid w:val="00E31812"/>
    <w:rsid w:val="00E36023"/>
    <w:rsid w:val="00E3749A"/>
    <w:rsid w:val="00E7437F"/>
    <w:rsid w:val="00E865B8"/>
    <w:rsid w:val="00EC0B9B"/>
    <w:rsid w:val="00ED5E9F"/>
    <w:rsid w:val="00F66D4F"/>
    <w:rsid w:val="00FB26B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43BBAB"/>
  <w15:chartTrackingRefBased/>
  <w15:docId w15:val="{BED169E3-55EE-462A-ACE7-958E0B84F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73392"/>
    <w:pPr>
      <w:autoSpaceDE w:val="0"/>
      <w:autoSpaceDN w:val="0"/>
      <w:adjustRightInd w:val="0"/>
    </w:pPr>
    <w:rPr>
      <w:color w:val="000000"/>
      <w:sz w:val="24"/>
      <w:szCs w:val="24"/>
      <w:lang w:val="en-US" w:eastAsia="en-US"/>
    </w:rPr>
  </w:style>
  <w:style w:type="character" w:styleId="Hyperlink">
    <w:name w:val="Hyperlink"/>
    <w:basedOn w:val="Standardskrifttypeiafsnit"/>
    <w:uiPriority w:val="99"/>
    <w:semiHidden/>
    <w:unhideWhenUsed/>
    <w:rsid w:val="00FB26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83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0995298">
      <w:bodyDiv w:val="1"/>
      <w:marLeft w:val="0"/>
      <w:marRight w:val="0"/>
      <w:marTop w:val="0"/>
      <w:marBottom w:val="0"/>
      <w:divBdr>
        <w:top w:val="none" w:sz="0" w:space="0" w:color="auto"/>
        <w:left w:val="none" w:sz="0" w:space="0" w:color="auto"/>
        <w:bottom w:val="none" w:sz="0" w:space="0" w:color="auto"/>
        <w:right w:val="none" w:sz="0" w:space="0" w:color="auto"/>
      </w:divBdr>
    </w:div>
    <w:div w:id="1116564037">
      <w:bodyDiv w:val="1"/>
      <w:marLeft w:val="0"/>
      <w:marRight w:val="0"/>
      <w:marTop w:val="0"/>
      <w:marBottom w:val="0"/>
      <w:divBdr>
        <w:top w:val="none" w:sz="0" w:space="0" w:color="auto"/>
        <w:left w:val="none" w:sz="0" w:space="0" w:color="auto"/>
        <w:bottom w:val="none" w:sz="0" w:space="0" w:color="auto"/>
        <w:right w:val="none" w:sz="0" w:space="0" w:color="auto"/>
      </w:divBdr>
    </w:div>
    <w:div w:id="1481918067">
      <w:bodyDiv w:val="1"/>
      <w:marLeft w:val="0"/>
      <w:marRight w:val="0"/>
      <w:marTop w:val="0"/>
      <w:marBottom w:val="0"/>
      <w:divBdr>
        <w:top w:val="none" w:sz="0" w:space="0" w:color="auto"/>
        <w:left w:val="none" w:sz="0" w:space="0" w:color="auto"/>
        <w:bottom w:val="none" w:sz="0" w:space="0" w:color="auto"/>
        <w:right w:val="none" w:sz="0" w:space="0" w:color="auto"/>
      </w:divBdr>
    </w:div>
    <w:div w:id="1683316784">
      <w:bodyDiv w:val="1"/>
      <w:marLeft w:val="0"/>
      <w:marRight w:val="0"/>
      <w:marTop w:val="0"/>
      <w:marBottom w:val="0"/>
      <w:divBdr>
        <w:top w:val="none" w:sz="0" w:space="0" w:color="auto"/>
        <w:left w:val="none" w:sz="0" w:space="0" w:color="auto"/>
        <w:bottom w:val="none" w:sz="0" w:space="0" w:color="auto"/>
        <w:right w:val="none" w:sz="0" w:space="0" w:color="auto"/>
      </w:divBdr>
    </w:div>
    <w:div w:id="21108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5999</Words>
  <Characters>38168</Characters>
  <Application>Microsoft Office Word</Application>
  <DocSecurity>0</DocSecurity>
  <Lines>318</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2023100285 pkt. 4.4, 4.8</dc:description>
  <cp:lastModifiedBy>Gitte Ronnovius</cp:lastModifiedBy>
  <cp:revision>4</cp:revision>
  <cp:lastPrinted>2012-08-22T08:53:00Z</cp:lastPrinted>
  <dcterms:created xsi:type="dcterms:W3CDTF">2024-09-11T11:34:00Z</dcterms:created>
  <dcterms:modified xsi:type="dcterms:W3CDTF">2024-09-24T12:36:00Z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