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BF" w:rsidRPr="008C7F73" w:rsidRDefault="008E452A" w:rsidP="00B003BF">
      <w:pPr>
        <w:rPr>
          <w:sz w:val="24"/>
          <w:szCs w:val="24"/>
        </w:rPr>
      </w:pPr>
      <w:r>
        <w:rPr>
          <w:noProof/>
          <w:lang w:eastAsia="da-DK"/>
        </w:rPr>
        <w:drawing>
          <wp:inline distT="0" distB="0" distL="0" distR="0">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8E452A" w:rsidRDefault="008E452A" w:rsidP="00177A9D">
      <w:pPr>
        <w:pStyle w:val="Titel"/>
        <w:tabs>
          <w:tab w:val="right" w:pos="9356"/>
        </w:tabs>
        <w:jc w:val="right"/>
        <w:rPr>
          <w:b w:val="0"/>
          <w:szCs w:val="24"/>
          <w:lang w:eastAsia="en-US"/>
        </w:rPr>
      </w:pPr>
    </w:p>
    <w:p w:rsidR="00B003BF" w:rsidRPr="00177A9D" w:rsidRDefault="00B003BF" w:rsidP="00177A9D">
      <w:pPr>
        <w:pStyle w:val="Titel"/>
        <w:tabs>
          <w:tab w:val="right" w:pos="9356"/>
        </w:tabs>
        <w:jc w:val="right"/>
        <w:rPr>
          <w:szCs w:val="24"/>
          <w:lang w:eastAsia="en-US"/>
        </w:rPr>
      </w:pPr>
      <w:r w:rsidRPr="00177A9D">
        <w:rPr>
          <w:szCs w:val="24"/>
          <w:lang w:eastAsia="en-US"/>
        </w:rPr>
        <w:tab/>
      </w:r>
      <w:r w:rsidR="00864D8B">
        <w:rPr>
          <w:szCs w:val="24"/>
          <w:lang w:eastAsia="en-US"/>
        </w:rPr>
        <w:t>15. oktober 2019</w:t>
      </w:r>
    </w:p>
    <w:p w:rsidR="00B003BF" w:rsidRPr="008C7F73" w:rsidRDefault="00B003BF" w:rsidP="00B003BF">
      <w:pPr>
        <w:pStyle w:val="Titel"/>
        <w:jc w:val="left"/>
        <w:rPr>
          <w:b w:val="0"/>
          <w:szCs w:val="24"/>
        </w:rPr>
      </w:pPr>
    </w:p>
    <w:p w:rsidR="00B003BF" w:rsidRPr="008C7F73" w:rsidRDefault="00B003BF" w:rsidP="00B003BF">
      <w:pPr>
        <w:jc w:val="center"/>
        <w:rPr>
          <w:b/>
          <w:sz w:val="24"/>
          <w:szCs w:val="24"/>
        </w:rPr>
      </w:pPr>
      <w:r w:rsidRPr="008C7F73">
        <w:rPr>
          <w:b/>
          <w:sz w:val="24"/>
          <w:szCs w:val="24"/>
        </w:rPr>
        <w:t>PRODUKTRESUMÉ</w:t>
      </w:r>
    </w:p>
    <w:p w:rsidR="00B003BF" w:rsidRPr="008C7F73" w:rsidRDefault="00B003BF" w:rsidP="002E7284">
      <w:pPr>
        <w:rPr>
          <w:b/>
          <w:sz w:val="24"/>
          <w:szCs w:val="24"/>
        </w:rPr>
      </w:pPr>
    </w:p>
    <w:p w:rsidR="00B003BF" w:rsidRPr="008C7F73" w:rsidRDefault="00B003BF" w:rsidP="00B003BF">
      <w:pPr>
        <w:jc w:val="center"/>
        <w:rPr>
          <w:b/>
          <w:sz w:val="24"/>
          <w:szCs w:val="24"/>
        </w:rPr>
      </w:pPr>
      <w:proofErr w:type="gramStart"/>
      <w:r w:rsidRPr="008C7F73">
        <w:rPr>
          <w:b/>
          <w:sz w:val="24"/>
          <w:szCs w:val="24"/>
        </w:rPr>
        <w:t>for</w:t>
      </w:r>
      <w:proofErr w:type="gramEnd"/>
    </w:p>
    <w:p w:rsidR="00B003BF" w:rsidRPr="008C7F73" w:rsidRDefault="00B003BF" w:rsidP="00B003BF">
      <w:pPr>
        <w:jc w:val="center"/>
        <w:rPr>
          <w:b/>
          <w:sz w:val="24"/>
          <w:szCs w:val="24"/>
        </w:rPr>
      </w:pPr>
    </w:p>
    <w:p w:rsidR="00B003BF" w:rsidRPr="008C7F73" w:rsidRDefault="00A7499F" w:rsidP="00B003BF">
      <w:pPr>
        <w:jc w:val="center"/>
        <w:rPr>
          <w:b/>
          <w:sz w:val="24"/>
          <w:szCs w:val="24"/>
        </w:rPr>
      </w:pPr>
      <w:proofErr w:type="spellStart"/>
      <w:r w:rsidRPr="008C7F73">
        <w:rPr>
          <w:b/>
          <w:sz w:val="24"/>
          <w:szCs w:val="24"/>
        </w:rPr>
        <w:t>Levodonna</w:t>
      </w:r>
      <w:proofErr w:type="spellEnd"/>
      <w:r w:rsidRPr="008C7F73">
        <w:rPr>
          <w:b/>
          <w:sz w:val="24"/>
          <w:szCs w:val="24"/>
        </w:rPr>
        <w:t>, tabletter</w:t>
      </w:r>
    </w:p>
    <w:p w:rsidR="00B003BF" w:rsidRPr="008C7F73" w:rsidRDefault="00B003BF" w:rsidP="00B003BF">
      <w:pPr>
        <w:jc w:val="both"/>
        <w:rPr>
          <w:sz w:val="24"/>
          <w:szCs w:val="24"/>
        </w:rPr>
      </w:pPr>
    </w:p>
    <w:p w:rsidR="00B003BF" w:rsidRPr="008C7F73" w:rsidRDefault="00B003BF" w:rsidP="00A7540F">
      <w:pPr>
        <w:ind w:left="851" w:hanging="851"/>
        <w:jc w:val="both"/>
        <w:rPr>
          <w:sz w:val="24"/>
          <w:szCs w:val="24"/>
        </w:rPr>
      </w:pPr>
    </w:p>
    <w:p w:rsidR="00B003BF" w:rsidRPr="008C7F73" w:rsidRDefault="00B003BF" w:rsidP="00A7540F">
      <w:pPr>
        <w:ind w:left="851" w:hanging="851"/>
        <w:rPr>
          <w:b/>
          <w:sz w:val="24"/>
          <w:szCs w:val="24"/>
        </w:rPr>
      </w:pPr>
      <w:r w:rsidRPr="008C7F73">
        <w:rPr>
          <w:b/>
          <w:sz w:val="24"/>
          <w:szCs w:val="24"/>
        </w:rPr>
        <w:t>0.</w:t>
      </w:r>
      <w:r w:rsidRPr="008C7F73">
        <w:rPr>
          <w:b/>
          <w:sz w:val="24"/>
          <w:szCs w:val="24"/>
        </w:rPr>
        <w:tab/>
        <w:t>D.SP.NR.</w:t>
      </w:r>
    </w:p>
    <w:p w:rsidR="00B003BF" w:rsidRPr="008C7F73" w:rsidRDefault="00B003BF" w:rsidP="00A7540F">
      <w:pPr>
        <w:ind w:left="851" w:hanging="851"/>
        <w:rPr>
          <w:sz w:val="24"/>
          <w:szCs w:val="24"/>
        </w:rPr>
      </w:pPr>
      <w:r w:rsidRPr="008C7F73">
        <w:rPr>
          <w:sz w:val="24"/>
          <w:szCs w:val="24"/>
        </w:rPr>
        <w:tab/>
      </w:r>
      <w:r w:rsidR="00A7499F" w:rsidRPr="008C7F73">
        <w:rPr>
          <w:sz w:val="24"/>
          <w:szCs w:val="24"/>
        </w:rPr>
        <w:t>28378</w:t>
      </w:r>
    </w:p>
    <w:p w:rsidR="00B003BF" w:rsidRPr="008C7F73" w:rsidRDefault="00B003BF" w:rsidP="00A7540F">
      <w:pPr>
        <w:ind w:left="851" w:hanging="851"/>
        <w:rPr>
          <w:sz w:val="24"/>
          <w:szCs w:val="24"/>
        </w:rPr>
      </w:pPr>
    </w:p>
    <w:p w:rsidR="00B003BF" w:rsidRPr="008C7F73" w:rsidRDefault="00B003BF" w:rsidP="00A7540F">
      <w:pPr>
        <w:ind w:left="851" w:hanging="851"/>
        <w:rPr>
          <w:b/>
          <w:sz w:val="24"/>
          <w:szCs w:val="24"/>
        </w:rPr>
      </w:pPr>
      <w:r w:rsidRPr="008C7F73">
        <w:rPr>
          <w:b/>
          <w:sz w:val="24"/>
          <w:szCs w:val="24"/>
        </w:rPr>
        <w:t>1.</w:t>
      </w:r>
      <w:r w:rsidRPr="008C7F73">
        <w:rPr>
          <w:b/>
          <w:sz w:val="24"/>
          <w:szCs w:val="24"/>
        </w:rPr>
        <w:tab/>
        <w:t>LÆGEMIDLETS NAVN</w:t>
      </w:r>
    </w:p>
    <w:p w:rsidR="00B003BF" w:rsidRPr="008C7F73" w:rsidRDefault="00B003BF" w:rsidP="00A7540F">
      <w:pPr>
        <w:ind w:left="851" w:hanging="851"/>
        <w:rPr>
          <w:sz w:val="24"/>
          <w:szCs w:val="24"/>
        </w:rPr>
      </w:pPr>
      <w:r w:rsidRPr="008C7F73">
        <w:rPr>
          <w:sz w:val="24"/>
          <w:szCs w:val="24"/>
        </w:rPr>
        <w:tab/>
      </w:r>
      <w:proofErr w:type="spellStart"/>
      <w:r w:rsidR="00A7499F" w:rsidRPr="008C7F73">
        <w:rPr>
          <w:sz w:val="24"/>
          <w:szCs w:val="24"/>
        </w:rPr>
        <w:t>Levodonna</w:t>
      </w:r>
      <w:proofErr w:type="spellEnd"/>
    </w:p>
    <w:p w:rsidR="00B003BF" w:rsidRPr="008C7F73" w:rsidRDefault="00B003BF" w:rsidP="00A7540F">
      <w:pPr>
        <w:ind w:left="851" w:hanging="851"/>
        <w:rPr>
          <w:sz w:val="24"/>
          <w:szCs w:val="24"/>
        </w:rPr>
      </w:pPr>
      <w:r w:rsidRPr="008C7F73">
        <w:rPr>
          <w:sz w:val="24"/>
          <w:szCs w:val="24"/>
        </w:rPr>
        <w:tab/>
      </w:r>
    </w:p>
    <w:p w:rsidR="00B003BF" w:rsidRPr="008C7F73" w:rsidRDefault="00B003BF" w:rsidP="00A7540F">
      <w:pPr>
        <w:ind w:left="851" w:hanging="851"/>
        <w:rPr>
          <w:b/>
          <w:sz w:val="24"/>
          <w:szCs w:val="24"/>
        </w:rPr>
      </w:pPr>
      <w:r w:rsidRPr="008C7F73">
        <w:rPr>
          <w:b/>
          <w:sz w:val="24"/>
          <w:szCs w:val="24"/>
        </w:rPr>
        <w:t>2.</w:t>
      </w:r>
      <w:r w:rsidRPr="008C7F73">
        <w:rPr>
          <w:b/>
          <w:sz w:val="24"/>
          <w:szCs w:val="24"/>
        </w:rPr>
        <w:tab/>
        <w:t>KVALITATIV OG KVANTITATIV SAMMENSÆTNING</w:t>
      </w:r>
    </w:p>
    <w:p w:rsidR="00A7499F" w:rsidRPr="008C7F73" w:rsidRDefault="00B003BF" w:rsidP="00A7540F">
      <w:pPr>
        <w:ind w:left="851" w:hanging="851"/>
        <w:rPr>
          <w:sz w:val="24"/>
          <w:szCs w:val="24"/>
        </w:rPr>
      </w:pPr>
      <w:r w:rsidRPr="008C7F73">
        <w:rPr>
          <w:sz w:val="24"/>
          <w:szCs w:val="24"/>
        </w:rPr>
        <w:tab/>
      </w:r>
      <w:r w:rsidR="00A7499F" w:rsidRPr="008C7F73">
        <w:rPr>
          <w:sz w:val="24"/>
          <w:szCs w:val="24"/>
        </w:rPr>
        <w:t xml:space="preserve">Hver tablet indeholder 1,5 mg </w:t>
      </w:r>
      <w:proofErr w:type="spellStart"/>
      <w:r w:rsidR="00A7499F" w:rsidRPr="008C7F73">
        <w:rPr>
          <w:sz w:val="24"/>
          <w:szCs w:val="24"/>
        </w:rPr>
        <w:t>levonorgestrel</w:t>
      </w:r>
      <w:proofErr w:type="spellEnd"/>
      <w:r w:rsidR="00A7499F" w:rsidRPr="008C7F73">
        <w:rPr>
          <w:sz w:val="24"/>
          <w:szCs w:val="24"/>
        </w:rPr>
        <w:t xml:space="preserve">. </w:t>
      </w:r>
    </w:p>
    <w:p w:rsidR="00A7499F" w:rsidRPr="008C7F73" w:rsidRDefault="00A7499F" w:rsidP="00A7540F">
      <w:pPr>
        <w:ind w:left="851" w:hanging="851"/>
        <w:rPr>
          <w:sz w:val="24"/>
          <w:szCs w:val="24"/>
        </w:rPr>
      </w:pPr>
    </w:p>
    <w:p w:rsidR="00A7499F" w:rsidRPr="008C7F73" w:rsidRDefault="00A7540F" w:rsidP="00A7540F">
      <w:pPr>
        <w:ind w:left="851" w:hanging="851"/>
        <w:rPr>
          <w:sz w:val="24"/>
          <w:szCs w:val="24"/>
        </w:rPr>
      </w:pPr>
      <w:r w:rsidRPr="008C7F73">
        <w:rPr>
          <w:sz w:val="24"/>
          <w:szCs w:val="24"/>
        </w:rPr>
        <w:tab/>
      </w:r>
      <w:r w:rsidR="00A7499F" w:rsidRPr="008C7F73">
        <w:rPr>
          <w:sz w:val="24"/>
          <w:szCs w:val="24"/>
        </w:rPr>
        <w:t xml:space="preserve">Hjælpestof, som behandleren skal være opmærksom på: 43,3 mg </w:t>
      </w:r>
      <w:proofErr w:type="spellStart"/>
      <w:r w:rsidR="00A7499F" w:rsidRPr="008C7F73">
        <w:rPr>
          <w:sz w:val="24"/>
          <w:szCs w:val="24"/>
        </w:rPr>
        <w:t>lactosemonohydrat</w:t>
      </w:r>
      <w:proofErr w:type="spellEnd"/>
      <w:r w:rsidR="00A7499F" w:rsidRPr="008C7F73">
        <w:rPr>
          <w:sz w:val="24"/>
          <w:szCs w:val="24"/>
        </w:rPr>
        <w:t>.</w:t>
      </w:r>
    </w:p>
    <w:p w:rsidR="00A7499F" w:rsidRPr="008C7F73" w:rsidRDefault="00A7540F" w:rsidP="00A7540F">
      <w:pPr>
        <w:ind w:left="851" w:hanging="851"/>
        <w:rPr>
          <w:sz w:val="24"/>
          <w:szCs w:val="24"/>
        </w:rPr>
      </w:pPr>
      <w:r w:rsidRPr="008C7F73">
        <w:rPr>
          <w:sz w:val="24"/>
          <w:szCs w:val="24"/>
        </w:rPr>
        <w:tab/>
      </w:r>
      <w:r w:rsidR="00A7499F" w:rsidRPr="008C7F73">
        <w:rPr>
          <w:sz w:val="24"/>
          <w:szCs w:val="24"/>
        </w:rPr>
        <w:t>Alle hjælpestoffer er anført under pkt. 6.1.</w:t>
      </w:r>
    </w:p>
    <w:p w:rsidR="00B003BF" w:rsidRPr="008C7F73" w:rsidRDefault="00B003BF" w:rsidP="00A7540F">
      <w:pPr>
        <w:ind w:left="851" w:hanging="851"/>
        <w:rPr>
          <w:sz w:val="24"/>
          <w:szCs w:val="24"/>
        </w:rPr>
      </w:pPr>
    </w:p>
    <w:p w:rsidR="00B003BF" w:rsidRPr="008C7F73" w:rsidRDefault="00B003BF" w:rsidP="00A7540F">
      <w:pPr>
        <w:ind w:left="851" w:hanging="851"/>
        <w:rPr>
          <w:b/>
          <w:sz w:val="24"/>
          <w:szCs w:val="24"/>
        </w:rPr>
      </w:pPr>
      <w:r w:rsidRPr="008C7F73">
        <w:rPr>
          <w:b/>
          <w:sz w:val="24"/>
          <w:szCs w:val="24"/>
        </w:rPr>
        <w:t>3.</w:t>
      </w:r>
      <w:r w:rsidRPr="008C7F73">
        <w:rPr>
          <w:b/>
          <w:sz w:val="24"/>
          <w:szCs w:val="24"/>
        </w:rPr>
        <w:tab/>
        <w:t>LÆGEMIDDELFORM</w:t>
      </w:r>
    </w:p>
    <w:p w:rsidR="00A7499F" w:rsidRPr="008C7F73" w:rsidRDefault="00B003BF" w:rsidP="00A7540F">
      <w:pPr>
        <w:ind w:left="851" w:hanging="851"/>
        <w:rPr>
          <w:sz w:val="24"/>
          <w:szCs w:val="24"/>
        </w:rPr>
      </w:pPr>
      <w:r w:rsidRPr="008C7F73">
        <w:rPr>
          <w:sz w:val="24"/>
          <w:szCs w:val="24"/>
        </w:rPr>
        <w:tab/>
      </w:r>
      <w:r w:rsidR="00A7499F" w:rsidRPr="008C7F73">
        <w:rPr>
          <w:sz w:val="24"/>
          <w:szCs w:val="24"/>
        </w:rPr>
        <w:t>Tablet</w:t>
      </w:r>
      <w:r w:rsidR="00A7540F" w:rsidRPr="008C7F73">
        <w:rPr>
          <w:sz w:val="24"/>
          <w:szCs w:val="24"/>
        </w:rPr>
        <w:t>ter</w:t>
      </w:r>
      <w:r w:rsidR="00A7499F" w:rsidRPr="008C7F73">
        <w:rPr>
          <w:sz w:val="24"/>
          <w:szCs w:val="24"/>
        </w:rPr>
        <w:t>.</w:t>
      </w:r>
    </w:p>
    <w:p w:rsidR="00A7499F" w:rsidRPr="008C7F73" w:rsidRDefault="00A7499F" w:rsidP="00A7540F">
      <w:pPr>
        <w:ind w:left="851" w:hanging="851"/>
        <w:rPr>
          <w:sz w:val="24"/>
          <w:szCs w:val="24"/>
        </w:rPr>
      </w:pPr>
    </w:p>
    <w:p w:rsidR="00A7499F" w:rsidRPr="008C7F73" w:rsidRDefault="00A7540F" w:rsidP="00A7540F">
      <w:pPr>
        <w:ind w:left="851" w:hanging="851"/>
        <w:rPr>
          <w:sz w:val="24"/>
          <w:szCs w:val="24"/>
        </w:rPr>
      </w:pPr>
      <w:r w:rsidRPr="008C7F73">
        <w:rPr>
          <w:sz w:val="24"/>
          <w:szCs w:val="24"/>
        </w:rPr>
        <w:tab/>
      </w:r>
      <w:proofErr w:type="spellStart"/>
      <w:r w:rsidR="00A7499F" w:rsidRPr="008C7F73">
        <w:rPr>
          <w:sz w:val="24"/>
          <w:szCs w:val="24"/>
        </w:rPr>
        <w:t>Levodonna</w:t>
      </w:r>
      <w:proofErr w:type="spellEnd"/>
      <w:r w:rsidR="00A7499F" w:rsidRPr="008C7F73">
        <w:rPr>
          <w:sz w:val="24"/>
          <w:szCs w:val="24"/>
        </w:rPr>
        <w:t xml:space="preserve"> er en rund og hvid tablet med en diameter på cirka 6 mm, der er mærket med ”C” på den ene side og med ”1” på den anden side.</w:t>
      </w:r>
    </w:p>
    <w:p w:rsidR="00B003BF" w:rsidRPr="008C7F73" w:rsidRDefault="00B003BF" w:rsidP="00A7540F">
      <w:pPr>
        <w:ind w:left="851" w:hanging="851"/>
        <w:rPr>
          <w:sz w:val="24"/>
          <w:szCs w:val="24"/>
        </w:rPr>
      </w:pPr>
    </w:p>
    <w:p w:rsidR="00B003BF" w:rsidRPr="008C7F73" w:rsidRDefault="00B003BF" w:rsidP="00A7540F">
      <w:pPr>
        <w:ind w:left="851" w:hanging="851"/>
        <w:rPr>
          <w:sz w:val="24"/>
          <w:szCs w:val="24"/>
        </w:rPr>
      </w:pPr>
    </w:p>
    <w:p w:rsidR="00B003BF" w:rsidRPr="008C7F73" w:rsidRDefault="00B003BF" w:rsidP="00A7540F">
      <w:pPr>
        <w:ind w:left="851" w:hanging="851"/>
        <w:rPr>
          <w:b/>
          <w:sz w:val="24"/>
          <w:szCs w:val="24"/>
        </w:rPr>
      </w:pPr>
      <w:r w:rsidRPr="008C7F73">
        <w:rPr>
          <w:b/>
          <w:sz w:val="24"/>
          <w:szCs w:val="24"/>
        </w:rPr>
        <w:t>4.</w:t>
      </w:r>
      <w:r w:rsidRPr="008C7F73">
        <w:rPr>
          <w:b/>
          <w:sz w:val="24"/>
          <w:szCs w:val="24"/>
        </w:rPr>
        <w:tab/>
        <w:t>KLINISKE OPLYSNINGER</w:t>
      </w:r>
    </w:p>
    <w:p w:rsidR="00B003BF" w:rsidRPr="008C7F73" w:rsidRDefault="00B003BF" w:rsidP="00A7540F">
      <w:pPr>
        <w:ind w:left="851" w:hanging="851"/>
        <w:rPr>
          <w:b/>
          <w:sz w:val="24"/>
          <w:szCs w:val="24"/>
        </w:rPr>
      </w:pPr>
    </w:p>
    <w:p w:rsidR="00B003BF" w:rsidRPr="008C7F73" w:rsidRDefault="00B003BF" w:rsidP="00A7540F">
      <w:pPr>
        <w:ind w:left="851" w:hanging="851"/>
        <w:rPr>
          <w:b/>
          <w:sz w:val="24"/>
          <w:szCs w:val="24"/>
          <w:u w:val="single"/>
        </w:rPr>
      </w:pPr>
      <w:r w:rsidRPr="008C7F73">
        <w:rPr>
          <w:b/>
          <w:sz w:val="24"/>
          <w:szCs w:val="24"/>
        </w:rPr>
        <w:t>4.1</w:t>
      </w:r>
      <w:r w:rsidRPr="008C7F73">
        <w:rPr>
          <w:b/>
          <w:sz w:val="24"/>
          <w:szCs w:val="24"/>
        </w:rPr>
        <w:tab/>
        <w:t>Terapeutiske indikationer</w:t>
      </w:r>
    </w:p>
    <w:p w:rsidR="00A7499F" w:rsidRPr="008C7F73" w:rsidRDefault="00B003BF" w:rsidP="00A7540F">
      <w:pPr>
        <w:ind w:left="851" w:hanging="851"/>
        <w:rPr>
          <w:sz w:val="24"/>
          <w:szCs w:val="24"/>
        </w:rPr>
      </w:pPr>
      <w:r w:rsidRPr="008C7F73">
        <w:rPr>
          <w:sz w:val="24"/>
          <w:szCs w:val="24"/>
        </w:rPr>
        <w:tab/>
      </w:r>
      <w:r w:rsidR="00A7499F" w:rsidRPr="008C7F73">
        <w:rPr>
          <w:sz w:val="24"/>
          <w:szCs w:val="24"/>
        </w:rPr>
        <w:t>Nødprævention til indtagelse senest 72 timer efter ubeskyttet samleje eller efter svigt af en præventionsmetode.</w:t>
      </w:r>
    </w:p>
    <w:p w:rsidR="00B003BF" w:rsidRPr="008C7F73" w:rsidRDefault="00B003BF" w:rsidP="00A7540F">
      <w:pPr>
        <w:ind w:left="851" w:hanging="851"/>
        <w:rPr>
          <w:sz w:val="24"/>
          <w:szCs w:val="24"/>
        </w:rPr>
      </w:pPr>
    </w:p>
    <w:p w:rsidR="00B003BF" w:rsidRPr="008C7F73" w:rsidRDefault="00B003BF" w:rsidP="00A7540F">
      <w:pPr>
        <w:ind w:left="851" w:hanging="851"/>
        <w:rPr>
          <w:b/>
          <w:sz w:val="24"/>
          <w:szCs w:val="24"/>
        </w:rPr>
      </w:pPr>
      <w:r w:rsidRPr="008C7F73">
        <w:rPr>
          <w:b/>
          <w:sz w:val="24"/>
          <w:szCs w:val="24"/>
        </w:rPr>
        <w:t>4.2</w:t>
      </w:r>
      <w:r w:rsidRPr="008C7F73">
        <w:rPr>
          <w:b/>
          <w:sz w:val="24"/>
          <w:szCs w:val="24"/>
        </w:rPr>
        <w:tab/>
        <w:t>Dosering og indgivelsesmåde</w:t>
      </w:r>
    </w:p>
    <w:p w:rsidR="002E0293" w:rsidRDefault="00B003BF" w:rsidP="002E0293">
      <w:pPr>
        <w:ind w:left="851" w:hanging="851"/>
        <w:rPr>
          <w:sz w:val="24"/>
          <w:szCs w:val="24"/>
          <w:u w:val="single"/>
        </w:rPr>
      </w:pPr>
      <w:r w:rsidRPr="008C7F73">
        <w:rPr>
          <w:sz w:val="24"/>
          <w:szCs w:val="24"/>
        </w:rPr>
        <w:tab/>
      </w:r>
      <w:r w:rsidR="002E0293">
        <w:rPr>
          <w:sz w:val="24"/>
          <w:szCs w:val="24"/>
          <w:u w:val="single"/>
        </w:rPr>
        <w:t>Dosering</w:t>
      </w:r>
    </w:p>
    <w:p w:rsidR="002E0293" w:rsidRDefault="002E0293" w:rsidP="002E0293">
      <w:pPr>
        <w:ind w:left="851" w:hanging="851"/>
        <w:rPr>
          <w:sz w:val="24"/>
          <w:szCs w:val="24"/>
        </w:rPr>
      </w:pPr>
      <w:r>
        <w:rPr>
          <w:sz w:val="24"/>
          <w:szCs w:val="24"/>
        </w:rPr>
        <w:tab/>
        <w:t>Der tages en tablet så hurtigt som muligt, helst i løbet af 12 timer og senest 72 timer efter ubeskyttet samleje (se pkt. 5.1).</w:t>
      </w:r>
    </w:p>
    <w:p w:rsidR="002E0293" w:rsidRDefault="002E0293" w:rsidP="002E0293">
      <w:pPr>
        <w:ind w:left="851" w:hanging="851"/>
        <w:rPr>
          <w:sz w:val="24"/>
          <w:szCs w:val="24"/>
        </w:rPr>
      </w:pPr>
    </w:p>
    <w:p w:rsidR="002E0293" w:rsidRDefault="002E0293" w:rsidP="002E0293">
      <w:pPr>
        <w:ind w:left="851" w:hanging="851"/>
        <w:rPr>
          <w:sz w:val="24"/>
          <w:szCs w:val="24"/>
        </w:rPr>
      </w:pPr>
      <w:r>
        <w:rPr>
          <w:sz w:val="24"/>
          <w:szCs w:val="24"/>
        </w:rPr>
        <w:tab/>
        <w:t>I tilfælde af opkastning inden for tre timer efter indtagelse af tabletten, skal der omgående tages en ny tablet.</w:t>
      </w:r>
    </w:p>
    <w:p w:rsidR="002E0293" w:rsidRDefault="002E0293" w:rsidP="002E0293">
      <w:pPr>
        <w:ind w:left="851" w:hanging="851"/>
        <w:rPr>
          <w:sz w:val="24"/>
          <w:szCs w:val="24"/>
        </w:rPr>
      </w:pPr>
    </w:p>
    <w:p w:rsidR="002E0293" w:rsidRDefault="002E0293" w:rsidP="002E0293">
      <w:pPr>
        <w:ind w:left="851"/>
        <w:rPr>
          <w:sz w:val="24"/>
          <w:szCs w:val="24"/>
        </w:rPr>
      </w:pPr>
      <w:r>
        <w:rPr>
          <w:sz w:val="24"/>
          <w:szCs w:val="24"/>
        </w:rPr>
        <w:t xml:space="preserve">Kvinder, som har taget enzym-inducerende lægemidler inden for de seneste 4 uger, og som har behov for nødprævention, rådes til at anvende ikke-hormonel nødprævention, dvs. kobberspiral. Kvinder, som ikke kan eller vil anvende kobberspiral, kan tage en dobbeltdosis </w:t>
      </w:r>
      <w:proofErr w:type="spellStart"/>
      <w:r>
        <w:rPr>
          <w:sz w:val="24"/>
          <w:szCs w:val="24"/>
        </w:rPr>
        <w:t>levonorgestrel</w:t>
      </w:r>
      <w:proofErr w:type="spellEnd"/>
      <w:r>
        <w:rPr>
          <w:sz w:val="24"/>
          <w:szCs w:val="24"/>
        </w:rPr>
        <w:t xml:space="preserve"> (dvs. 2 tabletter på én gang) (se pkt. 4.5).</w:t>
      </w:r>
    </w:p>
    <w:p w:rsidR="002E0293" w:rsidRDefault="002E0293" w:rsidP="002E0293">
      <w:pPr>
        <w:ind w:left="851" w:hanging="851"/>
        <w:rPr>
          <w:sz w:val="24"/>
          <w:szCs w:val="24"/>
        </w:rPr>
      </w:pPr>
    </w:p>
    <w:p w:rsidR="002E0293" w:rsidRDefault="002E0293" w:rsidP="002E0293">
      <w:pPr>
        <w:ind w:left="851" w:hanging="851"/>
        <w:rPr>
          <w:sz w:val="24"/>
          <w:szCs w:val="24"/>
        </w:rPr>
      </w:pPr>
      <w:r>
        <w:rPr>
          <w:sz w:val="24"/>
          <w:szCs w:val="24"/>
        </w:rPr>
        <w:tab/>
      </w:r>
      <w:proofErr w:type="spellStart"/>
      <w:r>
        <w:rPr>
          <w:sz w:val="24"/>
          <w:szCs w:val="24"/>
        </w:rPr>
        <w:t>Levodonna</w:t>
      </w:r>
      <w:proofErr w:type="spellEnd"/>
      <w:r>
        <w:rPr>
          <w:sz w:val="24"/>
          <w:szCs w:val="24"/>
        </w:rPr>
        <w:t xml:space="preserve"> kan anvendes på et hvilket som helst tidspunkt i løbet af en menstruationscyklus, medmindre menstruationen er forsinket.</w:t>
      </w:r>
    </w:p>
    <w:p w:rsidR="002E0293" w:rsidRDefault="002E0293" w:rsidP="002E0293">
      <w:pPr>
        <w:ind w:left="851" w:hanging="851"/>
        <w:rPr>
          <w:sz w:val="24"/>
          <w:szCs w:val="24"/>
        </w:rPr>
      </w:pPr>
    </w:p>
    <w:p w:rsidR="002E0293" w:rsidRDefault="002E0293" w:rsidP="002E0293">
      <w:pPr>
        <w:ind w:left="851" w:hanging="851"/>
        <w:rPr>
          <w:sz w:val="24"/>
          <w:szCs w:val="24"/>
        </w:rPr>
      </w:pPr>
      <w:r>
        <w:rPr>
          <w:sz w:val="24"/>
          <w:szCs w:val="24"/>
        </w:rPr>
        <w:tab/>
        <w:t xml:space="preserve">Efter brug af nødprævention anbefales det at anvende en barrieremetode (f.eks. kondom, </w:t>
      </w:r>
      <w:proofErr w:type="spellStart"/>
      <w:r>
        <w:rPr>
          <w:sz w:val="24"/>
          <w:szCs w:val="24"/>
        </w:rPr>
        <w:t>spermicide</w:t>
      </w:r>
      <w:proofErr w:type="spellEnd"/>
      <w:r>
        <w:rPr>
          <w:sz w:val="24"/>
          <w:szCs w:val="24"/>
        </w:rPr>
        <w:t xml:space="preserve">, spiral eller pessar), indtil den næste menstruation starter. Brug af </w:t>
      </w:r>
      <w:proofErr w:type="spellStart"/>
      <w:r>
        <w:rPr>
          <w:sz w:val="24"/>
          <w:szCs w:val="24"/>
        </w:rPr>
        <w:t>Levodonna</w:t>
      </w:r>
      <w:proofErr w:type="spellEnd"/>
      <w:r>
        <w:rPr>
          <w:sz w:val="24"/>
          <w:szCs w:val="24"/>
        </w:rPr>
        <w:t xml:space="preserve"> udgør ikke en kontraindikation for fortsat brug af almindelig hormonel prævention.</w:t>
      </w:r>
    </w:p>
    <w:p w:rsidR="002E0293" w:rsidRDefault="002E0293" w:rsidP="002E0293">
      <w:pPr>
        <w:ind w:left="851" w:hanging="851"/>
        <w:rPr>
          <w:i/>
          <w:sz w:val="24"/>
          <w:szCs w:val="24"/>
        </w:rPr>
      </w:pPr>
    </w:p>
    <w:p w:rsidR="008E452A" w:rsidRDefault="008E452A" w:rsidP="008E452A">
      <w:pPr>
        <w:ind w:left="851" w:hanging="851"/>
        <w:rPr>
          <w:i/>
          <w:sz w:val="24"/>
          <w:szCs w:val="24"/>
        </w:rPr>
      </w:pPr>
      <w:r>
        <w:rPr>
          <w:i/>
          <w:sz w:val="24"/>
          <w:szCs w:val="24"/>
        </w:rPr>
        <w:tab/>
        <w:t>Pædiatrisk population</w:t>
      </w:r>
    </w:p>
    <w:p w:rsidR="008E452A" w:rsidRDefault="008E452A" w:rsidP="008E452A">
      <w:pPr>
        <w:ind w:left="851" w:hanging="851"/>
        <w:rPr>
          <w:sz w:val="24"/>
          <w:szCs w:val="24"/>
        </w:rPr>
      </w:pPr>
      <w:r>
        <w:rPr>
          <w:sz w:val="24"/>
          <w:szCs w:val="24"/>
        </w:rPr>
        <w:tab/>
        <w:t xml:space="preserve">Det er ikke relevant at anvende </w:t>
      </w:r>
      <w:proofErr w:type="spellStart"/>
      <w:r>
        <w:rPr>
          <w:sz w:val="24"/>
          <w:szCs w:val="24"/>
        </w:rPr>
        <w:t>Levodonna</w:t>
      </w:r>
      <w:proofErr w:type="spellEnd"/>
      <w:r>
        <w:rPr>
          <w:sz w:val="24"/>
          <w:szCs w:val="24"/>
        </w:rPr>
        <w:t xml:space="preserve"> til præpubertære børn til nødprævention.</w:t>
      </w:r>
    </w:p>
    <w:p w:rsidR="008E452A" w:rsidRDefault="008E452A" w:rsidP="008E452A">
      <w:pPr>
        <w:ind w:left="851" w:hanging="851"/>
        <w:rPr>
          <w:sz w:val="24"/>
          <w:szCs w:val="24"/>
        </w:rPr>
      </w:pPr>
    </w:p>
    <w:p w:rsidR="00B003BF" w:rsidRPr="008C7F73" w:rsidRDefault="00B003BF" w:rsidP="00A7540F">
      <w:pPr>
        <w:ind w:left="851" w:hanging="851"/>
        <w:rPr>
          <w:b/>
          <w:sz w:val="24"/>
          <w:szCs w:val="24"/>
        </w:rPr>
      </w:pPr>
      <w:r w:rsidRPr="008C7F73">
        <w:rPr>
          <w:b/>
          <w:sz w:val="24"/>
          <w:szCs w:val="24"/>
        </w:rPr>
        <w:t>4.3</w:t>
      </w:r>
      <w:r w:rsidRPr="008C7F73">
        <w:rPr>
          <w:b/>
          <w:sz w:val="24"/>
          <w:szCs w:val="24"/>
        </w:rPr>
        <w:tab/>
        <w:t>Kontraindikationer</w:t>
      </w:r>
    </w:p>
    <w:p w:rsidR="00A7499F" w:rsidRPr="008C7F73" w:rsidRDefault="00B003BF" w:rsidP="00A7540F">
      <w:pPr>
        <w:ind w:left="851" w:hanging="851"/>
        <w:rPr>
          <w:sz w:val="24"/>
          <w:szCs w:val="24"/>
        </w:rPr>
      </w:pPr>
      <w:r w:rsidRPr="008C7F73">
        <w:rPr>
          <w:sz w:val="24"/>
          <w:szCs w:val="24"/>
        </w:rPr>
        <w:tab/>
      </w:r>
      <w:r w:rsidR="00A7499F" w:rsidRPr="008C7F73">
        <w:rPr>
          <w:sz w:val="24"/>
          <w:szCs w:val="24"/>
        </w:rPr>
        <w:t>Overfølsomhed over for det aktive stof eller over for et eller flere af hjælpestofferne anført i pkt. 6.1.</w:t>
      </w:r>
    </w:p>
    <w:p w:rsidR="00B003BF" w:rsidRPr="008C7F73" w:rsidRDefault="00B003BF" w:rsidP="00A7540F">
      <w:pPr>
        <w:ind w:left="851" w:hanging="851"/>
        <w:rPr>
          <w:sz w:val="24"/>
          <w:szCs w:val="24"/>
        </w:rPr>
      </w:pPr>
    </w:p>
    <w:p w:rsidR="00B003BF" w:rsidRPr="008C7F73" w:rsidRDefault="00B003BF" w:rsidP="00A7540F">
      <w:pPr>
        <w:ind w:left="851" w:hanging="851"/>
        <w:rPr>
          <w:b/>
          <w:sz w:val="24"/>
          <w:szCs w:val="24"/>
        </w:rPr>
      </w:pPr>
      <w:r w:rsidRPr="008C7F73">
        <w:rPr>
          <w:b/>
          <w:sz w:val="24"/>
          <w:szCs w:val="24"/>
        </w:rPr>
        <w:t>4.4</w:t>
      </w:r>
      <w:r w:rsidRPr="008C7F73">
        <w:rPr>
          <w:b/>
          <w:sz w:val="24"/>
          <w:szCs w:val="24"/>
        </w:rPr>
        <w:tab/>
        <w:t>Særlige advarsler og forsigtighedsregler vedrørende brugen</w:t>
      </w:r>
    </w:p>
    <w:p w:rsidR="00A7499F" w:rsidRPr="008C7F73" w:rsidRDefault="00A7499F" w:rsidP="00A7540F">
      <w:pPr>
        <w:ind w:left="851" w:hanging="851"/>
        <w:rPr>
          <w:sz w:val="24"/>
          <w:szCs w:val="24"/>
        </w:rPr>
      </w:pPr>
    </w:p>
    <w:tbl>
      <w:tblPr>
        <w:tblW w:w="808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80"/>
      </w:tblGrid>
      <w:tr w:rsidR="00A7499F" w:rsidRPr="008C7F73" w:rsidTr="00A7540F">
        <w:trPr>
          <w:trHeight w:val="2375"/>
        </w:trPr>
        <w:tc>
          <w:tcPr>
            <w:tcW w:w="8080" w:type="dxa"/>
            <w:tcBorders>
              <w:top w:val="single" w:sz="4" w:space="0" w:color="auto"/>
              <w:left w:val="single" w:sz="4" w:space="0" w:color="auto"/>
              <w:bottom w:val="single" w:sz="4" w:space="0" w:color="auto"/>
              <w:right w:val="single" w:sz="4" w:space="0" w:color="auto"/>
            </w:tcBorders>
            <w:hideMark/>
          </w:tcPr>
          <w:p w:rsidR="00A7499F" w:rsidRPr="008C7F73" w:rsidRDefault="00A7499F" w:rsidP="00A7540F">
            <w:pPr>
              <w:ind w:left="72"/>
              <w:rPr>
                <w:sz w:val="24"/>
                <w:szCs w:val="24"/>
              </w:rPr>
            </w:pPr>
            <w:r w:rsidRPr="008C7F73">
              <w:rPr>
                <w:sz w:val="24"/>
                <w:szCs w:val="24"/>
              </w:rPr>
              <w:t>Nødprævention er beregnet til lejlighedsvis brug. Det bør under ingen omstændigheder erstatte en almindelig præventionsmetode.</w:t>
            </w:r>
          </w:p>
          <w:p w:rsidR="00A7499F" w:rsidRPr="008C7F73" w:rsidRDefault="00A7499F" w:rsidP="00A7540F">
            <w:pPr>
              <w:ind w:left="72"/>
              <w:rPr>
                <w:sz w:val="24"/>
                <w:szCs w:val="24"/>
              </w:rPr>
            </w:pPr>
            <w:r w:rsidRPr="008C7F73">
              <w:rPr>
                <w:sz w:val="24"/>
                <w:szCs w:val="24"/>
              </w:rPr>
              <w:t xml:space="preserve">Nødprævention forebygger ikke graviditet i alle tilfælde. Hvis der er usikkerhed omkring tidspunktet for ubeskyttet samleje, eller hvis kvinden har haft ubeskyttet samleje mere end 72 timer tidligere i samme menstruationscyklus, kan befrugtning have fundet sted. Behandling med </w:t>
            </w:r>
            <w:proofErr w:type="spellStart"/>
            <w:r w:rsidRPr="008C7F73">
              <w:rPr>
                <w:sz w:val="24"/>
                <w:szCs w:val="24"/>
              </w:rPr>
              <w:t>Levodonna</w:t>
            </w:r>
            <w:proofErr w:type="spellEnd"/>
            <w:r w:rsidRPr="008C7F73">
              <w:rPr>
                <w:sz w:val="24"/>
                <w:szCs w:val="24"/>
              </w:rPr>
              <w:t xml:space="preserve"> efter andet samleje kan derfor være uden graviditetsforebyggende effekt. Hvis menstruationen er forsinket med mere end 5 dage, eller hvis kvinden får abnorm blødning på den forventede menstruationsdag, eller hvis der er mistanke om graviditet af en hvilken som helst anden årsag, skal graviditet udelukkes. </w:t>
            </w:r>
          </w:p>
        </w:tc>
      </w:tr>
    </w:tbl>
    <w:p w:rsidR="00A7499F" w:rsidRDefault="00A7499F" w:rsidP="00A7540F">
      <w:pPr>
        <w:ind w:left="851" w:hanging="851"/>
        <w:rPr>
          <w:sz w:val="24"/>
          <w:szCs w:val="24"/>
        </w:rPr>
      </w:pPr>
    </w:p>
    <w:p w:rsidR="00A7499F" w:rsidRPr="008C7F73" w:rsidRDefault="00A7540F" w:rsidP="00A7540F">
      <w:pPr>
        <w:ind w:left="851" w:hanging="851"/>
        <w:rPr>
          <w:sz w:val="24"/>
          <w:szCs w:val="24"/>
        </w:rPr>
      </w:pPr>
      <w:r w:rsidRPr="008C7F73">
        <w:rPr>
          <w:b/>
          <w:sz w:val="24"/>
          <w:szCs w:val="24"/>
        </w:rPr>
        <w:tab/>
      </w:r>
      <w:r w:rsidR="00A7499F" w:rsidRPr="008C7F73">
        <w:rPr>
          <w:b/>
          <w:sz w:val="24"/>
          <w:szCs w:val="24"/>
        </w:rPr>
        <w:t xml:space="preserve">Hvis kvinden bliver gravid efter behandling med </w:t>
      </w:r>
      <w:proofErr w:type="spellStart"/>
      <w:r w:rsidR="00A7499F" w:rsidRPr="008C7F73">
        <w:rPr>
          <w:b/>
          <w:sz w:val="24"/>
          <w:szCs w:val="24"/>
        </w:rPr>
        <w:t>Levodonna</w:t>
      </w:r>
      <w:proofErr w:type="spellEnd"/>
      <w:r w:rsidR="00A7499F" w:rsidRPr="008C7F73">
        <w:rPr>
          <w:b/>
          <w:sz w:val="24"/>
          <w:szCs w:val="24"/>
        </w:rPr>
        <w:t xml:space="preserve">, bør muligheden for </w:t>
      </w:r>
      <w:proofErr w:type="spellStart"/>
      <w:r w:rsidR="00A7499F" w:rsidRPr="008C7F73">
        <w:rPr>
          <w:b/>
          <w:sz w:val="24"/>
          <w:szCs w:val="24"/>
        </w:rPr>
        <w:t>ektopisk</w:t>
      </w:r>
      <w:proofErr w:type="spellEnd"/>
      <w:r w:rsidR="00A7499F" w:rsidRPr="008C7F73">
        <w:rPr>
          <w:b/>
          <w:sz w:val="24"/>
          <w:szCs w:val="24"/>
        </w:rPr>
        <w:t xml:space="preserve"> graviditet overvejes.</w:t>
      </w:r>
      <w:r w:rsidR="00A7499F" w:rsidRPr="008C7F73">
        <w:rPr>
          <w:sz w:val="24"/>
          <w:szCs w:val="24"/>
        </w:rPr>
        <w:t xml:space="preserve"> Den absolutte risiko for </w:t>
      </w:r>
      <w:proofErr w:type="spellStart"/>
      <w:r w:rsidR="00A7499F" w:rsidRPr="008C7F73">
        <w:rPr>
          <w:sz w:val="24"/>
          <w:szCs w:val="24"/>
        </w:rPr>
        <w:t>ektopisk</w:t>
      </w:r>
      <w:proofErr w:type="spellEnd"/>
      <w:r w:rsidR="00A7499F" w:rsidRPr="008C7F73">
        <w:rPr>
          <w:sz w:val="24"/>
          <w:szCs w:val="24"/>
        </w:rPr>
        <w:t xml:space="preserve"> graviditet er sandsynligvis lav, da </w:t>
      </w:r>
      <w:proofErr w:type="spellStart"/>
      <w:r w:rsidR="00A7499F" w:rsidRPr="008C7F73">
        <w:rPr>
          <w:sz w:val="24"/>
          <w:szCs w:val="24"/>
        </w:rPr>
        <w:t>Levodonna</w:t>
      </w:r>
      <w:proofErr w:type="spellEnd"/>
      <w:r w:rsidR="00A7499F" w:rsidRPr="008C7F73">
        <w:rPr>
          <w:sz w:val="24"/>
          <w:szCs w:val="24"/>
        </w:rPr>
        <w:t xml:space="preserve"> forebygger ægløsning og befrugtning. </w:t>
      </w:r>
      <w:proofErr w:type="spellStart"/>
      <w:r w:rsidR="00A7499F" w:rsidRPr="008C7F73">
        <w:rPr>
          <w:sz w:val="24"/>
          <w:szCs w:val="24"/>
        </w:rPr>
        <w:t>Ektopisk</w:t>
      </w:r>
      <w:proofErr w:type="spellEnd"/>
      <w:r w:rsidR="00A7499F" w:rsidRPr="008C7F73">
        <w:rPr>
          <w:sz w:val="24"/>
          <w:szCs w:val="24"/>
        </w:rPr>
        <w:t xml:space="preserve"> graviditet kan fortsætte til trods for livmoderblødning.</w:t>
      </w:r>
    </w:p>
    <w:p w:rsidR="00A7499F" w:rsidRPr="008C7F73" w:rsidRDefault="00A7540F" w:rsidP="00A7540F">
      <w:pPr>
        <w:ind w:left="851" w:hanging="851"/>
        <w:rPr>
          <w:sz w:val="24"/>
          <w:szCs w:val="24"/>
        </w:rPr>
      </w:pPr>
      <w:r w:rsidRPr="008C7F73">
        <w:rPr>
          <w:sz w:val="24"/>
          <w:szCs w:val="24"/>
        </w:rPr>
        <w:tab/>
      </w:r>
      <w:proofErr w:type="spellStart"/>
      <w:r w:rsidR="00A7499F" w:rsidRPr="008C7F73">
        <w:rPr>
          <w:sz w:val="24"/>
          <w:szCs w:val="24"/>
        </w:rPr>
        <w:t>Levodonna</w:t>
      </w:r>
      <w:proofErr w:type="spellEnd"/>
      <w:r w:rsidR="00A7499F" w:rsidRPr="008C7F73">
        <w:rPr>
          <w:sz w:val="24"/>
          <w:szCs w:val="24"/>
        </w:rPr>
        <w:t xml:space="preserve"> er derfor frarådet hos patienter med risiko for </w:t>
      </w:r>
      <w:proofErr w:type="spellStart"/>
      <w:r w:rsidR="00A7499F" w:rsidRPr="008C7F73">
        <w:rPr>
          <w:sz w:val="24"/>
          <w:szCs w:val="24"/>
        </w:rPr>
        <w:t>ektopisk</w:t>
      </w:r>
      <w:proofErr w:type="spellEnd"/>
      <w:r w:rsidR="00A7499F" w:rsidRPr="008C7F73">
        <w:rPr>
          <w:sz w:val="24"/>
          <w:szCs w:val="24"/>
        </w:rPr>
        <w:t xml:space="preserve"> graviditet (</w:t>
      </w:r>
      <w:proofErr w:type="spellStart"/>
      <w:r w:rsidR="00A7499F" w:rsidRPr="008C7F73">
        <w:rPr>
          <w:sz w:val="24"/>
          <w:szCs w:val="24"/>
        </w:rPr>
        <w:t>salpingitis</w:t>
      </w:r>
      <w:proofErr w:type="spellEnd"/>
      <w:r w:rsidR="00A7499F" w:rsidRPr="008C7F73">
        <w:rPr>
          <w:sz w:val="24"/>
          <w:szCs w:val="24"/>
        </w:rPr>
        <w:t xml:space="preserve"> eller </w:t>
      </w:r>
      <w:proofErr w:type="spellStart"/>
      <w:r w:rsidR="00A7499F" w:rsidRPr="008C7F73">
        <w:rPr>
          <w:sz w:val="24"/>
          <w:szCs w:val="24"/>
        </w:rPr>
        <w:t>ektopisk</w:t>
      </w:r>
      <w:proofErr w:type="spellEnd"/>
      <w:r w:rsidR="00A7499F" w:rsidRPr="008C7F73">
        <w:rPr>
          <w:sz w:val="24"/>
          <w:szCs w:val="24"/>
        </w:rPr>
        <w:t xml:space="preserve"> graviditet i anamnesen).</w:t>
      </w:r>
    </w:p>
    <w:p w:rsidR="00A7499F" w:rsidRPr="008C7F73" w:rsidRDefault="00A7540F" w:rsidP="00A7540F">
      <w:pPr>
        <w:ind w:left="851" w:hanging="851"/>
        <w:rPr>
          <w:sz w:val="24"/>
          <w:szCs w:val="24"/>
        </w:rPr>
      </w:pPr>
      <w:r w:rsidRPr="008C7F73">
        <w:rPr>
          <w:sz w:val="24"/>
          <w:szCs w:val="24"/>
        </w:rPr>
        <w:tab/>
      </w:r>
      <w:proofErr w:type="spellStart"/>
      <w:r w:rsidR="00A7499F" w:rsidRPr="008C7F73">
        <w:rPr>
          <w:sz w:val="24"/>
          <w:szCs w:val="24"/>
        </w:rPr>
        <w:t>Levodonna</w:t>
      </w:r>
      <w:proofErr w:type="spellEnd"/>
      <w:r w:rsidR="00A7499F" w:rsidRPr="008C7F73">
        <w:rPr>
          <w:sz w:val="24"/>
          <w:szCs w:val="24"/>
        </w:rPr>
        <w:t xml:space="preserve"> er frarådet hos patienter med svær </w:t>
      </w:r>
      <w:proofErr w:type="spellStart"/>
      <w:r w:rsidR="00A7499F" w:rsidRPr="008C7F73">
        <w:rPr>
          <w:sz w:val="24"/>
          <w:szCs w:val="24"/>
        </w:rPr>
        <w:t>hepatisk</w:t>
      </w:r>
      <w:proofErr w:type="spellEnd"/>
      <w:r w:rsidR="00A7499F" w:rsidRPr="008C7F73">
        <w:rPr>
          <w:sz w:val="24"/>
          <w:szCs w:val="24"/>
        </w:rPr>
        <w:t xml:space="preserve"> dysfunktion. </w:t>
      </w:r>
    </w:p>
    <w:p w:rsidR="00A7499F" w:rsidRPr="008C7F73" w:rsidRDefault="00A7499F" w:rsidP="00A7540F">
      <w:pPr>
        <w:ind w:left="851" w:hanging="851"/>
        <w:rPr>
          <w:sz w:val="24"/>
          <w:szCs w:val="24"/>
        </w:rPr>
      </w:pPr>
    </w:p>
    <w:p w:rsidR="00A7499F" w:rsidRPr="008C7F73" w:rsidRDefault="00A7540F" w:rsidP="00A7540F">
      <w:pPr>
        <w:ind w:left="851" w:hanging="851"/>
        <w:rPr>
          <w:sz w:val="24"/>
          <w:szCs w:val="24"/>
        </w:rPr>
      </w:pPr>
      <w:r w:rsidRPr="008C7F73">
        <w:rPr>
          <w:sz w:val="24"/>
          <w:szCs w:val="24"/>
        </w:rPr>
        <w:tab/>
      </w:r>
      <w:r w:rsidR="00A7499F" w:rsidRPr="008C7F73">
        <w:rPr>
          <w:sz w:val="24"/>
          <w:szCs w:val="24"/>
        </w:rPr>
        <w:t xml:space="preserve">Svære </w:t>
      </w:r>
      <w:proofErr w:type="spellStart"/>
      <w:r w:rsidR="00A7499F" w:rsidRPr="008C7F73">
        <w:rPr>
          <w:sz w:val="24"/>
          <w:szCs w:val="24"/>
        </w:rPr>
        <w:t>malabsorptionssyndromer</w:t>
      </w:r>
      <w:proofErr w:type="spellEnd"/>
      <w:r w:rsidR="00A7499F" w:rsidRPr="008C7F73">
        <w:rPr>
          <w:sz w:val="24"/>
          <w:szCs w:val="24"/>
        </w:rPr>
        <w:t xml:space="preserve">, såsom </w:t>
      </w:r>
      <w:proofErr w:type="spellStart"/>
      <w:r w:rsidR="00A7499F" w:rsidRPr="008C7F73">
        <w:rPr>
          <w:sz w:val="24"/>
          <w:szCs w:val="24"/>
        </w:rPr>
        <w:t>Crohns</w:t>
      </w:r>
      <w:proofErr w:type="spellEnd"/>
      <w:r w:rsidR="00A7499F" w:rsidRPr="008C7F73">
        <w:rPr>
          <w:sz w:val="24"/>
          <w:szCs w:val="24"/>
        </w:rPr>
        <w:t xml:space="preserve"> sygdom, kan nedsætte virkningen af </w:t>
      </w:r>
      <w:proofErr w:type="spellStart"/>
      <w:r w:rsidR="00A7499F" w:rsidRPr="008C7F73">
        <w:rPr>
          <w:sz w:val="24"/>
          <w:szCs w:val="24"/>
        </w:rPr>
        <w:t>Levodonna</w:t>
      </w:r>
      <w:proofErr w:type="spellEnd"/>
      <w:r w:rsidR="00A7499F" w:rsidRPr="008C7F73">
        <w:rPr>
          <w:sz w:val="24"/>
          <w:szCs w:val="24"/>
        </w:rPr>
        <w:t xml:space="preserve">. </w:t>
      </w:r>
    </w:p>
    <w:p w:rsidR="00A7499F" w:rsidRPr="008C7F73" w:rsidRDefault="00A7499F" w:rsidP="00A7540F">
      <w:pPr>
        <w:ind w:left="851" w:hanging="851"/>
        <w:rPr>
          <w:sz w:val="24"/>
          <w:szCs w:val="24"/>
        </w:rPr>
      </w:pPr>
    </w:p>
    <w:p w:rsidR="00A7499F" w:rsidRPr="008C7F73" w:rsidRDefault="00A7540F" w:rsidP="00A7540F">
      <w:pPr>
        <w:ind w:left="851" w:hanging="851"/>
        <w:rPr>
          <w:sz w:val="24"/>
          <w:szCs w:val="24"/>
        </w:rPr>
      </w:pPr>
      <w:r w:rsidRPr="008C7F73">
        <w:rPr>
          <w:sz w:val="24"/>
          <w:szCs w:val="24"/>
        </w:rPr>
        <w:tab/>
      </w:r>
      <w:r w:rsidR="005B4414">
        <w:rPr>
          <w:sz w:val="24"/>
          <w:szCs w:val="24"/>
        </w:rPr>
        <w:t xml:space="preserve">Efter indtag af </w:t>
      </w:r>
      <w:proofErr w:type="spellStart"/>
      <w:r w:rsidR="005B4414">
        <w:rPr>
          <w:sz w:val="24"/>
          <w:szCs w:val="24"/>
        </w:rPr>
        <w:t>Levodonna</w:t>
      </w:r>
      <w:proofErr w:type="spellEnd"/>
      <w:r w:rsidR="005B4414">
        <w:rPr>
          <w:sz w:val="24"/>
          <w:szCs w:val="24"/>
        </w:rPr>
        <w:t xml:space="preserve"> er menstruationen som regel normal og indtræder på den forventede dato. Den kan nogle gange indtræde nogle få dage tidligere eller senere end forventet. Kvinder bør rådes til at konsultere deres læge med henblik på opstart eller korrekt brug af en almindelig præventionsmetode. Hos kvinder, der anvender almindelige hormonelle </w:t>
      </w:r>
      <w:proofErr w:type="spellStart"/>
      <w:r w:rsidR="005B4414">
        <w:rPr>
          <w:sz w:val="24"/>
          <w:szCs w:val="24"/>
        </w:rPr>
        <w:t>antikonceptiva</w:t>
      </w:r>
      <w:proofErr w:type="spellEnd"/>
      <w:r w:rsidR="005B4414">
        <w:rPr>
          <w:sz w:val="24"/>
          <w:szCs w:val="24"/>
        </w:rPr>
        <w:t xml:space="preserve">, og som ikke får bortfaldsblødning i den næste </w:t>
      </w:r>
      <w:proofErr w:type="spellStart"/>
      <w:r w:rsidR="005B4414">
        <w:rPr>
          <w:sz w:val="24"/>
          <w:szCs w:val="24"/>
        </w:rPr>
        <w:t>pillefri</w:t>
      </w:r>
      <w:proofErr w:type="spellEnd"/>
      <w:r w:rsidR="005B4414">
        <w:rPr>
          <w:sz w:val="24"/>
          <w:szCs w:val="24"/>
        </w:rPr>
        <w:t xml:space="preserve"> periode efter indtagelse af </w:t>
      </w:r>
      <w:proofErr w:type="spellStart"/>
      <w:r w:rsidR="005B4414">
        <w:rPr>
          <w:sz w:val="24"/>
          <w:szCs w:val="24"/>
        </w:rPr>
        <w:t>Levodonna</w:t>
      </w:r>
      <w:proofErr w:type="spellEnd"/>
      <w:r w:rsidR="005B4414">
        <w:rPr>
          <w:sz w:val="24"/>
          <w:szCs w:val="24"/>
        </w:rPr>
        <w:t>, skal graviditet udelukkes.</w:t>
      </w:r>
    </w:p>
    <w:p w:rsidR="00A7499F" w:rsidRPr="008C7F73" w:rsidRDefault="00A7499F" w:rsidP="00A7540F">
      <w:pPr>
        <w:ind w:left="851" w:hanging="851"/>
        <w:rPr>
          <w:sz w:val="24"/>
          <w:szCs w:val="24"/>
        </w:rPr>
      </w:pPr>
    </w:p>
    <w:p w:rsidR="00A7499F" w:rsidRPr="008C7F73" w:rsidRDefault="00A7540F" w:rsidP="00A7540F">
      <w:pPr>
        <w:ind w:left="851" w:hanging="851"/>
        <w:rPr>
          <w:sz w:val="24"/>
          <w:szCs w:val="24"/>
        </w:rPr>
      </w:pPr>
      <w:r w:rsidRPr="008C7F73">
        <w:rPr>
          <w:sz w:val="24"/>
          <w:szCs w:val="24"/>
        </w:rPr>
        <w:tab/>
      </w:r>
      <w:r w:rsidR="00A7499F" w:rsidRPr="008C7F73">
        <w:rPr>
          <w:sz w:val="24"/>
          <w:szCs w:val="24"/>
        </w:rPr>
        <w:t>Gentagen administration i samme menstruationscyklus frarådes, da det kan ændre kvindens cyklus.</w:t>
      </w:r>
    </w:p>
    <w:p w:rsidR="008E452A" w:rsidRDefault="008E452A" w:rsidP="00A7540F">
      <w:pPr>
        <w:ind w:left="851" w:hanging="851"/>
        <w:rPr>
          <w:sz w:val="24"/>
          <w:szCs w:val="24"/>
        </w:rPr>
      </w:pPr>
    </w:p>
    <w:p w:rsidR="00A7499F" w:rsidRPr="008C7F73" w:rsidRDefault="00A7540F" w:rsidP="00A7540F">
      <w:pPr>
        <w:ind w:left="851" w:hanging="851"/>
        <w:rPr>
          <w:sz w:val="24"/>
          <w:szCs w:val="24"/>
        </w:rPr>
      </w:pPr>
      <w:r w:rsidRPr="008C7F73">
        <w:rPr>
          <w:sz w:val="24"/>
          <w:szCs w:val="24"/>
        </w:rPr>
        <w:lastRenderedPageBreak/>
        <w:tab/>
      </w:r>
      <w:proofErr w:type="spellStart"/>
      <w:r w:rsidR="005B4414">
        <w:rPr>
          <w:sz w:val="24"/>
          <w:szCs w:val="24"/>
        </w:rPr>
        <w:t>Levodonna</w:t>
      </w:r>
      <w:proofErr w:type="spellEnd"/>
      <w:r w:rsidR="005B4414">
        <w:rPr>
          <w:sz w:val="24"/>
          <w:szCs w:val="24"/>
        </w:rPr>
        <w:t xml:space="preserve"> er ikke lige så effektiv som konventionelle regelmæssige præventionsmetoder og er kun velegnet til nødprævention. Kvinder, der gentagne gange beder om nødprævention, bør rådgives til at overveje brug af langsigtede præventionsmetoder.</w:t>
      </w:r>
    </w:p>
    <w:p w:rsidR="00A7499F" w:rsidRPr="008C7F73" w:rsidRDefault="00A7540F" w:rsidP="00A7540F">
      <w:pPr>
        <w:ind w:left="851" w:hanging="851"/>
        <w:rPr>
          <w:sz w:val="24"/>
          <w:szCs w:val="24"/>
        </w:rPr>
      </w:pPr>
      <w:r w:rsidRPr="008C7F73">
        <w:rPr>
          <w:sz w:val="24"/>
          <w:szCs w:val="24"/>
        </w:rPr>
        <w:tab/>
      </w:r>
      <w:r w:rsidR="00A7499F" w:rsidRPr="008C7F73">
        <w:rPr>
          <w:sz w:val="24"/>
          <w:szCs w:val="24"/>
        </w:rPr>
        <w:t>Nødprævention beskytter ikke mod seksuelt overførte sygdomme, og kvinden skal derfor tage de nødvendige forholdsregler.</w:t>
      </w:r>
    </w:p>
    <w:p w:rsidR="00D90666" w:rsidRPr="00D90666" w:rsidRDefault="00D90666" w:rsidP="00D90666">
      <w:pPr>
        <w:ind w:left="851"/>
        <w:rPr>
          <w:sz w:val="24"/>
          <w:szCs w:val="22"/>
        </w:rPr>
      </w:pPr>
    </w:p>
    <w:p w:rsidR="00864D8B" w:rsidRDefault="00864D8B" w:rsidP="00864D8B">
      <w:pPr>
        <w:ind w:left="851"/>
        <w:rPr>
          <w:sz w:val="24"/>
          <w:szCs w:val="22"/>
        </w:rPr>
      </w:pPr>
      <w:r w:rsidRPr="00D90666">
        <w:rPr>
          <w:sz w:val="24"/>
          <w:szCs w:val="22"/>
        </w:rPr>
        <w:t xml:space="preserve">Begrænsede og </w:t>
      </w:r>
      <w:proofErr w:type="spellStart"/>
      <w:r w:rsidRPr="00D90666">
        <w:rPr>
          <w:sz w:val="24"/>
          <w:szCs w:val="22"/>
        </w:rPr>
        <w:t>inkonklusive</w:t>
      </w:r>
      <w:proofErr w:type="spellEnd"/>
      <w:r w:rsidRPr="00D90666">
        <w:rPr>
          <w:sz w:val="24"/>
          <w:szCs w:val="22"/>
        </w:rPr>
        <w:t xml:space="preserve"> data tyder på, at </w:t>
      </w:r>
      <w:proofErr w:type="spellStart"/>
      <w:r w:rsidRPr="00D90666">
        <w:rPr>
          <w:sz w:val="24"/>
          <w:szCs w:val="22"/>
        </w:rPr>
        <w:t>levonorgestrels</w:t>
      </w:r>
      <w:proofErr w:type="spellEnd"/>
      <w:r w:rsidRPr="00D90666">
        <w:rPr>
          <w:sz w:val="24"/>
          <w:szCs w:val="22"/>
        </w:rPr>
        <w:t xml:space="preserve"> virkning kan være nedsat ved stigende kropsvægt eller </w:t>
      </w:r>
      <w:proofErr w:type="spellStart"/>
      <w:r w:rsidRPr="00D90666">
        <w:rPr>
          <w:i/>
          <w:iCs/>
          <w:sz w:val="24"/>
          <w:szCs w:val="22"/>
        </w:rPr>
        <w:t>body</w:t>
      </w:r>
      <w:proofErr w:type="spellEnd"/>
      <w:r w:rsidRPr="00D90666">
        <w:rPr>
          <w:i/>
          <w:iCs/>
          <w:sz w:val="24"/>
          <w:szCs w:val="22"/>
        </w:rPr>
        <w:t xml:space="preserve"> </w:t>
      </w:r>
      <w:proofErr w:type="spellStart"/>
      <w:r w:rsidRPr="00D90666">
        <w:rPr>
          <w:i/>
          <w:iCs/>
          <w:sz w:val="24"/>
          <w:szCs w:val="22"/>
        </w:rPr>
        <w:t>mass</w:t>
      </w:r>
      <w:proofErr w:type="spellEnd"/>
      <w:r w:rsidRPr="00D90666">
        <w:rPr>
          <w:i/>
          <w:iCs/>
          <w:sz w:val="24"/>
          <w:szCs w:val="22"/>
        </w:rPr>
        <w:t xml:space="preserve"> indeks </w:t>
      </w:r>
      <w:r w:rsidRPr="00D90666">
        <w:rPr>
          <w:sz w:val="24"/>
          <w:szCs w:val="22"/>
        </w:rPr>
        <w:t>(BMI) (se pkt. 5.1). Det gælder for alle kvinder uanset legemsvægt og BMI, at nødprævention skal tages snarest muligt efter et ubeskyttet samleje.</w:t>
      </w:r>
    </w:p>
    <w:p w:rsidR="00864D8B" w:rsidRPr="00D674A2" w:rsidRDefault="00864D8B" w:rsidP="00864D8B">
      <w:pPr>
        <w:ind w:left="851"/>
        <w:rPr>
          <w:sz w:val="24"/>
          <w:szCs w:val="22"/>
        </w:rPr>
      </w:pPr>
    </w:p>
    <w:p w:rsidR="00864D8B" w:rsidRDefault="00864D8B" w:rsidP="00864D8B">
      <w:pPr>
        <w:ind w:left="851" w:hanging="851"/>
        <w:rPr>
          <w:sz w:val="24"/>
          <w:szCs w:val="24"/>
        </w:rPr>
      </w:pPr>
      <w:r w:rsidRPr="008C7F73">
        <w:rPr>
          <w:sz w:val="24"/>
          <w:szCs w:val="24"/>
        </w:rPr>
        <w:tab/>
        <w:t xml:space="preserve">Dette lægemiddel indeholder </w:t>
      </w:r>
      <w:proofErr w:type="spellStart"/>
      <w:r w:rsidRPr="008C7F73">
        <w:rPr>
          <w:sz w:val="24"/>
          <w:szCs w:val="24"/>
        </w:rPr>
        <w:t>lactosemonohydrat</w:t>
      </w:r>
      <w:proofErr w:type="spellEnd"/>
      <w:r w:rsidRPr="008C7F73">
        <w:rPr>
          <w:sz w:val="24"/>
          <w:szCs w:val="24"/>
        </w:rPr>
        <w:t xml:space="preserve">. Bør ikke anvendes til patienter med </w:t>
      </w:r>
      <w:r>
        <w:rPr>
          <w:sz w:val="24"/>
          <w:szCs w:val="24"/>
        </w:rPr>
        <w:t>hereditær</w:t>
      </w:r>
      <w:r w:rsidRPr="008C7F73">
        <w:rPr>
          <w:sz w:val="24"/>
          <w:szCs w:val="24"/>
        </w:rPr>
        <w:t xml:space="preserve"> </w:t>
      </w:r>
      <w:proofErr w:type="spellStart"/>
      <w:r w:rsidRPr="008C7F73">
        <w:rPr>
          <w:sz w:val="24"/>
          <w:szCs w:val="24"/>
        </w:rPr>
        <w:t>galactoseintolerans</w:t>
      </w:r>
      <w:proofErr w:type="spellEnd"/>
      <w:r w:rsidRPr="008C7F73">
        <w:rPr>
          <w:sz w:val="24"/>
          <w:szCs w:val="24"/>
        </w:rPr>
        <w:t xml:space="preserve">, </w:t>
      </w:r>
      <w:r>
        <w:rPr>
          <w:sz w:val="24"/>
          <w:szCs w:val="24"/>
        </w:rPr>
        <w:t>total</w:t>
      </w:r>
      <w:r w:rsidRPr="008C7F73">
        <w:rPr>
          <w:sz w:val="24"/>
          <w:szCs w:val="24"/>
        </w:rPr>
        <w:t xml:space="preserve"> </w:t>
      </w:r>
      <w:proofErr w:type="spellStart"/>
      <w:proofErr w:type="gramStart"/>
      <w:r w:rsidRPr="008C7F73">
        <w:rPr>
          <w:sz w:val="24"/>
          <w:szCs w:val="24"/>
        </w:rPr>
        <w:t>lactasemangel</w:t>
      </w:r>
      <w:proofErr w:type="spellEnd"/>
      <w:r w:rsidRPr="008C7F73">
        <w:rPr>
          <w:sz w:val="24"/>
          <w:szCs w:val="24"/>
        </w:rPr>
        <w:t xml:space="preserve">  eller</w:t>
      </w:r>
      <w:proofErr w:type="gramEnd"/>
      <w:r w:rsidRPr="008C7F73">
        <w:rPr>
          <w:sz w:val="24"/>
          <w:szCs w:val="24"/>
        </w:rPr>
        <w:t xml:space="preserve"> </w:t>
      </w:r>
      <w:proofErr w:type="spellStart"/>
      <w:r w:rsidRPr="008C7F73">
        <w:rPr>
          <w:sz w:val="24"/>
          <w:szCs w:val="24"/>
        </w:rPr>
        <w:t>glucose</w:t>
      </w:r>
      <w:proofErr w:type="spellEnd"/>
      <w:r w:rsidRPr="008C7F73">
        <w:rPr>
          <w:sz w:val="24"/>
          <w:szCs w:val="24"/>
        </w:rPr>
        <w:t>/</w:t>
      </w:r>
      <w:proofErr w:type="spellStart"/>
      <w:r w:rsidRPr="008C7F73">
        <w:rPr>
          <w:sz w:val="24"/>
          <w:szCs w:val="24"/>
        </w:rPr>
        <w:t>galactosemalabsorption</w:t>
      </w:r>
      <w:proofErr w:type="spellEnd"/>
      <w:r w:rsidRPr="008C7F73">
        <w:rPr>
          <w:sz w:val="24"/>
          <w:szCs w:val="24"/>
        </w:rPr>
        <w:t>.</w:t>
      </w:r>
    </w:p>
    <w:p w:rsidR="00864D8B" w:rsidRDefault="00864D8B" w:rsidP="00864D8B">
      <w:pPr>
        <w:ind w:left="851" w:hanging="851"/>
        <w:rPr>
          <w:sz w:val="24"/>
          <w:szCs w:val="24"/>
        </w:rPr>
      </w:pPr>
    </w:p>
    <w:p w:rsidR="00A7499F" w:rsidRPr="008C7F73" w:rsidRDefault="00864D8B" w:rsidP="00864D8B">
      <w:pPr>
        <w:ind w:left="851"/>
        <w:rPr>
          <w:sz w:val="24"/>
          <w:szCs w:val="24"/>
        </w:rPr>
      </w:pPr>
      <w:r w:rsidRPr="00C973C9">
        <w:rPr>
          <w:sz w:val="24"/>
          <w:szCs w:val="24"/>
        </w:rPr>
        <w:t>Dette lægemiddel indeholder mindre end 1 mmol (23 mg) natrium pr. tablet, dvs. den er i det væsentlige natriumfri.</w:t>
      </w:r>
    </w:p>
    <w:p w:rsidR="00B003BF" w:rsidRPr="008C7F73" w:rsidRDefault="00B003BF" w:rsidP="00A7540F">
      <w:pPr>
        <w:ind w:left="851" w:hanging="851"/>
        <w:rPr>
          <w:sz w:val="24"/>
          <w:szCs w:val="24"/>
        </w:rPr>
      </w:pPr>
    </w:p>
    <w:p w:rsidR="00B003BF" w:rsidRPr="008C7F73" w:rsidRDefault="00B003BF" w:rsidP="00A7540F">
      <w:pPr>
        <w:ind w:left="851" w:hanging="851"/>
        <w:rPr>
          <w:b/>
          <w:sz w:val="24"/>
          <w:szCs w:val="24"/>
        </w:rPr>
      </w:pPr>
      <w:r w:rsidRPr="008C7F73">
        <w:rPr>
          <w:b/>
          <w:sz w:val="24"/>
          <w:szCs w:val="24"/>
        </w:rPr>
        <w:t>4.5</w:t>
      </w:r>
      <w:r w:rsidRPr="008C7F73">
        <w:rPr>
          <w:b/>
          <w:sz w:val="24"/>
          <w:szCs w:val="24"/>
        </w:rPr>
        <w:tab/>
        <w:t>Interaktion med andre lægemidler og andre former for interaktion</w:t>
      </w:r>
    </w:p>
    <w:p w:rsidR="002E0293" w:rsidRPr="002E0293" w:rsidRDefault="00B003BF" w:rsidP="002E0293">
      <w:pPr>
        <w:ind w:left="851" w:hanging="851"/>
        <w:rPr>
          <w:sz w:val="24"/>
          <w:szCs w:val="24"/>
        </w:rPr>
      </w:pPr>
      <w:r w:rsidRPr="002E0293">
        <w:rPr>
          <w:sz w:val="24"/>
          <w:szCs w:val="24"/>
        </w:rPr>
        <w:tab/>
      </w:r>
      <w:proofErr w:type="spellStart"/>
      <w:r w:rsidR="002E0293" w:rsidRPr="002E0293">
        <w:rPr>
          <w:sz w:val="24"/>
          <w:szCs w:val="24"/>
        </w:rPr>
        <w:t>Metaboliseringen</w:t>
      </w:r>
      <w:proofErr w:type="spellEnd"/>
      <w:r w:rsidR="002E0293" w:rsidRPr="002E0293">
        <w:rPr>
          <w:sz w:val="24"/>
          <w:szCs w:val="24"/>
        </w:rPr>
        <w:t xml:space="preserve"> af </w:t>
      </w:r>
      <w:proofErr w:type="spellStart"/>
      <w:r w:rsidR="002E0293" w:rsidRPr="002E0293">
        <w:rPr>
          <w:sz w:val="24"/>
          <w:szCs w:val="24"/>
        </w:rPr>
        <w:t>levonorgestrel</w:t>
      </w:r>
      <w:proofErr w:type="spellEnd"/>
      <w:r w:rsidR="002E0293" w:rsidRPr="002E0293">
        <w:rPr>
          <w:sz w:val="24"/>
          <w:szCs w:val="24"/>
        </w:rPr>
        <w:t xml:space="preserve"> øges ved samtidig behandling med stoffer, der inducerer leverenzymer, hovedsageligt CYP3A4-induktorer. Samtidig administration af </w:t>
      </w:r>
      <w:proofErr w:type="spellStart"/>
      <w:r w:rsidR="002E0293" w:rsidRPr="002E0293">
        <w:rPr>
          <w:sz w:val="24"/>
          <w:szCs w:val="24"/>
        </w:rPr>
        <w:t>efavirenz</w:t>
      </w:r>
      <w:proofErr w:type="spellEnd"/>
      <w:r w:rsidR="002E0293" w:rsidRPr="002E0293">
        <w:rPr>
          <w:sz w:val="24"/>
          <w:szCs w:val="24"/>
        </w:rPr>
        <w:t xml:space="preserve"> er vist at reducere </w:t>
      </w:r>
      <w:proofErr w:type="spellStart"/>
      <w:r w:rsidR="002E0293" w:rsidRPr="002E0293">
        <w:rPr>
          <w:sz w:val="24"/>
          <w:szCs w:val="24"/>
        </w:rPr>
        <w:t>levonorgestrels</w:t>
      </w:r>
      <w:proofErr w:type="spellEnd"/>
      <w:r w:rsidR="002E0293" w:rsidRPr="002E0293">
        <w:rPr>
          <w:sz w:val="24"/>
          <w:szCs w:val="24"/>
        </w:rPr>
        <w:t xml:space="preserve"> plasmakoncentration (AUC) med ca. 50%.</w:t>
      </w:r>
      <w:r w:rsidR="002E0293" w:rsidRPr="002E0293">
        <w:rPr>
          <w:sz w:val="24"/>
          <w:szCs w:val="24"/>
          <w:u w:val="single"/>
        </w:rPr>
        <w:t xml:space="preserve"> </w:t>
      </w:r>
    </w:p>
    <w:p w:rsidR="002E0293" w:rsidRDefault="002E0293" w:rsidP="002E0293">
      <w:pPr>
        <w:ind w:left="851" w:hanging="851"/>
        <w:rPr>
          <w:sz w:val="24"/>
          <w:szCs w:val="24"/>
        </w:rPr>
      </w:pPr>
    </w:p>
    <w:p w:rsidR="002E0293" w:rsidRDefault="002E0293" w:rsidP="002E0293">
      <w:pPr>
        <w:ind w:left="851" w:hanging="851"/>
        <w:rPr>
          <w:sz w:val="24"/>
          <w:szCs w:val="24"/>
        </w:rPr>
      </w:pPr>
      <w:r>
        <w:rPr>
          <w:sz w:val="24"/>
          <w:szCs w:val="24"/>
        </w:rPr>
        <w:tab/>
        <w:t xml:space="preserve">Lægemidler, der er mistænkt for at have en sammenlignelig evne til at reducere plasmakoncentrationen af </w:t>
      </w:r>
      <w:proofErr w:type="spellStart"/>
      <w:r>
        <w:rPr>
          <w:sz w:val="24"/>
          <w:szCs w:val="24"/>
        </w:rPr>
        <w:t>levonorgestrel</w:t>
      </w:r>
      <w:proofErr w:type="spellEnd"/>
      <w:r>
        <w:rPr>
          <w:sz w:val="24"/>
          <w:szCs w:val="24"/>
        </w:rPr>
        <w:t xml:space="preserve">, inkluderer barbiturater (herunder </w:t>
      </w:r>
      <w:proofErr w:type="spellStart"/>
      <w:r>
        <w:rPr>
          <w:sz w:val="24"/>
          <w:szCs w:val="24"/>
        </w:rPr>
        <w:t>primidon</w:t>
      </w:r>
      <w:proofErr w:type="spellEnd"/>
      <w:r>
        <w:rPr>
          <w:sz w:val="24"/>
          <w:szCs w:val="24"/>
        </w:rPr>
        <w:t xml:space="preserve">), </w:t>
      </w:r>
      <w:proofErr w:type="spellStart"/>
      <w:r>
        <w:rPr>
          <w:sz w:val="24"/>
          <w:szCs w:val="24"/>
        </w:rPr>
        <w:t>phenytoin</w:t>
      </w:r>
      <w:proofErr w:type="spellEnd"/>
      <w:r>
        <w:rPr>
          <w:sz w:val="24"/>
          <w:szCs w:val="24"/>
        </w:rPr>
        <w:t xml:space="preserve">, </w:t>
      </w:r>
      <w:proofErr w:type="spellStart"/>
      <w:r>
        <w:rPr>
          <w:sz w:val="24"/>
          <w:szCs w:val="24"/>
        </w:rPr>
        <w:t>carbamazepin</w:t>
      </w:r>
      <w:proofErr w:type="spellEnd"/>
      <w:r>
        <w:rPr>
          <w:sz w:val="24"/>
          <w:szCs w:val="24"/>
        </w:rPr>
        <w:t>, naturlægemidler indeholdende perikon (</w:t>
      </w:r>
      <w:proofErr w:type="spellStart"/>
      <w:r>
        <w:rPr>
          <w:i/>
          <w:sz w:val="24"/>
          <w:szCs w:val="24"/>
        </w:rPr>
        <w:t>Hypericum</w:t>
      </w:r>
      <w:proofErr w:type="spellEnd"/>
      <w:r>
        <w:rPr>
          <w:i/>
          <w:sz w:val="24"/>
          <w:szCs w:val="24"/>
        </w:rPr>
        <w:t xml:space="preserve"> </w:t>
      </w:r>
      <w:proofErr w:type="spellStart"/>
      <w:r>
        <w:rPr>
          <w:i/>
          <w:sz w:val="24"/>
          <w:szCs w:val="24"/>
        </w:rPr>
        <w:t>Perforatum</w:t>
      </w:r>
      <w:proofErr w:type="spellEnd"/>
      <w:r>
        <w:rPr>
          <w:sz w:val="24"/>
          <w:szCs w:val="24"/>
        </w:rPr>
        <w:t xml:space="preserve">), </w:t>
      </w:r>
      <w:proofErr w:type="spellStart"/>
      <w:r>
        <w:rPr>
          <w:sz w:val="24"/>
          <w:szCs w:val="24"/>
        </w:rPr>
        <w:t>rifampicin</w:t>
      </w:r>
      <w:proofErr w:type="spellEnd"/>
      <w:r>
        <w:rPr>
          <w:sz w:val="24"/>
          <w:szCs w:val="24"/>
        </w:rPr>
        <w:t xml:space="preserve">, </w:t>
      </w:r>
      <w:proofErr w:type="spellStart"/>
      <w:r>
        <w:rPr>
          <w:sz w:val="24"/>
          <w:szCs w:val="24"/>
        </w:rPr>
        <w:t>ritonavir</w:t>
      </w:r>
      <w:proofErr w:type="spellEnd"/>
      <w:r>
        <w:rPr>
          <w:sz w:val="24"/>
          <w:szCs w:val="24"/>
        </w:rPr>
        <w:t xml:space="preserve">, </w:t>
      </w:r>
      <w:proofErr w:type="spellStart"/>
      <w:r>
        <w:rPr>
          <w:sz w:val="24"/>
          <w:szCs w:val="24"/>
        </w:rPr>
        <w:t>rifabutin</w:t>
      </w:r>
      <w:proofErr w:type="spellEnd"/>
      <w:r>
        <w:rPr>
          <w:sz w:val="24"/>
          <w:szCs w:val="24"/>
        </w:rPr>
        <w:t xml:space="preserve"> og </w:t>
      </w:r>
      <w:proofErr w:type="spellStart"/>
      <w:r>
        <w:rPr>
          <w:sz w:val="24"/>
          <w:szCs w:val="24"/>
        </w:rPr>
        <w:t>griseofulvin</w:t>
      </w:r>
      <w:proofErr w:type="spellEnd"/>
      <w:r>
        <w:rPr>
          <w:sz w:val="24"/>
          <w:szCs w:val="24"/>
        </w:rPr>
        <w:t>.</w:t>
      </w:r>
    </w:p>
    <w:p w:rsidR="002E0293" w:rsidRDefault="002E0293" w:rsidP="002E0293">
      <w:pPr>
        <w:ind w:left="851"/>
        <w:rPr>
          <w:sz w:val="24"/>
          <w:szCs w:val="24"/>
        </w:rPr>
      </w:pPr>
    </w:p>
    <w:p w:rsidR="002E0293" w:rsidRDefault="002E0293" w:rsidP="002E0293">
      <w:pPr>
        <w:ind w:left="851"/>
        <w:rPr>
          <w:sz w:val="24"/>
          <w:szCs w:val="24"/>
        </w:rPr>
      </w:pPr>
      <w:r>
        <w:rPr>
          <w:sz w:val="24"/>
          <w:szCs w:val="24"/>
        </w:rPr>
        <w:t xml:space="preserve">Til kvinder, som har taget enzym-inducerende lægemidler inden for de seneste 4 uger, og som har behov for nødprævention, bør ikke-hormonel nødprævention (dvs. kobberspiral) overvejes. En dobbeltdosis </w:t>
      </w:r>
      <w:proofErr w:type="spellStart"/>
      <w:r>
        <w:rPr>
          <w:sz w:val="24"/>
          <w:szCs w:val="24"/>
        </w:rPr>
        <w:t>levonorgestrel</w:t>
      </w:r>
      <w:proofErr w:type="spellEnd"/>
      <w:r>
        <w:rPr>
          <w:sz w:val="24"/>
          <w:szCs w:val="24"/>
        </w:rPr>
        <w:t xml:space="preserve"> (dvs. 3000 mikrogram inden for 72 timer efter det ubeskyttede samleje) er en mulighed for kvinder, som ikke kan eller ønsker at anvende kobberspiral, skønt denne specifikke kombination (en dobbeltdosis </w:t>
      </w:r>
      <w:proofErr w:type="spellStart"/>
      <w:r>
        <w:rPr>
          <w:sz w:val="24"/>
          <w:szCs w:val="24"/>
        </w:rPr>
        <w:t>levonorgestrel</w:t>
      </w:r>
      <w:proofErr w:type="spellEnd"/>
      <w:r>
        <w:rPr>
          <w:sz w:val="24"/>
          <w:szCs w:val="24"/>
        </w:rPr>
        <w:t xml:space="preserve"> under samtidig brug af et enzym-inducerende lægemiddel) ikke er undersøgt.</w:t>
      </w:r>
    </w:p>
    <w:p w:rsidR="002E0293" w:rsidRDefault="002E0293" w:rsidP="002E0293">
      <w:pPr>
        <w:ind w:left="851" w:hanging="851"/>
        <w:rPr>
          <w:sz w:val="24"/>
          <w:szCs w:val="24"/>
        </w:rPr>
      </w:pPr>
      <w:r>
        <w:rPr>
          <w:sz w:val="24"/>
          <w:szCs w:val="24"/>
        </w:rPr>
        <w:tab/>
      </w:r>
    </w:p>
    <w:p w:rsidR="002E0293" w:rsidRDefault="002E0293" w:rsidP="002E0293">
      <w:pPr>
        <w:ind w:left="851"/>
        <w:rPr>
          <w:sz w:val="24"/>
          <w:szCs w:val="24"/>
        </w:rPr>
      </w:pPr>
      <w:r>
        <w:rPr>
          <w:sz w:val="24"/>
          <w:szCs w:val="24"/>
        </w:rPr>
        <w:t xml:space="preserve">Lægemidler, der indeholder </w:t>
      </w:r>
      <w:proofErr w:type="spellStart"/>
      <w:r>
        <w:rPr>
          <w:sz w:val="24"/>
          <w:szCs w:val="24"/>
        </w:rPr>
        <w:t>levonorgestrel</w:t>
      </w:r>
      <w:proofErr w:type="spellEnd"/>
      <w:r>
        <w:rPr>
          <w:sz w:val="24"/>
          <w:szCs w:val="24"/>
        </w:rPr>
        <w:t xml:space="preserve">, kan øge risikoen for </w:t>
      </w:r>
      <w:proofErr w:type="spellStart"/>
      <w:r>
        <w:rPr>
          <w:sz w:val="24"/>
          <w:szCs w:val="24"/>
        </w:rPr>
        <w:t>ciclosporintoksicitet</w:t>
      </w:r>
      <w:proofErr w:type="spellEnd"/>
      <w:r>
        <w:rPr>
          <w:sz w:val="24"/>
          <w:szCs w:val="24"/>
        </w:rPr>
        <w:t xml:space="preserve"> på grund af mulig hæmning af </w:t>
      </w:r>
      <w:proofErr w:type="spellStart"/>
      <w:r>
        <w:rPr>
          <w:sz w:val="24"/>
          <w:szCs w:val="24"/>
        </w:rPr>
        <w:t>metaboliseringen</w:t>
      </w:r>
      <w:proofErr w:type="spellEnd"/>
      <w:r>
        <w:rPr>
          <w:sz w:val="24"/>
          <w:szCs w:val="24"/>
        </w:rPr>
        <w:t xml:space="preserve"> af </w:t>
      </w:r>
      <w:proofErr w:type="spellStart"/>
      <w:r>
        <w:rPr>
          <w:sz w:val="24"/>
          <w:szCs w:val="24"/>
        </w:rPr>
        <w:t>ciclosporin</w:t>
      </w:r>
      <w:proofErr w:type="spellEnd"/>
      <w:r>
        <w:rPr>
          <w:sz w:val="24"/>
          <w:szCs w:val="24"/>
        </w:rPr>
        <w:t>.</w:t>
      </w:r>
    </w:p>
    <w:p w:rsidR="00B003BF" w:rsidRPr="008C7F73" w:rsidRDefault="00B003BF" w:rsidP="002E0293">
      <w:pPr>
        <w:ind w:left="851" w:hanging="851"/>
        <w:rPr>
          <w:sz w:val="24"/>
          <w:szCs w:val="24"/>
        </w:rPr>
      </w:pPr>
    </w:p>
    <w:p w:rsidR="00B003BF" w:rsidRPr="008C7F73" w:rsidRDefault="00B003BF" w:rsidP="00A7540F">
      <w:pPr>
        <w:ind w:left="851" w:hanging="851"/>
        <w:rPr>
          <w:b/>
          <w:sz w:val="24"/>
          <w:szCs w:val="24"/>
        </w:rPr>
      </w:pPr>
      <w:r w:rsidRPr="008C7F73">
        <w:rPr>
          <w:b/>
          <w:sz w:val="24"/>
          <w:szCs w:val="24"/>
        </w:rPr>
        <w:t>4.6</w:t>
      </w:r>
      <w:r w:rsidRPr="008C7F73">
        <w:rPr>
          <w:b/>
          <w:sz w:val="24"/>
          <w:szCs w:val="24"/>
        </w:rPr>
        <w:tab/>
        <w:t>Graviditet og amning</w:t>
      </w:r>
    </w:p>
    <w:p w:rsidR="005B4414" w:rsidRDefault="00B003BF" w:rsidP="005B4414">
      <w:pPr>
        <w:ind w:left="851" w:hanging="851"/>
        <w:rPr>
          <w:sz w:val="24"/>
          <w:szCs w:val="24"/>
          <w:u w:val="single"/>
        </w:rPr>
      </w:pPr>
      <w:r w:rsidRPr="008C7F73">
        <w:rPr>
          <w:sz w:val="24"/>
          <w:szCs w:val="24"/>
        </w:rPr>
        <w:tab/>
      </w:r>
      <w:r w:rsidR="005B4414">
        <w:rPr>
          <w:sz w:val="24"/>
          <w:szCs w:val="24"/>
          <w:u w:val="single"/>
        </w:rPr>
        <w:t>Graviditet</w:t>
      </w:r>
    </w:p>
    <w:p w:rsidR="005B4414" w:rsidRDefault="005B4414" w:rsidP="005B4414">
      <w:pPr>
        <w:ind w:left="851" w:hanging="851"/>
        <w:rPr>
          <w:sz w:val="24"/>
          <w:szCs w:val="24"/>
        </w:rPr>
      </w:pPr>
      <w:r>
        <w:rPr>
          <w:sz w:val="24"/>
          <w:szCs w:val="24"/>
        </w:rPr>
        <w:tab/>
      </w:r>
      <w:proofErr w:type="spellStart"/>
      <w:r>
        <w:rPr>
          <w:sz w:val="24"/>
          <w:szCs w:val="24"/>
        </w:rPr>
        <w:t>Levodonna</w:t>
      </w:r>
      <w:proofErr w:type="spellEnd"/>
      <w:r>
        <w:rPr>
          <w:sz w:val="24"/>
          <w:szCs w:val="24"/>
        </w:rPr>
        <w:t xml:space="preserve"> bør ikke gives til gravide kvinder. Det vil ikke afbryde en graviditet. De begrænsede epidemiologiske data har ikke vist nogen uønskede virkninger på fostret i tilfælde af, at graviditeten fortsættes, men der foreligger ingen kliniske data vedrørende de potentielle konsekvenser af indtagelse af doser over 1,5 mg </w:t>
      </w:r>
      <w:proofErr w:type="spellStart"/>
      <w:r>
        <w:rPr>
          <w:sz w:val="24"/>
          <w:szCs w:val="24"/>
        </w:rPr>
        <w:t>levonorgestrel</w:t>
      </w:r>
      <w:proofErr w:type="spellEnd"/>
      <w:r>
        <w:rPr>
          <w:sz w:val="24"/>
          <w:szCs w:val="24"/>
        </w:rPr>
        <w:t xml:space="preserve"> (se pkt. 5.3). </w:t>
      </w:r>
    </w:p>
    <w:p w:rsidR="005B4414" w:rsidRDefault="005B4414" w:rsidP="005B4414">
      <w:pPr>
        <w:ind w:left="851" w:hanging="851"/>
        <w:rPr>
          <w:sz w:val="24"/>
          <w:szCs w:val="24"/>
        </w:rPr>
      </w:pPr>
    </w:p>
    <w:p w:rsidR="005B4414" w:rsidRDefault="005B4414" w:rsidP="005B4414">
      <w:pPr>
        <w:ind w:left="851" w:hanging="851"/>
        <w:rPr>
          <w:sz w:val="24"/>
          <w:szCs w:val="24"/>
          <w:u w:val="single"/>
        </w:rPr>
      </w:pPr>
      <w:r>
        <w:rPr>
          <w:sz w:val="24"/>
          <w:szCs w:val="24"/>
        </w:rPr>
        <w:tab/>
      </w:r>
      <w:r>
        <w:rPr>
          <w:sz w:val="24"/>
          <w:szCs w:val="24"/>
          <w:u w:val="single"/>
        </w:rPr>
        <w:t>Amning</w:t>
      </w:r>
    </w:p>
    <w:p w:rsidR="005B4414" w:rsidRDefault="005B4414" w:rsidP="005B4414">
      <w:pPr>
        <w:ind w:left="851" w:hanging="851"/>
        <w:rPr>
          <w:sz w:val="24"/>
          <w:szCs w:val="24"/>
        </w:rPr>
      </w:pPr>
      <w:r>
        <w:rPr>
          <w:sz w:val="24"/>
          <w:szCs w:val="24"/>
        </w:rPr>
        <w:tab/>
      </w:r>
      <w:proofErr w:type="spellStart"/>
      <w:r>
        <w:rPr>
          <w:sz w:val="24"/>
          <w:szCs w:val="24"/>
        </w:rPr>
        <w:t>Levonorgestrel</w:t>
      </w:r>
      <w:proofErr w:type="spellEnd"/>
      <w:r>
        <w:rPr>
          <w:sz w:val="24"/>
          <w:szCs w:val="24"/>
        </w:rPr>
        <w:t xml:space="preserve"> udskilles i human mælk. Den potentielle eksponering for </w:t>
      </w:r>
      <w:proofErr w:type="spellStart"/>
      <w:r>
        <w:rPr>
          <w:sz w:val="24"/>
          <w:szCs w:val="24"/>
        </w:rPr>
        <w:t>levonorgestrel</w:t>
      </w:r>
      <w:proofErr w:type="spellEnd"/>
      <w:r>
        <w:rPr>
          <w:sz w:val="24"/>
          <w:szCs w:val="24"/>
        </w:rPr>
        <w:t xml:space="preserve"> hos spædbarnet kan reduceres, hvis den ammende kvinde tager tabletten umiddelbart efter amning og undgår amning i mindst 8 timer efter indtagelse af </w:t>
      </w:r>
      <w:proofErr w:type="spellStart"/>
      <w:r>
        <w:rPr>
          <w:sz w:val="24"/>
          <w:szCs w:val="24"/>
        </w:rPr>
        <w:t>Levodonna</w:t>
      </w:r>
      <w:proofErr w:type="spellEnd"/>
      <w:r>
        <w:rPr>
          <w:sz w:val="24"/>
          <w:szCs w:val="24"/>
        </w:rPr>
        <w:t>.</w:t>
      </w:r>
    </w:p>
    <w:p w:rsidR="005B4414" w:rsidRDefault="005B4414" w:rsidP="005B4414">
      <w:pPr>
        <w:ind w:left="851" w:hanging="851"/>
        <w:rPr>
          <w:sz w:val="24"/>
          <w:szCs w:val="24"/>
        </w:rPr>
      </w:pPr>
    </w:p>
    <w:p w:rsidR="005B4414" w:rsidRDefault="005B4414" w:rsidP="005B4414">
      <w:pPr>
        <w:ind w:left="851"/>
        <w:rPr>
          <w:sz w:val="24"/>
          <w:szCs w:val="24"/>
          <w:u w:val="single"/>
        </w:rPr>
      </w:pPr>
      <w:r>
        <w:rPr>
          <w:sz w:val="24"/>
          <w:szCs w:val="24"/>
          <w:u w:val="single"/>
        </w:rPr>
        <w:t>Fertilitet</w:t>
      </w:r>
    </w:p>
    <w:p w:rsidR="005B4414" w:rsidRDefault="005B4414" w:rsidP="005B4414">
      <w:pPr>
        <w:ind w:left="851"/>
        <w:rPr>
          <w:sz w:val="24"/>
          <w:szCs w:val="24"/>
        </w:rPr>
      </w:pPr>
      <w:proofErr w:type="spellStart"/>
      <w:r>
        <w:rPr>
          <w:sz w:val="24"/>
          <w:szCs w:val="24"/>
        </w:rPr>
        <w:lastRenderedPageBreak/>
        <w:t>Levonorgestrel</w:t>
      </w:r>
      <w:proofErr w:type="spellEnd"/>
      <w:r>
        <w:rPr>
          <w:sz w:val="24"/>
          <w:szCs w:val="24"/>
        </w:rPr>
        <w:t xml:space="preserve"> øger risikoen for cyklusforstyrrelser, som undertiden kan føre til, at ægløsning indtræder på en tidligere eller senere dato, så fertilitetsdatoen også bliver ændret. Selvom der ikke foreligger nogen langsigtede fertilitetsdata, forventes det, at fertiliteten hurtigt vender tilbage efter behandling med </w:t>
      </w:r>
      <w:proofErr w:type="spellStart"/>
      <w:r>
        <w:rPr>
          <w:sz w:val="24"/>
          <w:szCs w:val="24"/>
        </w:rPr>
        <w:t>levonorgestrel</w:t>
      </w:r>
      <w:proofErr w:type="spellEnd"/>
      <w:r>
        <w:rPr>
          <w:sz w:val="24"/>
          <w:szCs w:val="24"/>
        </w:rPr>
        <w:t xml:space="preserve">, og derfor bør regelmæssig </w:t>
      </w:r>
      <w:proofErr w:type="spellStart"/>
      <w:r>
        <w:rPr>
          <w:sz w:val="24"/>
          <w:szCs w:val="24"/>
        </w:rPr>
        <w:t>antikonceptiva</w:t>
      </w:r>
      <w:proofErr w:type="spellEnd"/>
      <w:r>
        <w:rPr>
          <w:sz w:val="24"/>
          <w:szCs w:val="24"/>
        </w:rPr>
        <w:t xml:space="preserve"> fortsættes eller iværksættes, så hurtigt som muligt efter brug af </w:t>
      </w:r>
      <w:proofErr w:type="spellStart"/>
      <w:r>
        <w:rPr>
          <w:sz w:val="24"/>
          <w:szCs w:val="24"/>
        </w:rPr>
        <w:t>levonorgestrel</w:t>
      </w:r>
      <w:proofErr w:type="spellEnd"/>
      <w:r>
        <w:rPr>
          <w:sz w:val="24"/>
          <w:szCs w:val="24"/>
        </w:rPr>
        <w:t xml:space="preserve"> som nødprævention.</w:t>
      </w:r>
    </w:p>
    <w:p w:rsidR="00B003BF" w:rsidRPr="008C7F73" w:rsidRDefault="00B003BF" w:rsidP="005B4414">
      <w:pPr>
        <w:ind w:left="851" w:hanging="851"/>
        <w:rPr>
          <w:sz w:val="24"/>
          <w:szCs w:val="24"/>
        </w:rPr>
      </w:pPr>
    </w:p>
    <w:p w:rsidR="00B003BF" w:rsidRPr="008C7F73" w:rsidRDefault="00B003BF" w:rsidP="00A7540F">
      <w:pPr>
        <w:ind w:left="851" w:hanging="851"/>
        <w:rPr>
          <w:b/>
          <w:sz w:val="24"/>
          <w:szCs w:val="24"/>
        </w:rPr>
      </w:pPr>
      <w:r w:rsidRPr="008C7F73">
        <w:rPr>
          <w:b/>
          <w:sz w:val="24"/>
          <w:szCs w:val="24"/>
        </w:rPr>
        <w:t>4.7</w:t>
      </w:r>
      <w:r w:rsidRPr="008C7F73">
        <w:rPr>
          <w:b/>
          <w:sz w:val="24"/>
          <w:szCs w:val="24"/>
        </w:rPr>
        <w:tab/>
        <w:t>Virkninger på evnen til at føre motorkøretøj eller betjene maskiner</w:t>
      </w:r>
    </w:p>
    <w:p w:rsidR="00A7540F" w:rsidRPr="008C7F73" w:rsidRDefault="00B003BF" w:rsidP="00A7540F">
      <w:pPr>
        <w:ind w:left="851" w:hanging="851"/>
        <w:rPr>
          <w:sz w:val="24"/>
          <w:szCs w:val="24"/>
        </w:rPr>
      </w:pPr>
      <w:r w:rsidRPr="008C7F73">
        <w:rPr>
          <w:sz w:val="24"/>
          <w:szCs w:val="24"/>
        </w:rPr>
        <w:tab/>
      </w:r>
      <w:r w:rsidR="00A7540F" w:rsidRPr="008C7F73">
        <w:rPr>
          <w:sz w:val="24"/>
          <w:szCs w:val="24"/>
        </w:rPr>
        <w:t>Ikke mærkning.</w:t>
      </w:r>
    </w:p>
    <w:p w:rsidR="00A7499F" w:rsidRDefault="00A7540F" w:rsidP="00A7540F">
      <w:pPr>
        <w:ind w:left="851" w:hanging="851"/>
        <w:rPr>
          <w:sz w:val="24"/>
          <w:szCs w:val="24"/>
        </w:rPr>
      </w:pPr>
      <w:r w:rsidRPr="008C7F73">
        <w:rPr>
          <w:sz w:val="24"/>
          <w:szCs w:val="24"/>
        </w:rPr>
        <w:tab/>
      </w:r>
      <w:r w:rsidR="00A7499F" w:rsidRPr="008C7F73">
        <w:rPr>
          <w:sz w:val="24"/>
          <w:szCs w:val="24"/>
        </w:rPr>
        <w:t xml:space="preserve">Der er ikke udført studier af virkningen på evnen til at føre motorkøretøj </w:t>
      </w:r>
      <w:r w:rsidR="005B4414">
        <w:rPr>
          <w:sz w:val="24"/>
          <w:szCs w:val="24"/>
        </w:rPr>
        <w:t>og</w:t>
      </w:r>
      <w:r w:rsidR="00A7499F" w:rsidRPr="008C7F73">
        <w:rPr>
          <w:sz w:val="24"/>
          <w:szCs w:val="24"/>
        </w:rPr>
        <w:t xml:space="preserve"> betjene maskiner.</w:t>
      </w:r>
    </w:p>
    <w:p w:rsidR="003C5694" w:rsidRPr="008C7F73" w:rsidRDefault="003C5694" w:rsidP="00A7540F">
      <w:pPr>
        <w:ind w:left="851" w:hanging="851"/>
        <w:rPr>
          <w:sz w:val="24"/>
          <w:szCs w:val="24"/>
        </w:rPr>
      </w:pPr>
    </w:p>
    <w:p w:rsidR="00B003BF" w:rsidRPr="008C7F73" w:rsidRDefault="00B003BF" w:rsidP="003C5694">
      <w:pPr>
        <w:ind w:left="851" w:hanging="851"/>
        <w:rPr>
          <w:b/>
          <w:sz w:val="24"/>
          <w:szCs w:val="24"/>
        </w:rPr>
      </w:pPr>
      <w:r w:rsidRPr="008C7F73">
        <w:rPr>
          <w:b/>
          <w:sz w:val="24"/>
          <w:szCs w:val="24"/>
        </w:rPr>
        <w:t>4.8</w:t>
      </w:r>
      <w:r w:rsidR="003C5694">
        <w:rPr>
          <w:b/>
          <w:sz w:val="24"/>
          <w:szCs w:val="24"/>
        </w:rPr>
        <w:tab/>
      </w:r>
      <w:r w:rsidRPr="008C7F73">
        <w:rPr>
          <w:b/>
          <w:sz w:val="24"/>
          <w:szCs w:val="24"/>
        </w:rPr>
        <w:t>Bivirkninger</w:t>
      </w:r>
    </w:p>
    <w:p w:rsidR="00A7499F" w:rsidRDefault="00B003BF" w:rsidP="00465D9B">
      <w:pPr>
        <w:ind w:left="851" w:hanging="851"/>
        <w:rPr>
          <w:sz w:val="24"/>
          <w:szCs w:val="24"/>
        </w:rPr>
      </w:pPr>
      <w:r w:rsidRPr="008C7F73">
        <w:rPr>
          <w:sz w:val="24"/>
          <w:szCs w:val="24"/>
        </w:rPr>
        <w:tab/>
      </w:r>
      <w:r w:rsidR="00A7499F" w:rsidRPr="008C7F73">
        <w:rPr>
          <w:sz w:val="24"/>
          <w:szCs w:val="24"/>
        </w:rPr>
        <w:t xml:space="preserve">Den hyppigst indberettede bivirkning er kvalme. </w:t>
      </w:r>
    </w:p>
    <w:p w:rsidR="007511B6" w:rsidRPr="008C7F73" w:rsidRDefault="007511B6" w:rsidP="00465D9B">
      <w:pPr>
        <w:ind w:left="851" w:hanging="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4"/>
        <w:gridCol w:w="3470"/>
        <w:gridCol w:w="3414"/>
      </w:tblGrid>
      <w:tr w:rsidR="00A7499F" w:rsidRPr="008C7F73" w:rsidTr="00A7540F">
        <w:trPr>
          <w:trHeight w:val="439"/>
        </w:trPr>
        <w:tc>
          <w:tcPr>
            <w:tcW w:w="1425" w:type="pct"/>
            <w:tcBorders>
              <w:top w:val="single" w:sz="4" w:space="0" w:color="000000"/>
              <w:left w:val="single" w:sz="4" w:space="0" w:color="000000"/>
              <w:bottom w:val="single" w:sz="4" w:space="0" w:color="000000"/>
              <w:right w:val="single" w:sz="4" w:space="0" w:color="000000"/>
            </w:tcBorders>
            <w:vAlign w:val="center"/>
            <w:hideMark/>
          </w:tcPr>
          <w:p w:rsidR="00A7499F" w:rsidRPr="008C7F73" w:rsidRDefault="00A7499F" w:rsidP="00A7540F">
            <w:pPr>
              <w:rPr>
                <w:b/>
                <w:sz w:val="24"/>
                <w:szCs w:val="24"/>
              </w:rPr>
            </w:pPr>
            <w:r w:rsidRPr="008C7F73">
              <w:rPr>
                <w:b/>
                <w:sz w:val="24"/>
                <w:szCs w:val="24"/>
              </w:rPr>
              <w:t xml:space="preserve">Systemorganklasse </w:t>
            </w:r>
          </w:p>
        </w:tc>
        <w:tc>
          <w:tcPr>
            <w:tcW w:w="3575" w:type="pct"/>
            <w:gridSpan w:val="2"/>
            <w:tcBorders>
              <w:top w:val="single" w:sz="4" w:space="0" w:color="000000"/>
              <w:left w:val="single" w:sz="4" w:space="0" w:color="000000"/>
              <w:bottom w:val="single" w:sz="4" w:space="0" w:color="000000"/>
              <w:right w:val="single" w:sz="4" w:space="0" w:color="000000"/>
            </w:tcBorders>
            <w:hideMark/>
          </w:tcPr>
          <w:p w:rsidR="00A7499F" w:rsidRPr="008C7F73" w:rsidRDefault="00A7499F" w:rsidP="00A7540F">
            <w:pPr>
              <w:rPr>
                <w:b/>
                <w:sz w:val="24"/>
                <w:szCs w:val="24"/>
              </w:rPr>
            </w:pPr>
            <w:r w:rsidRPr="008C7F73">
              <w:rPr>
                <w:b/>
                <w:sz w:val="24"/>
                <w:szCs w:val="24"/>
              </w:rPr>
              <w:t>Bivirkningshyppighed</w:t>
            </w:r>
          </w:p>
        </w:tc>
      </w:tr>
      <w:tr w:rsidR="00A7499F" w:rsidRPr="008C7F73" w:rsidTr="00A7540F">
        <w:tc>
          <w:tcPr>
            <w:tcW w:w="1425" w:type="pct"/>
            <w:tcBorders>
              <w:top w:val="single" w:sz="4" w:space="0" w:color="000000"/>
              <w:left w:val="single" w:sz="4" w:space="0" w:color="000000"/>
              <w:bottom w:val="single" w:sz="4" w:space="0" w:color="000000"/>
              <w:right w:val="single" w:sz="4" w:space="0" w:color="000000"/>
            </w:tcBorders>
          </w:tcPr>
          <w:p w:rsidR="00A7499F" w:rsidRPr="008C7F73" w:rsidRDefault="00A7499F" w:rsidP="00A7540F">
            <w:pPr>
              <w:rPr>
                <w:sz w:val="24"/>
                <w:szCs w:val="24"/>
              </w:rPr>
            </w:pPr>
          </w:p>
        </w:tc>
        <w:tc>
          <w:tcPr>
            <w:tcW w:w="1802" w:type="pct"/>
            <w:tcBorders>
              <w:top w:val="single" w:sz="4" w:space="0" w:color="000000"/>
              <w:left w:val="single" w:sz="4" w:space="0" w:color="000000"/>
              <w:bottom w:val="single" w:sz="4" w:space="0" w:color="000000"/>
              <w:right w:val="single" w:sz="4" w:space="0" w:color="000000"/>
            </w:tcBorders>
            <w:hideMark/>
          </w:tcPr>
          <w:p w:rsidR="00A7499F" w:rsidRPr="008C7F73" w:rsidRDefault="00A7499F" w:rsidP="00A7540F">
            <w:pPr>
              <w:rPr>
                <w:b/>
                <w:sz w:val="24"/>
                <w:szCs w:val="24"/>
              </w:rPr>
            </w:pPr>
            <w:r w:rsidRPr="008C7F73">
              <w:rPr>
                <w:b/>
                <w:sz w:val="24"/>
                <w:szCs w:val="24"/>
              </w:rPr>
              <w:t>Meget almindelig</w:t>
            </w:r>
            <w:r w:rsidR="00A32271">
              <w:rPr>
                <w:b/>
                <w:sz w:val="24"/>
                <w:szCs w:val="24"/>
              </w:rPr>
              <w:t xml:space="preserve"> (≥ 1/10)</w:t>
            </w:r>
          </w:p>
        </w:tc>
        <w:tc>
          <w:tcPr>
            <w:tcW w:w="1774" w:type="pct"/>
            <w:tcBorders>
              <w:top w:val="single" w:sz="4" w:space="0" w:color="000000"/>
              <w:left w:val="single" w:sz="4" w:space="0" w:color="000000"/>
              <w:bottom w:val="single" w:sz="4" w:space="0" w:color="000000"/>
              <w:right w:val="single" w:sz="4" w:space="0" w:color="000000"/>
            </w:tcBorders>
            <w:hideMark/>
          </w:tcPr>
          <w:p w:rsidR="00A7499F" w:rsidRPr="008C7F73" w:rsidRDefault="00A7499F" w:rsidP="00A7540F">
            <w:pPr>
              <w:rPr>
                <w:b/>
                <w:sz w:val="24"/>
                <w:szCs w:val="24"/>
              </w:rPr>
            </w:pPr>
            <w:r w:rsidRPr="008C7F73">
              <w:rPr>
                <w:b/>
                <w:sz w:val="24"/>
                <w:szCs w:val="24"/>
              </w:rPr>
              <w:t xml:space="preserve">Almindelig (≥ 1/100 til </w:t>
            </w:r>
            <w:proofErr w:type="gramStart"/>
            <w:r w:rsidRPr="008C7F73">
              <w:rPr>
                <w:b/>
                <w:sz w:val="24"/>
                <w:szCs w:val="24"/>
              </w:rPr>
              <w:t>&lt; 1</w:t>
            </w:r>
            <w:proofErr w:type="gramEnd"/>
            <w:r w:rsidRPr="008C7F73">
              <w:rPr>
                <w:b/>
                <w:sz w:val="24"/>
                <w:szCs w:val="24"/>
              </w:rPr>
              <w:t>/10)</w:t>
            </w:r>
          </w:p>
        </w:tc>
      </w:tr>
      <w:tr w:rsidR="00A7499F" w:rsidRPr="008C7F73" w:rsidTr="00A7540F">
        <w:tc>
          <w:tcPr>
            <w:tcW w:w="1425" w:type="pct"/>
            <w:tcBorders>
              <w:top w:val="single" w:sz="4" w:space="0" w:color="000000"/>
              <w:left w:val="single" w:sz="4" w:space="0" w:color="000000"/>
              <w:bottom w:val="single" w:sz="4" w:space="0" w:color="000000"/>
              <w:right w:val="single" w:sz="4" w:space="0" w:color="000000"/>
            </w:tcBorders>
            <w:hideMark/>
          </w:tcPr>
          <w:p w:rsidR="00A7499F" w:rsidRPr="008C7F73" w:rsidRDefault="00A7499F" w:rsidP="00A7540F">
            <w:pPr>
              <w:rPr>
                <w:sz w:val="24"/>
                <w:szCs w:val="24"/>
              </w:rPr>
            </w:pPr>
            <w:r w:rsidRPr="008C7F73">
              <w:rPr>
                <w:sz w:val="24"/>
                <w:szCs w:val="24"/>
              </w:rPr>
              <w:t>Nervesystemet</w:t>
            </w:r>
          </w:p>
        </w:tc>
        <w:tc>
          <w:tcPr>
            <w:tcW w:w="1802" w:type="pct"/>
            <w:tcBorders>
              <w:top w:val="single" w:sz="4" w:space="0" w:color="000000"/>
              <w:left w:val="single" w:sz="4" w:space="0" w:color="000000"/>
              <w:bottom w:val="single" w:sz="4" w:space="0" w:color="000000"/>
              <w:right w:val="single" w:sz="4" w:space="0" w:color="000000"/>
            </w:tcBorders>
            <w:hideMark/>
          </w:tcPr>
          <w:p w:rsidR="00A7499F" w:rsidRPr="008C7F73" w:rsidRDefault="00A7499F" w:rsidP="00A7540F">
            <w:pPr>
              <w:rPr>
                <w:sz w:val="24"/>
                <w:szCs w:val="24"/>
              </w:rPr>
            </w:pPr>
            <w:r w:rsidRPr="008C7F73">
              <w:rPr>
                <w:sz w:val="24"/>
                <w:szCs w:val="24"/>
              </w:rPr>
              <w:t>Hovedpine</w:t>
            </w:r>
          </w:p>
        </w:tc>
        <w:tc>
          <w:tcPr>
            <w:tcW w:w="1774" w:type="pct"/>
            <w:tcBorders>
              <w:top w:val="single" w:sz="4" w:space="0" w:color="000000"/>
              <w:left w:val="single" w:sz="4" w:space="0" w:color="000000"/>
              <w:bottom w:val="single" w:sz="4" w:space="0" w:color="000000"/>
              <w:right w:val="single" w:sz="4" w:space="0" w:color="000000"/>
            </w:tcBorders>
            <w:hideMark/>
          </w:tcPr>
          <w:p w:rsidR="00A7499F" w:rsidRPr="008C7F73" w:rsidRDefault="00A7499F" w:rsidP="00A7540F">
            <w:pPr>
              <w:rPr>
                <w:sz w:val="24"/>
                <w:szCs w:val="24"/>
              </w:rPr>
            </w:pPr>
            <w:r w:rsidRPr="008C7F73">
              <w:rPr>
                <w:sz w:val="24"/>
                <w:szCs w:val="24"/>
              </w:rPr>
              <w:t>Svimmelhed</w:t>
            </w:r>
          </w:p>
        </w:tc>
      </w:tr>
      <w:tr w:rsidR="00A7499F" w:rsidRPr="008C7F73" w:rsidTr="00A7540F">
        <w:tc>
          <w:tcPr>
            <w:tcW w:w="1425" w:type="pct"/>
            <w:tcBorders>
              <w:top w:val="single" w:sz="4" w:space="0" w:color="000000"/>
              <w:left w:val="single" w:sz="4" w:space="0" w:color="000000"/>
              <w:bottom w:val="single" w:sz="4" w:space="0" w:color="000000"/>
              <w:right w:val="single" w:sz="4" w:space="0" w:color="000000"/>
            </w:tcBorders>
            <w:hideMark/>
          </w:tcPr>
          <w:p w:rsidR="00A7499F" w:rsidRPr="008C7F73" w:rsidRDefault="00A7499F" w:rsidP="00A7540F">
            <w:pPr>
              <w:rPr>
                <w:sz w:val="24"/>
                <w:szCs w:val="24"/>
              </w:rPr>
            </w:pPr>
            <w:r w:rsidRPr="008C7F73">
              <w:rPr>
                <w:sz w:val="24"/>
                <w:szCs w:val="24"/>
              </w:rPr>
              <w:t>Mave-tarm-kanalen</w:t>
            </w:r>
          </w:p>
        </w:tc>
        <w:tc>
          <w:tcPr>
            <w:tcW w:w="1802" w:type="pct"/>
            <w:tcBorders>
              <w:top w:val="single" w:sz="4" w:space="0" w:color="000000"/>
              <w:left w:val="single" w:sz="4" w:space="0" w:color="000000"/>
              <w:bottom w:val="single" w:sz="4" w:space="0" w:color="000000"/>
              <w:right w:val="single" w:sz="4" w:space="0" w:color="000000"/>
            </w:tcBorders>
            <w:hideMark/>
          </w:tcPr>
          <w:p w:rsidR="00A7499F" w:rsidRPr="008C7F73" w:rsidRDefault="00A7499F" w:rsidP="00A7540F">
            <w:pPr>
              <w:rPr>
                <w:sz w:val="24"/>
                <w:szCs w:val="24"/>
              </w:rPr>
            </w:pPr>
            <w:r w:rsidRPr="008C7F73">
              <w:rPr>
                <w:sz w:val="24"/>
                <w:szCs w:val="24"/>
              </w:rPr>
              <w:t>Kvalme</w:t>
            </w:r>
          </w:p>
          <w:p w:rsidR="00A7499F" w:rsidRPr="008C7F73" w:rsidRDefault="00A7499F" w:rsidP="00A7540F">
            <w:pPr>
              <w:rPr>
                <w:sz w:val="24"/>
                <w:szCs w:val="24"/>
              </w:rPr>
            </w:pPr>
            <w:r w:rsidRPr="008C7F73">
              <w:rPr>
                <w:sz w:val="24"/>
                <w:szCs w:val="24"/>
              </w:rPr>
              <w:t xml:space="preserve">Smerter i den nedre del af maven </w:t>
            </w:r>
          </w:p>
        </w:tc>
        <w:tc>
          <w:tcPr>
            <w:tcW w:w="1774" w:type="pct"/>
            <w:tcBorders>
              <w:top w:val="single" w:sz="4" w:space="0" w:color="000000"/>
              <w:left w:val="single" w:sz="4" w:space="0" w:color="000000"/>
              <w:bottom w:val="single" w:sz="4" w:space="0" w:color="000000"/>
              <w:right w:val="single" w:sz="4" w:space="0" w:color="000000"/>
            </w:tcBorders>
            <w:hideMark/>
          </w:tcPr>
          <w:p w:rsidR="00A7499F" w:rsidRPr="008C7F73" w:rsidRDefault="00A7499F" w:rsidP="00A7540F">
            <w:pPr>
              <w:rPr>
                <w:sz w:val="24"/>
                <w:szCs w:val="24"/>
              </w:rPr>
            </w:pPr>
            <w:r w:rsidRPr="008C7F73">
              <w:rPr>
                <w:sz w:val="24"/>
                <w:szCs w:val="24"/>
              </w:rPr>
              <w:t>Diarré</w:t>
            </w:r>
          </w:p>
          <w:p w:rsidR="00A7499F" w:rsidRPr="008C7F73" w:rsidRDefault="00A7499F" w:rsidP="00A7540F">
            <w:pPr>
              <w:rPr>
                <w:sz w:val="24"/>
                <w:szCs w:val="24"/>
              </w:rPr>
            </w:pPr>
            <w:r w:rsidRPr="008C7F73">
              <w:rPr>
                <w:sz w:val="24"/>
                <w:szCs w:val="24"/>
              </w:rPr>
              <w:t>Opkastning</w:t>
            </w:r>
          </w:p>
        </w:tc>
      </w:tr>
      <w:tr w:rsidR="00A7499F" w:rsidRPr="008C7F73" w:rsidTr="00A7540F">
        <w:tc>
          <w:tcPr>
            <w:tcW w:w="1425" w:type="pct"/>
            <w:tcBorders>
              <w:top w:val="single" w:sz="4" w:space="0" w:color="000000"/>
              <w:left w:val="single" w:sz="4" w:space="0" w:color="000000"/>
              <w:bottom w:val="single" w:sz="4" w:space="0" w:color="000000"/>
              <w:right w:val="single" w:sz="4" w:space="0" w:color="000000"/>
            </w:tcBorders>
            <w:hideMark/>
          </w:tcPr>
          <w:p w:rsidR="00A7499F" w:rsidRPr="008C7F73" w:rsidRDefault="00A7499F" w:rsidP="00A7540F">
            <w:pPr>
              <w:rPr>
                <w:sz w:val="24"/>
                <w:szCs w:val="24"/>
              </w:rPr>
            </w:pPr>
            <w:r w:rsidRPr="008C7F73">
              <w:rPr>
                <w:sz w:val="24"/>
                <w:szCs w:val="24"/>
              </w:rPr>
              <w:t xml:space="preserve">Det reproduktive system og mammae </w:t>
            </w:r>
          </w:p>
        </w:tc>
        <w:tc>
          <w:tcPr>
            <w:tcW w:w="1802" w:type="pct"/>
            <w:tcBorders>
              <w:top w:val="single" w:sz="4" w:space="0" w:color="000000"/>
              <w:left w:val="single" w:sz="4" w:space="0" w:color="000000"/>
              <w:bottom w:val="single" w:sz="4" w:space="0" w:color="000000"/>
              <w:right w:val="single" w:sz="4" w:space="0" w:color="000000"/>
            </w:tcBorders>
            <w:hideMark/>
          </w:tcPr>
          <w:p w:rsidR="00A7499F" w:rsidRPr="008C7F73" w:rsidRDefault="00A7499F" w:rsidP="00A7540F">
            <w:pPr>
              <w:rPr>
                <w:sz w:val="24"/>
                <w:szCs w:val="24"/>
              </w:rPr>
            </w:pPr>
            <w:r w:rsidRPr="008C7F73">
              <w:rPr>
                <w:sz w:val="24"/>
                <w:szCs w:val="24"/>
              </w:rPr>
              <w:t>Blødning, der ikke er relateret til menstruation*</w:t>
            </w:r>
          </w:p>
        </w:tc>
        <w:tc>
          <w:tcPr>
            <w:tcW w:w="1774" w:type="pct"/>
            <w:tcBorders>
              <w:top w:val="single" w:sz="4" w:space="0" w:color="000000"/>
              <w:left w:val="single" w:sz="4" w:space="0" w:color="000000"/>
              <w:bottom w:val="single" w:sz="4" w:space="0" w:color="000000"/>
              <w:right w:val="single" w:sz="4" w:space="0" w:color="000000"/>
            </w:tcBorders>
            <w:hideMark/>
          </w:tcPr>
          <w:p w:rsidR="00A7499F" w:rsidRPr="008C7F73" w:rsidRDefault="00A7499F" w:rsidP="00A7540F">
            <w:pPr>
              <w:rPr>
                <w:sz w:val="24"/>
                <w:szCs w:val="24"/>
              </w:rPr>
            </w:pPr>
            <w:r w:rsidRPr="008C7F73">
              <w:rPr>
                <w:sz w:val="24"/>
                <w:szCs w:val="24"/>
              </w:rPr>
              <w:t>Mere end 7 dages forsinkelse af menstruationen**</w:t>
            </w:r>
          </w:p>
          <w:p w:rsidR="00A7499F" w:rsidRPr="008C7F73" w:rsidRDefault="00A7499F" w:rsidP="00A7540F">
            <w:pPr>
              <w:rPr>
                <w:sz w:val="24"/>
                <w:szCs w:val="24"/>
              </w:rPr>
            </w:pPr>
            <w:r w:rsidRPr="008C7F73">
              <w:rPr>
                <w:sz w:val="24"/>
                <w:szCs w:val="24"/>
              </w:rPr>
              <w:t>Uregelmæssig menstruation</w:t>
            </w:r>
          </w:p>
          <w:p w:rsidR="00A7499F" w:rsidRPr="008C7F73" w:rsidRDefault="00A7499F" w:rsidP="00A7540F">
            <w:pPr>
              <w:rPr>
                <w:sz w:val="24"/>
                <w:szCs w:val="24"/>
              </w:rPr>
            </w:pPr>
            <w:r w:rsidRPr="008C7F73">
              <w:rPr>
                <w:sz w:val="24"/>
                <w:szCs w:val="24"/>
              </w:rPr>
              <w:t>Brystømhed</w:t>
            </w:r>
          </w:p>
        </w:tc>
      </w:tr>
      <w:tr w:rsidR="00A7499F" w:rsidRPr="008C7F73" w:rsidTr="00A7540F">
        <w:tc>
          <w:tcPr>
            <w:tcW w:w="1425" w:type="pct"/>
            <w:tcBorders>
              <w:top w:val="single" w:sz="4" w:space="0" w:color="000000"/>
              <w:left w:val="single" w:sz="4" w:space="0" w:color="000000"/>
              <w:bottom w:val="single" w:sz="4" w:space="0" w:color="000000"/>
              <w:right w:val="single" w:sz="4" w:space="0" w:color="000000"/>
            </w:tcBorders>
            <w:hideMark/>
          </w:tcPr>
          <w:p w:rsidR="00A7499F" w:rsidRPr="008C7F73" w:rsidRDefault="00A7499F" w:rsidP="00A7540F">
            <w:pPr>
              <w:rPr>
                <w:sz w:val="24"/>
                <w:szCs w:val="24"/>
              </w:rPr>
            </w:pPr>
            <w:r w:rsidRPr="008C7F73">
              <w:rPr>
                <w:sz w:val="24"/>
                <w:szCs w:val="24"/>
              </w:rPr>
              <w:t>Almene symptomer og reaktioner på administrationsstedet</w:t>
            </w:r>
          </w:p>
        </w:tc>
        <w:tc>
          <w:tcPr>
            <w:tcW w:w="1802" w:type="pct"/>
            <w:tcBorders>
              <w:top w:val="single" w:sz="4" w:space="0" w:color="000000"/>
              <w:left w:val="single" w:sz="4" w:space="0" w:color="000000"/>
              <w:bottom w:val="single" w:sz="4" w:space="0" w:color="000000"/>
              <w:right w:val="single" w:sz="4" w:space="0" w:color="000000"/>
            </w:tcBorders>
            <w:hideMark/>
          </w:tcPr>
          <w:p w:rsidR="00A7499F" w:rsidRPr="008C7F73" w:rsidRDefault="00A7499F" w:rsidP="00A7540F">
            <w:pPr>
              <w:rPr>
                <w:sz w:val="24"/>
                <w:szCs w:val="24"/>
              </w:rPr>
            </w:pPr>
            <w:r w:rsidRPr="008C7F73">
              <w:rPr>
                <w:sz w:val="24"/>
                <w:szCs w:val="24"/>
              </w:rPr>
              <w:t>Træthed</w:t>
            </w:r>
          </w:p>
        </w:tc>
        <w:tc>
          <w:tcPr>
            <w:tcW w:w="1774" w:type="pct"/>
            <w:tcBorders>
              <w:top w:val="single" w:sz="4" w:space="0" w:color="000000"/>
              <w:left w:val="single" w:sz="4" w:space="0" w:color="000000"/>
              <w:bottom w:val="single" w:sz="4" w:space="0" w:color="000000"/>
              <w:right w:val="single" w:sz="4" w:space="0" w:color="000000"/>
            </w:tcBorders>
          </w:tcPr>
          <w:p w:rsidR="00A7499F" w:rsidRPr="008C7F73" w:rsidRDefault="00A7499F" w:rsidP="00A7540F">
            <w:pPr>
              <w:rPr>
                <w:sz w:val="24"/>
                <w:szCs w:val="24"/>
              </w:rPr>
            </w:pPr>
          </w:p>
        </w:tc>
      </w:tr>
    </w:tbl>
    <w:p w:rsidR="00A7499F" w:rsidRPr="008C7F73" w:rsidRDefault="00A7499F" w:rsidP="00465D9B">
      <w:pPr>
        <w:ind w:left="851"/>
        <w:rPr>
          <w:sz w:val="24"/>
          <w:szCs w:val="24"/>
        </w:rPr>
      </w:pPr>
      <w:r w:rsidRPr="008C7F73">
        <w:rPr>
          <w:sz w:val="24"/>
          <w:szCs w:val="24"/>
        </w:rPr>
        <w:t>*</w:t>
      </w:r>
      <w:r w:rsidR="005B4414">
        <w:rPr>
          <w:sz w:val="24"/>
          <w:szCs w:val="24"/>
        </w:rPr>
        <w:t>Blødningsmønstret kan være midlertidigt forstyrret, men de fleste kvinder vil få deres næste menstruation senest 7 dage efter det forventede tidspunkt.</w:t>
      </w:r>
    </w:p>
    <w:p w:rsidR="00A7499F" w:rsidRPr="008C7F73" w:rsidRDefault="00A7499F" w:rsidP="00761C43">
      <w:pPr>
        <w:ind w:left="851"/>
        <w:rPr>
          <w:sz w:val="24"/>
          <w:szCs w:val="24"/>
        </w:rPr>
      </w:pPr>
      <w:r w:rsidRPr="008C7F73">
        <w:rPr>
          <w:sz w:val="24"/>
          <w:szCs w:val="24"/>
        </w:rPr>
        <w:t xml:space="preserve">** Hvis den næste menstruation er mere end 5 dage forsinket, skal graviditet udelukkes. </w:t>
      </w:r>
    </w:p>
    <w:p w:rsidR="00A7499F" w:rsidRPr="008C7F73" w:rsidRDefault="00A7499F" w:rsidP="00761C43">
      <w:pPr>
        <w:ind w:left="851"/>
        <w:rPr>
          <w:sz w:val="24"/>
          <w:szCs w:val="24"/>
        </w:rPr>
      </w:pPr>
    </w:p>
    <w:p w:rsidR="00A7499F" w:rsidRPr="008C7F73" w:rsidRDefault="00A7499F" w:rsidP="00761C43">
      <w:pPr>
        <w:ind w:left="851"/>
        <w:rPr>
          <w:i/>
          <w:sz w:val="24"/>
          <w:szCs w:val="24"/>
        </w:rPr>
      </w:pPr>
      <w:r w:rsidRPr="008C7F73">
        <w:rPr>
          <w:i/>
          <w:sz w:val="24"/>
          <w:szCs w:val="24"/>
        </w:rPr>
        <w:t>Efter markedsføring er der desuden rapporteret om følgende bivirkninger:</w:t>
      </w:r>
    </w:p>
    <w:p w:rsidR="00A7499F" w:rsidRPr="008C7F73" w:rsidRDefault="00A7499F" w:rsidP="00761C43">
      <w:pPr>
        <w:ind w:left="851"/>
        <w:rPr>
          <w:sz w:val="24"/>
          <w:szCs w:val="24"/>
        </w:rPr>
      </w:pPr>
      <w:r w:rsidRPr="008C7F73">
        <w:rPr>
          <w:i/>
          <w:sz w:val="24"/>
          <w:szCs w:val="24"/>
        </w:rPr>
        <w:t xml:space="preserve">Mave-tarm-kanalen </w:t>
      </w:r>
      <w:r w:rsidRPr="008C7F73">
        <w:rPr>
          <w:i/>
          <w:sz w:val="24"/>
          <w:szCs w:val="24"/>
        </w:rPr>
        <w:br/>
      </w:r>
      <w:r w:rsidRPr="008C7F73">
        <w:rPr>
          <w:sz w:val="24"/>
          <w:szCs w:val="24"/>
        </w:rPr>
        <w:t xml:space="preserve">Meget sjælden </w:t>
      </w:r>
      <w:proofErr w:type="gramStart"/>
      <w:r w:rsidRPr="008C7F73">
        <w:rPr>
          <w:sz w:val="24"/>
          <w:szCs w:val="24"/>
        </w:rPr>
        <w:t>(&lt; 1</w:t>
      </w:r>
      <w:proofErr w:type="gramEnd"/>
      <w:r w:rsidRPr="008C7F73">
        <w:rPr>
          <w:sz w:val="24"/>
          <w:szCs w:val="24"/>
        </w:rPr>
        <w:t>/10.000): mavesmerter</w:t>
      </w:r>
    </w:p>
    <w:p w:rsidR="00A7499F" w:rsidRPr="008C7F73" w:rsidRDefault="00A7499F" w:rsidP="00761C43">
      <w:pPr>
        <w:ind w:left="851"/>
        <w:rPr>
          <w:i/>
          <w:sz w:val="24"/>
          <w:szCs w:val="24"/>
        </w:rPr>
      </w:pPr>
      <w:r w:rsidRPr="008C7F73">
        <w:rPr>
          <w:i/>
          <w:sz w:val="24"/>
          <w:szCs w:val="24"/>
        </w:rPr>
        <w:t>Hud og subkutane væv</w:t>
      </w:r>
    </w:p>
    <w:p w:rsidR="00A7499F" w:rsidRPr="008C7F73" w:rsidRDefault="00A7499F" w:rsidP="00761C43">
      <w:pPr>
        <w:ind w:left="851"/>
        <w:rPr>
          <w:sz w:val="24"/>
          <w:szCs w:val="24"/>
        </w:rPr>
      </w:pPr>
      <w:r w:rsidRPr="008C7F73">
        <w:rPr>
          <w:sz w:val="24"/>
          <w:szCs w:val="24"/>
        </w:rPr>
        <w:t xml:space="preserve">Meget sjælden </w:t>
      </w:r>
      <w:proofErr w:type="gramStart"/>
      <w:r w:rsidRPr="008C7F73">
        <w:rPr>
          <w:sz w:val="24"/>
          <w:szCs w:val="24"/>
        </w:rPr>
        <w:t>(&lt; 1</w:t>
      </w:r>
      <w:proofErr w:type="gramEnd"/>
      <w:r w:rsidRPr="008C7F73">
        <w:rPr>
          <w:sz w:val="24"/>
          <w:szCs w:val="24"/>
        </w:rPr>
        <w:t xml:space="preserve">/10.000): udslæt, </w:t>
      </w:r>
      <w:proofErr w:type="spellStart"/>
      <w:r w:rsidRPr="008C7F73">
        <w:rPr>
          <w:sz w:val="24"/>
          <w:szCs w:val="24"/>
        </w:rPr>
        <w:t>urticaria</w:t>
      </w:r>
      <w:proofErr w:type="spellEnd"/>
      <w:r w:rsidRPr="008C7F73">
        <w:rPr>
          <w:sz w:val="24"/>
          <w:szCs w:val="24"/>
        </w:rPr>
        <w:t xml:space="preserve">, </w:t>
      </w:r>
      <w:proofErr w:type="spellStart"/>
      <w:r w:rsidRPr="008C7F73">
        <w:rPr>
          <w:sz w:val="24"/>
          <w:szCs w:val="24"/>
        </w:rPr>
        <w:t>pruritus</w:t>
      </w:r>
      <w:proofErr w:type="spellEnd"/>
      <w:r w:rsidRPr="008C7F73">
        <w:rPr>
          <w:sz w:val="24"/>
          <w:szCs w:val="24"/>
        </w:rPr>
        <w:t xml:space="preserve">. </w:t>
      </w:r>
    </w:p>
    <w:p w:rsidR="00A7499F" w:rsidRPr="008C7F73" w:rsidRDefault="00A7499F" w:rsidP="00761C43">
      <w:pPr>
        <w:ind w:left="851"/>
        <w:rPr>
          <w:i/>
          <w:sz w:val="24"/>
          <w:szCs w:val="24"/>
        </w:rPr>
      </w:pPr>
      <w:r w:rsidRPr="008C7F73">
        <w:rPr>
          <w:i/>
          <w:sz w:val="24"/>
          <w:szCs w:val="24"/>
        </w:rPr>
        <w:t>Det reproduktive system og mammae</w:t>
      </w:r>
    </w:p>
    <w:p w:rsidR="00A7499F" w:rsidRPr="008C7F73" w:rsidRDefault="00A7499F" w:rsidP="00761C43">
      <w:pPr>
        <w:ind w:left="851"/>
        <w:rPr>
          <w:sz w:val="24"/>
          <w:szCs w:val="24"/>
        </w:rPr>
      </w:pPr>
      <w:r w:rsidRPr="008C7F73">
        <w:rPr>
          <w:sz w:val="24"/>
          <w:szCs w:val="24"/>
        </w:rPr>
        <w:t xml:space="preserve">Meget sjælden </w:t>
      </w:r>
      <w:proofErr w:type="gramStart"/>
      <w:r w:rsidRPr="008C7F73">
        <w:rPr>
          <w:sz w:val="24"/>
          <w:szCs w:val="24"/>
        </w:rPr>
        <w:t>(&lt; 1</w:t>
      </w:r>
      <w:proofErr w:type="gramEnd"/>
      <w:r w:rsidRPr="008C7F73">
        <w:rPr>
          <w:sz w:val="24"/>
          <w:szCs w:val="24"/>
        </w:rPr>
        <w:t xml:space="preserve">/10.000): bækkensmerter, </w:t>
      </w:r>
      <w:proofErr w:type="spellStart"/>
      <w:r w:rsidRPr="008C7F73">
        <w:rPr>
          <w:sz w:val="24"/>
          <w:szCs w:val="24"/>
        </w:rPr>
        <w:t>dysmenoré</w:t>
      </w:r>
      <w:proofErr w:type="spellEnd"/>
      <w:r w:rsidRPr="008C7F73">
        <w:rPr>
          <w:sz w:val="24"/>
          <w:szCs w:val="24"/>
        </w:rPr>
        <w:t>.</w:t>
      </w:r>
    </w:p>
    <w:p w:rsidR="00A7499F" w:rsidRPr="008C7F73" w:rsidRDefault="00A7499F" w:rsidP="00761C43">
      <w:pPr>
        <w:ind w:left="851"/>
        <w:rPr>
          <w:i/>
          <w:sz w:val="24"/>
          <w:szCs w:val="24"/>
        </w:rPr>
      </w:pPr>
      <w:r w:rsidRPr="008C7F73">
        <w:rPr>
          <w:i/>
          <w:sz w:val="24"/>
          <w:szCs w:val="24"/>
        </w:rPr>
        <w:t>Almene symptomer og reaktioner på administrationsstedet</w:t>
      </w:r>
    </w:p>
    <w:p w:rsidR="00A7499F" w:rsidRPr="008C7F73" w:rsidRDefault="00A7499F" w:rsidP="00761C43">
      <w:pPr>
        <w:ind w:left="851"/>
        <w:rPr>
          <w:sz w:val="24"/>
          <w:szCs w:val="24"/>
        </w:rPr>
      </w:pPr>
      <w:r w:rsidRPr="008C7F73">
        <w:rPr>
          <w:sz w:val="24"/>
          <w:szCs w:val="24"/>
        </w:rPr>
        <w:t xml:space="preserve">Meget sjælden </w:t>
      </w:r>
      <w:proofErr w:type="gramStart"/>
      <w:r w:rsidRPr="008C7F73">
        <w:rPr>
          <w:sz w:val="24"/>
          <w:szCs w:val="24"/>
        </w:rPr>
        <w:t>(&lt; 1</w:t>
      </w:r>
      <w:proofErr w:type="gramEnd"/>
      <w:r w:rsidRPr="008C7F73">
        <w:rPr>
          <w:sz w:val="24"/>
          <w:szCs w:val="24"/>
        </w:rPr>
        <w:t>/10.000): ansigtsødem.</w:t>
      </w:r>
    </w:p>
    <w:p w:rsidR="00A7499F" w:rsidRPr="008C7F73" w:rsidRDefault="00A7499F" w:rsidP="00761C43">
      <w:pPr>
        <w:ind w:left="851"/>
        <w:rPr>
          <w:sz w:val="24"/>
          <w:szCs w:val="24"/>
        </w:rPr>
      </w:pPr>
    </w:p>
    <w:p w:rsidR="00761C43" w:rsidRPr="008C7F73" w:rsidRDefault="00761C43" w:rsidP="00761C43">
      <w:pPr>
        <w:autoSpaceDE w:val="0"/>
        <w:autoSpaceDN w:val="0"/>
        <w:adjustRightInd w:val="0"/>
        <w:ind w:left="851"/>
        <w:rPr>
          <w:sz w:val="24"/>
          <w:szCs w:val="24"/>
          <w:u w:val="single"/>
        </w:rPr>
      </w:pPr>
      <w:r w:rsidRPr="008C7F73">
        <w:rPr>
          <w:noProof/>
          <w:sz w:val="24"/>
          <w:szCs w:val="24"/>
          <w:u w:val="single"/>
        </w:rPr>
        <w:t xml:space="preserve">Indberetning af </w:t>
      </w:r>
      <w:r w:rsidR="00A32271">
        <w:rPr>
          <w:noProof/>
          <w:sz w:val="24"/>
          <w:szCs w:val="24"/>
          <w:u w:val="single"/>
        </w:rPr>
        <w:t>formodede</w:t>
      </w:r>
      <w:r w:rsidRPr="008C7F73">
        <w:rPr>
          <w:noProof/>
          <w:sz w:val="24"/>
          <w:szCs w:val="24"/>
          <w:u w:val="single"/>
        </w:rPr>
        <w:t xml:space="preserve"> bivirkninger</w:t>
      </w:r>
    </w:p>
    <w:p w:rsidR="00761C43" w:rsidRPr="008C7F73" w:rsidRDefault="00761C43" w:rsidP="00761C43">
      <w:pPr>
        <w:tabs>
          <w:tab w:val="left" w:pos="851"/>
        </w:tabs>
        <w:ind w:left="851"/>
        <w:rPr>
          <w:noProof/>
          <w:sz w:val="24"/>
          <w:szCs w:val="24"/>
        </w:rPr>
      </w:pPr>
      <w:r w:rsidRPr="008C7F73">
        <w:rPr>
          <w:noProof/>
          <w:sz w:val="24"/>
          <w:szCs w:val="24"/>
        </w:rPr>
        <w:t xml:space="preserve">Når lægemidlet er godkendt, er indberetning af </w:t>
      </w:r>
      <w:r w:rsidR="00A32271">
        <w:rPr>
          <w:noProof/>
          <w:sz w:val="24"/>
          <w:szCs w:val="24"/>
        </w:rPr>
        <w:t>formodede</w:t>
      </w:r>
      <w:r w:rsidRPr="008C7F73">
        <w:rPr>
          <w:noProof/>
          <w:sz w:val="24"/>
          <w:szCs w:val="24"/>
        </w:rPr>
        <w:t xml:space="preserve"> bivirkninger vigtig.</w:t>
      </w:r>
      <w:r w:rsidRPr="008C7F73">
        <w:rPr>
          <w:sz w:val="24"/>
          <w:szCs w:val="24"/>
        </w:rPr>
        <w:t xml:space="preserve"> </w:t>
      </w:r>
      <w:r w:rsidRPr="008C7F73">
        <w:rPr>
          <w:noProof/>
          <w:sz w:val="24"/>
          <w:szCs w:val="24"/>
        </w:rPr>
        <w:t>Det muliggør løbende overvågning af benefit/risk-forholdet for lægemidlet.</w:t>
      </w:r>
      <w:r w:rsidRPr="008C7F73">
        <w:rPr>
          <w:sz w:val="24"/>
          <w:szCs w:val="24"/>
        </w:rPr>
        <w:t xml:space="preserve"> </w:t>
      </w:r>
      <w:r w:rsidRPr="008C7F73">
        <w:rPr>
          <w:noProof/>
          <w:sz w:val="24"/>
          <w:szCs w:val="24"/>
        </w:rPr>
        <w:t xml:space="preserve">Læger og sundhedspersonale anmodes om at indberette alle </w:t>
      </w:r>
      <w:r w:rsidR="00A32271">
        <w:rPr>
          <w:noProof/>
          <w:sz w:val="24"/>
          <w:szCs w:val="24"/>
        </w:rPr>
        <w:t>formodede</w:t>
      </w:r>
      <w:r w:rsidRPr="008C7F73">
        <w:rPr>
          <w:noProof/>
          <w:sz w:val="24"/>
          <w:szCs w:val="24"/>
        </w:rPr>
        <w:t xml:space="preserve"> bivirkninger via:</w:t>
      </w:r>
    </w:p>
    <w:p w:rsidR="00761C43" w:rsidRPr="008C7F73" w:rsidRDefault="00761C43" w:rsidP="00761C43">
      <w:pPr>
        <w:tabs>
          <w:tab w:val="left" w:pos="851"/>
        </w:tabs>
        <w:ind w:left="851"/>
        <w:rPr>
          <w:noProof/>
          <w:sz w:val="24"/>
          <w:szCs w:val="24"/>
        </w:rPr>
      </w:pPr>
    </w:p>
    <w:p w:rsidR="00761C43" w:rsidRPr="008C7F73" w:rsidRDefault="005B4414" w:rsidP="00761C43">
      <w:pPr>
        <w:tabs>
          <w:tab w:val="left" w:pos="851"/>
        </w:tabs>
        <w:ind w:left="851"/>
        <w:rPr>
          <w:noProof/>
          <w:sz w:val="24"/>
          <w:szCs w:val="24"/>
        </w:rPr>
      </w:pPr>
      <w:r>
        <w:rPr>
          <w:noProof/>
          <w:sz w:val="24"/>
          <w:szCs w:val="24"/>
        </w:rPr>
        <w:t>Lægemiddelstyrelsen</w:t>
      </w:r>
    </w:p>
    <w:p w:rsidR="00761C43" w:rsidRPr="008C7F73" w:rsidRDefault="00761C43" w:rsidP="00761C43">
      <w:pPr>
        <w:tabs>
          <w:tab w:val="left" w:pos="851"/>
        </w:tabs>
        <w:ind w:left="851"/>
        <w:rPr>
          <w:noProof/>
          <w:sz w:val="24"/>
          <w:szCs w:val="24"/>
        </w:rPr>
      </w:pPr>
      <w:r w:rsidRPr="008C7F73">
        <w:rPr>
          <w:noProof/>
          <w:sz w:val="24"/>
          <w:szCs w:val="24"/>
        </w:rPr>
        <w:t>Axel Heides Gade 1</w:t>
      </w:r>
    </w:p>
    <w:p w:rsidR="00761C43" w:rsidRPr="008C7F73" w:rsidRDefault="00761C43" w:rsidP="00761C43">
      <w:pPr>
        <w:tabs>
          <w:tab w:val="left" w:pos="851"/>
        </w:tabs>
        <w:ind w:left="851"/>
        <w:rPr>
          <w:noProof/>
          <w:sz w:val="24"/>
          <w:szCs w:val="24"/>
        </w:rPr>
      </w:pPr>
      <w:r w:rsidRPr="008C7F73">
        <w:rPr>
          <w:noProof/>
          <w:sz w:val="24"/>
          <w:szCs w:val="24"/>
        </w:rPr>
        <w:t>DK-2300 København S</w:t>
      </w:r>
    </w:p>
    <w:p w:rsidR="00761C43" w:rsidRPr="0053790B" w:rsidRDefault="00761C43" w:rsidP="00761C43">
      <w:pPr>
        <w:tabs>
          <w:tab w:val="left" w:pos="851"/>
        </w:tabs>
        <w:ind w:left="851"/>
        <w:rPr>
          <w:noProof/>
          <w:sz w:val="24"/>
          <w:szCs w:val="24"/>
          <w:lang w:val="en-US"/>
        </w:rPr>
      </w:pPr>
      <w:r w:rsidRPr="0053790B">
        <w:rPr>
          <w:noProof/>
          <w:sz w:val="24"/>
          <w:szCs w:val="24"/>
          <w:lang w:val="en-US"/>
        </w:rPr>
        <w:t xml:space="preserve">Websted: </w:t>
      </w:r>
      <w:hyperlink r:id="rId8" w:history="1">
        <w:r w:rsidRPr="0053790B">
          <w:rPr>
            <w:rStyle w:val="Hyperlink"/>
            <w:noProof/>
            <w:sz w:val="24"/>
            <w:szCs w:val="24"/>
            <w:lang w:val="en-US"/>
          </w:rPr>
          <w:t>www.meldenbivirkning.dk</w:t>
        </w:r>
      </w:hyperlink>
    </w:p>
    <w:p w:rsidR="008E452A" w:rsidRPr="0053790B" w:rsidRDefault="008E452A" w:rsidP="00761C43">
      <w:pPr>
        <w:tabs>
          <w:tab w:val="left" w:pos="851"/>
        </w:tabs>
        <w:ind w:left="851"/>
        <w:rPr>
          <w:noProof/>
          <w:sz w:val="24"/>
          <w:szCs w:val="24"/>
          <w:lang w:val="en-US"/>
        </w:rPr>
      </w:pPr>
      <w:bookmarkStart w:id="0" w:name="_GoBack"/>
      <w:bookmarkEnd w:id="0"/>
    </w:p>
    <w:p w:rsidR="00B003BF" w:rsidRPr="008C7F73" w:rsidRDefault="00B003BF" w:rsidP="00CF251A">
      <w:pPr>
        <w:keepNext/>
        <w:ind w:left="851" w:hanging="851"/>
        <w:rPr>
          <w:b/>
          <w:sz w:val="24"/>
          <w:szCs w:val="24"/>
        </w:rPr>
      </w:pPr>
      <w:r w:rsidRPr="008C7F73">
        <w:rPr>
          <w:b/>
          <w:sz w:val="24"/>
          <w:szCs w:val="24"/>
        </w:rPr>
        <w:t>4.9</w:t>
      </w:r>
      <w:r w:rsidRPr="008C7F73">
        <w:rPr>
          <w:b/>
          <w:sz w:val="24"/>
          <w:szCs w:val="24"/>
        </w:rPr>
        <w:tab/>
        <w:t>Overdosering</w:t>
      </w:r>
    </w:p>
    <w:p w:rsidR="00A7499F" w:rsidRPr="008C7F73" w:rsidRDefault="00B003BF" w:rsidP="00A7540F">
      <w:pPr>
        <w:ind w:left="851" w:hanging="851"/>
        <w:rPr>
          <w:sz w:val="24"/>
          <w:szCs w:val="24"/>
        </w:rPr>
      </w:pPr>
      <w:r w:rsidRPr="008C7F73">
        <w:rPr>
          <w:sz w:val="24"/>
          <w:szCs w:val="24"/>
        </w:rPr>
        <w:tab/>
      </w:r>
      <w:bookmarkStart w:id="1" w:name="PHARMACOLOGICAL_PROPS"/>
      <w:r w:rsidR="005B4414">
        <w:rPr>
          <w:sz w:val="24"/>
          <w:szCs w:val="24"/>
        </w:rPr>
        <w:t xml:space="preserve">Der er ikke rapporteret om alvorlige bivirkninger efter akut indtagelse af store doser orale </w:t>
      </w:r>
      <w:proofErr w:type="spellStart"/>
      <w:r w:rsidR="005B4414">
        <w:rPr>
          <w:sz w:val="24"/>
          <w:szCs w:val="24"/>
        </w:rPr>
        <w:t>antikonceptiva</w:t>
      </w:r>
      <w:proofErr w:type="spellEnd"/>
      <w:r w:rsidR="005B4414">
        <w:rPr>
          <w:sz w:val="24"/>
          <w:szCs w:val="24"/>
        </w:rPr>
        <w:t>. Overdosering kan forårsage kvalme, og bortfaldsblødning kan indtræde. Der er ingen specifik modgift, og behandlingen bør være symptomatisk.</w:t>
      </w:r>
      <w:bookmarkEnd w:id="1"/>
    </w:p>
    <w:p w:rsidR="00B003BF" w:rsidRPr="008C7F73" w:rsidRDefault="00B003BF" w:rsidP="00A7540F">
      <w:pPr>
        <w:ind w:left="851" w:hanging="851"/>
        <w:rPr>
          <w:sz w:val="24"/>
          <w:szCs w:val="24"/>
        </w:rPr>
      </w:pPr>
    </w:p>
    <w:p w:rsidR="00B003BF" w:rsidRPr="008C7F73" w:rsidRDefault="00B003BF" w:rsidP="00A7540F">
      <w:pPr>
        <w:ind w:left="851" w:hanging="851"/>
        <w:rPr>
          <w:b/>
          <w:sz w:val="24"/>
          <w:szCs w:val="24"/>
        </w:rPr>
      </w:pPr>
      <w:r w:rsidRPr="008C7F73">
        <w:rPr>
          <w:b/>
          <w:sz w:val="24"/>
          <w:szCs w:val="24"/>
        </w:rPr>
        <w:t>4.10</w:t>
      </w:r>
      <w:r w:rsidRPr="008C7F73">
        <w:rPr>
          <w:b/>
          <w:sz w:val="24"/>
          <w:szCs w:val="24"/>
        </w:rPr>
        <w:tab/>
        <w:t>Udlevering</w:t>
      </w:r>
    </w:p>
    <w:p w:rsidR="00B003BF" w:rsidRPr="008C7F73" w:rsidRDefault="00B003BF" w:rsidP="00A7540F">
      <w:pPr>
        <w:ind w:left="851" w:hanging="851"/>
        <w:rPr>
          <w:sz w:val="24"/>
          <w:szCs w:val="24"/>
        </w:rPr>
      </w:pPr>
      <w:r w:rsidRPr="008C7F73">
        <w:rPr>
          <w:sz w:val="24"/>
          <w:szCs w:val="24"/>
        </w:rPr>
        <w:tab/>
      </w:r>
      <w:r w:rsidR="008C7F73">
        <w:rPr>
          <w:sz w:val="24"/>
          <w:szCs w:val="24"/>
        </w:rPr>
        <w:t>HA</w:t>
      </w:r>
    </w:p>
    <w:p w:rsidR="00B003BF" w:rsidRPr="008C7F73" w:rsidRDefault="00B003BF" w:rsidP="00A7540F">
      <w:pPr>
        <w:ind w:left="851" w:hanging="851"/>
        <w:rPr>
          <w:sz w:val="24"/>
          <w:szCs w:val="24"/>
        </w:rPr>
      </w:pPr>
    </w:p>
    <w:p w:rsidR="00465D9B" w:rsidRPr="008C7F73" w:rsidRDefault="00465D9B" w:rsidP="00A7540F">
      <w:pPr>
        <w:ind w:left="851" w:hanging="851"/>
        <w:rPr>
          <w:sz w:val="24"/>
          <w:szCs w:val="24"/>
        </w:rPr>
      </w:pPr>
    </w:p>
    <w:p w:rsidR="00B003BF" w:rsidRPr="008C7F73" w:rsidRDefault="00B003BF" w:rsidP="00A7540F">
      <w:pPr>
        <w:ind w:left="851" w:hanging="851"/>
        <w:rPr>
          <w:b/>
          <w:sz w:val="24"/>
          <w:szCs w:val="24"/>
        </w:rPr>
      </w:pPr>
      <w:r w:rsidRPr="008C7F73">
        <w:rPr>
          <w:b/>
          <w:sz w:val="24"/>
          <w:szCs w:val="24"/>
        </w:rPr>
        <w:t>5.</w:t>
      </w:r>
      <w:r w:rsidRPr="008C7F73">
        <w:rPr>
          <w:b/>
          <w:sz w:val="24"/>
          <w:szCs w:val="24"/>
        </w:rPr>
        <w:tab/>
        <w:t>FARMAKOLOGISKE EGENSKABER</w:t>
      </w:r>
    </w:p>
    <w:p w:rsidR="00B003BF" w:rsidRPr="008C7F73" w:rsidRDefault="00B003BF" w:rsidP="00A7540F">
      <w:pPr>
        <w:ind w:left="851" w:hanging="851"/>
        <w:rPr>
          <w:sz w:val="24"/>
          <w:szCs w:val="24"/>
        </w:rPr>
      </w:pPr>
    </w:p>
    <w:p w:rsidR="00B003BF" w:rsidRPr="008C7F73" w:rsidRDefault="00B003BF" w:rsidP="00A7540F">
      <w:pPr>
        <w:ind w:left="851" w:hanging="851"/>
        <w:rPr>
          <w:b/>
          <w:sz w:val="24"/>
          <w:szCs w:val="24"/>
        </w:rPr>
      </w:pPr>
      <w:r w:rsidRPr="008C7F73">
        <w:rPr>
          <w:b/>
          <w:sz w:val="24"/>
          <w:szCs w:val="24"/>
        </w:rPr>
        <w:t>5.0</w:t>
      </w:r>
      <w:r w:rsidRPr="008C7F73">
        <w:rPr>
          <w:b/>
          <w:sz w:val="24"/>
          <w:szCs w:val="24"/>
        </w:rPr>
        <w:tab/>
        <w:t>Terapeutisk klassifikation</w:t>
      </w:r>
    </w:p>
    <w:p w:rsidR="00A7499F" w:rsidRPr="008C7F73" w:rsidRDefault="00B003BF" w:rsidP="00A7540F">
      <w:pPr>
        <w:ind w:left="851" w:hanging="851"/>
        <w:rPr>
          <w:sz w:val="24"/>
          <w:szCs w:val="24"/>
        </w:rPr>
      </w:pPr>
      <w:r w:rsidRPr="008C7F73">
        <w:rPr>
          <w:sz w:val="24"/>
          <w:szCs w:val="24"/>
        </w:rPr>
        <w:tab/>
      </w:r>
      <w:r w:rsidR="005B4414">
        <w:rPr>
          <w:sz w:val="24"/>
          <w:szCs w:val="24"/>
        </w:rPr>
        <w:t xml:space="preserve">ATC-kode: G03AD01, </w:t>
      </w:r>
      <w:proofErr w:type="spellStart"/>
      <w:r w:rsidR="005B4414">
        <w:rPr>
          <w:sz w:val="24"/>
          <w:szCs w:val="24"/>
        </w:rPr>
        <w:t>farmakoterapeutisk</w:t>
      </w:r>
      <w:proofErr w:type="spellEnd"/>
      <w:r w:rsidR="005B4414">
        <w:rPr>
          <w:sz w:val="24"/>
          <w:szCs w:val="24"/>
        </w:rPr>
        <w:t xml:space="preserve"> klassifikation: kønshormoner og </w:t>
      </w:r>
      <w:proofErr w:type="spellStart"/>
      <w:r w:rsidR="005B4414">
        <w:rPr>
          <w:sz w:val="24"/>
          <w:szCs w:val="24"/>
        </w:rPr>
        <w:t>modulatorer</w:t>
      </w:r>
      <w:proofErr w:type="spellEnd"/>
      <w:r w:rsidR="005B4414">
        <w:rPr>
          <w:sz w:val="24"/>
          <w:szCs w:val="24"/>
        </w:rPr>
        <w:t xml:space="preserve"> af kønssystemet, nødprævention.</w:t>
      </w:r>
    </w:p>
    <w:p w:rsidR="003C5694" w:rsidRPr="008C7F73" w:rsidRDefault="003C5694" w:rsidP="005B4414">
      <w:pPr>
        <w:rPr>
          <w:sz w:val="24"/>
          <w:szCs w:val="24"/>
        </w:rPr>
      </w:pPr>
    </w:p>
    <w:p w:rsidR="00B003BF" w:rsidRPr="008C7F73" w:rsidRDefault="00B003BF" w:rsidP="00A7540F">
      <w:pPr>
        <w:ind w:left="851" w:hanging="851"/>
        <w:rPr>
          <w:b/>
          <w:sz w:val="24"/>
          <w:szCs w:val="24"/>
        </w:rPr>
      </w:pPr>
      <w:r w:rsidRPr="008C7F73">
        <w:rPr>
          <w:b/>
          <w:sz w:val="24"/>
          <w:szCs w:val="24"/>
        </w:rPr>
        <w:t>5.1</w:t>
      </w:r>
      <w:r w:rsidRPr="008C7F73">
        <w:rPr>
          <w:b/>
          <w:sz w:val="24"/>
          <w:szCs w:val="24"/>
        </w:rPr>
        <w:tab/>
      </w:r>
      <w:proofErr w:type="spellStart"/>
      <w:r w:rsidRPr="008C7F73">
        <w:rPr>
          <w:b/>
          <w:sz w:val="24"/>
          <w:szCs w:val="24"/>
        </w:rPr>
        <w:t>Farmakodynamiske</w:t>
      </w:r>
      <w:proofErr w:type="spellEnd"/>
      <w:r w:rsidRPr="008C7F73">
        <w:rPr>
          <w:b/>
          <w:sz w:val="24"/>
          <w:szCs w:val="24"/>
        </w:rPr>
        <w:t xml:space="preserve"> egenskaber</w:t>
      </w:r>
    </w:p>
    <w:p w:rsidR="00A7499F" w:rsidRPr="008C7F73" w:rsidRDefault="00B003BF" w:rsidP="003C5694">
      <w:pPr>
        <w:ind w:left="851" w:hanging="851"/>
        <w:rPr>
          <w:sz w:val="24"/>
          <w:szCs w:val="24"/>
          <w:u w:val="single"/>
        </w:rPr>
      </w:pPr>
      <w:r w:rsidRPr="008C7F73">
        <w:rPr>
          <w:sz w:val="24"/>
          <w:szCs w:val="24"/>
        </w:rPr>
        <w:tab/>
      </w:r>
      <w:r w:rsidR="00A7499F" w:rsidRPr="008C7F73">
        <w:rPr>
          <w:sz w:val="24"/>
          <w:szCs w:val="24"/>
          <w:u w:val="single"/>
        </w:rPr>
        <w:t>Virkningsmekanisme:</w:t>
      </w:r>
    </w:p>
    <w:p w:rsidR="00A7499F" w:rsidRPr="008C7F73" w:rsidRDefault="00A7499F" w:rsidP="00761C43">
      <w:pPr>
        <w:ind w:left="851"/>
        <w:rPr>
          <w:sz w:val="24"/>
          <w:szCs w:val="24"/>
        </w:rPr>
      </w:pPr>
      <w:proofErr w:type="spellStart"/>
      <w:r w:rsidRPr="008C7F73">
        <w:rPr>
          <w:sz w:val="24"/>
          <w:szCs w:val="24"/>
        </w:rPr>
        <w:t>Levodonnas</w:t>
      </w:r>
      <w:proofErr w:type="spellEnd"/>
      <w:r w:rsidRPr="008C7F73">
        <w:rPr>
          <w:sz w:val="24"/>
          <w:szCs w:val="24"/>
        </w:rPr>
        <w:t xml:space="preserve"> præcise virkningsmekanisme kendes ikke. I den anbefalede dosis menes </w:t>
      </w:r>
      <w:proofErr w:type="spellStart"/>
      <w:r w:rsidRPr="008C7F73">
        <w:rPr>
          <w:sz w:val="24"/>
          <w:szCs w:val="24"/>
        </w:rPr>
        <w:t>levonorgestrel</w:t>
      </w:r>
      <w:proofErr w:type="spellEnd"/>
      <w:r w:rsidRPr="008C7F73">
        <w:rPr>
          <w:sz w:val="24"/>
          <w:szCs w:val="24"/>
        </w:rPr>
        <w:t xml:space="preserve"> primært at virke ved at forhindre ægløsning og befrugtning, hvis samlejet har fundet sted i den </w:t>
      </w:r>
      <w:proofErr w:type="spellStart"/>
      <w:r w:rsidRPr="008C7F73">
        <w:rPr>
          <w:sz w:val="24"/>
          <w:szCs w:val="24"/>
        </w:rPr>
        <w:t>præovulatoriske</w:t>
      </w:r>
      <w:proofErr w:type="spellEnd"/>
      <w:r w:rsidRPr="008C7F73">
        <w:rPr>
          <w:sz w:val="24"/>
          <w:szCs w:val="24"/>
        </w:rPr>
        <w:t xml:space="preserve"> fase, hvor der er størst sandsynlighed for befrugtning. Det kan også forårsage </w:t>
      </w:r>
      <w:proofErr w:type="spellStart"/>
      <w:r w:rsidRPr="008C7F73">
        <w:rPr>
          <w:sz w:val="24"/>
          <w:szCs w:val="24"/>
        </w:rPr>
        <w:t>endometrieforandringer</w:t>
      </w:r>
      <w:proofErr w:type="spellEnd"/>
      <w:r w:rsidRPr="008C7F73">
        <w:rPr>
          <w:sz w:val="24"/>
          <w:szCs w:val="24"/>
        </w:rPr>
        <w:t xml:space="preserve">, der vanskeliggør implantation. </w:t>
      </w:r>
      <w:proofErr w:type="spellStart"/>
      <w:r w:rsidRPr="008C7F73">
        <w:rPr>
          <w:sz w:val="24"/>
          <w:szCs w:val="24"/>
        </w:rPr>
        <w:t>Levodonna</w:t>
      </w:r>
      <w:proofErr w:type="spellEnd"/>
      <w:r w:rsidRPr="008C7F73">
        <w:rPr>
          <w:sz w:val="24"/>
          <w:szCs w:val="24"/>
        </w:rPr>
        <w:t xml:space="preserve"> virker ikke, når implantationsprocessen er startet.</w:t>
      </w:r>
    </w:p>
    <w:p w:rsidR="00A7499F" w:rsidRPr="008C7F73" w:rsidRDefault="00A7499F" w:rsidP="00761C43">
      <w:pPr>
        <w:ind w:left="851"/>
        <w:rPr>
          <w:sz w:val="24"/>
          <w:szCs w:val="24"/>
          <w:u w:val="single"/>
        </w:rPr>
      </w:pPr>
    </w:p>
    <w:p w:rsidR="00A7499F" w:rsidRPr="008C7F73" w:rsidRDefault="00A7499F" w:rsidP="00761C43">
      <w:pPr>
        <w:ind w:left="851"/>
        <w:rPr>
          <w:sz w:val="24"/>
          <w:szCs w:val="24"/>
          <w:u w:val="single"/>
        </w:rPr>
      </w:pPr>
      <w:r w:rsidRPr="008C7F73">
        <w:rPr>
          <w:sz w:val="24"/>
          <w:szCs w:val="24"/>
          <w:u w:val="single"/>
        </w:rPr>
        <w:t>Klinisk virkning og sikkerhed</w:t>
      </w:r>
    </w:p>
    <w:p w:rsidR="00A7499F" w:rsidRPr="008C7F73" w:rsidRDefault="00A7499F" w:rsidP="00761C43">
      <w:pPr>
        <w:ind w:left="851"/>
        <w:rPr>
          <w:sz w:val="24"/>
          <w:szCs w:val="24"/>
        </w:rPr>
      </w:pPr>
      <w:r w:rsidRPr="008C7F73">
        <w:rPr>
          <w:sz w:val="24"/>
          <w:szCs w:val="24"/>
        </w:rPr>
        <w:t xml:space="preserve">Resultaterne fra et </w:t>
      </w:r>
      <w:proofErr w:type="spellStart"/>
      <w:r w:rsidRPr="008C7F73">
        <w:rPr>
          <w:sz w:val="24"/>
          <w:szCs w:val="24"/>
        </w:rPr>
        <w:t>randomiseret</w:t>
      </w:r>
      <w:proofErr w:type="spellEnd"/>
      <w:r w:rsidRPr="008C7F73">
        <w:rPr>
          <w:sz w:val="24"/>
          <w:szCs w:val="24"/>
        </w:rPr>
        <w:t xml:space="preserve">, dobbeltblindet klinisk studie udført i 2001 (Lancet 2002; 360: 1803-1810) viste, at en enkelt dosis af </w:t>
      </w:r>
      <w:proofErr w:type="spellStart"/>
      <w:r w:rsidRPr="008C7F73">
        <w:rPr>
          <w:sz w:val="24"/>
          <w:szCs w:val="24"/>
        </w:rPr>
        <w:t>Levodonna</w:t>
      </w:r>
      <w:proofErr w:type="spellEnd"/>
      <w:r w:rsidRPr="008C7F73">
        <w:rPr>
          <w:sz w:val="24"/>
          <w:szCs w:val="24"/>
        </w:rPr>
        <w:t xml:space="preserve"> 1,5 mg (taget senest 72 timer efter ubeskyttet samleje) forebyggede 84 % af forventede graviditeter (sammenlignet med 79 % ved indtagelse af to tabletter på 0,75mg med 12 timers mellemrum). </w:t>
      </w:r>
    </w:p>
    <w:p w:rsidR="00A7499F" w:rsidRPr="008C7F73" w:rsidRDefault="00A7499F" w:rsidP="00761C43">
      <w:pPr>
        <w:ind w:left="851"/>
        <w:rPr>
          <w:sz w:val="24"/>
          <w:szCs w:val="24"/>
        </w:rPr>
      </w:pPr>
    </w:p>
    <w:p w:rsidR="00A7499F" w:rsidRPr="008C7F73" w:rsidRDefault="00A7499F" w:rsidP="00761C43">
      <w:pPr>
        <w:ind w:left="851"/>
        <w:rPr>
          <w:sz w:val="24"/>
          <w:szCs w:val="24"/>
        </w:rPr>
      </w:pPr>
      <w:r w:rsidRPr="008C7F73">
        <w:rPr>
          <w:sz w:val="24"/>
          <w:szCs w:val="24"/>
        </w:rPr>
        <w:t xml:space="preserve">Ved brug af det anbefalede doseringsregime forventes </w:t>
      </w:r>
      <w:proofErr w:type="spellStart"/>
      <w:r w:rsidRPr="008C7F73">
        <w:rPr>
          <w:sz w:val="24"/>
          <w:szCs w:val="24"/>
        </w:rPr>
        <w:t>levonorgestrel</w:t>
      </w:r>
      <w:proofErr w:type="spellEnd"/>
      <w:r w:rsidRPr="008C7F73">
        <w:rPr>
          <w:sz w:val="24"/>
          <w:szCs w:val="24"/>
        </w:rPr>
        <w:t xml:space="preserve"> ikke at inducere signifikante ændringer i blodstørkningsparametrene eller i </w:t>
      </w:r>
      <w:proofErr w:type="spellStart"/>
      <w:r w:rsidRPr="008C7F73">
        <w:rPr>
          <w:sz w:val="24"/>
          <w:szCs w:val="24"/>
        </w:rPr>
        <w:t>lipid</w:t>
      </w:r>
      <w:proofErr w:type="spellEnd"/>
      <w:r w:rsidRPr="008C7F73">
        <w:rPr>
          <w:sz w:val="24"/>
          <w:szCs w:val="24"/>
        </w:rPr>
        <w:t>- og kulhydrat</w:t>
      </w:r>
      <w:r w:rsidR="008C7F73">
        <w:rPr>
          <w:sz w:val="24"/>
          <w:szCs w:val="24"/>
        </w:rPr>
        <w:softHyphen/>
      </w:r>
      <w:r w:rsidRPr="008C7F73">
        <w:rPr>
          <w:sz w:val="24"/>
          <w:szCs w:val="24"/>
        </w:rPr>
        <w:t xml:space="preserve">metabolismen. </w:t>
      </w:r>
    </w:p>
    <w:p w:rsidR="00175272" w:rsidRDefault="00175272" w:rsidP="00175272">
      <w:pPr>
        <w:ind w:left="851"/>
        <w:rPr>
          <w:sz w:val="24"/>
          <w:szCs w:val="24"/>
        </w:rPr>
      </w:pPr>
    </w:p>
    <w:p w:rsidR="00175272" w:rsidRPr="00D02903" w:rsidRDefault="00175272" w:rsidP="00175272">
      <w:pPr>
        <w:ind w:left="851"/>
        <w:rPr>
          <w:sz w:val="24"/>
          <w:szCs w:val="24"/>
        </w:rPr>
      </w:pPr>
      <w:r w:rsidRPr="00D02903">
        <w:rPr>
          <w:sz w:val="24"/>
          <w:szCs w:val="24"/>
        </w:rPr>
        <w:t xml:space="preserve">Der er begrænsede og </w:t>
      </w:r>
      <w:proofErr w:type="spellStart"/>
      <w:r w:rsidRPr="00D02903">
        <w:rPr>
          <w:sz w:val="24"/>
          <w:szCs w:val="24"/>
        </w:rPr>
        <w:t>inkonklusive</w:t>
      </w:r>
      <w:proofErr w:type="spellEnd"/>
      <w:r w:rsidRPr="00D02903">
        <w:rPr>
          <w:sz w:val="24"/>
          <w:szCs w:val="24"/>
        </w:rPr>
        <w:t xml:space="preserve"> data vedrørende virkningen af høj kropsvægt/højt BMI på den </w:t>
      </w:r>
      <w:proofErr w:type="spellStart"/>
      <w:r w:rsidRPr="00D02903">
        <w:rPr>
          <w:sz w:val="24"/>
          <w:szCs w:val="24"/>
        </w:rPr>
        <w:t>kontraceptive</w:t>
      </w:r>
      <w:proofErr w:type="spellEnd"/>
      <w:r w:rsidRPr="00D02903">
        <w:rPr>
          <w:sz w:val="24"/>
          <w:szCs w:val="24"/>
        </w:rPr>
        <w:t xml:space="preserve"> effekt. I tre WHO-studier blev der ikke observeret tendens til reduceret effekt i forbindelse med øget kropsvægt/BMI (tabel 1), hvorimod to andre studier (</w:t>
      </w:r>
      <w:proofErr w:type="spellStart"/>
      <w:r w:rsidRPr="00D02903">
        <w:rPr>
          <w:sz w:val="24"/>
          <w:szCs w:val="24"/>
        </w:rPr>
        <w:t>Creinin</w:t>
      </w:r>
      <w:proofErr w:type="spellEnd"/>
      <w:r w:rsidRPr="00D02903">
        <w:rPr>
          <w:sz w:val="24"/>
          <w:szCs w:val="24"/>
        </w:rPr>
        <w:t xml:space="preserve"> et al., 2006 og </w:t>
      </w:r>
      <w:proofErr w:type="spellStart"/>
      <w:r w:rsidRPr="00D02903">
        <w:rPr>
          <w:sz w:val="24"/>
          <w:szCs w:val="24"/>
        </w:rPr>
        <w:t>Glasier</w:t>
      </w:r>
      <w:proofErr w:type="spellEnd"/>
      <w:r w:rsidRPr="00D02903">
        <w:rPr>
          <w:sz w:val="24"/>
          <w:szCs w:val="24"/>
        </w:rPr>
        <w:t xml:space="preserve"> et al., 2010) viste en reduceret effekt ved stigende kropsvægt eller BMI (tabel 2). Begge metaanalyser udelukkede indtagelse senere end 72 timer efter et ubeskyttet samleje (dvs. </w:t>
      </w:r>
      <w:proofErr w:type="spellStart"/>
      <w:r w:rsidRPr="00D02903">
        <w:rPr>
          <w:sz w:val="24"/>
          <w:szCs w:val="24"/>
        </w:rPr>
        <w:t>off</w:t>
      </w:r>
      <w:proofErr w:type="spellEnd"/>
      <w:r w:rsidRPr="00D02903">
        <w:rPr>
          <w:sz w:val="24"/>
          <w:szCs w:val="24"/>
        </w:rPr>
        <w:t xml:space="preserve">-label-anvendelse af </w:t>
      </w:r>
      <w:proofErr w:type="spellStart"/>
      <w:r w:rsidRPr="00D02903">
        <w:rPr>
          <w:sz w:val="24"/>
          <w:szCs w:val="24"/>
        </w:rPr>
        <w:t>levonorgestrel</w:t>
      </w:r>
      <w:proofErr w:type="spellEnd"/>
      <w:r w:rsidRPr="00D02903">
        <w:rPr>
          <w:sz w:val="24"/>
          <w:szCs w:val="24"/>
        </w:rPr>
        <w:t xml:space="preserve">) og kvinder, som havde yderligere ubeskyttede samlejer. </w:t>
      </w:r>
    </w:p>
    <w:p w:rsidR="00175272" w:rsidRDefault="00175272" w:rsidP="00175272">
      <w:pPr>
        <w:ind w:left="851"/>
        <w:rPr>
          <w:sz w:val="24"/>
          <w:szCs w:val="24"/>
        </w:rPr>
      </w:pPr>
    </w:p>
    <w:p w:rsidR="00175272" w:rsidRDefault="00175272" w:rsidP="005B4414">
      <w:pPr>
        <w:ind w:left="851"/>
        <w:rPr>
          <w:sz w:val="24"/>
          <w:szCs w:val="24"/>
        </w:rPr>
      </w:pPr>
      <w:r w:rsidRPr="00D02903">
        <w:rPr>
          <w:sz w:val="24"/>
          <w:szCs w:val="24"/>
        </w:rPr>
        <w:t xml:space="preserve">Tabel 1: Metaanalyse af tre WHO-studier (von </w:t>
      </w:r>
      <w:proofErr w:type="spellStart"/>
      <w:r w:rsidRPr="00D02903">
        <w:rPr>
          <w:sz w:val="24"/>
          <w:szCs w:val="24"/>
        </w:rPr>
        <w:t>Hertzen</w:t>
      </w:r>
      <w:proofErr w:type="spellEnd"/>
      <w:r w:rsidRPr="00D02903">
        <w:rPr>
          <w:sz w:val="24"/>
          <w:szCs w:val="24"/>
        </w:rPr>
        <w:t xml:space="preserve"> et al., 1998 og 2002; Dada et al., 2010)</w:t>
      </w:r>
    </w:p>
    <w:p w:rsidR="00175272" w:rsidRDefault="00175272" w:rsidP="00175272">
      <w:pPr>
        <w:rPr>
          <w:sz w:val="22"/>
          <w:szCs w:val="22"/>
          <w:lang w:val="sv-SE"/>
        </w:rPr>
      </w:pPr>
    </w:p>
    <w:tbl>
      <w:tblPr>
        <w:tblW w:w="0" w:type="auto"/>
        <w:tblInd w:w="1001" w:type="dxa"/>
        <w:tblCellMar>
          <w:left w:w="60" w:type="dxa"/>
          <w:right w:w="60" w:type="dxa"/>
        </w:tblCellMar>
        <w:tblLook w:val="04A0" w:firstRow="1" w:lastRow="0" w:firstColumn="1" w:lastColumn="0" w:noHBand="0" w:noVBand="1"/>
      </w:tblPr>
      <w:tblGrid>
        <w:gridCol w:w="2361"/>
        <w:gridCol w:w="1267"/>
        <w:gridCol w:w="1427"/>
        <w:gridCol w:w="1427"/>
        <w:gridCol w:w="1427"/>
      </w:tblGrid>
      <w:tr w:rsidR="005B4414" w:rsidTr="005B4414">
        <w:trPr>
          <w:cantSplit/>
          <w:tblHeader/>
        </w:trPr>
        <w:tc>
          <w:tcPr>
            <w:tcW w:w="2160" w:type="dxa"/>
            <w:tcBorders>
              <w:top w:val="single" w:sz="4" w:space="0" w:color="auto"/>
              <w:left w:val="single" w:sz="6" w:space="0" w:color="000000"/>
              <w:bottom w:val="single" w:sz="2" w:space="0" w:color="000000"/>
              <w:right w:val="nil"/>
            </w:tcBorders>
            <w:shd w:val="clear" w:color="auto" w:fill="BBBBBB"/>
            <w:vAlign w:val="center"/>
            <w:hideMark/>
          </w:tcPr>
          <w:p w:rsidR="005B4414" w:rsidRDefault="005B4414">
            <w:pPr>
              <w:jc w:val="both"/>
              <w:rPr>
                <w:b/>
                <w:bCs/>
                <w:sz w:val="24"/>
              </w:rPr>
            </w:pPr>
            <w:r>
              <w:rPr>
                <w:b/>
                <w:bCs/>
                <w:sz w:val="24"/>
              </w:rPr>
              <w:t>BMI (kg/m</w:t>
            </w:r>
            <w:r>
              <w:rPr>
                <w:b/>
                <w:bCs/>
                <w:sz w:val="24"/>
                <w:vertAlign w:val="superscript"/>
              </w:rPr>
              <w:t>2</w:t>
            </w:r>
            <w:r>
              <w:rPr>
                <w:b/>
                <w:bCs/>
                <w:sz w:val="24"/>
              </w:rPr>
              <w:t>)</w:t>
            </w:r>
          </w:p>
        </w:tc>
        <w:tc>
          <w:tcPr>
            <w:tcW w:w="1212" w:type="dxa"/>
            <w:tcBorders>
              <w:top w:val="single" w:sz="4" w:space="0" w:color="auto"/>
              <w:left w:val="single" w:sz="2" w:space="0" w:color="000000"/>
              <w:bottom w:val="single" w:sz="2" w:space="0" w:color="000000"/>
              <w:right w:val="nil"/>
            </w:tcBorders>
            <w:shd w:val="clear" w:color="auto" w:fill="BBBBBB"/>
            <w:vAlign w:val="center"/>
            <w:hideMark/>
          </w:tcPr>
          <w:p w:rsidR="005B4414" w:rsidRDefault="005B4414">
            <w:pPr>
              <w:jc w:val="both"/>
              <w:rPr>
                <w:b/>
                <w:bCs/>
                <w:sz w:val="24"/>
              </w:rPr>
            </w:pPr>
            <w:r>
              <w:rPr>
                <w:b/>
                <w:bCs/>
                <w:sz w:val="24"/>
              </w:rPr>
              <w:t>Undervægt</w:t>
            </w:r>
          </w:p>
          <w:p w:rsidR="005B4414" w:rsidRDefault="005B4414">
            <w:pPr>
              <w:jc w:val="both"/>
              <w:rPr>
                <w:b/>
                <w:bCs/>
                <w:sz w:val="24"/>
              </w:rPr>
            </w:pPr>
            <w:r>
              <w:rPr>
                <w:b/>
                <w:bCs/>
                <w:sz w:val="24"/>
              </w:rPr>
              <w:t>0-18,5</w:t>
            </w:r>
          </w:p>
        </w:tc>
        <w:tc>
          <w:tcPr>
            <w:tcW w:w="1427" w:type="dxa"/>
            <w:tcBorders>
              <w:top w:val="single" w:sz="4" w:space="0" w:color="auto"/>
              <w:left w:val="single" w:sz="2" w:space="0" w:color="000000"/>
              <w:bottom w:val="single" w:sz="2" w:space="0" w:color="000000"/>
              <w:right w:val="nil"/>
            </w:tcBorders>
            <w:shd w:val="clear" w:color="auto" w:fill="BBBBBB"/>
            <w:vAlign w:val="center"/>
            <w:hideMark/>
          </w:tcPr>
          <w:p w:rsidR="005B4414" w:rsidRDefault="005B4414">
            <w:pPr>
              <w:jc w:val="both"/>
              <w:rPr>
                <w:b/>
                <w:bCs/>
                <w:sz w:val="24"/>
              </w:rPr>
            </w:pPr>
            <w:r>
              <w:rPr>
                <w:b/>
                <w:bCs/>
                <w:sz w:val="24"/>
              </w:rPr>
              <w:t>Normal</w:t>
            </w:r>
          </w:p>
          <w:p w:rsidR="005B4414" w:rsidRDefault="005B4414">
            <w:pPr>
              <w:jc w:val="both"/>
              <w:rPr>
                <w:b/>
                <w:bCs/>
                <w:sz w:val="24"/>
              </w:rPr>
            </w:pPr>
            <w:r>
              <w:rPr>
                <w:b/>
                <w:bCs/>
                <w:sz w:val="24"/>
              </w:rPr>
              <w:t>18,5-25</w:t>
            </w:r>
          </w:p>
        </w:tc>
        <w:tc>
          <w:tcPr>
            <w:tcW w:w="1427" w:type="dxa"/>
            <w:tcBorders>
              <w:top w:val="single" w:sz="4" w:space="0" w:color="auto"/>
              <w:left w:val="single" w:sz="2" w:space="0" w:color="000000"/>
              <w:bottom w:val="single" w:sz="2" w:space="0" w:color="000000"/>
              <w:right w:val="nil"/>
            </w:tcBorders>
            <w:shd w:val="clear" w:color="auto" w:fill="BBBBBB"/>
            <w:vAlign w:val="center"/>
            <w:hideMark/>
          </w:tcPr>
          <w:p w:rsidR="005B4414" w:rsidRDefault="005B4414">
            <w:pPr>
              <w:jc w:val="both"/>
              <w:rPr>
                <w:b/>
                <w:bCs/>
                <w:sz w:val="24"/>
              </w:rPr>
            </w:pPr>
            <w:r>
              <w:rPr>
                <w:b/>
                <w:bCs/>
                <w:sz w:val="24"/>
              </w:rPr>
              <w:t>Overvægt</w:t>
            </w:r>
          </w:p>
          <w:p w:rsidR="005B4414" w:rsidRDefault="005B4414">
            <w:pPr>
              <w:jc w:val="both"/>
              <w:rPr>
                <w:b/>
                <w:bCs/>
                <w:sz w:val="24"/>
              </w:rPr>
            </w:pPr>
            <w:r>
              <w:rPr>
                <w:b/>
                <w:bCs/>
                <w:sz w:val="24"/>
              </w:rPr>
              <w:t>25-30</w:t>
            </w:r>
          </w:p>
        </w:tc>
        <w:tc>
          <w:tcPr>
            <w:tcW w:w="1427" w:type="dxa"/>
            <w:tcBorders>
              <w:top w:val="single" w:sz="4" w:space="0" w:color="auto"/>
              <w:left w:val="single" w:sz="2" w:space="0" w:color="000000"/>
              <w:bottom w:val="single" w:sz="2" w:space="0" w:color="000000"/>
              <w:right w:val="single" w:sz="4" w:space="0" w:color="auto"/>
            </w:tcBorders>
            <w:shd w:val="clear" w:color="auto" w:fill="BBBBBB"/>
            <w:vAlign w:val="center"/>
            <w:hideMark/>
          </w:tcPr>
          <w:p w:rsidR="005B4414" w:rsidRDefault="005B4414">
            <w:pPr>
              <w:jc w:val="both"/>
              <w:rPr>
                <w:b/>
                <w:bCs/>
                <w:sz w:val="24"/>
              </w:rPr>
            </w:pPr>
            <w:r>
              <w:rPr>
                <w:b/>
                <w:bCs/>
                <w:sz w:val="24"/>
              </w:rPr>
              <w:t>Fedme</w:t>
            </w:r>
          </w:p>
          <w:p w:rsidR="005B4414" w:rsidRDefault="005B4414">
            <w:pPr>
              <w:jc w:val="both"/>
              <w:rPr>
                <w:b/>
                <w:bCs/>
                <w:sz w:val="24"/>
              </w:rPr>
            </w:pPr>
            <w:r>
              <w:rPr>
                <w:b/>
                <w:bCs/>
                <w:sz w:val="24"/>
              </w:rPr>
              <w:t>≥ 30</w:t>
            </w:r>
          </w:p>
        </w:tc>
      </w:tr>
      <w:tr w:rsidR="005B4414" w:rsidTr="005B4414">
        <w:trPr>
          <w:cantSplit/>
        </w:trPr>
        <w:tc>
          <w:tcPr>
            <w:tcW w:w="2160" w:type="dxa"/>
            <w:tcBorders>
              <w:top w:val="nil"/>
              <w:left w:val="single" w:sz="6" w:space="0" w:color="000000"/>
              <w:bottom w:val="single" w:sz="2" w:space="0" w:color="000000"/>
              <w:right w:val="nil"/>
            </w:tcBorders>
            <w:shd w:val="clear" w:color="auto" w:fill="BBBBBB"/>
            <w:vAlign w:val="center"/>
            <w:hideMark/>
          </w:tcPr>
          <w:p w:rsidR="005B4414" w:rsidRDefault="005B4414">
            <w:pPr>
              <w:jc w:val="both"/>
              <w:rPr>
                <w:b/>
                <w:bCs/>
                <w:sz w:val="24"/>
              </w:rPr>
            </w:pPr>
            <w:r>
              <w:rPr>
                <w:b/>
                <w:bCs/>
                <w:sz w:val="24"/>
              </w:rPr>
              <w:t>N i alt</w:t>
            </w:r>
          </w:p>
        </w:tc>
        <w:tc>
          <w:tcPr>
            <w:tcW w:w="1212" w:type="dxa"/>
            <w:tcBorders>
              <w:top w:val="nil"/>
              <w:left w:val="single" w:sz="2" w:space="0" w:color="000000"/>
              <w:bottom w:val="single" w:sz="2" w:space="0" w:color="000000"/>
              <w:right w:val="nil"/>
            </w:tcBorders>
            <w:shd w:val="clear" w:color="auto" w:fill="FFFFFF"/>
            <w:vAlign w:val="center"/>
            <w:hideMark/>
          </w:tcPr>
          <w:p w:rsidR="005B4414" w:rsidRDefault="005B4414">
            <w:pPr>
              <w:jc w:val="both"/>
              <w:rPr>
                <w:sz w:val="24"/>
              </w:rPr>
            </w:pPr>
            <w:r>
              <w:rPr>
                <w:sz w:val="24"/>
              </w:rPr>
              <w:t>600</w:t>
            </w:r>
          </w:p>
        </w:tc>
        <w:tc>
          <w:tcPr>
            <w:tcW w:w="1427" w:type="dxa"/>
            <w:tcBorders>
              <w:top w:val="nil"/>
              <w:left w:val="single" w:sz="2" w:space="0" w:color="000000"/>
              <w:bottom w:val="single" w:sz="2" w:space="0" w:color="000000"/>
              <w:right w:val="nil"/>
            </w:tcBorders>
            <w:shd w:val="clear" w:color="auto" w:fill="FFFFFF"/>
            <w:vAlign w:val="center"/>
            <w:hideMark/>
          </w:tcPr>
          <w:p w:rsidR="005B4414" w:rsidRDefault="005B4414">
            <w:pPr>
              <w:jc w:val="both"/>
              <w:rPr>
                <w:sz w:val="24"/>
              </w:rPr>
            </w:pPr>
            <w:r>
              <w:rPr>
                <w:sz w:val="24"/>
              </w:rPr>
              <w:t>3952</w:t>
            </w:r>
          </w:p>
        </w:tc>
        <w:tc>
          <w:tcPr>
            <w:tcW w:w="1427" w:type="dxa"/>
            <w:tcBorders>
              <w:top w:val="nil"/>
              <w:left w:val="single" w:sz="2" w:space="0" w:color="000000"/>
              <w:bottom w:val="single" w:sz="2" w:space="0" w:color="000000"/>
              <w:right w:val="nil"/>
            </w:tcBorders>
            <w:shd w:val="clear" w:color="auto" w:fill="FFFFFF"/>
            <w:vAlign w:val="center"/>
            <w:hideMark/>
          </w:tcPr>
          <w:p w:rsidR="005B4414" w:rsidRDefault="005B4414">
            <w:pPr>
              <w:jc w:val="both"/>
              <w:rPr>
                <w:sz w:val="24"/>
              </w:rPr>
            </w:pPr>
            <w:r>
              <w:rPr>
                <w:sz w:val="24"/>
              </w:rPr>
              <w:t>1051</w:t>
            </w:r>
          </w:p>
        </w:tc>
        <w:tc>
          <w:tcPr>
            <w:tcW w:w="1427" w:type="dxa"/>
            <w:tcBorders>
              <w:top w:val="single" w:sz="2" w:space="0" w:color="000000"/>
              <w:left w:val="single" w:sz="2" w:space="0" w:color="000000"/>
              <w:bottom w:val="single" w:sz="2" w:space="0" w:color="000000"/>
              <w:right w:val="single" w:sz="4" w:space="0" w:color="auto"/>
            </w:tcBorders>
            <w:shd w:val="clear" w:color="auto" w:fill="FFFFFF"/>
            <w:vAlign w:val="center"/>
            <w:hideMark/>
          </w:tcPr>
          <w:p w:rsidR="005B4414" w:rsidRDefault="005B4414">
            <w:pPr>
              <w:jc w:val="both"/>
              <w:rPr>
                <w:sz w:val="24"/>
              </w:rPr>
            </w:pPr>
            <w:r>
              <w:rPr>
                <w:sz w:val="24"/>
              </w:rPr>
              <w:t>256</w:t>
            </w:r>
          </w:p>
        </w:tc>
      </w:tr>
      <w:tr w:rsidR="005B4414" w:rsidTr="005B4414">
        <w:trPr>
          <w:cantSplit/>
        </w:trPr>
        <w:tc>
          <w:tcPr>
            <w:tcW w:w="2160" w:type="dxa"/>
            <w:tcBorders>
              <w:top w:val="nil"/>
              <w:left w:val="single" w:sz="6" w:space="0" w:color="000000"/>
              <w:bottom w:val="single" w:sz="2" w:space="0" w:color="000000"/>
              <w:right w:val="nil"/>
            </w:tcBorders>
            <w:shd w:val="clear" w:color="auto" w:fill="BBBBBB"/>
            <w:vAlign w:val="center"/>
            <w:hideMark/>
          </w:tcPr>
          <w:p w:rsidR="005B4414" w:rsidRDefault="005B4414">
            <w:pPr>
              <w:jc w:val="both"/>
              <w:rPr>
                <w:b/>
                <w:bCs/>
                <w:sz w:val="24"/>
              </w:rPr>
            </w:pPr>
            <w:r>
              <w:rPr>
                <w:b/>
                <w:bCs/>
                <w:sz w:val="24"/>
              </w:rPr>
              <w:t>N graviditeter</w:t>
            </w:r>
          </w:p>
        </w:tc>
        <w:tc>
          <w:tcPr>
            <w:tcW w:w="1212" w:type="dxa"/>
            <w:tcBorders>
              <w:top w:val="nil"/>
              <w:left w:val="single" w:sz="2" w:space="0" w:color="000000"/>
              <w:bottom w:val="single" w:sz="2" w:space="0" w:color="000000"/>
              <w:right w:val="nil"/>
            </w:tcBorders>
            <w:shd w:val="clear" w:color="auto" w:fill="FFFFFF"/>
            <w:vAlign w:val="center"/>
            <w:hideMark/>
          </w:tcPr>
          <w:p w:rsidR="005B4414" w:rsidRDefault="005B4414">
            <w:pPr>
              <w:jc w:val="both"/>
              <w:rPr>
                <w:sz w:val="24"/>
              </w:rPr>
            </w:pPr>
            <w:r>
              <w:rPr>
                <w:sz w:val="24"/>
              </w:rPr>
              <w:t>11</w:t>
            </w:r>
          </w:p>
        </w:tc>
        <w:tc>
          <w:tcPr>
            <w:tcW w:w="1427" w:type="dxa"/>
            <w:tcBorders>
              <w:top w:val="nil"/>
              <w:left w:val="single" w:sz="2" w:space="0" w:color="000000"/>
              <w:bottom w:val="single" w:sz="2" w:space="0" w:color="000000"/>
              <w:right w:val="nil"/>
            </w:tcBorders>
            <w:shd w:val="clear" w:color="auto" w:fill="FFFFFF"/>
            <w:vAlign w:val="center"/>
            <w:hideMark/>
          </w:tcPr>
          <w:p w:rsidR="005B4414" w:rsidRDefault="005B4414">
            <w:pPr>
              <w:jc w:val="both"/>
              <w:rPr>
                <w:sz w:val="24"/>
              </w:rPr>
            </w:pPr>
            <w:r>
              <w:rPr>
                <w:sz w:val="24"/>
              </w:rPr>
              <w:t>39</w:t>
            </w:r>
          </w:p>
        </w:tc>
        <w:tc>
          <w:tcPr>
            <w:tcW w:w="1427" w:type="dxa"/>
            <w:tcBorders>
              <w:top w:val="nil"/>
              <w:left w:val="single" w:sz="2" w:space="0" w:color="000000"/>
              <w:bottom w:val="single" w:sz="2" w:space="0" w:color="000000"/>
              <w:right w:val="nil"/>
            </w:tcBorders>
            <w:shd w:val="clear" w:color="auto" w:fill="FFFFFF"/>
            <w:vAlign w:val="center"/>
            <w:hideMark/>
          </w:tcPr>
          <w:p w:rsidR="005B4414" w:rsidRDefault="005B4414">
            <w:pPr>
              <w:jc w:val="both"/>
              <w:rPr>
                <w:sz w:val="24"/>
              </w:rPr>
            </w:pPr>
            <w:r>
              <w:rPr>
                <w:sz w:val="24"/>
              </w:rPr>
              <w:t>6</w:t>
            </w:r>
          </w:p>
        </w:tc>
        <w:tc>
          <w:tcPr>
            <w:tcW w:w="1427" w:type="dxa"/>
            <w:tcBorders>
              <w:top w:val="single" w:sz="2" w:space="0" w:color="000000"/>
              <w:left w:val="single" w:sz="2" w:space="0" w:color="000000"/>
              <w:bottom w:val="single" w:sz="2" w:space="0" w:color="000000"/>
              <w:right w:val="single" w:sz="4" w:space="0" w:color="auto"/>
            </w:tcBorders>
            <w:shd w:val="clear" w:color="auto" w:fill="FFFFFF"/>
            <w:vAlign w:val="center"/>
            <w:hideMark/>
          </w:tcPr>
          <w:p w:rsidR="005B4414" w:rsidRDefault="005B4414">
            <w:pPr>
              <w:jc w:val="both"/>
              <w:rPr>
                <w:sz w:val="24"/>
              </w:rPr>
            </w:pPr>
            <w:r>
              <w:rPr>
                <w:sz w:val="24"/>
              </w:rPr>
              <w:t>3</w:t>
            </w:r>
          </w:p>
        </w:tc>
      </w:tr>
      <w:tr w:rsidR="005B4414" w:rsidTr="005B4414">
        <w:trPr>
          <w:cantSplit/>
        </w:trPr>
        <w:tc>
          <w:tcPr>
            <w:tcW w:w="2160" w:type="dxa"/>
            <w:tcBorders>
              <w:top w:val="nil"/>
              <w:left w:val="single" w:sz="6" w:space="0" w:color="000000"/>
              <w:bottom w:val="single" w:sz="2" w:space="0" w:color="000000"/>
              <w:right w:val="nil"/>
            </w:tcBorders>
            <w:shd w:val="clear" w:color="auto" w:fill="BBBBBB"/>
            <w:vAlign w:val="center"/>
            <w:hideMark/>
          </w:tcPr>
          <w:p w:rsidR="005B4414" w:rsidRDefault="005B4414">
            <w:pPr>
              <w:jc w:val="both"/>
              <w:rPr>
                <w:b/>
                <w:bCs/>
                <w:sz w:val="24"/>
              </w:rPr>
            </w:pPr>
            <w:r>
              <w:rPr>
                <w:b/>
                <w:bCs/>
                <w:sz w:val="24"/>
              </w:rPr>
              <w:t>Graviditetshyppighed</w:t>
            </w:r>
          </w:p>
        </w:tc>
        <w:tc>
          <w:tcPr>
            <w:tcW w:w="1212" w:type="dxa"/>
            <w:tcBorders>
              <w:top w:val="nil"/>
              <w:left w:val="single" w:sz="2" w:space="0" w:color="000000"/>
              <w:bottom w:val="single" w:sz="2" w:space="0" w:color="000000"/>
              <w:right w:val="nil"/>
            </w:tcBorders>
            <w:shd w:val="clear" w:color="auto" w:fill="FFFFFF"/>
            <w:vAlign w:val="center"/>
            <w:hideMark/>
          </w:tcPr>
          <w:p w:rsidR="005B4414" w:rsidRDefault="005B4414">
            <w:pPr>
              <w:jc w:val="both"/>
              <w:rPr>
                <w:sz w:val="24"/>
              </w:rPr>
            </w:pPr>
            <w:r>
              <w:rPr>
                <w:sz w:val="24"/>
              </w:rPr>
              <w:t>1,83 %</w:t>
            </w:r>
          </w:p>
        </w:tc>
        <w:tc>
          <w:tcPr>
            <w:tcW w:w="1427" w:type="dxa"/>
            <w:tcBorders>
              <w:top w:val="nil"/>
              <w:left w:val="single" w:sz="2" w:space="0" w:color="000000"/>
              <w:bottom w:val="single" w:sz="2" w:space="0" w:color="000000"/>
              <w:right w:val="nil"/>
            </w:tcBorders>
            <w:shd w:val="clear" w:color="auto" w:fill="FFFFFF"/>
            <w:vAlign w:val="center"/>
            <w:hideMark/>
          </w:tcPr>
          <w:p w:rsidR="005B4414" w:rsidRDefault="005B4414">
            <w:pPr>
              <w:jc w:val="both"/>
              <w:rPr>
                <w:sz w:val="24"/>
              </w:rPr>
            </w:pPr>
            <w:r>
              <w:rPr>
                <w:sz w:val="24"/>
              </w:rPr>
              <w:t>0,99 %</w:t>
            </w:r>
          </w:p>
        </w:tc>
        <w:tc>
          <w:tcPr>
            <w:tcW w:w="1427" w:type="dxa"/>
            <w:tcBorders>
              <w:top w:val="nil"/>
              <w:left w:val="single" w:sz="2" w:space="0" w:color="000000"/>
              <w:bottom w:val="single" w:sz="2" w:space="0" w:color="000000"/>
              <w:right w:val="nil"/>
            </w:tcBorders>
            <w:shd w:val="clear" w:color="auto" w:fill="FFFFFF"/>
            <w:vAlign w:val="center"/>
            <w:hideMark/>
          </w:tcPr>
          <w:p w:rsidR="005B4414" w:rsidRDefault="005B4414">
            <w:pPr>
              <w:jc w:val="both"/>
              <w:rPr>
                <w:sz w:val="24"/>
              </w:rPr>
            </w:pPr>
            <w:r>
              <w:rPr>
                <w:sz w:val="24"/>
              </w:rPr>
              <w:t>0,57 %</w:t>
            </w:r>
          </w:p>
        </w:tc>
        <w:tc>
          <w:tcPr>
            <w:tcW w:w="1427" w:type="dxa"/>
            <w:tcBorders>
              <w:top w:val="single" w:sz="2" w:space="0" w:color="000000"/>
              <w:left w:val="single" w:sz="2" w:space="0" w:color="000000"/>
              <w:bottom w:val="single" w:sz="2" w:space="0" w:color="000000"/>
              <w:right w:val="single" w:sz="4" w:space="0" w:color="auto"/>
            </w:tcBorders>
            <w:shd w:val="clear" w:color="auto" w:fill="FFFFFF"/>
            <w:vAlign w:val="center"/>
            <w:hideMark/>
          </w:tcPr>
          <w:p w:rsidR="005B4414" w:rsidRDefault="005B4414">
            <w:pPr>
              <w:jc w:val="both"/>
              <w:rPr>
                <w:sz w:val="24"/>
              </w:rPr>
            </w:pPr>
            <w:r>
              <w:rPr>
                <w:sz w:val="24"/>
              </w:rPr>
              <w:t>1,17 %</w:t>
            </w:r>
          </w:p>
        </w:tc>
      </w:tr>
      <w:tr w:rsidR="005B4414" w:rsidTr="005B4414">
        <w:trPr>
          <w:cantSplit/>
        </w:trPr>
        <w:tc>
          <w:tcPr>
            <w:tcW w:w="2160" w:type="dxa"/>
            <w:tcBorders>
              <w:top w:val="nil"/>
              <w:left w:val="single" w:sz="6" w:space="0" w:color="000000"/>
              <w:bottom w:val="single" w:sz="6" w:space="0" w:color="000000"/>
              <w:right w:val="nil"/>
            </w:tcBorders>
            <w:shd w:val="clear" w:color="auto" w:fill="BBBBBB"/>
            <w:vAlign w:val="center"/>
            <w:hideMark/>
          </w:tcPr>
          <w:p w:rsidR="005B4414" w:rsidRDefault="005B4414">
            <w:pPr>
              <w:jc w:val="both"/>
              <w:rPr>
                <w:b/>
                <w:bCs/>
                <w:sz w:val="24"/>
              </w:rPr>
            </w:pPr>
            <w:proofErr w:type="spellStart"/>
            <w:r>
              <w:rPr>
                <w:b/>
                <w:bCs/>
                <w:sz w:val="24"/>
              </w:rPr>
              <w:t>Konfidensinterval</w:t>
            </w:r>
            <w:proofErr w:type="spellEnd"/>
          </w:p>
        </w:tc>
        <w:tc>
          <w:tcPr>
            <w:tcW w:w="1212" w:type="dxa"/>
            <w:tcBorders>
              <w:top w:val="nil"/>
              <w:left w:val="single" w:sz="2" w:space="0" w:color="000000"/>
              <w:bottom w:val="single" w:sz="6" w:space="0" w:color="000000"/>
              <w:right w:val="nil"/>
            </w:tcBorders>
            <w:shd w:val="clear" w:color="auto" w:fill="FFFFFF"/>
            <w:vAlign w:val="center"/>
            <w:hideMark/>
          </w:tcPr>
          <w:p w:rsidR="005B4414" w:rsidRDefault="005B4414">
            <w:pPr>
              <w:jc w:val="both"/>
              <w:rPr>
                <w:sz w:val="24"/>
              </w:rPr>
            </w:pPr>
            <w:r>
              <w:rPr>
                <w:sz w:val="24"/>
              </w:rPr>
              <w:t>0,92-3,26</w:t>
            </w:r>
          </w:p>
        </w:tc>
        <w:tc>
          <w:tcPr>
            <w:tcW w:w="1427" w:type="dxa"/>
            <w:tcBorders>
              <w:top w:val="nil"/>
              <w:left w:val="single" w:sz="2" w:space="0" w:color="000000"/>
              <w:bottom w:val="single" w:sz="6" w:space="0" w:color="000000"/>
              <w:right w:val="nil"/>
            </w:tcBorders>
            <w:shd w:val="clear" w:color="auto" w:fill="FFFFFF"/>
            <w:vAlign w:val="center"/>
            <w:hideMark/>
          </w:tcPr>
          <w:p w:rsidR="005B4414" w:rsidRDefault="005B4414">
            <w:pPr>
              <w:jc w:val="both"/>
              <w:rPr>
                <w:sz w:val="24"/>
              </w:rPr>
            </w:pPr>
            <w:r>
              <w:rPr>
                <w:sz w:val="24"/>
              </w:rPr>
              <w:t>0,70-1,35</w:t>
            </w:r>
          </w:p>
        </w:tc>
        <w:tc>
          <w:tcPr>
            <w:tcW w:w="1427" w:type="dxa"/>
            <w:tcBorders>
              <w:top w:val="nil"/>
              <w:left w:val="single" w:sz="2" w:space="0" w:color="000000"/>
              <w:bottom w:val="single" w:sz="6" w:space="0" w:color="000000"/>
              <w:right w:val="nil"/>
            </w:tcBorders>
            <w:shd w:val="clear" w:color="auto" w:fill="FFFFFF"/>
            <w:vAlign w:val="center"/>
            <w:hideMark/>
          </w:tcPr>
          <w:p w:rsidR="005B4414" w:rsidRDefault="005B4414">
            <w:pPr>
              <w:jc w:val="both"/>
              <w:rPr>
                <w:sz w:val="24"/>
              </w:rPr>
            </w:pPr>
            <w:r>
              <w:rPr>
                <w:sz w:val="24"/>
              </w:rPr>
              <w:t>0,21-1,24</w:t>
            </w:r>
          </w:p>
        </w:tc>
        <w:tc>
          <w:tcPr>
            <w:tcW w:w="1427" w:type="dxa"/>
            <w:tcBorders>
              <w:top w:val="single" w:sz="2" w:space="0" w:color="000000"/>
              <w:left w:val="single" w:sz="2" w:space="0" w:color="000000"/>
              <w:bottom w:val="single" w:sz="6" w:space="0" w:color="000000"/>
              <w:right w:val="single" w:sz="4" w:space="0" w:color="auto"/>
            </w:tcBorders>
            <w:shd w:val="clear" w:color="auto" w:fill="FFFFFF"/>
            <w:vAlign w:val="center"/>
            <w:hideMark/>
          </w:tcPr>
          <w:p w:rsidR="005B4414" w:rsidRDefault="005B4414">
            <w:pPr>
              <w:jc w:val="both"/>
              <w:rPr>
                <w:sz w:val="24"/>
              </w:rPr>
            </w:pPr>
            <w:r>
              <w:rPr>
                <w:sz w:val="24"/>
              </w:rPr>
              <w:t>0,24-3,39</w:t>
            </w:r>
          </w:p>
        </w:tc>
      </w:tr>
    </w:tbl>
    <w:p w:rsidR="00175272" w:rsidRDefault="00175272" w:rsidP="00175272">
      <w:pPr>
        <w:rPr>
          <w:sz w:val="22"/>
          <w:szCs w:val="22"/>
          <w:lang w:val="sv-SE"/>
        </w:rPr>
      </w:pPr>
    </w:p>
    <w:p w:rsidR="00175272" w:rsidRDefault="00175272" w:rsidP="00175272">
      <w:pPr>
        <w:ind w:left="851"/>
        <w:rPr>
          <w:sz w:val="24"/>
          <w:szCs w:val="24"/>
        </w:rPr>
      </w:pPr>
      <w:r w:rsidRPr="00D02903">
        <w:rPr>
          <w:sz w:val="24"/>
          <w:szCs w:val="24"/>
        </w:rPr>
        <w:t xml:space="preserve">Tabel 2: Metaanalyse af studier af </w:t>
      </w:r>
      <w:proofErr w:type="spellStart"/>
      <w:r w:rsidRPr="00D02903">
        <w:rPr>
          <w:sz w:val="24"/>
          <w:szCs w:val="24"/>
        </w:rPr>
        <w:t>Creinin</w:t>
      </w:r>
      <w:proofErr w:type="spellEnd"/>
      <w:r w:rsidRPr="00D02903">
        <w:rPr>
          <w:sz w:val="24"/>
          <w:szCs w:val="24"/>
        </w:rPr>
        <w:t xml:space="preserve"> et al., 2006 og </w:t>
      </w:r>
      <w:proofErr w:type="spellStart"/>
      <w:r w:rsidRPr="00D02903">
        <w:rPr>
          <w:sz w:val="24"/>
          <w:szCs w:val="24"/>
        </w:rPr>
        <w:t>Glasier</w:t>
      </w:r>
      <w:proofErr w:type="spellEnd"/>
      <w:r w:rsidRPr="00D02903">
        <w:rPr>
          <w:sz w:val="24"/>
          <w:szCs w:val="24"/>
        </w:rPr>
        <w:t xml:space="preserve"> et al., 2010</w:t>
      </w:r>
    </w:p>
    <w:p w:rsidR="00175272" w:rsidRPr="00EF2468" w:rsidRDefault="00175272" w:rsidP="00175272">
      <w:pPr>
        <w:rPr>
          <w:sz w:val="22"/>
          <w:szCs w:val="22"/>
          <w:lang w:val="de-DE"/>
        </w:rPr>
      </w:pPr>
    </w:p>
    <w:tbl>
      <w:tblPr>
        <w:tblW w:w="0" w:type="auto"/>
        <w:tblInd w:w="971" w:type="dxa"/>
        <w:tblLayout w:type="fixed"/>
        <w:tblCellMar>
          <w:left w:w="60" w:type="dxa"/>
          <w:right w:w="60" w:type="dxa"/>
        </w:tblCellMar>
        <w:tblLook w:val="04A0" w:firstRow="1" w:lastRow="0" w:firstColumn="1" w:lastColumn="0" w:noHBand="0" w:noVBand="1"/>
      </w:tblPr>
      <w:tblGrid>
        <w:gridCol w:w="2491"/>
        <w:gridCol w:w="1276"/>
        <w:gridCol w:w="1418"/>
        <w:gridCol w:w="1275"/>
        <w:gridCol w:w="1255"/>
      </w:tblGrid>
      <w:tr w:rsidR="005B4414" w:rsidTr="005B4414">
        <w:trPr>
          <w:cantSplit/>
          <w:tblHeader/>
        </w:trPr>
        <w:tc>
          <w:tcPr>
            <w:tcW w:w="2491" w:type="dxa"/>
            <w:tcBorders>
              <w:top w:val="single" w:sz="4" w:space="0" w:color="auto"/>
              <w:left w:val="single" w:sz="6" w:space="0" w:color="000000"/>
              <w:bottom w:val="single" w:sz="2" w:space="0" w:color="000000"/>
              <w:right w:val="nil"/>
            </w:tcBorders>
            <w:shd w:val="clear" w:color="auto" w:fill="BBBBBB"/>
            <w:vAlign w:val="center"/>
            <w:hideMark/>
          </w:tcPr>
          <w:p w:rsidR="005B4414" w:rsidRDefault="005B4414">
            <w:pPr>
              <w:jc w:val="both"/>
              <w:rPr>
                <w:b/>
                <w:bCs/>
                <w:sz w:val="24"/>
              </w:rPr>
            </w:pPr>
            <w:r>
              <w:rPr>
                <w:b/>
                <w:bCs/>
                <w:sz w:val="24"/>
              </w:rPr>
              <w:t>BMI (kg/m</w:t>
            </w:r>
            <w:r>
              <w:rPr>
                <w:b/>
                <w:bCs/>
                <w:sz w:val="24"/>
                <w:vertAlign w:val="superscript"/>
              </w:rPr>
              <w:t>2</w:t>
            </w:r>
            <w:r>
              <w:rPr>
                <w:b/>
                <w:bCs/>
                <w:sz w:val="24"/>
              </w:rPr>
              <w:t>)</w:t>
            </w:r>
          </w:p>
        </w:tc>
        <w:tc>
          <w:tcPr>
            <w:tcW w:w="1276" w:type="dxa"/>
            <w:tcBorders>
              <w:top w:val="single" w:sz="4" w:space="0" w:color="auto"/>
              <w:left w:val="single" w:sz="2" w:space="0" w:color="000000"/>
              <w:bottom w:val="single" w:sz="2" w:space="0" w:color="000000"/>
              <w:right w:val="nil"/>
            </w:tcBorders>
            <w:shd w:val="clear" w:color="auto" w:fill="BBBBBB"/>
            <w:vAlign w:val="center"/>
            <w:hideMark/>
          </w:tcPr>
          <w:p w:rsidR="005B4414" w:rsidRDefault="005B4414">
            <w:pPr>
              <w:jc w:val="both"/>
              <w:rPr>
                <w:b/>
                <w:bCs/>
                <w:sz w:val="24"/>
              </w:rPr>
            </w:pPr>
            <w:r>
              <w:rPr>
                <w:b/>
                <w:bCs/>
                <w:sz w:val="24"/>
              </w:rPr>
              <w:t>Undervægt</w:t>
            </w:r>
          </w:p>
          <w:p w:rsidR="005B4414" w:rsidRDefault="005B4414">
            <w:pPr>
              <w:jc w:val="both"/>
              <w:rPr>
                <w:b/>
                <w:bCs/>
                <w:sz w:val="24"/>
              </w:rPr>
            </w:pPr>
            <w:r>
              <w:rPr>
                <w:b/>
                <w:bCs/>
                <w:sz w:val="24"/>
              </w:rPr>
              <w:t>0-18,5</w:t>
            </w:r>
          </w:p>
        </w:tc>
        <w:tc>
          <w:tcPr>
            <w:tcW w:w="1418" w:type="dxa"/>
            <w:tcBorders>
              <w:top w:val="single" w:sz="4" w:space="0" w:color="auto"/>
              <w:left w:val="single" w:sz="2" w:space="0" w:color="000000"/>
              <w:bottom w:val="single" w:sz="2" w:space="0" w:color="000000"/>
              <w:right w:val="nil"/>
            </w:tcBorders>
            <w:shd w:val="clear" w:color="auto" w:fill="BBBBBB"/>
            <w:vAlign w:val="center"/>
            <w:hideMark/>
          </w:tcPr>
          <w:p w:rsidR="005B4414" w:rsidRDefault="005B4414">
            <w:pPr>
              <w:jc w:val="both"/>
              <w:rPr>
                <w:b/>
                <w:bCs/>
                <w:sz w:val="24"/>
              </w:rPr>
            </w:pPr>
            <w:r>
              <w:rPr>
                <w:b/>
                <w:bCs/>
                <w:sz w:val="24"/>
              </w:rPr>
              <w:t>Normal</w:t>
            </w:r>
          </w:p>
          <w:p w:rsidR="005B4414" w:rsidRDefault="005B4414">
            <w:pPr>
              <w:jc w:val="both"/>
              <w:rPr>
                <w:b/>
                <w:bCs/>
                <w:sz w:val="24"/>
              </w:rPr>
            </w:pPr>
            <w:r>
              <w:rPr>
                <w:b/>
                <w:bCs/>
                <w:sz w:val="24"/>
              </w:rPr>
              <w:t>18,5-25</w:t>
            </w:r>
          </w:p>
        </w:tc>
        <w:tc>
          <w:tcPr>
            <w:tcW w:w="1275" w:type="dxa"/>
            <w:tcBorders>
              <w:top w:val="single" w:sz="4" w:space="0" w:color="auto"/>
              <w:left w:val="single" w:sz="2" w:space="0" w:color="000000"/>
              <w:bottom w:val="single" w:sz="2" w:space="0" w:color="000000"/>
              <w:right w:val="nil"/>
            </w:tcBorders>
            <w:shd w:val="clear" w:color="auto" w:fill="BBBBBB"/>
            <w:vAlign w:val="center"/>
            <w:hideMark/>
          </w:tcPr>
          <w:p w:rsidR="005B4414" w:rsidRDefault="005B4414">
            <w:pPr>
              <w:jc w:val="both"/>
              <w:rPr>
                <w:b/>
                <w:bCs/>
                <w:sz w:val="24"/>
              </w:rPr>
            </w:pPr>
            <w:r>
              <w:rPr>
                <w:b/>
                <w:bCs/>
                <w:sz w:val="24"/>
              </w:rPr>
              <w:t>Overvægt</w:t>
            </w:r>
          </w:p>
          <w:p w:rsidR="005B4414" w:rsidRDefault="005B4414">
            <w:pPr>
              <w:jc w:val="both"/>
              <w:rPr>
                <w:b/>
                <w:bCs/>
                <w:sz w:val="24"/>
              </w:rPr>
            </w:pPr>
            <w:r>
              <w:rPr>
                <w:b/>
                <w:bCs/>
                <w:sz w:val="24"/>
              </w:rPr>
              <w:t>25-30</w:t>
            </w:r>
          </w:p>
        </w:tc>
        <w:tc>
          <w:tcPr>
            <w:tcW w:w="1255" w:type="dxa"/>
            <w:tcBorders>
              <w:top w:val="single" w:sz="4" w:space="0" w:color="auto"/>
              <w:left w:val="single" w:sz="2" w:space="0" w:color="000000"/>
              <w:bottom w:val="single" w:sz="2" w:space="0" w:color="000000"/>
              <w:right w:val="single" w:sz="4" w:space="0" w:color="auto"/>
            </w:tcBorders>
            <w:shd w:val="clear" w:color="auto" w:fill="BBBBBB"/>
            <w:vAlign w:val="center"/>
            <w:hideMark/>
          </w:tcPr>
          <w:p w:rsidR="005B4414" w:rsidRDefault="005B4414">
            <w:pPr>
              <w:jc w:val="both"/>
              <w:rPr>
                <w:b/>
                <w:bCs/>
                <w:sz w:val="24"/>
              </w:rPr>
            </w:pPr>
            <w:r>
              <w:rPr>
                <w:b/>
                <w:bCs/>
                <w:sz w:val="24"/>
              </w:rPr>
              <w:t>Fedme</w:t>
            </w:r>
          </w:p>
          <w:p w:rsidR="005B4414" w:rsidRDefault="005B4414">
            <w:pPr>
              <w:jc w:val="both"/>
              <w:rPr>
                <w:b/>
                <w:bCs/>
                <w:sz w:val="24"/>
              </w:rPr>
            </w:pPr>
            <w:r>
              <w:rPr>
                <w:b/>
                <w:bCs/>
                <w:sz w:val="24"/>
              </w:rPr>
              <w:t>≥ 30</w:t>
            </w:r>
          </w:p>
        </w:tc>
      </w:tr>
      <w:tr w:rsidR="005B4414" w:rsidTr="005B4414">
        <w:trPr>
          <w:cantSplit/>
        </w:trPr>
        <w:tc>
          <w:tcPr>
            <w:tcW w:w="2491" w:type="dxa"/>
            <w:tcBorders>
              <w:top w:val="nil"/>
              <w:left w:val="single" w:sz="6" w:space="0" w:color="000000"/>
              <w:bottom w:val="single" w:sz="2" w:space="0" w:color="000000"/>
              <w:right w:val="nil"/>
            </w:tcBorders>
            <w:shd w:val="clear" w:color="auto" w:fill="BBBBBB"/>
            <w:vAlign w:val="center"/>
            <w:hideMark/>
          </w:tcPr>
          <w:p w:rsidR="005B4414" w:rsidRDefault="005B4414">
            <w:pPr>
              <w:jc w:val="both"/>
              <w:rPr>
                <w:b/>
                <w:bCs/>
                <w:sz w:val="24"/>
              </w:rPr>
            </w:pPr>
            <w:r>
              <w:rPr>
                <w:b/>
                <w:bCs/>
                <w:sz w:val="24"/>
              </w:rPr>
              <w:t>N i alt</w:t>
            </w:r>
          </w:p>
        </w:tc>
        <w:tc>
          <w:tcPr>
            <w:tcW w:w="1276" w:type="dxa"/>
            <w:tcBorders>
              <w:top w:val="nil"/>
              <w:left w:val="single" w:sz="2" w:space="0" w:color="000000"/>
              <w:bottom w:val="single" w:sz="2" w:space="0" w:color="000000"/>
              <w:right w:val="nil"/>
            </w:tcBorders>
            <w:shd w:val="clear" w:color="auto" w:fill="FFFFFF"/>
            <w:vAlign w:val="center"/>
            <w:hideMark/>
          </w:tcPr>
          <w:p w:rsidR="005B4414" w:rsidRDefault="005B4414">
            <w:pPr>
              <w:jc w:val="both"/>
              <w:rPr>
                <w:sz w:val="24"/>
              </w:rPr>
            </w:pPr>
            <w:r>
              <w:rPr>
                <w:sz w:val="24"/>
              </w:rPr>
              <w:t>64</w:t>
            </w:r>
          </w:p>
        </w:tc>
        <w:tc>
          <w:tcPr>
            <w:tcW w:w="1418" w:type="dxa"/>
            <w:tcBorders>
              <w:top w:val="nil"/>
              <w:left w:val="single" w:sz="2" w:space="0" w:color="000000"/>
              <w:bottom w:val="single" w:sz="2" w:space="0" w:color="000000"/>
              <w:right w:val="nil"/>
            </w:tcBorders>
            <w:shd w:val="clear" w:color="auto" w:fill="FFFFFF"/>
            <w:vAlign w:val="center"/>
            <w:hideMark/>
          </w:tcPr>
          <w:p w:rsidR="005B4414" w:rsidRDefault="005B4414">
            <w:pPr>
              <w:jc w:val="both"/>
              <w:rPr>
                <w:sz w:val="24"/>
              </w:rPr>
            </w:pPr>
            <w:r>
              <w:rPr>
                <w:sz w:val="24"/>
              </w:rPr>
              <w:t>933</w:t>
            </w:r>
          </w:p>
        </w:tc>
        <w:tc>
          <w:tcPr>
            <w:tcW w:w="1275" w:type="dxa"/>
            <w:tcBorders>
              <w:top w:val="nil"/>
              <w:left w:val="single" w:sz="2" w:space="0" w:color="000000"/>
              <w:bottom w:val="single" w:sz="2" w:space="0" w:color="000000"/>
              <w:right w:val="nil"/>
            </w:tcBorders>
            <w:shd w:val="clear" w:color="auto" w:fill="FFFFFF"/>
            <w:vAlign w:val="center"/>
            <w:hideMark/>
          </w:tcPr>
          <w:p w:rsidR="005B4414" w:rsidRDefault="005B4414">
            <w:pPr>
              <w:jc w:val="both"/>
              <w:rPr>
                <w:sz w:val="24"/>
              </w:rPr>
            </w:pPr>
            <w:r>
              <w:rPr>
                <w:sz w:val="24"/>
              </w:rPr>
              <w:t>339</w:t>
            </w:r>
          </w:p>
        </w:tc>
        <w:tc>
          <w:tcPr>
            <w:tcW w:w="1255" w:type="dxa"/>
            <w:tcBorders>
              <w:top w:val="single" w:sz="2" w:space="0" w:color="000000"/>
              <w:left w:val="single" w:sz="2" w:space="0" w:color="000000"/>
              <w:bottom w:val="single" w:sz="2" w:space="0" w:color="000000"/>
              <w:right w:val="single" w:sz="4" w:space="0" w:color="auto"/>
            </w:tcBorders>
            <w:shd w:val="clear" w:color="auto" w:fill="FFFFFF"/>
            <w:vAlign w:val="center"/>
            <w:hideMark/>
          </w:tcPr>
          <w:p w:rsidR="005B4414" w:rsidRDefault="005B4414">
            <w:pPr>
              <w:jc w:val="both"/>
              <w:rPr>
                <w:sz w:val="24"/>
              </w:rPr>
            </w:pPr>
            <w:r>
              <w:rPr>
                <w:sz w:val="24"/>
              </w:rPr>
              <w:t>212</w:t>
            </w:r>
          </w:p>
        </w:tc>
      </w:tr>
      <w:tr w:rsidR="005B4414" w:rsidTr="005B4414">
        <w:trPr>
          <w:cantSplit/>
        </w:trPr>
        <w:tc>
          <w:tcPr>
            <w:tcW w:w="2491" w:type="dxa"/>
            <w:tcBorders>
              <w:top w:val="nil"/>
              <w:left w:val="single" w:sz="6" w:space="0" w:color="000000"/>
              <w:bottom w:val="single" w:sz="2" w:space="0" w:color="000000"/>
              <w:right w:val="nil"/>
            </w:tcBorders>
            <w:shd w:val="clear" w:color="auto" w:fill="BBBBBB"/>
            <w:vAlign w:val="center"/>
            <w:hideMark/>
          </w:tcPr>
          <w:p w:rsidR="005B4414" w:rsidRDefault="005B4414">
            <w:pPr>
              <w:jc w:val="both"/>
              <w:rPr>
                <w:b/>
                <w:bCs/>
                <w:sz w:val="24"/>
              </w:rPr>
            </w:pPr>
            <w:r>
              <w:rPr>
                <w:b/>
                <w:bCs/>
                <w:sz w:val="24"/>
              </w:rPr>
              <w:t>N graviditeter</w:t>
            </w:r>
          </w:p>
        </w:tc>
        <w:tc>
          <w:tcPr>
            <w:tcW w:w="1276" w:type="dxa"/>
            <w:tcBorders>
              <w:top w:val="nil"/>
              <w:left w:val="single" w:sz="2" w:space="0" w:color="000000"/>
              <w:bottom w:val="single" w:sz="2" w:space="0" w:color="000000"/>
              <w:right w:val="nil"/>
            </w:tcBorders>
            <w:shd w:val="clear" w:color="auto" w:fill="FFFFFF"/>
            <w:vAlign w:val="center"/>
            <w:hideMark/>
          </w:tcPr>
          <w:p w:rsidR="005B4414" w:rsidRDefault="005B4414">
            <w:pPr>
              <w:jc w:val="both"/>
              <w:rPr>
                <w:sz w:val="24"/>
              </w:rPr>
            </w:pPr>
            <w:r>
              <w:rPr>
                <w:sz w:val="24"/>
              </w:rPr>
              <w:t>1</w:t>
            </w:r>
          </w:p>
        </w:tc>
        <w:tc>
          <w:tcPr>
            <w:tcW w:w="1418" w:type="dxa"/>
            <w:tcBorders>
              <w:top w:val="nil"/>
              <w:left w:val="single" w:sz="2" w:space="0" w:color="000000"/>
              <w:bottom w:val="single" w:sz="2" w:space="0" w:color="000000"/>
              <w:right w:val="nil"/>
            </w:tcBorders>
            <w:shd w:val="clear" w:color="auto" w:fill="FFFFFF"/>
            <w:vAlign w:val="center"/>
            <w:hideMark/>
          </w:tcPr>
          <w:p w:rsidR="005B4414" w:rsidRDefault="005B4414">
            <w:pPr>
              <w:jc w:val="both"/>
              <w:rPr>
                <w:sz w:val="24"/>
              </w:rPr>
            </w:pPr>
            <w:r>
              <w:rPr>
                <w:sz w:val="24"/>
              </w:rPr>
              <w:t>9</w:t>
            </w:r>
          </w:p>
        </w:tc>
        <w:tc>
          <w:tcPr>
            <w:tcW w:w="1275" w:type="dxa"/>
            <w:tcBorders>
              <w:top w:val="nil"/>
              <w:left w:val="single" w:sz="2" w:space="0" w:color="000000"/>
              <w:bottom w:val="single" w:sz="2" w:space="0" w:color="000000"/>
              <w:right w:val="nil"/>
            </w:tcBorders>
            <w:shd w:val="clear" w:color="auto" w:fill="FFFFFF"/>
            <w:vAlign w:val="center"/>
            <w:hideMark/>
          </w:tcPr>
          <w:p w:rsidR="005B4414" w:rsidRDefault="005B4414">
            <w:pPr>
              <w:jc w:val="both"/>
              <w:rPr>
                <w:sz w:val="24"/>
              </w:rPr>
            </w:pPr>
            <w:r>
              <w:rPr>
                <w:sz w:val="24"/>
              </w:rPr>
              <w:t>8</w:t>
            </w:r>
          </w:p>
        </w:tc>
        <w:tc>
          <w:tcPr>
            <w:tcW w:w="1255" w:type="dxa"/>
            <w:tcBorders>
              <w:top w:val="single" w:sz="2" w:space="0" w:color="000000"/>
              <w:left w:val="single" w:sz="2" w:space="0" w:color="000000"/>
              <w:bottom w:val="single" w:sz="2" w:space="0" w:color="000000"/>
              <w:right w:val="single" w:sz="4" w:space="0" w:color="auto"/>
            </w:tcBorders>
            <w:shd w:val="clear" w:color="auto" w:fill="FFFFFF"/>
            <w:vAlign w:val="center"/>
            <w:hideMark/>
          </w:tcPr>
          <w:p w:rsidR="005B4414" w:rsidRDefault="005B4414">
            <w:pPr>
              <w:jc w:val="both"/>
              <w:rPr>
                <w:sz w:val="24"/>
              </w:rPr>
            </w:pPr>
            <w:r>
              <w:rPr>
                <w:sz w:val="24"/>
              </w:rPr>
              <w:t>11</w:t>
            </w:r>
          </w:p>
        </w:tc>
      </w:tr>
      <w:tr w:rsidR="005B4414" w:rsidTr="005B4414">
        <w:trPr>
          <w:cantSplit/>
        </w:trPr>
        <w:tc>
          <w:tcPr>
            <w:tcW w:w="2491" w:type="dxa"/>
            <w:tcBorders>
              <w:top w:val="nil"/>
              <w:left w:val="single" w:sz="6" w:space="0" w:color="000000"/>
              <w:bottom w:val="single" w:sz="2" w:space="0" w:color="000000"/>
              <w:right w:val="nil"/>
            </w:tcBorders>
            <w:shd w:val="clear" w:color="auto" w:fill="BBBBBB"/>
            <w:vAlign w:val="center"/>
            <w:hideMark/>
          </w:tcPr>
          <w:p w:rsidR="005B4414" w:rsidRDefault="005B4414">
            <w:pPr>
              <w:jc w:val="both"/>
              <w:rPr>
                <w:b/>
                <w:bCs/>
                <w:sz w:val="24"/>
              </w:rPr>
            </w:pPr>
            <w:r>
              <w:rPr>
                <w:b/>
                <w:bCs/>
                <w:sz w:val="24"/>
              </w:rPr>
              <w:t>Graviditetshyppighed</w:t>
            </w:r>
          </w:p>
        </w:tc>
        <w:tc>
          <w:tcPr>
            <w:tcW w:w="1276" w:type="dxa"/>
            <w:tcBorders>
              <w:top w:val="nil"/>
              <w:left w:val="single" w:sz="2" w:space="0" w:color="000000"/>
              <w:bottom w:val="single" w:sz="2" w:space="0" w:color="000000"/>
              <w:right w:val="nil"/>
            </w:tcBorders>
            <w:shd w:val="clear" w:color="auto" w:fill="FFFFFF"/>
            <w:vAlign w:val="center"/>
            <w:hideMark/>
          </w:tcPr>
          <w:p w:rsidR="005B4414" w:rsidRDefault="005B4414">
            <w:pPr>
              <w:jc w:val="both"/>
              <w:rPr>
                <w:sz w:val="24"/>
              </w:rPr>
            </w:pPr>
            <w:r>
              <w:rPr>
                <w:sz w:val="24"/>
              </w:rPr>
              <w:t>1,56 %</w:t>
            </w:r>
          </w:p>
        </w:tc>
        <w:tc>
          <w:tcPr>
            <w:tcW w:w="1418" w:type="dxa"/>
            <w:tcBorders>
              <w:top w:val="nil"/>
              <w:left w:val="single" w:sz="2" w:space="0" w:color="000000"/>
              <w:bottom w:val="single" w:sz="2" w:space="0" w:color="000000"/>
              <w:right w:val="nil"/>
            </w:tcBorders>
            <w:shd w:val="clear" w:color="auto" w:fill="FFFFFF"/>
            <w:vAlign w:val="center"/>
            <w:hideMark/>
          </w:tcPr>
          <w:p w:rsidR="005B4414" w:rsidRDefault="005B4414">
            <w:pPr>
              <w:jc w:val="both"/>
              <w:rPr>
                <w:sz w:val="24"/>
              </w:rPr>
            </w:pPr>
            <w:r>
              <w:rPr>
                <w:sz w:val="24"/>
              </w:rPr>
              <w:t>0,96 %</w:t>
            </w:r>
          </w:p>
        </w:tc>
        <w:tc>
          <w:tcPr>
            <w:tcW w:w="1275" w:type="dxa"/>
            <w:tcBorders>
              <w:top w:val="nil"/>
              <w:left w:val="single" w:sz="2" w:space="0" w:color="000000"/>
              <w:bottom w:val="single" w:sz="2" w:space="0" w:color="000000"/>
              <w:right w:val="nil"/>
            </w:tcBorders>
            <w:shd w:val="clear" w:color="auto" w:fill="FFFFFF"/>
            <w:vAlign w:val="center"/>
            <w:hideMark/>
          </w:tcPr>
          <w:p w:rsidR="005B4414" w:rsidRDefault="005B4414">
            <w:pPr>
              <w:jc w:val="both"/>
              <w:rPr>
                <w:sz w:val="24"/>
              </w:rPr>
            </w:pPr>
            <w:r>
              <w:rPr>
                <w:sz w:val="24"/>
              </w:rPr>
              <w:t>2,36 %</w:t>
            </w:r>
          </w:p>
        </w:tc>
        <w:tc>
          <w:tcPr>
            <w:tcW w:w="1255" w:type="dxa"/>
            <w:tcBorders>
              <w:top w:val="single" w:sz="2" w:space="0" w:color="000000"/>
              <w:left w:val="single" w:sz="2" w:space="0" w:color="000000"/>
              <w:bottom w:val="single" w:sz="2" w:space="0" w:color="000000"/>
              <w:right w:val="single" w:sz="4" w:space="0" w:color="auto"/>
            </w:tcBorders>
            <w:shd w:val="clear" w:color="auto" w:fill="FFFFFF"/>
            <w:vAlign w:val="center"/>
            <w:hideMark/>
          </w:tcPr>
          <w:p w:rsidR="005B4414" w:rsidRDefault="005B4414">
            <w:pPr>
              <w:jc w:val="both"/>
              <w:rPr>
                <w:sz w:val="24"/>
              </w:rPr>
            </w:pPr>
            <w:r>
              <w:rPr>
                <w:sz w:val="24"/>
              </w:rPr>
              <w:t>5,19 %</w:t>
            </w:r>
          </w:p>
        </w:tc>
      </w:tr>
      <w:tr w:rsidR="005B4414" w:rsidTr="005B4414">
        <w:trPr>
          <w:cantSplit/>
        </w:trPr>
        <w:tc>
          <w:tcPr>
            <w:tcW w:w="2491" w:type="dxa"/>
            <w:tcBorders>
              <w:top w:val="nil"/>
              <w:left w:val="single" w:sz="6" w:space="0" w:color="000000"/>
              <w:bottom w:val="single" w:sz="6" w:space="0" w:color="000000"/>
              <w:right w:val="nil"/>
            </w:tcBorders>
            <w:shd w:val="clear" w:color="auto" w:fill="BBBBBB"/>
            <w:vAlign w:val="center"/>
            <w:hideMark/>
          </w:tcPr>
          <w:p w:rsidR="005B4414" w:rsidRDefault="005B4414">
            <w:pPr>
              <w:jc w:val="both"/>
              <w:rPr>
                <w:b/>
                <w:bCs/>
                <w:sz w:val="24"/>
              </w:rPr>
            </w:pPr>
            <w:proofErr w:type="spellStart"/>
            <w:r>
              <w:rPr>
                <w:b/>
                <w:bCs/>
                <w:sz w:val="24"/>
              </w:rPr>
              <w:t>Konfidensinterval</w:t>
            </w:r>
            <w:proofErr w:type="spellEnd"/>
          </w:p>
        </w:tc>
        <w:tc>
          <w:tcPr>
            <w:tcW w:w="1276" w:type="dxa"/>
            <w:tcBorders>
              <w:top w:val="nil"/>
              <w:left w:val="single" w:sz="2" w:space="0" w:color="000000"/>
              <w:bottom w:val="single" w:sz="6" w:space="0" w:color="000000"/>
              <w:right w:val="nil"/>
            </w:tcBorders>
            <w:shd w:val="clear" w:color="auto" w:fill="FFFFFF"/>
            <w:vAlign w:val="center"/>
            <w:hideMark/>
          </w:tcPr>
          <w:p w:rsidR="005B4414" w:rsidRDefault="005B4414">
            <w:pPr>
              <w:jc w:val="both"/>
              <w:rPr>
                <w:sz w:val="24"/>
              </w:rPr>
            </w:pPr>
            <w:r>
              <w:rPr>
                <w:sz w:val="24"/>
              </w:rPr>
              <w:t>0,04-8,40</w:t>
            </w:r>
          </w:p>
        </w:tc>
        <w:tc>
          <w:tcPr>
            <w:tcW w:w="1418" w:type="dxa"/>
            <w:tcBorders>
              <w:top w:val="nil"/>
              <w:left w:val="single" w:sz="2" w:space="0" w:color="000000"/>
              <w:bottom w:val="single" w:sz="6" w:space="0" w:color="000000"/>
              <w:right w:val="nil"/>
            </w:tcBorders>
            <w:shd w:val="clear" w:color="auto" w:fill="FFFFFF"/>
            <w:vAlign w:val="center"/>
            <w:hideMark/>
          </w:tcPr>
          <w:p w:rsidR="005B4414" w:rsidRDefault="005B4414">
            <w:pPr>
              <w:jc w:val="both"/>
              <w:rPr>
                <w:sz w:val="24"/>
              </w:rPr>
            </w:pPr>
            <w:r>
              <w:rPr>
                <w:sz w:val="24"/>
              </w:rPr>
              <w:t>0,44-1,82</w:t>
            </w:r>
          </w:p>
        </w:tc>
        <w:tc>
          <w:tcPr>
            <w:tcW w:w="1275" w:type="dxa"/>
            <w:tcBorders>
              <w:top w:val="nil"/>
              <w:left w:val="single" w:sz="2" w:space="0" w:color="000000"/>
              <w:bottom w:val="single" w:sz="6" w:space="0" w:color="000000"/>
              <w:right w:val="nil"/>
            </w:tcBorders>
            <w:shd w:val="clear" w:color="auto" w:fill="FFFFFF"/>
            <w:vAlign w:val="center"/>
            <w:hideMark/>
          </w:tcPr>
          <w:p w:rsidR="005B4414" w:rsidRDefault="005B4414">
            <w:pPr>
              <w:jc w:val="both"/>
              <w:rPr>
                <w:sz w:val="24"/>
              </w:rPr>
            </w:pPr>
            <w:r>
              <w:rPr>
                <w:sz w:val="24"/>
              </w:rPr>
              <w:t>1,02-4,60</w:t>
            </w:r>
          </w:p>
        </w:tc>
        <w:tc>
          <w:tcPr>
            <w:tcW w:w="1255" w:type="dxa"/>
            <w:tcBorders>
              <w:top w:val="single" w:sz="2" w:space="0" w:color="000000"/>
              <w:left w:val="single" w:sz="2" w:space="0" w:color="000000"/>
              <w:bottom w:val="single" w:sz="6" w:space="0" w:color="000000"/>
              <w:right w:val="single" w:sz="4" w:space="0" w:color="auto"/>
            </w:tcBorders>
            <w:shd w:val="clear" w:color="auto" w:fill="FFFFFF"/>
            <w:vAlign w:val="center"/>
            <w:hideMark/>
          </w:tcPr>
          <w:p w:rsidR="005B4414" w:rsidRDefault="005B4414">
            <w:pPr>
              <w:jc w:val="both"/>
              <w:rPr>
                <w:sz w:val="24"/>
              </w:rPr>
            </w:pPr>
            <w:r>
              <w:rPr>
                <w:sz w:val="24"/>
              </w:rPr>
              <w:t>2,62-9,09</w:t>
            </w:r>
          </w:p>
        </w:tc>
      </w:tr>
    </w:tbl>
    <w:p w:rsidR="007511B6" w:rsidRDefault="007511B6" w:rsidP="00465D9B">
      <w:pPr>
        <w:tabs>
          <w:tab w:val="left" w:pos="851"/>
          <w:tab w:val="left" w:pos="1134"/>
        </w:tabs>
        <w:rPr>
          <w:b/>
          <w:sz w:val="24"/>
          <w:szCs w:val="24"/>
        </w:rPr>
      </w:pPr>
    </w:p>
    <w:p w:rsidR="008E452A" w:rsidRDefault="008E452A" w:rsidP="008E452A">
      <w:pPr>
        <w:tabs>
          <w:tab w:val="left" w:pos="851"/>
          <w:tab w:val="left" w:pos="1134"/>
        </w:tabs>
        <w:rPr>
          <w:i/>
          <w:sz w:val="24"/>
          <w:szCs w:val="24"/>
        </w:rPr>
      </w:pPr>
      <w:r>
        <w:rPr>
          <w:b/>
          <w:i/>
          <w:sz w:val="24"/>
          <w:szCs w:val="24"/>
        </w:rPr>
        <w:tab/>
      </w:r>
      <w:r>
        <w:rPr>
          <w:i/>
          <w:sz w:val="24"/>
          <w:szCs w:val="24"/>
        </w:rPr>
        <w:t>Pædiatrisk population</w:t>
      </w:r>
    </w:p>
    <w:p w:rsidR="008E452A" w:rsidRDefault="008E452A" w:rsidP="008E452A">
      <w:pPr>
        <w:tabs>
          <w:tab w:val="left" w:pos="851"/>
          <w:tab w:val="left" w:pos="1134"/>
        </w:tabs>
        <w:ind w:left="851"/>
        <w:rPr>
          <w:sz w:val="24"/>
          <w:szCs w:val="24"/>
        </w:rPr>
      </w:pPr>
      <w:r>
        <w:rPr>
          <w:sz w:val="24"/>
          <w:szCs w:val="24"/>
        </w:rPr>
        <w:t xml:space="preserve">I et </w:t>
      </w:r>
      <w:proofErr w:type="spellStart"/>
      <w:r>
        <w:rPr>
          <w:sz w:val="24"/>
          <w:szCs w:val="24"/>
        </w:rPr>
        <w:t>prospektivt</w:t>
      </w:r>
      <w:proofErr w:type="spellEnd"/>
      <w:r>
        <w:rPr>
          <w:sz w:val="24"/>
          <w:szCs w:val="24"/>
        </w:rPr>
        <w:t xml:space="preserve"> observationsstudie med 305 behandlinger med </w:t>
      </w:r>
      <w:proofErr w:type="spellStart"/>
      <w:r>
        <w:rPr>
          <w:sz w:val="24"/>
          <w:szCs w:val="24"/>
        </w:rPr>
        <w:t>levonorgestrel</w:t>
      </w:r>
      <w:proofErr w:type="spellEnd"/>
      <w:r>
        <w:rPr>
          <w:sz w:val="24"/>
          <w:szCs w:val="24"/>
        </w:rPr>
        <w:t>-nødpræventionstabletter blev 7 kvinder gravide, hvilket gav en samlet svigtprocent på 2,3. Svigtprocenten hos kvinder under 18 år (2,6 % eller 4/153) var sammenlignelig med svigtprocenten hos kvinder over 18 år (2,0 % eller 3/152).</w:t>
      </w:r>
    </w:p>
    <w:p w:rsidR="008E452A" w:rsidRDefault="008E452A" w:rsidP="00465D9B">
      <w:pPr>
        <w:tabs>
          <w:tab w:val="left" w:pos="851"/>
          <w:tab w:val="left" w:pos="1134"/>
        </w:tabs>
        <w:rPr>
          <w:b/>
          <w:sz w:val="24"/>
          <w:szCs w:val="24"/>
        </w:rPr>
      </w:pPr>
    </w:p>
    <w:p w:rsidR="00B003BF" w:rsidRPr="008C7F73" w:rsidRDefault="00465D9B" w:rsidP="00465D9B">
      <w:pPr>
        <w:tabs>
          <w:tab w:val="left" w:pos="851"/>
          <w:tab w:val="left" w:pos="1134"/>
        </w:tabs>
        <w:rPr>
          <w:b/>
          <w:sz w:val="24"/>
          <w:szCs w:val="24"/>
        </w:rPr>
      </w:pPr>
      <w:r>
        <w:rPr>
          <w:b/>
          <w:sz w:val="24"/>
          <w:szCs w:val="24"/>
        </w:rPr>
        <w:t>5.2</w:t>
      </w:r>
      <w:r>
        <w:rPr>
          <w:b/>
          <w:sz w:val="24"/>
          <w:szCs w:val="24"/>
        </w:rPr>
        <w:tab/>
      </w:r>
      <w:proofErr w:type="spellStart"/>
      <w:r w:rsidR="00B003BF" w:rsidRPr="008C7F73">
        <w:rPr>
          <w:b/>
          <w:sz w:val="24"/>
          <w:szCs w:val="24"/>
        </w:rPr>
        <w:t>Farmakokinetiske</w:t>
      </w:r>
      <w:proofErr w:type="spellEnd"/>
      <w:r w:rsidR="00B003BF" w:rsidRPr="008C7F73">
        <w:rPr>
          <w:b/>
          <w:sz w:val="24"/>
          <w:szCs w:val="24"/>
        </w:rPr>
        <w:t xml:space="preserve"> egenskaber</w:t>
      </w:r>
    </w:p>
    <w:p w:rsidR="00A7499F" w:rsidRPr="008C7F73" w:rsidRDefault="00B003BF" w:rsidP="00A7540F">
      <w:pPr>
        <w:ind w:left="851" w:hanging="851"/>
        <w:rPr>
          <w:sz w:val="24"/>
          <w:szCs w:val="24"/>
          <w:u w:val="single"/>
        </w:rPr>
      </w:pPr>
      <w:r w:rsidRPr="008C7F73">
        <w:rPr>
          <w:sz w:val="24"/>
          <w:szCs w:val="24"/>
        </w:rPr>
        <w:tab/>
      </w:r>
      <w:r w:rsidR="00A7499F" w:rsidRPr="008C7F73">
        <w:rPr>
          <w:sz w:val="24"/>
          <w:szCs w:val="24"/>
          <w:u w:val="single"/>
        </w:rPr>
        <w:t>Absorption</w:t>
      </w:r>
    </w:p>
    <w:p w:rsidR="00A7499F" w:rsidRPr="008C7F73" w:rsidRDefault="00761C43" w:rsidP="00A7540F">
      <w:pPr>
        <w:ind w:left="851" w:hanging="851"/>
        <w:rPr>
          <w:sz w:val="24"/>
          <w:szCs w:val="24"/>
        </w:rPr>
      </w:pPr>
      <w:r w:rsidRPr="008C7F73">
        <w:rPr>
          <w:sz w:val="24"/>
          <w:szCs w:val="24"/>
        </w:rPr>
        <w:tab/>
      </w:r>
      <w:r w:rsidR="00A7499F" w:rsidRPr="008C7F73">
        <w:rPr>
          <w:sz w:val="24"/>
          <w:szCs w:val="24"/>
        </w:rPr>
        <w:t xml:space="preserve">Efter oral administration er absorptionen af </w:t>
      </w:r>
      <w:proofErr w:type="spellStart"/>
      <w:r w:rsidR="00A7499F" w:rsidRPr="008C7F73">
        <w:rPr>
          <w:sz w:val="24"/>
          <w:szCs w:val="24"/>
        </w:rPr>
        <w:t>levonorgestrel</w:t>
      </w:r>
      <w:proofErr w:type="spellEnd"/>
      <w:r w:rsidR="00A7499F" w:rsidRPr="008C7F73">
        <w:rPr>
          <w:sz w:val="24"/>
          <w:szCs w:val="24"/>
        </w:rPr>
        <w:t xml:space="preserve"> hurtig og næsten fuldstændig.</w:t>
      </w:r>
    </w:p>
    <w:p w:rsidR="00A7499F" w:rsidRPr="008C7F73" w:rsidRDefault="00A7499F" w:rsidP="00A7540F">
      <w:pPr>
        <w:ind w:left="851" w:hanging="851"/>
        <w:rPr>
          <w:sz w:val="24"/>
          <w:szCs w:val="24"/>
        </w:rPr>
      </w:pPr>
    </w:p>
    <w:p w:rsidR="003C5694" w:rsidRDefault="00A7499F" w:rsidP="00761C43">
      <w:pPr>
        <w:ind w:left="851"/>
        <w:rPr>
          <w:sz w:val="24"/>
          <w:szCs w:val="24"/>
          <w:u w:val="single"/>
        </w:rPr>
      </w:pPr>
      <w:r w:rsidRPr="008C7F73">
        <w:rPr>
          <w:sz w:val="24"/>
          <w:szCs w:val="24"/>
          <w:u w:val="single"/>
        </w:rPr>
        <w:t>Fordeling</w:t>
      </w:r>
    </w:p>
    <w:p w:rsidR="00A7499F" w:rsidRPr="008C7F73" w:rsidRDefault="00A7499F" w:rsidP="00761C43">
      <w:pPr>
        <w:ind w:left="851"/>
        <w:rPr>
          <w:sz w:val="24"/>
          <w:szCs w:val="24"/>
          <w:u w:val="single"/>
        </w:rPr>
      </w:pPr>
      <w:r w:rsidRPr="008C7F73">
        <w:rPr>
          <w:sz w:val="24"/>
          <w:szCs w:val="24"/>
        </w:rPr>
        <w:t xml:space="preserve">Efter indtagelse af én </w:t>
      </w:r>
      <w:proofErr w:type="spellStart"/>
      <w:r w:rsidRPr="008C7F73">
        <w:rPr>
          <w:sz w:val="24"/>
          <w:szCs w:val="24"/>
        </w:rPr>
        <w:t>Levodonna</w:t>
      </w:r>
      <w:proofErr w:type="spellEnd"/>
      <w:r w:rsidRPr="008C7F73">
        <w:rPr>
          <w:sz w:val="24"/>
          <w:szCs w:val="24"/>
        </w:rPr>
        <w:t xml:space="preserve">-tablet blev de maksimale serumniveauer af </w:t>
      </w:r>
      <w:proofErr w:type="spellStart"/>
      <w:r w:rsidRPr="008C7F73">
        <w:rPr>
          <w:sz w:val="24"/>
          <w:szCs w:val="24"/>
        </w:rPr>
        <w:t>levonorgestrel</w:t>
      </w:r>
      <w:proofErr w:type="spellEnd"/>
      <w:r w:rsidRPr="008C7F73">
        <w:rPr>
          <w:sz w:val="24"/>
          <w:szCs w:val="24"/>
        </w:rPr>
        <w:t xml:space="preserve"> (18,5 </w:t>
      </w:r>
      <w:proofErr w:type="spellStart"/>
      <w:r w:rsidRPr="008C7F73">
        <w:rPr>
          <w:sz w:val="24"/>
          <w:szCs w:val="24"/>
        </w:rPr>
        <w:t>ng</w:t>
      </w:r>
      <w:proofErr w:type="spellEnd"/>
      <w:r w:rsidRPr="008C7F73">
        <w:rPr>
          <w:sz w:val="24"/>
          <w:szCs w:val="24"/>
        </w:rPr>
        <w:t xml:space="preserve">/ml) opnået efter 2 timer. Efter opnåelse af maksimalt serumniveau falder koncentrationen af </w:t>
      </w:r>
      <w:proofErr w:type="spellStart"/>
      <w:r w:rsidRPr="008C7F73">
        <w:rPr>
          <w:sz w:val="24"/>
          <w:szCs w:val="24"/>
        </w:rPr>
        <w:t>levonorgestrel</w:t>
      </w:r>
      <w:proofErr w:type="spellEnd"/>
      <w:r w:rsidRPr="008C7F73">
        <w:rPr>
          <w:sz w:val="24"/>
          <w:szCs w:val="24"/>
        </w:rPr>
        <w:t xml:space="preserve"> med en gennemsnitlig halveringstid på omkring 26 timer.</w:t>
      </w:r>
    </w:p>
    <w:p w:rsidR="00A7499F" w:rsidRPr="008C7F73" w:rsidRDefault="00A7499F" w:rsidP="00761C43">
      <w:pPr>
        <w:ind w:left="851"/>
        <w:rPr>
          <w:sz w:val="24"/>
          <w:szCs w:val="24"/>
          <w:u w:val="single"/>
        </w:rPr>
      </w:pPr>
    </w:p>
    <w:p w:rsidR="00A7499F" w:rsidRPr="008C7F73" w:rsidRDefault="00A7499F" w:rsidP="00761C43">
      <w:pPr>
        <w:ind w:left="851"/>
        <w:rPr>
          <w:sz w:val="24"/>
          <w:szCs w:val="24"/>
        </w:rPr>
      </w:pPr>
      <w:r w:rsidRPr="008C7F73">
        <w:rPr>
          <w:sz w:val="24"/>
          <w:szCs w:val="24"/>
          <w:u w:val="single"/>
        </w:rPr>
        <w:t>Biotransformation</w:t>
      </w:r>
      <w:r w:rsidRPr="008C7F73">
        <w:rPr>
          <w:sz w:val="24"/>
          <w:szCs w:val="24"/>
        </w:rPr>
        <w:t xml:space="preserve"> </w:t>
      </w:r>
    </w:p>
    <w:p w:rsidR="00A7499F" w:rsidRPr="008C7F73" w:rsidRDefault="00A7499F" w:rsidP="00761C43">
      <w:pPr>
        <w:ind w:left="851"/>
        <w:rPr>
          <w:sz w:val="24"/>
          <w:szCs w:val="24"/>
        </w:rPr>
      </w:pPr>
      <w:proofErr w:type="spellStart"/>
      <w:r w:rsidRPr="008C7F73">
        <w:rPr>
          <w:sz w:val="24"/>
          <w:szCs w:val="24"/>
        </w:rPr>
        <w:t>Levonorgestrel</w:t>
      </w:r>
      <w:proofErr w:type="spellEnd"/>
      <w:r w:rsidRPr="008C7F73">
        <w:rPr>
          <w:sz w:val="24"/>
          <w:szCs w:val="24"/>
        </w:rPr>
        <w:t xml:space="preserve"> udskilles ikke i uændret form, men som </w:t>
      </w:r>
      <w:proofErr w:type="spellStart"/>
      <w:r w:rsidRPr="008C7F73">
        <w:rPr>
          <w:sz w:val="24"/>
          <w:szCs w:val="24"/>
        </w:rPr>
        <w:t>metabolitter</w:t>
      </w:r>
      <w:proofErr w:type="spellEnd"/>
      <w:r w:rsidRPr="008C7F73">
        <w:rPr>
          <w:sz w:val="24"/>
          <w:szCs w:val="24"/>
        </w:rPr>
        <w:t>.</w:t>
      </w:r>
    </w:p>
    <w:p w:rsidR="00A7499F" w:rsidRPr="008C7F73" w:rsidRDefault="00A7499F" w:rsidP="00761C43">
      <w:pPr>
        <w:ind w:left="851"/>
        <w:rPr>
          <w:sz w:val="24"/>
          <w:szCs w:val="24"/>
          <w:u w:val="single"/>
        </w:rPr>
      </w:pPr>
    </w:p>
    <w:p w:rsidR="00A7499F" w:rsidRPr="008C7F73" w:rsidRDefault="00A7499F" w:rsidP="00761C43">
      <w:pPr>
        <w:ind w:left="851"/>
        <w:rPr>
          <w:sz w:val="24"/>
          <w:szCs w:val="24"/>
        </w:rPr>
      </w:pPr>
      <w:r w:rsidRPr="008C7F73">
        <w:rPr>
          <w:sz w:val="24"/>
          <w:szCs w:val="24"/>
          <w:u w:val="single"/>
        </w:rPr>
        <w:t>Elimination</w:t>
      </w:r>
      <w:r w:rsidRPr="008C7F73">
        <w:rPr>
          <w:sz w:val="24"/>
          <w:szCs w:val="24"/>
        </w:rPr>
        <w:t xml:space="preserve"> </w:t>
      </w:r>
    </w:p>
    <w:p w:rsidR="00761C43" w:rsidRPr="008C7F73" w:rsidRDefault="00A7499F" w:rsidP="00761C43">
      <w:pPr>
        <w:ind w:left="851"/>
        <w:rPr>
          <w:sz w:val="24"/>
          <w:szCs w:val="24"/>
        </w:rPr>
      </w:pPr>
      <w:proofErr w:type="spellStart"/>
      <w:r w:rsidRPr="008C7F73">
        <w:rPr>
          <w:sz w:val="24"/>
          <w:szCs w:val="24"/>
        </w:rPr>
        <w:t>Levonorgestrels</w:t>
      </w:r>
      <w:proofErr w:type="spellEnd"/>
      <w:r w:rsidRPr="008C7F73">
        <w:rPr>
          <w:sz w:val="24"/>
          <w:szCs w:val="24"/>
        </w:rPr>
        <w:t xml:space="preserve"> </w:t>
      </w:r>
      <w:proofErr w:type="spellStart"/>
      <w:r w:rsidRPr="008C7F73">
        <w:rPr>
          <w:sz w:val="24"/>
          <w:szCs w:val="24"/>
        </w:rPr>
        <w:t>metabolitter</w:t>
      </w:r>
      <w:proofErr w:type="spellEnd"/>
      <w:r w:rsidRPr="008C7F73">
        <w:rPr>
          <w:sz w:val="24"/>
          <w:szCs w:val="24"/>
        </w:rPr>
        <w:t xml:space="preserve"> udskilles i omtrent samme forhold i urin og fæces. Biotransformationen følger de velkendte ruter for steroidmetabolisme, dvs. at </w:t>
      </w:r>
      <w:proofErr w:type="spellStart"/>
      <w:r w:rsidRPr="008C7F73">
        <w:rPr>
          <w:sz w:val="24"/>
          <w:szCs w:val="24"/>
        </w:rPr>
        <w:t>levonorgestrel</w:t>
      </w:r>
      <w:proofErr w:type="spellEnd"/>
      <w:r w:rsidRPr="008C7F73">
        <w:rPr>
          <w:sz w:val="24"/>
          <w:szCs w:val="24"/>
        </w:rPr>
        <w:t xml:space="preserve"> </w:t>
      </w:r>
      <w:proofErr w:type="spellStart"/>
      <w:r w:rsidRPr="008C7F73">
        <w:rPr>
          <w:sz w:val="24"/>
          <w:szCs w:val="24"/>
        </w:rPr>
        <w:t>hydroxyleres</w:t>
      </w:r>
      <w:proofErr w:type="spellEnd"/>
      <w:r w:rsidRPr="008C7F73">
        <w:rPr>
          <w:sz w:val="24"/>
          <w:szCs w:val="24"/>
        </w:rPr>
        <w:t xml:space="preserve"> i leveren, og at dets </w:t>
      </w:r>
      <w:proofErr w:type="spellStart"/>
      <w:r w:rsidRPr="008C7F73">
        <w:rPr>
          <w:sz w:val="24"/>
          <w:szCs w:val="24"/>
        </w:rPr>
        <w:t>metabolitter</w:t>
      </w:r>
      <w:proofErr w:type="spellEnd"/>
      <w:r w:rsidRPr="008C7F73">
        <w:rPr>
          <w:sz w:val="24"/>
          <w:szCs w:val="24"/>
        </w:rPr>
        <w:t xml:space="preserve"> udskilles som </w:t>
      </w:r>
      <w:proofErr w:type="spellStart"/>
      <w:r w:rsidRPr="008C7F73">
        <w:rPr>
          <w:sz w:val="24"/>
          <w:szCs w:val="24"/>
        </w:rPr>
        <w:t>glucuronidkonjugater</w:t>
      </w:r>
      <w:proofErr w:type="spellEnd"/>
      <w:r w:rsidRPr="008C7F73">
        <w:rPr>
          <w:sz w:val="24"/>
          <w:szCs w:val="24"/>
        </w:rPr>
        <w:t xml:space="preserve">. </w:t>
      </w:r>
    </w:p>
    <w:p w:rsidR="00761C43" w:rsidRPr="008C7F73" w:rsidRDefault="00A7499F" w:rsidP="00761C43">
      <w:pPr>
        <w:ind w:left="851"/>
        <w:rPr>
          <w:sz w:val="24"/>
          <w:szCs w:val="24"/>
        </w:rPr>
      </w:pPr>
      <w:r w:rsidRPr="008C7F73">
        <w:rPr>
          <w:sz w:val="24"/>
          <w:szCs w:val="24"/>
        </w:rPr>
        <w:t xml:space="preserve">Der er ikke påvist nogen aktive </w:t>
      </w:r>
      <w:proofErr w:type="spellStart"/>
      <w:r w:rsidRPr="008C7F73">
        <w:rPr>
          <w:sz w:val="24"/>
          <w:szCs w:val="24"/>
        </w:rPr>
        <w:t>metabolitter</w:t>
      </w:r>
      <w:proofErr w:type="spellEnd"/>
      <w:r w:rsidRPr="008C7F73">
        <w:rPr>
          <w:sz w:val="24"/>
          <w:szCs w:val="24"/>
        </w:rPr>
        <w:t xml:space="preserve">. </w:t>
      </w:r>
    </w:p>
    <w:p w:rsidR="00A7499F" w:rsidRPr="008C7F73" w:rsidRDefault="00A7499F" w:rsidP="00761C43">
      <w:pPr>
        <w:ind w:left="851"/>
        <w:rPr>
          <w:sz w:val="24"/>
          <w:szCs w:val="24"/>
        </w:rPr>
      </w:pPr>
      <w:proofErr w:type="spellStart"/>
      <w:r w:rsidRPr="008C7F73">
        <w:rPr>
          <w:sz w:val="24"/>
          <w:szCs w:val="24"/>
        </w:rPr>
        <w:t>Levonorgestrel</w:t>
      </w:r>
      <w:proofErr w:type="spellEnd"/>
      <w:r w:rsidRPr="008C7F73">
        <w:rPr>
          <w:sz w:val="24"/>
          <w:szCs w:val="24"/>
        </w:rPr>
        <w:t xml:space="preserve"> bindes til serumalbumin og til kønshormonbindende </w:t>
      </w:r>
      <w:proofErr w:type="spellStart"/>
      <w:r w:rsidRPr="008C7F73">
        <w:rPr>
          <w:sz w:val="24"/>
          <w:szCs w:val="24"/>
        </w:rPr>
        <w:t>globulin</w:t>
      </w:r>
      <w:proofErr w:type="spellEnd"/>
      <w:r w:rsidRPr="008C7F73">
        <w:rPr>
          <w:sz w:val="24"/>
          <w:szCs w:val="24"/>
        </w:rPr>
        <w:t xml:space="preserve"> (SHBG). Kun omkring 1,5 % af de totale serumniveauer udgøres af frit steroid, men 65 % er specifikt bundet til SHBG.</w:t>
      </w:r>
    </w:p>
    <w:p w:rsidR="00A7499F" w:rsidRPr="008C7F73" w:rsidRDefault="00A7499F" w:rsidP="00761C43">
      <w:pPr>
        <w:ind w:left="851"/>
        <w:rPr>
          <w:sz w:val="24"/>
          <w:szCs w:val="24"/>
        </w:rPr>
      </w:pPr>
    </w:p>
    <w:p w:rsidR="00A7499F" w:rsidRPr="008C7F73" w:rsidRDefault="00A7499F" w:rsidP="00761C43">
      <w:pPr>
        <w:ind w:left="851"/>
        <w:rPr>
          <w:sz w:val="24"/>
          <w:szCs w:val="24"/>
        </w:rPr>
      </w:pPr>
      <w:r w:rsidRPr="008C7F73">
        <w:rPr>
          <w:sz w:val="24"/>
          <w:szCs w:val="24"/>
        </w:rPr>
        <w:t xml:space="preserve">Den absolutte biotilgængelighed af </w:t>
      </w:r>
      <w:proofErr w:type="spellStart"/>
      <w:r w:rsidRPr="008C7F73">
        <w:rPr>
          <w:sz w:val="24"/>
          <w:szCs w:val="24"/>
        </w:rPr>
        <w:t>levonorgestrel</w:t>
      </w:r>
      <w:proofErr w:type="spellEnd"/>
      <w:r w:rsidRPr="008C7F73">
        <w:rPr>
          <w:sz w:val="24"/>
          <w:szCs w:val="24"/>
        </w:rPr>
        <w:t xml:space="preserve"> blev fastlagt til at være næsten 100 % af den administrerede dosis.</w:t>
      </w:r>
    </w:p>
    <w:p w:rsidR="00A7499F" w:rsidRPr="008C7F73" w:rsidRDefault="00A7499F" w:rsidP="00761C43">
      <w:pPr>
        <w:ind w:left="851"/>
        <w:rPr>
          <w:sz w:val="24"/>
          <w:szCs w:val="24"/>
        </w:rPr>
      </w:pPr>
    </w:p>
    <w:p w:rsidR="00A7499F" w:rsidRPr="008C7F73" w:rsidRDefault="00A7499F" w:rsidP="00761C43">
      <w:pPr>
        <w:ind w:left="851"/>
        <w:rPr>
          <w:sz w:val="24"/>
          <w:szCs w:val="24"/>
        </w:rPr>
      </w:pPr>
      <w:r w:rsidRPr="008C7F73">
        <w:rPr>
          <w:sz w:val="24"/>
          <w:szCs w:val="24"/>
        </w:rPr>
        <w:t xml:space="preserve">Omkring 0,1 % af den </w:t>
      </w:r>
      <w:proofErr w:type="spellStart"/>
      <w:r w:rsidRPr="008C7F73">
        <w:rPr>
          <w:sz w:val="24"/>
          <w:szCs w:val="24"/>
        </w:rPr>
        <w:t>maternelle</w:t>
      </w:r>
      <w:proofErr w:type="spellEnd"/>
      <w:r w:rsidRPr="008C7F73">
        <w:rPr>
          <w:sz w:val="24"/>
          <w:szCs w:val="24"/>
        </w:rPr>
        <w:t xml:space="preserve"> dosis kan overføres til det ammede barn via mælken.</w:t>
      </w:r>
    </w:p>
    <w:p w:rsidR="00B003BF" w:rsidRPr="008C7F73" w:rsidRDefault="00B003BF" w:rsidP="00A7540F">
      <w:pPr>
        <w:ind w:left="851" w:hanging="851"/>
        <w:rPr>
          <w:sz w:val="24"/>
          <w:szCs w:val="24"/>
        </w:rPr>
      </w:pPr>
    </w:p>
    <w:p w:rsidR="00B003BF" w:rsidRPr="008C7F73" w:rsidRDefault="00B003BF" w:rsidP="00A7540F">
      <w:pPr>
        <w:ind w:left="851" w:hanging="851"/>
        <w:rPr>
          <w:b/>
          <w:sz w:val="24"/>
          <w:szCs w:val="24"/>
        </w:rPr>
      </w:pPr>
      <w:r w:rsidRPr="008C7F73">
        <w:rPr>
          <w:b/>
          <w:sz w:val="24"/>
          <w:szCs w:val="24"/>
        </w:rPr>
        <w:t>5.3</w:t>
      </w:r>
      <w:r w:rsidRPr="008C7F73">
        <w:rPr>
          <w:b/>
          <w:sz w:val="24"/>
          <w:szCs w:val="24"/>
        </w:rPr>
        <w:tab/>
        <w:t>Prækliniske sikkerhedsdata</w:t>
      </w:r>
    </w:p>
    <w:p w:rsidR="00A7499F" w:rsidRPr="008C7F73" w:rsidRDefault="00B003BF" w:rsidP="00A7540F">
      <w:pPr>
        <w:ind w:left="851" w:hanging="851"/>
        <w:rPr>
          <w:sz w:val="24"/>
          <w:szCs w:val="24"/>
        </w:rPr>
      </w:pPr>
      <w:r w:rsidRPr="008C7F73">
        <w:rPr>
          <w:sz w:val="24"/>
          <w:szCs w:val="24"/>
        </w:rPr>
        <w:tab/>
      </w:r>
      <w:r w:rsidR="00A7499F" w:rsidRPr="008C7F73">
        <w:rPr>
          <w:sz w:val="24"/>
          <w:szCs w:val="24"/>
        </w:rPr>
        <w:t>Dyreforsøg har vist virilisering af hunfostre ved brug af høje doser.</w:t>
      </w:r>
    </w:p>
    <w:p w:rsidR="00A7499F" w:rsidRPr="008C7F73" w:rsidRDefault="00761C43" w:rsidP="00A7540F">
      <w:pPr>
        <w:ind w:left="851" w:hanging="851"/>
        <w:rPr>
          <w:sz w:val="24"/>
          <w:szCs w:val="24"/>
        </w:rPr>
      </w:pPr>
      <w:r w:rsidRPr="008C7F73">
        <w:rPr>
          <w:sz w:val="24"/>
          <w:szCs w:val="24"/>
        </w:rPr>
        <w:tab/>
      </w:r>
      <w:r w:rsidR="00A7499F" w:rsidRPr="008C7F73">
        <w:rPr>
          <w:sz w:val="24"/>
          <w:szCs w:val="24"/>
        </w:rPr>
        <w:t xml:space="preserve">Prækliniske data viser ingen speciel risiko for mennesker vurderet ud fra konventionelle studier af kronisk toksicitet, </w:t>
      </w:r>
      <w:proofErr w:type="spellStart"/>
      <w:r w:rsidR="00A7499F" w:rsidRPr="008C7F73">
        <w:rPr>
          <w:sz w:val="24"/>
          <w:szCs w:val="24"/>
        </w:rPr>
        <w:t>mutagenicitet</w:t>
      </w:r>
      <w:proofErr w:type="spellEnd"/>
      <w:r w:rsidR="00A7499F" w:rsidRPr="008C7F73">
        <w:rPr>
          <w:sz w:val="24"/>
          <w:szCs w:val="24"/>
        </w:rPr>
        <w:t xml:space="preserve"> og </w:t>
      </w:r>
      <w:proofErr w:type="spellStart"/>
      <w:r w:rsidR="00A7499F" w:rsidRPr="008C7F73">
        <w:rPr>
          <w:sz w:val="24"/>
          <w:szCs w:val="24"/>
        </w:rPr>
        <w:t>karcinogenicitet</w:t>
      </w:r>
      <w:proofErr w:type="spellEnd"/>
      <w:r w:rsidR="00A7499F" w:rsidRPr="008C7F73">
        <w:rPr>
          <w:sz w:val="24"/>
          <w:szCs w:val="24"/>
        </w:rPr>
        <w:t xml:space="preserve"> ud over de oplysninger, der er angivet i andre afsnit i dette produktresumé.</w:t>
      </w:r>
    </w:p>
    <w:p w:rsidR="00B003BF" w:rsidRDefault="00B003BF" w:rsidP="00A7540F">
      <w:pPr>
        <w:ind w:left="851" w:hanging="851"/>
        <w:rPr>
          <w:sz w:val="24"/>
          <w:szCs w:val="24"/>
        </w:rPr>
      </w:pPr>
    </w:p>
    <w:p w:rsidR="008E452A" w:rsidRDefault="008E452A" w:rsidP="00A7540F">
      <w:pPr>
        <w:ind w:left="851" w:hanging="851"/>
        <w:rPr>
          <w:sz w:val="24"/>
          <w:szCs w:val="24"/>
        </w:rPr>
      </w:pPr>
    </w:p>
    <w:p w:rsidR="00E7720E" w:rsidRPr="008C7F73" w:rsidRDefault="00E7720E" w:rsidP="00A7540F">
      <w:pPr>
        <w:ind w:left="851" w:hanging="851"/>
        <w:rPr>
          <w:sz w:val="24"/>
          <w:szCs w:val="24"/>
        </w:rPr>
      </w:pPr>
    </w:p>
    <w:p w:rsidR="00B003BF" w:rsidRPr="008C7F73" w:rsidRDefault="00B003BF" w:rsidP="00A7540F">
      <w:pPr>
        <w:ind w:left="851" w:hanging="851"/>
        <w:rPr>
          <w:b/>
          <w:sz w:val="24"/>
          <w:szCs w:val="24"/>
        </w:rPr>
      </w:pPr>
      <w:r w:rsidRPr="008C7F73">
        <w:rPr>
          <w:b/>
          <w:sz w:val="24"/>
          <w:szCs w:val="24"/>
        </w:rPr>
        <w:t>6.</w:t>
      </w:r>
      <w:r w:rsidRPr="008C7F73">
        <w:rPr>
          <w:b/>
          <w:sz w:val="24"/>
          <w:szCs w:val="24"/>
        </w:rPr>
        <w:tab/>
        <w:t>FARMACEUTISKE OPLYSNINGER</w:t>
      </w:r>
    </w:p>
    <w:p w:rsidR="00B003BF" w:rsidRPr="008C7F73" w:rsidRDefault="00B003BF" w:rsidP="00A7540F">
      <w:pPr>
        <w:ind w:left="851" w:hanging="851"/>
        <w:rPr>
          <w:b/>
          <w:sz w:val="24"/>
          <w:szCs w:val="24"/>
        </w:rPr>
      </w:pPr>
    </w:p>
    <w:p w:rsidR="00B003BF" w:rsidRPr="008C7F73" w:rsidRDefault="00B003BF" w:rsidP="00A7540F">
      <w:pPr>
        <w:ind w:left="851" w:hanging="851"/>
        <w:rPr>
          <w:b/>
          <w:sz w:val="24"/>
          <w:szCs w:val="24"/>
        </w:rPr>
      </w:pPr>
      <w:r w:rsidRPr="008C7F73">
        <w:rPr>
          <w:b/>
          <w:sz w:val="24"/>
          <w:szCs w:val="24"/>
        </w:rPr>
        <w:t>6.1</w:t>
      </w:r>
      <w:r w:rsidRPr="008C7F73">
        <w:rPr>
          <w:b/>
          <w:sz w:val="24"/>
          <w:szCs w:val="24"/>
        </w:rPr>
        <w:tab/>
        <w:t>Hjælpestoffer</w:t>
      </w:r>
    </w:p>
    <w:p w:rsidR="00A7499F" w:rsidRPr="008C7F73" w:rsidRDefault="00B003BF" w:rsidP="00A7540F">
      <w:pPr>
        <w:ind w:left="851" w:hanging="851"/>
        <w:rPr>
          <w:sz w:val="24"/>
          <w:szCs w:val="24"/>
        </w:rPr>
      </w:pPr>
      <w:r w:rsidRPr="008C7F73">
        <w:rPr>
          <w:sz w:val="24"/>
          <w:szCs w:val="24"/>
        </w:rPr>
        <w:tab/>
      </w:r>
      <w:r w:rsidR="00A7499F" w:rsidRPr="008C7F73">
        <w:rPr>
          <w:sz w:val="24"/>
          <w:szCs w:val="24"/>
        </w:rPr>
        <w:t xml:space="preserve">Cellulose, </w:t>
      </w:r>
      <w:proofErr w:type="spellStart"/>
      <w:r w:rsidR="00A7499F" w:rsidRPr="008C7F73">
        <w:rPr>
          <w:sz w:val="24"/>
          <w:szCs w:val="24"/>
        </w:rPr>
        <w:t>mikrokrystallinsk</w:t>
      </w:r>
      <w:proofErr w:type="spellEnd"/>
    </w:p>
    <w:p w:rsidR="00A7499F" w:rsidRPr="008C7F73" w:rsidRDefault="00761C43" w:rsidP="00A7540F">
      <w:pPr>
        <w:ind w:left="851" w:hanging="851"/>
        <w:rPr>
          <w:sz w:val="24"/>
          <w:szCs w:val="24"/>
        </w:rPr>
      </w:pPr>
      <w:r w:rsidRPr="008C7F73">
        <w:rPr>
          <w:sz w:val="24"/>
          <w:szCs w:val="24"/>
        </w:rPr>
        <w:tab/>
      </w:r>
      <w:proofErr w:type="spellStart"/>
      <w:r w:rsidR="00A7499F" w:rsidRPr="008C7F73">
        <w:rPr>
          <w:sz w:val="24"/>
          <w:szCs w:val="24"/>
        </w:rPr>
        <w:t>Lactosemonohydrat</w:t>
      </w:r>
      <w:proofErr w:type="spellEnd"/>
    </w:p>
    <w:p w:rsidR="00A7499F" w:rsidRPr="008C7F73" w:rsidRDefault="00761C43" w:rsidP="00A7540F">
      <w:pPr>
        <w:ind w:left="851" w:hanging="851"/>
        <w:rPr>
          <w:sz w:val="24"/>
          <w:szCs w:val="24"/>
        </w:rPr>
      </w:pPr>
      <w:r w:rsidRPr="008C7F73">
        <w:rPr>
          <w:sz w:val="24"/>
          <w:szCs w:val="24"/>
        </w:rPr>
        <w:tab/>
      </w:r>
      <w:proofErr w:type="spellStart"/>
      <w:r w:rsidR="00A7499F" w:rsidRPr="008C7F73">
        <w:rPr>
          <w:sz w:val="24"/>
          <w:szCs w:val="24"/>
        </w:rPr>
        <w:t>Poloxamer</w:t>
      </w:r>
      <w:proofErr w:type="spellEnd"/>
      <w:r w:rsidR="00A7499F" w:rsidRPr="008C7F73">
        <w:rPr>
          <w:sz w:val="24"/>
          <w:szCs w:val="24"/>
        </w:rPr>
        <w:t xml:space="preserve"> 188</w:t>
      </w:r>
    </w:p>
    <w:p w:rsidR="00A7499F" w:rsidRPr="008C7F73" w:rsidRDefault="00761C43" w:rsidP="007511B6">
      <w:pPr>
        <w:keepNext/>
        <w:ind w:left="851" w:hanging="851"/>
        <w:rPr>
          <w:sz w:val="24"/>
          <w:szCs w:val="24"/>
        </w:rPr>
      </w:pPr>
      <w:r w:rsidRPr="008C7F73">
        <w:rPr>
          <w:sz w:val="24"/>
          <w:szCs w:val="24"/>
        </w:rPr>
        <w:tab/>
      </w:r>
      <w:proofErr w:type="spellStart"/>
      <w:r w:rsidR="00A7499F" w:rsidRPr="008C7F73">
        <w:rPr>
          <w:sz w:val="24"/>
          <w:szCs w:val="24"/>
        </w:rPr>
        <w:t>Croscarmellosenatrium</w:t>
      </w:r>
      <w:proofErr w:type="spellEnd"/>
    </w:p>
    <w:p w:rsidR="00A7499F" w:rsidRPr="008C7F73" w:rsidRDefault="00761C43" w:rsidP="00A7540F">
      <w:pPr>
        <w:ind w:left="851" w:hanging="851"/>
        <w:rPr>
          <w:sz w:val="24"/>
          <w:szCs w:val="24"/>
        </w:rPr>
      </w:pPr>
      <w:r w:rsidRPr="008C7F73">
        <w:rPr>
          <w:sz w:val="24"/>
          <w:szCs w:val="24"/>
        </w:rPr>
        <w:tab/>
      </w:r>
      <w:proofErr w:type="spellStart"/>
      <w:r w:rsidR="00A7499F" w:rsidRPr="008C7F73">
        <w:rPr>
          <w:sz w:val="24"/>
          <w:szCs w:val="24"/>
        </w:rPr>
        <w:t>Magnesiumstearat</w:t>
      </w:r>
      <w:proofErr w:type="spellEnd"/>
    </w:p>
    <w:p w:rsidR="00B003BF" w:rsidRPr="008C7F73" w:rsidRDefault="00B003BF" w:rsidP="00A7540F">
      <w:pPr>
        <w:ind w:left="851" w:hanging="851"/>
        <w:rPr>
          <w:sz w:val="24"/>
          <w:szCs w:val="24"/>
        </w:rPr>
      </w:pPr>
    </w:p>
    <w:p w:rsidR="00B003BF" w:rsidRPr="008C7F73" w:rsidRDefault="00B003BF" w:rsidP="00A7540F">
      <w:pPr>
        <w:ind w:left="851" w:hanging="851"/>
        <w:rPr>
          <w:b/>
          <w:sz w:val="24"/>
          <w:szCs w:val="24"/>
        </w:rPr>
      </w:pPr>
      <w:r w:rsidRPr="008C7F73">
        <w:rPr>
          <w:b/>
          <w:sz w:val="24"/>
          <w:szCs w:val="24"/>
        </w:rPr>
        <w:t>6.2</w:t>
      </w:r>
      <w:r w:rsidRPr="008C7F73">
        <w:rPr>
          <w:b/>
          <w:sz w:val="24"/>
          <w:szCs w:val="24"/>
        </w:rPr>
        <w:tab/>
        <w:t>Uforligeligheder</w:t>
      </w:r>
    </w:p>
    <w:p w:rsidR="00A7499F" w:rsidRPr="008C7F73" w:rsidRDefault="00B003BF" w:rsidP="00A7540F">
      <w:pPr>
        <w:ind w:left="851" w:hanging="851"/>
        <w:rPr>
          <w:sz w:val="24"/>
          <w:szCs w:val="24"/>
        </w:rPr>
      </w:pPr>
      <w:r w:rsidRPr="008C7F73">
        <w:rPr>
          <w:sz w:val="24"/>
          <w:szCs w:val="24"/>
        </w:rPr>
        <w:tab/>
      </w:r>
      <w:r w:rsidR="00A7499F" w:rsidRPr="008C7F73">
        <w:rPr>
          <w:sz w:val="24"/>
          <w:szCs w:val="24"/>
        </w:rPr>
        <w:t xml:space="preserve">Ikke relevant. </w:t>
      </w:r>
    </w:p>
    <w:p w:rsidR="00B003BF" w:rsidRPr="008C7F73" w:rsidRDefault="00B003BF" w:rsidP="00A7540F">
      <w:pPr>
        <w:ind w:left="851" w:hanging="851"/>
        <w:rPr>
          <w:sz w:val="24"/>
          <w:szCs w:val="24"/>
        </w:rPr>
      </w:pPr>
    </w:p>
    <w:p w:rsidR="00B003BF" w:rsidRPr="008C7F73" w:rsidRDefault="00B003BF" w:rsidP="00A7540F">
      <w:pPr>
        <w:ind w:left="851" w:hanging="851"/>
        <w:rPr>
          <w:b/>
          <w:sz w:val="24"/>
          <w:szCs w:val="24"/>
        </w:rPr>
      </w:pPr>
      <w:r w:rsidRPr="008C7F73">
        <w:rPr>
          <w:b/>
          <w:sz w:val="24"/>
          <w:szCs w:val="24"/>
        </w:rPr>
        <w:t>6.3</w:t>
      </w:r>
      <w:r w:rsidRPr="008C7F73">
        <w:rPr>
          <w:b/>
          <w:sz w:val="24"/>
          <w:szCs w:val="24"/>
        </w:rPr>
        <w:tab/>
        <w:t>Opbevaringstid</w:t>
      </w:r>
    </w:p>
    <w:p w:rsidR="00A7499F" w:rsidRPr="008C7F73" w:rsidRDefault="00761C43" w:rsidP="00761C43">
      <w:pPr>
        <w:ind w:left="851"/>
        <w:rPr>
          <w:sz w:val="24"/>
          <w:szCs w:val="24"/>
        </w:rPr>
      </w:pPr>
      <w:r w:rsidRPr="008C7F73">
        <w:rPr>
          <w:sz w:val="24"/>
          <w:szCs w:val="24"/>
        </w:rPr>
        <w:t xml:space="preserve">3 </w:t>
      </w:r>
      <w:r w:rsidR="00A7499F" w:rsidRPr="008C7F73">
        <w:rPr>
          <w:sz w:val="24"/>
          <w:szCs w:val="24"/>
        </w:rPr>
        <w:t>år.</w:t>
      </w:r>
    </w:p>
    <w:p w:rsidR="00B003BF" w:rsidRPr="008C7F73" w:rsidRDefault="00B003BF" w:rsidP="00A7540F">
      <w:pPr>
        <w:ind w:left="851" w:hanging="851"/>
        <w:rPr>
          <w:sz w:val="24"/>
          <w:szCs w:val="24"/>
        </w:rPr>
      </w:pPr>
    </w:p>
    <w:p w:rsidR="00B003BF" w:rsidRPr="008C7F73" w:rsidRDefault="00B003BF" w:rsidP="00A7540F">
      <w:pPr>
        <w:ind w:left="851" w:hanging="851"/>
        <w:rPr>
          <w:b/>
          <w:sz w:val="24"/>
          <w:szCs w:val="24"/>
        </w:rPr>
      </w:pPr>
      <w:r w:rsidRPr="008C7F73">
        <w:rPr>
          <w:b/>
          <w:sz w:val="24"/>
          <w:szCs w:val="24"/>
        </w:rPr>
        <w:t>6.4</w:t>
      </w:r>
      <w:r w:rsidRPr="008C7F73">
        <w:rPr>
          <w:b/>
          <w:sz w:val="24"/>
          <w:szCs w:val="24"/>
        </w:rPr>
        <w:tab/>
        <w:t>Særlige opbevaringsforhold</w:t>
      </w:r>
    </w:p>
    <w:p w:rsidR="00A7499F" w:rsidRPr="008C7F73" w:rsidRDefault="00B003BF" w:rsidP="00A7540F">
      <w:pPr>
        <w:ind w:left="851" w:hanging="851"/>
        <w:rPr>
          <w:iCs/>
          <w:sz w:val="24"/>
          <w:szCs w:val="24"/>
        </w:rPr>
      </w:pPr>
      <w:r w:rsidRPr="008C7F73">
        <w:rPr>
          <w:sz w:val="24"/>
          <w:szCs w:val="24"/>
        </w:rPr>
        <w:tab/>
      </w:r>
      <w:r w:rsidR="00A7499F" w:rsidRPr="008C7F73">
        <w:rPr>
          <w:iCs/>
          <w:sz w:val="24"/>
          <w:szCs w:val="24"/>
        </w:rPr>
        <w:t>Dette lægemiddel kræver ingen særlige forholdsregler vedrørende opbevaringen.</w:t>
      </w:r>
    </w:p>
    <w:p w:rsidR="003C5694" w:rsidRPr="008C7F73" w:rsidRDefault="003C5694" w:rsidP="00884C2A">
      <w:pPr>
        <w:rPr>
          <w:sz w:val="24"/>
          <w:szCs w:val="24"/>
        </w:rPr>
      </w:pPr>
    </w:p>
    <w:p w:rsidR="00B003BF" w:rsidRPr="008C7F73" w:rsidRDefault="00B003BF" w:rsidP="00A7540F">
      <w:pPr>
        <w:ind w:left="851" w:hanging="851"/>
        <w:rPr>
          <w:b/>
          <w:sz w:val="24"/>
          <w:szCs w:val="24"/>
        </w:rPr>
      </w:pPr>
      <w:r w:rsidRPr="008C7F73">
        <w:rPr>
          <w:b/>
          <w:sz w:val="24"/>
          <w:szCs w:val="24"/>
        </w:rPr>
        <w:t>6.5</w:t>
      </w:r>
      <w:r w:rsidRPr="008C7F73">
        <w:rPr>
          <w:b/>
          <w:sz w:val="24"/>
          <w:szCs w:val="24"/>
        </w:rPr>
        <w:tab/>
        <w:t>Emballagetyper og pakningsstørrelser</w:t>
      </w:r>
    </w:p>
    <w:p w:rsidR="00A7499F" w:rsidRPr="008C7F73" w:rsidRDefault="00B003BF" w:rsidP="00A7540F">
      <w:pPr>
        <w:ind w:left="851" w:hanging="851"/>
        <w:rPr>
          <w:sz w:val="24"/>
          <w:szCs w:val="24"/>
        </w:rPr>
      </w:pPr>
      <w:r w:rsidRPr="008C7F73">
        <w:rPr>
          <w:sz w:val="24"/>
          <w:szCs w:val="24"/>
        </w:rPr>
        <w:tab/>
      </w:r>
      <w:r w:rsidR="00A7499F" w:rsidRPr="008C7F73">
        <w:rPr>
          <w:sz w:val="24"/>
          <w:szCs w:val="24"/>
        </w:rPr>
        <w:t>Blisterkort af PVC/PVDC/aluminium.</w:t>
      </w:r>
    </w:p>
    <w:p w:rsidR="00A7499F" w:rsidRPr="008C7F73" w:rsidRDefault="00A7499F" w:rsidP="00A7540F">
      <w:pPr>
        <w:ind w:left="851" w:hanging="851"/>
        <w:rPr>
          <w:sz w:val="24"/>
          <w:szCs w:val="24"/>
        </w:rPr>
      </w:pPr>
    </w:p>
    <w:p w:rsidR="00A7499F" w:rsidRPr="008C7F73" w:rsidRDefault="00761C43" w:rsidP="00A7540F">
      <w:pPr>
        <w:ind w:left="851" w:hanging="851"/>
        <w:rPr>
          <w:sz w:val="24"/>
          <w:szCs w:val="24"/>
        </w:rPr>
      </w:pPr>
      <w:r w:rsidRPr="008C7F73">
        <w:rPr>
          <w:sz w:val="24"/>
          <w:szCs w:val="24"/>
        </w:rPr>
        <w:tab/>
      </w:r>
      <w:r w:rsidR="00A7499F" w:rsidRPr="008C7F73">
        <w:rPr>
          <w:sz w:val="24"/>
          <w:szCs w:val="24"/>
        </w:rPr>
        <w:t>Hver æske indeholder et blisterkort med én tablet.</w:t>
      </w:r>
    </w:p>
    <w:p w:rsidR="00B003BF" w:rsidRPr="008C7F73" w:rsidRDefault="00B003BF" w:rsidP="00A7540F">
      <w:pPr>
        <w:ind w:left="851" w:hanging="851"/>
        <w:rPr>
          <w:sz w:val="24"/>
          <w:szCs w:val="24"/>
        </w:rPr>
      </w:pPr>
    </w:p>
    <w:p w:rsidR="00B003BF" w:rsidRPr="008C7F73" w:rsidRDefault="00B003BF" w:rsidP="00A7540F">
      <w:pPr>
        <w:ind w:left="851" w:hanging="851"/>
        <w:rPr>
          <w:b/>
          <w:sz w:val="24"/>
          <w:szCs w:val="24"/>
        </w:rPr>
      </w:pPr>
      <w:r w:rsidRPr="008C7F73">
        <w:rPr>
          <w:b/>
          <w:sz w:val="24"/>
          <w:szCs w:val="24"/>
        </w:rPr>
        <w:t>6.6</w:t>
      </w:r>
      <w:r w:rsidRPr="008C7F73">
        <w:rPr>
          <w:b/>
          <w:sz w:val="24"/>
          <w:szCs w:val="24"/>
        </w:rPr>
        <w:tab/>
        <w:t>Regler for destruktion og anden håndtering</w:t>
      </w:r>
    </w:p>
    <w:p w:rsidR="00B003BF" w:rsidRDefault="00B003BF" w:rsidP="00465D9B">
      <w:pPr>
        <w:ind w:left="851" w:hanging="851"/>
        <w:rPr>
          <w:sz w:val="24"/>
          <w:szCs w:val="24"/>
        </w:rPr>
      </w:pPr>
      <w:r w:rsidRPr="008C7F73">
        <w:rPr>
          <w:sz w:val="24"/>
          <w:szCs w:val="24"/>
        </w:rPr>
        <w:tab/>
      </w:r>
      <w:r w:rsidR="005B4414">
        <w:rPr>
          <w:sz w:val="24"/>
          <w:szCs w:val="24"/>
        </w:rPr>
        <w:t>Ikke anvendt lægemiddel samt affald heraf skal bortskaffes i henhold til lokale retningslinjer.</w:t>
      </w:r>
    </w:p>
    <w:p w:rsidR="003C5694" w:rsidRDefault="003C5694" w:rsidP="00A7540F">
      <w:pPr>
        <w:ind w:left="851" w:hanging="851"/>
        <w:jc w:val="both"/>
        <w:rPr>
          <w:sz w:val="24"/>
          <w:szCs w:val="24"/>
        </w:rPr>
      </w:pPr>
    </w:p>
    <w:p w:rsidR="008E452A" w:rsidRPr="008C7F73" w:rsidRDefault="008E452A" w:rsidP="00A7540F">
      <w:pPr>
        <w:ind w:left="851" w:hanging="851"/>
        <w:jc w:val="both"/>
        <w:rPr>
          <w:sz w:val="24"/>
          <w:szCs w:val="24"/>
        </w:rPr>
      </w:pPr>
    </w:p>
    <w:p w:rsidR="00B003BF" w:rsidRPr="008C7F73" w:rsidRDefault="00B003BF" w:rsidP="00A7540F">
      <w:pPr>
        <w:ind w:left="851" w:hanging="851"/>
        <w:rPr>
          <w:b/>
          <w:sz w:val="24"/>
          <w:szCs w:val="24"/>
        </w:rPr>
      </w:pPr>
      <w:r w:rsidRPr="008C7F73">
        <w:rPr>
          <w:b/>
          <w:sz w:val="24"/>
          <w:szCs w:val="24"/>
        </w:rPr>
        <w:t>7.</w:t>
      </w:r>
      <w:r w:rsidRPr="008C7F73">
        <w:rPr>
          <w:b/>
          <w:sz w:val="24"/>
          <w:szCs w:val="24"/>
        </w:rPr>
        <w:tab/>
        <w:t>INDEHAVER AF MARKEDSFØRINGSTILLADELSEN</w:t>
      </w:r>
    </w:p>
    <w:p w:rsidR="00A7499F" w:rsidRPr="008C7F73" w:rsidRDefault="00761C43" w:rsidP="00A7540F">
      <w:pPr>
        <w:ind w:left="851" w:hanging="851"/>
        <w:rPr>
          <w:sz w:val="24"/>
          <w:szCs w:val="24"/>
        </w:rPr>
      </w:pPr>
      <w:r w:rsidRPr="008C7F73">
        <w:rPr>
          <w:sz w:val="24"/>
          <w:szCs w:val="24"/>
        </w:rPr>
        <w:tab/>
      </w:r>
      <w:r w:rsidR="00A7499F" w:rsidRPr="008C7F73">
        <w:rPr>
          <w:sz w:val="24"/>
          <w:szCs w:val="24"/>
        </w:rPr>
        <w:t>Sandoz A/S</w:t>
      </w:r>
    </w:p>
    <w:p w:rsidR="00A7499F" w:rsidRPr="008C7F73" w:rsidRDefault="00761C43" w:rsidP="00A7540F">
      <w:pPr>
        <w:ind w:left="851" w:hanging="851"/>
        <w:rPr>
          <w:sz w:val="24"/>
          <w:szCs w:val="24"/>
        </w:rPr>
      </w:pPr>
      <w:r w:rsidRPr="008C7F73">
        <w:rPr>
          <w:sz w:val="24"/>
          <w:szCs w:val="24"/>
        </w:rPr>
        <w:tab/>
      </w:r>
      <w:r w:rsidR="00A7499F" w:rsidRPr="008C7F73">
        <w:rPr>
          <w:sz w:val="24"/>
          <w:szCs w:val="24"/>
        </w:rPr>
        <w:t>Edvard Thomsens Vej 14</w:t>
      </w:r>
    </w:p>
    <w:p w:rsidR="00A7499F" w:rsidRPr="008C7F73" w:rsidRDefault="00761C43" w:rsidP="00A7540F">
      <w:pPr>
        <w:ind w:left="851" w:hanging="851"/>
        <w:rPr>
          <w:sz w:val="24"/>
          <w:szCs w:val="24"/>
        </w:rPr>
      </w:pPr>
      <w:r w:rsidRPr="008C7F73">
        <w:rPr>
          <w:sz w:val="24"/>
          <w:szCs w:val="24"/>
        </w:rPr>
        <w:tab/>
      </w:r>
      <w:r w:rsidR="00A7499F" w:rsidRPr="008C7F73">
        <w:rPr>
          <w:sz w:val="24"/>
          <w:szCs w:val="24"/>
        </w:rPr>
        <w:t>2300 København S</w:t>
      </w:r>
    </w:p>
    <w:p w:rsidR="00B003BF" w:rsidRPr="008C7F73" w:rsidRDefault="00B003BF" w:rsidP="00A7540F">
      <w:pPr>
        <w:ind w:left="851" w:hanging="851"/>
        <w:rPr>
          <w:sz w:val="24"/>
          <w:szCs w:val="24"/>
        </w:rPr>
      </w:pPr>
    </w:p>
    <w:p w:rsidR="00B003BF" w:rsidRPr="008C7F73" w:rsidRDefault="00B003BF" w:rsidP="00A7540F">
      <w:pPr>
        <w:ind w:left="851" w:hanging="851"/>
        <w:rPr>
          <w:b/>
          <w:sz w:val="24"/>
          <w:szCs w:val="24"/>
        </w:rPr>
      </w:pPr>
      <w:r w:rsidRPr="008C7F73">
        <w:rPr>
          <w:b/>
          <w:sz w:val="24"/>
          <w:szCs w:val="24"/>
        </w:rPr>
        <w:t>8.</w:t>
      </w:r>
      <w:r w:rsidRPr="008C7F73">
        <w:rPr>
          <w:b/>
          <w:sz w:val="24"/>
          <w:szCs w:val="24"/>
        </w:rPr>
        <w:tab/>
        <w:t>MARKEDSFØRINGSTILLADELSESNUMMER (NUMRE)</w:t>
      </w:r>
    </w:p>
    <w:p w:rsidR="00A7499F" w:rsidRPr="008C7F73" w:rsidRDefault="00B003BF" w:rsidP="00A7540F">
      <w:pPr>
        <w:ind w:left="851" w:hanging="851"/>
        <w:rPr>
          <w:b/>
          <w:bCs/>
          <w:sz w:val="24"/>
          <w:szCs w:val="24"/>
        </w:rPr>
      </w:pPr>
      <w:r w:rsidRPr="008C7F73">
        <w:rPr>
          <w:sz w:val="24"/>
          <w:szCs w:val="24"/>
        </w:rPr>
        <w:tab/>
      </w:r>
      <w:r w:rsidR="00A7499F" w:rsidRPr="008C7F73">
        <w:rPr>
          <w:sz w:val="24"/>
          <w:szCs w:val="24"/>
        </w:rPr>
        <w:t>50750</w:t>
      </w:r>
    </w:p>
    <w:p w:rsidR="00B003BF" w:rsidRPr="008C7F73" w:rsidRDefault="00B003BF" w:rsidP="00A7540F">
      <w:pPr>
        <w:ind w:left="851" w:hanging="851"/>
        <w:jc w:val="both"/>
        <w:rPr>
          <w:sz w:val="24"/>
          <w:szCs w:val="24"/>
        </w:rPr>
      </w:pPr>
    </w:p>
    <w:p w:rsidR="00B003BF" w:rsidRPr="008C7F73" w:rsidRDefault="00B003BF" w:rsidP="00A7540F">
      <w:pPr>
        <w:ind w:left="851" w:hanging="851"/>
        <w:rPr>
          <w:b/>
          <w:sz w:val="24"/>
          <w:szCs w:val="24"/>
        </w:rPr>
      </w:pPr>
      <w:r w:rsidRPr="008C7F73">
        <w:rPr>
          <w:b/>
          <w:sz w:val="24"/>
          <w:szCs w:val="24"/>
        </w:rPr>
        <w:t>9.</w:t>
      </w:r>
      <w:r w:rsidRPr="008C7F73">
        <w:rPr>
          <w:b/>
          <w:sz w:val="24"/>
          <w:szCs w:val="24"/>
        </w:rPr>
        <w:tab/>
        <w:t>DATO FOR FØRSTE MARKEDSFØRINGSTILLADELSE</w:t>
      </w:r>
    </w:p>
    <w:p w:rsidR="00E7720E" w:rsidRDefault="00B003BF" w:rsidP="000A3185">
      <w:pPr>
        <w:ind w:left="851" w:hanging="851"/>
        <w:rPr>
          <w:sz w:val="24"/>
          <w:szCs w:val="24"/>
        </w:rPr>
      </w:pPr>
      <w:r w:rsidRPr="008C7F73">
        <w:rPr>
          <w:sz w:val="24"/>
          <w:szCs w:val="24"/>
        </w:rPr>
        <w:tab/>
      </w:r>
      <w:r w:rsidR="00E7720E">
        <w:rPr>
          <w:sz w:val="24"/>
          <w:szCs w:val="24"/>
        </w:rPr>
        <w:t>20</w:t>
      </w:r>
      <w:r w:rsidR="00A7499F" w:rsidRPr="008C7F73">
        <w:rPr>
          <w:sz w:val="24"/>
          <w:szCs w:val="24"/>
        </w:rPr>
        <w:t>. december 2013</w:t>
      </w:r>
    </w:p>
    <w:p w:rsidR="00B003BF" w:rsidRPr="008C7F73" w:rsidRDefault="00B003BF" w:rsidP="00A7540F">
      <w:pPr>
        <w:ind w:left="851" w:hanging="851"/>
        <w:rPr>
          <w:sz w:val="24"/>
          <w:szCs w:val="24"/>
        </w:rPr>
      </w:pPr>
    </w:p>
    <w:p w:rsidR="00B003BF" w:rsidRPr="008C7F73" w:rsidRDefault="00B003BF" w:rsidP="00A7540F">
      <w:pPr>
        <w:ind w:left="851" w:hanging="851"/>
        <w:rPr>
          <w:b/>
          <w:sz w:val="24"/>
          <w:szCs w:val="24"/>
        </w:rPr>
      </w:pPr>
      <w:r w:rsidRPr="008C7F73">
        <w:rPr>
          <w:b/>
          <w:sz w:val="24"/>
          <w:szCs w:val="24"/>
        </w:rPr>
        <w:t>10.</w:t>
      </w:r>
      <w:r w:rsidRPr="008C7F73">
        <w:rPr>
          <w:b/>
          <w:sz w:val="24"/>
          <w:szCs w:val="24"/>
        </w:rPr>
        <w:tab/>
        <w:t>DATO FOR ÆNDRING AF TEKSTEN</w:t>
      </w:r>
    </w:p>
    <w:p w:rsidR="00B003BF" w:rsidRPr="008E452A" w:rsidRDefault="00B003BF" w:rsidP="00A7540F">
      <w:pPr>
        <w:ind w:left="851" w:hanging="851"/>
        <w:rPr>
          <w:sz w:val="24"/>
          <w:szCs w:val="24"/>
        </w:rPr>
      </w:pPr>
      <w:r w:rsidRPr="008E452A">
        <w:rPr>
          <w:sz w:val="24"/>
          <w:szCs w:val="24"/>
        </w:rPr>
        <w:tab/>
      </w:r>
      <w:r w:rsidR="00864D8B">
        <w:rPr>
          <w:sz w:val="24"/>
          <w:szCs w:val="24"/>
        </w:rPr>
        <w:t>15. oktober 2019</w:t>
      </w:r>
    </w:p>
    <w:sectPr w:rsidR="00B003BF" w:rsidRPr="008E452A" w:rsidSect="00F27843">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20E" w:rsidRDefault="00E7720E">
      <w:r>
        <w:separator/>
      </w:r>
    </w:p>
  </w:endnote>
  <w:endnote w:type="continuationSeparator" w:id="0">
    <w:p w:rsidR="00E7720E" w:rsidRDefault="00E7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20E" w:rsidRDefault="00E7720E">
    <w:pPr>
      <w:pStyle w:val="Sidefod"/>
      <w:pBdr>
        <w:bottom w:val="single" w:sz="6" w:space="1" w:color="auto"/>
      </w:pBdr>
    </w:pPr>
  </w:p>
  <w:p w:rsidR="00E7720E" w:rsidRDefault="00E7720E" w:rsidP="00C42586">
    <w:pPr>
      <w:pStyle w:val="Sidefod"/>
      <w:tabs>
        <w:tab w:val="clear" w:pos="4819"/>
        <w:tab w:val="left" w:pos="8505"/>
      </w:tabs>
      <w:rPr>
        <w:i/>
        <w:sz w:val="18"/>
        <w:szCs w:val="18"/>
      </w:rPr>
    </w:pPr>
  </w:p>
  <w:p w:rsidR="00E7720E" w:rsidRPr="00B373D7" w:rsidRDefault="00266D85" w:rsidP="00C42586">
    <w:pPr>
      <w:pStyle w:val="Sidefod"/>
      <w:tabs>
        <w:tab w:val="clear" w:pos="4819"/>
        <w:tab w:val="left" w:pos="8505"/>
      </w:tabs>
      <w:rPr>
        <w:i/>
        <w:sz w:val="18"/>
        <w:szCs w:val="18"/>
      </w:rPr>
    </w:pPr>
    <w:r w:rsidRPr="00B373D7">
      <w:rPr>
        <w:i/>
        <w:sz w:val="18"/>
        <w:szCs w:val="18"/>
      </w:rPr>
      <w:fldChar w:fldCharType="begin"/>
    </w:r>
    <w:r w:rsidR="00E7720E" w:rsidRPr="00B373D7">
      <w:rPr>
        <w:i/>
        <w:sz w:val="18"/>
        <w:szCs w:val="18"/>
      </w:rPr>
      <w:instrText xml:space="preserve"> FILENAME </w:instrText>
    </w:r>
    <w:r w:rsidRPr="00B373D7">
      <w:rPr>
        <w:i/>
        <w:sz w:val="18"/>
        <w:szCs w:val="18"/>
      </w:rPr>
      <w:fldChar w:fldCharType="separate"/>
    </w:r>
    <w:r w:rsidR="00884C2A">
      <w:rPr>
        <w:i/>
        <w:noProof/>
        <w:sz w:val="18"/>
        <w:szCs w:val="18"/>
      </w:rPr>
      <w:t>Levodonna, tabletter 1,5 mg</w:t>
    </w:r>
    <w:r w:rsidRPr="00B373D7">
      <w:rPr>
        <w:i/>
        <w:sz w:val="18"/>
        <w:szCs w:val="18"/>
      </w:rPr>
      <w:fldChar w:fldCharType="end"/>
    </w:r>
    <w:r w:rsidR="00E7720E" w:rsidRPr="00B373D7">
      <w:rPr>
        <w:i/>
        <w:sz w:val="18"/>
        <w:szCs w:val="18"/>
      </w:rPr>
      <w:tab/>
      <w:t xml:space="preserve">Side </w:t>
    </w:r>
    <w:r w:rsidRPr="00B373D7">
      <w:rPr>
        <w:rStyle w:val="Sidetal"/>
        <w:i/>
        <w:sz w:val="18"/>
        <w:szCs w:val="18"/>
      </w:rPr>
      <w:fldChar w:fldCharType="begin"/>
    </w:r>
    <w:r w:rsidR="00E7720E" w:rsidRPr="00B373D7">
      <w:rPr>
        <w:rStyle w:val="Sidetal"/>
        <w:i/>
        <w:sz w:val="18"/>
        <w:szCs w:val="18"/>
      </w:rPr>
      <w:instrText xml:space="preserve"> PAGE </w:instrText>
    </w:r>
    <w:r w:rsidRPr="00B373D7">
      <w:rPr>
        <w:rStyle w:val="Sidetal"/>
        <w:i/>
        <w:sz w:val="18"/>
        <w:szCs w:val="18"/>
      </w:rPr>
      <w:fldChar w:fldCharType="separate"/>
    </w:r>
    <w:r w:rsidR="00CC1C62">
      <w:rPr>
        <w:rStyle w:val="Sidetal"/>
        <w:i/>
        <w:noProof/>
        <w:sz w:val="18"/>
        <w:szCs w:val="18"/>
      </w:rPr>
      <w:t>5</w:t>
    </w:r>
    <w:r w:rsidRPr="00B373D7">
      <w:rPr>
        <w:rStyle w:val="Sidetal"/>
        <w:i/>
        <w:sz w:val="18"/>
        <w:szCs w:val="18"/>
      </w:rPr>
      <w:fldChar w:fldCharType="end"/>
    </w:r>
    <w:r w:rsidR="00E7720E" w:rsidRPr="00B373D7">
      <w:rPr>
        <w:rStyle w:val="Sidetal"/>
        <w:i/>
        <w:sz w:val="18"/>
        <w:szCs w:val="18"/>
      </w:rPr>
      <w:t xml:space="preserve"> af </w:t>
    </w:r>
    <w:r w:rsidRPr="00B373D7">
      <w:rPr>
        <w:rStyle w:val="Sidetal"/>
        <w:i/>
        <w:sz w:val="18"/>
        <w:szCs w:val="18"/>
      </w:rPr>
      <w:fldChar w:fldCharType="begin"/>
    </w:r>
    <w:r w:rsidR="00E7720E" w:rsidRPr="00B373D7">
      <w:rPr>
        <w:rStyle w:val="Sidetal"/>
        <w:i/>
        <w:sz w:val="18"/>
        <w:szCs w:val="18"/>
      </w:rPr>
      <w:instrText xml:space="preserve"> NUMPAGES </w:instrText>
    </w:r>
    <w:r w:rsidRPr="00B373D7">
      <w:rPr>
        <w:rStyle w:val="Sidetal"/>
        <w:i/>
        <w:sz w:val="18"/>
        <w:szCs w:val="18"/>
      </w:rPr>
      <w:fldChar w:fldCharType="separate"/>
    </w:r>
    <w:r w:rsidR="00CC1C62">
      <w:rPr>
        <w:rStyle w:val="Sidetal"/>
        <w:i/>
        <w:noProof/>
        <w:sz w:val="18"/>
        <w:szCs w:val="18"/>
      </w:rPr>
      <w:t>7</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20E" w:rsidRDefault="00E7720E">
      <w:r>
        <w:separator/>
      </w:r>
    </w:p>
  </w:footnote>
  <w:footnote w:type="continuationSeparator" w:id="0">
    <w:p w:rsidR="00E7720E" w:rsidRDefault="00E77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19A64A1"/>
    <w:multiLevelType w:val="hybridMultilevel"/>
    <w:tmpl w:val="B61CCE06"/>
    <w:lvl w:ilvl="0" w:tplc="080AECBE">
      <w:start w:val="3"/>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9F"/>
    <w:rsid w:val="00001332"/>
    <w:rsid w:val="000259B9"/>
    <w:rsid w:val="00041491"/>
    <w:rsid w:val="00050D16"/>
    <w:rsid w:val="00074F2A"/>
    <w:rsid w:val="000A1CA8"/>
    <w:rsid w:val="000A3185"/>
    <w:rsid w:val="000A466B"/>
    <w:rsid w:val="000E4EE6"/>
    <w:rsid w:val="0011271D"/>
    <w:rsid w:val="00175272"/>
    <w:rsid w:val="00177A9D"/>
    <w:rsid w:val="00186890"/>
    <w:rsid w:val="001939D3"/>
    <w:rsid w:val="00206CE8"/>
    <w:rsid w:val="00266D85"/>
    <w:rsid w:val="00283A2B"/>
    <w:rsid w:val="002B30AD"/>
    <w:rsid w:val="002C2C01"/>
    <w:rsid w:val="002E0293"/>
    <w:rsid w:val="002E7284"/>
    <w:rsid w:val="0032777A"/>
    <w:rsid w:val="00394E68"/>
    <w:rsid w:val="003A29AE"/>
    <w:rsid w:val="003A32D7"/>
    <w:rsid w:val="003B4074"/>
    <w:rsid w:val="003C5694"/>
    <w:rsid w:val="003C769A"/>
    <w:rsid w:val="00421A4E"/>
    <w:rsid w:val="004477AF"/>
    <w:rsid w:val="0045746C"/>
    <w:rsid w:val="00465D9B"/>
    <w:rsid w:val="0049104B"/>
    <w:rsid w:val="004E3B12"/>
    <w:rsid w:val="0053790B"/>
    <w:rsid w:val="00565F0F"/>
    <w:rsid w:val="00570D45"/>
    <w:rsid w:val="0059399C"/>
    <w:rsid w:val="00594A86"/>
    <w:rsid w:val="00596D86"/>
    <w:rsid w:val="005B4414"/>
    <w:rsid w:val="00625A7F"/>
    <w:rsid w:val="0065281A"/>
    <w:rsid w:val="006560B1"/>
    <w:rsid w:val="006756DD"/>
    <w:rsid w:val="00740EEC"/>
    <w:rsid w:val="007511B6"/>
    <w:rsid w:val="00761C43"/>
    <w:rsid w:val="0078011A"/>
    <w:rsid w:val="00782AF4"/>
    <w:rsid w:val="00784AE9"/>
    <w:rsid w:val="00790EE7"/>
    <w:rsid w:val="007B6649"/>
    <w:rsid w:val="007B79D7"/>
    <w:rsid w:val="0082576E"/>
    <w:rsid w:val="00864D8B"/>
    <w:rsid w:val="00884C2A"/>
    <w:rsid w:val="008C7F73"/>
    <w:rsid w:val="008E452A"/>
    <w:rsid w:val="00907F75"/>
    <w:rsid w:val="0092139E"/>
    <w:rsid w:val="0093258A"/>
    <w:rsid w:val="009407E4"/>
    <w:rsid w:val="009C7BA3"/>
    <w:rsid w:val="009D1F5A"/>
    <w:rsid w:val="00A32271"/>
    <w:rsid w:val="00A52AA6"/>
    <w:rsid w:val="00A7499F"/>
    <w:rsid w:val="00A7540F"/>
    <w:rsid w:val="00A93313"/>
    <w:rsid w:val="00AE2AF7"/>
    <w:rsid w:val="00AF3B1F"/>
    <w:rsid w:val="00B003BF"/>
    <w:rsid w:val="00B145F7"/>
    <w:rsid w:val="00B373D7"/>
    <w:rsid w:val="00C24E72"/>
    <w:rsid w:val="00C36276"/>
    <w:rsid w:val="00C42586"/>
    <w:rsid w:val="00C77769"/>
    <w:rsid w:val="00C84483"/>
    <w:rsid w:val="00C92D21"/>
    <w:rsid w:val="00C95551"/>
    <w:rsid w:val="00CB20D7"/>
    <w:rsid w:val="00CC1C62"/>
    <w:rsid w:val="00CF251A"/>
    <w:rsid w:val="00CF6697"/>
    <w:rsid w:val="00D020B0"/>
    <w:rsid w:val="00D11748"/>
    <w:rsid w:val="00D366CF"/>
    <w:rsid w:val="00D90666"/>
    <w:rsid w:val="00DF327A"/>
    <w:rsid w:val="00E108AA"/>
    <w:rsid w:val="00E3749A"/>
    <w:rsid w:val="00E7437F"/>
    <w:rsid w:val="00E7720E"/>
    <w:rsid w:val="00E865B8"/>
    <w:rsid w:val="00EC0B9B"/>
    <w:rsid w:val="00ED5E9F"/>
    <w:rsid w:val="00F27843"/>
    <w:rsid w:val="00FA212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3BE65F-EF69-4643-98E4-FFBFACEE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paragraph" w:styleId="NormalWeb">
    <w:name w:val="Normal (Web)"/>
    <w:basedOn w:val="Normal"/>
    <w:uiPriority w:val="99"/>
    <w:semiHidden/>
    <w:unhideWhenUsed/>
    <w:rsid w:val="00A7499F"/>
    <w:rPr>
      <w:sz w:val="24"/>
      <w:szCs w:val="24"/>
    </w:rPr>
  </w:style>
  <w:style w:type="character" w:styleId="Hyperlink">
    <w:name w:val="Hyperlink"/>
    <w:basedOn w:val="Standardskrifttypeiafsnit"/>
    <w:uiPriority w:val="99"/>
    <w:unhideWhenUsed/>
    <w:rsid w:val="00A749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606">
      <w:bodyDiv w:val="1"/>
      <w:marLeft w:val="0"/>
      <w:marRight w:val="0"/>
      <w:marTop w:val="0"/>
      <w:marBottom w:val="0"/>
      <w:divBdr>
        <w:top w:val="none" w:sz="0" w:space="0" w:color="auto"/>
        <w:left w:val="none" w:sz="0" w:space="0" w:color="auto"/>
        <w:bottom w:val="none" w:sz="0" w:space="0" w:color="auto"/>
        <w:right w:val="none" w:sz="0" w:space="0" w:color="auto"/>
      </w:divBdr>
    </w:div>
    <w:div w:id="96173669">
      <w:bodyDiv w:val="1"/>
      <w:marLeft w:val="0"/>
      <w:marRight w:val="0"/>
      <w:marTop w:val="0"/>
      <w:marBottom w:val="0"/>
      <w:divBdr>
        <w:top w:val="none" w:sz="0" w:space="0" w:color="auto"/>
        <w:left w:val="none" w:sz="0" w:space="0" w:color="auto"/>
        <w:bottom w:val="none" w:sz="0" w:space="0" w:color="auto"/>
        <w:right w:val="none" w:sz="0" w:space="0" w:color="auto"/>
      </w:divBdr>
    </w:div>
    <w:div w:id="14663317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3964312">
      <w:bodyDiv w:val="1"/>
      <w:marLeft w:val="0"/>
      <w:marRight w:val="0"/>
      <w:marTop w:val="0"/>
      <w:marBottom w:val="0"/>
      <w:divBdr>
        <w:top w:val="none" w:sz="0" w:space="0" w:color="auto"/>
        <w:left w:val="none" w:sz="0" w:space="0" w:color="auto"/>
        <w:bottom w:val="none" w:sz="0" w:space="0" w:color="auto"/>
        <w:right w:val="none" w:sz="0" w:space="0" w:color="auto"/>
      </w:divBdr>
    </w:div>
    <w:div w:id="223151977">
      <w:bodyDiv w:val="1"/>
      <w:marLeft w:val="0"/>
      <w:marRight w:val="0"/>
      <w:marTop w:val="0"/>
      <w:marBottom w:val="0"/>
      <w:divBdr>
        <w:top w:val="none" w:sz="0" w:space="0" w:color="auto"/>
        <w:left w:val="none" w:sz="0" w:space="0" w:color="auto"/>
        <w:bottom w:val="none" w:sz="0" w:space="0" w:color="auto"/>
        <w:right w:val="none" w:sz="0" w:space="0" w:color="auto"/>
      </w:divBdr>
    </w:div>
    <w:div w:id="353843693">
      <w:bodyDiv w:val="1"/>
      <w:marLeft w:val="0"/>
      <w:marRight w:val="0"/>
      <w:marTop w:val="0"/>
      <w:marBottom w:val="0"/>
      <w:divBdr>
        <w:top w:val="none" w:sz="0" w:space="0" w:color="auto"/>
        <w:left w:val="none" w:sz="0" w:space="0" w:color="auto"/>
        <w:bottom w:val="none" w:sz="0" w:space="0" w:color="auto"/>
        <w:right w:val="none" w:sz="0" w:space="0" w:color="auto"/>
      </w:divBdr>
    </w:div>
    <w:div w:id="391933101">
      <w:bodyDiv w:val="1"/>
      <w:marLeft w:val="0"/>
      <w:marRight w:val="0"/>
      <w:marTop w:val="0"/>
      <w:marBottom w:val="0"/>
      <w:divBdr>
        <w:top w:val="none" w:sz="0" w:space="0" w:color="auto"/>
        <w:left w:val="none" w:sz="0" w:space="0" w:color="auto"/>
        <w:bottom w:val="none" w:sz="0" w:space="0" w:color="auto"/>
        <w:right w:val="none" w:sz="0" w:space="0" w:color="auto"/>
      </w:divBdr>
    </w:div>
    <w:div w:id="454253263">
      <w:bodyDiv w:val="1"/>
      <w:marLeft w:val="0"/>
      <w:marRight w:val="0"/>
      <w:marTop w:val="0"/>
      <w:marBottom w:val="0"/>
      <w:divBdr>
        <w:top w:val="none" w:sz="0" w:space="0" w:color="auto"/>
        <w:left w:val="none" w:sz="0" w:space="0" w:color="auto"/>
        <w:bottom w:val="none" w:sz="0" w:space="0" w:color="auto"/>
        <w:right w:val="none" w:sz="0" w:space="0" w:color="auto"/>
      </w:divBdr>
    </w:div>
    <w:div w:id="547881483">
      <w:bodyDiv w:val="1"/>
      <w:marLeft w:val="0"/>
      <w:marRight w:val="0"/>
      <w:marTop w:val="0"/>
      <w:marBottom w:val="0"/>
      <w:divBdr>
        <w:top w:val="none" w:sz="0" w:space="0" w:color="auto"/>
        <w:left w:val="none" w:sz="0" w:space="0" w:color="auto"/>
        <w:bottom w:val="none" w:sz="0" w:space="0" w:color="auto"/>
        <w:right w:val="none" w:sz="0" w:space="0" w:color="auto"/>
      </w:divBdr>
    </w:div>
    <w:div w:id="565380750">
      <w:bodyDiv w:val="1"/>
      <w:marLeft w:val="0"/>
      <w:marRight w:val="0"/>
      <w:marTop w:val="0"/>
      <w:marBottom w:val="0"/>
      <w:divBdr>
        <w:top w:val="none" w:sz="0" w:space="0" w:color="auto"/>
        <w:left w:val="none" w:sz="0" w:space="0" w:color="auto"/>
        <w:bottom w:val="none" w:sz="0" w:space="0" w:color="auto"/>
        <w:right w:val="none" w:sz="0" w:space="0" w:color="auto"/>
      </w:divBdr>
    </w:div>
    <w:div w:id="591865175">
      <w:bodyDiv w:val="1"/>
      <w:marLeft w:val="0"/>
      <w:marRight w:val="0"/>
      <w:marTop w:val="0"/>
      <w:marBottom w:val="0"/>
      <w:divBdr>
        <w:top w:val="none" w:sz="0" w:space="0" w:color="auto"/>
        <w:left w:val="none" w:sz="0" w:space="0" w:color="auto"/>
        <w:bottom w:val="none" w:sz="0" w:space="0" w:color="auto"/>
        <w:right w:val="none" w:sz="0" w:space="0" w:color="auto"/>
      </w:divBdr>
    </w:div>
    <w:div w:id="685521619">
      <w:bodyDiv w:val="1"/>
      <w:marLeft w:val="0"/>
      <w:marRight w:val="0"/>
      <w:marTop w:val="0"/>
      <w:marBottom w:val="0"/>
      <w:divBdr>
        <w:top w:val="none" w:sz="0" w:space="0" w:color="auto"/>
        <w:left w:val="none" w:sz="0" w:space="0" w:color="auto"/>
        <w:bottom w:val="none" w:sz="0" w:space="0" w:color="auto"/>
        <w:right w:val="none" w:sz="0" w:space="0" w:color="auto"/>
      </w:divBdr>
    </w:div>
    <w:div w:id="771632400">
      <w:bodyDiv w:val="1"/>
      <w:marLeft w:val="0"/>
      <w:marRight w:val="0"/>
      <w:marTop w:val="0"/>
      <w:marBottom w:val="0"/>
      <w:divBdr>
        <w:top w:val="none" w:sz="0" w:space="0" w:color="auto"/>
        <w:left w:val="none" w:sz="0" w:space="0" w:color="auto"/>
        <w:bottom w:val="none" w:sz="0" w:space="0" w:color="auto"/>
        <w:right w:val="none" w:sz="0" w:space="0" w:color="auto"/>
      </w:divBdr>
    </w:div>
    <w:div w:id="803275412">
      <w:bodyDiv w:val="1"/>
      <w:marLeft w:val="0"/>
      <w:marRight w:val="0"/>
      <w:marTop w:val="0"/>
      <w:marBottom w:val="0"/>
      <w:divBdr>
        <w:top w:val="none" w:sz="0" w:space="0" w:color="auto"/>
        <w:left w:val="none" w:sz="0" w:space="0" w:color="auto"/>
        <w:bottom w:val="none" w:sz="0" w:space="0" w:color="auto"/>
        <w:right w:val="none" w:sz="0" w:space="0" w:color="auto"/>
      </w:divBdr>
    </w:div>
    <w:div w:id="816605890">
      <w:bodyDiv w:val="1"/>
      <w:marLeft w:val="0"/>
      <w:marRight w:val="0"/>
      <w:marTop w:val="0"/>
      <w:marBottom w:val="0"/>
      <w:divBdr>
        <w:top w:val="none" w:sz="0" w:space="0" w:color="auto"/>
        <w:left w:val="none" w:sz="0" w:space="0" w:color="auto"/>
        <w:bottom w:val="none" w:sz="0" w:space="0" w:color="auto"/>
        <w:right w:val="none" w:sz="0" w:space="0" w:color="auto"/>
      </w:divBdr>
    </w:div>
    <w:div w:id="820342148">
      <w:bodyDiv w:val="1"/>
      <w:marLeft w:val="0"/>
      <w:marRight w:val="0"/>
      <w:marTop w:val="0"/>
      <w:marBottom w:val="0"/>
      <w:divBdr>
        <w:top w:val="none" w:sz="0" w:space="0" w:color="auto"/>
        <w:left w:val="none" w:sz="0" w:space="0" w:color="auto"/>
        <w:bottom w:val="none" w:sz="0" w:space="0" w:color="auto"/>
        <w:right w:val="none" w:sz="0" w:space="0" w:color="auto"/>
      </w:divBdr>
    </w:div>
    <w:div w:id="829948515">
      <w:bodyDiv w:val="1"/>
      <w:marLeft w:val="0"/>
      <w:marRight w:val="0"/>
      <w:marTop w:val="0"/>
      <w:marBottom w:val="0"/>
      <w:divBdr>
        <w:top w:val="none" w:sz="0" w:space="0" w:color="auto"/>
        <w:left w:val="none" w:sz="0" w:space="0" w:color="auto"/>
        <w:bottom w:val="none" w:sz="0" w:space="0" w:color="auto"/>
        <w:right w:val="none" w:sz="0" w:space="0" w:color="auto"/>
      </w:divBdr>
    </w:div>
    <w:div w:id="831676112">
      <w:bodyDiv w:val="1"/>
      <w:marLeft w:val="0"/>
      <w:marRight w:val="0"/>
      <w:marTop w:val="0"/>
      <w:marBottom w:val="0"/>
      <w:divBdr>
        <w:top w:val="none" w:sz="0" w:space="0" w:color="auto"/>
        <w:left w:val="none" w:sz="0" w:space="0" w:color="auto"/>
        <w:bottom w:val="none" w:sz="0" w:space="0" w:color="auto"/>
        <w:right w:val="none" w:sz="0" w:space="0" w:color="auto"/>
      </w:divBdr>
    </w:div>
    <w:div w:id="844977168">
      <w:bodyDiv w:val="1"/>
      <w:marLeft w:val="0"/>
      <w:marRight w:val="0"/>
      <w:marTop w:val="0"/>
      <w:marBottom w:val="0"/>
      <w:divBdr>
        <w:top w:val="none" w:sz="0" w:space="0" w:color="auto"/>
        <w:left w:val="none" w:sz="0" w:space="0" w:color="auto"/>
        <w:bottom w:val="none" w:sz="0" w:space="0" w:color="auto"/>
        <w:right w:val="none" w:sz="0" w:space="0" w:color="auto"/>
      </w:divBdr>
    </w:div>
    <w:div w:id="909972037">
      <w:bodyDiv w:val="1"/>
      <w:marLeft w:val="0"/>
      <w:marRight w:val="0"/>
      <w:marTop w:val="0"/>
      <w:marBottom w:val="0"/>
      <w:divBdr>
        <w:top w:val="none" w:sz="0" w:space="0" w:color="auto"/>
        <w:left w:val="none" w:sz="0" w:space="0" w:color="auto"/>
        <w:bottom w:val="none" w:sz="0" w:space="0" w:color="auto"/>
        <w:right w:val="none" w:sz="0" w:space="0" w:color="auto"/>
      </w:divBdr>
    </w:div>
    <w:div w:id="961960389">
      <w:bodyDiv w:val="1"/>
      <w:marLeft w:val="0"/>
      <w:marRight w:val="0"/>
      <w:marTop w:val="0"/>
      <w:marBottom w:val="0"/>
      <w:divBdr>
        <w:top w:val="none" w:sz="0" w:space="0" w:color="auto"/>
        <w:left w:val="none" w:sz="0" w:space="0" w:color="auto"/>
        <w:bottom w:val="none" w:sz="0" w:space="0" w:color="auto"/>
        <w:right w:val="none" w:sz="0" w:space="0" w:color="auto"/>
      </w:divBdr>
    </w:div>
    <w:div w:id="963853828">
      <w:bodyDiv w:val="1"/>
      <w:marLeft w:val="0"/>
      <w:marRight w:val="0"/>
      <w:marTop w:val="0"/>
      <w:marBottom w:val="0"/>
      <w:divBdr>
        <w:top w:val="none" w:sz="0" w:space="0" w:color="auto"/>
        <w:left w:val="none" w:sz="0" w:space="0" w:color="auto"/>
        <w:bottom w:val="none" w:sz="0" w:space="0" w:color="auto"/>
        <w:right w:val="none" w:sz="0" w:space="0" w:color="auto"/>
      </w:divBdr>
    </w:div>
    <w:div w:id="971521742">
      <w:bodyDiv w:val="1"/>
      <w:marLeft w:val="0"/>
      <w:marRight w:val="0"/>
      <w:marTop w:val="0"/>
      <w:marBottom w:val="0"/>
      <w:divBdr>
        <w:top w:val="none" w:sz="0" w:space="0" w:color="auto"/>
        <w:left w:val="none" w:sz="0" w:space="0" w:color="auto"/>
        <w:bottom w:val="none" w:sz="0" w:space="0" w:color="auto"/>
        <w:right w:val="none" w:sz="0" w:space="0" w:color="auto"/>
      </w:divBdr>
    </w:div>
    <w:div w:id="1102988581">
      <w:bodyDiv w:val="1"/>
      <w:marLeft w:val="0"/>
      <w:marRight w:val="0"/>
      <w:marTop w:val="0"/>
      <w:marBottom w:val="0"/>
      <w:divBdr>
        <w:top w:val="none" w:sz="0" w:space="0" w:color="auto"/>
        <w:left w:val="none" w:sz="0" w:space="0" w:color="auto"/>
        <w:bottom w:val="none" w:sz="0" w:space="0" w:color="auto"/>
        <w:right w:val="none" w:sz="0" w:space="0" w:color="auto"/>
      </w:divBdr>
    </w:div>
    <w:div w:id="1163933321">
      <w:bodyDiv w:val="1"/>
      <w:marLeft w:val="0"/>
      <w:marRight w:val="0"/>
      <w:marTop w:val="0"/>
      <w:marBottom w:val="0"/>
      <w:divBdr>
        <w:top w:val="none" w:sz="0" w:space="0" w:color="auto"/>
        <w:left w:val="none" w:sz="0" w:space="0" w:color="auto"/>
        <w:bottom w:val="none" w:sz="0" w:space="0" w:color="auto"/>
        <w:right w:val="none" w:sz="0" w:space="0" w:color="auto"/>
      </w:divBdr>
    </w:div>
    <w:div w:id="1239634577">
      <w:bodyDiv w:val="1"/>
      <w:marLeft w:val="0"/>
      <w:marRight w:val="0"/>
      <w:marTop w:val="0"/>
      <w:marBottom w:val="0"/>
      <w:divBdr>
        <w:top w:val="none" w:sz="0" w:space="0" w:color="auto"/>
        <w:left w:val="none" w:sz="0" w:space="0" w:color="auto"/>
        <w:bottom w:val="none" w:sz="0" w:space="0" w:color="auto"/>
        <w:right w:val="none" w:sz="0" w:space="0" w:color="auto"/>
      </w:divBdr>
    </w:div>
    <w:div w:id="1256087964">
      <w:bodyDiv w:val="1"/>
      <w:marLeft w:val="0"/>
      <w:marRight w:val="0"/>
      <w:marTop w:val="0"/>
      <w:marBottom w:val="0"/>
      <w:divBdr>
        <w:top w:val="none" w:sz="0" w:space="0" w:color="auto"/>
        <w:left w:val="none" w:sz="0" w:space="0" w:color="auto"/>
        <w:bottom w:val="none" w:sz="0" w:space="0" w:color="auto"/>
        <w:right w:val="none" w:sz="0" w:space="0" w:color="auto"/>
      </w:divBdr>
    </w:div>
    <w:div w:id="1303463331">
      <w:bodyDiv w:val="1"/>
      <w:marLeft w:val="0"/>
      <w:marRight w:val="0"/>
      <w:marTop w:val="0"/>
      <w:marBottom w:val="0"/>
      <w:divBdr>
        <w:top w:val="none" w:sz="0" w:space="0" w:color="auto"/>
        <w:left w:val="none" w:sz="0" w:space="0" w:color="auto"/>
        <w:bottom w:val="none" w:sz="0" w:space="0" w:color="auto"/>
        <w:right w:val="none" w:sz="0" w:space="0" w:color="auto"/>
      </w:divBdr>
    </w:div>
    <w:div w:id="1354647793">
      <w:bodyDiv w:val="1"/>
      <w:marLeft w:val="0"/>
      <w:marRight w:val="0"/>
      <w:marTop w:val="0"/>
      <w:marBottom w:val="0"/>
      <w:divBdr>
        <w:top w:val="none" w:sz="0" w:space="0" w:color="auto"/>
        <w:left w:val="none" w:sz="0" w:space="0" w:color="auto"/>
        <w:bottom w:val="none" w:sz="0" w:space="0" w:color="auto"/>
        <w:right w:val="none" w:sz="0" w:space="0" w:color="auto"/>
      </w:divBdr>
    </w:div>
    <w:div w:id="1384132236">
      <w:bodyDiv w:val="1"/>
      <w:marLeft w:val="0"/>
      <w:marRight w:val="0"/>
      <w:marTop w:val="0"/>
      <w:marBottom w:val="0"/>
      <w:divBdr>
        <w:top w:val="none" w:sz="0" w:space="0" w:color="auto"/>
        <w:left w:val="none" w:sz="0" w:space="0" w:color="auto"/>
        <w:bottom w:val="none" w:sz="0" w:space="0" w:color="auto"/>
        <w:right w:val="none" w:sz="0" w:space="0" w:color="auto"/>
      </w:divBdr>
    </w:div>
    <w:div w:id="1395394490">
      <w:bodyDiv w:val="1"/>
      <w:marLeft w:val="0"/>
      <w:marRight w:val="0"/>
      <w:marTop w:val="0"/>
      <w:marBottom w:val="0"/>
      <w:divBdr>
        <w:top w:val="none" w:sz="0" w:space="0" w:color="auto"/>
        <w:left w:val="none" w:sz="0" w:space="0" w:color="auto"/>
        <w:bottom w:val="none" w:sz="0" w:space="0" w:color="auto"/>
        <w:right w:val="none" w:sz="0" w:space="0" w:color="auto"/>
      </w:divBdr>
    </w:div>
    <w:div w:id="1419256909">
      <w:bodyDiv w:val="1"/>
      <w:marLeft w:val="0"/>
      <w:marRight w:val="0"/>
      <w:marTop w:val="0"/>
      <w:marBottom w:val="0"/>
      <w:divBdr>
        <w:top w:val="none" w:sz="0" w:space="0" w:color="auto"/>
        <w:left w:val="none" w:sz="0" w:space="0" w:color="auto"/>
        <w:bottom w:val="none" w:sz="0" w:space="0" w:color="auto"/>
        <w:right w:val="none" w:sz="0" w:space="0" w:color="auto"/>
      </w:divBdr>
    </w:div>
    <w:div w:id="1458135804">
      <w:bodyDiv w:val="1"/>
      <w:marLeft w:val="0"/>
      <w:marRight w:val="0"/>
      <w:marTop w:val="0"/>
      <w:marBottom w:val="0"/>
      <w:divBdr>
        <w:top w:val="none" w:sz="0" w:space="0" w:color="auto"/>
        <w:left w:val="none" w:sz="0" w:space="0" w:color="auto"/>
        <w:bottom w:val="none" w:sz="0" w:space="0" w:color="auto"/>
        <w:right w:val="none" w:sz="0" w:space="0" w:color="auto"/>
      </w:divBdr>
    </w:div>
    <w:div w:id="1458375612">
      <w:bodyDiv w:val="1"/>
      <w:marLeft w:val="0"/>
      <w:marRight w:val="0"/>
      <w:marTop w:val="0"/>
      <w:marBottom w:val="0"/>
      <w:divBdr>
        <w:top w:val="none" w:sz="0" w:space="0" w:color="auto"/>
        <w:left w:val="none" w:sz="0" w:space="0" w:color="auto"/>
        <w:bottom w:val="none" w:sz="0" w:space="0" w:color="auto"/>
        <w:right w:val="none" w:sz="0" w:space="0" w:color="auto"/>
      </w:divBdr>
    </w:div>
    <w:div w:id="1479151628">
      <w:bodyDiv w:val="1"/>
      <w:marLeft w:val="0"/>
      <w:marRight w:val="0"/>
      <w:marTop w:val="0"/>
      <w:marBottom w:val="0"/>
      <w:divBdr>
        <w:top w:val="none" w:sz="0" w:space="0" w:color="auto"/>
        <w:left w:val="none" w:sz="0" w:space="0" w:color="auto"/>
        <w:bottom w:val="none" w:sz="0" w:space="0" w:color="auto"/>
        <w:right w:val="none" w:sz="0" w:space="0" w:color="auto"/>
      </w:divBdr>
    </w:div>
    <w:div w:id="1517043087">
      <w:bodyDiv w:val="1"/>
      <w:marLeft w:val="0"/>
      <w:marRight w:val="0"/>
      <w:marTop w:val="0"/>
      <w:marBottom w:val="0"/>
      <w:divBdr>
        <w:top w:val="none" w:sz="0" w:space="0" w:color="auto"/>
        <w:left w:val="none" w:sz="0" w:space="0" w:color="auto"/>
        <w:bottom w:val="none" w:sz="0" w:space="0" w:color="auto"/>
        <w:right w:val="none" w:sz="0" w:space="0" w:color="auto"/>
      </w:divBdr>
    </w:div>
    <w:div w:id="1541894819">
      <w:bodyDiv w:val="1"/>
      <w:marLeft w:val="0"/>
      <w:marRight w:val="0"/>
      <w:marTop w:val="0"/>
      <w:marBottom w:val="0"/>
      <w:divBdr>
        <w:top w:val="none" w:sz="0" w:space="0" w:color="auto"/>
        <w:left w:val="none" w:sz="0" w:space="0" w:color="auto"/>
        <w:bottom w:val="none" w:sz="0" w:space="0" w:color="auto"/>
        <w:right w:val="none" w:sz="0" w:space="0" w:color="auto"/>
      </w:divBdr>
    </w:div>
    <w:div w:id="1545362066">
      <w:bodyDiv w:val="1"/>
      <w:marLeft w:val="0"/>
      <w:marRight w:val="0"/>
      <w:marTop w:val="0"/>
      <w:marBottom w:val="0"/>
      <w:divBdr>
        <w:top w:val="none" w:sz="0" w:space="0" w:color="auto"/>
        <w:left w:val="none" w:sz="0" w:space="0" w:color="auto"/>
        <w:bottom w:val="none" w:sz="0" w:space="0" w:color="auto"/>
        <w:right w:val="none" w:sz="0" w:space="0" w:color="auto"/>
      </w:divBdr>
    </w:div>
    <w:div w:id="1612475661">
      <w:bodyDiv w:val="1"/>
      <w:marLeft w:val="0"/>
      <w:marRight w:val="0"/>
      <w:marTop w:val="0"/>
      <w:marBottom w:val="0"/>
      <w:divBdr>
        <w:top w:val="none" w:sz="0" w:space="0" w:color="auto"/>
        <w:left w:val="none" w:sz="0" w:space="0" w:color="auto"/>
        <w:bottom w:val="none" w:sz="0" w:space="0" w:color="auto"/>
        <w:right w:val="none" w:sz="0" w:space="0" w:color="auto"/>
      </w:divBdr>
    </w:div>
    <w:div w:id="1629318239">
      <w:bodyDiv w:val="1"/>
      <w:marLeft w:val="0"/>
      <w:marRight w:val="0"/>
      <w:marTop w:val="0"/>
      <w:marBottom w:val="0"/>
      <w:divBdr>
        <w:top w:val="none" w:sz="0" w:space="0" w:color="auto"/>
        <w:left w:val="none" w:sz="0" w:space="0" w:color="auto"/>
        <w:bottom w:val="none" w:sz="0" w:space="0" w:color="auto"/>
        <w:right w:val="none" w:sz="0" w:space="0" w:color="auto"/>
      </w:divBdr>
    </w:div>
    <w:div w:id="1660841406">
      <w:bodyDiv w:val="1"/>
      <w:marLeft w:val="0"/>
      <w:marRight w:val="0"/>
      <w:marTop w:val="0"/>
      <w:marBottom w:val="0"/>
      <w:divBdr>
        <w:top w:val="none" w:sz="0" w:space="0" w:color="auto"/>
        <w:left w:val="none" w:sz="0" w:space="0" w:color="auto"/>
        <w:bottom w:val="none" w:sz="0" w:space="0" w:color="auto"/>
        <w:right w:val="none" w:sz="0" w:space="0" w:color="auto"/>
      </w:divBdr>
    </w:div>
    <w:div w:id="1690641618">
      <w:bodyDiv w:val="1"/>
      <w:marLeft w:val="0"/>
      <w:marRight w:val="0"/>
      <w:marTop w:val="0"/>
      <w:marBottom w:val="0"/>
      <w:divBdr>
        <w:top w:val="none" w:sz="0" w:space="0" w:color="auto"/>
        <w:left w:val="none" w:sz="0" w:space="0" w:color="auto"/>
        <w:bottom w:val="none" w:sz="0" w:space="0" w:color="auto"/>
        <w:right w:val="none" w:sz="0" w:space="0" w:color="auto"/>
      </w:divBdr>
    </w:div>
    <w:div w:id="1778286308">
      <w:bodyDiv w:val="1"/>
      <w:marLeft w:val="0"/>
      <w:marRight w:val="0"/>
      <w:marTop w:val="0"/>
      <w:marBottom w:val="0"/>
      <w:divBdr>
        <w:top w:val="none" w:sz="0" w:space="0" w:color="auto"/>
        <w:left w:val="none" w:sz="0" w:space="0" w:color="auto"/>
        <w:bottom w:val="none" w:sz="0" w:space="0" w:color="auto"/>
        <w:right w:val="none" w:sz="0" w:space="0" w:color="auto"/>
      </w:divBdr>
    </w:div>
    <w:div w:id="1785614886">
      <w:bodyDiv w:val="1"/>
      <w:marLeft w:val="0"/>
      <w:marRight w:val="0"/>
      <w:marTop w:val="0"/>
      <w:marBottom w:val="0"/>
      <w:divBdr>
        <w:top w:val="none" w:sz="0" w:space="0" w:color="auto"/>
        <w:left w:val="none" w:sz="0" w:space="0" w:color="auto"/>
        <w:bottom w:val="none" w:sz="0" w:space="0" w:color="auto"/>
        <w:right w:val="none" w:sz="0" w:space="0" w:color="auto"/>
      </w:divBdr>
    </w:div>
    <w:div w:id="1787117999">
      <w:bodyDiv w:val="1"/>
      <w:marLeft w:val="0"/>
      <w:marRight w:val="0"/>
      <w:marTop w:val="0"/>
      <w:marBottom w:val="0"/>
      <w:divBdr>
        <w:top w:val="none" w:sz="0" w:space="0" w:color="auto"/>
        <w:left w:val="none" w:sz="0" w:space="0" w:color="auto"/>
        <w:bottom w:val="none" w:sz="0" w:space="0" w:color="auto"/>
        <w:right w:val="none" w:sz="0" w:space="0" w:color="auto"/>
      </w:divBdr>
    </w:div>
    <w:div w:id="1794708870">
      <w:bodyDiv w:val="1"/>
      <w:marLeft w:val="0"/>
      <w:marRight w:val="0"/>
      <w:marTop w:val="0"/>
      <w:marBottom w:val="0"/>
      <w:divBdr>
        <w:top w:val="none" w:sz="0" w:space="0" w:color="auto"/>
        <w:left w:val="none" w:sz="0" w:space="0" w:color="auto"/>
        <w:bottom w:val="none" w:sz="0" w:space="0" w:color="auto"/>
        <w:right w:val="none" w:sz="0" w:space="0" w:color="auto"/>
      </w:divBdr>
    </w:div>
    <w:div w:id="1814834349">
      <w:bodyDiv w:val="1"/>
      <w:marLeft w:val="0"/>
      <w:marRight w:val="0"/>
      <w:marTop w:val="0"/>
      <w:marBottom w:val="0"/>
      <w:divBdr>
        <w:top w:val="none" w:sz="0" w:space="0" w:color="auto"/>
        <w:left w:val="none" w:sz="0" w:space="0" w:color="auto"/>
        <w:bottom w:val="none" w:sz="0" w:space="0" w:color="auto"/>
        <w:right w:val="none" w:sz="0" w:space="0" w:color="auto"/>
      </w:divBdr>
    </w:div>
    <w:div w:id="1822387136">
      <w:bodyDiv w:val="1"/>
      <w:marLeft w:val="0"/>
      <w:marRight w:val="0"/>
      <w:marTop w:val="0"/>
      <w:marBottom w:val="0"/>
      <w:divBdr>
        <w:top w:val="none" w:sz="0" w:space="0" w:color="auto"/>
        <w:left w:val="none" w:sz="0" w:space="0" w:color="auto"/>
        <w:bottom w:val="none" w:sz="0" w:space="0" w:color="auto"/>
        <w:right w:val="none" w:sz="0" w:space="0" w:color="auto"/>
      </w:divBdr>
    </w:div>
    <w:div w:id="1847792937">
      <w:bodyDiv w:val="1"/>
      <w:marLeft w:val="0"/>
      <w:marRight w:val="0"/>
      <w:marTop w:val="0"/>
      <w:marBottom w:val="0"/>
      <w:divBdr>
        <w:top w:val="none" w:sz="0" w:space="0" w:color="auto"/>
        <w:left w:val="none" w:sz="0" w:space="0" w:color="auto"/>
        <w:bottom w:val="none" w:sz="0" w:space="0" w:color="auto"/>
        <w:right w:val="none" w:sz="0" w:space="0" w:color="auto"/>
      </w:divBdr>
    </w:div>
    <w:div w:id="1952474427">
      <w:bodyDiv w:val="1"/>
      <w:marLeft w:val="0"/>
      <w:marRight w:val="0"/>
      <w:marTop w:val="0"/>
      <w:marBottom w:val="0"/>
      <w:divBdr>
        <w:top w:val="none" w:sz="0" w:space="0" w:color="auto"/>
        <w:left w:val="none" w:sz="0" w:space="0" w:color="auto"/>
        <w:bottom w:val="none" w:sz="0" w:space="0" w:color="auto"/>
        <w:right w:val="none" w:sz="0" w:space="0" w:color="auto"/>
      </w:divBdr>
    </w:div>
    <w:div w:id="1955285941">
      <w:bodyDiv w:val="1"/>
      <w:marLeft w:val="0"/>
      <w:marRight w:val="0"/>
      <w:marTop w:val="0"/>
      <w:marBottom w:val="0"/>
      <w:divBdr>
        <w:top w:val="none" w:sz="0" w:space="0" w:color="auto"/>
        <w:left w:val="none" w:sz="0" w:space="0" w:color="auto"/>
        <w:bottom w:val="none" w:sz="0" w:space="0" w:color="auto"/>
        <w:right w:val="none" w:sz="0" w:space="0" w:color="auto"/>
      </w:divBdr>
    </w:div>
    <w:div w:id="1998340733">
      <w:bodyDiv w:val="1"/>
      <w:marLeft w:val="0"/>
      <w:marRight w:val="0"/>
      <w:marTop w:val="0"/>
      <w:marBottom w:val="0"/>
      <w:divBdr>
        <w:top w:val="none" w:sz="0" w:space="0" w:color="auto"/>
        <w:left w:val="none" w:sz="0" w:space="0" w:color="auto"/>
        <w:bottom w:val="none" w:sz="0" w:space="0" w:color="auto"/>
        <w:right w:val="none" w:sz="0" w:space="0" w:color="auto"/>
      </w:divBdr>
    </w:div>
    <w:div w:id="205712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1917</Words>
  <Characters>12534</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2019011019 - pkt. 4.4, 4.8</dc:description>
  <cp:lastModifiedBy>Line Aaboe Würtz</cp:lastModifiedBy>
  <cp:revision>5</cp:revision>
  <cp:lastPrinted>2016-02-08T12:46:00Z</cp:lastPrinted>
  <dcterms:created xsi:type="dcterms:W3CDTF">2019-10-13T09:29:00Z</dcterms:created>
  <dcterms:modified xsi:type="dcterms:W3CDTF">2019-10-13T09:31:00Z</dcterms:modified>
</cp:coreProperties>
</file>