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278D1" w14:textId="77777777" w:rsidR="009260DE" w:rsidRPr="003501B6" w:rsidRDefault="0021526C" w:rsidP="009260DE">
      <w:pPr>
        <w:rPr>
          <w:sz w:val="24"/>
          <w:szCs w:val="24"/>
        </w:rPr>
      </w:pPr>
      <w:bookmarkStart w:id="0" w:name="_GoBack"/>
      <w:bookmarkEnd w:id="0"/>
      <w:r w:rsidRPr="003501B6">
        <w:rPr>
          <w:noProof/>
          <w:sz w:val="24"/>
          <w:szCs w:val="24"/>
          <w:lang w:eastAsia="da-DK"/>
        </w:rPr>
        <w:drawing>
          <wp:anchor distT="0" distB="0" distL="114300" distR="114300" simplePos="0" relativeHeight="251658240" behindDoc="0" locked="0" layoutInCell="1" allowOverlap="1" wp14:anchorId="6357894B" wp14:editId="303AFD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01B6">
        <w:rPr>
          <w:sz w:val="24"/>
          <w:szCs w:val="24"/>
        </w:rPr>
        <w:br w:type="textWrapping" w:clear="all"/>
      </w:r>
    </w:p>
    <w:p w14:paraId="4C29CBC1" w14:textId="7C7362DD" w:rsidR="009260DE" w:rsidRPr="003501B6" w:rsidRDefault="009260DE" w:rsidP="009260DE">
      <w:pPr>
        <w:pStyle w:val="Titel"/>
        <w:tabs>
          <w:tab w:val="right" w:pos="9356"/>
        </w:tabs>
        <w:jc w:val="left"/>
        <w:rPr>
          <w:b w:val="0"/>
          <w:szCs w:val="24"/>
          <w:lang w:eastAsia="en-US"/>
        </w:rPr>
      </w:pPr>
      <w:r w:rsidRPr="003501B6">
        <w:rPr>
          <w:b w:val="0"/>
          <w:szCs w:val="24"/>
          <w:lang w:eastAsia="en-US"/>
        </w:rPr>
        <w:tab/>
      </w:r>
      <w:r w:rsidR="00A501FE">
        <w:rPr>
          <w:szCs w:val="24"/>
        </w:rPr>
        <w:t>17. januar 2025</w:t>
      </w:r>
    </w:p>
    <w:p w14:paraId="7A7A8D0B" w14:textId="77777777" w:rsidR="009260DE" w:rsidRPr="003501B6" w:rsidRDefault="009260DE" w:rsidP="009260DE">
      <w:pPr>
        <w:pStyle w:val="Titel"/>
        <w:tabs>
          <w:tab w:val="left" w:pos="8222"/>
        </w:tabs>
        <w:jc w:val="left"/>
        <w:rPr>
          <w:b w:val="0"/>
          <w:szCs w:val="24"/>
        </w:rPr>
      </w:pPr>
    </w:p>
    <w:p w14:paraId="4A81C858" w14:textId="6C657938" w:rsidR="009260DE" w:rsidRPr="003501B6" w:rsidRDefault="009260DE" w:rsidP="009260DE">
      <w:pPr>
        <w:pStyle w:val="Titel"/>
        <w:jc w:val="left"/>
        <w:rPr>
          <w:b w:val="0"/>
          <w:szCs w:val="24"/>
        </w:rPr>
      </w:pPr>
    </w:p>
    <w:p w14:paraId="6FEFC0CA" w14:textId="77777777" w:rsidR="009260DE" w:rsidRPr="003501B6" w:rsidRDefault="009260DE" w:rsidP="009260DE">
      <w:pPr>
        <w:pStyle w:val="Titel"/>
        <w:jc w:val="left"/>
        <w:rPr>
          <w:b w:val="0"/>
          <w:szCs w:val="24"/>
        </w:rPr>
      </w:pPr>
    </w:p>
    <w:p w14:paraId="5BC40A01" w14:textId="77777777" w:rsidR="009260DE" w:rsidRPr="003501B6" w:rsidRDefault="009260DE" w:rsidP="009260DE">
      <w:pPr>
        <w:jc w:val="center"/>
        <w:rPr>
          <w:b/>
          <w:sz w:val="24"/>
          <w:szCs w:val="24"/>
        </w:rPr>
      </w:pPr>
      <w:r w:rsidRPr="003501B6">
        <w:rPr>
          <w:b/>
          <w:sz w:val="24"/>
          <w:szCs w:val="24"/>
        </w:rPr>
        <w:t>PRODUKTRESUMÉ</w:t>
      </w:r>
    </w:p>
    <w:p w14:paraId="0AC0B5B0" w14:textId="77777777" w:rsidR="009260DE" w:rsidRPr="003501B6" w:rsidRDefault="009260DE" w:rsidP="009260DE">
      <w:pPr>
        <w:jc w:val="center"/>
        <w:rPr>
          <w:b/>
          <w:sz w:val="24"/>
          <w:szCs w:val="24"/>
        </w:rPr>
      </w:pPr>
    </w:p>
    <w:p w14:paraId="1E06D4F1" w14:textId="77777777" w:rsidR="009260DE" w:rsidRPr="003501B6" w:rsidRDefault="009260DE" w:rsidP="009260DE">
      <w:pPr>
        <w:jc w:val="center"/>
        <w:rPr>
          <w:b/>
          <w:sz w:val="24"/>
          <w:szCs w:val="24"/>
        </w:rPr>
      </w:pPr>
      <w:r w:rsidRPr="003501B6">
        <w:rPr>
          <w:b/>
          <w:sz w:val="24"/>
          <w:szCs w:val="24"/>
        </w:rPr>
        <w:t>for</w:t>
      </w:r>
    </w:p>
    <w:p w14:paraId="0723D747" w14:textId="77777777" w:rsidR="000B058C" w:rsidRPr="003501B6" w:rsidRDefault="000B058C" w:rsidP="009260DE">
      <w:pPr>
        <w:jc w:val="center"/>
        <w:rPr>
          <w:b/>
          <w:sz w:val="24"/>
          <w:szCs w:val="24"/>
        </w:rPr>
      </w:pPr>
    </w:p>
    <w:p w14:paraId="05067B57" w14:textId="3661C080" w:rsidR="009260DE" w:rsidRPr="003501B6" w:rsidRDefault="001F193D" w:rsidP="009260DE">
      <w:pPr>
        <w:jc w:val="center"/>
        <w:rPr>
          <w:b/>
          <w:sz w:val="24"/>
          <w:szCs w:val="24"/>
        </w:rPr>
      </w:pPr>
      <w:r w:rsidRPr="003501B6">
        <w:rPr>
          <w:b/>
          <w:sz w:val="24"/>
          <w:szCs w:val="24"/>
        </w:rPr>
        <w:t>Levofloxacin "Macure", filmovertrukne tabletter</w:t>
      </w:r>
    </w:p>
    <w:p w14:paraId="64B66317" w14:textId="77777777" w:rsidR="009260DE" w:rsidRPr="003501B6" w:rsidRDefault="009260DE" w:rsidP="009260DE">
      <w:pPr>
        <w:jc w:val="both"/>
        <w:rPr>
          <w:sz w:val="24"/>
          <w:szCs w:val="24"/>
        </w:rPr>
      </w:pPr>
    </w:p>
    <w:p w14:paraId="440442D2" w14:textId="77777777" w:rsidR="009260DE" w:rsidRPr="003501B6" w:rsidRDefault="009260DE" w:rsidP="009260DE">
      <w:pPr>
        <w:jc w:val="both"/>
        <w:rPr>
          <w:sz w:val="24"/>
          <w:szCs w:val="24"/>
        </w:rPr>
      </w:pPr>
    </w:p>
    <w:p w14:paraId="7284477B" w14:textId="77777777" w:rsidR="009260DE" w:rsidRPr="003501B6" w:rsidRDefault="009260DE" w:rsidP="009260DE">
      <w:pPr>
        <w:tabs>
          <w:tab w:val="left" w:pos="851"/>
        </w:tabs>
        <w:ind w:left="851" w:hanging="851"/>
        <w:rPr>
          <w:b/>
          <w:sz w:val="24"/>
          <w:szCs w:val="24"/>
        </w:rPr>
      </w:pPr>
      <w:r w:rsidRPr="003501B6">
        <w:rPr>
          <w:b/>
          <w:sz w:val="24"/>
          <w:szCs w:val="24"/>
        </w:rPr>
        <w:t>0.</w:t>
      </w:r>
      <w:r w:rsidRPr="003501B6">
        <w:rPr>
          <w:b/>
          <w:sz w:val="24"/>
          <w:szCs w:val="24"/>
        </w:rPr>
        <w:tab/>
        <w:t>D.SP.NR.</w:t>
      </w:r>
    </w:p>
    <w:p w14:paraId="57B727AD" w14:textId="23B285D8" w:rsidR="009260DE" w:rsidRPr="003501B6" w:rsidRDefault="00AA709A" w:rsidP="009260DE">
      <w:pPr>
        <w:tabs>
          <w:tab w:val="left" w:pos="851"/>
        </w:tabs>
        <w:ind w:left="851"/>
        <w:rPr>
          <w:sz w:val="24"/>
          <w:szCs w:val="24"/>
        </w:rPr>
      </w:pPr>
      <w:r w:rsidRPr="003501B6">
        <w:rPr>
          <w:sz w:val="24"/>
          <w:szCs w:val="24"/>
        </w:rPr>
        <w:t>32714</w:t>
      </w:r>
    </w:p>
    <w:p w14:paraId="287A0A91" w14:textId="77777777" w:rsidR="009260DE" w:rsidRPr="003501B6" w:rsidRDefault="009260DE" w:rsidP="009260DE">
      <w:pPr>
        <w:tabs>
          <w:tab w:val="left" w:pos="851"/>
        </w:tabs>
        <w:ind w:left="851"/>
        <w:rPr>
          <w:sz w:val="24"/>
          <w:szCs w:val="24"/>
        </w:rPr>
      </w:pPr>
    </w:p>
    <w:p w14:paraId="6CF413AC" w14:textId="77777777" w:rsidR="009260DE" w:rsidRPr="003501B6" w:rsidRDefault="009260DE" w:rsidP="009260DE">
      <w:pPr>
        <w:tabs>
          <w:tab w:val="left" w:pos="851"/>
        </w:tabs>
        <w:ind w:left="851" w:hanging="851"/>
        <w:rPr>
          <w:b/>
          <w:sz w:val="24"/>
          <w:szCs w:val="24"/>
        </w:rPr>
      </w:pPr>
      <w:r w:rsidRPr="003501B6">
        <w:rPr>
          <w:b/>
          <w:sz w:val="24"/>
          <w:szCs w:val="24"/>
        </w:rPr>
        <w:t>1.</w:t>
      </w:r>
      <w:r w:rsidRPr="003501B6">
        <w:rPr>
          <w:b/>
          <w:sz w:val="24"/>
          <w:szCs w:val="24"/>
        </w:rPr>
        <w:tab/>
        <w:t>LÆGEMIDLETS NAVN</w:t>
      </w:r>
    </w:p>
    <w:p w14:paraId="6AA393C2" w14:textId="3AF208F8" w:rsidR="009260DE" w:rsidRPr="003501B6" w:rsidRDefault="001F193D" w:rsidP="009260DE">
      <w:pPr>
        <w:tabs>
          <w:tab w:val="left" w:pos="851"/>
        </w:tabs>
        <w:ind w:left="851"/>
        <w:rPr>
          <w:sz w:val="24"/>
          <w:szCs w:val="24"/>
        </w:rPr>
      </w:pPr>
      <w:r w:rsidRPr="003501B6">
        <w:rPr>
          <w:sz w:val="24"/>
          <w:szCs w:val="24"/>
        </w:rPr>
        <w:t>Levofloxacin "Macure"</w:t>
      </w:r>
    </w:p>
    <w:p w14:paraId="2068776F" w14:textId="77777777" w:rsidR="009260DE" w:rsidRPr="003501B6" w:rsidRDefault="009260DE" w:rsidP="009260DE">
      <w:pPr>
        <w:tabs>
          <w:tab w:val="left" w:pos="851"/>
        </w:tabs>
        <w:ind w:left="851"/>
        <w:rPr>
          <w:sz w:val="24"/>
          <w:szCs w:val="24"/>
        </w:rPr>
      </w:pPr>
    </w:p>
    <w:p w14:paraId="62BA9DC3" w14:textId="77777777" w:rsidR="009260DE" w:rsidRPr="003501B6" w:rsidRDefault="009260DE" w:rsidP="009260DE">
      <w:pPr>
        <w:tabs>
          <w:tab w:val="left" w:pos="851"/>
        </w:tabs>
        <w:ind w:left="851" w:hanging="851"/>
        <w:rPr>
          <w:b/>
          <w:sz w:val="24"/>
          <w:szCs w:val="24"/>
        </w:rPr>
      </w:pPr>
      <w:r w:rsidRPr="003501B6">
        <w:rPr>
          <w:b/>
          <w:sz w:val="24"/>
          <w:szCs w:val="24"/>
        </w:rPr>
        <w:t>2.</w:t>
      </w:r>
      <w:r w:rsidRPr="003501B6">
        <w:rPr>
          <w:b/>
          <w:sz w:val="24"/>
          <w:szCs w:val="24"/>
        </w:rPr>
        <w:tab/>
        <w:t>KVALITATIV OG KVANTITATIV SAMMENSÆTNING</w:t>
      </w:r>
    </w:p>
    <w:p w14:paraId="4369BFBD" w14:textId="77777777" w:rsidR="00BE227F" w:rsidRPr="003501B6" w:rsidRDefault="00BE227F" w:rsidP="00FB67DB">
      <w:pPr>
        <w:ind w:left="851"/>
        <w:rPr>
          <w:sz w:val="24"/>
          <w:szCs w:val="24"/>
        </w:rPr>
      </w:pPr>
      <w:r w:rsidRPr="003501B6">
        <w:rPr>
          <w:sz w:val="24"/>
          <w:szCs w:val="24"/>
        </w:rPr>
        <w:t>Hver filmovertrukket tablet indeholder levofloxacinhemihydrat svarende til 500 mg levofloxacin.</w:t>
      </w:r>
    </w:p>
    <w:p w14:paraId="4AED85D5" w14:textId="77777777" w:rsidR="00BE227F" w:rsidRPr="003501B6" w:rsidRDefault="00BE227F" w:rsidP="00FB67DB">
      <w:pPr>
        <w:ind w:left="851"/>
        <w:rPr>
          <w:sz w:val="24"/>
          <w:szCs w:val="24"/>
        </w:rPr>
      </w:pPr>
    </w:p>
    <w:p w14:paraId="153423DC" w14:textId="77777777" w:rsidR="00BE227F" w:rsidRPr="003501B6" w:rsidRDefault="00BE227F" w:rsidP="00FB67DB">
      <w:pPr>
        <w:ind w:left="851"/>
        <w:rPr>
          <w:sz w:val="24"/>
          <w:szCs w:val="24"/>
        </w:rPr>
      </w:pPr>
      <w:r w:rsidRPr="003501B6">
        <w:rPr>
          <w:sz w:val="24"/>
          <w:szCs w:val="24"/>
          <w:u w:val="single"/>
        </w:rPr>
        <w:t>Hjælpestoffer, som behandleren skal være opmærksom på</w:t>
      </w:r>
    </w:p>
    <w:p w14:paraId="01F89EF3" w14:textId="77777777" w:rsidR="00BE227F" w:rsidRPr="003501B6" w:rsidRDefault="00BE227F" w:rsidP="00FB67DB">
      <w:pPr>
        <w:ind w:left="851"/>
        <w:rPr>
          <w:sz w:val="24"/>
          <w:szCs w:val="24"/>
        </w:rPr>
      </w:pPr>
      <w:r w:rsidRPr="003501B6">
        <w:rPr>
          <w:sz w:val="24"/>
          <w:szCs w:val="24"/>
        </w:rPr>
        <w:t xml:space="preserve">Hver filmovertrukket tablet indeholder 0,038 mg sunset </w:t>
      </w:r>
      <w:r w:rsidRPr="003501B6">
        <w:rPr>
          <w:color w:val="000000"/>
          <w:sz w:val="24"/>
          <w:szCs w:val="24"/>
        </w:rPr>
        <w:t>yellow FCF (E110).</w:t>
      </w:r>
    </w:p>
    <w:p w14:paraId="39F66F99" w14:textId="77777777" w:rsidR="00BE227F" w:rsidRPr="003501B6" w:rsidRDefault="00BE227F" w:rsidP="00FB67DB">
      <w:pPr>
        <w:ind w:left="851"/>
        <w:rPr>
          <w:sz w:val="24"/>
          <w:szCs w:val="24"/>
        </w:rPr>
      </w:pPr>
    </w:p>
    <w:p w14:paraId="3E241794" w14:textId="77777777" w:rsidR="00BE227F" w:rsidRPr="003501B6" w:rsidRDefault="00BE227F" w:rsidP="00FB67DB">
      <w:pPr>
        <w:ind w:left="851"/>
        <w:rPr>
          <w:sz w:val="24"/>
          <w:szCs w:val="24"/>
        </w:rPr>
      </w:pPr>
      <w:r w:rsidRPr="003501B6">
        <w:rPr>
          <w:sz w:val="24"/>
          <w:szCs w:val="24"/>
        </w:rPr>
        <w:t>Alle hjælpestoffer er anført under pkt. 6.1.</w:t>
      </w:r>
    </w:p>
    <w:p w14:paraId="26C025EB" w14:textId="77777777" w:rsidR="009260DE" w:rsidRPr="003501B6" w:rsidRDefault="009260DE" w:rsidP="009260DE">
      <w:pPr>
        <w:tabs>
          <w:tab w:val="left" w:pos="851"/>
        </w:tabs>
        <w:ind w:left="851"/>
        <w:rPr>
          <w:sz w:val="24"/>
          <w:szCs w:val="24"/>
        </w:rPr>
      </w:pPr>
    </w:p>
    <w:p w14:paraId="347B6AAF" w14:textId="77777777" w:rsidR="009260DE" w:rsidRPr="003501B6" w:rsidRDefault="009260DE" w:rsidP="009260DE">
      <w:pPr>
        <w:tabs>
          <w:tab w:val="left" w:pos="851"/>
        </w:tabs>
        <w:ind w:left="851" w:hanging="851"/>
        <w:rPr>
          <w:b/>
          <w:sz w:val="24"/>
          <w:szCs w:val="24"/>
        </w:rPr>
      </w:pPr>
      <w:r w:rsidRPr="003501B6">
        <w:rPr>
          <w:b/>
          <w:sz w:val="24"/>
          <w:szCs w:val="24"/>
        </w:rPr>
        <w:t>3.</w:t>
      </w:r>
      <w:r w:rsidRPr="003501B6">
        <w:rPr>
          <w:b/>
          <w:sz w:val="24"/>
          <w:szCs w:val="24"/>
        </w:rPr>
        <w:tab/>
        <w:t>LÆGEMIDDELFORM</w:t>
      </w:r>
    </w:p>
    <w:p w14:paraId="3B8ACC6C" w14:textId="10FC7045" w:rsidR="00BE227F" w:rsidRPr="003501B6" w:rsidRDefault="00BE227F" w:rsidP="00FB67DB">
      <w:pPr>
        <w:ind w:left="851"/>
        <w:rPr>
          <w:sz w:val="24"/>
          <w:szCs w:val="24"/>
        </w:rPr>
      </w:pPr>
      <w:r w:rsidRPr="003501B6">
        <w:rPr>
          <w:sz w:val="24"/>
          <w:szCs w:val="24"/>
        </w:rPr>
        <w:t>Filmovertruk</w:t>
      </w:r>
      <w:r w:rsidR="00596E4B">
        <w:rPr>
          <w:sz w:val="24"/>
          <w:szCs w:val="24"/>
        </w:rPr>
        <w:t>ne tabletter</w:t>
      </w:r>
    </w:p>
    <w:p w14:paraId="56D12E10" w14:textId="77777777" w:rsidR="00BE227F" w:rsidRPr="003501B6" w:rsidRDefault="00BE227F" w:rsidP="00FB67DB">
      <w:pPr>
        <w:ind w:left="851"/>
        <w:rPr>
          <w:sz w:val="24"/>
          <w:szCs w:val="24"/>
        </w:rPr>
      </w:pPr>
    </w:p>
    <w:p w14:paraId="31E10C0E" w14:textId="19EB48E6" w:rsidR="00BE227F" w:rsidRPr="003501B6" w:rsidRDefault="00BE227F" w:rsidP="00FB67DB">
      <w:pPr>
        <w:ind w:left="851"/>
        <w:rPr>
          <w:sz w:val="24"/>
          <w:szCs w:val="24"/>
        </w:rPr>
      </w:pPr>
      <w:r w:rsidRPr="003501B6">
        <w:rPr>
          <w:sz w:val="24"/>
          <w:szCs w:val="24"/>
        </w:rPr>
        <w:t>Orange, aflang, bikonveks</w:t>
      </w:r>
      <w:r w:rsidR="00A501FE">
        <w:rPr>
          <w:sz w:val="24"/>
          <w:szCs w:val="24"/>
        </w:rPr>
        <w:t>,</w:t>
      </w:r>
      <w:r w:rsidRPr="003501B6">
        <w:rPr>
          <w:sz w:val="24"/>
          <w:szCs w:val="24"/>
        </w:rPr>
        <w:t xml:space="preserve"> filmovertrukket tablet med delekærv med målene 19,3 mm</w:t>
      </w:r>
      <w:r w:rsidR="00AF3258">
        <w:rPr>
          <w:sz w:val="24"/>
          <w:szCs w:val="24"/>
        </w:rPr>
        <w:t>×</w:t>
      </w:r>
      <w:r w:rsidRPr="003501B6">
        <w:rPr>
          <w:sz w:val="24"/>
          <w:szCs w:val="24"/>
        </w:rPr>
        <w:t>7,8 mm og 5,0 mm tykkelse.</w:t>
      </w:r>
    </w:p>
    <w:p w14:paraId="219852AC" w14:textId="77777777" w:rsidR="00BE227F" w:rsidRPr="003501B6" w:rsidRDefault="00BE227F" w:rsidP="00FB67DB">
      <w:pPr>
        <w:ind w:left="851"/>
        <w:rPr>
          <w:sz w:val="24"/>
          <w:szCs w:val="24"/>
        </w:rPr>
      </w:pPr>
      <w:r w:rsidRPr="003501B6">
        <w:rPr>
          <w:sz w:val="24"/>
          <w:szCs w:val="24"/>
        </w:rPr>
        <w:t>Tabletten kan deles i to lige store doser.</w:t>
      </w:r>
    </w:p>
    <w:p w14:paraId="2BDBC59B" w14:textId="77777777" w:rsidR="009260DE" w:rsidRPr="003501B6" w:rsidRDefault="009260DE" w:rsidP="009260DE">
      <w:pPr>
        <w:tabs>
          <w:tab w:val="left" w:pos="851"/>
        </w:tabs>
        <w:ind w:left="851"/>
        <w:rPr>
          <w:sz w:val="24"/>
          <w:szCs w:val="24"/>
        </w:rPr>
      </w:pPr>
    </w:p>
    <w:p w14:paraId="29389710" w14:textId="77777777" w:rsidR="009260DE" w:rsidRPr="003501B6" w:rsidRDefault="009260DE" w:rsidP="009260DE">
      <w:pPr>
        <w:tabs>
          <w:tab w:val="left" w:pos="851"/>
        </w:tabs>
        <w:ind w:left="851"/>
        <w:rPr>
          <w:sz w:val="24"/>
          <w:szCs w:val="24"/>
        </w:rPr>
      </w:pPr>
    </w:p>
    <w:p w14:paraId="7B080CC9" w14:textId="77777777" w:rsidR="009260DE" w:rsidRPr="003501B6" w:rsidRDefault="009260DE" w:rsidP="009260DE">
      <w:pPr>
        <w:tabs>
          <w:tab w:val="left" w:pos="851"/>
        </w:tabs>
        <w:ind w:left="851" w:hanging="851"/>
        <w:rPr>
          <w:b/>
          <w:sz w:val="24"/>
          <w:szCs w:val="24"/>
        </w:rPr>
      </w:pPr>
      <w:r w:rsidRPr="003501B6">
        <w:rPr>
          <w:b/>
          <w:sz w:val="24"/>
          <w:szCs w:val="24"/>
        </w:rPr>
        <w:t>4.</w:t>
      </w:r>
      <w:r w:rsidRPr="003501B6">
        <w:rPr>
          <w:b/>
          <w:sz w:val="24"/>
          <w:szCs w:val="24"/>
        </w:rPr>
        <w:tab/>
        <w:t>KLINISKE OPLYSNINGER</w:t>
      </w:r>
    </w:p>
    <w:p w14:paraId="7EDF8243" w14:textId="77777777" w:rsidR="009260DE" w:rsidRPr="003501B6" w:rsidRDefault="009260DE" w:rsidP="009260DE">
      <w:pPr>
        <w:tabs>
          <w:tab w:val="left" w:pos="851"/>
        </w:tabs>
        <w:ind w:left="851"/>
        <w:rPr>
          <w:b/>
          <w:sz w:val="24"/>
          <w:szCs w:val="24"/>
        </w:rPr>
      </w:pPr>
    </w:p>
    <w:p w14:paraId="5F953F4C" w14:textId="77777777" w:rsidR="009260DE" w:rsidRPr="003501B6" w:rsidRDefault="009260DE" w:rsidP="009260DE">
      <w:pPr>
        <w:tabs>
          <w:tab w:val="left" w:pos="851"/>
        </w:tabs>
        <w:ind w:left="851" w:hanging="851"/>
        <w:rPr>
          <w:b/>
          <w:sz w:val="24"/>
          <w:szCs w:val="24"/>
          <w:u w:val="single"/>
        </w:rPr>
      </w:pPr>
      <w:r w:rsidRPr="003501B6">
        <w:rPr>
          <w:b/>
          <w:sz w:val="24"/>
          <w:szCs w:val="24"/>
        </w:rPr>
        <w:t>4.1</w:t>
      </w:r>
      <w:r w:rsidRPr="003501B6">
        <w:rPr>
          <w:b/>
          <w:sz w:val="24"/>
          <w:szCs w:val="24"/>
        </w:rPr>
        <w:tab/>
        <w:t>Terapeutiske indikationer</w:t>
      </w:r>
    </w:p>
    <w:p w14:paraId="1014B81D" w14:textId="3D8E55CD"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00254CC6">
        <w:rPr>
          <w:sz w:val="24"/>
          <w:szCs w:val="24"/>
        </w:rPr>
        <w:t xml:space="preserve"> </w:t>
      </w:r>
      <w:r w:rsidRPr="003501B6">
        <w:rPr>
          <w:sz w:val="24"/>
          <w:szCs w:val="24"/>
        </w:rPr>
        <w:t>tabletter er indiceret hos voksne til behandling af følgende infektioner (se pkt. 4.4 og 5.1):</w:t>
      </w:r>
    </w:p>
    <w:p w14:paraId="05E7EE21" w14:textId="77777777" w:rsidR="00BE227F" w:rsidRPr="003501B6" w:rsidRDefault="00BE227F" w:rsidP="00FB67DB">
      <w:pPr>
        <w:ind w:left="851"/>
        <w:rPr>
          <w:sz w:val="24"/>
          <w:szCs w:val="24"/>
        </w:rPr>
      </w:pPr>
    </w:p>
    <w:p w14:paraId="2DA7274E" w14:textId="77777777" w:rsidR="00BE227F" w:rsidRPr="00596E4B" w:rsidRDefault="00BE227F" w:rsidP="00596E4B">
      <w:pPr>
        <w:pStyle w:val="Listeafsnit"/>
        <w:numPr>
          <w:ilvl w:val="0"/>
          <w:numId w:val="11"/>
        </w:numPr>
        <w:tabs>
          <w:tab w:val="clear" w:pos="567"/>
        </w:tabs>
        <w:ind w:left="1276" w:hanging="425"/>
        <w:rPr>
          <w:sz w:val="24"/>
          <w:szCs w:val="24"/>
        </w:rPr>
      </w:pPr>
      <w:r w:rsidRPr="00596E4B">
        <w:rPr>
          <w:sz w:val="24"/>
          <w:szCs w:val="24"/>
        </w:rPr>
        <w:t>Akut pyelonefritis og komplicerede urinvejsinfektioner (se pkt. 4.4).</w:t>
      </w:r>
    </w:p>
    <w:p w14:paraId="009BA179" w14:textId="77777777" w:rsidR="00BE227F" w:rsidRPr="00596E4B" w:rsidRDefault="00BE227F" w:rsidP="00596E4B">
      <w:pPr>
        <w:pStyle w:val="Listeafsnit"/>
        <w:numPr>
          <w:ilvl w:val="0"/>
          <w:numId w:val="11"/>
        </w:numPr>
        <w:tabs>
          <w:tab w:val="clear" w:pos="567"/>
        </w:tabs>
        <w:ind w:left="1276" w:hanging="425"/>
        <w:rPr>
          <w:sz w:val="24"/>
          <w:szCs w:val="24"/>
        </w:rPr>
      </w:pPr>
      <w:r w:rsidRPr="00596E4B">
        <w:rPr>
          <w:sz w:val="24"/>
          <w:szCs w:val="24"/>
        </w:rPr>
        <w:t xml:space="preserve">Kronisk bakteriel prostatitis. </w:t>
      </w:r>
    </w:p>
    <w:p w14:paraId="6D8E5308" w14:textId="77777777" w:rsidR="00BE227F" w:rsidRPr="00596E4B" w:rsidRDefault="00BE227F" w:rsidP="00596E4B">
      <w:pPr>
        <w:pStyle w:val="Listeafsnit"/>
        <w:numPr>
          <w:ilvl w:val="0"/>
          <w:numId w:val="11"/>
        </w:numPr>
        <w:tabs>
          <w:tab w:val="clear" w:pos="567"/>
        </w:tabs>
        <w:ind w:left="1276" w:hanging="425"/>
        <w:rPr>
          <w:sz w:val="24"/>
          <w:szCs w:val="24"/>
        </w:rPr>
      </w:pPr>
      <w:r w:rsidRPr="00596E4B">
        <w:rPr>
          <w:sz w:val="24"/>
          <w:szCs w:val="24"/>
        </w:rPr>
        <w:t>Inhalationsanthrax: profylakse og kurativ behandling efter eksponering (se pkt. 4.4).</w:t>
      </w:r>
    </w:p>
    <w:p w14:paraId="08143CF7" w14:textId="77777777" w:rsidR="00BE227F" w:rsidRPr="003501B6" w:rsidRDefault="00BE227F" w:rsidP="00FB67DB">
      <w:pPr>
        <w:ind w:left="851"/>
        <w:rPr>
          <w:sz w:val="24"/>
          <w:szCs w:val="24"/>
        </w:rPr>
      </w:pPr>
    </w:p>
    <w:p w14:paraId="0B7393B2" w14:textId="1CF8B422" w:rsidR="00BE227F" w:rsidRPr="003501B6" w:rsidRDefault="00BE227F" w:rsidP="00FB67DB">
      <w:pPr>
        <w:ind w:left="851"/>
        <w:rPr>
          <w:sz w:val="24"/>
          <w:szCs w:val="24"/>
        </w:rPr>
      </w:pPr>
      <w:r w:rsidRPr="003501B6">
        <w:rPr>
          <w:sz w:val="24"/>
          <w:szCs w:val="24"/>
        </w:rPr>
        <w:lastRenderedPageBreak/>
        <w:t xml:space="preserve">Til nedennævnte infektioner bør Levofloxacin </w:t>
      </w:r>
      <w:r w:rsidR="00EF18B8">
        <w:rPr>
          <w:sz w:val="24"/>
          <w:szCs w:val="24"/>
        </w:rPr>
        <w:t>"Macure"</w:t>
      </w:r>
      <w:r w:rsidRPr="003501B6">
        <w:rPr>
          <w:sz w:val="24"/>
          <w:szCs w:val="24"/>
        </w:rPr>
        <w:t xml:space="preserve"> kun anvendes, når det er uhensigtsmæssigt at anvende de antibakterielle midler, der almindeligvis anbefales til den initiale behandling af disse infektioner.</w:t>
      </w:r>
    </w:p>
    <w:p w14:paraId="6BF5BD79" w14:textId="77777777" w:rsidR="00BE227F" w:rsidRPr="003501B6" w:rsidRDefault="00BE227F" w:rsidP="00FB67DB">
      <w:pPr>
        <w:ind w:left="851"/>
        <w:rPr>
          <w:sz w:val="24"/>
          <w:szCs w:val="24"/>
        </w:rPr>
      </w:pPr>
    </w:p>
    <w:p w14:paraId="4D72B26F" w14:textId="77777777" w:rsidR="00BE227F" w:rsidRPr="00596E4B" w:rsidRDefault="00BE227F" w:rsidP="00596E4B">
      <w:pPr>
        <w:pStyle w:val="Listeafsnit"/>
        <w:numPr>
          <w:ilvl w:val="0"/>
          <w:numId w:val="12"/>
        </w:numPr>
        <w:tabs>
          <w:tab w:val="clear" w:pos="567"/>
        </w:tabs>
        <w:ind w:left="1276" w:hanging="425"/>
        <w:rPr>
          <w:sz w:val="24"/>
          <w:szCs w:val="24"/>
        </w:rPr>
      </w:pPr>
      <w:r w:rsidRPr="00596E4B">
        <w:rPr>
          <w:sz w:val="24"/>
          <w:szCs w:val="24"/>
        </w:rPr>
        <w:t>Akut bakteriel sinusitis.</w:t>
      </w:r>
    </w:p>
    <w:p w14:paraId="44342052" w14:textId="77777777" w:rsidR="00BE227F" w:rsidRPr="00596E4B" w:rsidRDefault="00BE227F" w:rsidP="00596E4B">
      <w:pPr>
        <w:pStyle w:val="Listeafsnit"/>
        <w:numPr>
          <w:ilvl w:val="0"/>
          <w:numId w:val="12"/>
        </w:numPr>
        <w:tabs>
          <w:tab w:val="clear" w:pos="567"/>
        </w:tabs>
        <w:ind w:left="1276" w:hanging="425"/>
        <w:rPr>
          <w:sz w:val="24"/>
          <w:szCs w:val="24"/>
        </w:rPr>
      </w:pPr>
      <w:r w:rsidRPr="00596E4B">
        <w:rPr>
          <w:sz w:val="24"/>
          <w:szCs w:val="24"/>
        </w:rPr>
        <w:t xml:space="preserve">Akut eksacerbation af kronisk obstruktiv lungesygdom, herunder bronkitis. </w:t>
      </w:r>
    </w:p>
    <w:p w14:paraId="1EC8B505" w14:textId="77777777" w:rsidR="00BE227F" w:rsidRPr="00596E4B" w:rsidRDefault="00BE227F" w:rsidP="00596E4B">
      <w:pPr>
        <w:pStyle w:val="Listeafsnit"/>
        <w:numPr>
          <w:ilvl w:val="0"/>
          <w:numId w:val="12"/>
        </w:numPr>
        <w:tabs>
          <w:tab w:val="clear" w:pos="567"/>
        </w:tabs>
        <w:ind w:left="1276" w:hanging="425"/>
        <w:rPr>
          <w:sz w:val="24"/>
          <w:szCs w:val="24"/>
        </w:rPr>
      </w:pPr>
      <w:r w:rsidRPr="00596E4B">
        <w:rPr>
          <w:sz w:val="24"/>
          <w:szCs w:val="24"/>
        </w:rPr>
        <w:t xml:space="preserve">Pneumoni erhvervet uden for hospital. </w:t>
      </w:r>
    </w:p>
    <w:p w14:paraId="14D54262" w14:textId="77777777" w:rsidR="00BE227F" w:rsidRPr="00596E4B" w:rsidRDefault="00BE227F" w:rsidP="00596E4B">
      <w:pPr>
        <w:pStyle w:val="Listeafsnit"/>
        <w:numPr>
          <w:ilvl w:val="0"/>
          <w:numId w:val="12"/>
        </w:numPr>
        <w:tabs>
          <w:tab w:val="clear" w:pos="567"/>
        </w:tabs>
        <w:ind w:left="1276" w:hanging="425"/>
        <w:rPr>
          <w:sz w:val="24"/>
          <w:szCs w:val="24"/>
        </w:rPr>
      </w:pPr>
      <w:r w:rsidRPr="00596E4B">
        <w:rPr>
          <w:sz w:val="24"/>
          <w:szCs w:val="24"/>
        </w:rPr>
        <w:t xml:space="preserve">Komplicerede hud- og bløddelsinfektioner. </w:t>
      </w:r>
    </w:p>
    <w:p w14:paraId="54605A9B" w14:textId="77777777" w:rsidR="00BE227F" w:rsidRPr="00596E4B" w:rsidRDefault="00BE227F" w:rsidP="00596E4B">
      <w:pPr>
        <w:pStyle w:val="Listeafsnit"/>
        <w:numPr>
          <w:ilvl w:val="0"/>
          <w:numId w:val="12"/>
        </w:numPr>
        <w:tabs>
          <w:tab w:val="clear" w:pos="567"/>
        </w:tabs>
        <w:ind w:left="1276" w:hanging="425"/>
        <w:rPr>
          <w:sz w:val="24"/>
          <w:szCs w:val="24"/>
        </w:rPr>
      </w:pPr>
      <w:r w:rsidRPr="00596E4B">
        <w:rPr>
          <w:sz w:val="24"/>
          <w:szCs w:val="24"/>
        </w:rPr>
        <w:t>Ukompliceret cystitis (se pkt. 4.4).</w:t>
      </w:r>
    </w:p>
    <w:p w14:paraId="0F80BE35" w14:textId="77777777" w:rsidR="00BE227F" w:rsidRPr="003501B6" w:rsidRDefault="00BE227F" w:rsidP="00FB67DB">
      <w:pPr>
        <w:ind w:left="851"/>
        <w:rPr>
          <w:sz w:val="24"/>
          <w:szCs w:val="24"/>
          <w:lang w:val="en-US"/>
        </w:rPr>
      </w:pPr>
    </w:p>
    <w:p w14:paraId="590DBF2F" w14:textId="3CFA292C"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Pr="003501B6">
        <w:rPr>
          <w:sz w:val="24"/>
          <w:szCs w:val="24"/>
        </w:rPr>
        <w:t xml:space="preserve"> kan også anvendes til at fuldføre et behandlingsforløb hos patienter, der har vist forbedring under den indledende behandling med intravenøs levofloxacin.</w:t>
      </w:r>
    </w:p>
    <w:p w14:paraId="7F6C564C" w14:textId="77777777" w:rsidR="00BE227F" w:rsidRPr="003501B6" w:rsidRDefault="00BE227F" w:rsidP="00FB67DB">
      <w:pPr>
        <w:ind w:left="851"/>
        <w:rPr>
          <w:sz w:val="24"/>
          <w:szCs w:val="24"/>
        </w:rPr>
      </w:pPr>
    </w:p>
    <w:p w14:paraId="7A3794D9" w14:textId="77777777" w:rsidR="00BE227F" w:rsidRPr="003501B6" w:rsidRDefault="00BE227F" w:rsidP="00FB67DB">
      <w:pPr>
        <w:ind w:left="851"/>
        <w:rPr>
          <w:sz w:val="24"/>
          <w:szCs w:val="24"/>
        </w:rPr>
      </w:pPr>
      <w:r w:rsidRPr="003501B6">
        <w:rPr>
          <w:sz w:val="24"/>
          <w:szCs w:val="24"/>
        </w:rPr>
        <w:t>Officielle retningslinjer vedrørende hensigtsmæssig brug af antibakterielle lægemidler bør tages i betragtning.</w:t>
      </w:r>
    </w:p>
    <w:p w14:paraId="4918E889" w14:textId="77777777" w:rsidR="009260DE" w:rsidRPr="003501B6" w:rsidRDefault="009260DE" w:rsidP="009260DE">
      <w:pPr>
        <w:tabs>
          <w:tab w:val="left" w:pos="851"/>
        </w:tabs>
        <w:ind w:left="851"/>
        <w:rPr>
          <w:sz w:val="24"/>
          <w:szCs w:val="24"/>
        </w:rPr>
      </w:pPr>
    </w:p>
    <w:p w14:paraId="5B9DA603" w14:textId="77777777" w:rsidR="009260DE" w:rsidRPr="003501B6" w:rsidRDefault="009260DE" w:rsidP="009260DE">
      <w:pPr>
        <w:tabs>
          <w:tab w:val="left" w:pos="851"/>
        </w:tabs>
        <w:ind w:left="851" w:hanging="851"/>
        <w:rPr>
          <w:b/>
          <w:sz w:val="24"/>
          <w:szCs w:val="24"/>
        </w:rPr>
      </w:pPr>
      <w:r w:rsidRPr="003501B6">
        <w:rPr>
          <w:b/>
          <w:sz w:val="24"/>
          <w:szCs w:val="24"/>
        </w:rPr>
        <w:t>4.2</w:t>
      </w:r>
      <w:r w:rsidRPr="003501B6">
        <w:rPr>
          <w:b/>
          <w:sz w:val="24"/>
          <w:szCs w:val="24"/>
        </w:rPr>
        <w:tab/>
        <w:t xml:space="preserve">Dosering og </w:t>
      </w:r>
      <w:r w:rsidR="002C1EC0" w:rsidRPr="003501B6">
        <w:rPr>
          <w:b/>
          <w:sz w:val="24"/>
          <w:szCs w:val="24"/>
        </w:rPr>
        <w:t>administration</w:t>
      </w:r>
    </w:p>
    <w:p w14:paraId="09ECB5BB" w14:textId="79280B8C"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Pr="003501B6">
        <w:rPr>
          <w:sz w:val="24"/>
          <w:szCs w:val="24"/>
        </w:rPr>
        <w:t xml:space="preserve"> 500 mg filmovertrukne tabletter administreres en eller to gange dagligt. </w:t>
      </w:r>
    </w:p>
    <w:p w14:paraId="590483DA" w14:textId="77777777" w:rsidR="00BE227F" w:rsidRPr="003501B6" w:rsidRDefault="00BE227F" w:rsidP="00FB67DB">
      <w:pPr>
        <w:ind w:left="851"/>
        <w:rPr>
          <w:sz w:val="24"/>
          <w:szCs w:val="24"/>
        </w:rPr>
      </w:pPr>
      <w:r w:rsidRPr="003501B6">
        <w:rPr>
          <w:sz w:val="24"/>
          <w:szCs w:val="24"/>
        </w:rPr>
        <w:t xml:space="preserve">Doseringen afhænger af infektionens type og sværhedsgrad og af følsomheden af det formodede kausale patogen. </w:t>
      </w:r>
    </w:p>
    <w:p w14:paraId="696C3FD3" w14:textId="77777777" w:rsidR="00596E4B" w:rsidRDefault="00596E4B" w:rsidP="00FB67DB">
      <w:pPr>
        <w:ind w:left="851"/>
        <w:rPr>
          <w:sz w:val="24"/>
          <w:szCs w:val="24"/>
        </w:rPr>
      </w:pPr>
    </w:p>
    <w:p w14:paraId="1D431D2E" w14:textId="68BFF7F8" w:rsidR="00BE227F" w:rsidRPr="003501B6" w:rsidRDefault="00BE227F" w:rsidP="00FB67DB">
      <w:pPr>
        <w:ind w:left="851"/>
        <w:rPr>
          <w:bCs/>
          <w:iCs/>
          <w:sz w:val="24"/>
          <w:szCs w:val="24"/>
        </w:rPr>
      </w:pPr>
      <w:r w:rsidRPr="003501B6">
        <w:rPr>
          <w:sz w:val="24"/>
          <w:szCs w:val="24"/>
        </w:rPr>
        <w:t xml:space="preserve">Levofloxacin </w:t>
      </w:r>
      <w:r w:rsidR="00EF18B8">
        <w:rPr>
          <w:sz w:val="24"/>
          <w:szCs w:val="24"/>
        </w:rPr>
        <w:t>"Macure"</w:t>
      </w:r>
      <w:r w:rsidRPr="003501B6">
        <w:rPr>
          <w:sz w:val="24"/>
          <w:szCs w:val="24"/>
        </w:rPr>
        <w:t xml:space="preserve"> 500 mg filmovertrukne tabletter kan også anvendes til at fuldføre et behandlingsforløb hos patienter, der har vist forbedring under den indledende behandling med intravenøs levofloxacin. Såfremt den parenterale og orale lægemiddelform er bioækvivalent, kan samme dosering anvendes.</w:t>
      </w:r>
    </w:p>
    <w:p w14:paraId="32C32CF4" w14:textId="77777777" w:rsidR="00BE227F" w:rsidRPr="003501B6" w:rsidRDefault="00BE227F" w:rsidP="00FB67DB">
      <w:pPr>
        <w:ind w:left="851"/>
        <w:rPr>
          <w:sz w:val="24"/>
          <w:szCs w:val="24"/>
        </w:rPr>
      </w:pPr>
    </w:p>
    <w:p w14:paraId="04A04BCF" w14:textId="77777777" w:rsidR="00BE227F" w:rsidRPr="003501B6" w:rsidRDefault="00BE227F" w:rsidP="00FB67DB">
      <w:pPr>
        <w:ind w:left="851"/>
        <w:rPr>
          <w:sz w:val="24"/>
          <w:szCs w:val="24"/>
        </w:rPr>
      </w:pPr>
      <w:r w:rsidRPr="003501B6">
        <w:rPr>
          <w:sz w:val="24"/>
          <w:szCs w:val="24"/>
          <w:u w:val="single"/>
        </w:rPr>
        <w:t>Dosering</w:t>
      </w:r>
    </w:p>
    <w:p w14:paraId="1488FC66" w14:textId="77777777" w:rsidR="00BE227F" w:rsidRPr="003501B6" w:rsidRDefault="00BE227F" w:rsidP="00FB67DB">
      <w:pPr>
        <w:ind w:left="851"/>
        <w:rPr>
          <w:bCs/>
          <w:iCs/>
          <w:sz w:val="24"/>
          <w:szCs w:val="24"/>
        </w:rPr>
      </w:pPr>
    </w:p>
    <w:p w14:paraId="6647915F" w14:textId="2D1AA362" w:rsidR="00BE227F" w:rsidRPr="003501B6" w:rsidRDefault="00BE227F" w:rsidP="00FB67DB">
      <w:pPr>
        <w:ind w:left="851"/>
        <w:rPr>
          <w:bCs/>
          <w:iCs/>
          <w:sz w:val="24"/>
          <w:szCs w:val="24"/>
        </w:rPr>
      </w:pPr>
      <w:r w:rsidRPr="003501B6">
        <w:rPr>
          <w:sz w:val="24"/>
          <w:szCs w:val="24"/>
        </w:rPr>
        <w:t xml:space="preserve">Følgende doseringsvejledning kan gives for Levofloxacin </w:t>
      </w:r>
      <w:r w:rsidR="00EF18B8">
        <w:rPr>
          <w:sz w:val="24"/>
          <w:szCs w:val="24"/>
        </w:rPr>
        <w:t>"Macure"</w:t>
      </w:r>
      <w:r w:rsidRPr="003501B6">
        <w:rPr>
          <w:sz w:val="24"/>
          <w:szCs w:val="24"/>
        </w:rPr>
        <w:t xml:space="preserve">: </w:t>
      </w:r>
    </w:p>
    <w:p w14:paraId="62A0CBD1" w14:textId="77777777" w:rsidR="00BE227F" w:rsidRPr="003501B6" w:rsidRDefault="00BE227F" w:rsidP="00FB67DB">
      <w:pPr>
        <w:ind w:left="851"/>
        <w:rPr>
          <w:bCs/>
          <w:i/>
          <w:iCs/>
          <w:sz w:val="24"/>
          <w:szCs w:val="24"/>
        </w:rPr>
      </w:pPr>
    </w:p>
    <w:p w14:paraId="4DB7F6C1" w14:textId="77777777" w:rsidR="00BE227F" w:rsidRPr="003501B6" w:rsidRDefault="00BE227F" w:rsidP="00FB67DB">
      <w:pPr>
        <w:ind w:left="851"/>
        <w:rPr>
          <w:i/>
          <w:sz w:val="24"/>
          <w:szCs w:val="24"/>
        </w:rPr>
      </w:pPr>
      <w:r w:rsidRPr="003501B6">
        <w:rPr>
          <w:i/>
          <w:sz w:val="24"/>
          <w:szCs w:val="24"/>
        </w:rPr>
        <w:t xml:space="preserve">Dosering til patienter med normal nyrefunktion (kreatininclearance &gt; 50 ml/min.). </w:t>
      </w:r>
    </w:p>
    <w:p w14:paraId="25821E2F" w14:textId="77777777" w:rsidR="00BE227F" w:rsidRPr="003501B6" w:rsidRDefault="00BE227F" w:rsidP="00FB67DB">
      <w:pPr>
        <w:ind w:left="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59"/>
        <w:gridCol w:w="2925"/>
        <w:gridCol w:w="2638"/>
      </w:tblGrid>
      <w:tr w:rsidR="00BE227F" w:rsidRPr="003501B6" w14:paraId="2B44FF42" w14:textId="77777777" w:rsidTr="00FB67DB">
        <w:trPr>
          <w:trHeight w:val="611"/>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0BCCC346" w14:textId="77777777" w:rsidR="00BE227F" w:rsidRPr="003501B6" w:rsidRDefault="00BE227F" w:rsidP="00596E4B">
            <w:pPr>
              <w:tabs>
                <w:tab w:val="left" w:pos="1304"/>
              </w:tabs>
              <w:rPr>
                <w:b/>
                <w:sz w:val="24"/>
                <w:szCs w:val="24"/>
              </w:rPr>
            </w:pPr>
            <w:r w:rsidRPr="003501B6">
              <w:rPr>
                <w:b/>
                <w:sz w:val="24"/>
                <w:szCs w:val="24"/>
              </w:rPr>
              <w:t xml:space="preserve">Indikation </w:t>
            </w:r>
          </w:p>
        </w:tc>
        <w:tc>
          <w:tcPr>
            <w:tcW w:w="1520" w:type="pct"/>
            <w:tcBorders>
              <w:top w:val="outset" w:sz="6" w:space="0" w:color="auto"/>
              <w:left w:val="outset" w:sz="6" w:space="0" w:color="auto"/>
              <w:bottom w:val="outset" w:sz="6" w:space="0" w:color="auto"/>
              <w:right w:val="outset" w:sz="6" w:space="0" w:color="auto"/>
            </w:tcBorders>
            <w:hideMark/>
          </w:tcPr>
          <w:p w14:paraId="496C11DF" w14:textId="77777777" w:rsidR="00BE227F" w:rsidRPr="003501B6" w:rsidRDefault="00BE227F" w:rsidP="00596E4B">
            <w:pPr>
              <w:pStyle w:val="NormalWeb"/>
              <w:spacing w:before="0" w:beforeAutospacing="0" w:after="0" w:afterAutospacing="0"/>
              <w:rPr>
                <w:b/>
                <w:bCs/>
              </w:rPr>
            </w:pPr>
            <w:r w:rsidRPr="003501B6">
              <w:rPr>
                <w:b/>
              </w:rPr>
              <w:t>Daglig dosis</w:t>
            </w:r>
          </w:p>
          <w:p w14:paraId="51F66FC1" w14:textId="77777777" w:rsidR="00BE227F" w:rsidRPr="003501B6" w:rsidRDefault="00BE227F" w:rsidP="00596E4B">
            <w:pPr>
              <w:pStyle w:val="NormalWeb"/>
              <w:spacing w:before="0" w:beforeAutospacing="0" w:after="0" w:afterAutospacing="0"/>
              <w:rPr>
                <w:b/>
                <w:bCs/>
              </w:rPr>
            </w:pPr>
            <w:r w:rsidRPr="003501B6">
              <w:rPr>
                <w:i/>
              </w:rPr>
              <w:t>(alt efter sværhedsgrad)</w:t>
            </w:r>
          </w:p>
        </w:tc>
        <w:tc>
          <w:tcPr>
            <w:tcW w:w="1371" w:type="pct"/>
            <w:tcBorders>
              <w:top w:val="outset" w:sz="6" w:space="0" w:color="auto"/>
              <w:left w:val="outset" w:sz="6" w:space="0" w:color="auto"/>
              <w:bottom w:val="outset" w:sz="6" w:space="0" w:color="auto"/>
              <w:right w:val="outset" w:sz="6" w:space="0" w:color="auto"/>
            </w:tcBorders>
            <w:hideMark/>
          </w:tcPr>
          <w:p w14:paraId="762A0D7C" w14:textId="77777777" w:rsidR="00BE227F" w:rsidRPr="003501B6" w:rsidRDefault="00BE227F" w:rsidP="00596E4B">
            <w:pPr>
              <w:pStyle w:val="NormalWeb"/>
              <w:spacing w:before="0" w:beforeAutospacing="0" w:after="0" w:afterAutospacing="0"/>
              <w:rPr>
                <w:b/>
                <w:bCs/>
              </w:rPr>
            </w:pPr>
            <w:r w:rsidRPr="003501B6">
              <w:rPr>
                <w:b/>
              </w:rPr>
              <w:t>Behandlingsvarighed</w:t>
            </w:r>
          </w:p>
          <w:p w14:paraId="46544E19" w14:textId="77777777" w:rsidR="00BE227F" w:rsidRPr="003501B6" w:rsidRDefault="00BE227F" w:rsidP="00596E4B">
            <w:pPr>
              <w:pStyle w:val="NormalWeb"/>
              <w:spacing w:before="0" w:beforeAutospacing="0" w:after="0" w:afterAutospacing="0"/>
              <w:rPr>
                <w:b/>
                <w:bCs/>
              </w:rPr>
            </w:pPr>
            <w:r w:rsidRPr="003501B6">
              <w:rPr>
                <w:i/>
              </w:rPr>
              <w:t>(alt efter sværhedsgrad)</w:t>
            </w:r>
          </w:p>
        </w:tc>
      </w:tr>
      <w:tr w:rsidR="00BE227F" w:rsidRPr="003501B6" w14:paraId="4833B7F6"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11014937" w14:textId="77777777" w:rsidR="00BE227F" w:rsidRPr="003501B6" w:rsidRDefault="00BE227F" w:rsidP="00596E4B">
            <w:pPr>
              <w:pStyle w:val="NormalWeb"/>
              <w:spacing w:before="0" w:beforeAutospacing="0" w:after="0" w:afterAutospacing="0"/>
            </w:pPr>
            <w:r w:rsidRPr="003501B6">
              <w:t>Akut bakteriel sinusitis</w:t>
            </w:r>
          </w:p>
        </w:tc>
        <w:tc>
          <w:tcPr>
            <w:tcW w:w="1520" w:type="pct"/>
            <w:tcBorders>
              <w:top w:val="outset" w:sz="6" w:space="0" w:color="auto"/>
              <w:left w:val="outset" w:sz="6" w:space="0" w:color="auto"/>
              <w:bottom w:val="outset" w:sz="6" w:space="0" w:color="auto"/>
              <w:right w:val="outset" w:sz="6" w:space="0" w:color="auto"/>
            </w:tcBorders>
            <w:hideMark/>
          </w:tcPr>
          <w:p w14:paraId="79628C55" w14:textId="77777777" w:rsidR="00BE227F" w:rsidRPr="003501B6" w:rsidRDefault="00BE227F" w:rsidP="00596E4B">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54AE9269" w14:textId="77777777" w:rsidR="00BE227F" w:rsidRPr="003501B6" w:rsidRDefault="00BE227F" w:rsidP="00596E4B">
            <w:pPr>
              <w:pStyle w:val="NormalWeb"/>
              <w:spacing w:before="0" w:beforeAutospacing="0" w:after="0" w:afterAutospacing="0"/>
            </w:pPr>
            <w:r w:rsidRPr="003501B6">
              <w:t>10</w:t>
            </w:r>
            <w:r w:rsidRPr="003501B6">
              <w:noBreakHyphen/>
              <w:t>14 dage</w:t>
            </w:r>
          </w:p>
        </w:tc>
      </w:tr>
      <w:tr w:rsidR="00BE227F" w:rsidRPr="003501B6" w14:paraId="5B323BA8"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03252ED7" w14:textId="77777777" w:rsidR="00BE227F" w:rsidRPr="003501B6" w:rsidRDefault="00BE227F" w:rsidP="00596E4B">
            <w:pPr>
              <w:pStyle w:val="NormalWeb"/>
              <w:spacing w:before="0" w:beforeAutospacing="0" w:after="0" w:afterAutospacing="0"/>
            </w:pPr>
            <w:r w:rsidRPr="003501B6">
              <w:t xml:space="preserve">Akut bakteriel forværring af kronisk </w:t>
            </w:r>
          </w:p>
          <w:p w14:paraId="448292BF" w14:textId="77777777" w:rsidR="00BE227F" w:rsidRPr="003501B6" w:rsidRDefault="00BE227F" w:rsidP="00596E4B">
            <w:pPr>
              <w:pStyle w:val="NormalWeb"/>
              <w:spacing w:before="0" w:beforeAutospacing="0" w:after="0" w:afterAutospacing="0"/>
            </w:pPr>
            <w:r w:rsidRPr="003501B6">
              <w:t>bronkitis</w:t>
            </w:r>
          </w:p>
        </w:tc>
        <w:tc>
          <w:tcPr>
            <w:tcW w:w="1520" w:type="pct"/>
            <w:tcBorders>
              <w:top w:val="outset" w:sz="6" w:space="0" w:color="auto"/>
              <w:left w:val="outset" w:sz="6" w:space="0" w:color="auto"/>
              <w:bottom w:val="outset" w:sz="6" w:space="0" w:color="auto"/>
              <w:right w:val="outset" w:sz="6" w:space="0" w:color="auto"/>
            </w:tcBorders>
            <w:hideMark/>
          </w:tcPr>
          <w:p w14:paraId="60447C68" w14:textId="77777777" w:rsidR="00BE227F" w:rsidRPr="003501B6" w:rsidRDefault="00BE227F" w:rsidP="00596E4B">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3E659C84" w14:textId="77777777" w:rsidR="00BE227F" w:rsidRPr="003501B6" w:rsidRDefault="00BE227F" w:rsidP="00596E4B">
            <w:pPr>
              <w:pStyle w:val="NormalWeb"/>
              <w:spacing w:before="0" w:beforeAutospacing="0" w:after="0" w:afterAutospacing="0"/>
            </w:pPr>
            <w:r w:rsidRPr="003501B6">
              <w:t>7</w:t>
            </w:r>
            <w:r w:rsidRPr="003501B6">
              <w:noBreakHyphen/>
              <w:t>10 dage</w:t>
            </w:r>
          </w:p>
        </w:tc>
      </w:tr>
      <w:tr w:rsidR="00BE227F" w:rsidRPr="003501B6" w14:paraId="3486E722"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312795B7" w14:textId="77777777" w:rsidR="00BE227F" w:rsidRPr="003501B6" w:rsidRDefault="00BE227F" w:rsidP="00596E4B">
            <w:pPr>
              <w:pStyle w:val="NormalWeb"/>
              <w:spacing w:before="0" w:beforeAutospacing="0" w:after="0" w:afterAutospacing="0"/>
            </w:pPr>
            <w:r w:rsidRPr="003501B6">
              <w:t>Pneumoni erhvervet uden for hospital</w:t>
            </w:r>
          </w:p>
        </w:tc>
        <w:tc>
          <w:tcPr>
            <w:tcW w:w="1520" w:type="pct"/>
            <w:tcBorders>
              <w:top w:val="outset" w:sz="6" w:space="0" w:color="auto"/>
              <w:left w:val="outset" w:sz="6" w:space="0" w:color="auto"/>
              <w:bottom w:val="outset" w:sz="6" w:space="0" w:color="auto"/>
              <w:right w:val="outset" w:sz="6" w:space="0" w:color="auto"/>
            </w:tcBorders>
            <w:hideMark/>
          </w:tcPr>
          <w:p w14:paraId="56A766B8" w14:textId="77777777" w:rsidR="00BE227F" w:rsidRPr="003501B6" w:rsidRDefault="00BE227F" w:rsidP="00596E4B">
            <w:pPr>
              <w:pStyle w:val="NormalWeb"/>
              <w:spacing w:before="0" w:beforeAutospacing="0" w:after="0" w:afterAutospacing="0"/>
            </w:pPr>
            <w:r w:rsidRPr="003501B6">
              <w:t>500 mg én eller to gange dagligt</w:t>
            </w:r>
          </w:p>
        </w:tc>
        <w:tc>
          <w:tcPr>
            <w:tcW w:w="1371" w:type="pct"/>
            <w:tcBorders>
              <w:top w:val="outset" w:sz="6" w:space="0" w:color="auto"/>
              <w:left w:val="outset" w:sz="6" w:space="0" w:color="auto"/>
              <w:bottom w:val="outset" w:sz="6" w:space="0" w:color="auto"/>
              <w:right w:val="outset" w:sz="6" w:space="0" w:color="auto"/>
            </w:tcBorders>
            <w:hideMark/>
          </w:tcPr>
          <w:p w14:paraId="6F1C877E" w14:textId="77777777" w:rsidR="00BE227F" w:rsidRPr="003501B6" w:rsidRDefault="00BE227F" w:rsidP="00596E4B">
            <w:pPr>
              <w:pStyle w:val="NormalWeb"/>
              <w:spacing w:before="0" w:beforeAutospacing="0" w:after="0" w:afterAutospacing="0"/>
            </w:pPr>
            <w:r w:rsidRPr="003501B6">
              <w:t>7</w:t>
            </w:r>
            <w:r w:rsidRPr="003501B6">
              <w:noBreakHyphen/>
              <w:t>14 dage</w:t>
            </w:r>
          </w:p>
        </w:tc>
      </w:tr>
      <w:tr w:rsidR="00BE227F" w:rsidRPr="003501B6" w14:paraId="565F0E38"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365DCEA8" w14:textId="77777777" w:rsidR="00BE227F" w:rsidRPr="003501B6" w:rsidRDefault="00BE227F" w:rsidP="00596E4B">
            <w:pPr>
              <w:pStyle w:val="NormalWeb"/>
              <w:spacing w:before="0" w:beforeAutospacing="0" w:after="0" w:afterAutospacing="0"/>
            </w:pPr>
            <w:r w:rsidRPr="003501B6">
              <w:t>Akut pyelonefritis</w:t>
            </w:r>
          </w:p>
        </w:tc>
        <w:tc>
          <w:tcPr>
            <w:tcW w:w="1520" w:type="pct"/>
            <w:tcBorders>
              <w:top w:val="outset" w:sz="6" w:space="0" w:color="auto"/>
              <w:left w:val="outset" w:sz="6" w:space="0" w:color="auto"/>
              <w:bottom w:val="outset" w:sz="6" w:space="0" w:color="auto"/>
              <w:right w:val="outset" w:sz="6" w:space="0" w:color="auto"/>
            </w:tcBorders>
            <w:hideMark/>
          </w:tcPr>
          <w:p w14:paraId="47CDCB90" w14:textId="77777777" w:rsidR="00BE227F" w:rsidRPr="003501B6" w:rsidRDefault="00BE227F" w:rsidP="00596E4B">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3D07268F" w14:textId="77777777" w:rsidR="00BE227F" w:rsidRPr="003501B6" w:rsidRDefault="00BE227F" w:rsidP="00596E4B">
            <w:pPr>
              <w:pStyle w:val="NormalWeb"/>
              <w:spacing w:before="0" w:beforeAutospacing="0" w:after="0" w:afterAutospacing="0"/>
            </w:pPr>
            <w:r w:rsidRPr="003501B6">
              <w:t>7</w:t>
            </w:r>
            <w:r w:rsidRPr="003501B6">
              <w:noBreakHyphen/>
              <w:t>10 dage</w:t>
            </w:r>
          </w:p>
        </w:tc>
      </w:tr>
      <w:tr w:rsidR="00BE227F" w:rsidRPr="003501B6" w14:paraId="56846658"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17B1651F" w14:textId="77777777" w:rsidR="00BE227F" w:rsidRPr="003501B6" w:rsidRDefault="00BE227F" w:rsidP="00596E4B">
            <w:pPr>
              <w:pStyle w:val="NormalWeb"/>
              <w:spacing w:before="0" w:beforeAutospacing="0" w:after="0" w:afterAutospacing="0"/>
            </w:pPr>
            <w:r w:rsidRPr="003501B6">
              <w:t xml:space="preserve">Komplicerede urinvejsinfektioner </w:t>
            </w:r>
          </w:p>
        </w:tc>
        <w:tc>
          <w:tcPr>
            <w:tcW w:w="1520" w:type="pct"/>
            <w:tcBorders>
              <w:top w:val="outset" w:sz="6" w:space="0" w:color="auto"/>
              <w:left w:val="outset" w:sz="6" w:space="0" w:color="auto"/>
              <w:bottom w:val="outset" w:sz="6" w:space="0" w:color="auto"/>
              <w:right w:val="outset" w:sz="6" w:space="0" w:color="auto"/>
            </w:tcBorders>
            <w:hideMark/>
          </w:tcPr>
          <w:p w14:paraId="0B810386" w14:textId="77777777" w:rsidR="00BE227F" w:rsidRPr="003501B6" w:rsidRDefault="00BE227F" w:rsidP="00596E4B">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6F70D410" w14:textId="77777777" w:rsidR="00BE227F" w:rsidRPr="003501B6" w:rsidRDefault="00BE227F" w:rsidP="00596E4B">
            <w:pPr>
              <w:pStyle w:val="NormalWeb"/>
              <w:spacing w:before="0" w:beforeAutospacing="0" w:after="0" w:afterAutospacing="0"/>
            </w:pPr>
            <w:r w:rsidRPr="003501B6">
              <w:t>7</w:t>
            </w:r>
            <w:r w:rsidRPr="003501B6">
              <w:noBreakHyphen/>
              <w:t>14 dage</w:t>
            </w:r>
          </w:p>
        </w:tc>
      </w:tr>
      <w:tr w:rsidR="00BE227F" w:rsidRPr="003501B6" w14:paraId="6D65DF49"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3057139D" w14:textId="77777777" w:rsidR="00BE227F" w:rsidRPr="003501B6" w:rsidRDefault="00BE227F" w:rsidP="00596E4B">
            <w:pPr>
              <w:pStyle w:val="NormalWeb"/>
              <w:spacing w:before="0" w:beforeAutospacing="0" w:after="0" w:afterAutospacing="0"/>
            </w:pPr>
            <w:r w:rsidRPr="003501B6">
              <w:t>Ukompliceret cystitis</w:t>
            </w:r>
          </w:p>
        </w:tc>
        <w:tc>
          <w:tcPr>
            <w:tcW w:w="1520" w:type="pct"/>
            <w:tcBorders>
              <w:top w:val="outset" w:sz="6" w:space="0" w:color="auto"/>
              <w:left w:val="outset" w:sz="6" w:space="0" w:color="auto"/>
              <w:bottom w:val="outset" w:sz="6" w:space="0" w:color="auto"/>
              <w:right w:val="outset" w:sz="6" w:space="0" w:color="auto"/>
            </w:tcBorders>
            <w:hideMark/>
          </w:tcPr>
          <w:p w14:paraId="1798391E" w14:textId="77777777" w:rsidR="00BE227F" w:rsidRPr="003501B6" w:rsidRDefault="00BE227F" w:rsidP="00596E4B">
            <w:pPr>
              <w:pStyle w:val="NormalWeb"/>
              <w:spacing w:before="0" w:beforeAutospacing="0" w:after="0" w:afterAutospacing="0"/>
            </w:pPr>
            <w:r w:rsidRPr="003501B6">
              <w:t>250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45D3E786" w14:textId="77777777" w:rsidR="00BE227F" w:rsidRPr="003501B6" w:rsidRDefault="00BE227F" w:rsidP="00596E4B">
            <w:pPr>
              <w:pStyle w:val="NormalWeb"/>
              <w:spacing w:before="0" w:beforeAutospacing="0" w:after="0" w:afterAutospacing="0"/>
            </w:pPr>
            <w:r w:rsidRPr="003501B6">
              <w:t>3 dage</w:t>
            </w:r>
          </w:p>
        </w:tc>
      </w:tr>
      <w:tr w:rsidR="00BE227F" w:rsidRPr="003501B6" w14:paraId="42C97887"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7833EB07" w14:textId="77777777" w:rsidR="00BE227F" w:rsidRPr="003501B6" w:rsidRDefault="00BE227F" w:rsidP="00596E4B">
            <w:pPr>
              <w:pStyle w:val="NormalWeb"/>
              <w:spacing w:before="0" w:beforeAutospacing="0" w:after="0" w:afterAutospacing="0"/>
            </w:pPr>
            <w:r w:rsidRPr="003501B6">
              <w:t>Kronisk bakteriel prostatitis</w:t>
            </w:r>
          </w:p>
        </w:tc>
        <w:tc>
          <w:tcPr>
            <w:tcW w:w="1520" w:type="pct"/>
            <w:tcBorders>
              <w:top w:val="outset" w:sz="6" w:space="0" w:color="auto"/>
              <w:left w:val="outset" w:sz="6" w:space="0" w:color="auto"/>
              <w:bottom w:val="outset" w:sz="6" w:space="0" w:color="auto"/>
              <w:right w:val="outset" w:sz="6" w:space="0" w:color="auto"/>
            </w:tcBorders>
            <w:hideMark/>
          </w:tcPr>
          <w:p w14:paraId="7ACC60F4" w14:textId="77777777" w:rsidR="00BE227F" w:rsidRPr="003501B6" w:rsidRDefault="00BE227F" w:rsidP="00596E4B">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0DB062C3" w14:textId="77777777" w:rsidR="00BE227F" w:rsidRPr="003501B6" w:rsidRDefault="00BE227F" w:rsidP="00596E4B">
            <w:pPr>
              <w:pStyle w:val="NormalWeb"/>
              <w:spacing w:before="0" w:beforeAutospacing="0" w:after="0" w:afterAutospacing="0"/>
            </w:pPr>
            <w:r w:rsidRPr="003501B6">
              <w:t>28 dage</w:t>
            </w:r>
          </w:p>
        </w:tc>
      </w:tr>
      <w:tr w:rsidR="00BE227F" w:rsidRPr="003501B6" w14:paraId="02EAC1F0"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4621BAE5" w14:textId="77777777" w:rsidR="00BE227F" w:rsidRPr="003501B6" w:rsidRDefault="00BE227F" w:rsidP="00596E4B">
            <w:pPr>
              <w:pStyle w:val="NormalWeb"/>
              <w:spacing w:before="0" w:beforeAutospacing="0" w:after="0" w:afterAutospacing="0"/>
            </w:pPr>
            <w:r w:rsidRPr="003501B6">
              <w:lastRenderedPageBreak/>
              <w:t>Komplicerede hud- og bløddelsinfektioner</w:t>
            </w:r>
          </w:p>
        </w:tc>
        <w:tc>
          <w:tcPr>
            <w:tcW w:w="1520" w:type="pct"/>
            <w:tcBorders>
              <w:top w:val="outset" w:sz="6" w:space="0" w:color="auto"/>
              <w:left w:val="outset" w:sz="6" w:space="0" w:color="auto"/>
              <w:bottom w:val="outset" w:sz="6" w:space="0" w:color="auto"/>
              <w:right w:val="outset" w:sz="6" w:space="0" w:color="auto"/>
            </w:tcBorders>
            <w:hideMark/>
          </w:tcPr>
          <w:p w14:paraId="170BB398" w14:textId="77777777" w:rsidR="00BE227F" w:rsidRPr="003501B6" w:rsidRDefault="00BE227F" w:rsidP="00596E4B">
            <w:pPr>
              <w:pStyle w:val="NormalWeb"/>
              <w:spacing w:before="0" w:beforeAutospacing="0" w:after="0" w:afterAutospacing="0"/>
            </w:pPr>
            <w:r w:rsidRPr="003501B6">
              <w:t>500 mg én eller to gange dagligt</w:t>
            </w:r>
          </w:p>
        </w:tc>
        <w:tc>
          <w:tcPr>
            <w:tcW w:w="1371" w:type="pct"/>
            <w:tcBorders>
              <w:top w:val="outset" w:sz="6" w:space="0" w:color="auto"/>
              <w:left w:val="outset" w:sz="6" w:space="0" w:color="auto"/>
              <w:bottom w:val="outset" w:sz="6" w:space="0" w:color="auto"/>
              <w:right w:val="outset" w:sz="6" w:space="0" w:color="auto"/>
            </w:tcBorders>
            <w:hideMark/>
          </w:tcPr>
          <w:p w14:paraId="36F57DE0" w14:textId="77777777" w:rsidR="00BE227F" w:rsidRPr="003501B6" w:rsidRDefault="00BE227F" w:rsidP="00596E4B">
            <w:pPr>
              <w:pStyle w:val="NormalWeb"/>
              <w:spacing w:before="0" w:beforeAutospacing="0" w:after="0" w:afterAutospacing="0"/>
            </w:pPr>
            <w:r w:rsidRPr="003501B6">
              <w:t>7</w:t>
            </w:r>
            <w:r w:rsidRPr="003501B6">
              <w:noBreakHyphen/>
              <w:t>14 dage</w:t>
            </w:r>
          </w:p>
        </w:tc>
      </w:tr>
      <w:tr w:rsidR="00BE227F" w:rsidRPr="003501B6" w14:paraId="79F2B4DA" w14:textId="77777777" w:rsidTr="00FB67DB">
        <w:trPr>
          <w:tblCellSpacing w:w="0" w:type="dxa"/>
        </w:trPr>
        <w:tc>
          <w:tcPr>
            <w:tcW w:w="2109" w:type="pct"/>
            <w:tcBorders>
              <w:top w:val="outset" w:sz="6" w:space="0" w:color="auto"/>
              <w:left w:val="outset" w:sz="6" w:space="0" w:color="auto"/>
              <w:bottom w:val="outset" w:sz="6" w:space="0" w:color="auto"/>
              <w:right w:val="outset" w:sz="6" w:space="0" w:color="auto"/>
            </w:tcBorders>
            <w:hideMark/>
          </w:tcPr>
          <w:p w14:paraId="031EB336" w14:textId="77777777" w:rsidR="00BE227F" w:rsidRPr="003501B6" w:rsidRDefault="00BE227F" w:rsidP="00596E4B">
            <w:pPr>
              <w:pStyle w:val="NormalWeb"/>
              <w:spacing w:before="0" w:beforeAutospacing="0" w:after="0" w:afterAutospacing="0"/>
            </w:pPr>
            <w:r w:rsidRPr="003501B6">
              <w:t>Inhalationsanthrax</w:t>
            </w:r>
          </w:p>
        </w:tc>
        <w:tc>
          <w:tcPr>
            <w:tcW w:w="1520" w:type="pct"/>
            <w:tcBorders>
              <w:top w:val="outset" w:sz="6" w:space="0" w:color="auto"/>
              <w:left w:val="outset" w:sz="6" w:space="0" w:color="auto"/>
              <w:bottom w:val="outset" w:sz="6" w:space="0" w:color="auto"/>
              <w:right w:val="outset" w:sz="6" w:space="0" w:color="auto"/>
            </w:tcBorders>
            <w:hideMark/>
          </w:tcPr>
          <w:p w14:paraId="4BCDD9BD" w14:textId="77777777" w:rsidR="00BE227F" w:rsidRPr="003501B6" w:rsidRDefault="00BE227F" w:rsidP="00596E4B">
            <w:pPr>
              <w:pStyle w:val="NormalWeb"/>
              <w:spacing w:before="0" w:beforeAutospacing="0" w:after="0" w:afterAutospacing="0"/>
            </w:pPr>
            <w:r w:rsidRPr="003501B6">
              <w:t>500 mg én gang dagligt</w:t>
            </w:r>
          </w:p>
        </w:tc>
        <w:tc>
          <w:tcPr>
            <w:tcW w:w="1371" w:type="pct"/>
            <w:tcBorders>
              <w:top w:val="outset" w:sz="6" w:space="0" w:color="auto"/>
              <w:left w:val="outset" w:sz="6" w:space="0" w:color="auto"/>
              <w:bottom w:val="outset" w:sz="6" w:space="0" w:color="auto"/>
              <w:right w:val="outset" w:sz="6" w:space="0" w:color="auto"/>
            </w:tcBorders>
            <w:hideMark/>
          </w:tcPr>
          <w:p w14:paraId="3326FE33" w14:textId="77777777" w:rsidR="00BE227F" w:rsidRPr="003501B6" w:rsidRDefault="00BE227F" w:rsidP="00596E4B">
            <w:pPr>
              <w:pStyle w:val="NormalWeb"/>
              <w:spacing w:before="0" w:beforeAutospacing="0" w:after="0" w:afterAutospacing="0"/>
            </w:pPr>
            <w:r w:rsidRPr="003501B6">
              <w:t>8 uger</w:t>
            </w:r>
          </w:p>
        </w:tc>
      </w:tr>
    </w:tbl>
    <w:p w14:paraId="6F111697" w14:textId="77777777" w:rsidR="00BE227F" w:rsidRPr="003501B6" w:rsidRDefault="00BE227F" w:rsidP="00BE227F">
      <w:pPr>
        <w:tabs>
          <w:tab w:val="left" w:pos="1304"/>
        </w:tabs>
        <w:rPr>
          <w:sz w:val="24"/>
          <w:szCs w:val="24"/>
          <w:lang w:val="en-US"/>
        </w:rPr>
      </w:pPr>
    </w:p>
    <w:p w14:paraId="7D9C8162" w14:textId="77777777" w:rsidR="00BE227F" w:rsidRPr="00596E4B" w:rsidRDefault="00BE227F" w:rsidP="00FB67DB">
      <w:pPr>
        <w:ind w:left="851"/>
        <w:rPr>
          <w:bCs/>
          <w:i/>
          <w:iCs/>
          <w:sz w:val="24"/>
          <w:szCs w:val="24"/>
          <w:u w:val="single"/>
        </w:rPr>
      </w:pPr>
      <w:r w:rsidRPr="00596E4B">
        <w:rPr>
          <w:i/>
          <w:sz w:val="24"/>
          <w:szCs w:val="24"/>
          <w:u w:val="single"/>
        </w:rPr>
        <w:t>Særlige populationer</w:t>
      </w:r>
    </w:p>
    <w:p w14:paraId="781C8768" w14:textId="77777777" w:rsidR="00BE227F" w:rsidRPr="003501B6" w:rsidRDefault="00BE227F" w:rsidP="00FB67DB">
      <w:pPr>
        <w:ind w:left="851"/>
        <w:rPr>
          <w:bCs/>
          <w:iCs/>
          <w:sz w:val="24"/>
          <w:szCs w:val="24"/>
          <w:lang w:val="en-US"/>
        </w:rPr>
      </w:pPr>
    </w:p>
    <w:p w14:paraId="798395E4" w14:textId="77777777" w:rsidR="00BE227F" w:rsidRPr="00596E4B" w:rsidRDefault="00BE227F" w:rsidP="00FB67DB">
      <w:pPr>
        <w:ind w:left="851"/>
        <w:rPr>
          <w:i/>
          <w:sz w:val="24"/>
          <w:szCs w:val="24"/>
        </w:rPr>
      </w:pPr>
      <w:r w:rsidRPr="00596E4B">
        <w:rPr>
          <w:i/>
          <w:sz w:val="24"/>
          <w:szCs w:val="24"/>
        </w:rPr>
        <w:t xml:space="preserve">Nedsat nyrefunktion (kreatininclearance ≤50 ml/min.) </w:t>
      </w:r>
    </w:p>
    <w:p w14:paraId="481A486F" w14:textId="36DE9877" w:rsidR="00BE227F" w:rsidRPr="003501B6" w:rsidRDefault="00BE227F" w:rsidP="00FB67DB">
      <w:pPr>
        <w:ind w:left="851"/>
        <w:rPr>
          <w:iCs/>
          <w:sz w:val="24"/>
          <w:szCs w:val="24"/>
        </w:rPr>
      </w:pPr>
      <w:r w:rsidRPr="003501B6">
        <w:rPr>
          <w:sz w:val="24"/>
          <w:szCs w:val="24"/>
        </w:rPr>
        <w:t xml:space="preserve">Dosisreduktion anbefales til patienter med nedsat nyrefunktion (kreatininclearance ≤50 ml/min.), da levofloxacin hovedsageligt udskilles via nyrerne. Den anbefalede dosis er 125 mg/døgn. Levofloxacin </w:t>
      </w:r>
      <w:r w:rsidR="00EF18B8">
        <w:rPr>
          <w:sz w:val="24"/>
          <w:szCs w:val="24"/>
        </w:rPr>
        <w:t>"Macure"</w:t>
      </w:r>
      <w:r w:rsidRPr="003501B6">
        <w:rPr>
          <w:sz w:val="24"/>
          <w:szCs w:val="24"/>
        </w:rPr>
        <w:t xml:space="preserve"> 500 mg filmovertrukne tabletter er ikke egnet til denne patientgruppe. </w:t>
      </w:r>
    </w:p>
    <w:p w14:paraId="3359A6DD" w14:textId="77777777" w:rsidR="00BE227F" w:rsidRPr="003501B6" w:rsidRDefault="00BE227F" w:rsidP="00FB67DB">
      <w:pPr>
        <w:ind w:left="851"/>
        <w:rPr>
          <w:bCs/>
          <w:iCs/>
          <w:sz w:val="24"/>
          <w:szCs w:val="24"/>
        </w:rPr>
      </w:pPr>
    </w:p>
    <w:p w14:paraId="11632C47" w14:textId="77777777" w:rsidR="00BE227F" w:rsidRPr="00596E4B" w:rsidRDefault="00BE227F" w:rsidP="00FB67DB">
      <w:pPr>
        <w:ind w:left="851"/>
        <w:rPr>
          <w:i/>
          <w:sz w:val="24"/>
          <w:szCs w:val="24"/>
        </w:rPr>
      </w:pPr>
      <w:r w:rsidRPr="00596E4B">
        <w:rPr>
          <w:i/>
          <w:sz w:val="24"/>
          <w:szCs w:val="24"/>
        </w:rPr>
        <w:t>Nedsat leverfunktion</w:t>
      </w:r>
    </w:p>
    <w:p w14:paraId="24A657EB" w14:textId="77777777" w:rsidR="00BE227F" w:rsidRPr="003501B6" w:rsidRDefault="00BE227F" w:rsidP="00FB67DB">
      <w:pPr>
        <w:ind w:left="851"/>
        <w:rPr>
          <w:sz w:val="24"/>
          <w:szCs w:val="24"/>
        </w:rPr>
      </w:pPr>
      <w:r w:rsidRPr="003501B6">
        <w:rPr>
          <w:sz w:val="24"/>
          <w:szCs w:val="24"/>
        </w:rPr>
        <w:t xml:space="preserve">Dosisjustering er ikke nødvendig, da levofloxacin ikke metaboliseres i nævneværdig grad i leveren, men hovedsageligt udskilles via nyrerne. </w:t>
      </w:r>
    </w:p>
    <w:p w14:paraId="1C8787B9" w14:textId="77777777" w:rsidR="00BE227F" w:rsidRPr="003501B6" w:rsidRDefault="00BE227F" w:rsidP="00FB67DB">
      <w:pPr>
        <w:ind w:left="851"/>
        <w:rPr>
          <w:bCs/>
          <w:iCs/>
          <w:sz w:val="24"/>
          <w:szCs w:val="24"/>
        </w:rPr>
      </w:pPr>
    </w:p>
    <w:p w14:paraId="166E8446" w14:textId="77777777" w:rsidR="00BE227F" w:rsidRPr="00596E4B" w:rsidRDefault="00BE227F" w:rsidP="00FB67DB">
      <w:pPr>
        <w:ind w:left="851"/>
        <w:rPr>
          <w:i/>
          <w:sz w:val="24"/>
          <w:szCs w:val="24"/>
        </w:rPr>
      </w:pPr>
      <w:r w:rsidRPr="00596E4B">
        <w:rPr>
          <w:i/>
          <w:sz w:val="24"/>
          <w:szCs w:val="24"/>
        </w:rPr>
        <w:t>Ældre</w:t>
      </w:r>
    </w:p>
    <w:p w14:paraId="28D53085" w14:textId="77777777" w:rsidR="00BE227F" w:rsidRPr="003501B6" w:rsidRDefault="00BE227F" w:rsidP="00FB67DB">
      <w:pPr>
        <w:ind w:left="851"/>
        <w:rPr>
          <w:sz w:val="24"/>
          <w:szCs w:val="24"/>
        </w:rPr>
      </w:pPr>
      <w:r w:rsidRPr="003501B6">
        <w:rPr>
          <w:sz w:val="24"/>
          <w:szCs w:val="24"/>
        </w:rPr>
        <w:t>Dosisjustering er ikke nødvendig hos ældre patienter, bortset fra den, der kan være påkrævet på grund af nyrefunktionen (se pkt. 4.4 “Tendinitis og seneruptur” og “Forlænget QT-interval”).</w:t>
      </w:r>
    </w:p>
    <w:p w14:paraId="15B335E9" w14:textId="77777777" w:rsidR="00BE227F" w:rsidRPr="003501B6" w:rsidRDefault="00BE227F" w:rsidP="00FB67DB">
      <w:pPr>
        <w:ind w:left="851"/>
        <w:rPr>
          <w:sz w:val="24"/>
          <w:szCs w:val="24"/>
        </w:rPr>
      </w:pPr>
    </w:p>
    <w:p w14:paraId="1727EC16" w14:textId="77777777" w:rsidR="00BE227F" w:rsidRPr="00596E4B" w:rsidRDefault="00BE227F" w:rsidP="00FB67DB">
      <w:pPr>
        <w:ind w:left="851"/>
        <w:rPr>
          <w:i/>
          <w:sz w:val="24"/>
          <w:szCs w:val="24"/>
        </w:rPr>
      </w:pPr>
      <w:r w:rsidRPr="00596E4B">
        <w:rPr>
          <w:i/>
          <w:sz w:val="24"/>
          <w:szCs w:val="24"/>
        </w:rPr>
        <w:t>Pædiatrisk population</w:t>
      </w:r>
    </w:p>
    <w:p w14:paraId="7198C38F" w14:textId="77777777" w:rsidR="00BE227F" w:rsidRPr="003501B6" w:rsidRDefault="00BE227F" w:rsidP="00FB67DB">
      <w:pPr>
        <w:ind w:left="851"/>
        <w:rPr>
          <w:sz w:val="24"/>
          <w:szCs w:val="24"/>
        </w:rPr>
      </w:pPr>
      <w:r w:rsidRPr="003501B6">
        <w:rPr>
          <w:sz w:val="24"/>
          <w:szCs w:val="24"/>
        </w:rPr>
        <w:t>Levofloxacin er kontraindiceret hos børn og unge i voksealderen (se pkt. 4.3).</w:t>
      </w:r>
    </w:p>
    <w:p w14:paraId="0C932E4D" w14:textId="77777777" w:rsidR="00BE227F" w:rsidRPr="003501B6" w:rsidRDefault="00BE227F" w:rsidP="00FB67DB">
      <w:pPr>
        <w:ind w:left="851"/>
        <w:rPr>
          <w:bCs/>
          <w:iCs/>
          <w:sz w:val="24"/>
          <w:szCs w:val="24"/>
        </w:rPr>
      </w:pPr>
    </w:p>
    <w:p w14:paraId="05640270" w14:textId="77777777" w:rsidR="00BE227F" w:rsidRPr="00596E4B" w:rsidRDefault="00BE227F" w:rsidP="00FB67DB">
      <w:pPr>
        <w:ind w:left="851"/>
        <w:rPr>
          <w:sz w:val="24"/>
          <w:szCs w:val="24"/>
          <w:u w:val="single"/>
        </w:rPr>
      </w:pPr>
      <w:r w:rsidRPr="00596E4B">
        <w:rPr>
          <w:sz w:val="24"/>
          <w:szCs w:val="24"/>
          <w:u w:val="single"/>
        </w:rPr>
        <w:t>Administration</w:t>
      </w:r>
    </w:p>
    <w:p w14:paraId="64DA534C" w14:textId="52161E49"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Pr="003501B6">
        <w:rPr>
          <w:sz w:val="24"/>
          <w:szCs w:val="24"/>
        </w:rPr>
        <w:t xml:space="preserve"> 500 mg filmovertrukne tabletter skal synkes hele med en tilstrækkelig mængde væske og må ikke knuses. Tabletterne kan deles ved delekærven for at tilpasse dosis. Tabletterne kan indtages under eller mellem måltider.</w:t>
      </w:r>
    </w:p>
    <w:p w14:paraId="26BA7D67" w14:textId="24C2C526"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Pr="003501B6">
        <w:rPr>
          <w:sz w:val="24"/>
          <w:szCs w:val="24"/>
        </w:rPr>
        <w:t xml:space="preserve"> 500 mg filmovertrukne tabletter skal indtages mindst to timer før eller efter administration af jernsalte, zinksalte, magnesium- eller aluminiumholdige antacida eller didanosin (kun didanosinpræparater med aluminum- eller magnesiumholdig buffer) og sucralfat, da absorptionen ellers kan nedsættes (se pkt. 4.5).</w:t>
      </w:r>
    </w:p>
    <w:p w14:paraId="1507099C" w14:textId="77777777" w:rsidR="009260DE" w:rsidRPr="003501B6" w:rsidRDefault="009260DE" w:rsidP="009260DE">
      <w:pPr>
        <w:tabs>
          <w:tab w:val="left" w:pos="851"/>
        </w:tabs>
        <w:ind w:left="851"/>
        <w:rPr>
          <w:sz w:val="24"/>
          <w:szCs w:val="24"/>
        </w:rPr>
      </w:pPr>
    </w:p>
    <w:p w14:paraId="4A0861EA" w14:textId="77777777" w:rsidR="009260DE" w:rsidRPr="003501B6" w:rsidRDefault="009260DE" w:rsidP="009260DE">
      <w:pPr>
        <w:tabs>
          <w:tab w:val="left" w:pos="851"/>
        </w:tabs>
        <w:ind w:left="851" w:hanging="851"/>
        <w:rPr>
          <w:b/>
          <w:sz w:val="24"/>
          <w:szCs w:val="24"/>
        </w:rPr>
      </w:pPr>
      <w:r w:rsidRPr="003501B6">
        <w:rPr>
          <w:b/>
          <w:sz w:val="24"/>
          <w:szCs w:val="24"/>
        </w:rPr>
        <w:t>4.3</w:t>
      </w:r>
      <w:r w:rsidRPr="003501B6">
        <w:rPr>
          <w:b/>
          <w:sz w:val="24"/>
          <w:szCs w:val="24"/>
        </w:rPr>
        <w:tab/>
        <w:t>Kontraindikationer</w:t>
      </w:r>
    </w:p>
    <w:p w14:paraId="3E89C551" w14:textId="07CEF83C"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00AD6732">
        <w:rPr>
          <w:sz w:val="24"/>
          <w:szCs w:val="24"/>
        </w:rPr>
        <w:t xml:space="preserve"> </w:t>
      </w:r>
      <w:r w:rsidRPr="003501B6">
        <w:rPr>
          <w:sz w:val="24"/>
          <w:szCs w:val="24"/>
        </w:rPr>
        <w:t xml:space="preserve">tabletter må ikke anvendes: </w:t>
      </w:r>
    </w:p>
    <w:p w14:paraId="4663983B" w14:textId="77777777" w:rsidR="00BE227F" w:rsidRPr="00596E4B" w:rsidRDefault="00BE227F" w:rsidP="00596E4B">
      <w:pPr>
        <w:pStyle w:val="Listeafsnit"/>
        <w:numPr>
          <w:ilvl w:val="0"/>
          <w:numId w:val="13"/>
        </w:numPr>
        <w:tabs>
          <w:tab w:val="clear" w:pos="567"/>
        </w:tabs>
        <w:ind w:left="1276" w:hanging="425"/>
        <w:rPr>
          <w:sz w:val="24"/>
          <w:szCs w:val="24"/>
        </w:rPr>
      </w:pPr>
      <w:r w:rsidRPr="00596E4B">
        <w:rPr>
          <w:sz w:val="24"/>
          <w:szCs w:val="24"/>
        </w:rPr>
        <w:t xml:space="preserve">til patienter, der er overfølsomme over det aktive stof, andre quinoloner eller over for et eller flere af hjælpestofferne anført i pkt. 6.1 </w:t>
      </w:r>
    </w:p>
    <w:p w14:paraId="75D3E72C" w14:textId="77777777" w:rsidR="00BE227F" w:rsidRPr="00596E4B" w:rsidRDefault="00BE227F" w:rsidP="00596E4B">
      <w:pPr>
        <w:pStyle w:val="Listeafsnit"/>
        <w:numPr>
          <w:ilvl w:val="0"/>
          <w:numId w:val="13"/>
        </w:numPr>
        <w:tabs>
          <w:tab w:val="clear" w:pos="567"/>
        </w:tabs>
        <w:ind w:left="1276" w:hanging="425"/>
        <w:rPr>
          <w:sz w:val="24"/>
          <w:szCs w:val="24"/>
        </w:rPr>
      </w:pPr>
      <w:r w:rsidRPr="00596E4B">
        <w:rPr>
          <w:sz w:val="24"/>
          <w:szCs w:val="24"/>
        </w:rPr>
        <w:t xml:space="preserve">til patienter med epilepsi </w:t>
      </w:r>
    </w:p>
    <w:p w14:paraId="5D5877B9" w14:textId="77777777" w:rsidR="00BE227F" w:rsidRPr="00596E4B" w:rsidRDefault="00BE227F" w:rsidP="00596E4B">
      <w:pPr>
        <w:pStyle w:val="Listeafsnit"/>
        <w:numPr>
          <w:ilvl w:val="0"/>
          <w:numId w:val="13"/>
        </w:numPr>
        <w:tabs>
          <w:tab w:val="clear" w:pos="567"/>
        </w:tabs>
        <w:ind w:left="1276" w:hanging="425"/>
        <w:rPr>
          <w:sz w:val="24"/>
          <w:szCs w:val="24"/>
        </w:rPr>
      </w:pPr>
      <w:r w:rsidRPr="00596E4B">
        <w:rPr>
          <w:sz w:val="24"/>
          <w:szCs w:val="24"/>
        </w:rPr>
        <w:t xml:space="preserve">til patienter, der har haft senelidelser i forbindelse med tidligere brug af fluroquinolon </w:t>
      </w:r>
    </w:p>
    <w:p w14:paraId="25F5CE0C" w14:textId="77777777" w:rsidR="00BE227F" w:rsidRPr="00596E4B" w:rsidRDefault="00BE227F" w:rsidP="00596E4B">
      <w:pPr>
        <w:pStyle w:val="Listeafsnit"/>
        <w:numPr>
          <w:ilvl w:val="0"/>
          <w:numId w:val="13"/>
        </w:numPr>
        <w:tabs>
          <w:tab w:val="clear" w:pos="567"/>
        </w:tabs>
        <w:ind w:left="1276" w:hanging="425"/>
        <w:rPr>
          <w:sz w:val="24"/>
          <w:szCs w:val="24"/>
        </w:rPr>
      </w:pPr>
      <w:r w:rsidRPr="00596E4B">
        <w:rPr>
          <w:sz w:val="24"/>
          <w:szCs w:val="24"/>
        </w:rPr>
        <w:t xml:space="preserve">til børn og unge i voksealderen </w:t>
      </w:r>
    </w:p>
    <w:p w14:paraId="61EE7408" w14:textId="77777777" w:rsidR="00BE227F" w:rsidRPr="00596E4B" w:rsidRDefault="00BE227F" w:rsidP="00596E4B">
      <w:pPr>
        <w:pStyle w:val="Listeafsnit"/>
        <w:numPr>
          <w:ilvl w:val="0"/>
          <w:numId w:val="13"/>
        </w:numPr>
        <w:tabs>
          <w:tab w:val="clear" w:pos="567"/>
        </w:tabs>
        <w:ind w:left="1276" w:hanging="425"/>
        <w:rPr>
          <w:sz w:val="24"/>
          <w:szCs w:val="24"/>
        </w:rPr>
      </w:pPr>
      <w:r w:rsidRPr="00596E4B">
        <w:rPr>
          <w:sz w:val="24"/>
          <w:szCs w:val="24"/>
        </w:rPr>
        <w:t xml:space="preserve">til gravide kvinder </w:t>
      </w:r>
    </w:p>
    <w:p w14:paraId="13E6304C" w14:textId="77777777" w:rsidR="00BE227F" w:rsidRPr="00596E4B" w:rsidRDefault="00BE227F" w:rsidP="00596E4B">
      <w:pPr>
        <w:pStyle w:val="Listeafsnit"/>
        <w:numPr>
          <w:ilvl w:val="0"/>
          <w:numId w:val="13"/>
        </w:numPr>
        <w:tabs>
          <w:tab w:val="clear" w:pos="567"/>
        </w:tabs>
        <w:ind w:left="1276" w:hanging="425"/>
        <w:rPr>
          <w:sz w:val="24"/>
          <w:szCs w:val="24"/>
        </w:rPr>
      </w:pPr>
      <w:r w:rsidRPr="00596E4B">
        <w:rPr>
          <w:sz w:val="24"/>
          <w:szCs w:val="24"/>
        </w:rPr>
        <w:t>til ammende kvinder</w:t>
      </w:r>
    </w:p>
    <w:p w14:paraId="47BBFEEB" w14:textId="77777777" w:rsidR="009260DE" w:rsidRPr="003501B6" w:rsidRDefault="009260DE" w:rsidP="009260DE">
      <w:pPr>
        <w:tabs>
          <w:tab w:val="left" w:pos="851"/>
        </w:tabs>
        <w:ind w:left="851"/>
        <w:rPr>
          <w:sz w:val="24"/>
          <w:szCs w:val="24"/>
        </w:rPr>
      </w:pPr>
    </w:p>
    <w:p w14:paraId="122F5112" w14:textId="77777777" w:rsidR="009260DE" w:rsidRPr="003501B6" w:rsidRDefault="009260DE" w:rsidP="009260DE">
      <w:pPr>
        <w:tabs>
          <w:tab w:val="left" w:pos="851"/>
        </w:tabs>
        <w:ind w:left="851" w:hanging="851"/>
        <w:rPr>
          <w:b/>
          <w:sz w:val="24"/>
          <w:szCs w:val="24"/>
        </w:rPr>
      </w:pPr>
      <w:r w:rsidRPr="003501B6">
        <w:rPr>
          <w:b/>
          <w:sz w:val="24"/>
          <w:szCs w:val="24"/>
        </w:rPr>
        <w:t>4.4</w:t>
      </w:r>
      <w:r w:rsidRPr="003501B6">
        <w:rPr>
          <w:b/>
          <w:sz w:val="24"/>
          <w:szCs w:val="24"/>
        </w:rPr>
        <w:tab/>
        <w:t>Særlige advarsler og forsigtighedsregler vedrørende brugen</w:t>
      </w:r>
    </w:p>
    <w:p w14:paraId="067A20B0" w14:textId="77777777" w:rsidR="00BE227F" w:rsidRPr="003501B6" w:rsidRDefault="00BE227F" w:rsidP="00FB67DB">
      <w:pPr>
        <w:ind w:left="851"/>
        <w:rPr>
          <w:iCs/>
          <w:sz w:val="24"/>
          <w:szCs w:val="24"/>
        </w:rPr>
      </w:pPr>
      <w:r w:rsidRPr="003501B6">
        <w:rPr>
          <w:sz w:val="24"/>
          <w:szCs w:val="24"/>
        </w:rPr>
        <w:t xml:space="preserve">Levofloxacin bør undgås til patienter, som tidligere har haft bivirkninger ved anvendelse af quinolon- eller fluoroquinolonholdige produkter (se pkt. 4.8). Disse patienter bør kun behandles med levofloxacin, såfremt der ikke findes alternative behandlingsmuligheder, og efter nøje vurdering af benefit/risk-forholdet (se også pkt. 4.3). </w:t>
      </w:r>
    </w:p>
    <w:p w14:paraId="1644BE35" w14:textId="78A5EA45" w:rsidR="00AF3258" w:rsidRDefault="00AF3258">
      <w:pPr>
        <w:rPr>
          <w:iCs/>
          <w:sz w:val="24"/>
          <w:szCs w:val="24"/>
        </w:rPr>
      </w:pPr>
      <w:r>
        <w:rPr>
          <w:iCs/>
          <w:sz w:val="24"/>
          <w:szCs w:val="24"/>
        </w:rPr>
        <w:br w:type="page"/>
      </w:r>
    </w:p>
    <w:p w14:paraId="10194DF5" w14:textId="77777777" w:rsidR="00BE227F" w:rsidRPr="003501B6" w:rsidRDefault="00BE227F" w:rsidP="00FB67DB">
      <w:pPr>
        <w:ind w:left="851"/>
        <w:rPr>
          <w:iCs/>
          <w:sz w:val="24"/>
          <w:szCs w:val="24"/>
        </w:rPr>
      </w:pPr>
    </w:p>
    <w:p w14:paraId="6641A88E" w14:textId="77777777" w:rsidR="00BE227F" w:rsidRPr="003501B6" w:rsidRDefault="00BE227F" w:rsidP="00FB67DB">
      <w:pPr>
        <w:ind w:left="851"/>
        <w:rPr>
          <w:i/>
          <w:sz w:val="24"/>
          <w:szCs w:val="24"/>
        </w:rPr>
      </w:pPr>
      <w:r w:rsidRPr="003501B6">
        <w:rPr>
          <w:i/>
          <w:sz w:val="24"/>
          <w:szCs w:val="24"/>
        </w:rPr>
        <w:t xml:space="preserve">Risiko for resistens </w:t>
      </w:r>
    </w:p>
    <w:p w14:paraId="24FAA9DF" w14:textId="77777777" w:rsidR="00BE227F" w:rsidRPr="003501B6" w:rsidRDefault="00BE227F" w:rsidP="00FB67DB">
      <w:pPr>
        <w:ind w:left="851"/>
        <w:rPr>
          <w:iCs/>
          <w:sz w:val="24"/>
          <w:szCs w:val="24"/>
        </w:rPr>
      </w:pPr>
      <w:r w:rsidRPr="003501B6">
        <w:rPr>
          <w:sz w:val="24"/>
          <w:szCs w:val="24"/>
        </w:rPr>
        <w:t xml:space="preserve">Methicillin-resistent </w:t>
      </w:r>
      <w:r w:rsidRPr="003501B6">
        <w:rPr>
          <w:i/>
          <w:sz w:val="24"/>
          <w:szCs w:val="24"/>
        </w:rPr>
        <w:t>S. aureus</w:t>
      </w:r>
      <w:r w:rsidRPr="003501B6">
        <w:rPr>
          <w:sz w:val="24"/>
          <w:szCs w:val="24"/>
        </w:rPr>
        <w:t xml:space="preserve"> (MRSA) vil højst sandsynligt udvise co-resistens for fluoroquinoloner, inklusive levofloxacin. Levofloxacin frarådes derfor til behandling af infektioner forårsaget af methicillin-resistent </w:t>
      </w:r>
      <w:r w:rsidRPr="003501B6">
        <w:rPr>
          <w:i/>
          <w:iCs/>
          <w:sz w:val="24"/>
          <w:szCs w:val="24"/>
        </w:rPr>
        <w:t>S. aureus</w:t>
      </w:r>
      <w:r w:rsidRPr="003501B6">
        <w:rPr>
          <w:sz w:val="24"/>
          <w:szCs w:val="24"/>
        </w:rPr>
        <w:t xml:space="preserve"> eller ved mistanke herom, medmindre laboratorieresultater har bekræftet, at patogenet er følsomt over for levofloxacin (og de antibakterielle lægemidler, der almindeligvis anbefales til behandling af MRSA-infektioner, anses for uhensigtsmæssige).</w:t>
      </w:r>
    </w:p>
    <w:p w14:paraId="3F53935F" w14:textId="77777777" w:rsidR="00BE227F" w:rsidRPr="003501B6" w:rsidRDefault="00BE227F" w:rsidP="00FB67DB">
      <w:pPr>
        <w:ind w:left="851"/>
        <w:rPr>
          <w:sz w:val="24"/>
          <w:szCs w:val="24"/>
          <w:lang w:eastAsia="el-GR"/>
        </w:rPr>
      </w:pPr>
    </w:p>
    <w:p w14:paraId="044988AB" w14:textId="77777777" w:rsidR="00BE227F" w:rsidRPr="003501B6" w:rsidRDefault="00BE227F" w:rsidP="00FB67DB">
      <w:pPr>
        <w:ind w:left="851"/>
        <w:rPr>
          <w:sz w:val="24"/>
          <w:szCs w:val="24"/>
        </w:rPr>
      </w:pPr>
      <w:r w:rsidRPr="003501B6">
        <w:rPr>
          <w:sz w:val="24"/>
          <w:szCs w:val="24"/>
        </w:rPr>
        <w:t xml:space="preserve">Levofloxacin kan anvendes til behandling af akut bakteriel sinusitis og akutte eksacerbationer af kronisk bronkitis, når disse infektioner er diagnosticeret på tilfredsstillende vis. </w:t>
      </w:r>
    </w:p>
    <w:p w14:paraId="140CC3D8" w14:textId="77777777" w:rsidR="00BE227F" w:rsidRPr="003501B6" w:rsidRDefault="00BE227F" w:rsidP="00FB67DB">
      <w:pPr>
        <w:ind w:left="851"/>
        <w:rPr>
          <w:sz w:val="24"/>
          <w:szCs w:val="24"/>
          <w:lang w:eastAsia="el-GR"/>
        </w:rPr>
      </w:pPr>
    </w:p>
    <w:p w14:paraId="48C1E007" w14:textId="77777777" w:rsidR="00BE227F" w:rsidRPr="003501B6" w:rsidRDefault="00BE227F" w:rsidP="00FB67DB">
      <w:pPr>
        <w:ind w:left="851"/>
        <w:rPr>
          <w:sz w:val="24"/>
          <w:szCs w:val="24"/>
        </w:rPr>
      </w:pPr>
      <w:r w:rsidRPr="003501B6">
        <w:rPr>
          <w:sz w:val="24"/>
          <w:szCs w:val="24"/>
        </w:rPr>
        <w:t xml:space="preserve">Resistens over for fluoroquinoloner hos </w:t>
      </w:r>
      <w:r w:rsidRPr="003501B6">
        <w:rPr>
          <w:i/>
          <w:sz w:val="24"/>
          <w:szCs w:val="24"/>
        </w:rPr>
        <w:t xml:space="preserve">E. coli </w:t>
      </w:r>
      <w:r w:rsidRPr="003501B6">
        <w:rPr>
          <w:sz w:val="24"/>
          <w:szCs w:val="24"/>
        </w:rPr>
        <w:t xml:space="preserve">– det mest almindelige patogen involveret i urinvejsinfektioner – varierer i EU. Læger anbefales at tage hensyn til den lokale prævalens af resistens over for fluoroquinoloner hos </w:t>
      </w:r>
      <w:r w:rsidRPr="003501B6">
        <w:rPr>
          <w:i/>
          <w:sz w:val="24"/>
          <w:szCs w:val="24"/>
        </w:rPr>
        <w:t>E. coli</w:t>
      </w:r>
      <w:r w:rsidRPr="003501B6">
        <w:rPr>
          <w:sz w:val="24"/>
          <w:szCs w:val="24"/>
        </w:rPr>
        <w:t xml:space="preserve">. </w:t>
      </w:r>
    </w:p>
    <w:p w14:paraId="50BC4CFA" w14:textId="77777777" w:rsidR="00BE227F" w:rsidRPr="003501B6" w:rsidRDefault="00BE227F" w:rsidP="00FB67DB">
      <w:pPr>
        <w:ind w:left="851"/>
        <w:rPr>
          <w:sz w:val="24"/>
          <w:szCs w:val="24"/>
          <w:lang w:eastAsia="el-GR"/>
        </w:rPr>
      </w:pPr>
    </w:p>
    <w:p w14:paraId="62E1E3E4" w14:textId="77777777" w:rsidR="00BE227F" w:rsidRPr="003501B6" w:rsidRDefault="00BE227F" w:rsidP="00FB67DB">
      <w:pPr>
        <w:ind w:left="851"/>
        <w:rPr>
          <w:i/>
          <w:sz w:val="24"/>
          <w:szCs w:val="24"/>
        </w:rPr>
      </w:pPr>
      <w:r w:rsidRPr="003501B6">
        <w:rPr>
          <w:i/>
          <w:sz w:val="24"/>
          <w:szCs w:val="24"/>
        </w:rPr>
        <w:t>Inhalationsanthrax</w:t>
      </w:r>
    </w:p>
    <w:p w14:paraId="3DD8BD5C" w14:textId="77777777" w:rsidR="00BE227F" w:rsidRPr="003501B6" w:rsidRDefault="00BE227F" w:rsidP="00FB67DB">
      <w:pPr>
        <w:ind w:left="851"/>
        <w:rPr>
          <w:bCs/>
          <w:iCs/>
          <w:sz w:val="24"/>
          <w:szCs w:val="24"/>
        </w:rPr>
      </w:pPr>
      <w:r w:rsidRPr="003501B6">
        <w:rPr>
          <w:sz w:val="24"/>
          <w:szCs w:val="24"/>
        </w:rPr>
        <w:t xml:space="preserve">Anvendelsen hos mennesker er baseret på </w:t>
      </w:r>
      <w:r w:rsidRPr="003501B6">
        <w:rPr>
          <w:i/>
          <w:sz w:val="24"/>
          <w:szCs w:val="24"/>
        </w:rPr>
        <w:t xml:space="preserve">data om følsomhed for in vitro Bacillus anthracis </w:t>
      </w:r>
      <w:r w:rsidRPr="003501B6">
        <w:rPr>
          <w:sz w:val="24"/>
          <w:szCs w:val="24"/>
        </w:rPr>
        <w:t xml:space="preserve">og eksperimentelle data hos dyr sammen med begrænsede humane data. Læger henvises til national og/eller international konsensus vedrørende behandling af anthrax. </w:t>
      </w:r>
    </w:p>
    <w:p w14:paraId="3EE53B2D" w14:textId="77777777" w:rsidR="00BE227F" w:rsidRPr="003501B6" w:rsidRDefault="00BE227F" w:rsidP="00FB67DB">
      <w:pPr>
        <w:ind w:left="851"/>
        <w:rPr>
          <w:bCs/>
          <w:iCs/>
          <w:sz w:val="24"/>
          <w:szCs w:val="24"/>
          <w:u w:val="single"/>
        </w:rPr>
      </w:pPr>
    </w:p>
    <w:p w14:paraId="7B1C157F" w14:textId="77777777" w:rsidR="00BE227F" w:rsidRPr="003501B6" w:rsidRDefault="00BE227F" w:rsidP="00FB67DB">
      <w:pPr>
        <w:ind w:left="851"/>
        <w:rPr>
          <w:bCs/>
          <w:i/>
          <w:sz w:val="24"/>
          <w:szCs w:val="24"/>
        </w:rPr>
      </w:pPr>
      <w:r w:rsidRPr="003501B6">
        <w:rPr>
          <w:i/>
          <w:sz w:val="24"/>
          <w:szCs w:val="24"/>
        </w:rPr>
        <w:t>Langvarige, invaliderende og potentielt irreversible alvorlige bivirkninger</w:t>
      </w:r>
    </w:p>
    <w:p w14:paraId="437DA2C1" w14:textId="77777777" w:rsidR="00BE227F" w:rsidRPr="003501B6" w:rsidRDefault="00BE227F" w:rsidP="00FB67DB">
      <w:pPr>
        <w:ind w:left="851"/>
        <w:rPr>
          <w:sz w:val="24"/>
          <w:szCs w:val="24"/>
        </w:rPr>
      </w:pPr>
      <w:r w:rsidRPr="003501B6">
        <w:rPr>
          <w:sz w:val="24"/>
          <w:szCs w:val="24"/>
        </w:rPr>
        <w:t xml:space="preserve">Meget sjældne tilfælde af langvarige (fortsætter i måneder eller år), invaliderende og potentielt irreversible alvorlige bivirkninger, der påvirker forskellige, nogle gange mange, kropssystemer (det muskuloskeletale system, nervesystemet, psyken og sanseorganer) er blevet rapporteret hos patienter, der fik quinoloner og fluoroquinoloner, uanset deres alder og præeksisterende risikofaktorer. Levofloxacin skal omgående seponeres ved de første tegn eller symptomer på en alvorlig bivirkning, og patienterne skal rådes til at kontakte deres ordinerende læge for rådgivning. </w:t>
      </w:r>
    </w:p>
    <w:p w14:paraId="45D99636" w14:textId="77777777" w:rsidR="00BE227F" w:rsidRPr="003501B6" w:rsidRDefault="00BE227F" w:rsidP="00FB67DB">
      <w:pPr>
        <w:ind w:left="851"/>
        <w:rPr>
          <w:bCs/>
          <w:iCs/>
          <w:sz w:val="24"/>
          <w:szCs w:val="24"/>
          <w:u w:val="single"/>
        </w:rPr>
      </w:pPr>
    </w:p>
    <w:p w14:paraId="47647620" w14:textId="77777777" w:rsidR="00BE227F" w:rsidRPr="003501B6" w:rsidRDefault="00BE227F" w:rsidP="00FB67DB">
      <w:pPr>
        <w:ind w:left="851"/>
        <w:rPr>
          <w:bCs/>
          <w:i/>
          <w:sz w:val="24"/>
          <w:szCs w:val="24"/>
        </w:rPr>
      </w:pPr>
      <w:r w:rsidRPr="003501B6">
        <w:rPr>
          <w:i/>
          <w:sz w:val="24"/>
          <w:szCs w:val="24"/>
        </w:rPr>
        <w:t>Tendinitis og seneruptur</w:t>
      </w:r>
    </w:p>
    <w:p w14:paraId="51BF4101" w14:textId="77777777" w:rsidR="00BE227F" w:rsidRPr="003501B6" w:rsidRDefault="00BE227F" w:rsidP="00FB67DB">
      <w:pPr>
        <w:ind w:left="851"/>
        <w:rPr>
          <w:sz w:val="24"/>
          <w:szCs w:val="24"/>
        </w:rPr>
      </w:pPr>
      <w:r w:rsidRPr="003501B6">
        <w:rPr>
          <w:sz w:val="24"/>
          <w:szCs w:val="24"/>
        </w:rPr>
        <w:t>Tendinitis og seneruptur (især, men ikke begrænset til, akillessenen), undertiden bilateral, kan forekomme så tidligt som inden for 48 timer efter start på behandling med quinoloner og fluoroquinoloner og er blevet rapporteret til at forekomme selv op til adskillige måneder efter behandlingsafslutning. Risikoen for tendinitis og seneruptur er forøget hos ældre patienter, patienter med nedsat nyrefunktion, patienter, der har fået transplanteret solide organer, patienter, der får daglige doser af 1 000 mg levofloxacin, og patienter, der samtidigt bliver behandlet med kortikosteroider. Derfor bør samtidig brug af kortikosteroider undgås.</w:t>
      </w:r>
    </w:p>
    <w:p w14:paraId="312DB315" w14:textId="77777777" w:rsidR="00BE227F" w:rsidRPr="003501B6" w:rsidRDefault="00BE227F" w:rsidP="00FB67DB">
      <w:pPr>
        <w:ind w:left="851"/>
        <w:rPr>
          <w:sz w:val="24"/>
          <w:szCs w:val="24"/>
        </w:rPr>
      </w:pPr>
    </w:p>
    <w:p w14:paraId="413BFFCD" w14:textId="72586C81" w:rsidR="00BE227F" w:rsidRDefault="00BE227F" w:rsidP="00FB67DB">
      <w:pPr>
        <w:ind w:left="851"/>
        <w:rPr>
          <w:sz w:val="24"/>
          <w:szCs w:val="24"/>
        </w:rPr>
      </w:pPr>
      <w:r w:rsidRPr="003501B6">
        <w:rPr>
          <w:sz w:val="24"/>
          <w:szCs w:val="24"/>
        </w:rPr>
        <w:t>Ved det første tegn på tendinitis (f.eks. smertefuld hævelse, inflammation) skal behandlingen med levofloxacin seponeres, og der skal overvejes alternativ behandling. Det/de påvirkede lem(mer) skal behandles på passende vis (f.eks. immobilisering). Der må ikke bruges kortikosteroider, hvis der opstår tegn på tendinopati.</w:t>
      </w:r>
    </w:p>
    <w:p w14:paraId="72D0F145" w14:textId="77777777" w:rsidR="00A501FE" w:rsidRPr="00A501FE" w:rsidRDefault="00A501FE" w:rsidP="00A501FE">
      <w:pPr>
        <w:ind w:left="851"/>
        <w:rPr>
          <w:sz w:val="24"/>
          <w:szCs w:val="24"/>
        </w:rPr>
      </w:pPr>
    </w:p>
    <w:p w14:paraId="54C4C71F" w14:textId="77777777" w:rsidR="00A501FE" w:rsidRPr="00A501FE" w:rsidRDefault="00A501FE" w:rsidP="00A501FE">
      <w:pPr>
        <w:ind w:left="851"/>
        <w:rPr>
          <w:i/>
          <w:iCs/>
          <w:sz w:val="24"/>
          <w:szCs w:val="24"/>
        </w:rPr>
      </w:pPr>
      <w:r w:rsidRPr="00A501FE">
        <w:rPr>
          <w:i/>
          <w:iCs/>
          <w:sz w:val="24"/>
          <w:szCs w:val="24"/>
        </w:rPr>
        <w:t>Myoklonus</w:t>
      </w:r>
    </w:p>
    <w:p w14:paraId="1C17CF33" w14:textId="77777777" w:rsidR="00A501FE" w:rsidRPr="00A501FE" w:rsidRDefault="00A501FE" w:rsidP="00A501FE">
      <w:pPr>
        <w:ind w:left="851"/>
        <w:rPr>
          <w:sz w:val="24"/>
          <w:szCs w:val="24"/>
        </w:rPr>
      </w:pPr>
      <w:r w:rsidRPr="00A501FE">
        <w:rPr>
          <w:sz w:val="24"/>
          <w:szCs w:val="24"/>
        </w:rPr>
        <w:t xml:space="preserve">Tilfælde af myoklonus er blevet rapporteret hos patienter, der får levofloxacin (se pkt. 4.8). Risikoen for myoklonus er øget hos ældre patienter og hos patienter med nedsat nyrefunktion, hvis dosis af levofloxacin ikke justeres i henhold til kreatininclearance. </w:t>
      </w:r>
      <w:r w:rsidRPr="00A501FE">
        <w:rPr>
          <w:sz w:val="24"/>
          <w:szCs w:val="24"/>
        </w:rPr>
        <w:lastRenderedPageBreak/>
        <w:t>Levofloxacin bør seponeres straks ved den første forekomst af myoklonus, og passende behandling bør påbegyndes.</w:t>
      </w:r>
    </w:p>
    <w:p w14:paraId="43BD5F70" w14:textId="77777777" w:rsidR="00A501FE" w:rsidRPr="003501B6" w:rsidRDefault="00A501FE" w:rsidP="00FB67DB">
      <w:pPr>
        <w:ind w:left="851"/>
        <w:rPr>
          <w:sz w:val="24"/>
          <w:szCs w:val="24"/>
        </w:rPr>
      </w:pPr>
    </w:p>
    <w:p w14:paraId="33C968D3" w14:textId="77777777" w:rsidR="00BE227F" w:rsidRPr="003501B6" w:rsidRDefault="00BE227F" w:rsidP="00FB67DB">
      <w:pPr>
        <w:ind w:left="851"/>
        <w:rPr>
          <w:bCs/>
          <w:i/>
          <w:iCs/>
          <w:sz w:val="24"/>
          <w:szCs w:val="24"/>
        </w:rPr>
      </w:pPr>
      <w:r w:rsidRPr="003501B6">
        <w:rPr>
          <w:i/>
          <w:sz w:val="24"/>
          <w:szCs w:val="24"/>
        </w:rPr>
        <w:t xml:space="preserve">Clostridium difficile-associeret sygdom </w:t>
      </w:r>
    </w:p>
    <w:p w14:paraId="0604FED4" w14:textId="06A03A3C" w:rsidR="00BE227F" w:rsidRPr="003501B6" w:rsidRDefault="00BE227F" w:rsidP="00FB67DB">
      <w:pPr>
        <w:ind w:left="851"/>
        <w:rPr>
          <w:sz w:val="24"/>
          <w:szCs w:val="24"/>
        </w:rPr>
      </w:pPr>
      <w:r w:rsidRPr="003501B6">
        <w:rPr>
          <w:sz w:val="24"/>
          <w:szCs w:val="24"/>
        </w:rPr>
        <w:t>Diarré, især hvis den er svær, vedvarende og/eller blodig, under eller efter behandling med levofloxacin (inklusiv</w:t>
      </w:r>
      <w:r w:rsidR="00596E4B">
        <w:rPr>
          <w:sz w:val="24"/>
          <w:szCs w:val="24"/>
        </w:rPr>
        <w:t>e</w:t>
      </w:r>
      <w:r w:rsidRPr="003501B6">
        <w:rPr>
          <w:sz w:val="24"/>
          <w:szCs w:val="24"/>
        </w:rPr>
        <w:t xml:space="preserve"> indtil flere uger efter behandling), kan være symptom på </w:t>
      </w:r>
      <w:r w:rsidRPr="003501B6">
        <w:rPr>
          <w:i/>
          <w:sz w:val="24"/>
          <w:szCs w:val="24"/>
        </w:rPr>
        <w:t>Clostridium difficile</w:t>
      </w:r>
      <w:r w:rsidRPr="003501B6">
        <w:rPr>
          <w:sz w:val="24"/>
          <w:szCs w:val="24"/>
        </w:rPr>
        <w:t xml:space="preserve">-associeret sygdom (CDAD). CDAD kan variere i sværhedsgrad fra let til livstruende. Den sværeste form er pseudomembranøs colitis (se pkt. 4.8). Det er derfor vigtigt at overveje denne diagnose hos patienter, der får alvorlig diarré under eller efter behandling med levofloxacin. Ved mistanke om eller verificering af CDAD skal behandling med levofloxacin øjeblikkeligt stoppes og passende behandling omgående initieres. Peristaltikhæmmende lægemidler er kontraindicerede i denne kliniske situation. </w:t>
      </w:r>
    </w:p>
    <w:p w14:paraId="08B0CF6E" w14:textId="77777777" w:rsidR="00BE227F" w:rsidRPr="00596E4B" w:rsidRDefault="00BE227F" w:rsidP="00FB67DB">
      <w:pPr>
        <w:ind w:left="851"/>
        <w:rPr>
          <w:bCs/>
          <w:iCs/>
          <w:sz w:val="24"/>
          <w:szCs w:val="24"/>
        </w:rPr>
      </w:pPr>
    </w:p>
    <w:p w14:paraId="02125C39" w14:textId="77777777" w:rsidR="00BE227F" w:rsidRPr="003501B6" w:rsidRDefault="00BE227F" w:rsidP="00FB67DB">
      <w:pPr>
        <w:ind w:left="851"/>
        <w:rPr>
          <w:bCs/>
          <w:i/>
          <w:sz w:val="24"/>
          <w:szCs w:val="24"/>
        </w:rPr>
      </w:pPr>
      <w:r w:rsidRPr="003501B6">
        <w:rPr>
          <w:i/>
          <w:sz w:val="24"/>
          <w:szCs w:val="24"/>
        </w:rPr>
        <w:t>Patienter, der er prædisponerede for kramper</w:t>
      </w:r>
    </w:p>
    <w:p w14:paraId="69AC31E3" w14:textId="77777777" w:rsidR="00BE227F" w:rsidRPr="003501B6" w:rsidRDefault="00BE227F" w:rsidP="00FB67DB">
      <w:pPr>
        <w:ind w:left="851"/>
        <w:rPr>
          <w:sz w:val="24"/>
          <w:szCs w:val="24"/>
        </w:rPr>
      </w:pPr>
      <w:r w:rsidRPr="003501B6">
        <w:rPr>
          <w:sz w:val="24"/>
          <w:szCs w:val="24"/>
        </w:rPr>
        <w:t>Quinoloner kan sænke krampetærsklen og udløse krampeanfald. Levofloxacin er kontraindiceret til patienter med epilepsi i anamnesen (se pkt. 4.3). Som andre quinoloner bør levofloxacin anvendes med ekstrem forsigtighed til patienter, der er prædisponerede for krampeanfald eller i behandling med aktive stoffer, der sænker den cerebrale krampetærskel, f.eks. theophyllin (se pkt. 4.5). I tilfælde af krampeanfald (se pkt. 4.8) bør levofloxacin seponeres.</w:t>
      </w:r>
    </w:p>
    <w:p w14:paraId="0E02BDF7" w14:textId="77777777" w:rsidR="00BE227F" w:rsidRPr="003501B6" w:rsidRDefault="00BE227F" w:rsidP="00FB67DB">
      <w:pPr>
        <w:ind w:left="851"/>
        <w:rPr>
          <w:sz w:val="24"/>
          <w:szCs w:val="24"/>
        </w:rPr>
      </w:pPr>
    </w:p>
    <w:p w14:paraId="1A3E60CF" w14:textId="77777777" w:rsidR="00BE227F" w:rsidRPr="003501B6" w:rsidRDefault="00BE227F" w:rsidP="00FB67DB">
      <w:pPr>
        <w:ind w:left="851"/>
        <w:rPr>
          <w:bCs/>
          <w:i/>
          <w:sz w:val="24"/>
          <w:szCs w:val="24"/>
        </w:rPr>
      </w:pPr>
      <w:r w:rsidRPr="003501B6">
        <w:rPr>
          <w:i/>
          <w:sz w:val="24"/>
          <w:szCs w:val="24"/>
        </w:rPr>
        <w:t xml:space="preserve">Patienter med glucose-6-phosphatdehydrogenasemangel </w:t>
      </w:r>
    </w:p>
    <w:p w14:paraId="4093869D" w14:textId="77777777" w:rsidR="00BE227F" w:rsidRPr="003501B6" w:rsidRDefault="00BE227F" w:rsidP="00FB67DB">
      <w:pPr>
        <w:ind w:left="851"/>
        <w:rPr>
          <w:sz w:val="24"/>
          <w:szCs w:val="24"/>
        </w:rPr>
      </w:pPr>
      <w:r w:rsidRPr="003501B6">
        <w:rPr>
          <w:sz w:val="24"/>
          <w:szCs w:val="24"/>
        </w:rPr>
        <w:t xml:space="preserve">Patienter med latente eller reelle defekter i glucose-6-phosphatdehydrogenaseaktiviteten kan have tilbøjelighed til hæmolytiske reaktioner, når de behandles med quinoloner. Hvis levofloxacin skal bruges til sådanne patienter, bør patienterne derfor monitoreres for mulig forekomst af hæmolyse. </w:t>
      </w:r>
    </w:p>
    <w:p w14:paraId="76A00641" w14:textId="77777777" w:rsidR="00BE227F" w:rsidRPr="00596E4B" w:rsidRDefault="00BE227F" w:rsidP="00FB67DB">
      <w:pPr>
        <w:ind w:left="851"/>
        <w:rPr>
          <w:bCs/>
          <w:sz w:val="24"/>
          <w:szCs w:val="24"/>
        </w:rPr>
      </w:pPr>
    </w:p>
    <w:p w14:paraId="741CE7EB" w14:textId="77777777" w:rsidR="00BE227F" w:rsidRPr="003501B6" w:rsidRDefault="00BE227F" w:rsidP="00FB67DB">
      <w:pPr>
        <w:ind w:left="851"/>
        <w:rPr>
          <w:bCs/>
          <w:i/>
          <w:sz w:val="24"/>
          <w:szCs w:val="24"/>
        </w:rPr>
      </w:pPr>
      <w:r w:rsidRPr="003501B6">
        <w:rPr>
          <w:i/>
          <w:sz w:val="24"/>
          <w:szCs w:val="24"/>
        </w:rPr>
        <w:t>Patienter med nedsat nyrefunktion</w:t>
      </w:r>
    </w:p>
    <w:p w14:paraId="7A475E99" w14:textId="77777777" w:rsidR="00BE227F" w:rsidRPr="003501B6" w:rsidRDefault="00BE227F" w:rsidP="00FB67DB">
      <w:pPr>
        <w:ind w:left="851"/>
        <w:rPr>
          <w:sz w:val="24"/>
          <w:szCs w:val="24"/>
        </w:rPr>
      </w:pPr>
      <w:r w:rsidRPr="003501B6">
        <w:rPr>
          <w:sz w:val="24"/>
          <w:szCs w:val="24"/>
        </w:rPr>
        <w:t>Da levofloxacin hovedsageligt udskilles renalt, skal dosis af levofloxacin justeres hos patienter med nedsat nyrefunktion (se pkt. 4.2).</w:t>
      </w:r>
    </w:p>
    <w:p w14:paraId="1F051DE7" w14:textId="77777777" w:rsidR="00BE227F" w:rsidRPr="003501B6" w:rsidRDefault="00BE227F" w:rsidP="00FB67DB">
      <w:pPr>
        <w:ind w:left="851"/>
        <w:rPr>
          <w:sz w:val="24"/>
          <w:szCs w:val="24"/>
        </w:rPr>
      </w:pPr>
    </w:p>
    <w:p w14:paraId="2258E662" w14:textId="77777777" w:rsidR="00BE227F" w:rsidRPr="003501B6" w:rsidRDefault="00BE227F" w:rsidP="00FB67DB">
      <w:pPr>
        <w:ind w:left="851"/>
        <w:rPr>
          <w:i/>
          <w:iCs/>
          <w:sz w:val="24"/>
          <w:szCs w:val="24"/>
        </w:rPr>
      </w:pPr>
      <w:r w:rsidRPr="003501B6">
        <w:rPr>
          <w:i/>
          <w:sz w:val="24"/>
          <w:szCs w:val="24"/>
        </w:rPr>
        <w:t>Overfølsomhedsreaktioner</w:t>
      </w:r>
    </w:p>
    <w:p w14:paraId="3D31C5AE" w14:textId="77777777" w:rsidR="00BE227F" w:rsidRPr="003501B6" w:rsidRDefault="00BE227F" w:rsidP="00FB67DB">
      <w:pPr>
        <w:ind w:left="851"/>
        <w:rPr>
          <w:sz w:val="24"/>
          <w:szCs w:val="24"/>
        </w:rPr>
      </w:pPr>
      <w:r w:rsidRPr="003501B6">
        <w:rPr>
          <w:sz w:val="24"/>
          <w:szCs w:val="24"/>
        </w:rPr>
        <w:t>Levofloxacin kan forårsage alvorlige, potentielt letale overfølsomhedsreaktioner (f.eks. angioødem førende til anafylaktisk shock), til tider efter den første dosis (se pkt. 4.8). Patienter skal straks ophøre med behandlingen og kontakte deres læge eller skadestuen og passende behandling initieres.</w:t>
      </w:r>
    </w:p>
    <w:p w14:paraId="39798804" w14:textId="77777777" w:rsidR="00BE227F" w:rsidRPr="003501B6" w:rsidRDefault="00BE227F" w:rsidP="00FB67DB">
      <w:pPr>
        <w:ind w:left="851"/>
        <w:rPr>
          <w:sz w:val="24"/>
          <w:szCs w:val="24"/>
        </w:rPr>
      </w:pPr>
    </w:p>
    <w:p w14:paraId="0663D933" w14:textId="77777777" w:rsidR="00BE227F" w:rsidRPr="003501B6" w:rsidRDefault="00BE227F" w:rsidP="00FB67DB">
      <w:pPr>
        <w:ind w:left="851"/>
        <w:rPr>
          <w:i/>
          <w:iCs/>
          <w:sz w:val="24"/>
          <w:szCs w:val="24"/>
        </w:rPr>
      </w:pPr>
      <w:r w:rsidRPr="003501B6">
        <w:rPr>
          <w:i/>
          <w:sz w:val="24"/>
          <w:szCs w:val="24"/>
        </w:rPr>
        <w:t>Svære kutane reaktioner</w:t>
      </w:r>
    </w:p>
    <w:p w14:paraId="176384D3" w14:textId="4BE6CE5D" w:rsidR="00BE227F" w:rsidRPr="003501B6" w:rsidRDefault="00BE227F" w:rsidP="00FB67DB">
      <w:pPr>
        <w:ind w:left="851"/>
        <w:rPr>
          <w:sz w:val="24"/>
          <w:szCs w:val="24"/>
        </w:rPr>
      </w:pPr>
      <w:r w:rsidRPr="003501B6">
        <w:rPr>
          <w:sz w:val="24"/>
          <w:szCs w:val="24"/>
        </w:rPr>
        <w:t>Der er indberetninger om svære kutane reaktioner (SCAR), inklusive toksisk epidermal nekrolyse (TEN, også kaldet Lyells syndrom), Stevens-Johnsons syndrom (SJS) og lægemiddelreaktioner med eosinofili og systemiske symptomer (DRESS), som kan være livstruende eller letale, i forbindelse med levofloxacin (se pkt. 4.8). På ordinations</w:t>
      </w:r>
      <w:r w:rsidR="00596E4B">
        <w:rPr>
          <w:sz w:val="24"/>
          <w:szCs w:val="24"/>
        </w:rPr>
        <w:softHyphen/>
      </w:r>
      <w:r w:rsidRPr="003501B6">
        <w:rPr>
          <w:sz w:val="24"/>
          <w:szCs w:val="24"/>
        </w:rPr>
        <w:t>tidspunktet skal patienterne informeres om tegn og symptomer på svære hudreaktioner og monitoreres tæt. Hvis der opstår tegn og symptomer, som kan tyde på disse reaktioner, skal levofloxacin omgående seponeres og alternativ behandling overvejes. Såfremt patienten har udviklet en alvorlig reaktion som SJS, TEN eller DRESS ved brug af levofloxacin, må behandling med levofloxacin ikke genoptages hos denne patient på noget tidspunkt.</w:t>
      </w:r>
    </w:p>
    <w:p w14:paraId="5FEB5663" w14:textId="77777777" w:rsidR="00BE227F" w:rsidRPr="003501B6" w:rsidRDefault="00BE227F" w:rsidP="00FB67DB">
      <w:pPr>
        <w:ind w:left="851"/>
        <w:rPr>
          <w:sz w:val="24"/>
          <w:szCs w:val="24"/>
          <w:u w:val="single"/>
        </w:rPr>
      </w:pPr>
    </w:p>
    <w:p w14:paraId="625DF598" w14:textId="77777777" w:rsidR="00BE227F" w:rsidRPr="003501B6" w:rsidRDefault="00BE227F" w:rsidP="00FB67DB">
      <w:pPr>
        <w:ind w:left="851"/>
        <w:rPr>
          <w:i/>
          <w:iCs/>
          <w:sz w:val="24"/>
          <w:szCs w:val="24"/>
        </w:rPr>
      </w:pPr>
      <w:r w:rsidRPr="003501B6">
        <w:rPr>
          <w:i/>
          <w:sz w:val="24"/>
          <w:szCs w:val="24"/>
        </w:rPr>
        <w:t>Dysglykæmi</w:t>
      </w:r>
    </w:p>
    <w:p w14:paraId="29725E3F" w14:textId="666ECFDF" w:rsidR="00BE227F" w:rsidRPr="003501B6" w:rsidRDefault="00BE227F" w:rsidP="00FB67DB">
      <w:pPr>
        <w:ind w:left="851"/>
        <w:rPr>
          <w:sz w:val="24"/>
          <w:szCs w:val="24"/>
        </w:rPr>
      </w:pPr>
      <w:r w:rsidRPr="003501B6">
        <w:rPr>
          <w:sz w:val="24"/>
          <w:szCs w:val="24"/>
        </w:rPr>
        <w:t xml:space="preserve">Som det er tilfældet med alle quinoloner, er der rapporteret forstyrrelser i blodglucose, både hypo- og hyperglykæmi, sædvanligvis hos diabetespatienter, der er i samtidig </w:t>
      </w:r>
      <w:r w:rsidRPr="003501B6">
        <w:rPr>
          <w:sz w:val="24"/>
          <w:szCs w:val="24"/>
        </w:rPr>
        <w:lastRenderedPageBreak/>
        <w:t xml:space="preserve">behandling med et oralt antidiabetikum (f.eks. glibenclamid) eller med insulin. Der er rapporteret tilfælde med hypoglykæmisk koma. Det anbefales at monitorere blodglucose hos diabetespatienter nøje (se pkt. 4.8). Behandlingen med Levofloxacin </w:t>
      </w:r>
      <w:r w:rsidR="00EF18B8">
        <w:rPr>
          <w:sz w:val="24"/>
          <w:szCs w:val="24"/>
        </w:rPr>
        <w:t>"Macure"</w:t>
      </w:r>
      <w:r w:rsidRPr="003501B6">
        <w:rPr>
          <w:sz w:val="24"/>
          <w:szCs w:val="24"/>
        </w:rPr>
        <w:t xml:space="preserve"> skal seponeres omgående, hvis en patient rapporterer forstyrrelser i blodglucosen, og andre antibiotika end quinoloner bør overvejes.</w:t>
      </w:r>
    </w:p>
    <w:p w14:paraId="239665B7" w14:textId="708792F5" w:rsidR="00BE227F" w:rsidRPr="003501B6" w:rsidRDefault="00BE227F" w:rsidP="00FB67DB">
      <w:pPr>
        <w:ind w:left="851"/>
        <w:rPr>
          <w:sz w:val="24"/>
          <w:szCs w:val="24"/>
        </w:rPr>
      </w:pPr>
    </w:p>
    <w:p w14:paraId="5BC8D440" w14:textId="77777777" w:rsidR="00BE227F" w:rsidRPr="003501B6" w:rsidRDefault="00BE227F" w:rsidP="00FB67DB">
      <w:pPr>
        <w:ind w:left="851"/>
        <w:rPr>
          <w:bCs/>
          <w:i/>
          <w:sz w:val="24"/>
          <w:szCs w:val="24"/>
        </w:rPr>
      </w:pPr>
      <w:r w:rsidRPr="003501B6">
        <w:rPr>
          <w:i/>
          <w:sz w:val="24"/>
          <w:szCs w:val="24"/>
        </w:rPr>
        <w:t>Forebyggelse af fotosensibilisering</w:t>
      </w:r>
    </w:p>
    <w:p w14:paraId="4CAAB16D" w14:textId="77777777" w:rsidR="00BE227F" w:rsidRPr="003501B6" w:rsidRDefault="00BE227F" w:rsidP="00FB67DB">
      <w:pPr>
        <w:ind w:left="851"/>
        <w:rPr>
          <w:sz w:val="24"/>
          <w:szCs w:val="24"/>
        </w:rPr>
      </w:pPr>
      <w:r w:rsidRPr="003501B6">
        <w:rPr>
          <w:sz w:val="24"/>
          <w:szCs w:val="24"/>
        </w:rPr>
        <w:t xml:space="preserve">Der er rapporteret fotosensibilisering med levofloxacin (se pkt. 4.8). For at forebygge fotosensibilisering anbefales det, at patienter ikke unødigt udsætter sig for stærkt sollys eller kunstige UV-stråler (f.eks. sollamper, solarium) under behandlingen og i 48 timer efter behandlingsophør. </w:t>
      </w:r>
    </w:p>
    <w:p w14:paraId="4B65814F" w14:textId="77777777" w:rsidR="00BE227F" w:rsidRPr="003501B6" w:rsidRDefault="00BE227F" w:rsidP="00FB67DB">
      <w:pPr>
        <w:ind w:left="851"/>
        <w:rPr>
          <w:sz w:val="24"/>
          <w:szCs w:val="24"/>
        </w:rPr>
      </w:pPr>
    </w:p>
    <w:p w14:paraId="101E7DF5" w14:textId="77777777" w:rsidR="00BE227F" w:rsidRPr="003501B6" w:rsidRDefault="00BE227F" w:rsidP="00FB67DB">
      <w:pPr>
        <w:ind w:left="851"/>
        <w:rPr>
          <w:bCs/>
          <w:i/>
          <w:sz w:val="24"/>
          <w:szCs w:val="24"/>
        </w:rPr>
      </w:pPr>
      <w:r w:rsidRPr="003501B6">
        <w:rPr>
          <w:i/>
          <w:sz w:val="24"/>
          <w:szCs w:val="24"/>
        </w:rPr>
        <w:t xml:space="preserve">Patienter i behandling med vitamin K-antagonister </w:t>
      </w:r>
    </w:p>
    <w:p w14:paraId="3F1086F8" w14:textId="77777777" w:rsidR="00BE227F" w:rsidRPr="003501B6" w:rsidRDefault="00BE227F" w:rsidP="00FB67DB">
      <w:pPr>
        <w:ind w:left="851"/>
        <w:rPr>
          <w:sz w:val="24"/>
          <w:szCs w:val="24"/>
        </w:rPr>
      </w:pPr>
      <w:r w:rsidRPr="003501B6">
        <w:rPr>
          <w:sz w:val="24"/>
          <w:szCs w:val="24"/>
        </w:rPr>
        <w:t xml:space="preserve">På grund af risiko for forhøjede koagulationsprøver (PT/INR) og/eller blødning hos patienter i samtidig behandling med levofloxacin og en vitamin K-antagonist (f.eks. warfarin) bør koagulationprøver monitoreres, når disse lægemidler gives samtidigt (se pkt. 4.5). </w:t>
      </w:r>
    </w:p>
    <w:p w14:paraId="7816A531" w14:textId="77777777" w:rsidR="00BE227F" w:rsidRPr="003501B6" w:rsidRDefault="00BE227F" w:rsidP="00FB67DB">
      <w:pPr>
        <w:ind w:left="851"/>
        <w:rPr>
          <w:sz w:val="24"/>
          <w:szCs w:val="24"/>
        </w:rPr>
      </w:pPr>
    </w:p>
    <w:p w14:paraId="17CC457C" w14:textId="77777777" w:rsidR="00BE227F" w:rsidRPr="003501B6" w:rsidRDefault="00BE227F" w:rsidP="00FB67DB">
      <w:pPr>
        <w:ind w:left="851"/>
        <w:rPr>
          <w:bCs/>
          <w:i/>
          <w:sz w:val="24"/>
          <w:szCs w:val="24"/>
        </w:rPr>
      </w:pPr>
      <w:r w:rsidRPr="003501B6">
        <w:rPr>
          <w:i/>
          <w:sz w:val="24"/>
          <w:szCs w:val="24"/>
        </w:rPr>
        <w:t>Psykotiske reaktioner</w:t>
      </w:r>
    </w:p>
    <w:p w14:paraId="14F12ACD" w14:textId="77777777" w:rsidR="00BE227F" w:rsidRPr="003501B6" w:rsidRDefault="00BE227F" w:rsidP="005610EE">
      <w:pPr>
        <w:ind w:left="851"/>
        <w:rPr>
          <w:sz w:val="24"/>
          <w:szCs w:val="24"/>
        </w:rPr>
      </w:pPr>
      <w:r w:rsidRPr="003501B6">
        <w:rPr>
          <w:sz w:val="24"/>
          <w:szCs w:val="24"/>
        </w:rPr>
        <w:t>Der er rapporteret om psykotiske reaktioner hos patienter, der får quinoloner, inklusive levofloxacin. I meget sjældne tilfælde har disse reaktioner udviklet sig til selvmordstanker og selvdestruktiv adfærd - nogle gange efter en enkelt dosis levofloxacin (se pkt. 4.8). Hvis patienten udvikler disse reaktioner, bør levofloxacin seponeres, og der bør tages passende forholdsregler. Forsigtighed anbefales, hvis levofloxacin anvendes til psykotiske patienter eller til patienter med en psykiatrisk anamnese.</w:t>
      </w:r>
    </w:p>
    <w:p w14:paraId="0303B718" w14:textId="77777777" w:rsidR="00BE227F" w:rsidRPr="003501B6" w:rsidRDefault="00BE227F" w:rsidP="005610EE">
      <w:pPr>
        <w:ind w:left="851"/>
        <w:rPr>
          <w:sz w:val="24"/>
          <w:szCs w:val="24"/>
        </w:rPr>
      </w:pPr>
    </w:p>
    <w:p w14:paraId="4093C52C" w14:textId="77777777" w:rsidR="00BE227F" w:rsidRPr="003501B6" w:rsidRDefault="00BE227F" w:rsidP="005610EE">
      <w:pPr>
        <w:ind w:left="851"/>
        <w:rPr>
          <w:i/>
          <w:iCs/>
          <w:sz w:val="24"/>
          <w:szCs w:val="24"/>
        </w:rPr>
      </w:pPr>
      <w:r w:rsidRPr="003501B6">
        <w:rPr>
          <w:i/>
          <w:sz w:val="24"/>
          <w:szCs w:val="24"/>
        </w:rPr>
        <w:t>Forlænget QT-interval</w:t>
      </w:r>
    </w:p>
    <w:p w14:paraId="1ACCC917" w14:textId="77777777" w:rsidR="00BE227F" w:rsidRPr="003501B6" w:rsidRDefault="00BE227F" w:rsidP="005610EE">
      <w:pPr>
        <w:ind w:left="851"/>
        <w:rPr>
          <w:sz w:val="24"/>
          <w:szCs w:val="24"/>
        </w:rPr>
      </w:pPr>
      <w:r w:rsidRPr="003501B6">
        <w:rPr>
          <w:sz w:val="24"/>
          <w:szCs w:val="24"/>
        </w:rPr>
        <w:t>Der skal udvises forsigtighed ved anvendelse af fluoroquinoloner, inklusive levofloxacin, hos patienter med kendte risikofaktorer for forlænget QT-interval som f.eks.:</w:t>
      </w:r>
    </w:p>
    <w:p w14:paraId="6669143D" w14:textId="77777777" w:rsidR="00596E4B" w:rsidRPr="00596E4B" w:rsidRDefault="00BE227F" w:rsidP="005610EE">
      <w:pPr>
        <w:pStyle w:val="Listeafsnit"/>
        <w:numPr>
          <w:ilvl w:val="0"/>
          <w:numId w:val="15"/>
        </w:numPr>
        <w:tabs>
          <w:tab w:val="clear" w:pos="567"/>
        </w:tabs>
        <w:spacing w:line="240" w:lineRule="auto"/>
        <w:ind w:left="1276" w:hanging="425"/>
        <w:rPr>
          <w:sz w:val="24"/>
          <w:szCs w:val="24"/>
        </w:rPr>
      </w:pPr>
      <w:r w:rsidRPr="00596E4B">
        <w:rPr>
          <w:sz w:val="24"/>
          <w:szCs w:val="24"/>
        </w:rPr>
        <w:t>medfødt langt QT-syndrom</w:t>
      </w:r>
      <w:r w:rsidR="00596E4B" w:rsidRPr="00596E4B">
        <w:rPr>
          <w:sz w:val="24"/>
          <w:szCs w:val="24"/>
        </w:rPr>
        <w:t xml:space="preserve"> </w:t>
      </w:r>
    </w:p>
    <w:p w14:paraId="228C176D" w14:textId="77777777" w:rsidR="00596E4B" w:rsidRPr="00596E4B" w:rsidRDefault="00BE227F" w:rsidP="005610EE">
      <w:pPr>
        <w:pStyle w:val="Listeafsnit"/>
        <w:numPr>
          <w:ilvl w:val="0"/>
          <w:numId w:val="15"/>
        </w:numPr>
        <w:tabs>
          <w:tab w:val="clear" w:pos="567"/>
        </w:tabs>
        <w:spacing w:line="240" w:lineRule="auto"/>
        <w:ind w:left="1276" w:hanging="425"/>
        <w:rPr>
          <w:sz w:val="24"/>
          <w:szCs w:val="24"/>
        </w:rPr>
      </w:pPr>
      <w:r w:rsidRPr="00596E4B">
        <w:rPr>
          <w:sz w:val="24"/>
          <w:szCs w:val="24"/>
        </w:rPr>
        <w:t>samtidig brug af lægemidler, der vides at forlænge QT-intervallet (f.eks. klasse IA- og III-antiarytmika, tricykliske antidepressiva, makrolider, antipsykotika)</w:t>
      </w:r>
      <w:r w:rsidR="00596E4B" w:rsidRPr="00596E4B">
        <w:rPr>
          <w:sz w:val="24"/>
          <w:szCs w:val="24"/>
        </w:rPr>
        <w:t xml:space="preserve"> </w:t>
      </w:r>
    </w:p>
    <w:p w14:paraId="7D4F1784" w14:textId="77777777" w:rsidR="00596E4B" w:rsidRPr="00596E4B" w:rsidRDefault="00BE227F" w:rsidP="005610EE">
      <w:pPr>
        <w:pStyle w:val="Listeafsnit"/>
        <w:numPr>
          <w:ilvl w:val="0"/>
          <w:numId w:val="15"/>
        </w:numPr>
        <w:tabs>
          <w:tab w:val="clear" w:pos="567"/>
        </w:tabs>
        <w:spacing w:line="240" w:lineRule="auto"/>
        <w:ind w:left="1276" w:hanging="425"/>
        <w:rPr>
          <w:sz w:val="24"/>
          <w:szCs w:val="24"/>
        </w:rPr>
      </w:pPr>
      <w:r w:rsidRPr="00596E4B">
        <w:rPr>
          <w:sz w:val="24"/>
          <w:szCs w:val="24"/>
        </w:rPr>
        <w:t>ukorrigeret elektrolytforstyrrelse (f.eks. hypokaliæmi, hypomagnesiæmi)</w:t>
      </w:r>
      <w:r w:rsidR="00596E4B" w:rsidRPr="00596E4B">
        <w:rPr>
          <w:sz w:val="24"/>
          <w:szCs w:val="24"/>
        </w:rPr>
        <w:t xml:space="preserve"> </w:t>
      </w:r>
    </w:p>
    <w:p w14:paraId="5C126E71" w14:textId="736B7AB3" w:rsidR="00BE227F" w:rsidRPr="00596E4B" w:rsidRDefault="00BE227F" w:rsidP="005610EE">
      <w:pPr>
        <w:pStyle w:val="Listeafsnit"/>
        <w:numPr>
          <w:ilvl w:val="0"/>
          <w:numId w:val="15"/>
        </w:numPr>
        <w:tabs>
          <w:tab w:val="clear" w:pos="567"/>
        </w:tabs>
        <w:spacing w:line="240" w:lineRule="auto"/>
        <w:ind w:left="1276" w:hanging="425"/>
        <w:rPr>
          <w:sz w:val="24"/>
          <w:szCs w:val="24"/>
        </w:rPr>
      </w:pPr>
      <w:r w:rsidRPr="00596E4B">
        <w:rPr>
          <w:sz w:val="24"/>
          <w:szCs w:val="24"/>
        </w:rPr>
        <w:t>hjertesygdom (f.eks. hjerteinsufficiens, myokardieinfarkt, bradykardi)</w:t>
      </w:r>
    </w:p>
    <w:p w14:paraId="4A23C93B" w14:textId="77777777" w:rsidR="00BE227F" w:rsidRPr="003501B6" w:rsidRDefault="00BE227F" w:rsidP="005610EE">
      <w:pPr>
        <w:ind w:left="851"/>
        <w:rPr>
          <w:sz w:val="24"/>
          <w:szCs w:val="24"/>
        </w:rPr>
      </w:pPr>
    </w:p>
    <w:p w14:paraId="59EBC7A8" w14:textId="77777777" w:rsidR="00BE227F" w:rsidRPr="003501B6" w:rsidRDefault="00BE227F" w:rsidP="005610EE">
      <w:pPr>
        <w:ind w:left="851"/>
        <w:rPr>
          <w:sz w:val="24"/>
          <w:szCs w:val="24"/>
        </w:rPr>
      </w:pPr>
      <w:r w:rsidRPr="003501B6">
        <w:rPr>
          <w:sz w:val="24"/>
          <w:szCs w:val="24"/>
        </w:rPr>
        <w:t>Ældre patienter og kvinder er muligvis mere følsomme for lægemidler, der forlænger QTc. Der bør derfor udvises forsigtighed, når fluoroquinoloner, inklusive levofloxacin, anvendes til disse populationer (se pkt. 4.2 “Ældre”, 4.5, 4.8 og 4.9).</w:t>
      </w:r>
    </w:p>
    <w:p w14:paraId="5231EA50" w14:textId="77777777" w:rsidR="00BE227F" w:rsidRPr="003501B6" w:rsidRDefault="00BE227F" w:rsidP="005610EE">
      <w:pPr>
        <w:ind w:left="851"/>
        <w:rPr>
          <w:i/>
          <w:iCs/>
          <w:sz w:val="24"/>
          <w:szCs w:val="24"/>
        </w:rPr>
      </w:pPr>
    </w:p>
    <w:p w14:paraId="41824E78" w14:textId="77777777" w:rsidR="00BE227F" w:rsidRPr="003501B6" w:rsidRDefault="00BE227F" w:rsidP="005610EE">
      <w:pPr>
        <w:ind w:left="851"/>
        <w:rPr>
          <w:i/>
          <w:iCs/>
          <w:sz w:val="24"/>
          <w:szCs w:val="24"/>
        </w:rPr>
      </w:pPr>
      <w:r w:rsidRPr="003501B6">
        <w:rPr>
          <w:i/>
          <w:sz w:val="24"/>
          <w:szCs w:val="24"/>
        </w:rPr>
        <w:t>Perifer neuropati</w:t>
      </w:r>
    </w:p>
    <w:p w14:paraId="5D9D7574" w14:textId="77777777" w:rsidR="00BE227F" w:rsidRPr="003501B6" w:rsidRDefault="00BE227F" w:rsidP="00FB67DB">
      <w:pPr>
        <w:ind w:left="851"/>
        <w:rPr>
          <w:sz w:val="24"/>
          <w:szCs w:val="24"/>
        </w:rPr>
      </w:pPr>
      <w:r w:rsidRPr="003501B6">
        <w:rPr>
          <w:sz w:val="24"/>
          <w:szCs w:val="24"/>
        </w:rPr>
        <w:t>Tilfælde af sensorisk eller sensomotorisk polyneuropati, der medførte paræstesi, hypæstesi, dysæstesi eller svaghed, er rapporteret hos patienter, der fik quinoloner og fluoroquinoloner. Patienter i behandling med levofloxacin skal instrueres i at kontakte deres læge, før de fortsætter behandlingen, hvis de udvikler symptomer på neuropati, såsom smerter, en brændende eller prikkende fornemmelse, snurren, følelsesløshed eller svaghed, for at forebygge udvikling af en potentielt irreversibel tilstand (se pkt. 4.8).</w:t>
      </w:r>
    </w:p>
    <w:p w14:paraId="3E5C18F4" w14:textId="77777777" w:rsidR="00BE227F" w:rsidRPr="003501B6" w:rsidRDefault="00BE227F" w:rsidP="00FB67DB">
      <w:pPr>
        <w:ind w:left="851"/>
        <w:rPr>
          <w:sz w:val="24"/>
          <w:szCs w:val="24"/>
        </w:rPr>
      </w:pPr>
    </w:p>
    <w:p w14:paraId="7D1CD8EA" w14:textId="77777777" w:rsidR="00BE227F" w:rsidRPr="003501B6" w:rsidRDefault="00BE227F" w:rsidP="00FB67DB">
      <w:pPr>
        <w:ind w:left="851"/>
        <w:rPr>
          <w:i/>
          <w:iCs/>
          <w:sz w:val="24"/>
          <w:szCs w:val="24"/>
        </w:rPr>
      </w:pPr>
      <w:r w:rsidRPr="003501B6">
        <w:rPr>
          <w:i/>
          <w:sz w:val="24"/>
          <w:szCs w:val="24"/>
        </w:rPr>
        <w:t>Lever og galdeveje</w:t>
      </w:r>
    </w:p>
    <w:p w14:paraId="499C977D" w14:textId="77777777" w:rsidR="00BE227F" w:rsidRPr="003501B6" w:rsidRDefault="00BE227F" w:rsidP="00FB67DB">
      <w:pPr>
        <w:ind w:left="851"/>
        <w:rPr>
          <w:sz w:val="24"/>
          <w:szCs w:val="24"/>
        </w:rPr>
      </w:pPr>
      <w:r w:rsidRPr="003501B6">
        <w:rPr>
          <w:sz w:val="24"/>
          <w:szCs w:val="24"/>
        </w:rPr>
        <w:t xml:space="preserve">Der er rapporteret tilfælde af levernekrose op til letal leverinsufficiens med levofloxacin, primært hos patienter med svære underliggende sygdomme, f.eks. sepsis (se pkt. 4.8). Patienterne bør rådes til at stoppe behandlingen og kontakte deres læge, hvis der opstår </w:t>
      </w:r>
      <w:r w:rsidRPr="003501B6">
        <w:rPr>
          <w:sz w:val="24"/>
          <w:szCs w:val="24"/>
        </w:rPr>
        <w:lastRenderedPageBreak/>
        <w:t>tegn og symptomer på sygdom i leveren, f.eks. anoreksi, gulsot, mørk urin, pruritus eller øm abdomen.</w:t>
      </w:r>
    </w:p>
    <w:p w14:paraId="176C7CEA" w14:textId="77777777" w:rsidR="00BE227F" w:rsidRPr="003501B6" w:rsidRDefault="00BE227F" w:rsidP="00FB67DB">
      <w:pPr>
        <w:ind w:left="851"/>
        <w:rPr>
          <w:sz w:val="24"/>
          <w:szCs w:val="24"/>
        </w:rPr>
      </w:pPr>
    </w:p>
    <w:p w14:paraId="3800E311" w14:textId="77777777" w:rsidR="00BE227F" w:rsidRPr="003501B6" w:rsidRDefault="00BE227F" w:rsidP="00FB67DB">
      <w:pPr>
        <w:ind w:left="851"/>
        <w:rPr>
          <w:i/>
          <w:iCs/>
          <w:sz w:val="24"/>
          <w:szCs w:val="24"/>
        </w:rPr>
      </w:pPr>
      <w:r w:rsidRPr="003501B6">
        <w:rPr>
          <w:i/>
          <w:sz w:val="24"/>
          <w:szCs w:val="24"/>
        </w:rPr>
        <w:t>Forværring af myasthenia gravis</w:t>
      </w:r>
    </w:p>
    <w:p w14:paraId="351E5F1E" w14:textId="77777777" w:rsidR="00BE227F" w:rsidRPr="003501B6" w:rsidRDefault="00BE227F" w:rsidP="00FB67DB">
      <w:pPr>
        <w:ind w:left="851"/>
        <w:rPr>
          <w:sz w:val="24"/>
          <w:szCs w:val="24"/>
        </w:rPr>
      </w:pPr>
      <w:r w:rsidRPr="003501B6">
        <w:rPr>
          <w:sz w:val="24"/>
          <w:szCs w:val="24"/>
        </w:rPr>
        <w:t>Fluoroquinoloner, inklusive levofloxacin, har neuromuskulært blokerende aktivitet og kan forværre muskelsvækkelse hos patienter med myasthenia gravis. Alvorlige bivirkninger efter markedsføring, herunder letale tilfælde og tilfælde med behov for understøttelse af respirationen, er blevet associeret med anvendelse af fluoroquinoloner hos patienter med myasthenia gravis. Levofloxacin frarådes til patienter med myasthenia gravis i anamnesen.</w:t>
      </w:r>
    </w:p>
    <w:p w14:paraId="6933E04E" w14:textId="77777777" w:rsidR="00BE227F" w:rsidRPr="003501B6" w:rsidRDefault="00BE227F" w:rsidP="00FB67DB">
      <w:pPr>
        <w:ind w:left="851"/>
        <w:rPr>
          <w:sz w:val="24"/>
          <w:szCs w:val="24"/>
        </w:rPr>
      </w:pPr>
    </w:p>
    <w:p w14:paraId="06310B72" w14:textId="77777777" w:rsidR="00BE227F" w:rsidRPr="003501B6" w:rsidRDefault="00BE227F" w:rsidP="00FB67DB">
      <w:pPr>
        <w:ind w:left="851"/>
        <w:rPr>
          <w:i/>
          <w:iCs/>
          <w:sz w:val="24"/>
          <w:szCs w:val="24"/>
        </w:rPr>
      </w:pPr>
      <w:r w:rsidRPr="003501B6">
        <w:rPr>
          <w:i/>
          <w:sz w:val="24"/>
          <w:szCs w:val="24"/>
        </w:rPr>
        <w:t>Øjensygdomme</w:t>
      </w:r>
    </w:p>
    <w:p w14:paraId="29D24AA9" w14:textId="77777777" w:rsidR="00BE227F" w:rsidRPr="003501B6" w:rsidRDefault="00BE227F" w:rsidP="00FB67DB">
      <w:pPr>
        <w:ind w:left="851"/>
        <w:rPr>
          <w:sz w:val="24"/>
          <w:szCs w:val="24"/>
        </w:rPr>
      </w:pPr>
      <w:r w:rsidRPr="003501B6">
        <w:rPr>
          <w:sz w:val="24"/>
          <w:szCs w:val="24"/>
        </w:rPr>
        <w:t>Ved nedsat syn eller hvis andre virkninger på øjnene opleves bør en øjenspecialist straks konsulteres (se pkt. 4.7 og 4.8).</w:t>
      </w:r>
    </w:p>
    <w:p w14:paraId="03871083" w14:textId="77777777" w:rsidR="00BE227F" w:rsidRPr="003501B6" w:rsidRDefault="00BE227F" w:rsidP="00FB67DB">
      <w:pPr>
        <w:ind w:left="851"/>
        <w:rPr>
          <w:sz w:val="24"/>
          <w:szCs w:val="24"/>
        </w:rPr>
      </w:pPr>
    </w:p>
    <w:p w14:paraId="6F912045" w14:textId="77777777" w:rsidR="00BE227F" w:rsidRPr="003501B6" w:rsidRDefault="00BE227F" w:rsidP="00FB67DB">
      <w:pPr>
        <w:ind w:left="851"/>
        <w:rPr>
          <w:i/>
          <w:iCs/>
          <w:sz w:val="24"/>
          <w:szCs w:val="24"/>
        </w:rPr>
      </w:pPr>
      <w:r w:rsidRPr="003501B6">
        <w:rPr>
          <w:i/>
          <w:sz w:val="24"/>
          <w:szCs w:val="24"/>
        </w:rPr>
        <w:t>Superinfektion</w:t>
      </w:r>
    </w:p>
    <w:p w14:paraId="023CBB5F" w14:textId="77777777" w:rsidR="00BE227F" w:rsidRPr="003501B6" w:rsidRDefault="00BE227F" w:rsidP="00FB67DB">
      <w:pPr>
        <w:ind w:left="851"/>
        <w:rPr>
          <w:sz w:val="24"/>
          <w:szCs w:val="24"/>
        </w:rPr>
      </w:pPr>
      <w:r w:rsidRPr="003501B6">
        <w:rPr>
          <w:sz w:val="24"/>
          <w:szCs w:val="24"/>
        </w:rPr>
        <w:t>Anvendelse af levofloxacin, især langvarig anvendelse, kan resultere i overvækst af ikke-følsomme organismer. Der skal tages passende forholdsregler, hvis superinfektion forekommer under behandlingen.</w:t>
      </w:r>
    </w:p>
    <w:p w14:paraId="6EECEFB2" w14:textId="77777777" w:rsidR="00BE227F" w:rsidRPr="003501B6" w:rsidRDefault="00BE227F" w:rsidP="00FB67DB">
      <w:pPr>
        <w:ind w:left="851"/>
        <w:rPr>
          <w:sz w:val="24"/>
          <w:szCs w:val="24"/>
        </w:rPr>
      </w:pPr>
    </w:p>
    <w:p w14:paraId="12B464BF" w14:textId="77777777" w:rsidR="00BE227F" w:rsidRPr="003501B6" w:rsidRDefault="00BE227F" w:rsidP="00FB67DB">
      <w:pPr>
        <w:ind w:left="851"/>
        <w:rPr>
          <w:i/>
          <w:iCs/>
          <w:sz w:val="24"/>
          <w:szCs w:val="24"/>
        </w:rPr>
      </w:pPr>
      <w:r w:rsidRPr="003501B6">
        <w:rPr>
          <w:i/>
          <w:sz w:val="24"/>
          <w:szCs w:val="24"/>
        </w:rPr>
        <w:t>Interferens med laboratorieprøver</w:t>
      </w:r>
    </w:p>
    <w:p w14:paraId="1876940F" w14:textId="77777777" w:rsidR="00BE227F" w:rsidRPr="003501B6" w:rsidRDefault="00BE227F" w:rsidP="00FB67DB">
      <w:pPr>
        <w:ind w:left="851"/>
        <w:rPr>
          <w:sz w:val="24"/>
          <w:szCs w:val="24"/>
        </w:rPr>
      </w:pPr>
      <w:r w:rsidRPr="003501B6">
        <w:rPr>
          <w:sz w:val="24"/>
          <w:szCs w:val="24"/>
        </w:rPr>
        <w:t>Bestemmelse af opiater i urin kan give falsk-positive resultater hos patienter i behandling med levofloxacin. Det kan være nødvendigt at bekræfte positive opiatscreeninger med en mere specifik metode.</w:t>
      </w:r>
    </w:p>
    <w:p w14:paraId="181ABDF9" w14:textId="77777777" w:rsidR="00BE227F" w:rsidRPr="003501B6" w:rsidRDefault="00BE227F" w:rsidP="00FB67DB">
      <w:pPr>
        <w:ind w:left="851"/>
        <w:rPr>
          <w:sz w:val="24"/>
          <w:szCs w:val="24"/>
        </w:rPr>
      </w:pPr>
    </w:p>
    <w:p w14:paraId="54F6A79D" w14:textId="77777777" w:rsidR="00BE227F" w:rsidRPr="003501B6" w:rsidRDefault="00BE227F" w:rsidP="00FB67DB">
      <w:pPr>
        <w:ind w:left="851"/>
        <w:rPr>
          <w:sz w:val="24"/>
          <w:szCs w:val="24"/>
        </w:rPr>
      </w:pPr>
      <w:r w:rsidRPr="003501B6">
        <w:rPr>
          <w:sz w:val="24"/>
          <w:szCs w:val="24"/>
        </w:rPr>
        <w:t xml:space="preserve">Levofloxacin kan hæmme væksten af </w:t>
      </w:r>
      <w:r w:rsidRPr="003501B6">
        <w:rPr>
          <w:i/>
          <w:sz w:val="24"/>
          <w:szCs w:val="24"/>
        </w:rPr>
        <w:t>Mycobacterium tuberculosis</w:t>
      </w:r>
      <w:r w:rsidRPr="003501B6">
        <w:rPr>
          <w:sz w:val="24"/>
          <w:szCs w:val="24"/>
        </w:rPr>
        <w:t xml:space="preserve"> og kan derfor give falsk-negative resultater ved bakteriologisk diagnosticering af tuberkulose.</w:t>
      </w:r>
    </w:p>
    <w:p w14:paraId="158907AE" w14:textId="77777777" w:rsidR="00BE227F" w:rsidRPr="003501B6" w:rsidRDefault="00BE227F" w:rsidP="00FB67DB">
      <w:pPr>
        <w:ind w:left="851"/>
        <w:rPr>
          <w:sz w:val="24"/>
          <w:szCs w:val="24"/>
        </w:rPr>
      </w:pPr>
    </w:p>
    <w:p w14:paraId="44F8694A" w14:textId="77777777" w:rsidR="00BE227F" w:rsidRPr="003501B6" w:rsidRDefault="00BE227F" w:rsidP="00FB67DB">
      <w:pPr>
        <w:ind w:left="851"/>
        <w:rPr>
          <w:i/>
          <w:iCs/>
          <w:sz w:val="24"/>
          <w:szCs w:val="24"/>
        </w:rPr>
      </w:pPr>
      <w:r w:rsidRPr="003501B6">
        <w:rPr>
          <w:i/>
          <w:sz w:val="24"/>
          <w:szCs w:val="24"/>
        </w:rPr>
        <w:t>Aortaaneurisme og -dissektion samt hjerteklapinsufficiens</w:t>
      </w:r>
    </w:p>
    <w:p w14:paraId="640FEB9E" w14:textId="77777777" w:rsidR="00BE227F" w:rsidRPr="003501B6" w:rsidRDefault="00BE227F" w:rsidP="00FB67DB">
      <w:pPr>
        <w:ind w:left="851"/>
        <w:rPr>
          <w:sz w:val="24"/>
          <w:szCs w:val="24"/>
        </w:rPr>
      </w:pPr>
      <w:r w:rsidRPr="003501B6">
        <w:rPr>
          <w:sz w:val="24"/>
          <w:szCs w:val="24"/>
        </w:rPr>
        <w:t>Der er i epidemiologiske studier rapporteret en øget risiko for aortaaneurisme og -dissektion, især hos ældre patienter, og for aortaklap- og mitralklapinsufficiens efter indtagelse af fluoroquinoloner. Der er rapporteret om tilfælde af aortaaneurisme og -dissektion, i nogle tilfælde kompliceret af ruptur (herunder tilfælde med dødelig udgang), og om insufficiens af en eller flere af hjerteklapperne hos patienter, der får fluoroquinoloner (se pkt. 4.8).</w:t>
      </w:r>
    </w:p>
    <w:p w14:paraId="51CF03E9" w14:textId="77777777" w:rsidR="00BE227F" w:rsidRPr="003501B6" w:rsidRDefault="00BE227F" w:rsidP="00FB67DB">
      <w:pPr>
        <w:ind w:left="851"/>
        <w:rPr>
          <w:sz w:val="24"/>
          <w:szCs w:val="24"/>
        </w:rPr>
      </w:pPr>
    </w:p>
    <w:p w14:paraId="0DD5D09F" w14:textId="77777777" w:rsidR="00BE227F" w:rsidRPr="003501B6" w:rsidRDefault="00BE227F" w:rsidP="00FB67DB">
      <w:pPr>
        <w:ind w:left="851"/>
        <w:rPr>
          <w:sz w:val="24"/>
          <w:szCs w:val="24"/>
        </w:rPr>
      </w:pPr>
      <w:r w:rsidRPr="003501B6">
        <w:rPr>
          <w:sz w:val="24"/>
          <w:szCs w:val="24"/>
        </w:rPr>
        <w:t xml:space="preserve">Derfor bør fluoroquinoloner kun anvendes efter en grundig vurdering af benefit/risk-forholdet og efter overvejelse af andre terapeutiske muligheder hos patienter med en familieanamnese med aneurismesygdomme eller medfødt hjerteklapsygdom og hos patienter diagnosticeret med allerede eksisterende aortaaneurisme og/eller aortadissektion eller hjerteklapsygdom eller ved tilstedeværelse af andre risikofaktorer eller tilstande, der prædisponerer </w:t>
      </w:r>
    </w:p>
    <w:p w14:paraId="4D6A7316" w14:textId="77777777" w:rsidR="00BE227F" w:rsidRPr="00596E4B" w:rsidRDefault="00BE227F" w:rsidP="00596E4B">
      <w:pPr>
        <w:pStyle w:val="Listeafsnit"/>
        <w:numPr>
          <w:ilvl w:val="0"/>
          <w:numId w:val="16"/>
        </w:numPr>
        <w:tabs>
          <w:tab w:val="clear" w:pos="567"/>
        </w:tabs>
        <w:ind w:left="1276" w:hanging="425"/>
        <w:rPr>
          <w:sz w:val="24"/>
          <w:szCs w:val="24"/>
        </w:rPr>
      </w:pPr>
      <w:r w:rsidRPr="00596E4B">
        <w:rPr>
          <w:sz w:val="24"/>
          <w:szCs w:val="24"/>
        </w:rPr>
        <w:t>for både aortaaneurisme og -dissektion samt hjerteklapinsufficiens (f.eks. bindevævssygdomme såsom Marfans syndrom eller Ehlers-Danlos-syndrom, Turners syndrom, Behcets sygdom, hypertension, reumatoid artritis) eller</w:t>
      </w:r>
    </w:p>
    <w:p w14:paraId="07CDF7A0" w14:textId="77777777" w:rsidR="00BE227F" w:rsidRPr="00596E4B" w:rsidRDefault="00BE227F" w:rsidP="00596E4B">
      <w:pPr>
        <w:pStyle w:val="Listeafsnit"/>
        <w:numPr>
          <w:ilvl w:val="0"/>
          <w:numId w:val="16"/>
        </w:numPr>
        <w:tabs>
          <w:tab w:val="clear" w:pos="567"/>
        </w:tabs>
        <w:ind w:left="1276" w:hanging="425"/>
        <w:rPr>
          <w:sz w:val="24"/>
          <w:szCs w:val="24"/>
        </w:rPr>
      </w:pPr>
      <w:r w:rsidRPr="00596E4B">
        <w:rPr>
          <w:sz w:val="24"/>
          <w:szCs w:val="24"/>
        </w:rPr>
        <w:t>for aortaaneurisme og -dissektion (f.eks. vaskulære sygdomme såsom Takayasu arteritis eller kæmpecellearteritis eller kendt aterosklerose eller Sjögrens syndrom) eller</w:t>
      </w:r>
    </w:p>
    <w:p w14:paraId="03A1666F" w14:textId="77777777" w:rsidR="00BE227F" w:rsidRPr="00596E4B" w:rsidRDefault="00BE227F" w:rsidP="00596E4B">
      <w:pPr>
        <w:pStyle w:val="Listeafsnit"/>
        <w:numPr>
          <w:ilvl w:val="0"/>
          <w:numId w:val="16"/>
        </w:numPr>
        <w:tabs>
          <w:tab w:val="clear" w:pos="567"/>
        </w:tabs>
        <w:ind w:left="1276" w:hanging="425"/>
        <w:rPr>
          <w:sz w:val="24"/>
          <w:szCs w:val="24"/>
        </w:rPr>
      </w:pPr>
      <w:r w:rsidRPr="00596E4B">
        <w:rPr>
          <w:sz w:val="24"/>
          <w:szCs w:val="24"/>
        </w:rPr>
        <w:t>for hjerteklapinsufficiens (f.eks. infektiøs endokarditis)</w:t>
      </w:r>
    </w:p>
    <w:p w14:paraId="61E3515E" w14:textId="77777777" w:rsidR="00BE227F" w:rsidRPr="003501B6" w:rsidRDefault="00BE227F" w:rsidP="00FB67DB">
      <w:pPr>
        <w:ind w:left="851"/>
        <w:rPr>
          <w:sz w:val="24"/>
          <w:szCs w:val="24"/>
        </w:rPr>
      </w:pPr>
    </w:p>
    <w:p w14:paraId="68B560F5" w14:textId="77777777" w:rsidR="00BE227F" w:rsidRPr="003501B6" w:rsidRDefault="00BE227F" w:rsidP="00FB67DB">
      <w:pPr>
        <w:ind w:left="851"/>
        <w:rPr>
          <w:sz w:val="24"/>
          <w:szCs w:val="24"/>
        </w:rPr>
      </w:pPr>
      <w:r w:rsidRPr="003501B6">
        <w:rPr>
          <w:sz w:val="24"/>
          <w:szCs w:val="24"/>
        </w:rPr>
        <w:t>Risikoen for aortaaneurisme og -dissektion og ruptur heraf kan også være forhøjet hos patienter, der samtidig behandles med systemiske kortikosteroider.</w:t>
      </w:r>
    </w:p>
    <w:p w14:paraId="115580BB" w14:textId="77777777" w:rsidR="00BE227F" w:rsidRPr="003501B6" w:rsidRDefault="00BE227F" w:rsidP="00FB67DB">
      <w:pPr>
        <w:ind w:left="851"/>
        <w:rPr>
          <w:sz w:val="24"/>
          <w:szCs w:val="24"/>
        </w:rPr>
      </w:pPr>
    </w:p>
    <w:p w14:paraId="183844BA" w14:textId="77777777" w:rsidR="00BE227F" w:rsidRPr="003501B6" w:rsidRDefault="00BE227F" w:rsidP="00FB67DB">
      <w:pPr>
        <w:ind w:left="851"/>
        <w:rPr>
          <w:sz w:val="24"/>
          <w:szCs w:val="24"/>
        </w:rPr>
      </w:pPr>
      <w:r w:rsidRPr="003501B6">
        <w:rPr>
          <w:sz w:val="24"/>
          <w:szCs w:val="24"/>
        </w:rPr>
        <w:lastRenderedPageBreak/>
        <w:t>I tilfælde af pludselige smerter i maven, brystet eller ryggen skal patienterne rådes til at tage på skadestuen øjeblikkeligt.</w:t>
      </w:r>
    </w:p>
    <w:p w14:paraId="41B14F4A" w14:textId="77777777" w:rsidR="00BE227F" w:rsidRPr="003501B6" w:rsidRDefault="00BE227F" w:rsidP="00FB67DB">
      <w:pPr>
        <w:ind w:left="851"/>
        <w:rPr>
          <w:sz w:val="24"/>
          <w:szCs w:val="24"/>
        </w:rPr>
      </w:pPr>
    </w:p>
    <w:p w14:paraId="4A3B9ACE" w14:textId="77777777" w:rsidR="00BE227F" w:rsidRPr="003501B6" w:rsidRDefault="00BE227F" w:rsidP="00FB67DB">
      <w:pPr>
        <w:ind w:left="851"/>
        <w:rPr>
          <w:sz w:val="24"/>
          <w:szCs w:val="24"/>
        </w:rPr>
      </w:pPr>
      <w:r w:rsidRPr="003501B6">
        <w:rPr>
          <w:sz w:val="24"/>
          <w:szCs w:val="24"/>
        </w:rPr>
        <w:t>Patienterne skal rådes til at søge øjeblikkelig lægehjælp i tilfælde af akut dyspnø, nyt tilfælde af hjertebanken eller ved udvikling af ødem i abdomen eller underekstremiteterne.</w:t>
      </w:r>
    </w:p>
    <w:p w14:paraId="6BAEB144" w14:textId="77777777" w:rsidR="00BE227F" w:rsidRPr="003501B6" w:rsidRDefault="00BE227F" w:rsidP="00FB67DB">
      <w:pPr>
        <w:ind w:left="851"/>
        <w:rPr>
          <w:sz w:val="24"/>
          <w:szCs w:val="24"/>
        </w:rPr>
      </w:pPr>
    </w:p>
    <w:p w14:paraId="27D37524" w14:textId="77777777" w:rsidR="00BE227F" w:rsidRPr="003501B6" w:rsidRDefault="00BE227F" w:rsidP="00FB67DB">
      <w:pPr>
        <w:ind w:left="851"/>
        <w:rPr>
          <w:i/>
          <w:iCs/>
          <w:sz w:val="24"/>
          <w:szCs w:val="24"/>
        </w:rPr>
      </w:pPr>
      <w:r w:rsidRPr="003501B6">
        <w:rPr>
          <w:i/>
          <w:sz w:val="24"/>
          <w:szCs w:val="24"/>
        </w:rPr>
        <w:t>Akut pankreatitis</w:t>
      </w:r>
    </w:p>
    <w:p w14:paraId="7641AE3B" w14:textId="77777777" w:rsidR="00BE227F" w:rsidRPr="003501B6" w:rsidRDefault="00BE227F" w:rsidP="00FB67DB">
      <w:pPr>
        <w:ind w:left="851"/>
        <w:rPr>
          <w:sz w:val="24"/>
          <w:szCs w:val="24"/>
        </w:rPr>
      </w:pPr>
      <w:r w:rsidRPr="003501B6">
        <w:rPr>
          <w:sz w:val="24"/>
          <w:szCs w:val="24"/>
        </w:rPr>
        <w:t>Akut pankreatitis kan forekomme hos patienter, der er i behandling med levofloxacin. Patienterne skal informeres om tegn og symptomer på akut pankreatitis. Patienter, der oplever kvalme, generel utilpashed, ubehag i maveregionen, akutte mavesmerter eller opkastning, skal straks søge en lægelig vurdering. I tilfælde af mistanke om pankreatitis, skal behandling med levofloxacin seponeres. Hvis mistanken om pankreatitis bekræftes, må behandling med levofloxacin ikke genoptages. Der skal udvises forsigtighed hos patienter med pankreatitis i anamnesen (se pkt. 4.8).</w:t>
      </w:r>
    </w:p>
    <w:p w14:paraId="50C60A90" w14:textId="275FEF4A" w:rsidR="00BE227F" w:rsidRDefault="00BE227F" w:rsidP="00FB67DB">
      <w:pPr>
        <w:ind w:left="851"/>
        <w:rPr>
          <w:sz w:val="24"/>
          <w:szCs w:val="24"/>
        </w:rPr>
      </w:pPr>
    </w:p>
    <w:p w14:paraId="03B232BA" w14:textId="77777777" w:rsidR="00A501FE" w:rsidRPr="00A501FE" w:rsidRDefault="00A501FE" w:rsidP="00A501FE">
      <w:pPr>
        <w:ind w:left="851"/>
        <w:rPr>
          <w:i/>
          <w:iCs/>
          <w:sz w:val="24"/>
          <w:szCs w:val="24"/>
        </w:rPr>
      </w:pPr>
      <w:r w:rsidRPr="00A501FE">
        <w:rPr>
          <w:i/>
          <w:iCs/>
          <w:sz w:val="24"/>
          <w:szCs w:val="24"/>
        </w:rPr>
        <w:t>Blodsygdomme</w:t>
      </w:r>
    </w:p>
    <w:p w14:paraId="6650CDC1" w14:textId="77777777" w:rsidR="00A501FE" w:rsidRPr="00A501FE" w:rsidRDefault="00A501FE" w:rsidP="00A501FE">
      <w:pPr>
        <w:ind w:left="851"/>
        <w:rPr>
          <w:sz w:val="24"/>
          <w:szCs w:val="24"/>
        </w:rPr>
      </w:pPr>
      <w:r w:rsidRPr="00A501FE">
        <w:rPr>
          <w:sz w:val="24"/>
          <w:szCs w:val="24"/>
        </w:rPr>
        <w:t>Knoglemarvssvigt inklusive leukopeni, neutropeni, pancytopeni, hæmolytisk anæmi, trombocytopeni, aplastisk anæmi eller agranulocytose kan udvikle sig under behandling med levofloxacin (se pkt. 4.8). Hvis der er mistanke om nogle af disse blodsygdomme, bør blodtallene overvåges. I tilfælde af unormale resultater bør seponering af behandling med levofloxacin overvejes.</w:t>
      </w:r>
    </w:p>
    <w:p w14:paraId="266BB650" w14:textId="77777777" w:rsidR="00A501FE" w:rsidRPr="003501B6" w:rsidRDefault="00A501FE" w:rsidP="00FB67DB">
      <w:pPr>
        <w:ind w:left="851"/>
        <w:rPr>
          <w:sz w:val="24"/>
          <w:szCs w:val="24"/>
        </w:rPr>
      </w:pPr>
    </w:p>
    <w:p w14:paraId="58901D56" w14:textId="77777777" w:rsidR="00BE227F" w:rsidRPr="003501B6" w:rsidRDefault="00BE227F" w:rsidP="00FB67DB">
      <w:pPr>
        <w:ind w:left="851"/>
        <w:rPr>
          <w:i/>
          <w:iCs/>
          <w:sz w:val="24"/>
          <w:szCs w:val="24"/>
        </w:rPr>
      </w:pPr>
      <w:r w:rsidRPr="003501B6">
        <w:rPr>
          <w:i/>
          <w:sz w:val="24"/>
          <w:szCs w:val="24"/>
        </w:rPr>
        <w:t>Sunset yellow</w:t>
      </w:r>
    </w:p>
    <w:p w14:paraId="5B5FD340" w14:textId="77777777" w:rsidR="00BE227F" w:rsidRPr="003501B6" w:rsidRDefault="00BE227F" w:rsidP="00FB67DB">
      <w:pPr>
        <w:ind w:left="851"/>
        <w:rPr>
          <w:sz w:val="24"/>
          <w:szCs w:val="24"/>
        </w:rPr>
      </w:pPr>
      <w:r w:rsidRPr="003501B6">
        <w:rPr>
          <w:sz w:val="24"/>
          <w:szCs w:val="24"/>
        </w:rPr>
        <w:t>Dette lægemiddel indeholder farvestoffet sunset yellow (E110), som kan medføre allergiske reaktioner.</w:t>
      </w:r>
    </w:p>
    <w:p w14:paraId="5D1EF93D" w14:textId="77777777" w:rsidR="009260DE" w:rsidRPr="003501B6" w:rsidRDefault="009260DE" w:rsidP="009260DE">
      <w:pPr>
        <w:tabs>
          <w:tab w:val="left" w:pos="851"/>
        </w:tabs>
        <w:ind w:left="851"/>
        <w:rPr>
          <w:sz w:val="24"/>
          <w:szCs w:val="24"/>
        </w:rPr>
      </w:pPr>
    </w:p>
    <w:p w14:paraId="084C6F08" w14:textId="77777777" w:rsidR="009260DE" w:rsidRPr="003501B6" w:rsidRDefault="009260DE" w:rsidP="009260DE">
      <w:pPr>
        <w:tabs>
          <w:tab w:val="left" w:pos="851"/>
        </w:tabs>
        <w:ind w:left="851" w:hanging="851"/>
        <w:rPr>
          <w:b/>
          <w:sz w:val="24"/>
          <w:szCs w:val="24"/>
        </w:rPr>
      </w:pPr>
      <w:r w:rsidRPr="003501B6">
        <w:rPr>
          <w:b/>
          <w:sz w:val="24"/>
          <w:szCs w:val="24"/>
        </w:rPr>
        <w:t>4.5</w:t>
      </w:r>
      <w:r w:rsidRPr="003501B6">
        <w:rPr>
          <w:b/>
          <w:sz w:val="24"/>
          <w:szCs w:val="24"/>
        </w:rPr>
        <w:tab/>
        <w:t>Interaktion med andre lægemidler og andre former for interaktion</w:t>
      </w:r>
    </w:p>
    <w:p w14:paraId="7693A83E" w14:textId="77777777" w:rsidR="00BE227F" w:rsidRPr="00596E4B" w:rsidRDefault="00BE227F" w:rsidP="00BE227F">
      <w:pPr>
        <w:tabs>
          <w:tab w:val="left" w:pos="1304"/>
        </w:tabs>
        <w:ind w:left="567" w:hanging="567"/>
        <w:rPr>
          <w:sz w:val="24"/>
          <w:szCs w:val="24"/>
        </w:rPr>
      </w:pPr>
    </w:p>
    <w:p w14:paraId="19AA4564" w14:textId="77777777" w:rsidR="00BE227F" w:rsidRPr="00596E4B" w:rsidRDefault="00BE227F" w:rsidP="00FB67DB">
      <w:pPr>
        <w:ind w:left="851"/>
        <w:rPr>
          <w:bCs/>
          <w:iCs/>
          <w:sz w:val="24"/>
          <w:szCs w:val="24"/>
          <w:u w:val="single"/>
        </w:rPr>
      </w:pPr>
      <w:r w:rsidRPr="00596E4B">
        <w:rPr>
          <w:sz w:val="24"/>
          <w:szCs w:val="24"/>
          <w:u w:val="single"/>
        </w:rPr>
        <w:t>Andre lægemidlers påvirkning af levofloxacin</w:t>
      </w:r>
    </w:p>
    <w:p w14:paraId="3434D257" w14:textId="77777777" w:rsidR="00BE227F" w:rsidRPr="003501B6" w:rsidRDefault="00BE227F" w:rsidP="00FB67DB">
      <w:pPr>
        <w:ind w:left="851"/>
        <w:rPr>
          <w:bCs/>
          <w:iCs/>
          <w:sz w:val="24"/>
          <w:szCs w:val="24"/>
        </w:rPr>
      </w:pPr>
    </w:p>
    <w:p w14:paraId="6976123E" w14:textId="77777777" w:rsidR="00BE227F" w:rsidRPr="003501B6" w:rsidRDefault="00BE227F" w:rsidP="00FB67DB">
      <w:pPr>
        <w:ind w:left="851"/>
        <w:rPr>
          <w:bCs/>
          <w:i/>
          <w:iCs/>
          <w:sz w:val="24"/>
          <w:szCs w:val="24"/>
        </w:rPr>
      </w:pPr>
      <w:r w:rsidRPr="003501B6">
        <w:rPr>
          <w:i/>
          <w:sz w:val="24"/>
          <w:szCs w:val="24"/>
        </w:rPr>
        <w:t>Jernsalte,</w:t>
      </w:r>
      <w:r w:rsidRPr="003501B6">
        <w:rPr>
          <w:sz w:val="24"/>
          <w:szCs w:val="24"/>
        </w:rPr>
        <w:t xml:space="preserve"> </w:t>
      </w:r>
      <w:r w:rsidRPr="003501B6">
        <w:rPr>
          <w:i/>
          <w:sz w:val="24"/>
          <w:szCs w:val="24"/>
        </w:rPr>
        <w:t>zinksalte, magnesium- eller aluminiumholdige antacida, didanosin</w:t>
      </w:r>
    </w:p>
    <w:p w14:paraId="27613F13" w14:textId="7F72841A" w:rsidR="00BE227F" w:rsidRPr="003501B6" w:rsidRDefault="00BE227F" w:rsidP="00FB67DB">
      <w:pPr>
        <w:ind w:left="851"/>
        <w:rPr>
          <w:sz w:val="24"/>
          <w:szCs w:val="24"/>
        </w:rPr>
      </w:pPr>
      <w:r w:rsidRPr="003501B6">
        <w:rPr>
          <w:sz w:val="24"/>
          <w:szCs w:val="24"/>
        </w:rPr>
        <w:t>Absorptionen af levofloxacin reduceres signifikant, når jernsalte, magnesium- eller aluminiumholdige antacida eller didanosin (</w:t>
      </w:r>
      <w:r w:rsidRPr="003501B6">
        <w:rPr>
          <w:i/>
          <w:sz w:val="24"/>
          <w:szCs w:val="24"/>
        </w:rPr>
        <w:t>kun didanosinholdige præparater med aluminium- eller magnesiumholdig buffer</w:t>
      </w:r>
      <w:r w:rsidRPr="003501B6">
        <w:rPr>
          <w:sz w:val="24"/>
          <w:szCs w:val="24"/>
        </w:rPr>
        <w:t xml:space="preserve">) administreres samtidigt med Levofloxacin </w:t>
      </w:r>
      <w:r w:rsidR="00EF18B8">
        <w:rPr>
          <w:sz w:val="24"/>
          <w:szCs w:val="24"/>
        </w:rPr>
        <w:t>"Macure"</w:t>
      </w:r>
      <w:r w:rsidR="00AD6732">
        <w:rPr>
          <w:sz w:val="24"/>
          <w:szCs w:val="24"/>
        </w:rPr>
        <w:t xml:space="preserve"> </w:t>
      </w:r>
      <w:r w:rsidRPr="003501B6">
        <w:rPr>
          <w:sz w:val="24"/>
          <w:szCs w:val="24"/>
        </w:rPr>
        <w:t>tabletter. Samtidig administration af fluoroquinoloner og multivitaminer indeholdende zink ser ud til at reducere fluoroquinoloners orale absorption. Det anbefales, at præparater indeholdende divalente eller trivalente kationer som f.eks. jernsalte, zinksalte, magnesium- eller aluminiumholdige antacida eller didanosin (</w:t>
      </w:r>
      <w:r w:rsidRPr="003501B6">
        <w:rPr>
          <w:i/>
          <w:sz w:val="24"/>
          <w:szCs w:val="24"/>
        </w:rPr>
        <w:t>kun didanosinpræparater med aluminium- eller magnesiumholdig buffer</w:t>
      </w:r>
      <w:r w:rsidRPr="003501B6">
        <w:rPr>
          <w:sz w:val="24"/>
          <w:szCs w:val="24"/>
        </w:rPr>
        <w:t xml:space="preserve">) indtages 2 timer før eller efter administration af Levofloxacin </w:t>
      </w:r>
      <w:r w:rsidR="00EF18B8">
        <w:rPr>
          <w:sz w:val="24"/>
          <w:szCs w:val="24"/>
        </w:rPr>
        <w:t>"Macure"</w:t>
      </w:r>
      <w:r w:rsidR="00AD6732">
        <w:rPr>
          <w:sz w:val="24"/>
          <w:szCs w:val="24"/>
        </w:rPr>
        <w:t xml:space="preserve"> </w:t>
      </w:r>
      <w:r w:rsidRPr="003501B6">
        <w:rPr>
          <w:sz w:val="24"/>
          <w:szCs w:val="24"/>
        </w:rPr>
        <w:t xml:space="preserve">tabletter (se pkt. 4.2). Calciumsalte har minimal indvirkning på den orale absorption af levofloxacin. </w:t>
      </w:r>
    </w:p>
    <w:p w14:paraId="58BD755F" w14:textId="77777777" w:rsidR="00BE227F" w:rsidRPr="003501B6" w:rsidRDefault="00BE227F" w:rsidP="00FB67DB">
      <w:pPr>
        <w:ind w:left="851"/>
        <w:rPr>
          <w:sz w:val="24"/>
          <w:szCs w:val="24"/>
        </w:rPr>
      </w:pPr>
    </w:p>
    <w:p w14:paraId="774CA390" w14:textId="77777777" w:rsidR="00BE227F" w:rsidRPr="003501B6" w:rsidRDefault="00BE227F" w:rsidP="00FB67DB">
      <w:pPr>
        <w:ind w:left="851"/>
        <w:rPr>
          <w:bCs/>
          <w:i/>
          <w:iCs/>
          <w:sz w:val="24"/>
          <w:szCs w:val="24"/>
        </w:rPr>
      </w:pPr>
      <w:r w:rsidRPr="003501B6">
        <w:rPr>
          <w:i/>
          <w:sz w:val="24"/>
          <w:szCs w:val="24"/>
        </w:rPr>
        <w:t>Sucralfat</w:t>
      </w:r>
    </w:p>
    <w:p w14:paraId="71B040CA" w14:textId="0AE3C436" w:rsidR="00BE227F" w:rsidRPr="003501B6" w:rsidRDefault="00BE227F" w:rsidP="00FB67DB">
      <w:pPr>
        <w:ind w:left="851"/>
        <w:rPr>
          <w:sz w:val="24"/>
          <w:szCs w:val="24"/>
        </w:rPr>
      </w:pPr>
      <w:r w:rsidRPr="003501B6">
        <w:rPr>
          <w:sz w:val="24"/>
          <w:szCs w:val="24"/>
        </w:rPr>
        <w:t xml:space="preserve">Levofloxacin </w:t>
      </w:r>
      <w:r w:rsidR="00EF18B8">
        <w:rPr>
          <w:sz w:val="24"/>
          <w:szCs w:val="24"/>
        </w:rPr>
        <w:t>"Macure"</w:t>
      </w:r>
      <w:r w:rsidR="00AD6732">
        <w:rPr>
          <w:sz w:val="24"/>
          <w:szCs w:val="24"/>
        </w:rPr>
        <w:t xml:space="preserve"> </w:t>
      </w:r>
      <w:r w:rsidRPr="003501B6">
        <w:rPr>
          <w:sz w:val="24"/>
          <w:szCs w:val="24"/>
        </w:rPr>
        <w:t xml:space="preserve">tabletternes biotilgængelighed reduceres signifikant, når de administreres samtidigt med sucralfat. Hvis patienten skal behandles med både sucralfat og levofloxacin, er det bedst at administrere sucralfat 2 timer efter levofloxacin-tabletterne (se pkt. 4.2). </w:t>
      </w:r>
    </w:p>
    <w:p w14:paraId="11B27148" w14:textId="77777777" w:rsidR="00BE227F" w:rsidRPr="003501B6" w:rsidRDefault="00BE227F" w:rsidP="00FB67DB">
      <w:pPr>
        <w:ind w:left="851"/>
        <w:rPr>
          <w:sz w:val="24"/>
          <w:szCs w:val="24"/>
        </w:rPr>
      </w:pPr>
    </w:p>
    <w:p w14:paraId="05B0A037" w14:textId="77777777" w:rsidR="00BE227F" w:rsidRPr="003501B6" w:rsidRDefault="00BE227F" w:rsidP="00FB67DB">
      <w:pPr>
        <w:ind w:left="851"/>
        <w:rPr>
          <w:bCs/>
          <w:i/>
          <w:iCs/>
          <w:sz w:val="24"/>
          <w:szCs w:val="24"/>
        </w:rPr>
      </w:pPr>
      <w:r w:rsidRPr="003501B6">
        <w:rPr>
          <w:i/>
          <w:sz w:val="24"/>
          <w:szCs w:val="24"/>
        </w:rPr>
        <w:t>Theophyllin, fenbufen eller lignende non-steroide antiinflammatoriske midler</w:t>
      </w:r>
    </w:p>
    <w:p w14:paraId="4BE02094" w14:textId="77777777" w:rsidR="00BE227F" w:rsidRPr="003501B6" w:rsidRDefault="00BE227F" w:rsidP="00FB67DB">
      <w:pPr>
        <w:ind w:left="851"/>
        <w:rPr>
          <w:sz w:val="24"/>
          <w:szCs w:val="24"/>
        </w:rPr>
      </w:pPr>
      <w:r w:rsidRPr="003501B6">
        <w:rPr>
          <w:sz w:val="24"/>
          <w:szCs w:val="24"/>
        </w:rPr>
        <w:t xml:space="preserve">Der blev ikke fundet farmakokinetiske interaktioner mellem levofloxacin og theophyllin i et klinisk studie. En udpræget nedsat cerebral krampetærskel kan dog forekomme, når </w:t>
      </w:r>
      <w:r w:rsidRPr="003501B6">
        <w:rPr>
          <w:sz w:val="24"/>
          <w:szCs w:val="24"/>
        </w:rPr>
        <w:lastRenderedPageBreak/>
        <w:t xml:space="preserve">quinoloner gives samtidigt med theophyllin, non-steroide antiinflammatoriske lægemidler eller andre midler, der sænker krampetærsklen. </w:t>
      </w:r>
    </w:p>
    <w:p w14:paraId="704EBB29" w14:textId="77777777" w:rsidR="00BE227F" w:rsidRPr="003501B6" w:rsidRDefault="00BE227F" w:rsidP="00FB67DB">
      <w:pPr>
        <w:ind w:left="851"/>
        <w:rPr>
          <w:sz w:val="24"/>
          <w:szCs w:val="24"/>
        </w:rPr>
      </w:pPr>
      <w:r w:rsidRPr="003501B6">
        <w:rPr>
          <w:sz w:val="24"/>
          <w:szCs w:val="24"/>
        </w:rPr>
        <w:t>Koncentrationen af levofloxacin var ca. 13 % højere ved tilstedeværelse af fenbufen, end når det blev indgivet alene.</w:t>
      </w:r>
    </w:p>
    <w:p w14:paraId="176EF53B" w14:textId="77777777" w:rsidR="00BE227F" w:rsidRPr="003501B6" w:rsidRDefault="00BE227F" w:rsidP="00FB67DB">
      <w:pPr>
        <w:ind w:left="851"/>
        <w:rPr>
          <w:sz w:val="24"/>
          <w:szCs w:val="24"/>
        </w:rPr>
      </w:pPr>
    </w:p>
    <w:p w14:paraId="16C28A1D" w14:textId="77777777" w:rsidR="00BE227F" w:rsidRPr="003501B6" w:rsidRDefault="00BE227F" w:rsidP="00FB67DB">
      <w:pPr>
        <w:ind w:left="851"/>
        <w:rPr>
          <w:bCs/>
          <w:i/>
          <w:iCs/>
          <w:sz w:val="24"/>
          <w:szCs w:val="24"/>
        </w:rPr>
      </w:pPr>
      <w:r w:rsidRPr="003501B6">
        <w:rPr>
          <w:i/>
          <w:sz w:val="24"/>
          <w:szCs w:val="24"/>
        </w:rPr>
        <w:t>Probenecid og cimetidin</w:t>
      </w:r>
    </w:p>
    <w:p w14:paraId="6F1C7E70" w14:textId="77777777" w:rsidR="00BE227F" w:rsidRPr="003501B6" w:rsidRDefault="00BE227F" w:rsidP="00FB67DB">
      <w:pPr>
        <w:ind w:left="851"/>
        <w:rPr>
          <w:sz w:val="24"/>
          <w:szCs w:val="24"/>
        </w:rPr>
      </w:pPr>
      <w:r w:rsidRPr="003501B6">
        <w:rPr>
          <w:sz w:val="24"/>
          <w:szCs w:val="24"/>
        </w:rPr>
        <w:t xml:space="preserve">Probenecid og cimetidin har en statistisk signifikant virkning på eliminationen af levofloxacin. Den renale clearance af levofloxacin blev reduceret af cimetidin (24 %) og probenecid (34 %). Dette skyldes, at begge lægemidler kan blokere den renale tubulære sekretion af levofloxacin. Ved doser undersøgt i studiet er det dog usandsynligt, at disse statistisk signifikante kinetiske forskelle har nogen klinisk relevans. </w:t>
      </w:r>
    </w:p>
    <w:p w14:paraId="332B7A49" w14:textId="77777777" w:rsidR="00BE227F" w:rsidRPr="003501B6" w:rsidRDefault="00BE227F" w:rsidP="00FB67DB">
      <w:pPr>
        <w:ind w:left="851"/>
        <w:rPr>
          <w:sz w:val="24"/>
          <w:szCs w:val="24"/>
        </w:rPr>
      </w:pPr>
      <w:r w:rsidRPr="003501B6">
        <w:rPr>
          <w:sz w:val="24"/>
          <w:szCs w:val="24"/>
        </w:rPr>
        <w:t xml:space="preserve">Der bør udvises forsigtighed, når levofloxacin indgives samtidig med lægemidler, der påvirker den renale tubulære sekretion som f.eks. probenecid og cimetidin, især hos patienter med nedsat nyrefunktion. </w:t>
      </w:r>
    </w:p>
    <w:p w14:paraId="25FF1611" w14:textId="77777777" w:rsidR="00BE227F" w:rsidRPr="003501B6" w:rsidRDefault="00BE227F" w:rsidP="00FB67DB">
      <w:pPr>
        <w:ind w:left="851"/>
        <w:rPr>
          <w:sz w:val="24"/>
          <w:szCs w:val="24"/>
        </w:rPr>
      </w:pPr>
    </w:p>
    <w:p w14:paraId="45FE51F5" w14:textId="77777777" w:rsidR="00BE227F" w:rsidRPr="003501B6" w:rsidRDefault="00BE227F" w:rsidP="00FB67DB">
      <w:pPr>
        <w:ind w:left="851"/>
        <w:rPr>
          <w:bCs/>
          <w:i/>
          <w:iCs/>
          <w:sz w:val="24"/>
          <w:szCs w:val="24"/>
        </w:rPr>
      </w:pPr>
      <w:r w:rsidRPr="003501B6">
        <w:rPr>
          <w:i/>
          <w:sz w:val="24"/>
          <w:szCs w:val="24"/>
        </w:rPr>
        <w:t>Anden relevant information</w:t>
      </w:r>
    </w:p>
    <w:p w14:paraId="7D1A585C" w14:textId="77777777" w:rsidR="00BE227F" w:rsidRPr="003501B6" w:rsidRDefault="00BE227F" w:rsidP="00FB67DB">
      <w:pPr>
        <w:ind w:left="851"/>
        <w:rPr>
          <w:bCs/>
          <w:iCs/>
          <w:sz w:val="24"/>
          <w:szCs w:val="24"/>
        </w:rPr>
      </w:pPr>
      <w:r w:rsidRPr="003501B6">
        <w:rPr>
          <w:sz w:val="24"/>
          <w:szCs w:val="24"/>
        </w:rPr>
        <w:t>Klinisk farmakologiske studier har påvist, at levofloxacins farmakokinetik ikke blev påvirket i klinisk relevant omfang, når levofloxacin blev administreret sammen med følgende stoffer: calciumcarbonat, digoxin, glibenclamid, ranitidin.</w:t>
      </w:r>
    </w:p>
    <w:p w14:paraId="76BCCECF" w14:textId="77777777" w:rsidR="00BE227F" w:rsidRPr="003501B6" w:rsidRDefault="00BE227F" w:rsidP="00FB67DB">
      <w:pPr>
        <w:ind w:left="851"/>
        <w:rPr>
          <w:bCs/>
          <w:iCs/>
          <w:sz w:val="24"/>
          <w:szCs w:val="24"/>
        </w:rPr>
      </w:pPr>
    </w:p>
    <w:p w14:paraId="4456D21C" w14:textId="77777777" w:rsidR="00BE227F" w:rsidRPr="00596E4B" w:rsidRDefault="00BE227F" w:rsidP="00FB67DB">
      <w:pPr>
        <w:ind w:left="851"/>
        <w:rPr>
          <w:bCs/>
          <w:iCs/>
          <w:sz w:val="24"/>
          <w:szCs w:val="24"/>
          <w:u w:val="single"/>
        </w:rPr>
      </w:pPr>
      <w:r w:rsidRPr="00596E4B">
        <w:rPr>
          <w:sz w:val="24"/>
          <w:szCs w:val="24"/>
          <w:u w:val="single"/>
        </w:rPr>
        <w:t>Levofloxacins virkning på andre lægemidler</w:t>
      </w:r>
    </w:p>
    <w:p w14:paraId="51C76033" w14:textId="77777777" w:rsidR="00BE227F" w:rsidRPr="003501B6" w:rsidRDefault="00BE227F" w:rsidP="00FB67DB">
      <w:pPr>
        <w:ind w:left="851"/>
        <w:rPr>
          <w:sz w:val="24"/>
          <w:szCs w:val="24"/>
        </w:rPr>
      </w:pPr>
    </w:p>
    <w:p w14:paraId="68C2712C" w14:textId="77777777" w:rsidR="00BE227F" w:rsidRPr="003501B6" w:rsidRDefault="00BE227F" w:rsidP="00FB67DB">
      <w:pPr>
        <w:ind w:left="851"/>
        <w:rPr>
          <w:bCs/>
          <w:i/>
          <w:iCs/>
          <w:sz w:val="24"/>
          <w:szCs w:val="24"/>
        </w:rPr>
      </w:pPr>
      <w:r w:rsidRPr="003501B6">
        <w:rPr>
          <w:i/>
          <w:sz w:val="24"/>
          <w:szCs w:val="24"/>
        </w:rPr>
        <w:t>Ciclosporin</w:t>
      </w:r>
    </w:p>
    <w:p w14:paraId="7347DD3B" w14:textId="77777777" w:rsidR="00BE227F" w:rsidRPr="003501B6" w:rsidRDefault="00BE227F" w:rsidP="00FB67DB">
      <w:pPr>
        <w:ind w:left="851"/>
        <w:rPr>
          <w:sz w:val="24"/>
          <w:szCs w:val="24"/>
        </w:rPr>
      </w:pPr>
      <w:r w:rsidRPr="003501B6">
        <w:rPr>
          <w:sz w:val="24"/>
          <w:szCs w:val="24"/>
        </w:rPr>
        <w:t xml:space="preserve">Ciclosporins halveringstid blev øget med 33 % ved administration sammen med levofloxacin. </w:t>
      </w:r>
    </w:p>
    <w:p w14:paraId="26FF2655" w14:textId="77777777" w:rsidR="00BE227F" w:rsidRPr="003501B6" w:rsidRDefault="00BE227F" w:rsidP="00FB67DB">
      <w:pPr>
        <w:ind w:left="851"/>
        <w:rPr>
          <w:sz w:val="24"/>
          <w:szCs w:val="24"/>
        </w:rPr>
      </w:pPr>
    </w:p>
    <w:p w14:paraId="256E5523" w14:textId="77777777" w:rsidR="00BE227F" w:rsidRPr="003501B6" w:rsidRDefault="00BE227F" w:rsidP="00FB67DB">
      <w:pPr>
        <w:ind w:left="851"/>
        <w:rPr>
          <w:bCs/>
          <w:i/>
          <w:iCs/>
          <w:sz w:val="24"/>
          <w:szCs w:val="24"/>
        </w:rPr>
      </w:pPr>
      <w:r w:rsidRPr="003501B6">
        <w:rPr>
          <w:i/>
          <w:sz w:val="24"/>
          <w:szCs w:val="24"/>
        </w:rPr>
        <w:t xml:space="preserve">Vitamin K-antagonister </w:t>
      </w:r>
    </w:p>
    <w:p w14:paraId="5DEF7015" w14:textId="77777777" w:rsidR="00BE227F" w:rsidRPr="003501B6" w:rsidRDefault="00BE227F" w:rsidP="00FB67DB">
      <w:pPr>
        <w:ind w:left="851"/>
        <w:rPr>
          <w:sz w:val="24"/>
          <w:szCs w:val="24"/>
        </w:rPr>
      </w:pPr>
      <w:r w:rsidRPr="003501B6">
        <w:rPr>
          <w:sz w:val="24"/>
          <w:szCs w:val="24"/>
        </w:rPr>
        <w:t>Forhøjede koagulationsprøver (PT/INR) og/eller blødning, som kan være alvorlig, er blevet rapporteret hos patienter behandlet samtidig med levofloxacin i kombination med en vitamin K-antagonist (f.eks. warfarin). Koagulationsprøver bør derfor monitoreres hos patienter i behandling med vitamin K-antagonister (se pkt. 4.4).</w:t>
      </w:r>
    </w:p>
    <w:p w14:paraId="45ABC905" w14:textId="77777777" w:rsidR="00BE227F" w:rsidRPr="003501B6" w:rsidRDefault="00BE227F" w:rsidP="00FB67DB">
      <w:pPr>
        <w:ind w:left="851"/>
        <w:rPr>
          <w:sz w:val="24"/>
          <w:szCs w:val="24"/>
        </w:rPr>
      </w:pPr>
    </w:p>
    <w:p w14:paraId="6A4B942A" w14:textId="77777777" w:rsidR="00BE227F" w:rsidRPr="003501B6" w:rsidRDefault="00BE227F" w:rsidP="00FB67DB">
      <w:pPr>
        <w:ind w:left="851"/>
        <w:rPr>
          <w:i/>
          <w:sz w:val="24"/>
          <w:szCs w:val="24"/>
        </w:rPr>
      </w:pPr>
      <w:r w:rsidRPr="003501B6">
        <w:rPr>
          <w:i/>
          <w:sz w:val="24"/>
          <w:szCs w:val="24"/>
        </w:rPr>
        <w:t>Stoffer, der vides at forlænge QT-intervallet</w:t>
      </w:r>
    </w:p>
    <w:p w14:paraId="782C3E16" w14:textId="77777777" w:rsidR="00BE227F" w:rsidRPr="003501B6" w:rsidRDefault="00BE227F" w:rsidP="00FB67DB">
      <w:pPr>
        <w:ind w:left="851"/>
        <w:rPr>
          <w:sz w:val="24"/>
          <w:szCs w:val="24"/>
        </w:rPr>
      </w:pPr>
      <w:r w:rsidRPr="003501B6">
        <w:rPr>
          <w:sz w:val="24"/>
          <w:szCs w:val="24"/>
        </w:rPr>
        <w:t>I lighed med andre fluoroquinoloner bør levofloxacin anvendes med forsigtighed hos patienter i behandling med lægemidler, der vides at forlænge QT-intervallet (f.eks. klasse IA- og III-antiarytmika, tricykliske antidepressiva, makrolider, antipsykotika) (se pkt. 4.4 “Forlænget QT-interval”).</w:t>
      </w:r>
    </w:p>
    <w:p w14:paraId="2E14D783" w14:textId="77777777" w:rsidR="00BE227F" w:rsidRPr="003501B6" w:rsidRDefault="00BE227F" w:rsidP="00FB67DB">
      <w:pPr>
        <w:ind w:left="851"/>
        <w:rPr>
          <w:sz w:val="24"/>
          <w:szCs w:val="24"/>
        </w:rPr>
      </w:pPr>
    </w:p>
    <w:p w14:paraId="1DF38625" w14:textId="77777777" w:rsidR="00BE227F" w:rsidRPr="003501B6" w:rsidRDefault="00BE227F" w:rsidP="00FB67DB">
      <w:pPr>
        <w:ind w:left="851"/>
        <w:rPr>
          <w:i/>
          <w:sz w:val="24"/>
          <w:szCs w:val="24"/>
        </w:rPr>
      </w:pPr>
      <w:r w:rsidRPr="003501B6">
        <w:rPr>
          <w:i/>
          <w:sz w:val="24"/>
          <w:szCs w:val="24"/>
        </w:rPr>
        <w:t>Anden relevant information</w:t>
      </w:r>
    </w:p>
    <w:p w14:paraId="6D9FAB1E" w14:textId="77777777" w:rsidR="00BE227F" w:rsidRPr="003501B6" w:rsidRDefault="00BE227F" w:rsidP="00FB67DB">
      <w:pPr>
        <w:ind w:left="851"/>
        <w:rPr>
          <w:sz w:val="24"/>
          <w:szCs w:val="24"/>
        </w:rPr>
      </w:pPr>
      <w:r w:rsidRPr="003501B6">
        <w:rPr>
          <w:sz w:val="24"/>
          <w:szCs w:val="24"/>
        </w:rPr>
        <w:t>I et farmakokinetisk interaktionsstudie påvirkede levofloxacin ikke farmakokinetikken af theophyllin (som er et markørsubstrat for CYP1A2), hvilket indikerer, at levofloxacin ikke er en CYP1A2-inhibitor.</w:t>
      </w:r>
    </w:p>
    <w:p w14:paraId="21749F87" w14:textId="77777777" w:rsidR="00BE227F" w:rsidRPr="003501B6" w:rsidRDefault="00BE227F" w:rsidP="00FB67DB">
      <w:pPr>
        <w:ind w:left="851"/>
        <w:rPr>
          <w:sz w:val="24"/>
          <w:szCs w:val="24"/>
        </w:rPr>
      </w:pPr>
    </w:p>
    <w:p w14:paraId="1218BAD0" w14:textId="77777777" w:rsidR="00BE227F" w:rsidRPr="00596E4B" w:rsidRDefault="00BE227F" w:rsidP="00FB67DB">
      <w:pPr>
        <w:ind w:left="851"/>
        <w:rPr>
          <w:sz w:val="24"/>
          <w:szCs w:val="24"/>
          <w:u w:val="single"/>
        </w:rPr>
      </w:pPr>
      <w:r w:rsidRPr="00596E4B">
        <w:rPr>
          <w:sz w:val="24"/>
          <w:szCs w:val="24"/>
          <w:u w:val="single"/>
        </w:rPr>
        <w:t>Andre former for interaktioner</w:t>
      </w:r>
    </w:p>
    <w:p w14:paraId="59C37CF3" w14:textId="77777777" w:rsidR="00BE227F" w:rsidRPr="003501B6" w:rsidRDefault="00BE227F" w:rsidP="00FB67DB">
      <w:pPr>
        <w:ind w:left="851"/>
        <w:rPr>
          <w:sz w:val="24"/>
          <w:szCs w:val="24"/>
        </w:rPr>
      </w:pPr>
    </w:p>
    <w:p w14:paraId="3B9D69BE" w14:textId="77777777" w:rsidR="00BE227F" w:rsidRPr="003501B6" w:rsidRDefault="00BE227F" w:rsidP="00FB67DB">
      <w:pPr>
        <w:ind w:left="851"/>
        <w:rPr>
          <w:bCs/>
          <w:i/>
          <w:iCs/>
          <w:sz w:val="24"/>
          <w:szCs w:val="24"/>
        </w:rPr>
      </w:pPr>
      <w:r w:rsidRPr="003501B6">
        <w:rPr>
          <w:i/>
          <w:sz w:val="24"/>
          <w:szCs w:val="24"/>
        </w:rPr>
        <w:t>Føde</w:t>
      </w:r>
    </w:p>
    <w:p w14:paraId="76F21108" w14:textId="772C7A31" w:rsidR="00BE227F" w:rsidRPr="003501B6" w:rsidRDefault="00BE227F" w:rsidP="00FB67DB">
      <w:pPr>
        <w:ind w:left="851"/>
        <w:rPr>
          <w:sz w:val="24"/>
          <w:szCs w:val="24"/>
        </w:rPr>
      </w:pPr>
      <w:r w:rsidRPr="003501B6">
        <w:rPr>
          <w:sz w:val="24"/>
          <w:szCs w:val="24"/>
        </w:rPr>
        <w:t xml:space="preserve">Der er ingen klinisk relevant interaktion med mad. Levofloxacin </w:t>
      </w:r>
      <w:r w:rsidR="00EF18B8">
        <w:rPr>
          <w:sz w:val="24"/>
          <w:szCs w:val="24"/>
        </w:rPr>
        <w:t>"Macure"</w:t>
      </w:r>
      <w:r w:rsidR="00AD6732">
        <w:rPr>
          <w:sz w:val="24"/>
          <w:szCs w:val="24"/>
        </w:rPr>
        <w:t xml:space="preserve"> </w:t>
      </w:r>
      <w:r w:rsidRPr="003501B6">
        <w:rPr>
          <w:sz w:val="24"/>
          <w:szCs w:val="24"/>
        </w:rPr>
        <w:t xml:space="preserve">tabletter kan derfor administreres uafhængigt af fødeindtagelse. </w:t>
      </w:r>
    </w:p>
    <w:p w14:paraId="432DEBAB" w14:textId="64C4E1B3" w:rsidR="00A501FE" w:rsidRDefault="00A501FE">
      <w:pPr>
        <w:rPr>
          <w:sz w:val="24"/>
          <w:szCs w:val="24"/>
        </w:rPr>
      </w:pPr>
      <w:r>
        <w:rPr>
          <w:sz w:val="24"/>
          <w:szCs w:val="24"/>
        </w:rPr>
        <w:br w:type="page"/>
      </w:r>
    </w:p>
    <w:p w14:paraId="701380DE" w14:textId="77777777" w:rsidR="009260DE" w:rsidRPr="003501B6" w:rsidRDefault="009260DE" w:rsidP="009260DE">
      <w:pPr>
        <w:tabs>
          <w:tab w:val="left" w:pos="851"/>
        </w:tabs>
        <w:ind w:left="851"/>
        <w:rPr>
          <w:sz w:val="24"/>
          <w:szCs w:val="24"/>
        </w:rPr>
      </w:pPr>
    </w:p>
    <w:p w14:paraId="53B6DFDA" w14:textId="77777777" w:rsidR="009260DE" w:rsidRPr="003501B6" w:rsidRDefault="009260DE" w:rsidP="009260DE">
      <w:pPr>
        <w:tabs>
          <w:tab w:val="left" w:pos="851"/>
        </w:tabs>
        <w:ind w:left="851" w:hanging="851"/>
        <w:rPr>
          <w:b/>
          <w:sz w:val="24"/>
          <w:szCs w:val="24"/>
        </w:rPr>
      </w:pPr>
      <w:r w:rsidRPr="003501B6">
        <w:rPr>
          <w:b/>
          <w:sz w:val="24"/>
          <w:szCs w:val="24"/>
        </w:rPr>
        <w:t>4.6</w:t>
      </w:r>
      <w:r w:rsidRPr="003501B6">
        <w:rPr>
          <w:b/>
          <w:sz w:val="24"/>
          <w:szCs w:val="24"/>
        </w:rPr>
        <w:tab/>
      </w:r>
      <w:r w:rsidR="0071241E" w:rsidRPr="003501B6">
        <w:rPr>
          <w:b/>
          <w:sz w:val="24"/>
          <w:szCs w:val="24"/>
        </w:rPr>
        <w:t>Fertilitet, g</w:t>
      </w:r>
      <w:r w:rsidRPr="003501B6">
        <w:rPr>
          <w:b/>
          <w:sz w:val="24"/>
          <w:szCs w:val="24"/>
        </w:rPr>
        <w:t>raviditet og amning</w:t>
      </w:r>
    </w:p>
    <w:p w14:paraId="58A47AB5" w14:textId="77777777" w:rsidR="00596E4B" w:rsidRDefault="00596E4B" w:rsidP="00FB67DB">
      <w:pPr>
        <w:ind w:left="851"/>
        <w:rPr>
          <w:sz w:val="24"/>
          <w:szCs w:val="24"/>
        </w:rPr>
      </w:pPr>
    </w:p>
    <w:p w14:paraId="65342E57" w14:textId="337989B4" w:rsidR="00BE227F" w:rsidRPr="00596E4B" w:rsidRDefault="00BE227F" w:rsidP="00FB67DB">
      <w:pPr>
        <w:ind w:left="851"/>
        <w:rPr>
          <w:sz w:val="24"/>
          <w:szCs w:val="24"/>
          <w:u w:val="single"/>
        </w:rPr>
      </w:pPr>
      <w:r w:rsidRPr="00596E4B">
        <w:rPr>
          <w:sz w:val="24"/>
          <w:szCs w:val="24"/>
          <w:u w:val="single"/>
        </w:rPr>
        <w:t>Graviditet</w:t>
      </w:r>
    </w:p>
    <w:p w14:paraId="1DE2AE6D" w14:textId="77777777" w:rsidR="00BE227F" w:rsidRPr="003501B6" w:rsidRDefault="00BE227F" w:rsidP="00FB67DB">
      <w:pPr>
        <w:ind w:left="851"/>
        <w:rPr>
          <w:sz w:val="24"/>
          <w:szCs w:val="24"/>
        </w:rPr>
      </w:pPr>
      <w:r w:rsidRPr="003501B6">
        <w:rPr>
          <w:sz w:val="24"/>
          <w:szCs w:val="24"/>
        </w:rPr>
        <w:t xml:space="preserve">Der er utilstrækkelige data fra anvendelse af levofloxacin til gravide kvinder. Dyrestudier indikerer hverken direkte eller indirekte skadelige virkninger, hvad angår reproduktionstoksicitet (se pkt. 5.3). Som følge af mangel på humane data, og da de eksperimentelle data tyder på en risiko for, at fluoroquinoloner beskadiger den vægtbærende brusk hos den voksende organisme, må levofloxacin ikke anvendes til gravide kvinder (se pkt. 4.3 og 5.3). </w:t>
      </w:r>
    </w:p>
    <w:p w14:paraId="1C4A57E1" w14:textId="77777777" w:rsidR="00BE227F" w:rsidRPr="003501B6" w:rsidRDefault="00BE227F" w:rsidP="00FB67DB">
      <w:pPr>
        <w:ind w:left="851"/>
        <w:rPr>
          <w:bCs/>
          <w:iCs/>
          <w:sz w:val="24"/>
          <w:szCs w:val="24"/>
        </w:rPr>
      </w:pPr>
    </w:p>
    <w:p w14:paraId="6B1A02C4" w14:textId="77777777" w:rsidR="00BE227F" w:rsidRPr="00596E4B" w:rsidRDefault="00BE227F" w:rsidP="00FB67DB">
      <w:pPr>
        <w:ind w:left="851"/>
        <w:rPr>
          <w:sz w:val="24"/>
          <w:szCs w:val="24"/>
          <w:u w:val="single"/>
        </w:rPr>
      </w:pPr>
      <w:r w:rsidRPr="00596E4B">
        <w:rPr>
          <w:sz w:val="24"/>
          <w:szCs w:val="24"/>
          <w:u w:val="single"/>
        </w:rPr>
        <w:t>Amning</w:t>
      </w:r>
    </w:p>
    <w:p w14:paraId="5FE9039A" w14:textId="77777777" w:rsidR="00BE227F" w:rsidRPr="003501B6" w:rsidRDefault="00BE227F" w:rsidP="00FB67DB">
      <w:pPr>
        <w:ind w:left="851"/>
        <w:rPr>
          <w:sz w:val="24"/>
          <w:szCs w:val="24"/>
        </w:rPr>
      </w:pPr>
      <w:r w:rsidRPr="003501B6">
        <w:rPr>
          <w:sz w:val="24"/>
          <w:szCs w:val="24"/>
        </w:rPr>
        <w:t>Lægemidlet er kontraindiceret til ammende kvinder. Data for udskillelse af levofloxacin i human mælk er utilstrækkelige. Andre fluoroquinoloner udskilles imidlertid i human mælk. Som følge af mangel på humane data, og da de eksperimentelle data tyder på en risiko for, at fluoroquinoloner beskadiger den vægtbærende brusk hos den voksende organisme, må levofloxacin ikke anvendes til ammende kvinder (se pkt. 4.3 og 5.3).</w:t>
      </w:r>
    </w:p>
    <w:p w14:paraId="093C0217" w14:textId="77777777" w:rsidR="00BE227F" w:rsidRPr="003501B6" w:rsidRDefault="00BE227F" w:rsidP="00FB67DB">
      <w:pPr>
        <w:ind w:left="851"/>
        <w:rPr>
          <w:i/>
          <w:iCs/>
          <w:color w:val="000000"/>
          <w:sz w:val="24"/>
          <w:szCs w:val="24"/>
          <w:lang w:eastAsia="el-GR"/>
        </w:rPr>
      </w:pPr>
    </w:p>
    <w:p w14:paraId="5E28E958" w14:textId="77777777" w:rsidR="00BE227F" w:rsidRPr="00596E4B" w:rsidRDefault="00BE227F" w:rsidP="00FB67DB">
      <w:pPr>
        <w:ind w:left="851"/>
        <w:rPr>
          <w:color w:val="000000"/>
          <w:sz w:val="24"/>
          <w:szCs w:val="24"/>
          <w:u w:val="single"/>
        </w:rPr>
      </w:pPr>
      <w:r w:rsidRPr="00596E4B">
        <w:rPr>
          <w:color w:val="000000"/>
          <w:sz w:val="24"/>
          <w:szCs w:val="24"/>
          <w:u w:val="single"/>
        </w:rPr>
        <w:t>Fertilitet</w:t>
      </w:r>
    </w:p>
    <w:p w14:paraId="628CCFA0" w14:textId="77777777" w:rsidR="00BE227F" w:rsidRPr="003501B6" w:rsidRDefault="00BE227F" w:rsidP="00FB67DB">
      <w:pPr>
        <w:ind w:left="851"/>
        <w:rPr>
          <w:b/>
          <w:sz w:val="24"/>
          <w:szCs w:val="24"/>
        </w:rPr>
      </w:pPr>
      <w:r w:rsidRPr="003501B6">
        <w:rPr>
          <w:color w:val="000000"/>
          <w:sz w:val="24"/>
          <w:szCs w:val="24"/>
        </w:rPr>
        <w:t>Levofloxacin påvirkede ikke fertiliteten eller reproduktionsevnen hos rotter.</w:t>
      </w:r>
    </w:p>
    <w:p w14:paraId="5D6A91F6" w14:textId="77777777" w:rsidR="009260DE" w:rsidRPr="003501B6" w:rsidRDefault="009260DE" w:rsidP="009260DE">
      <w:pPr>
        <w:tabs>
          <w:tab w:val="left" w:pos="851"/>
        </w:tabs>
        <w:ind w:left="851"/>
        <w:rPr>
          <w:sz w:val="24"/>
          <w:szCs w:val="24"/>
        </w:rPr>
      </w:pPr>
    </w:p>
    <w:p w14:paraId="5C6E7B0F" w14:textId="77777777" w:rsidR="009260DE" w:rsidRPr="003501B6" w:rsidRDefault="009260DE" w:rsidP="009260DE">
      <w:pPr>
        <w:tabs>
          <w:tab w:val="left" w:pos="851"/>
        </w:tabs>
        <w:ind w:left="851" w:hanging="851"/>
        <w:rPr>
          <w:b/>
          <w:sz w:val="24"/>
          <w:szCs w:val="24"/>
        </w:rPr>
      </w:pPr>
      <w:r w:rsidRPr="003501B6">
        <w:rPr>
          <w:b/>
          <w:sz w:val="24"/>
          <w:szCs w:val="24"/>
        </w:rPr>
        <w:t>4.7</w:t>
      </w:r>
      <w:r w:rsidRPr="003501B6">
        <w:rPr>
          <w:b/>
          <w:sz w:val="24"/>
          <w:szCs w:val="24"/>
        </w:rPr>
        <w:tab/>
        <w:t xml:space="preserve">Virkning på evnen til at føre motorkøretøj </w:t>
      </w:r>
      <w:r w:rsidR="0071241E" w:rsidRPr="003501B6">
        <w:rPr>
          <w:b/>
          <w:sz w:val="24"/>
          <w:szCs w:val="24"/>
        </w:rPr>
        <w:t>og</w:t>
      </w:r>
      <w:r w:rsidRPr="003501B6">
        <w:rPr>
          <w:b/>
          <w:sz w:val="24"/>
          <w:szCs w:val="24"/>
        </w:rPr>
        <w:t xml:space="preserve"> betjene maskiner</w:t>
      </w:r>
    </w:p>
    <w:p w14:paraId="097F6071" w14:textId="77777777" w:rsidR="00596E4B" w:rsidRDefault="00596E4B" w:rsidP="00FB67DB">
      <w:pPr>
        <w:ind w:left="851"/>
        <w:rPr>
          <w:sz w:val="24"/>
          <w:szCs w:val="24"/>
        </w:rPr>
      </w:pPr>
      <w:r>
        <w:rPr>
          <w:sz w:val="24"/>
          <w:szCs w:val="24"/>
        </w:rPr>
        <w:t>Ikke mærkning.</w:t>
      </w:r>
    </w:p>
    <w:p w14:paraId="21EB8835" w14:textId="6F280D01" w:rsidR="00BE227F" w:rsidRPr="003501B6" w:rsidRDefault="00BE227F" w:rsidP="00FB67DB">
      <w:pPr>
        <w:ind w:left="851"/>
        <w:rPr>
          <w:i/>
          <w:sz w:val="24"/>
          <w:szCs w:val="24"/>
        </w:rPr>
      </w:pPr>
      <w:r w:rsidRPr="003501B6">
        <w:rPr>
          <w:sz w:val="24"/>
          <w:szCs w:val="24"/>
        </w:rPr>
        <w:t xml:space="preserve">Levofloxacin </w:t>
      </w:r>
      <w:r w:rsidR="00EF18B8">
        <w:rPr>
          <w:sz w:val="24"/>
          <w:szCs w:val="24"/>
        </w:rPr>
        <w:t>"Macure"</w:t>
      </w:r>
      <w:r w:rsidRPr="003501B6">
        <w:rPr>
          <w:sz w:val="24"/>
          <w:szCs w:val="24"/>
        </w:rPr>
        <w:t xml:space="preserve"> påvirker i mindre eller moderat grad evnen til at føre motorkøretøj eller betjene maskiner.</w:t>
      </w:r>
    </w:p>
    <w:p w14:paraId="63D52FB8" w14:textId="77777777" w:rsidR="00BE227F" w:rsidRPr="003501B6" w:rsidRDefault="00BE227F" w:rsidP="00FB67DB">
      <w:pPr>
        <w:ind w:left="851"/>
        <w:rPr>
          <w:sz w:val="24"/>
          <w:szCs w:val="24"/>
        </w:rPr>
      </w:pPr>
      <w:r w:rsidRPr="003501B6">
        <w:rPr>
          <w:sz w:val="24"/>
          <w:szCs w:val="24"/>
        </w:rPr>
        <w:t>Nogle bivirkninger (f.eks. svimmelhed/vertigo, døsighed, synsforstyrrelser) kan påvirke patientens koncentrations- og reaktionsevne og kan derfor udgøre en risiko i situationer, hvor disse egenskaber er af særlig vigtighed (f.eks. når patienten fører motorkøretøj eller betjener maskiner).</w:t>
      </w:r>
    </w:p>
    <w:p w14:paraId="16EB8424" w14:textId="77777777" w:rsidR="009260DE" w:rsidRPr="003501B6" w:rsidRDefault="009260DE" w:rsidP="009260DE">
      <w:pPr>
        <w:tabs>
          <w:tab w:val="left" w:pos="851"/>
        </w:tabs>
        <w:ind w:left="851"/>
        <w:rPr>
          <w:sz w:val="24"/>
          <w:szCs w:val="24"/>
        </w:rPr>
      </w:pPr>
    </w:p>
    <w:p w14:paraId="6439267A" w14:textId="77777777" w:rsidR="009260DE" w:rsidRPr="003501B6" w:rsidRDefault="009260DE" w:rsidP="009260DE">
      <w:pPr>
        <w:tabs>
          <w:tab w:val="left" w:pos="851"/>
        </w:tabs>
        <w:ind w:left="851" w:hanging="851"/>
        <w:rPr>
          <w:b/>
          <w:sz w:val="24"/>
          <w:szCs w:val="24"/>
        </w:rPr>
      </w:pPr>
      <w:r w:rsidRPr="003501B6">
        <w:rPr>
          <w:b/>
          <w:sz w:val="24"/>
          <w:szCs w:val="24"/>
        </w:rPr>
        <w:t>4.8</w:t>
      </w:r>
      <w:r w:rsidRPr="003501B6">
        <w:rPr>
          <w:b/>
          <w:sz w:val="24"/>
          <w:szCs w:val="24"/>
        </w:rPr>
        <w:tab/>
        <w:t>Bivirkninger</w:t>
      </w:r>
    </w:p>
    <w:p w14:paraId="45B8CD3E" w14:textId="77777777" w:rsidR="00BE227F" w:rsidRPr="003501B6" w:rsidRDefault="00BE227F" w:rsidP="00FB67DB">
      <w:pPr>
        <w:ind w:left="851"/>
        <w:rPr>
          <w:sz w:val="24"/>
          <w:szCs w:val="24"/>
        </w:rPr>
      </w:pPr>
      <w:r w:rsidRPr="003501B6">
        <w:rPr>
          <w:sz w:val="24"/>
          <w:szCs w:val="24"/>
        </w:rPr>
        <w:t>Nedenstående oplysninger er baseret på data fra kliniske studier med mere end 8 300 patienter og på omfattende erfaring efter markedsføring.</w:t>
      </w:r>
    </w:p>
    <w:p w14:paraId="5DA6ADFF" w14:textId="77777777" w:rsidR="00BE227F" w:rsidRPr="003501B6" w:rsidRDefault="00BE227F" w:rsidP="00FB67DB">
      <w:pPr>
        <w:ind w:left="851"/>
        <w:rPr>
          <w:sz w:val="24"/>
          <w:szCs w:val="24"/>
        </w:rPr>
      </w:pPr>
    </w:p>
    <w:p w14:paraId="5E6DEDBF" w14:textId="77777777" w:rsidR="00BE227F" w:rsidRPr="003501B6" w:rsidRDefault="00BE227F" w:rsidP="00FB67DB">
      <w:pPr>
        <w:ind w:left="851"/>
        <w:rPr>
          <w:sz w:val="24"/>
          <w:szCs w:val="24"/>
        </w:rPr>
      </w:pPr>
      <w:r w:rsidRPr="003501B6">
        <w:rPr>
          <w:sz w:val="24"/>
          <w:szCs w:val="24"/>
        </w:rPr>
        <w:t>Frekvenserne er defineret i henhold til følgende konvention:</w:t>
      </w:r>
    </w:p>
    <w:p w14:paraId="3A46979F" w14:textId="77777777" w:rsidR="00BE227F" w:rsidRPr="003501B6" w:rsidRDefault="00BE227F" w:rsidP="00FB67DB">
      <w:pPr>
        <w:ind w:left="851"/>
        <w:rPr>
          <w:sz w:val="24"/>
          <w:szCs w:val="24"/>
        </w:rPr>
      </w:pPr>
      <w:r w:rsidRPr="003501B6">
        <w:rPr>
          <w:sz w:val="24"/>
          <w:szCs w:val="24"/>
        </w:rPr>
        <w:t>Meget almindelig (≥1/10)</w:t>
      </w:r>
    </w:p>
    <w:p w14:paraId="4133836E" w14:textId="77777777" w:rsidR="00BE227F" w:rsidRPr="003501B6" w:rsidRDefault="00BE227F" w:rsidP="00FB67DB">
      <w:pPr>
        <w:ind w:left="851"/>
        <w:rPr>
          <w:sz w:val="24"/>
          <w:szCs w:val="24"/>
        </w:rPr>
      </w:pPr>
      <w:r w:rsidRPr="003501B6">
        <w:rPr>
          <w:sz w:val="24"/>
          <w:szCs w:val="24"/>
        </w:rPr>
        <w:t>Almindelig (≥1/100 til &lt;1/10)</w:t>
      </w:r>
    </w:p>
    <w:p w14:paraId="7045F68A" w14:textId="77777777" w:rsidR="00BE227F" w:rsidRPr="003501B6" w:rsidRDefault="00BE227F" w:rsidP="00FB67DB">
      <w:pPr>
        <w:ind w:left="851"/>
        <w:rPr>
          <w:sz w:val="24"/>
          <w:szCs w:val="24"/>
        </w:rPr>
      </w:pPr>
      <w:r w:rsidRPr="003501B6">
        <w:rPr>
          <w:sz w:val="24"/>
          <w:szCs w:val="24"/>
        </w:rPr>
        <w:t>Ikke almindelig (≥1/1 000 til &lt;1/100)</w:t>
      </w:r>
    </w:p>
    <w:p w14:paraId="470FF555" w14:textId="77777777" w:rsidR="00BE227F" w:rsidRPr="003501B6" w:rsidRDefault="00BE227F" w:rsidP="00FB67DB">
      <w:pPr>
        <w:ind w:left="851"/>
        <w:rPr>
          <w:sz w:val="24"/>
          <w:szCs w:val="24"/>
        </w:rPr>
      </w:pPr>
      <w:r w:rsidRPr="003501B6">
        <w:rPr>
          <w:sz w:val="24"/>
          <w:szCs w:val="24"/>
        </w:rPr>
        <w:t>Sjælden (≥1/10 000 til &lt;1/1 000)</w:t>
      </w:r>
    </w:p>
    <w:p w14:paraId="4A43989E" w14:textId="77777777" w:rsidR="00BE227F" w:rsidRPr="003501B6" w:rsidRDefault="00BE227F" w:rsidP="00FB67DB">
      <w:pPr>
        <w:ind w:left="851"/>
        <w:rPr>
          <w:sz w:val="24"/>
          <w:szCs w:val="24"/>
        </w:rPr>
      </w:pPr>
      <w:r w:rsidRPr="003501B6">
        <w:rPr>
          <w:sz w:val="24"/>
          <w:szCs w:val="24"/>
        </w:rPr>
        <w:t>Meget sjælden (&lt;1/10 000)</w:t>
      </w:r>
    </w:p>
    <w:p w14:paraId="1E42BDF7" w14:textId="77777777" w:rsidR="00BE227F" w:rsidRPr="003501B6" w:rsidRDefault="00BE227F" w:rsidP="00FB67DB">
      <w:pPr>
        <w:ind w:left="851"/>
        <w:rPr>
          <w:sz w:val="24"/>
          <w:szCs w:val="24"/>
        </w:rPr>
      </w:pPr>
      <w:r w:rsidRPr="003501B6">
        <w:rPr>
          <w:sz w:val="24"/>
          <w:szCs w:val="24"/>
        </w:rPr>
        <w:t>Ikke kendt (kan ikke estimeres ud fra forhåndenværende data)</w:t>
      </w:r>
    </w:p>
    <w:p w14:paraId="017E7B09" w14:textId="77777777" w:rsidR="00BE227F" w:rsidRPr="003501B6" w:rsidRDefault="00BE227F" w:rsidP="00FB67DB">
      <w:pPr>
        <w:ind w:left="851"/>
        <w:rPr>
          <w:sz w:val="24"/>
          <w:szCs w:val="24"/>
        </w:rPr>
      </w:pPr>
    </w:p>
    <w:p w14:paraId="6C42B4A0" w14:textId="77777777" w:rsidR="00BE227F" w:rsidRPr="003501B6" w:rsidRDefault="00BE227F" w:rsidP="00FB67DB">
      <w:pPr>
        <w:ind w:left="851"/>
        <w:rPr>
          <w:sz w:val="24"/>
          <w:szCs w:val="24"/>
        </w:rPr>
      </w:pPr>
      <w:r w:rsidRPr="003501B6">
        <w:rPr>
          <w:sz w:val="24"/>
          <w:szCs w:val="24"/>
        </w:rPr>
        <w:t>Tabel over bivirkninger</w:t>
      </w:r>
    </w:p>
    <w:p w14:paraId="56184C58" w14:textId="77777777" w:rsidR="00BE227F" w:rsidRPr="003501B6" w:rsidRDefault="00BE227F" w:rsidP="00BE227F">
      <w:pPr>
        <w:tabs>
          <w:tab w:val="left" w:pos="1304"/>
        </w:tabs>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567"/>
        <w:gridCol w:w="1635"/>
        <w:gridCol w:w="2037"/>
        <w:gridCol w:w="2122"/>
      </w:tblGrid>
      <w:tr w:rsidR="00BE227F" w:rsidRPr="00596E4B" w14:paraId="33EA10B2" w14:textId="77777777" w:rsidTr="00BE227F">
        <w:trPr>
          <w:tblHeader/>
        </w:trPr>
        <w:tc>
          <w:tcPr>
            <w:tcW w:w="1918" w:type="dxa"/>
            <w:tcBorders>
              <w:top w:val="single" w:sz="4" w:space="0" w:color="auto"/>
              <w:left w:val="single" w:sz="4" w:space="0" w:color="auto"/>
              <w:bottom w:val="single" w:sz="4" w:space="0" w:color="auto"/>
              <w:right w:val="single" w:sz="4" w:space="0" w:color="auto"/>
            </w:tcBorders>
            <w:hideMark/>
          </w:tcPr>
          <w:p w14:paraId="7D35B8D6" w14:textId="77777777" w:rsidR="00BE227F" w:rsidRPr="00596E4B" w:rsidRDefault="00BE227F">
            <w:pPr>
              <w:tabs>
                <w:tab w:val="left" w:pos="1304"/>
              </w:tabs>
              <w:rPr>
                <w:b/>
                <w:sz w:val="22"/>
                <w:szCs w:val="22"/>
              </w:rPr>
            </w:pPr>
            <w:bookmarkStart w:id="1" w:name="_Hlk81904978"/>
            <w:r w:rsidRPr="00596E4B">
              <w:rPr>
                <w:b/>
                <w:sz w:val="22"/>
                <w:szCs w:val="22"/>
              </w:rPr>
              <w:t>Systemorgan-klasse</w:t>
            </w:r>
          </w:p>
        </w:tc>
        <w:tc>
          <w:tcPr>
            <w:tcW w:w="1378" w:type="dxa"/>
            <w:tcBorders>
              <w:top w:val="single" w:sz="4" w:space="0" w:color="auto"/>
              <w:left w:val="single" w:sz="4" w:space="0" w:color="auto"/>
              <w:bottom w:val="single" w:sz="4" w:space="0" w:color="auto"/>
              <w:right w:val="single" w:sz="4" w:space="0" w:color="auto"/>
            </w:tcBorders>
            <w:hideMark/>
          </w:tcPr>
          <w:p w14:paraId="1100E707" w14:textId="77777777" w:rsidR="00BE227F" w:rsidRPr="00596E4B" w:rsidRDefault="00BE227F">
            <w:pPr>
              <w:tabs>
                <w:tab w:val="left" w:pos="1304"/>
              </w:tabs>
              <w:rPr>
                <w:b/>
                <w:sz w:val="22"/>
                <w:szCs w:val="22"/>
              </w:rPr>
            </w:pPr>
            <w:r w:rsidRPr="00596E4B">
              <w:rPr>
                <w:b/>
                <w:sz w:val="22"/>
                <w:szCs w:val="22"/>
              </w:rPr>
              <w:t xml:space="preserve">Almindelig </w:t>
            </w:r>
          </w:p>
          <w:p w14:paraId="6AAB9FA1" w14:textId="77777777" w:rsidR="00BE227F" w:rsidRPr="00596E4B" w:rsidRDefault="00BE227F">
            <w:pPr>
              <w:tabs>
                <w:tab w:val="left" w:pos="1304"/>
              </w:tabs>
              <w:rPr>
                <w:b/>
                <w:sz w:val="22"/>
                <w:szCs w:val="22"/>
              </w:rPr>
            </w:pPr>
            <w:r w:rsidRPr="00596E4B">
              <w:rPr>
                <w:b/>
                <w:sz w:val="22"/>
                <w:szCs w:val="22"/>
              </w:rPr>
              <w:t>(≥1/100 til &lt;1/10)</w:t>
            </w:r>
          </w:p>
        </w:tc>
        <w:tc>
          <w:tcPr>
            <w:tcW w:w="1635" w:type="dxa"/>
            <w:tcBorders>
              <w:top w:val="single" w:sz="4" w:space="0" w:color="auto"/>
              <w:left w:val="single" w:sz="4" w:space="0" w:color="auto"/>
              <w:bottom w:val="single" w:sz="4" w:space="0" w:color="auto"/>
              <w:right w:val="single" w:sz="4" w:space="0" w:color="auto"/>
            </w:tcBorders>
            <w:hideMark/>
          </w:tcPr>
          <w:p w14:paraId="5517C425" w14:textId="77777777" w:rsidR="00BE227F" w:rsidRPr="00596E4B" w:rsidRDefault="00BE227F">
            <w:pPr>
              <w:tabs>
                <w:tab w:val="left" w:pos="1304"/>
              </w:tabs>
              <w:rPr>
                <w:b/>
                <w:sz w:val="22"/>
                <w:szCs w:val="22"/>
              </w:rPr>
            </w:pPr>
            <w:r w:rsidRPr="00596E4B">
              <w:rPr>
                <w:b/>
                <w:sz w:val="22"/>
                <w:szCs w:val="22"/>
              </w:rPr>
              <w:t>Ikke almindelig (≥1/1 000 til &lt;1/100)</w:t>
            </w:r>
          </w:p>
        </w:tc>
        <w:tc>
          <w:tcPr>
            <w:tcW w:w="2010" w:type="dxa"/>
            <w:tcBorders>
              <w:top w:val="single" w:sz="4" w:space="0" w:color="auto"/>
              <w:left w:val="single" w:sz="4" w:space="0" w:color="auto"/>
              <w:bottom w:val="single" w:sz="4" w:space="0" w:color="auto"/>
              <w:right w:val="single" w:sz="4" w:space="0" w:color="auto"/>
            </w:tcBorders>
            <w:hideMark/>
          </w:tcPr>
          <w:p w14:paraId="0BCCA56C" w14:textId="77777777" w:rsidR="00BE227F" w:rsidRPr="00596E4B" w:rsidRDefault="00BE227F">
            <w:pPr>
              <w:tabs>
                <w:tab w:val="left" w:pos="1304"/>
              </w:tabs>
              <w:rPr>
                <w:b/>
                <w:sz w:val="22"/>
                <w:szCs w:val="22"/>
              </w:rPr>
            </w:pPr>
            <w:r w:rsidRPr="00596E4B">
              <w:rPr>
                <w:b/>
                <w:sz w:val="22"/>
                <w:szCs w:val="22"/>
              </w:rPr>
              <w:t>Sjælden (≥1/10 000 til &lt;1/1 000)</w:t>
            </w:r>
          </w:p>
        </w:tc>
        <w:tc>
          <w:tcPr>
            <w:tcW w:w="2122" w:type="dxa"/>
            <w:tcBorders>
              <w:top w:val="single" w:sz="4" w:space="0" w:color="auto"/>
              <w:left w:val="single" w:sz="4" w:space="0" w:color="auto"/>
              <w:bottom w:val="single" w:sz="4" w:space="0" w:color="auto"/>
              <w:right w:val="single" w:sz="4" w:space="0" w:color="auto"/>
            </w:tcBorders>
            <w:hideMark/>
          </w:tcPr>
          <w:p w14:paraId="44F2DBE1" w14:textId="77777777" w:rsidR="00BE227F" w:rsidRPr="00596E4B" w:rsidRDefault="00BE227F">
            <w:pPr>
              <w:tabs>
                <w:tab w:val="left" w:pos="1304"/>
              </w:tabs>
              <w:rPr>
                <w:b/>
                <w:sz w:val="22"/>
                <w:szCs w:val="22"/>
              </w:rPr>
            </w:pPr>
            <w:r w:rsidRPr="00596E4B">
              <w:rPr>
                <w:b/>
                <w:sz w:val="22"/>
                <w:szCs w:val="22"/>
              </w:rPr>
              <w:t>Ikke kendt (kan ikke estimeres ud fra forhåndenværende data)</w:t>
            </w:r>
          </w:p>
        </w:tc>
      </w:tr>
      <w:tr w:rsidR="00BE227F" w:rsidRPr="00596E4B" w14:paraId="313D1197"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358F3ADB" w14:textId="77777777" w:rsidR="00BE227F" w:rsidRPr="00596E4B" w:rsidRDefault="00BE227F">
            <w:pPr>
              <w:tabs>
                <w:tab w:val="left" w:pos="1304"/>
              </w:tabs>
              <w:rPr>
                <w:sz w:val="22"/>
                <w:szCs w:val="22"/>
              </w:rPr>
            </w:pPr>
            <w:r w:rsidRPr="00596E4B">
              <w:rPr>
                <w:sz w:val="22"/>
                <w:szCs w:val="22"/>
              </w:rPr>
              <w:t>Infektioner og parasitære sygdomme</w:t>
            </w:r>
          </w:p>
        </w:tc>
        <w:tc>
          <w:tcPr>
            <w:tcW w:w="1378" w:type="dxa"/>
            <w:tcBorders>
              <w:top w:val="single" w:sz="4" w:space="0" w:color="auto"/>
              <w:left w:val="single" w:sz="4" w:space="0" w:color="auto"/>
              <w:bottom w:val="single" w:sz="4" w:space="0" w:color="auto"/>
              <w:right w:val="single" w:sz="4" w:space="0" w:color="auto"/>
            </w:tcBorders>
          </w:tcPr>
          <w:p w14:paraId="52D1B441"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51FD1381" w14:textId="478A852E" w:rsidR="00BE227F" w:rsidRPr="00596E4B" w:rsidRDefault="00BE227F">
            <w:pPr>
              <w:tabs>
                <w:tab w:val="left" w:pos="1304"/>
              </w:tabs>
              <w:rPr>
                <w:sz w:val="22"/>
                <w:szCs w:val="22"/>
                <w:lang w:val="sv-SE"/>
              </w:rPr>
            </w:pPr>
            <w:r w:rsidRPr="00596E4B">
              <w:rPr>
                <w:sz w:val="22"/>
                <w:szCs w:val="22"/>
                <w:lang w:val="sv-SE"/>
              </w:rPr>
              <w:t>Svampe</w:t>
            </w:r>
            <w:r w:rsidR="00254CC6">
              <w:rPr>
                <w:sz w:val="22"/>
                <w:szCs w:val="22"/>
                <w:lang w:val="sv-SE"/>
              </w:rPr>
              <w:softHyphen/>
              <w:t>-</w:t>
            </w:r>
            <w:r w:rsidRPr="00596E4B">
              <w:rPr>
                <w:sz w:val="22"/>
                <w:szCs w:val="22"/>
                <w:lang w:val="sv-SE"/>
              </w:rPr>
              <w:t xml:space="preserve">infektion, inklusive </w:t>
            </w:r>
            <w:r w:rsidRPr="00596E4B">
              <w:rPr>
                <w:sz w:val="22"/>
                <w:szCs w:val="22"/>
                <w:lang w:val="sv-SE"/>
              </w:rPr>
              <w:lastRenderedPageBreak/>
              <w:t>Candida-infektion</w:t>
            </w:r>
          </w:p>
          <w:p w14:paraId="74E2194C" w14:textId="0BD4161F" w:rsidR="00BE227F" w:rsidRPr="00596E4B" w:rsidRDefault="00BE227F">
            <w:pPr>
              <w:tabs>
                <w:tab w:val="left" w:pos="1304"/>
              </w:tabs>
              <w:rPr>
                <w:sz w:val="22"/>
                <w:szCs w:val="22"/>
                <w:lang w:val="sv-SE"/>
              </w:rPr>
            </w:pPr>
            <w:r w:rsidRPr="00596E4B">
              <w:rPr>
                <w:sz w:val="22"/>
                <w:szCs w:val="22"/>
                <w:lang w:val="sv-SE"/>
              </w:rPr>
              <w:t>Patogen</w:t>
            </w:r>
            <w:r w:rsidR="00254CC6">
              <w:rPr>
                <w:sz w:val="22"/>
                <w:szCs w:val="22"/>
                <w:lang w:val="sv-SE"/>
              </w:rPr>
              <w:softHyphen/>
              <w:t>-</w:t>
            </w:r>
            <w:r w:rsidRPr="00596E4B">
              <w:rPr>
                <w:sz w:val="22"/>
                <w:szCs w:val="22"/>
                <w:lang w:val="sv-SE"/>
              </w:rPr>
              <w:t>resistens</w:t>
            </w:r>
          </w:p>
        </w:tc>
        <w:tc>
          <w:tcPr>
            <w:tcW w:w="2010" w:type="dxa"/>
            <w:tcBorders>
              <w:top w:val="single" w:sz="4" w:space="0" w:color="auto"/>
              <w:left w:val="single" w:sz="4" w:space="0" w:color="auto"/>
              <w:bottom w:val="single" w:sz="4" w:space="0" w:color="auto"/>
              <w:right w:val="single" w:sz="4" w:space="0" w:color="auto"/>
            </w:tcBorders>
          </w:tcPr>
          <w:p w14:paraId="20F165DB" w14:textId="77777777" w:rsidR="00BE227F" w:rsidRPr="00596E4B" w:rsidRDefault="00BE227F">
            <w:pPr>
              <w:tabs>
                <w:tab w:val="left" w:pos="1304"/>
              </w:tabs>
              <w:rPr>
                <w:sz w:val="22"/>
                <w:szCs w:val="22"/>
                <w:lang w:val="sv-SE"/>
              </w:rPr>
            </w:pPr>
          </w:p>
        </w:tc>
        <w:tc>
          <w:tcPr>
            <w:tcW w:w="2122" w:type="dxa"/>
            <w:tcBorders>
              <w:top w:val="single" w:sz="4" w:space="0" w:color="auto"/>
              <w:left w:val="single" w:sz="4" w:space="0" w:color="auto"/>
              <w:bottom w:val="single" w:sz="4" w:space="0" w:color="auto"/>
              <w:right w:val="single" w:sz="4" w:space="0" w:color="auto"/>
            </w:tcBorders>
          </w:tcPr>
          <w:p w14:paraId="67DD561A" w14:textId="77777777" w:rsidR="00BE227F" w:rsidRPr="00596E4B" w:rsidRDefault="00BE227F">
            <w:pPr>
              <w:tabs>
                <w:tab w:val="left" w:pos="1304"/>
              </w:tabs>
              <w:rPr>
                <w:sz w:val="22"/>
                <w:szCs w:val="22"/>
                <w:lang w:val="sv-SE"/>
              </w:rPr>
            </w:pPr>
          </w:p>
        </w:tc>
      </w:tr>
      <w:tr w:rsidR="00BE227F" w:rsidRPr="00596E4B" w14:paraId="04C6BCF3"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0ED8A826" w14:textId="77777777" w:rsidR="00BE227F" w:rsidRPr="00596E4B" w:rsidRDefault="00BE227F">
            <w:pPr>
              <w:tabs>
                <w:tab w:val="left" w:pos="1304"/>
              </w:tabs>
              <w:rPr>
                <w:sz w:val="22"/>
                <w:szCs w:val="22"/>
              </w:rPr>
            </w:pPr>
            <w:r w:rsidRPr="00596E4B">
              <w:rPr>
                <w:sz w:val="22"/>
                <w:szCs w:val="22"/>
              </w:rPr>
              <w:t>Blod og lymfesystem</w:t>
            </w:r>
          </w:p>
        </w:tc>
        <w:tc>
          <w:tcPr>
            <w:tcW w:w="1378" w:type="dxa"/>
            <w:tcBorders>
              <w:top w:val="single" w:sz="4" w:space="0" w:color="auto"/>
              <w:left w:val="single" w:sz="4" w:space="0" w:color="auto"/>
              <w:bottom w:val="single" w:sz="4" w:space="0" w:color="auto"/>
              <w:right w:val="single" w:sz="4" w:space="0" w:color="auto"/>
            </w:tcBorders>
          </w:tcPr>
          <w:p w14:paraId="28B76890"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1F331CFA" w14:textId="77777777" w:rsidR="00BE227F" w:rsidRPr="00596E4B" w:rsidRDefault="00BE227F">
            <w:pPr>
              <w:tabs>
                <w:tab w:val="left" w:pos="1304"/>
              </w:tabs>
              <w:rPr>
                <w:sz w:val="22"/>
                <w:szCs w:val="22"/>
              </w:rPr>
            </w:pPr>
            <w:r w:rsidRPr="00596E4B">
              <w:rPr>
                <w:sz w:val="22"/>
                <w:szCs w:val="22"/>
              </w:rPr>
              <w:t>Leukopeni</w:t>
            </w:r>
          </w:p>
          <w:p w14:paraId="06EB734C" w14:textId="77777777" w:rsidR="00BE227F" w:rsidRPr="00596E4B" w:rsidRDefault="00BE227F">
            <w:pPr>
              <w:tabs>
                <w:tab w:val="left" w:pos="1304"/>
              </w:tabs>
              <w:rPr>
                <w:sz w:val="22"/>
                <w:szCs w:val="22"/>
              </w:rPr>
            </w:pPr>
            <w:r w:rsidRPr="00596E4B">
              <w:rPr>
                <w:sz w:val="22"/>
                <w:szCs w:val="22"/>
              </w:rPr>
              <w:t>Eosinofili</w:t>
            </w:r>
          </w:p>
        </w:tc>
        <w:tc>
          <w:tcPr>
            <w:tcW w:w="2010" w:type="dxa"/>
            <w:tcBorders>
              <w:top w:val="single" w:sz="4" w:space="0" w:color="auto"/>
              <w:left w:val="single" w:sz="4" w:space="0" w:color="auto"/>
              <w:bottom w:val="single" w:sz="4" w:space="0" w:color="auto"/>
              <w:right w:val="single" w:sz="4" w:space="0" w:color="auto"/>
            </w:tcBorders>
            <w:hideMark/>
          </w:tcPr>
          <w:p w14:paraId="11B2E13C" w14:textId="77777777" w:rsidR="00BE227F" w:rsidRPr="00596E4B" w:rsidRDefault="00BE227F">
            <w:pPr>
              <w:tabs>
                <w:tab w:val="left" w:pos="1304"/>
              </w:tabs>
              <w:rPr>
                <w:sz w:val="22"/>
                <w:szCs w:val="22"/>
              </w:rPr>
            </w:pPr>
            <w:r w:rsidRPr="00596E4B">
              <w:rPr>
                <w:sz w:val="22"/>
                <w:szCs w:val="22"/>
              </w:rPr>
              <w:t>Trombocytopeni</w:t>
            </w:r>
          </w:p>
          <w:p w14:paraId="16777E3C" w14:textId="77777777" w:rsidR="00BE227F" w:rsidRPr="00596E4B" w:rsidRDefault="00BE227F">
            <w:pPr>
              <w:tabs>
                <w:tab w:val="left" w:pos="1304"/>
              </w:tabs>
              <w:rPr>
                <w:sz w:val="22"/>
                <w:szCs w:val="22"/>
              </w:rPr>
            </w:pPr>
            <w:r w:rsidRPr="00596E4B">
              <w:rPr>
                <w:sz w:val="22"/>
                <w:szCs w:val="22"/>
              </w:rPr>
              <w:t>Neutropeni</w:t>
            </w:r>
          </w:p>
        </w:tc>
        <w:tc>
          <w:tcPr>
            <w:tcW w:w="2122" w:type="dxa"/>
            <w:tcBorders>
              <w:top w:val="single" w:sz="4" w:space="0" w:color="auto"/>
              <w:left w:val="single" w:sz="4" w:space="0" w:color="auto"/>
              <w:bottom w:val="single" w:sz="4" w:space="0" w:color="auto"/>
              <w:right w:val="single" w:sz="4" w:space="0" w:color="auto"/>
            </w:tcBorders>
            <w:hideMark/>
          </w:tcPr>
          <w:p w14:paraId="6AD81392" w14:textId="77777777" w:rsidR="00A501FE" w:rsidRDefault="00A501FE" w:rsidP="00A501FE">
            <w:r>
              <w:rPr>
                <w:color w:val="000000"/>
              </w:rPr>
              <w:t>Knoglemarvssvigt inklusive aplastisk anæmi,</w:t>
            </w:r>
          </w:p>
          <w:p w14:paraId="7E73CB4F" w14:textId="77777777" w:rsidR="00A501FE" w:rsidRDefault="00A501FE" w:rsidP="00A501FE">
            <w:pPr>
              <w:tabs>
                <w:tab w:val="left" w:pos="1304"/>
              </w:tabs>
              <w:rPr>
                <w:sz w:val="22"/>
                <w:szCs w:val="22"/>
              </w:rPr>
            </w:pPr>
            <w:r>
              <w:rPr>
                <w:sz w:val="22"/>
                <w:szCs w:val="22"/>
              </w:rPr>
              <w:t>pancytopeni,</w:t>
            </w:r>
          </w:p>
          <w:p w14:paraId="3B4B9EE5" w14:textId="77777777" w:rsidR="00A501FE" w:rsidRDefault="00A501FE" w:rsidP="00A501FE">
            <w:pPr>
              <w:tabs>
                <w:tab w:val="left" w:pos="1304"/>
              </w:tabs>
              <w:rPr>
                <w:sz w:val="22"/>
                <w:szCs w:val="22"/>
              </w:rPr>
            </w:pPr>
            <w:r>
              <w:rPr>
                <w:sz w:val="22"/>
                <w:szCs w:val="22"/>
              </w:rPr>
              <w:t>agranulocytose,</w:t>
            </w:r>
          </w:p>
          <w:p w14:paraId="7ED9CE27" w14:textId="5F1B8125" w:rsidR="00BE227F" w:rsidRPr="00596E4B" w:rsidRDefault="00A501FE" w:rsidP="00A501FE">
            <w:pPr>
              <w:tabs>
                <w:tab w:val="left" w:pos="1304"/>
              </w:tabs>
              <w:rPr>
                <w:sz w:val="22"/>
                <w:szCs w:val="22"/>
              </w:rPr>
            </w:pPr>
            <w:r>
              <w:rPr>
                <w:sz w:val="22"/>
                <w:szCs w:val="22"/>
              </w:rPr>
              <w:t>hæmolytisk anæmi</w:t>
            </w:r>
          </w:p>
        </w:tc>
      </w:tr>
      <w:tr w:rsidR="00BE227F" w:rsidRPr="00596E4B" w14:paraId="12DDF356"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574B5B11" w14:textId="77777777" w:rsidR="00BE227F" w:rsidRPr="00596E4B" w:rsidRDefault="00BE227F">
            <w:pPr>
              <w:tabs>
                <w:tab w:val="left" w:pos="1304"/>
              </w:tabs>
              <w:rPr>
                <w:sz w:val="22"/>
                <w:szCs w:val="22"/>
              </w:rPr>
            </w:pPr>
            <w:r w:rsidRPr="00596E4B">
              <w:rPr>
                <w:sz w:val="22"/>
                <w:szCs w:val="22"/>
              </w:rPr>
              <w:t>Immunsystemet</w:t>
            </w:r>
          </w:p>
        </w:tc>
        <w:tc>
          <w:tcPr>
            <w:tcW w:w="1378" w:type="dxa"/>
            <w:tcBorders>
              <w:top w:val="single" w:sz="4" w:space="0" w:color="auto"/>
              <w:left w:val="single" w:sz="4" w:space="0" w:color="auto"/>
              <w:bottom w:val="single" w:sz="4" w:space="0" w:color="auto"/>
              <w:right w:val="single" w:sz="4" w:space="0" w:color="auto"/>
            </w:tcBorders>
          </w:tcPr>
          <w:p w14:paraId="00F17C23"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4B33FFD7" w14:textId="77777777" w:rsidR="00BE227F" w:rsidRPr="00596E4B" w:rsidRDefault="00BE227F">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24EAACA1" w14:textId="77777777" w:rsidR="00BE227F" w:rsidRPr="00596E4B" w:rsidRDefault="00BE227F">
            <w:pPr>
              <w:tabs>
                <w:tab w:val="left" w:pos="1304"/>
              </w:tabs>
              <w:rPr>
                <w:sz w:val="22"/>
                <w:szCs w:val="22"/>
              </w:rPr>
            </w:pPr>
            <w:r w:rsidRPr="00596E4B">
              <w:rPr>
                <w:sz w:val="22"/>
                <w:szCs w:val="22"/>
              </w:rPr>
              <w:t>Angioødem</w:t>
            </w:r>
          </w:p>
          <w:p w14:paraId="59ED7367" w14:textId="77777777" w:rsidR="00BE227F" w:rsidRPr="00596E4B" w:rsidRDefault="00BE227F">
            <w:pPr>
              <w:tabs>
                <w:tab w:val="left" w:pos="1304"/>
              </w:tabs>
              <w:rPr>
                <w:sz w:val="22"/>
                <w:szCs w:val="22"/>
              </w:rPr>
            </w:pPr>
            <w:r w:rsidRPr="00596E4B">
              <w:rPr>
                <w:sz w:val="22"/>
                <w:szCs w:val="22"/>
              </w:rPr>
              <w:t>Overfølsomhed (se pkt. 4.4)</w:t>
            </w:r>
          </w:p>
        </w:tc>
        <w:tc>
          <w:tcPr>
            <w:tcW w:w="2122" w:type="dxa"/>
            <w:tcBorders>
              <w:top w:val="single" w:sz="4" w:space="0" w:color="auto"/>
              <w:left w:val="single" w:sz="4" w:space="0" w:color="auto"/>
              <w:bottom w:val="single" w:sz="4" w:space="0" w:color="auto"/>
              <w:right w:val="single" w:sz="4" w:space="0" w:color="auto"/>
            </w:tcBorders>
            <w:hideMark/>
          </w:tcPr>
          <w:p w14:paraId="05712B3C" w14:textId="77777777" w:rsidR="00BE227F" w:rsidRPr="00596E4B" w:rsidRDefault="00BE227F">
            <w:pPr>
              <w:pStyle w:val="Default"/>
              <w:rPr>
                <w:sz w:val="22"/>
                <w:szCs w:val="22"/>
                <w:lang w:val="sv-SE"/>
              </w:rPr>
            </w:pPr>
            <w:r w:rsidRPr="00596E4B">
              <w:rPr>
                <w:sz w:val="22"/>
                <w:szCs w:val="22"/>
                <w:lang w:val="sv-SE"/>
              </w:rPr>
              <w:t>Anafylaktisk shock</w:t>
            </w:r>
            <w:r w:rsidRPr="00596E4B">
              <w:rPr>
                <w:sz w:val="22"/>
                <w:szCs w:val="22"/>
                <w:vertAlign w:val="superscript"/>
                <w:lang w:val="sv-SE"/>
              </w:rPr>
              <w:t xml:space="preserve">a </w:t>
            </w:r>
          </w:p>
          <w:p w14:paraId="61945717" w14:textId="67D1CBAD" w:rsidR="00BE227F" w:rsidRPr="00596E4B" w:rsidRDefault="00BE227F">
            <w:pPr>
              <w:tabs>
                <w:tab w:val="left" w:pos="1304"/>
              </w:tabs>
              <w:rPr>
                <w:sz w:val="22"/>
                <w:szCs w:val="22"/>
                <w:lang w:val="sv-SE"/>
              </w:rPr>
            </w:pPr>
            <w:r w:rsidRPr="00596E4B">
              <w:rPr>
                <w:sz w:val="22"/>
                <w:szCs w:val="22"/>
                <w:lang w:val="sv-SE"/>
              </w:rPr>
              <w:t>Anafylaktoidt shock</w:t>
            </w:r>
            <w:r w:rsidRPr="00596E4B">
              <w:rPr>
                <w:sz w:val="22"/>
                <w:szCs w:val="22"/>
                <w:vertAlign w:val="superscript"/>
                <w:lang w:val="sv-SE"/>
              </w:rPr>
              <w:t xml:space="preserve">a </w:t>
            </w:r>
            <w:r w:rsidRPr="00596E4B">
              <w:rPr>
                <w:sz w:val="22"/>
                <w:szCs w:val="22"/>
                <w:lang w:val="sv-SE"/>
              </w:rPr>
              <w:t xml:space="preserve">(se pkt. 4.4) </w:t>
            </w:r>
          </w:p>
        </w:tc>
      </w:tr>
      <w:tr w:rsidR="00BE227F" w:rsidRPr="00A501FE" w14:paraId="2772D527"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67CCE5E2" w14:textId="77777777" w:rsidR="00BE227F" w:rsidRPr="00596E4B" w:rsidRDefault="00BE227F">
            <w:pPr>
              <w:tabs>
                <w:tab w:val="left" w:pos="1304"/>
              </w:tabs>
              <w:rPr>
                <w:sz w:val="22"/>
                <w:szCs w:val="22"/>
              </w:rPr>
            </w:pPr>
            <w:r w:rsidRPr="00596E4B">
              <w:rPr>
                <w:sz w:val="22"/>
                <w:szCs w:val="22"/>
              </w:rPr>
              <w:t>Det endokrine system</w:t>
            </w:r>
          </w:p>
        </w:tc>
        <w:tc>
          <w:tcPr>
            <w:tcW w:w="1378" w:type="dxa"/>
            <w:tcBorders>
              <w:top w:val="single" w:sz="4" w:space="0" w:color="auto"/>
              <w:left w:val="single" w:sz="4" w:space="0" w:color="auto"/>
              <w:bottom w:val="single" w:sz="4" w:space="0" w:color="auto"/>
              <w:right w:val="single" w:sz="4" w:space="0" w:color="auto"/>
            </w:tcBorders>
          </w:tcPr>
          <w:p w14:paraId="3A9BFF6B"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0DA2906E" w14:textId="77777777" w:rsidR="00BE227F" w:rsidRPr="00596E4B" w:rsidRDefault="00BE227F">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308B764C" w14:textId="77777777" w:rsidR="00BE227F" w:rsidRPr="00596E4B" w:rsidRDefault="00BE227F">
            <w:pPr>
              <w:tabs>
                <w:tab w:val="left" w:pos="1304"/>
              </w:tabs>
              <w:rPr>
                <w:sz w:val="22"/>
                <w:szCs w:val="22"/>
                <w:lang w:val="en-US"/>
              </w:rPr>
            </w:pPr>
            <w:r w:rsidRPr="00596E4B">
              <w:rPr>
                <w:sz w:val="22"/>
                <w:szCs w:val="22"/>
                <w:lang w:val="en-US"/>
              </w:rPr>
              <w:t>SIADH (syndrome of inappropriate secretion of antidiuretic hormone)</w:t>
            </w:r>
          </w:p>
        </w:tc>
        <w:tc>
          <w:tcPr>
            <w:tcW w:w="2122" w:type="dxa"/>
            <w:tcBorders>
              <w:top w:val="single" w:sz="4" w:space="0" w:color="auto"/>
              <w:left w:val="single" w:sz="4" w:space="0" w:color="auto"/>
              <w:bottom w:val="single" w:sz="4" w:space="0" w:color="auto"/>
              <w:right w:val="single" w:sz="4" w:space="0" w:color="auto"/>
            </w:tcBorders>
          </w:tcPr>
          <w:p w14:paraId="71460D22" w14:textId="77777777" w:rsidR="00BE227F" w:rsidRPr="00596E4B" w:rsidRDefault="00BE227F">
            <w:pPr>
              <w:pStyle w:val="Default"/>
              <w:rPr>
                <w:sz w:val="22"/>
                <w:szCs w:val="22"/>
                <w:lang w:val="en-US"/>
              </w:rPr>
            </w:pPr>
          </w:p>
        </w:tc>
      </w:tr>
      <w:tr w:rsidR="00BE227F" w:rsidRPr="00596E4B" w14:paraId="254D0B42"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7B68001F" w14:textId="77777777" w:rsidR="00BE227F" w:rsidRPr="00596E4B" w:rsidRDefault="00BE227F">
            <w:pPr>
              <w:tabs>
                <w:tab w:val="left" w:pos="1304"/>
              </w:tabs>
              <w:rPr>
                <w:sz w:val="22"/>
                <w:szCs w:val="22"/>
              </w:rPr>
            </w:pPr>
            <w:r w:rsidRPr="00596E4B">
              <w:rPr>
                <w:sz w:val="22"/>
                <w:szCs w:val="22"/>
              </w:rPr>
              <w:t>Metabolisme og ernæring</w:t>
            </w:r>
          </w:p>
        </w:tc>
        <w:tc>
          <w:tcPr>
            <w:tcW w:w="1378" w:type="dxa"/>
            <w:tcBorders>
              <w:top w:val="single" w:sz="4" w:space="0" w:color="auto"/>
              <w:left w:val="single" w:sz="4" w:space="0" w:color="auto"/>
              <w:bottom w:val="single" w:sz="4" w:space="0" w:color="auto"/>
              <w:right w:val="single" w:sz="4" w:space="0" w:color="auto"/>
            </w:tcBorders>
          </w:tcPr>
          <w:p w14:paraId="5FD9A5FD"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3BC1B726" w14:textId="77777777" w:rsidR="00BE227F" w:rsidRPr="00596E4B" w:rsidRDefault="00BE227F">
            <w:pPr>
              <w:tabs>
                <w:tab w:val="left" w:pos="1304"/>
              </w:tabs>
              <w:rPr>
                <w:sz w:val="22"/>
                <w:szCs w:val="22"/>
              </w:rPr>
            </w:pPr>
            <w:r w:rsidRPr="00596E4B">
              <w:rPr>
                <w:sz w:val="22"/>
                <w:szCs w:val="22"/>
              </w:rPr>
              <w:t>Anoreksi</w:t>
            </w:r>
          </w:p>
        </w:tc>
        <w:tc>
          <w:tcPr>
            <w:tcW w:w="2010" w:type="dxa"/>
            <w:tcBorders>
              <w:top w:val="single" w:sz="4" w:space="0" w:color="auto"/>
              <w:left w:val="single" w:sz="4" w:space="0" w:color="auto"/>
              <w:bottom w:val="single" w:sz="4" w:space="0" w:color="auto"/>
              <w:right w:val="single" w:sz="4" w:space="0" w:color="auto"/>
            </w:tcBorders>
          </w:tcPr>
          <w:p w14:paraId="276A7420" w14:textId="7F2CF718" w:rsidR="00BE227F" w:rsidRPr="00596E4B" w:rsidRDefault="00BE227F" w:rsidP="00596E4B">
            <w:pPr>
              <w:tabs>
                <w:tab w:val="left" w:pos="1304"/>
              </w:tabs>
              <w:rPr>
                <w:sz w:val="22"/>
                <w:szCs w:val="22"/>
              </w:rPr>
            </w:pPr>
            <w:r w:rsidRPr="00596E4B">
              <w:rPr>
                <w:sz w:val="22"/>
                <w:szCs w:val="22"/>
              </w:rPr>
              <w:t>Hypoglykæmi, især hos diabetes</w:t>
            </w:r>
            <w:r w:rsidR="00254CC6">
              <w:rPr>
                <w:sz w:val="22"/>
                <w:szCs w:val="22"/>
              </w:rPr>
              <w:softHyphen/>
            </w:r>
            <w:r w:rsidRPr="00596E4B">
              <w:rPr>
                <w:sz w:val="22"/>
                <w:szCs w:val="22"/>
              </w:rPr>
              <w:t>patienter (se pkt. 4.4) Hypoglykæmisk koma (se pkt. 4.4)</w:t>
            </w:r>
          </w:p>
        </w:tc>
        <w:tc>
          <w:tcPr>
            <w:tcW w:w="2122" w:type="dxa"/>
            <w:tcBorders>
              <w:top w:val="single" w:sz="4" w:space="0" w:color="auto"/>
              <w:left w:val="single" w:sz="4" w:space="0" w:color="auto"/>
              <w:bottom w:val="single" w:sz="4" w:space="0" w:color="auto"/>
              <w:right w:val="single" w:sz="4" w:space="0" w:color="auto"/>
            </w:tcBorders>
            <w:hideMark/>
          </w:tcPr>
          <w:p w14:paraId="39F5C9D7" w14:textId="77777777" w:rsidR="00BE227F" w:rsidRPr="00596E4B" w:rsidRDefault="00BE227F">
            <w:pPr>
              <w:tabs>
                <w:tab w:val="left" w:pos="1304"/>
              </w:tabs>
              <w:rPr>
                <w:sz w:val="22"/>
                <w:szCs w:val="22"/>
              </w:rPr>
            </w:pPr>
            <w:r w:rsidRPr="00596E4B">
              <w:rPr>
                <w:sz w:val="22"/>
                <w:szCs w:val="22"/>
              </w:rPr>
              <w:t>Hyperglykæmi</w:t>
            </w:r>
          </w:p>
        </w:tc>
      </w:tr>
      <w:tr w:rsidR="00BE227F" w:rsidRPr="00596E4B" w14:paraId="7679514F"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17B5A7C3" w14:textId="77777777" w:rsidR="00BE227F" w:rsidRPr="00596E4B" w:rsidRDefault="00BE227F" w:rsidP="00596E4B">
            <w:pPr>
              <w:rPr>
                <w:sz w:val="22"/>
                <w:szCs w:val="22"/>
              </w:rPr>
            </w:pPr>
            <w:r w:rsidRPr="00596E4B">
              <w:rPr>
                <w:sz w:val="22"/>
                <w:szCs w:val="22"/>
              </w:rPr>
              <w:t>Psykiske forstyrrelser*</w:t>
            </w:r>
          </w:p>
        </w:tc>
        <w:tc>
          <w:tcPr>
            <w:tcW w:w="1378" w:type="dxa"/>
            <w:tcBorders>
              <w:top w:val="single" w:sz="4" w:space="0" w:color="auto"/>
              <w:left w:val="single" w:sz="4" w:space="0" w:color="auto"/>
              <w:bottom w:val="single" w:sz="4" w:space="0" w:color="auto"/>
              <w:right w:val="single" w:sz="4" w:space="0" w:color="auto"/>
            </w:tcBorders>
            <w:hideMark/>
          </w:tcPr>
          <w:p w14:paraId="2EF1B3F1" w14:textId="77777777" w:rsidR="00BE227F" w:rsidRPr="00596E4B" w:rsidRDefault="00BE227F" w:rsidP="00596E4B">
            <w:pPr>
              <w:rPr>
                <w:sz w:val="22"/>
                <w:szCs w:val="22"/>
              </w:rPr>
            </w:pPr>
            <w:r w:rsidRPr="00596E4B">
              <w:rPr>
                <w:sz w:val="22"/>
                <w:szCs w:val="22"/>
              </w:rPr>
              <w:t>Insomni</w:t>
            </w:r>
          </w:p>
        </w:tc>
        <w:tc>
          <w:tcPr>
            <w:tcW w:w="1635" w:type="dxa"/>
            <w:tcBorders>
              <w:top w:val="single" w:sz="4" w:space="0" w:color="auto"/>
              <w:left w:val="single" w:sz="4" w:space="0" w:color="auto"/>
              <w:bottom w:val="single" w:sz="4" w:space="0" w:color="auto"/>
              <w:right w:val="single" w:sz="4" w:space="0" w:color="auto"/>
            </w:tcBorders>
            <w:hideMark/>
          </w:tcPr>
          <w:p w14:paraId="0990DEB3" w14:textId="77777777" w:rsidR="00BE227F" w:rsidRPr="00596E4B" w:rsidRDefault="00BE227F" w:rsidP="00596E4B">
            <w:pPr>
              <w:rPr>
                <w:sz w:val="22"/>
                <w:szCs w:val="22"/>
              </w:rPr>
            </w:pPr>
            <w:r w:rsidRPr="00596E4B">
              <w:rPr>
                <w:sz w:val="22"/>
                <w:szCs w:val="22"/>
              </w:rPr>
              <w:t>Angst</w:t>
            </w:r>
          </w:p>
          <w:p w14:paraId="15BC2AB5" w14:textId="77777777" w:rsidR="00BE227F" w:rsidRPr="00596E4B" w:rsidRDefault="00BE227F" w:rsidP="00596E4B">
            <w:pPr>
              <w:rPr>
                <w:sz w:val="22"/>
                <w:szCs w:val="22"/>
              </w:rPr>
            </w:pPr>
            <w:r w:rsidRPr="00596E4B">
              <w:rPr>
                <w:sz w:val="22"/>
                <w:szCs w:val="22"/>
              </w:rPr>
              <w:t>Forvirring</w:t>
            </w:r>
          </w:p>
          <w:p w14:paraId="6EBF25A3" w14:textId="77777777" w:rsidR="00BE227F" w:rsidRPr="00596E4B" w:rsidRDefault="00BE227F" w:rsidP="00596E4B">
            <w:pPr>
              <w:rPr>
                <w:sz w:val="22"/>
                <w:szCs w:val="22"/>
              </w:rPr>
            </w:pPr>
            <w:r w:rsidRPr="00596E4B">
              <w:rPr>
                <w:sz w:val="22"/>
                <w:szCs w:val="22"/>
              </w:rPr>
              <w:t>Nervøsitet</w:t>
            </w:r>
          </w:p>
        </w:tc>
        <w:tc>
          <w:tcPr>
            <w:tcW w:w="2010" w:type="dxa"/>
            <w:tcBorders>
              <w:top w:val="single" w:sz="4" w:space="0" w:color="auto"/>
              <w:left w:val="single" w:sz="4" w:space="0" w:color="auto"/>
              <w:bottom w:val="single" w:sz="4" w:space="0" w:color="auto"/>
              <w:right w:val="single" w:sz="4" w:space="0" w:color="auto"/>
            </w:tcBorders>
            <w:hideMark/>
          </w:tcPr>
          <w:p w14:paraId="3613CDC9" w14:textId="77777777" w:rsidR="00BE227F" w:rsidRPr="00596E4B" w:rsidRDefault="00BE227F" w:rsidP="00596E4B">
            <w:pPr>
              <w:rPr>
                <w:sz w:val="22"/>
                <w:szCs w:val="22"/>
              </w:rPr>
            </w:pPr>
            <w:r w:rsidRPr="00596E4B">
              <w:rPr>
                <w:sz w:val="22"/>
                <w:szCs w:val="22"/>
              </w:rPr>
              <w:t>Psykotiske reaktioner (med eksempelvis hallucinationer, paranoia)</w:t>
            </w:r>
          </w:p>
          <w:p w14:paraId="30CA5D54" w14:textId="77777777" w:rsidR="00BE227F" w:rsidRPr="00596E4B" w:rsidRDefault="00BE227F" w:rsidP="00596E4B">
            <w:pPr>
              <w:rPr>
                <w:sz w:val="22"/>
                <w:szCs w:val="22"/>
              </w:rPr>
            </w:pPr>
            <w:r w:rsidRPr="00596E4B">
              <w:rPr>
                <w:sz w:val="22"/>
                <w:szCs w:val="22"/>
              </w:rPr>
              <w:t>Depression</w:t>
            </w:r>
          </w:p>
          <w:p w14:paraId="5E6B3A07" w14:textId="77777777" w:rsidR="00BE227F" w:rsidRPr="00596E4B" w:rsidRDefault="00BE227F" w:rsidP="00596E4B">
            <w:pPr>
              <w:rPr>
                <w:sz w:val="22"/>
                <w:szCs w:val="22"/>
              </w:rPr>
            </w:pPr>
            <w:r w:rsidRPr="00596E4B">
              <w:rPr>
                <w:sz w:val="22"/>
                <w:szCs w:val="22"/>
              </w:rPr>
              <w:t>Agitation</w:t>
            </w:r>
          </w:p>
          <w:p w14:paraId="529E0891" w14:textId="77777777" w:rsidR="00BE227F" w:rsidRPr="00596E4B" w:rsidRDefault="00BE227F" w:rsidP="00596E4B">
            <w:pPr>
              <w:rPr>
                <w:sz w:val="22"/>
                <w:szCs w:val="22"/>
              </w:rPr>
            </w:pPr>
            <w:r w:rsidRPr="00596E4B">
              <w:rPr>
                <w:sz w:val="22"/>
                <w:szCs w:val="22"/>
              </w:rPr>
              <w:t>Unormale drømme</w:t>
            </w:r>
          </w:p>
          <w:p w14:paraId="13BB7D58" w14:textId="77777777" w:rsidR="00BE227F" w:rsidRPr="00596E4B" w:rsidRDefault="00BE227F" w:rsidP="00596E4B">
            <w:pPr>
              <w:rPr>
                <w:sz w:val="22"/>
                <w:szCs w:val="22"/>
              </w:rPr>
            </w:pPr>
            <w:r w:rsidRPr="00596E4B">
              <w:rPr>
                <w:sz w:val="22"/>
                <w:szCs w:val="22"/>
              </w:rPr>
              <w:t>Mareridt Delirium</w:t>
            </w:r>
          </w:p>
        </w:tc>
        <w:tc>
          <w:tcPr>
            <w:tcW w:w="2122" w:type="dxa"/>
            <w:tcBorders>
              <w:top w:val="single" w:sz="4" w:space="0" w:color="auto"/>
              <w:left w:val="single" w:sz="4" w:space="0" w:color="auto"/>
              <w:bottom w:val="single" w:sz="4" w:space="0" w:color="auto"/>
              <w:right w:val="single" w:sz="4" w:space="0" w:color="auto"/>
            </w:tcBorders>
            <w:hideMark/>
          </w:tcPr>
          <w:p w14:paraId="32AD299D" w14:textId="3023AC9D" w:rsidR="00BE227F" w:rsidRDefault="00BE227F" w:rsidP="00596E4B">
            <w:pPr>
              <w:rPr>
                <w:sz w:val="22"/>
                <w:szCs w:val="22"/>
              </w:rPr>
            </w:pPr>
            <w:r w:rsidRPr="00596E4B">
              <w:rPr>
                <w:sz w:val="22"/>
                <w:szCs w:val="22"/>
              </w:rPr>
              <w:t>Psykotiske forstyrrelser med selvdestruktiv adfærd, inklusive selvmordstanker eller selvmordsforsøg (se pkt. 4.4)</w:t>
            </w:r>
          </w:p>
          <w:p w14:paraId="1AC44434" w14:textId="207A1748" w:rsidR="00A501FE" w:rsidRPr="00596E4B" w:rsidRDefault="00A501FE" w:rsidP="00596E4B">
            <w:pPr>
              <w:rPr>
                <w:sz w:val="22"/>
                <w:szCs w:val="22"/>
              </w:rPr>
            </w:pPr>
            <w:r>
              <w:rPr>
                <w:sz w:val="22"/>
                <w:szCs w:val="22"/>
              </w:rPr>
              <w:t>Mani</w:t>
            </w:r>
          </w:p>
        </w:tc>
      </w:tr>
      <w:tr w:rsidR="00BE227F" w:rsidRPr="00596E4B" w14:paraId="2B8A8DE9"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27313C69" w14:textId="77777777" w:rsidR="00BE227F" w:rsidRPr="00596E4B" w:rsidRDefault="00BE227F">
            <w:pPr>
              <w:tabs>
                <w:tab w:val="left" w:pos="1304"/>
              </w:tabs>
              <w:rPr>
                <w:sz w:val="22"/>
                <w:szCs w:val="22"/>
              </w:rPr>
            </w:pPr>
            <w:r w:rsidRPr="00596E4B">
              <w:rPr>
                <w:sz w:val="22"/>
                <w:szCs w:val="22"/>
              </w:rPr>
              <w:t>Nervesystemet*</w:t>
            </w:r>
          </w:p>
        </w:tc>
        <w:tc>
          <w:tcPr>
            <w:tcW w:w="1378" w:type="dxa"/>
            <w:tcBorders>
              <w:top w:val="single" w:sz="4" w:space="0" w:color="auto"/>
              <w:left w:val="single" w:sz="4" w:space="0" w:color="auto"/>
              <w:bottom w:val="single" w:sz="4" w:space="0" w:color="auto"/>
              <w:right w:val="single" w:sz="4" w:space="0" w:color="auto"/>
            </w:tcBorders>
            <w:hideMark/>
          </w:tcPr>
          <w:p w14:paraId="26E75399" w14:textId="77777777" w:rsidR="00BE227F" w:rsidRPr="00596E4B" w:rsidRDefault="00BE227F">
            <w:pPr>
              <w:tabs>
                <w:tab w:val="left" w:pos="1304"/>
              </w:tabs>
              <w:rPr>
                <w:sz w:val="22"/>
                <w:szCs w:val="22"/>
              </w:rPr>
            </w:pPr>
            <w:r w:rsidRPr="00596E4B">
              <w:rPr>
                <w:sz w:val="22"/>
                <w:szCs w:val="22"/>
              </w:rPr>
              <w:t>Hovedpine</w:t>
            </w:r>
          </w:p>
          <w:p w14:paraId="137EEB0D" w14:textId="77777777" w:rsidR="00BE227F" w:rsidRPr="00596E4B" w:rsidRDefault="00BE227F">
            <w:pPr>
              <w:tabs>
                <w:tab w:val="left" w:pos="1304"/>
              </w:tabs>
              <w:rPr>
                <w:sz w:val="22"/>
                <w:szCs w:val="22"/>
              </w:rPr>
            </w:pPr>
            <w:r w:rsidRPr="00596E4B">
              <w:rPr>
                <w:sz w:val="22"/>
                <w:szCs w:val="22"/>
              </w:rPr>
              <w:t>Svimmelhed</w:t>
            </w:r>
          </w:p>
        </w:tc>
        <w:tc>
          <w:tcPr>
            <w:tcW w:w="1635" w:type="dxa"/>
            <w:tcBorders>
              <w:top w:val="single" w:sz="4" w:space="0" w:color="auto"/>
              <w:left w:val="single" w:sz="4" w:space="0" w:color="auto"/>
              <w:bottom w:val="single" w:sz="4" w:space="0" w:color="auto"/>
              <w:right w:val="single" w:sz="4" w:space="0" w:color="auto"/>
            </w:tcBorders>
            <w:hideMark/>
          </w:tcPr>
          <w:p w14:paraId="070C1CBB" w14:textId="77777777" w:rsidR="00BE227F" w:rsidRPr="00596E4B" w:rsidRDefault="00BE227F">
            <w:pPr>
              <w:tabs>
                <w:tab w:val="left" w:pos="1304"/>
              </w:tabs>
              <w:rPr>
                <w:sz w:val="22"/>
                <w:szCs w:val="22"/>
              </w:rPr>
            </w:pPr>
            <w:r w:rsidRPr="00596E4B">
              <w:rPr>
                <w:sz w:val="22"/>
                <w:szCs w:val="22"/>
              </w:rPr>
              <w:t>Døsighed</w:t>
            </w:r>
          </w:p>
          <w:p w14:paraId="76B6DE96" w14:textId="77777777" w:rsidR="00BE227F" w:rsidRPr="00596E4B" w:rsidRDefault="00BE227F">
            <w:pPr>
              <w:tabs>
                <w:tab w:val="left" w:pos="1304"/>
              </w:tabs>
              <w:rPr>
                <w:sz w:val="22"/>
                <w:szCs w:val="22"/>
              </w:rPr>
            </w:pPr>
            <w:r w:rsidRPr="00596E4B">
              <w:rPr>
                <w:sz w:val="22"/>
                <w:szCs w:val="22"/>
              </w:rPr>
              <w:t>Tremor</w:t>
            </w:r>
          </w:p>
          <w:p w14:paraId="60862A95" w14:textId="77777777" w:rsidR="00BE227F" w:rsidRPr="00596E4B" w:rsidRDefault="00BE227F">
            <w:pPr>
              <w:tabs>
                <w:tab w:val="left" w:pos="1304"/>
              </w:tabs>
              <w:rPr>
                <w:sz w:val="22"/>
                <w:szCs w:val="22"/>
              </w:rPr>
            </w:pPr>
            <w:r w:rsidRPr="00596E4B">
              <w:rPr>
                <w:sz w:val="22"/>
                <w:szCs w:val="22"/>
              </w:rPr>
              <w:t>Dysgeusi</w:t>
            </w:r>
          </w:p>
        </w:tc>
        <w:tc>
          <w:tcPr>
            <w:tcW w:w="2010" w:type="dxa"/>
            <w:tcBorders>
              <w:top w:val="single" w:sz="4" w:space="0" w:color="auto"/>
              <w:left w:val="single" w:sz="4" w:space="0" w:color="auto"/>
              <w:bottom w:val="single" w:sz="4" w:space="0" w:color="auto"/>
              <w:right w:val="single" w:sz="4" w:space="0" w:color="auto"/>
            </w:tcBorders>
            <w:hideMark/>
          </w:tcPr>
          <w:p w14:paraId="161C8D58" w14:textId="77777777" w:rsidR="00BE227F" w:rsidRPr="00596E4B" w:rsidRDefault="00BE227F">
            <w:pPr>
              <w:tabs>
                <w:tab w:val="left" w:pos="1304"/>
              </w:tabs>
              <w:rPr>
                <w:sz w:val="22"/>
                <w:szCs w:val="22"/>
              </w:rPr>
            </w:pPr>
            <w:r w:rsidRPr="00596E4B">
              <w:rPr>
                <w:sz w:val="22"/>
                <w:szCs w:val="22"/>
              </w:rPr>
              <w:t>Kramper (se pkt. 4.3 og 4.4)</w:t>
            </w:r>
          </w:p>
          <w:p w14:paraId="60671C11" w14:textId="77777777" w:rsidR="00BE227F" w:rsidRPr="00596E4B" w:rsidRDefault="00BE227F">
            <w:pPr>
              <w:tabs>
                <w:tab w:val="left" w:pos="1304"/>
              </w:tabs>
              <w:rPr>
                <w:sz w:val="22"/>
                <w:szCs w:val="22"/>
              </w:rPr>
            </w:pPr>
            <w:r w:rsidRPr="00596E4B">
              <w:rPr>
                <w:sz w:val="22"/>
                <w:szCs w:val="22"/>
              </w:rPr>
              <w:t>Paræstesi</w:t>
            </w:r>
          </w:p>
          <w:p w14:paraId="6EACB3BB" w14:textId="77777777" w:rsidR="00BE227F" w:rsidRPr="00596E4B" w:rsidRDefault="00BE227F">
            <w:pPr>
              <w:tabs>
                <w:tab w:val="left" w:pos="1304"/>
              </w:tabs>
              <w:rPr>
                <w:sz w:val="22"/>
                <w:szCs w:val="22"/>
              </w:rPr>
            </w:pPr>
            <w:r w:rsidRPr="00596E4B">
              <w:rPr>
                <w:sz w:val="22"/>
                <w:szCs w:val="22"/>
              </w:rPr>
              <w:t>Nedsat hukommelse</w:t>
            </w:r>
          </w:p>
        </w:tc>
        <w:tc>
          <w:tcPr>
            <w:tcW w:w="2122" w:type="dxa"/>
            <w:tcBorders>
              <w:top w:val="single" w:sz="4" w:space="0" w:color="auto"/>
              <w:left w:val="single" w:sz="4" w:space="0" w:color="auto"/>
              <w:bottom w:val="single" w:sz="4" w:space="0" w:color="auto"/>
              <w:right w:val="single" w:sz="4" w:space="0" w:color="auto"/>
            </w:tcBorders>
            <w:hideMark/>
          </w:tcPr>
          <w:p w14:paraId="7277FAED" w14:textId="77777777" w:rsidR="00BE227F" w:rsidRPr="00596E4B" w:rsidRDefault="00BE227F">
            <w:pPr>
              <w:pStyle w:val="Default"/>
              <w:rPr>
                <w:sz w:val="22"/>
                <w:szCs w:val="22"/>
              </w:rPr>
            </w:pPr>
            <w:r w:rsidRPr="00596E4B">
              <w:rPr>
                <w:sz w:val="22"/>
                <w:szCs w:val="22"/>
              </w:rPr>
              <w:t xml:space="preserve">Perifer sensorisk neuropati (se pkt. 4.4) </w:t>
            </w:r>
          </w:p>
          <w:p w14:paraId="7FE248CF" w14:textId="77777777" w:rsidR="00BE227F" w:rsidRPr="00596E4B" w:rsidRDefault="00BE227F">
            <w:pPr>
              <w:pStyle w:val="Default"/>
              <w:rPr>
                <w:sz w:val="22"/>
                <w:szCs w:val="22"/>
              </w:rPr>
            </w:pPr>
            <w:r w:rsidRPr="00596E4B">
              <w:rPr>
                <w:sz w:val="22"/>
                <w:szCs w:val="22"/>
              </w:rPr>
              <w:t xml:space="preserve">Perifer sensomotorisk neuropati (se pkt. 4.4) </w:t>
            </w:r>
          </w:p>
          <w:p w14:paraId="27103100" w14:textId="77777777" w:rsidR="00BE227F" w:rsidRPr="00596E4B" w:rsidRDefault="00BE227F">
            <w:pPr>
              <w:pStyle w:val="Default"/>
              <w:rPr>
                <w:sz w:val="22"/>
                <w:szCs w:val="22"/>
              </w:rPr>
            </w:pPr>
            <w:r w:rsidRPr="00596E4B">
              <w:rPr>
                <w:sz w:val="22"/>
                <w:szCs w:val="22"/>
              </w:rPr>
              <w:t xml:space="preserve">Parosmi, inklusive anosmi </w:t>
            </w:r>
          </w:p>
          <w:p w14:paraId="333493F5" w14:textId="77777777" w:rsidR="00BE227F" w:rsidRPr="00596E4B" w:rsidRDefault="00BE227F">
            <w:pPr>
              <w:pStyle w:val="Default"/>
              <w:rPr>
                <w:sz w:val="22"/>
                <w:szCs w:val="22"/>
              </w:rPr>
            </w:pPr>
            <w:r w:rsidRPr="00596E4B">
              <w:rPr>
                <w:sz w:val="22"/>
                <w:szCs w:val="22"/>
              </w:rPr>
              <w:t xml:space="preserve">Dyskinesi </w:t>
            </w:r>
          </w:p>
          <w:p w14:paraId="031CF85F" w14:textId="77777777" w:rsidR="00BE227F" w:rsidRPr="00596E4B" w:rsidRDefault="00BE227F">
            <w:pPr>
              <w:pStyle w:val="Default"/>
              <w:rPr>
                <w:sz w:val="22"/>
                <w:szCs w:val="22"/>
              </w:rPr>
            </w:pPr>
            <w:r w:rsidRPr="00596E4B">
              <w:rPr>
                <w:sz w:val="22"/>
                <w:szCs w:val="22"/>
              </w:rPr>
              <w:t xml:space="preserve">Ekstrapyramidale gener </w:t>
            </w:r>
          </w:p>
          <w:p w14:paraId="09710A3D" w14:textId="77777777" w:rsidR="00BE227F" w:rsidRPr="00596E4B" w:rsidRDefault="00BE227F">
            <w:pPr>
              <w:pStyle w:val="Default"/>
              <w:rPr>
                <w:sz w:val="22"/>
                <w:szCs w:val="22"/>
              </w:rPr>
            </w:pPr>
            <w:r w:rsidRPr="00596E4B">
              <w:rPr>
                <w:sz w:val="22"/>
                <w:szCs w:val="22"/>
              </w:rPr>
              <w:t xml:space="preserve">Ageusi </w:t>
            </w:r>
          </w:p>
          <w:p w14:paraId="50A282B4" w14:textId="77777777" w:rsidR="00BE227F" w:rsidRPr="00596E4B" w:rsidRDefault="00BE227F">
            <w:pPr>
              <w:pStyle w:val="Default"/>
              <w:rPr>
                <w:sz w:val="22"/>
                <w:szCs w:val="22"/>
              </w:rPr>
            </w:pPr>
            <w:r w:rsidRPr="00596E4B">
              <w:rPr>
                <w:sz w:val="22"/>
                <w:szCs w:val="22"/>
              </w:rPr>
              <w:t xml:space="preserve">Synkope </w:t>
            </w:r>
          </w:p>
          <w:p w14:paraId="070EA915" w14:textId="77777777" w:rsidR="00BE227F" w:rsidRDefault="00BE227F">
            <w:pPr>
              <w:tabs>
                <w:tab w:val="left" w:pos="1304"/>
              </w:tabs>
              <w:rPr>
                <w:sz w:val="22"/>
                <w:szCs w:val="22"/>
              </w:rPr>
            </w:pPr>
            <w:r w:rsidRPr="00596E4B">
              <w:rPr>
                <w:sz w:val="22"/>
                <w:szCs w:val="22"/>
              </w:rPr>
              <w:t>Benign intrakraniel hypertension</w:t>
            </w:r>
          </w:p>
          <w:p w14:paraId="057D1B3C" w14:textId="4F66A70E" w:rsidR="00A501FE" w:rsidRPr="00596E4B" w:rsidRDefault="00A501FE">
            <w:pPr>
              <w:tabs>
                <w:tab w:val="left" w:pos="1304"/>
              </w:tabs>
              <w:rPr>
                <w:sz w:val="22"/>
                <w:szCs w:val="22"/>
              </w:rPr>
            </w:pPr>
            <w:r>
              <w:rPr>
                <w:sz w:val="22"/>
                <w:szCs w:val="22"/>
              </w:rPr>
              <w:t>Myoklonus</w:t>
            </w:r>
          </w:p>
        </w:tc>
      </w:tr>
      <w:tr w:rsidR="00BE227F" w:rsidRPr="00596E4B" w14:paraId="64FD5B65"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7D72F790" w14:textId="77777777" w:rsidR="00BE227F" w:rsidRPr="00596E4B" w:rsidRDefault="00BE227F">
            <w:pPr>
              <w:tabs>
                <w:tab w:val="left" w:pos="1304"/>
              </w:tabs>
              <w:rPr>
                <w:sz w:val="22"/>
                <w:szCs w:val="22"/>
              </w:rPr>
            </w:pPr>
            <w:r w:rsidRPr="00596E4B">
              <w:rPr>
                <w:sz w:val="22"/>
                <w:szCs w:val="22"/>
              </w:rPr>
              <w:lastRenderedPageBreak/>
              <w:t>Øjne*</w:t>
            </w:r>
          </w:p>
        </w:tc>
        <w:tc>
          <w:tcPr>
            <w:tcW w:w="1378" w:type="dxa"/>
            <w:tcBorders>
              <w:top w:val="single" w:sz="4" w:space="0" w:color="auto"/>
              <w:left w:val="single" w:sz="4" w:space="0" w:color="auto"/>
              <w:bottom w:val="single" w:sz="4" w:space="0" w:color="auto"/>
              <w:right w:val="single" w:sz="4" w:space="0" w:color="auto"/>
            </w:tcBorders>
          </w:tcPr>
          <w:p w14:paraId="3E9039F0"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3E0B71F2" w14:textId="77777777" w:rsidR="00BE227F" w:rsidRPr="00596E4B" w:rsidRDefault="00BE227F">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581F2EDF" w14:textId="77777777" w:rsidR="00BE227F" w:rsidRPr="00596E4B" w:rsidRDefault="00BE227F">
            <w:pPr>
              <w:tabs>
                <w:tab w:val="left" w:pos="1304"/>
              </w:tabs>
              <w:rPr>
                <w:sz w:val="22"/>
                <w:szCs w:val="22"/>
              </w:rPr>
            </w:pPr>
            <w:r w:rsidRPr="00596E4B">
              <w:rPr>
                <w:sz w:val="22"/>
                <w:szCs w:val="22"/>
              </w:rPr>
              <w:t>Synsforstyrrelser såsom sløret syn (se pkt. 4.4)</w:t>
            </w:r>
          </w:p>
        </w:tc>
        <w:tc>
          <w:tcPr>
            <w:tcW w:w="2122" w:type="dxa"/>
            <w:tcBorders>
              <w:top w:val="single" w:sz="4" w:space="0" w:color="auto"/>
              <w:left w:val="single" w:sz="4" w:space="0" w:color="auto"/>
              <w:bottom w:val="single" w:sz="4" w:space="0" w:color="auto"/>
              <w:right w:val="single" w:sz="4" w:space="0" w:color="auto"/>
            </w:tcBorders>
            <w:hideMark/>
          </w:tcPr>
          <w:p w14:paraId="3F5618AC" w14:textId="77777777" w:rsidR="00BE227F" w:rsidRPr="00596E4B" w:rsidRDefault="00BE227F">
            <w:pPr>
              <w:tabs>
                <w:tab w:val="left" w:pos="1304"/>
              </w:tabs>
              <w:rPr>
                <w:sz w:val="22"/>
                <w:szCs w:val="22"/>
              </w:rPr>
            </w:pPr>
            <w:r w:rsidRPr="00596E4B">
              <w:rPr>
                <w:sz w:val="22"/>
                <w:szCs w:val="22"/>
              </w:rPr>
              <w:t>Forbigående synstab (se pkt. 4.4)</w:t>
            </w:r>
          </w:p>
        </w:tc>
      </w:tr>
      <w:tr w:rsidR="00BE227F" w:rsidRPr="00596E4B" w14:paraId="4AFCBB10"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66A81485" w14:textId="77777777" w:rsidR="00BE227F" w:rsidRPr="00596E4B" w:rsidRDefault="00BE227F">
            <w:pPr>
              <w:tabs>
                <w:tab w:val="left" w:pos="1304"/>
              </w:tabs>
              <w:rPr>
                <w:sz w:val="22"/>
                <w:szCs w:val="22"/>
              </w:rPr>
            </w:pPr>
            <w:r w:rsidRPr="00596E4B">
              <w:rPr>
                <w:sz w:val="22"/>
                <w:szCs w:val="22"/>
              </w:rPr>
              <w:t>Øre og labyrint*</w:t>
            </w:r>
          </w:p>
        </w:tc>
        <w:tc>
          <w:tcPr>
            <w:tcW w:w="1378" w:type="dxa"/>
            <w:tcBorders>
              <w:top w:val="single" w:sz="4" w:space="0" w:color="auto"/>
              <w:left w:val="single" w:sz="4" w:space="0" w:color="auto"/>
              <w:bottom w:val="single" w:sz="4" w:space="0" w:color="auto"/>
              <w:right w:val="single" w:sz="4" w:space="0" w:color="auto"/>
            </w:tcBorders>
          </w:tcPr>
          <w:p w14:paraId="5928228F"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73C2A588" w14:textId="77777777" w:rsidR="00BE227F" w:rsidRPr="00596E4B" w:rsidRDefault="00BE227F">
            <w:pPr>
              <w:tabs>
                <w:tab w:val="left" w:pos="1304"/>
              </w:tabs>
              <w:rPr>
                <w:sz w:val="22"/>
                <w:szCs w:val="22"/>
              </w:rPr>
            </w:pPr>
            <w:r w:rsidRPr="00596E4B">
              <w:rPr>
                <w:sz w:val="22"/>
                <w:szCs w:val="22"/>
              </w:rPr>
              <w:t>Vertigo</w:t>
            </w:r>
          </w:p>
        </w:tc>
        <w:tc>
          <w:tcPr>
            <w:tcW w:w="2010" w:type="dxa"/>
            <w:tcBorders>
              <w:top w:val="single" w:sz="4" w:space="0" w:color="auto"/>
              <w:left w:val="single" w:sz="4" w:space="0" w:color="auto"/>
              <w:bottom w:val="single" w:sz="4" w:space="0" w:color="auto"/>
              <w:right w:val="single" w:sz="4" w:space="0" w:color="auto"/>
            </w:tcBorders>
            <w:hideMark/>
          </w:tcPr>
          <w:p w14:paraId="0D554D97" w14:textId="77777777" w:rsidR="00BE227F" w:rsidRPr="00596E4B" w:rsidRDefault="00BE227F">
            <w:pPr>
              <w:tabs>
                <w:tab w:val="left" w:pos="1304"/>
              </w:tabs>
              <w:rPr>
                <w:sz w:val="22"/>
                <w:szCs w:val="22"/>
              </w:rPr>
            </w:pPr>
            <w:r w:rsidRPr="00596E4B">
              <w:rPr>
                <w:sz w:val="22"/>
                <w:szCs w:val="22"/>
              </w:rPr>
              <w:t>Tinnitus</w:t>
            </w:r>
          </w:p>
        </w:tc>
        <w:tc>
          <w:tcPr>
            <w:tcW w:w="2122" w:type="dxa"/>
            <w:tcBorders>
              <w:top w:val="single" w:sz="4" w:space="0" w:color="auto"/>
              <w:left w:val="single" w:sz="4" w:space="0" w:color="auto"/>
              <w:bottom w:val="single" w:sz="4" w:space="0" w:color="auto"/>
              <w:right w:val="single" w:sz="4" w:space="0" w:color="auto"/>
            </w:tcBorders>
            <w:hideMark/>
          </w:tcPr>
          <w:p w14:paraId="1C8E6503" w14:textId="77777777" w:rsidR="00BE227F" w:rsidRPr="00596E4B" w:rsidRDefault="00BE227F">
            <w:pPr>
              <w:tabs>
                <w:tab w:val="left" w:pos="1304"/>
              </w:tabs>
              <w:rPr>
                <w:sz w:val="22"/>
                <w:szCs w:val="22"/>
              </w:rPr>
            </w:pPr>
            <w:r w:rsidRPr="00596E4B">
              <w:rPr>
                <w:sz w:val="22"/>
                <w:szCs w:val="22"/>
              </w:rPr>
              <w:t>Høretab</w:t>
            </w:r>
          </w:p>
          <w:p w14:paraId="1DC5DEB0" w14:textId="77777777" w:rsidR="00BE227F" w:rsidRPr="00596E4B" w:rsidRDefault="00BE227F">
            <w:pPr>
              <w:tabs>
                <w:tab w:val="left" w:pos="1304"/>
              </w:tabs>
              <w:rPr>
                <w:sz w:val="22"/>
                <w:szCs w:val="22"/>
              </w:rPr>
            </w:pPr>
            <w:r w:rsidRPr="00596E4B">
              <w:rPr>
                <w:sz w:val="22"/>
                <w:szCs w:val="22"/>
              </w:rPr>
              <w:t>Nedsat hørelse</w:t>
            </w:r>
          </w:p>
        </w:tc>
      </w:tr>
      <w:tr w:rsidR="00BE227F" w:rsidRPr="00596E4B" w14:paraId="203BF569"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5CA12655" w14:textId="77777777" w:rsidR="00BE227F" w:rsidRPr="00596E4B" w:rsidRDefault="00BE227F">
            <w:pPr>
              <w:tabs>
                <w:tab w:val="left" w:pos="1304"/>
              </w:tabs>
              <w:rPr>
                <w:sz w:val="22"/>
                <w:szCs w:val="22"/>
              </w:rPr>
            </w:pPr>
            <w:r w:rsidRPr="00596E4B">
              <w:rPr>
                <w:sz w:val="22"/>
                <w:szCs w:val="22"/>
              </w:rPr>
              <w:t>Hjerte**</w:t>
            </w:r>
          </w:p>
        </w:tc>
        <w:tc>
          <w:tcPr>
            <w:tcW w:w="1378" w:type="dxa"/>
            <w:tcBorders>
              <w:top w:val="single" w:sz="4" w:space="0" w:color="auto"/>
              <w:left w:val="single" w:sz="4" w:space="0" w:color="auto"/>
              <w:bottom w:val="single" w:sz="4" w:space="0" w:color="auto"/>
              <w:right w:val="single" w:sz="4" w:space="0" w:color="auto"/>
            </w:tcBorders>
          </w:tcPr>
          <w:p w14:paraId="2D487CB2"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50E48F21" w14:textId="77777777" w:rsidR="00BE227F" w:rsidRPr="00596E4B" w:rsidRDefault="00BE227F">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6B53D65A" w14:textId="77777777" w:rsidR="00BE227F" w:rsidRPr="00596E4B" w:rsidRDefault="00BE227F">
            <w:pPr>
              <w:tabs>
                <w:tab w:val="left" w:pos="1304"/>
              </w:tabs>
              <w:rPr>
                <w:sz w:val="22"/>
                <w:szCs w:val="22"/>
              </w:rPr>
            </w:pPr>
            <w:r w:rsidRPr="00596E4B">
              <w:rPr>
                <w:sz w:val="22"/>
                <w:szCs w:val="22"/>
              </w:rPr>
              <w:t>Takykardi, palpitation</w:t>
            </w:r>
          </w:p>
        </w:tc>
        <w:tc>
          <w:tcPr>
            <w:tcW w:w="2122" w:type="dxa"/>
            <w:tcBorders>
              <w:top w:val="single" w:sz="4" w:space="0" w:color="auto"/>
              <w:left w:val="single" w:sz="4" w:space="0" w:color="auto"/>
              <w:bottom w:val="single" w:sz="4" w:space="0" w:color="auto"/>
              <w:right w:val="single" w:sz="4" w:space="0" w:color="auto"/>
            </w:tcBorders>
            <w:hideMark/>
          </w:tcPr>
          <w:p w14:paraId="0A533415" w14:textId="77777777" w:rsidR="00BE227F" w:rsidRPr="00596E4B" w:rsidRDefault="00BE227F">
            <w:pPr>
              <w:tabs>
                <w:tab w:val="left" w:pos="1304"/>
              </w:tabs>
              <w:rPr>
                <w:sz w:val="22"/>
                <w:szCs w:val="22"/>
              </w:rPr>
            </w:pPr>
            <w:r w:rsidRPr="00596E4B">
              <w:rPr>
                <w:sz w:val="22"/>
                <w:szCs w:val="22"/>
              </w:rPr>
              <w:t>Ventrikulær takykardi, som kan medføre hjertestop</w:t>
            </w:r>
          </w:p>
          <w:p w14:paraId="3501C6FF" w14:textId="77777777" w:rsidR="00BE227F" w:rsidRPr="00596E4B" w:rsidRDefault="00BE227F">
            <w:pPr>
              <w:tabs>
                <w:tab w:val="left" w:pos="1304"/>
              </w:tabs>
              <w:rPr>
                <w:sz w:val="22"/>
                <w:szCs w:val="22"/>
              </w:rPr>
            </w:pPr>
            <w:r w:rsidRPr="00596E4B">
              <w:rPr>
                <w:sz w:val="22"/>
                <w:szCs w:val="22"/>
              </w:rPr>
              <w:t>Ventrikulær arytmi og torsades de pointes (fortrinsvis rapporteret hos patienter med risikofaktorer for QT-forlængelse), QT-forlængelse på EKG (se pkt. 4.4 og 4.9)</w:t>
            </w:r>
          </w:p>
        </w:tc>
      </w:tr>
      <w:tr w:rsidR="00BE227F" w:rsidRPr="00596E4B" w14:paraId="51052F8B"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37428FA4" w14:textId="77777777" w:rsidR="00BE227F" w:rsidRPr="00596E4B" w:rsidRDefault="00BE227F">
            <w:pPr>
              <w:tabs>
                <w:tab w:val="left" w:pos="1304"/>
              </w:tabs>
              <w:rPr>
                <w:sz w:val="22"/>
                <w:szCs w:val="22"/>
              </w:rPr>
            </w:pPr>
            <w:r w:rsidRPr="00596E4B">
              <w:rPr>
                <w:sz w:val="22"/>
                <w:szCs w:val="22"/>
              </w:rPr>
              <w:t>Vaskulære sygdomme**</w:t>
            </w:r>
          </w:p>
        </w:tc>
        <w:tc>
          <w:tcPr>
            <w:tcW w:w="1378" w:type="dxa"/>
            <w:tcBorders>
              <w:top w:val="single" w:sz="4" w:space="0" w:color="auto"/>
              <w:left w:val="single" w:sz="4" w:space="0" w:color="auto"/>
              <w:bottom w:val="single" w:sz="4" w:space="0" w:color="auto"/>
              <w:right w:val="single" w:sz="4" w:space="0" w:color="auto"/>
            </w:tcBorders>
          </w:tcPr>
          <w:p w14:paraId="0F8D5FE5"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tcPr>
          <w:p w14:paraId="3DA49B73" w14:textId="77777777" w:rsidR="00BE227F" w:rsidRPr="00596E4B" w:rsidRDefault="00BE227F">
            <w:pPr>
              <w:tabs>
                <w:tab w:val="left" w:pos="1304"/>
              </w:tabs>
              <w:rPr>
                <w:sz w:val="22"/>
                <w:szCs w:val="22"/>
                <w:lang w:val="en-US"/>
              </w:rPr>
            </w:pPr>
          </w:p>
        </w:tc>
        <w:tc>
          <w:tcPr>
            <w:tcW w:w="2010" w:type="dxa"/>
            <w:tcBorders>
              <w:top w:val="single" w:sz="4" w:space="0" w:color="auto"/>
              <w:left w:val="single" w:sz="4" w:space="0" w:color="auto"/>
              <w:bottom w:val="single" w:sz="4" w:space="0" w:color="auto"/>
              <w:right w:val="single" w:sz="4" w:space="0" w:color="auto"/>
            </w:tcBorders>
            <w:hideMark/>
          </w:tcPr>
          <w:p w14:paraId="6EEC5AA6" w14:textId="77777777" w:rsidR="00BE227F" w:rsidRPr="00596E4B" w:rsidRDefault="00BE227F">
            <w:pPr>
              <w:tabs>
                <w:tab w:val="left" w:pos="1304"/>
              </w:tabs>
              <w:rPr>
                <w:sz w:val="22"/>
                <w:szCs w:val="22"/>
              </w:rPr>
            </w:pPr>
            <w:r w:rsidRPr="00596E4B">
              <w:rPr>
                <w:sz w:val="22"/>
                <w:szCs w:val="22"/>
              </w:rPr>
              <w:t>Hypotension</w:t>
            </w:r>
          </w:p>
        </w:tc>
        <w:tc>
          <w:tcPr>
            <w:tcW w:w="2122" w:type="dxa"/>
            <w:tcBorders>
              <w:top w:val="single" w:sz="4" w:space="0" w:color="auto"/>
              <w:left w:val="single" w:sz="4" w:space="0" w:color="auto"/>
              <w:bottom w:val="single" w:sz="4" w:space="0" w:color="auto"/>
              <w:right w:val="single" w:sz="4" w:space="0" w:color="auto"/>
            </w:tcBorders>
          </w:tcPr>
          <w:p w14:paraId="7C5E8444" w14:textId="77777777" w:rsidR="00BE227F" w:rsidRPr="00596E4B" w:rsidRDefault="00BE227F">
            <w:pPr>
              <w:tabs>
                <w:tab w:val="left" w:pos="1304"/>
              </w:tabs>
              <w:rPr>
                <w:sz w:val="22"/>
                <w:szCs w:val="22"/>
                <w:lang w:val="en-US"/>
              </w:rPr>
            </w:pPr>
          </w:p>
        </w:tc>
      </w:tr>
      <w:tr w:rsidR="00BE227F" w:rsidRPr="00596E4B" w14:paraId="411931C4"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4EFDD7AA" w14:textId="77777777" w:rsidR="00BE227F" w:rsidRPr="00596E4B" w:rsidRDefault="00BE227F">
            <w:pPr>
              <w:tabs>
                <w:tab w:val="left" w:pos="1304"/>
              </w:tabs>
              <w:rPr>
                <w:sz w:val="22"/>
                <w:szCs w:val="22"/>
              </w:rPr>
            </w:pPr>
            <w:r w:rsidRPr="00596E4B">
              <w:rPr>
                <w:sz w:val="22"/>
                <w:szCs w:val="22"/>
              </w:rPr>
              <w:t>Luftveje, thorax og mediastinum</w:t>
            </w:r>
          </w:p>
        </w:tc>
        <w:tc>
          <w:tcPr>
            <w:tcW w:w="1378" w:type="dxa"/>
            <w:tcBorders>
              <w:top w:val="single" w:sz="4" w:space="0" w:color="auto"/>
              <w:left w:val="single" w:sz="4" w:space="0" w:color="auto"/>
              <w:bottom w:val="single" w:sz="4" w:space="0" w:color="auto"/>
              <w:right w:val="single" w:sz="4" w:space="0" w:color="auto"/>
            </w:tcBorders>
          </w:tcPr>
          <w:p w14:paraId="7B476B5F"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7DEF1AD0" w14:textId="77777777" w:rsidR="00BE227F" w:rsidRPr="00596E4B" w:rsidRDefault="00BE227F">
            <w:pPr>
              <w:tabs>
                <w:tab w:val="left" w:pos="1304"/>
              </w:tabs>
              <w:rPr>
                <w:sz w:val="22"/>
                <w:szCs w:val="22"/>
              </w:rPr>
            </w:pPr>
            <w:r w:rsidRPr="00596E4B">
              <w:rPr>
                <w:sz w:val="22"/>
                <w:szCs w:val="22"/>
              </w:rPr>
              <w:t>Dyspnø</w:t>
            </w:r>
          </w:p>
        </w:tc>
        <w:tc>
          <w:tcPr>
            <w:tcW w:w="2010" w:type="dxa"/>
            <w:tcBorders>
              <w:top w:val="single" w:sz="4" w:space="0" w:color="auto"/>
              <w:left w:val="single" w:sz="4" w:space="0" w:color="auto"/>
              <w:bottom w:val="single" w:sz="4" w:space="0" w:color="auto"/>
              <w:right w:val="single" w:sz="4" w:space="0" w:color="auto"/>
            </w:tcBorders>
          </w:tcPr>
          <w:p w14:paraId="58E48EC7" w14:textId="77777777" w:rsidR="00BE227F" w:rsidRPr="00596E4B" w:rsidRDefault="00BE227F">
            <w:pPr>
              <w:tabs>
                <w:tab w:val="left" w:pos="1304"/>
              </w:tabs>
              <w:rPr>
                <w:sz w:val="22"/>
                <w:szCs w:val="22"/>
                <w:lang w:val="en-US"/>
              </w:rPr>
            </w:pPr>
          </w:p>
        </w:tc>
        <w:tc>
          <w:tcPr>
            <w:tcW w:w="2122" w:type="dxa"/>
            <w:tcBorders>
              <w:top w:val="single" w:sz="4" w:space="0" w:color="auto"/>
              <w:left w:val="single" w:sz="4" w:space="0" w:color="auto"/>
              <w:bottom w:val="single" w:sz="4" w:space="0" w:color="auto"/>
              <w:right w:val="single" w:sz="4" w:space="0" w:color="auto"/>
            </w:tcBorders>
            <w:hideMark/>
          </w:tcPr>
          <w:p w14:paraId="534653D0" w14:textId="77777777" w:rsidR="00BE227F" w:rsidRPr="00596E4B" w:rsidRDefault="00BE227F">
            <w:pPr>
              <w:tabs>
                <w:tab w:val="left" w:pos="1304"/>
              </w:tabs>
              <w:rPr>
                <w:sz w:val="22"/>
                <w:szCs w:val="22"/>
              </w:rPr>
            </w:pPr>
            <w:r w:rsidRPr="00596E4B">
              <w:rPr>
                <w:sz w:val="22"/>
                <w:szCs w:val="22"/>
              </w:rPr>
              <w:t>Bronkospasme</w:t>
            </w:r>
          </w:p>
          <w:p w14:paraId="4C0A4581" w14:textId="77777777" w:rsidR="00BE227F" w:rsidRPr="00596E4B" w:rsidRDefault="00BE227F">
            <w:pPr>
              <w:tabs>
                <w:tab w:val="left" w:pos="1304"/>
              </w:tabs>
              <w:rPr>
                <w:sz w:val="22"/>
                <w:szCs w:val="22"/>
              </w:rPr>
            </w:pPr>
            <w:r w:rsidRPr="00596E4B">
              <w:rPr>
                <w:sz w:val="22"/>
                <w:szCs w:val="22"/>
              </w:rPr>
              <w:t>Allergisk pneumonitis</w:t>
            </w:r>
          </w:p>
        </w:tc>
      </w:tr>
      <w:tr w:rsidR="00BE227F" w:rsidRPr="00596E4B" w14:paraId="65A6BC3D"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7E97061D" w14:textId="77777777" w:rsidR="00BE227F" w:rsidRPr="00596E4B" w:rsidRDefault="00BE227F">
            <w:pPr>
              <w:tabs>
                <w:tab w:val="left" w:pos="1304"/>
              </w:tabs>
              <w:rPr>
                <w:sz w:val="22"/>
                <w:szCs w:val="22"/>
              </w:rPr>
            </w:pPr>
            <w:r w:rsidRPr="00596E4B">
              <w:rPr>
                <w:sz w:val="22"/>
                <w:szCs w:val="22"/>
              </w:rPr>
              <w:t>Mave-tarm-kanalen</w:t>
            </w:r>
          </w:p>
        </w:tc>
        <w:tc>
          <w:tcPr>
            <w:tcW w:w="1378" w:type="dxa"/>
            <w:tcBorders>
              <w:top w:val="single" w:sz="4" w:space="0" w:color="auto"/>
              <w:left w:val="single" w:sz="4" w:space="0" w:color="auto"/>
              <w:bottom w:val="single" w:sz="4" w:space="0" w:color="auto"/>
              <w:right w:val="single" w:sz="4" w:space="0" w:color="auto"/>
            </w:tcBorders>
            <w:hideMark/>
          </w:tcPr>
          <w:p w14:paraId="02D2858B" w14:textId="77777777" w:rsidR="00BE227F" w:rsidRPr="00596E4B" w:rsidRDefault="00BE227F">
            <w:pPr>
              <w:tabs>
                <w:tab w:val="left" w:pos="1304"/>
              </w:tabs>
              <w:rPr>
                <w:sz w:val="22"/>
                <w:szCs w:val="22"/>
              </w:rPr>
            </w:pPr>
            <w:r w:rsidRPr="00596E4B">
              <w:rPr>
                <w:sz w:val="22"/>
                <w:szCs w:val="22"/>
              </w:rPr>
              <w:t>Diarré</w:t>
            </w:r>
          </w:p>
          <w:p w14:paraId="6159D479" w14:textId="77777777" w:rsidR="00BE227F" w:rsidRPr="00596E4B" w:rsidRDefault="00BE227F">
            <w:pPr>
              <w:tabs>
                <w:tab w:val="left" w:pos="1304"/>
              </w:tabs>
              <w:rPr>
                <w:sz w:val="22"/>
                <w:szCs w:val="22"/>
              </w:rPr>
            </w:pPr>
            <w:r w:rsidRPr="00596E4B">
              <w:rPr>
                <w:sz w:val="22"/>
                <w:szCs w:val="22"/>
              </w:rPr>
              <w:t>Opkastning</w:t>
            </w:r>
          </w:p>
          <w:p w14:paraId="4E3921E4" w14:textId="77777777" w:rsidR="00BE227F" w:rsidRPr="00596E4B" w:rsidRDefault="00BE227F">
            <w:pPr>
              <w:tabs>
                <w:tab w:val="left" w:pos="1304"/>
              </w:tabs>
              <w:rPr>
                <w:sz w:val="22"/>
                <w:szCs w:val="22"/>
              </w:rPr>
            </w:pPr>
            <w:r w:rsidRPr="00596E4B">
              <w:rPr>
                <w:sz w:val="22"/>
                <w:szCs w:val="22"/>
              </w:rPr>
              <w:t>Kvalme</w:t>
            </w:r>
          </w:p>
        </w:tc>
        <w:tc>
          <w:tcPr>
            <w:tcW w:w="1635" w:type="dxa"/>
            <w:tcBorders>
              <w:top w:val="single" w:sz="4" w:space="0" w:color="auto"/>
              <w:left w:val="single" w:sz="4" w:space="0" w:color="auto"/>
              <w:bottom w:val="single" w:sz="4" w:space="0" w:color="auto"/>
              <w:right w:val="single" w:sz="4" w:space="0" w:color="auto"/>
            </w:tcBorders>
            <w:hideMark/>
          </w:tcPr>
          <w:p w14:paraId="00D602F2" w14:textId="20D528E5" w:rsidR="00BE227F" w:rsidRPr="00596E4B" w:rsidRDefault="00BE227F">
            <w:pPr>
              <w:tabs>
                <w:tab w:val="left" w:pos="1304"/>
              </w:tabs>
              <w:rPr>
                <w:sz w:val="22"/>
                <w:szCs w:val="22"/>
              </w:rPr>
            </w:pPr>
            <w:r w:rsidRPr="00596E4B">
              <w:rPr>
                <w:sz w:val="22"/>
                <w:szCs w:val="22"/>
              </w:rPr>
              <w:t>Abdominal</w:t>
            </w:r>
            <w:r w:rsidR="00254CC6">
              <w:rPr>
                <w:sz w:val="22"/>
                <w:szCs w:val="22"/>
              </w:rPr>
              <w:softHyphen/>
            </w:r>
            <w:r w:rsidRPr="00596E4B">
              <w:rPr>
                <w:sz w:val="22"/>
                <w:szCs w:val="22"/>
              </w:rPr>
              <w:t>smerter</w:t>
            </w:r>
          </w:p>
          <w:p w14:paraId="2D3BAC99" w14:textId="77777777" w:rsidR="00BE227F" w:rsidRPr="00596E4B" w:rsidRDefault="00BE227F">
            <w:pPr>
              <w:tabs>
                <w:tab w:val="left" w:pos="1304"/>
              </w:tabs>
              <w:rPr>
                <w:sz w:val="22"/>
                <w:szCs w:val="22"/>
              </w:rPr>
            </w:pPr>
            <w:r w:rsidRPr="00596E4B">
              <w:rPr>
                <w:sz w:val="22"/>
                <w:szCs w:val="22"/>
              </w:rPr>
              <w:t>Dyspepsi</w:t>
            </w:r>
          </w:p>
          <w:p w14:paraId="65592347" w14:textId="77777777" w:rsidR="00BE227F" w:rsidRPr="00596E4B" w:rsidRDefault="00BE227F">
            <w:pPr>
              <w:tabs>
                <w:tab w:val="left" w:pos="1304"/>
              </w:tabs>
              <w:rPr>
                <w:sz w:val="22"/>
                <w:szCs w:val="22"/>
              </w:rPr>
            </w:pPr>
            <w:r w:rsidRPr="00596E4B">
              <w:rPr>
                <w:sz w:val="22"/>
                <w:szCs w:val="22"/>
              </w:rPr>
              <w:t>Flatulens</w:t>
            </w:r>
          </w:p>
          <w:p w14:paraId="27AB3AE4" w14:textId="699C3FAA" w:rsidR="00BE227F" w:rsidRPr="00596E4B" w:rsidRDefault="00BE227F">
            <w:pPr>
              <w:tabs>
                <w:tab w:val="left" w:pos="1304"/>
              </w:tabs>
              <w:rPr>
                <w:sz w:val="22"/>
                <w:szCs w:val="22"/>
              </w:rPr>
            </w:pPr>
            <w:r w:rsidRPr="00596E4B">
              <w:rPr>
                <w:sz w:val="22"/>
                <w:szCs w:val="22"/>
              </w:rPr>
              <w:t>Forstoppel</w:t>
            </w:r>
            <w:r w:rsidR="00254CC6">
              <w:rPr>
                <w:sz w:val="22"/>
                <w:szCs w:val="22"/>
              </w:rPr>
              <w:softHyphen/>
            </w:r>
            <w:r w:rsidRPr="00596E4B">
              <w:rPr>
                <w:sz w:val="22"/>
                <w:szCs w:val="22"/>
              </w:rPr>
              <w:t>se</w:t>
            </w:r>
          </w:p>
        </w:tc>
        <w:tc>
          <w:tcPr>
            <w:tcW w:w="2010" w:type="dxa"/>
            <w:tcBorders>
              <w:top w:val="single" w:sz="4" w:space="0" w:color="auto"/>
              <w:left w:val="single" w:sz="4" w:space="0" w:color="auto"/>
              <w:bottom w:val="single" w:sz="4" w:space="0" w:color="auto"/>
              <w:right w:val="single" w:sz="4" w:space="0" w:color="auto"/>
            </w:tcBorders>
          </w:tcPr>
          <w:p w14:paraId="6EFF01C2" w14:textId="77777777" w:rsidR="00BE227F" w:rsidRPr="00254CC6" w:rsidRDefault="00BE227F">
            <w:pPr>
              <w:tabs>
                <w:tab w:val="left" w:pos="1304"/>
              </w:tabs>
              <w:rPr>
                <w:sz w:val="22"/>
                <w:szCs w:val="22"/>
              </w:rPr>
            </w:pPr>
          </w:p>
        </w:tc>
        <w:tc>
          <w:tcPr>
            <w:tcW w:w="2122" w:type="dxa"/>
            <w:tcBorders>
              <w:top w:val="single" w:sz="4" w:space="0" w:color="auto"/>
              <w:left w:val="single" w:sz="4" w:space="0" w:color="auto"/>
              <w:bottom w:val="single" w:sz="4" w:space="0" w:color="auto"/>
              <w:right w:val="single" w:sz="4" w:space="0" w:color="auto"/>
            </w:tcBorders>
            <w:hideMark/>
          </w:tcPr>
          <w:p w14:paraId="47F373E0" w14:textId="77777777" w:rsidR="00BE227F" w:rsidRPr="00596E4B" w:rsidRDefault="00BE227F">
            <w:pPr>
              <w:tabs>
                <w:tab w:val="left" w:pos="1304"/>
              </w:tabs>
              <w:rPr>
                <w:sz w:val="22"/>
                <w:szCs w:val="22"/>
              </w:rPr>
            </w:pPr>
            <w:r w:rsidRPr="00596E4B">
              <w:rPr>
                <w:sz w:val="22"/>
                <w:szCs w:val="22"/>
              </w:rPr>
              <w:t>Diarré – blodig, hvilket i meget sjældne tilfælde kan være tegn på enterocolitis, inklusive pseudomembranøs colitis (se pkt. 4.4)</w:t>
            </w:r>
          </w:p>
          <w:p w14:paraId="61B130B7" w14:textId="77777777" w:rsidR="00BE227F" w:rsidRPr="00596E4B" w:rsidRDefault="00BE227F">
            <w:pPr>
              <w:tabs>
                <w:tab w:val="left" w:pos="1304"/>
              </w:tabs>
              <w:rPr>
                <w:sz w:val="22"/>
                <w:szCs w:val="22"/>
              </w:rPr>
            </w:pPr>
            <w:r w:rsidRPr="00596E4B">
              <w:rPr>
                <w:sz w:val="22"/>
                <w:szCs w:val="22"/>
              </w:rPr>
              <w:t>Pankreatitis (se pkt. 4.4)</w:t>
            </w:r>
          </w:p>
        </w:tc>
      </w:tr>
      <w:tr w:rsidR="00BE227F" w:rsidRPr="00596E4B" w14:paraId="17B6CD0F"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48904F3E" w14:textId="77777777" w:rsidR="00BE227F" w:rsidRPr="00596E4B" w:rsidRDefault="00BE227F">
            <w:pPr>
              <w:tabs>
                <w:tab w:val="left" w:pos="1304"/>
              </w:tabs>
              <w:rPr>
                <w:sz w:val="22"/>
                <w:szCs w:val="22"/>
              </w:rPr>
            </w:pPr>
            <w:r w:rsidRPr="00596E4B">
              <w:rPr>
                <w:sz w:val="22"/>
                <w:szCs w:val="22"/>
              </w:rPr>
              <w:t>Lever og galdeveje</w:t>
            </w:r>
          </w:p>
        </w:tc>
        <w:tc>
          <w:tcPr>
            <w:tcW w:w="1378" w:type="dxa"/>
            <w:tcBorders>
              <w:top w:val="single" w:sz="4" w:space="0" w:color="auto"/>
              <w:left w:val="single" w:sz="4" w:space="0" w:color="auto"/>
              <w:bottom w:val="single" w:sz="4" w:space="0" w:color="auto"/>
              <w:right w:val="single" w:sz="4" w:space="0" w:color="auto"/>
            </w:tcBorders>
            <w:hideMark/>
          </w:tcPr>
          <w:p w14:paraId="633CEA9E" w14:textId="77777777" w:rsidR="00BE227F" w:rsidRPr="00596E4B" w:rsidRDefault="00BE227F">
            <w:pPr>
              <w:tabs>
                <w:tab w:val="left" w:pos="1304"/>
              </w:tabs>
              <w:rPr>
                <w:sz w:val="22"/>
                <w:szCs w:val="22"/>
              </w:rPr>
            </w:pPr>
            <w:r w:rsidRPr="00596E4B">
              <w:rPr>
                <w:sz w:val="22"/>
                <w:szCs w:val="22"/>
              </w:rPr>
              <w:t>Forhøjede leverenzymer (ALAT/ASAT, basisk fosfatase, GGT)</w:t>
            </w:r>
          </w:p>
        </w:tc>
        <w:tc>
          <w:tcPr>
            <w:tcW w:w="1635" w:type="dxa"/>
            <w:tcBorders>
              <w:top w:val="single" w:sz="4" w:space="0" w:color="auto"/>
              <w:left w:val="single" w:sz="4" w:space="0" w:color="auto"/>
              <w:bottom w:val="single" w:sz="4" w:space="0" w:color="auto"/>
              <w:right w:val="single" w:sz="4" w:space="0" w:color="auto"/>
            </w:tcBorders>
            <w:hideMark/>
          </w:tcPr>
          <w:p w14:paraId="33019B39" w14:textId="77777777" w:rsidR="00BE227F" w:rsidRPr="00596E4B" w:rsidRDefault="00BE227F">
            <w:pPr>
              <w:tabs>
                <w:tab w:val="left" w:pos="1304"/>
              </w:tabs>
              <w:rPr>
                <w:sz w:val="22"/>
                <w:szCs w:val="22"/>
              </w:rPr>
            </w:pPr>
            <w:r w:rsidRPr="00596E4B">
              <w:rPr>
                <w:sz w:val="22"/>
                <w:szCs w:val="22"/>
              </w:rPr>
              <w:t>Forhøjet bilirubin i blodet</w:t>
            </w:r>
          </w:p>
        </w:tc>
        <w:tc>
          <w:tcPr>
            <w:tcW w:w="2010" w:type="dxa"/>
            <w:tcBorders>
              <w:top w:val="single" w:sz="4" w:space="0" w:color="auto"/>
              <w:left w:val="single" w:sz="4" w:space="0" w:color="auto"/>
              <w:bottom w:val="single" w:sz="4" w:space="0" w:color="auto"/>
              <w:right w:val="single" w:sz="4" w:space="0" w:color="auto"/>
            </w:tcBorders>
          </w:tcPr>
          <w:p w14:paraId="5FAC9BCB" w14:textId="77777777" w:rsidR="00BE227F" w:rsidRPr="00596E4B" w:rsidRDefault="00BE227F">
            <w:pPr>
              <w:tabs>
                <w:tab w:val="left" w:pos="1304"/>
              </w:tabs>
              <w:rPr>
                <w:sz w:val="22"/>
                <w:szCs w:val="22"/>
                <w:lang w:val="en-US"/>
              </w:rPr>
            </w:pPr>
          </w:p>
        </w:tc>
        <w:tc>
          <w:tcPr>
            <w:tcW w:w="2122" w:type="dxa"/>
            <w:tcBorders>
              <w:top w:val="single" w:sz="4" w:space="0" w:color="auto"/>
              <w:left w:val="single" w:sz="4" w:space="0" w:color="auto"/>
              <w:bottom w:val="single" w:sz="4" w:space="0" w:color="auto"/>
              <w:right w:val="single" w:sz="4" w:space="0" w:color="auto"/>
            </w:tcBorders>
            <w:hideMark/>
          </w:tcPr>
          <w:p w14:paraId="7BE19C86" w14:textId="77777777" w:rsidR="00BE227F" w:rsidRPr="00596E4B" w:rsidRDefault="00BE227F">
            <w:pPr>
              <w:tabs>
                <w:tab w:val="left" w:pos="1304"/>
              </w:tabs>
              <w:rPr>
                <w:sz w:val="22"/>
                <w:szCs w:val="22"/>
              </w:rPr>
            </w:pPr>
            <w:r w:rsidRPr="00596E4B">
              <w:rPr>
                <w:sz w:val="22"/>
                <w:szCs w:val="22"/>
              </w:rPr>
              <w:t>Gulsot og svær leverskade, inklusive letale tilfælde af akut leverinsufficiens, primært hos patienter med svære underliggende sygdomme (se pkt. 4.4)</w:t>
            </w:r>
          </w:p>
          <w:p w14:paraId="193EC275" w14:textId="77777777" w:rsidR="00BE227F" w:rsidRPr="00596E4B" w:rsidRDefault="00BE227F">
            <w:pPr>
              <w:tabs>
                <w:tab w:val="left" w:pos="1304"/>
              </w:tabs>
              <w:rPr>
                <w:sz w:val="22"/>
                <w:szCs w:val="22"/>
              </w:rPr>
            </w:pPr>
            <w:r w:rsidRPr="00596E4B">
              <w:rPr>
                <w:sz w:val="22"/>
                <w:szCs w:val="22"/>
              </w:rPr>
              <w:t>Hepatitis</w:t>
            </w:r>
          </w:p>
        </w:tc>
      </w:tr>
      <w:tr w:rsidR="00BE227F" w:rsidRPr="00596E4B" w14:paraId="38958F52"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5AE58806" w14:textId="767F9558" w:rsidR="00BE227F" w:rsidRPr="00596E4B" w:rsidRDefault="00BE227F">
            <w:pPr>
              <w:tabs>
                <w:tab w:val="left" w:pos="1304"/>
              </w:tabs>
              <w:rPr>
                <w:sz w:val="22"/>
                <w:szCs w:val="22"/>
              </w:rPr>
            </w:pPr>
            <w:r w:rsidRPr="00596E4B">
              <w:rPr>
                <w:sz w:val="22"/>
                <w:szCs w:val="22"/>
              </w:rPr>
              <w:t>Hud og subkutane væv</w:t>
            </w:r>
            <w:r w:rsidRPr="00596E4B">
              <w:rPr>
                <w:sz w:val="22"/>
                <w:szCs w:val="22"/>
                <w:vertAlign w:val="superscript"/>
              </w:rPr>
              <w:t>b</w:t>
            </w:r>
          </w:p>
        </w:tc>
        <w:tc>
          <w:tcPr>
            <w:tcW w:w="1378" w:type="dxa"/>
            <w:tcBorders>
              <w:top w:val="single" w:sz="4" w:space="0" w:color="auto"/>
              <w:left w:val="single" w:sz="4" w:space="0" w:color="auto"/>
              <w:bottom w:val="single" w:sz="4" w:space="0" w:color="auto"/>
              <w:right w:val="single" w:sz="4" w:space="0" w:color="auto"/>
            </w:tcBorders>
          </w:tcPr>
          <w:p w14:paraId="32A02446" w14:textId="77777777" w:rsidR="00BE227F" w:rsidRPr="00596E4B" w:rsidRDefault="00BE227F">
            <w:pPr>
              <w:tabs>
                <w:tab w:val="left" w:pos="1304"/>
              </w:tabs>
              <w:rPr>
                <w:sz w:val="22"/>
                <w:szCs w:val="22"/>
              </w:rPr>
            </w:pPr>
          </w:p>
        </w:tc>
        <w:tc>
          <w:tcPr>
            <w:tcW w:w="1635" w:type="dxa"/>
            <w:tcBorders>
              <w:top w:val="single" w:sz="4" w:space="0" w:color="auto"/>
              <w:left w:val="single" w:sz="4" w:space="0" w:color="auto"/>
              <w:bottom w:val="single" w:sz="4" w:space="0" w:color="auto"/>
              <w:right w:val="single" w:sz="4" w:space="0" w:color="auto"/>
            </w:tcBorders>
            <w:hideMark/>
          </w:tcPr>
          <w:p w14:paraId="449C5FF4" w14:textId="77777777" w:rsidR="00BE227F" w:rsidRPr="00596E4B" w:rsidRDefault="00BE227F">
            <w:pPr>
              <w:tabs>
                <w:tab w:val="left" w:pos="1304"/>
              </w:tabs>
              <w:rPr>
                <w:sz w:val="22"/>
                <w:szCs w:val="22"/>
              </w:rPr>
            </w:pPr>
            <w:r w:rsidRPr="00596E4B">
              <w:rPr>
                <w:sz w:val="22"/>
                <w:szCs w:val="22"/>
              </w:rPr>
              <w:t>Udslæt</w:t>
            </w:r>
          </w:p>
          <w:p w14:paraId="3E19FB44" w14:textId="77777777" w:rsidR="00BE227F" w:rsidRPr="00596E4B" w:rsidRDefault="00BE227F">
            <w:pPr>
              <w:tabs>
                <w:tab w:val="left" w:pos="1304"/>
              </w:tabs>
              <w:rPr>
                <w:sz w:val="22"/>
                <w:szCs w:val="22"/>
              </w:rPr>
            </w:pPr>
            <w:r w:rsidRPr="00596E4B">
              <w:rPr>
                <w:sz w:val="22"/>
                <w:szCs w:val="22"/>
              </w:rPr>
              <w:t>Pruritus</w:t>
            </w:r>
          </w:p>
          <w:p w14:paraId="05C94190" w14:textId="77777777" w:rsidR="00BE227F" w:rsidRPr="00596E4B" w:rsidRDefault="00BE227F">
            <w:pPr>
              <w:tabs>
                <w:tab w:val="left" w:pos="1304"/>
              </w:tabs>
              <w:rPr>
                <w:sz w:val="22"/>
                <w:szCs w:val="22"/>
              </w:rPr>
            </w:pPr>
            <w:r w:rsidRPr="00596E4B">
              <w:rPr>
                <w:sz w:val="22"/>
                <w:szCs w:val="22"/>
              </w:rPr>
              <w:t>Urticaria</w:t>
            </w:r>
          </w:p>
          <w:p w14:paraId="14E4ED55" w14:textId="7C1FAFDB" w:rsidR="00BE227F" w:rsidRPr="00596E4B" w:rsidRDefault="00BE227F">
            <w:pPr>
              <w:tabs>
                <w:tab w:val="left" w:pos="1304"/>
              </w:tabs>
              <w:rPr>
                <w:sz w:val="22"/>
                <w:szCs w:val="22"/>
              </w:rPr>
            </w:pPr>
            <w:r w:rsidRPr="00596E4B">
              <w:rPr>
                <w:sz w:val="22"/>
                <w:szCs w:val="22"/>
              </w:rPr>
              <w:t>Hyperhid</w:t>
            </w:r>
            <w:r w:rsidR="00254CC6">
              <w:rPr>
                <w:sz w:val="22"/>
                <w:szCs w:val="22"/>
              </w:rPr>
              <w:softHyphen/>
            </w:r>
            <w:r w:rsidRPr="00596E4B">
              <w:rPr>
                <w:sz w:val="22"/>
                <w:szCs w:val="22"/>
              </w:rPr>
              <w:t>rose</w:t>
            </w:r>
          </w:p>
        </w:tc>
        <w:tc>
          <w:tcPr>
            <w:tcW w:w="2010" w:type="dxa"/>
            <w:tcBorders>
              <w:top w:val="single" w:sz="4" w:space="0" w:color="auto"/>
              <w:left w:val="single" w:sz="4" w:space="0" w:color="auto"/>
              <w:bottom w:val="single" w:sz="4" w:space="0" w:color="auto"/>
              <w:right w:val="single" w:sz="4" w:space="0" w:color="auto"/>
            </w:tcBorders>
            <w:hideMark/>
          </w:tcPr>
          <w:p w14:paraId="2D719C50" w14:textId="77777777" w:rsidR="00BE227F" w:rsidRPr="00596E4B" w:rsidRDefault="00BE227F">
            <w:pPr>
              <w:tabs>
                <w:tab w:val="left" w:pos="1304"/>
              </w:tabs>
              <w:rPr>
                <w:sz w:val="22"/>
                <w:szCs w:val="22"/>
              </w:rPr>
            </w:pPr>
            <w:r w:rsidRPr="00596E4B">
              <w:rPr>
                <w:sz w:val="22"/>
                <w:szCs w:val="22"/>
              </w:rPr>
              <w:t>Lægemiddelreaktion med eosinofili og systemiske symptomer (DRESS) (se pkt. 4.4)</w:t>
            </w:r>
          </w:p>
          <w:p w14:paraId="7A867902" w14:textId="77777777" w:rsidR="00BE227F" w:rsidRPr="00596E4B" w:rsidRDefault="00BE227F">
            <w:pPr>
              <w:tabs>
                <w:tab w:val="left" w:pos="1304"/>
              </w:tabs>
              <w:rPr>
                <w:sz w:val="22"/>
                <w:szCs w:val="22"/>
              </w:rPr>
            </w:pPr>
            <w:r w:rsidRPr="00596E4B">
              <w:rPr>
                <w:sz w:val="22"/>
                <w:szCs w:val="22"/>
              </w:rPr>
              <w:lastRenderedPageBreak/>
              <w:t>Medikamentelt udslæt (fixed drug eruption)</w:t>
            </w:r>
          </w:p>
        </w:tc>
        <w:tc>
          <w:tcPr>
            <w:tcW w:w="2122" w:type="dxa"/>
            <w:tcBorders>
              <w:top w:val="single" w:sz="4" w:space="0" w:color="auto"/>
              <w:left w:val="single" w:sz="4" w:space="0" w:color="auto"/>
              <w:bottom w:val="single" w:sz="4" w:space="0" w:color="auto"/>
              <w:right w:val="single" w:sz="4" w:space="0" w:color="auto"/>
            </w:tcBorders>
            <w:hideMark/>
          </w:tcPr>
          <w:p w14:paraId="13DD3AAA" w14:textId="77777777" w:rsidR="00BE227F" w:rsidRPr="00596E4B" w:rsidRDefault="00BE227F">
            <w:pPr>
              <w:tabs>
                <w:tab w:val="left" w:pos="1304"/>
              </w:tabs>
              <w:rPr>
                <w:sz w:val="22"/>
                <w:szCs w:val="22"/>
              </w:rPr>
            </w:pPr>
            <w:r w:rsidRPr="00596E4B">
              <w:rPr>
                <w:sz w:val="22"/>
                <w:szCs w:val="22"/>
              </w:rPr>
              <w:lastRenderedPageBreak/>
              <w:t>Toksisk epidermal nekrolyse</w:t>
            </w:r>
          </w:p>
          <w:p w14:paraId="292045D4" w14:textId="77777777" w:rsidR="00BE227F" w:rsidRPr="00596E4B" w:rsidRDefault="00BE227F">
            <w:pPr>
              <w:tabs>
                <w:tab w:val="left" w:pos="1304"/>
              </w:tabs>
              <w:rPr>
                <w:sz w:val="22"/>
                <w:szCs w:val="22"/>
              </w:rPr>
            </w:pPr>
            <w:r w:rsidRPr="00596E4B">
              <w:rPr>
                <w:sz w:val="22"/>
                <w:szCs w:val="22"/>
              </w:rPr>
              <w:t>Stevens-Johnsons syndrom</w:t>
            </w:r>
          </w:p>
          <w:p w14:paraId="5623A716" w14:textId="77777777" w:rsidR="00BE227F" w:rsidRPr="00596E4B" w:rsidRDefault="00BE227F">
            <w:pPr>
              <w:tabs>
                <w:tab w:val="left" w:pos="1304"/>
              </w:tabs>
              <w:rPr>
                <w:sz w:val="22"/>
                <w:szCs w:val="22"/>
              </w:rPr>
            </w:pPr>
            <w:r w:rsidRPr="00596E4B">
              <w:rPr>
                <w:sz w:val="22"/>
                <w:szCs w:val="22"/>
              </w:rPr>
              <w:t>Erythema multiforme</w:t>
            </w:r>
          </w:p>
          <w:p w14:paraId="30CDE55D" w14:textId="7B105185" w:rsidR="00BE227F" w:rsidRPr="00596E4B" w:rsidRDefault="00BE227F">
            <w:pPr>
              <w:tabs>
                <w:tab w:val="left" w:pos="1304"/>
              </w:tabs>
              <w:rPr>
                <w:sz w:val="22"/>
                <w:szCs w:val="22"/>
              </w:rPr>
            </w:pPr>
            <w:r w:rsidRPr="00596E4B">
              <w:rPr>
                <w:sz w:val="22"/>
                <w:szCs w:val="22"/>
              </w:rPr>
              <w:t>Fotosensibiliserings</w:t>
            </w:r>
            <w:r w:rsidR="00254CC6">
              <w:rPr>
                <w:sz w:val="22"/>
                <w:szCs w:val="22"/>
              </w:rPr>
              <w:softHyphen/>
            </w:r>
            <w:r w:rsidRPr="00596E4B">
              <w:rPr>
                <w:sz w:val="22"/>
                <w:szCs w:val="22"/>
              </w:rPr>
              <w:t>reaktion (se pkt. 4.4)</w:t>
            </w:r>
          </w:p>
          <w:p w14:paraId="65E4E99D" w14:textId="77777777" w:rsidR="00BE227F" w:rsidRPr="00596E4B" w:rsidRDefault="00BE227F">
            <w:pPr>
              <w:tabs>
                <w:tab w:val="left" w:pos="1304"/>
              </w:tabs>
              <w:rPr>
                <w:sz w:val="22"/>
                <w:szCs w:val="22"/>
              </w:rPr>
            </w:pPr>
            <w:r w:rsidRPr="00596E4B">
              <w:rPr>
                <w:sz w:val="22"/>
                <w:szCs w:val="22"/>
              </w:rPr>
              <w:lastRenderedPageBreak/>
              <w:t>Leukocytoklastisk vasculitis</w:t>
            </w:r>
          </w:p>
          <w:p w14:paraId="501F9786" w14:textId="77777777" w:rsidR="00BE227F" w:rsidRDefault="00BE227F">
            <w:pPr>
              <w:tabs>
                <w:tab w:val="left" w:pos="1304"/>
              </w:tabs>
              <w:rPr>
                <w:sz w:val="22"/>
                <w:szCs w:val="22"/>
              </w:rPr>
            </w:pPr>
            <w:r w:rsidRPr="00596E4B">
              <w:rPr>
                <w:sz w:val="22"/>
                <w:szCs w:val="22"/>
              </w:rPr>
              <w:t>Stomatitis</w:t>
            </w:r>
          </w:p>
          <w:p w14:paraId="19E31B28" w14:textId="497EB694" w:rsidR="00A501FE" w:rsidRPr="00596E4B" w:rsidRDefault="00A501FE">
            <w:pPr>
              <w:tabs>
                <w:tab w:val="left" w:pos="1304"/>
              </w:tabs>
              <w:rPr>
                <w:sz w:val="22"/>
                <w:szCs w:val="22"/>
              </w:rPr>
            </w:pPr>
            <w:r>
              <w:rPr>
                <w:sz w:val="22"/>
                <w:szCs w:val="22"/>
                <w:lang w:val="nb-NO"/>
              </w:rPr>
              <w:t>Hyperpigmentering af hud</w:t>
            </w:r>
          </w:p>
        </w:tc>
      </w:tr>
      <w:tr w:rsidR="00BE227F" w:rsidRPr="00596E4B" w14:paraId="34A20786"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5CA802B2" w14:textId="77777777" w:rsidR="00BE227F" w:rsidRPr="00596E4B" w:rsidRDefault="00BE227F">
            <w:pPr>
              <w:tabs>
                <w:tab w:val="left" w:pos="1304"/>
              </w:tabs>
              <w:rPr>
                <w:sz w:val="22"/>
                <w:szCs w:val="22"/>
              </w:rPr>
            </w:pPr>
            <w:r w:rsidRPr="00596E4B">
              <w:rPr>
                <w:sz w:val="22"/>
                <w:szCs w:val="22"/>
              </w:rPr>
              <w:lastRenderedPageBreak/>
              <w:t>Knogler, led, muskler og bindevæv*</w:t>
            </w:r>
          </w:p>
        </w:tc>
        <w:tc>
          <w:tcPr>
            <w:tcW w:w="1378" w:type="dxa"/>
            <w:tcBorders>
              <w:top w:val="single" w:sz="4" w:space="0" w:color="auto"/>
              <w:left w:val="single" w:sz="4" w:space="0" w:color="auto"/>
              <w:bottom w:val="single" w:sz="4" w:space="0" w:color="auto"/>
              <w:right w:val="single" w:sz="4" w:space="0" w:color="auto"/>
            </w:tcBorders>
          </w:tcPr>
          <w:p w14:paraId="347C5290" w14:textId="77777777" w:rsidR="00BE227F" w:rsidRPr="00596E4B" w:rsidRDefault="00BE227F">
            <w:pPr>
              <w:tabs>
                <w:tab w:val="left" w:pos="1304"/>
              </w:tabs>
              <w:rPr>
                <w:sz w:val="22"/>
                <w:szCs w:val="22"/>
              </w:rPr>
            </w:pPr>
          </w:p>
        </w:tc>
        <w:tc>
          <w:tcPr>
            <w:tcW w:w="1635" w:type="dxa"/>
            <w:tcBorders>
              <w:top w:val="single" w:sz="4" w:space="0" w:color="auto"/>
              <w:left w:val="single" w:sz="4" w:space="0" w:color="auto"/>
              <w:bottom w:val="single" w:sz="4" w:space="0" w:color="auto"/>
              <w:right w:val="single" w:sz="4" w:space="0" w:color="auto"/>
            </w:tcBorders>
            <w:hideMark/>
          </w:tcPr>
          <w:p w14:paraId="2078275F" w14:textId="77777777" w:rsidR="00BE227F" w:rsidRPr="00596E4B" w:rsidRDefault="00BE227F">
            <w:pPr>
              <w:tabs>
                <w:tab w:val="left" w:pos="1304"/>
              </w:tabs>
              <w:rPr>
                <w:sz w:val="22"/>
                <w:szCs w:val="22"/>
              </w:rPr>
            </w:pPr>
            <w:r w:rsidRPr="00596E4B">
              <w:rPr>
                <w:sz w:val="22"/>
                <w:szCs w:val="22"/>
              </w:rPr>
              <w:t>Artralgi</w:t>
            </w:r>
          </w:p>
          <w:p w14:paraId="3C8B1ECF" w14:textId="77777777" w:rsidR="00BE227F" w:rsidRPr="00596E4B" w:rsidRDefault="00BE227F">
            <w:pPr>
              <w:tabs>
                <w:tab w:val="left" w:pos="1304"/>
              </w:tabs>
              <w:rPr>
                <w:sz w:val="22"/>
                <w:szCs w:val="22"/>
              </w:rPr>
            </w:pPr>
            <w:r w:rsidRPr="00596E4B">
              <w:rPr>
                <w:sz w:val="22"/>
                <w:szCs w:val="22"/>
              </w:rPr>
              <w:t>Myalgi</w:t>
            </w:r>
          </w:p>
        </w:tc>
        <w:tc>
          <w:tcPr>
            <w:tcW w:w="2010" w:type="dxa"/>
            <w:tcBorders>
              <w:top w:val="single" w:sz="4" w:space="0" w:color="auto"/>
              <w:left w:val="single" w:sz="4" w:space="0" w:color="auto"/>
              <w:bottom w:val="single" w:sz="4" w:space="0" w:color="auto"/>
              <w:right w:val="single" w:sz="4" w:space="0" w:color="auto"/>
            </w:tcBorders>
            <w:hideMark/>
          </w:tcPr>
          <w:p w14:paraId="4029C6FD" w14:textId="77777777" w:rsidR="00BE227F" w:rsidRPr="00596E4B" w:rsidRDefault="00BE227F">
            <w:pPr>
              <w:tabs>
                <w:tab w:val="left" w:pos="1304"/>
              </w:tabs>
              <w:rPr>
                <w:sz w:val="22"/>
                <w:szCs w:val="22"/>
              </w:rPr>
            </w:pPr>
            <w:r w:rsidRPr="00596E4B">
              <w:rPr>
                <w:sz w:val="22"/>
                <w:szCs w:val="22"/>
              </w:rPr>
              <w:t>Senelidelser (se pkt. 4.3 og 4.4), inklusive tendinitis (f.eks. akillessene)</w:t>
            </w:r>
          </w:p>
          <w:p w14:paraId="1DC39EF2" w14:textId="77777777" w:rsidR="00BE227F" w:rsidRPr="00596E4B" w:rsidRDefault="00BE227F">
            <w:pPr>
              <w:tabs>
                <w:tab w:val="left" w:pos="1304"/>
              </w:tabs>
              <w:rPr>
                <w:sz w:val="22"/>
                <w:szCs w:val="22"/>
              </w:rPr>
            </w:pPr>
            <w:r w:rsidRPr="00596E4B">
              <w:rPr>
                <w:sz w:val="22"/>
                <w:szCs w:val="22"/>
              </w:rPr>
              <w:t>Muskelsvaghed, hvilket kan være af særlig relevans hos patienter med myasthenia gravis (se pkt. 4.4)</w:t>
            </w:r>
          </w:p>
        </w:tc>
        <w:tc>
          <w:tcPr>
            <w:tcW w:w="2122" w:type="dxa"/>
            <w:tcBorders>
              <w:top w:val="single" w:sz="4" w:space="0" w:color="auto"/>
              <w:left w:val="single" w:sz="4" w:space="0" w:color="auto"/>
              <w:bottom w:val="single" w:sz="4" w:space="0" w:color="auto"/>
              <w:right w:val="single" w:sz="4" w:space="0" w:color="auto"/>
            </w:tcBorders>
            <w:hideMark/>
          </w:tcPr>
          <w:p w14:paraId="74B564E1" w14:textId="77777777" w:rsidR="00BE227F" w:rsidRPr="00596E4B" w:rsidRDefault="00BE227F">
            <w:pPr>
              <w:tabs>
                <w:tab w:val="left" w:pos="1304"/>
              </w:tabs>
              <w:rPr>
                <w:sz w:val="22"/>
                <w:szCs w:val="22"/>
              </w:rPr>
            </w:pPr>
            <w:r w:rsidRPr="00596E4B">
              <w:rPr>
                <w:sz w:val="22"/>
                <w:szCs w:val="22"/>
              </w:rPr>
              <w:t>Rabdomyolyse</w:t>
            </w:r>
          </w:p>
          <w:p w14:paraId="6DEC0A11" w14:textId="77777777" w:rsidR="00BE227F" w:rsidRPr="00596E4B" w:rsidRDefault="00BE227F">
            <w:pPr>
              <w:tabs>
                <w:tab w:val="left" w:pos="1304"/>
              </w:tabs>
              <w:rPr>
                <w:sz w:val="22"/>
                <w:szCs w:val="22"/>
              </w:rPr>
            </w:pPr>
            <w:r w:rsidRPr="00596E4B">
              <w:rPr>
                <w:sz w:val="22"/>
                <w:szCs w:val="22"/>
              </w:rPr>
              <w:t>Seneruptur (f.eks. akillessene) (se pkt. 4.3 og 4.4)</w:t>
            </w:r>
          </w:p>
          <w:p w14:paraId="134B119C" w14:textId="77777777" w:rsidR="00BE227F" w:rsidRPr="00596E4B" w:rsidRDefault="00BE227F">
            <w:pPr>
              <w:tabs>
                <w:tab w:val="left" w:pos="1304"/>
              </w:tabs>
              <w:rPr>
                <w:sz w:val="22"/>
                <w:szCs w:val="22"/>
              </w:rPr>
            </w:pPr>
            <w:r w:rsidRPr="00596E4B">
              <w:rPr>
                <w:sz w:val="22"/>
                <w:szCs w:val="22"/>
              </w:rPr>
              <w:t>Ligamentruptur</w:t>
            </w:r>
          </w:p>
          <w:p w14:paraId="41EF42A5" w14:textId="77777777" w:rsidR="00BE227F" w:rsidRPr="00596E4B" w:rsidRDefault="00BE227F">
            <w:pPr>
              <w:tabs>
                <w:tab w:val="left" w:pos="1304"/>
              </w:tabs>
              <w:rPr>
                <w:sz w:val="22"/>
                <w:szCs w:val="22"/>
              </w:rPr>
            </w:pPr>
            <w:r w:rsidRPr="00596E4B">
              <w:rPr>
                <w:sz w:val="22"/>
                <w:szCs w:val="22"/>
              </w:rPr>
              <w:t>Muskeluptur</w:t>
            </w:r>
          </w:p>
          <w:p w14:paraId="12DC9DE5" w14:textId="77777777" w:rsidR="00BE227F" w:rsidRPr="00596E4B" w:rsidRDefault="00BE227F">
            <w:pPr>
              <w:tabs>
                <w:tab w:val="left" w:pos="1304"/>
              </w:tabs>
              <w:rPr>
                <w:sz w:val="22"/>
                <w:szCs w:val="22"/>
              </w:rPr>
            </w:pPr>
            <w:r w:rsidRPr="00596E4B">
              <w:rPr>
                <w:sz w:val="22"/>
                <w:szCs w:val="22"/>
              </w:rPr>
              <w:t>Artritis</w:t>
            </w:r>
          </w:p>
        </w:tc>
      </w:tr>
      <w:tr w:rsidR="00BE227F" w:rsidRPr="00596E4B" w14:paraId="6BF2C147"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47077566" w14:textId="77777777" w:rsidR="00BE227F" w:rsidRPr="00596E4B" w:rsidRDefault="00BE227F">
            <w:pPr>
              <w:tabs>
                <w:tab w:val="left" w:pos="1304"/>
              </w:tabs>
              <w:rPr>
                <w:sz w:val="22"/>
                <w:szCs w:val="22"/>
              </w:rPr>
            </w:pPr>
            <w:r w:rsidRPr="00596E4B">
              <w:rPr>
                <w:sz w:val="22"/>
                <w:szCs w:val="22"/>
              </w:rPr>
              <w:t>Nyrer og urinveje</w:t>
            </w:r>
          </w:p>
        </w:tc>
        <w:tc>
          <w:tcPr>
            <w:tcW w:w="1378" w:type="dxa"/>
            <w:tcBorders>
              <w:top w:val="single" w:sz="4" w:space="0" w:color="auto"/>
              <w:left w:val="single" w:sz="4" w:space="0" w:color="auto"/>
              <w:bottom w:val="single" w:sz="4" w:space="0" w:color="auto"/>
              <w:right w:val="single" w:sz="4" w:space="0" w:color="auto"/>
            </w:tcBorders>
          </w:tcPr>
          <w:p w14:paraId="042F9C1B" w14:textId="77777777" w:rsidR="00BE227F" w:rsidRPr="00596E4B" w:rsidRDefault="00BE227F">
            <w:pPr>
              <w:tabs>
                <w:tab w:val="left" w:pos="1304"/>
              </w:tabs>
              <w:rPr>
                <w:sz w:val="22"/>
                <w:szCs w:val="22"/>
                <w:lang w:val="en-US"/>
              </w:rPr>
            </w:pPr>
          </w:p>
        </w:tc>
        <w:tc>
          <w:tcPr>
            <w:tcW w:w="1635" w:type="dxa"/>
            <w:tcBorders>
              <w:top w:val="single" w:sz="4" w:space="0" w:color="auto"/>
              <w:left w:val="single" w:sz="4" w:space="0" w:color="auto"/>
              <w:bottom w:val="single" w:sz="4" w:space="0" w:color="auto"/>
              <w:right w:val="single" w:sz="4" w:space="0" w:color="auto"/>
            </w:tcBorders>
            <w:hideMark/>
          </w:tcPr>
          <w:p w14:paraId="31846750" w14:textId="77777777" w:rsidR="00BE227F" w:rsidRPr="00596E4B" w:rsidRDefault="00BE227F">
            <w:pPr>
              <w:tabs>
                <w:tab w:val="left" w:pos="1304"/>
              </w:tabs>
              <w:rPr>
                <w:sz w:val="22"/>
                <w:szCs w:val="22"/>
              </w:rPr>
            </w:pPr>
            <w:r w:rsidRPr="00596E4B">
              <w:rPr>
                <w:sz w:val="22"/>
                <w:szCs w:val="22"/>
              </w:rPr>
              <w:t>Forhøjet kreatinin i blodet</w:t>
            </w:r>
          </w:p>
        </w:tc>
        <w:tc>
          <w:tcPr>
            <w:tcW w:w="2010" w:type="dxa"/>
            <w:tcBorders>
              <w:top w:val="single" w:sz="4" w:space="0" w:color="auto"/>
              <w:left w:val="single" w:sz="4" w:space="0" w:color="auto"/>
              <w:bottom w:val="single" w:sz="4" w:space="0" w:color="auto"/>
              <w:right w:val="single" w:sz="4" w:space="0" w:color="auto"/>
            </w:tcBorders>
            <w:hideMark/>
          </w:tcPr>
          <w:p w14:paraId="3F7C480C" w14:textId="77777777" w:rsidR="00BE227F" w:rsidRPr="00596E4B" w:rsidRDefault="00BE227F">
            <w:pPr>
              <w:tabs>
                <w:tab w:val="left" w:pos="1304"/>
              </w:tabs>
              <w:rPr>
                <w:sz w:val="22"/>
                <w:szCs w:val="22"/>
              </w:rPr>
            </w:pPr>
            <w:r w:rsidRPr="00596E4B">
              <w:rPr>
                <w:sz w:val="22"/>
                <w:szCs w:val="22"/>
              </w:rPr>
              <w:t>Akut nyresvigt (f.eks. på grund af interstitiel nefritis)</w:t>
            </w:r>
          </w:p>
        </w:tc>
        <w:tc>
          <w:tcPr>
            <w:tcW w:w="2122" w:type="dxa"/>
            <w:tcBorders>
              <w:top w:val="single" w:sz="4" w:space="0" w:color="auto"/>
              <w:left w:val="single" w:sz="4" w:space="0" w:color="auto"/>
              <w:bottom w:val="single" w:sz="4" w:space="0" w:color="auto"/>
              <w:right w:val="single" w:sz="4" w:space="0" w:color="auto"/>
            </w:tcBorders>
          </w:tcPr>
          <w:p w14:paraId="1DE4C1FD" w14:textId="77777777" w:rsidR="00BE227F" w:rsidRPr="00596E4B" w:rsidRDefault="00BE227F">
            <w:pPr>
              <w:tabs>
                <w:tab w:val="left" w:pos="1304"/>
              </w:tabs>
              <w:rPr>
                <w:sz w:val="22"/>
                <w:szCs w:val="22"/>
              </w:rPr>
            </w:pPr>
          </w:p>
        </w:tc>
      </w:tr>
      <w:tr w:rsidR="00BE227F" w:rsidRPr="00596E4B" w14:paraId="4CAA3CCB" w14:textId="77777777" w:rsidTr="00BE227F">
        <w:tc>
          <w:tcPr>
            <w:tcW w:w="1918" w:type="dxa"/>
            <w:tcBorders>
              <w:top w:val="single" w:sz="4" w:space="0" w:color="auto"/>
              <w:left w:val="single" w:sz="4" w:space="0" w:color="auto"/>
              <w:bottom w:val="single" w:sz="4" w:space="0" w:color="auto"/>
              <w:right w:val="single" w:sz="4" w:space="0" w:color="auto"/>
            </w:tcBorders>
            <w:hideMark/>
          </w:tcPr>
          <w:p w14:paraId="5AEDADBD" w14:textId="77777777" w:rsidR="00BE227F" w:rsidRPr="00596E4B" w:rsidRDefault="00BE227F">
            <w:pPr>
              <w:tabs>
                <w:tab w:val="left" w:pos="1304"/>
              </w:tabs>
              <w:rPr>
                <w:sz w:val="22"/>
                <w:szCs w:val="22"/>
              </w:rPr>
            </w:pPr>
            <w:r w:rsidRPr="00596E4B">
              <w:rPr>
                <w:sz w:val="22"/>
                <w:szCs w:val="22"/>
              </w:rPr>
              <w:t>Almene symptomer og reaktioner på administrationsstedet*</w:t>
            </w:r>
          </w:p>
        </w:tc>
        <w:tc>
          <w:tcPr>
            <w:tcW w:w="1378" w:type="dxa"/>
            <w:tcBorders>
              <w:top w:val="single" w:sz="4" w:space="0" w:color="auto"/>
              <w:left w:val="single" w:sz="4" w:space="0" w:color="auto"/>
              <w:bottom w:val="single" w:sz="4" w:space="0" w:color="auto"/>
              <w:right w:val="single" w:sz="4" w:space="0" w:color="auto"/>
            </w:tcBorders>
          </w:tcPr>
          <w:p w14:paraId="6B2F09B1" w14:textId="77777777" w:rsidR="00BE227F" w:rsidRPr="00596E4B" w:rsidRDefault="00BE227F">
            <w:pPr>
              <w:tabs>
                <w:tab w:val="left" w:pos="1304"/>
              </w:tabs>
              <w:rPr>
                <w:sz w:val="22"/>
                <w:szCs w:val="22"/>
              </w:rPr>
            </w:pPr>
          </w:p>
        </w:tc>
        <w:tc>
          <w:tcPr>
            <w:tcW w:w="1635" w:type="dxa"/>
            <w:tcBorders>
              <w:top w:val="single" w:sz="4" w:space="0" w:color="auto"/>
              <w:left w:val="single" w:sz="4" w:space="0" w:color="auto"/>
              <w:bottom w:val="single" w:sz="4" w:space="0" w:color="auto"/>
              <w:right w:val="single" w:sz="4" w:space="0" w:color="auto"/>
            </w:tcBorders>
            <w:hideMark/>
          </w:tcPr>
          <w:p w14:paraId="0693C9EF" w14:textId="77777777" w:rsidR="00BE227F" w:rsidRPr="00596E4B" w:rsidRDefault="00BE227F">
            <w:pPr>
              <w:tabs>
                <w:tab w:val="left" w:pos="1304"/>
              </w:tabs>
              <w:rPr>
                <w:sz w:val="22"/>
                <w:szCs w:val="22"/>
              </w:rPr>
            </w:pPr>
            <w:r w:rsidRPr="00596E4B">
              <w:rPr>
                <w:sz w:val="22"/>
                <w:szCs w:val="22"/>
              </w:rPr>
              <w:t>Asteni</w:t>
            </w:r>
          </w:p>
        </w:tc>
        <w:tc>
          <w:tcPr>
            <w:tcW w:w="2010" w:type="dxa"/>
            <w:tcBorders>
              <w:top w:val="single" w:sz="4" w:space="0" w:color="auto"/>
              <w:left w:val="single" w:sz="4" w:space="0" w:color="auto"/>
              <w:bottom w:val="single" w:sz="4" w:space="0" w:color="auto"/>
              <w:right w:val="single" w:sz="4" w:space="0" w:color="auto"/>
            </w:tcBorders>
            <w:hideMark/>
          </w:tcPr>
          <w:p w14:paraId="6EB68866" w14:textId="77777777" w:rsidR="00BE227F" w:rsidRPr="00596E4B" w:rsidRDefault="00BE227F">
            <w:pPr>
              <w:tabs>
                <w:tab w:val="left" w:pos="1304"/>
              </w:tabs>
              <w:rPr>
                <w:sz w:val="22"/>
                <w:szCs w:val="22"/>
              </w:rPr>
            </w:pPr>
            <w:r w:rsidRPr="00596E4B">
              <w:rPr>
                <w:sz w:val="22"/>
                <w:szCs w:val="22"/>
              </w:rPr>
              <w:t>Pyreksi</w:t>
            </w:r>
          </w:p>
        </w:tc>
        <w:tc>
          <w:tcPr>
            <w:tcW w:w="2122" w:type="dxa"/>
            <w:tcBorders>
              <w:top w:val="single" w:sz="4" w:space="0" w:color="auto"/>
              <w:left w:val="single" w:sz="4" w:space="0" w:color="auto"/>
              <w:bottom w:val="single" w:sz="4" w:space="0" w:color="auto"/>
              <w:right w:val="single" w:sz="4" w:space="0" w:color="auto"/>
            </w:tcBorders>
            <w:hideMark/>
          </w:tcPr>
          <w:p w14:paraId="6B9BA232" w14:textId="77777777" w:rsidR="00BE227F" w:rsidRPr="00596E4B" w:rsidRDefault="00BE227F">
            <w:pPr>
              <w:tabs>
                <w:tab w:val="left" w:pos="1304"/>
              </w:tabs>
              <w:rPr>
                <w:sz w:val="22"/>
                <w:szCs w:val="22"/>
              </w:rPr>
            </w:pPr>
            <w:r w:rsidRPr="00596E4B">
              <w:rPr>
                <w:sz w:val="22"/>
                <w:szCs w:val="22"/>
              </w:rPr>
              <w:t>Smerter (inklusive smerter i ryg, bryst og ekstremiteter)</w:t>
            </w:r>
          </w:p>
        </w:tc>
      </w:tr>
    </w:tbl>
    <w:bookmarkEnd w:id="1"/>
    <w:p w14:paraId="39EB0F7D" w14:textId="053F3C28" w:rsidR="00BE227F" w:rsidRPr="00596E4B" w:rsidRDefault="00BE227F" w:rsidP="00596E4B">
      <w:pPr>
        <w:ind w:left="426" w:hanging="426"/>
        <w:rPr>
          <w:sz w:val="20"/>
        </w:rPr>
      </w:pPr>
      <w:r w:rsidRPr="00596E4B">
        <w:rPr>
          <w:sz w:val="20"/>
          <w:vertAlign w:val="superscript"/>
        </w:rPr>
        <w:t xml:space="preserve">a </w:t>
      </w:r>
      <w:r w:rsidR="00596E4B">
        <w:rPr>
          <w:sz w:val="20"/>
          <w:vertAlign w:val="superscript"/>
        </w:rPr>
        <w:tab/>
      </w:r>
      <w:r w:rsidRPr="00596E4B">
        <w:rPr>
          <w:sz w:val="20"/>
        </w:rPr>
        <w:t xml:space="preserve">Anafylaktiske og anafylaktoide reaktioner kan nogle gange opstå allerede efter den første dosis. </w:t>
      </w:r>
    </w:p>
    <w:p w14:paraId="09BDFCCA" w14:textId="65F38606" w:rsidR="00BE227F" w:rsidRPr="00596E4B" w:rsidRDefault="00BE227F" w:rsidP="00596E4B">
      <w:pPr>
        <w:ind w:left="426" w:hanging="426"/>
        <w:rPr>
          <w:sz w:val="20"/>
        </w:rPr>
      </w:pPr>
      <w:r w:rsidRPr="00596E4B">
        <w:rPr>
          <w:sz w:val="20"/>
          <w:vertAlign w:val="superscript"/>
        </w:rPr>
        <w:t xml:space="preserve">b </w:t>
      </w:r>
      <w:r w:rsidR="00596E4B">
        <w:rPr>
          <w:sz w:val="20"/>
          <w:vertAlign w:val="superscript"/>
        </w:rPr>
        <w:tab/>
      </w:r>
      <w:r w:rsidRPr="00596E4B">
        <w:rPr>
          <w:sz w:val="20"/>
        </w:rPr>
        <w:t>Mukokutane reaktioner kan nogle gange opstå allerede efter den første dosis.</w:t>
      </w:r>
    </w:p>
    <w:p w14:paraId="589784B5" w14:textId="4A69768F" w:rsidR="00BE227F" w:rsidRPr="00596E4B" w:rsidRDefault="00BE227F" w:rsidP="00596E4B">
      <w:pPr>
        <w:ind w:left="426" w:hanging="426"/>
        <w:rPr>
          <w:sz w:val="20"/>
        </w:rPr>
      </w:pPr>
      <w:r w:rsidRPr="00596E4B">
        <w:rPr>
          <w:sz w:val="20"/>
        </w:rPr>
        <w:t>*</w:t>
      </w:r>
      <w:r w:rsidR="00596E4B">
        <w:rPr>
          <w:sz w:val="20"/>
        </w:rPr>
        <w:tab/>
      </w:r>
      <w:r w:rsidRPr="00596E4B">
        <w:rPr>
          <w:sz w:val="20"/>
        </w:rPr>
        <w:t>Meget sjældne tilfælde af langvarige (op til måneder eller år), invaliderende og potentielt irreversible alvorlige bivirkninger, der påvirker forskellige, nogle gange mange systemorganklasser og sanser (herunder reaktioner som tendinitis, seneruptur, artralgi, smerter i ekstremiteter, gangforstyrrelse, neuropatier forbundet med paræstesi, depression, træthed, hukommelsessvigt, søvnforstyrrelser og nedsat hørelse, syn, smagssans og lugtesans) er blevet rapporteret i forbindelse med brugen af quinoloner og fluoroquinoloner, i nogle tilfælde uanset præeksisterende risikofaktorer (se pkt. 4.4).</w:t>
      </w:r>
    </w:p>
    <w:p w14:paraId="47CAFDDA" w14:textId="4AF638BF" w:rsidR="00BE227F" w:rsidRPr="00596E4B" w:rsidRDefault="00BE227F" w:rsidP="00596E4B">
      <w:pPr>
        <w:ind w:left="426" w:hanging="426"/>
        <w:rPr>
          <w:sz w:val="20"/>
        </w:rPr>
      </w:pPr>
      <w:r w:rsidRPr="00596E4B">
        <w:rPr>
          <w:sz w:val="20"/>
        </w:rPr>
        <w:t xml:space="preserve">** </w:t>
      </w:r>
      <w:r w:rsidR="00596E4B">
        <w:rPr>
          <w:sz w:val="20"/>
        </w:rPr>
        <w:tab/>
      </w:r>
      <w:r w:rsidRPr="00596E4B">
        <w:rPr>
          <w:sz w:val="20"/>
        </w:rPr>
        <w:t>Der er rapporteret om tilfælde af aortaaneurisme og -dissektion, i nogle tilfælde kompliceret af ruptur (herunder tilfælde med dødelig udgang), og om insufficiens af en eller flere af hjerteklapperne hos patienter, der får fluoroquinoloner (se pkt. 4.4).</w:t>
      </w:r>
    </w:p>
    <w:p w14:paraId="517975D3" w14:textId="77777777" w:rsidR="00BE227F" w:rsidRPr="003501B6" w:rsidRDefault="00BE227F" w:rsidP="00FB67DB">
      <w:pPr>
        <w:rPr>
          <w:sz w:val="24"/>
          <w:szCs w:val="24"/>
        </w:rPr>
      </w:pPr>
    </w:p>
    <w:p w14:paraId="06BA9B93" w14:textId="3E69706A" w:rsidR="00BE227F" w:rsidRPr="003501B6" w:rsidRDefault="00BE227F" w:rsidP="00596E4B">
      <w:pPr>
        <w:ind w:left="851"/>
        <w:rPr>
          <w:sz w:val="24"/>
          <w:szCs w:val="24"/>
        </w:rPr>
      </w:pPr>
      <w:r w:rsidRPr="003501B6">
        <w:rPr>
          <w:sz w:val="24"/>
          <w:szCs w:val="24"/>
        </w:rPr>
        <w:t xml:space="preserve">Andre bivirkninger, der har været associeret med administration af fluoroquinolon, inkluderer: </w:t>
      </w:r>
      <w:r w:rsidR="00C10F13">
        <w:rPr>
          <w:sz w:val="24"/>
          <w:szCs w:val="24"/>
        </w:rPr>
        <w:t>P</w:t>
      </w:r>
      <w:r w:rsidRPr="003501B6">
        <w:rPr>
          <w:sz w:val="24"/>
          <w:szCs w:val="24"/>
        </w:rPr>
        <w:t>orfyri-anfald hos patienter med porfyri</w:t>
      </w:r>
    </w:p>
    <w:p w14:paraId="3FEEFEDD" w14:textId="77777777" w:rsidR="00BE227F" w:rsidRPr="003501B6" w:rsidRDefault="00BE227F" w:rsidP="00596E4B">
      <w:pPr>
        <w:ind w:left="851"/>
        <w:rPr>
          <w:sz w:val="24"/>
          <w:szCs w:val="24"/>
          <w:u w:val="single"/>
        </w:rPr>
      </w:pPr>
    </w:p>
    <w:p w14:paraId="4EB4416C" w14:textId="77777777" w:rsidR="00BE227F" w:rsidRPr="003501B6" w:rsidRDefault="00BE227F" w:rsidP="00596E4B">
      <w:pPr>
        <w:ind w:left="851"/>
        <w:rPr>
          <w:sz w:val="24"/>
          <w:szCs w:val="24"/>
          <w:u w:val="single"/>
        </w:rPr>
      </w:pPr>
      <w:r w:rsidRPr="003501B6">
        <w:rPr>
          <w:sz w:val="24"/>
          <w:szCs w:val="24"/>
          <w:u w:val="single"/>
        </w:rPr>
        <w:t>Indberetning af formodede bivirkninger</w:t>
      </w:r>
    </w:p>
    <w:p w14:paraId="743E9D9B" w14:textId="6E0A6DB1" w:rsidR="00BE227F" w:rsidRDefault="00BE227F" w:rsidP="00596E4B">
      <w:pPr>
        <w:ind w:left="851"/>
        <w:rPr>
          <w:sz w:val="24"/>
          <w:szCs w:val="24"/>
        </w:rPr>
      </w:pPr>
      <w:r w:rsidRPr="003501B6">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C10F13">
        <w:rPr>
          <w:sz w:val="24"/>
          <w:szCs w:val="24"/>
        </w:rPr>
        <w:t>:</w:t>
      </w:r>
    </w:p>
    <w:p w14:paraId="0795C377" w14:textId="77777777" w:rsidR="00596E4B" w:rsidRPr="003501B6" w:rsidRDefault="00596E4B" w:rsidP="00596E4B">
      <w:pPr>
        <w:ind w:left="851"/>
        <w:rPr>
          <w:sz w:val="24"/>
          <w:szCs w:val="24"/>
        </w:rPr>
      </w:pPr>
    </w:p>
    <w:p w14:paraId="21312731" w14:textId="77777777" w:rsidR="00BE227F" w:rsidRPr="003501B6" w:rsidRDefault="00BE227F" w:rsidP="00596E4B">
      <w:pPr>
        <w:ind w:left="851"/>
        <w:rPr>
          <w:sz w:val="24"/>
          <w:szCs w:val="24"/>
        </w:rPr>
      </w:pPr>
      <w:r w:rsidRPr="003501B6">
        <w:rPr>
          <w:sz w:val="24"/>
          <w:szCs w:val="24"/>
        </w:rPr>
        <w:t>Lægemiddelstyrelsen</w:t>
      </w:r>
    </w:p>
    <w:p w14:paraId="75B93B38" w14:textId="77777777" w:rsidR="00BE227F" w:rsidRPr="003501B6" w:rsidRDefault="00BE227F" w:rsidP="00596E4B">
      <w:pPr>
        <w:ind w:left="851"/>
        <w:rPr>
          <w:sz w:val="24"/>
          <w:szCs w:val="24"/>
        </w:rPr>
      </w:pPr>
      <w:r w:rsidRPr="003501B6">
        <w:rPr>
          <w:sz w:val="24"/>
          <w:szCs w:val="24"/>
        </w:rPr>
        <w:t>Axel Heides Gade 1</w:t>
      </w:r>
    </w:p>
    <w:p w14:paraId="5E21CAEE" w14:textId="77777777" w:rsidR="00BE227F" w:rsidRPr="003501B6" w:rsidRDefault="00BE227F" w:rsidP="00596E4B">
      <w:pPr>
        <w:ind w:left="851"/>
        <w:rPr>
          <w:sz w:val="24"/>
          <w:szCs w:val="24"/>
        </w:rPr>
      </w:pPr>
      <w:r w:rsidRPr="003501B6">
        <w:rPr>
          <w:sz w:val="24"/>
          <w:szCs w:val="24"/>
        </w:rPr>
        <w:t>DK-2300 København S</w:t>
      </w:r>
    </w:p>
    <w:p w14:paraId="5172E267" w14:textId="77777777" w:rsidR="00BE227F" w:rsidRPr="003501B6" w:rsidRDefault="00BE227F" w:rsidP="00596E4B">
      <w:pPr>
        <w:ind w:left="851"/>
        <w:rPr>
          <w:sz w:val="24"/>
          <w:szCs w:val="24"/>
        </w:rPr>
      </w:pPr>
      <w:r w:rsidRPr="003501B6">
        <w:rPr>
          <w:sz w:val="24"/>
          <w:szCs w:val="24"/>
        </w:rPr>
        <w:t>Websted: www.meldenbivirkning.dk</w:t>
      </w:r>
    </w:p>
    <w:p w14:paraId="54015C89" w14:textId="77777777" w:rsidR="009260DE" w:rsidRPr="003501B6" w:rsidRDefault="009260DE" w:rsidP="00A10294">
      <w:pPr>
        <w:tabs>
          <w:tab w:val="left" w:pos="851"/>
        </w:tabs>
        <w:ind w:left="851"/>
        <w:rPr>
          <w:sz w:val="24"/>
          <w:szCs w:val="24"/>
        </w:rPr>
      </w:pPr>
    </w:p>
    <w:p w14:paraId="5347D09B" w14:textId="77777777" w:rsidR="009260DE" w:rsidRPr="003501B6" w:rsidRDefault="009260DE" w:rsidP="009260DE">
      <w:pPr>
        <w:tabs>
          <w:tab w:val="left" w:pos="851"/>
        </w:tabs>
        <w:ind w:left="851" w:hanging="851"/>
        <w:rPr>
          <w:b/>
          <w:sz w:val="24"/>
          <w:szCs w:val="24"/>
        </w:rPr>
      </w:pPr>
      <w:r w:rsidRPr="003501B6">
        <w:rPr>
          <w:b/>
          <w:sz w:val="24"/>
          <w:szCs w:val="24"/>
        </w:rPr>
        <w:t>4.9</w:t>
      </w:r>
      <w:r w:rsidRPr="003501B6">
        <w:rPr>
          <w:b/>
          <w:sz w:val="24"/>
          <w:szCs w:val="24"/>
        </w:rPr>
        <w:tab/>
        <w:t>Overdosering</w:t>
      </w:r>
    </w:p>
    <w:p w14:paraId="2AA0E52C" w14:textId="6253F325" w:rsidR="00BE227F" w:rsidRPr="003501B6" w:rsidRDefault="00BE227F" w:rsidP="00FB67DB">
      <w:pPr>
        <w:ind w:left="851"/>
        <w:rPr>
          <w:sz w:val="24"/>
          <w:szCs w:val="24"/>
        </w:rPr>
      </w:pPr>
      <w:r w:rsidRPr="003501B6">
        <w:rPr>
          <w:sz w:val="24"/>
          <w:szCs w:val="24"/>
        </w:rPr>
        <w:t xml:space="preserve">Ifølge toksicitetsstudier hos dyr eller klinisk farmakologiske studier med supraterapeutiske doser er de vigtigste symptomer, der kan forventes efter akut overdosering af Levofloxacin </w:t>
      </w:r>
      <w:r w:rsidR="00EF18B8">
        <w:rPr>
          <w:sz w:val="24"/>
          <w:szCs w:val="24"/>
        </w:rPr>
        <w:t>"Macure"</w:t>
      </w:r>
      <w:r w:rsidR="00AD6732">
        <w:rPr>
          <w:sz w:val="24"/>
          <w:szCs w:val="24"/>
        </w:rPr>
        <w:t xml:space="preserve"> </w:t>
      </w:r>
      <w:r w:rsidRPr="003501B6">
        <w:rPr>
          <w:sz w:val="24"/>
          <w:szCs w:val="24"/>
        </w:rPr>
        <w:t xml:space="preserve">tabletter, symptomer fra centralnervesystemet, f.eks. konfusion, svimmelhed, </w:t>
      </w:r>
      <w:r w:rsidRPr="003501B6">
        <w:rPr>
          <w:sz w:val="24"/>
          <w:szCs w:val="24"/>
        </w:rPr>
        <w:lastRenderedPageBreak/>
        <w:t xml:space="preserve">nedsat bevidsthed og krampeanfald, forlænget QT-interval samt gastrointestinale symptomer såsom kvalme og slimhindeerosion. </w:t>
      </w:r>
    </w:p>
    <w:p w14:paraId="79848CA4" w14:textId="77777777" w:rsidR="00BE227F" w:rsidRPr="003501B6" w:rsidRDefault="00BE227F" w:rsidP="00FB67DB">
      <w:pPr>
        <w:ind w:left="851"/>
        <w:rPr>
          <w:sz w:val="24"/>
          <w:szCs w:val="24"/>
        </w:rPr>
      </w:pPr>
    </w:p>
    <w:p w14:paraId="6D14709A" w14:textId="5A9174B0" w:rsidR="00BE227F" w:rsidRPr="003501B6" w:rsidRDefault="00BE227F" w:rsidP="00FB67DB">
      <w:pPr>
        <w:ind w:left="851"/>
        <w:rPr>
          <w:sz w:val="24"/>
          <w:szCs w:val="24"/>
        </w:rPr>
      </w:pPr>
      <w:r w:rsidRPr="003501B6">
        <w:rPr>
          <w:sz w:val="24"/>
          <w:szCs w:val="24"/>
        </w:rPr>
        <w:t xml:space="preserve">Der er observeret bivirkninger fra CNS, inklusive konfusion, kramper, </w:t>
      </w:r>
      <w:r w:rsidR="00C10F13">
        <w:rPr>
          <w:sz w:val="24"/>
          <w:szCs w:val="24"/>
        </w:rPr>
        <w:t>myoklonus</w:t>
      </w:r>
      <w:r w:rsidR="00C10F13">
        <w:rPr>
          <w:sz w:val="24"/>
          <w:szCs w:val="24"/>
        </w:rPr>
        <w:t xml:space="preserve">, </w:t>
      </w:r>
      <w:r w:rsidRPr="003501B6">
        <w:rPr>
          <w:sz w:val="24"/>
          <w:szCs w:val="24"/>
        </w:rPr>
        <w:t>hallucination og tremor, efter markedsføring.</w:t>
      </w:r>
    </w:p>
    <w:p w14:paraId="4430BC0E" w14:textId="77777777" w:rsidR="00BE227F" w:rsidRPr="003501B6" w:rsidRDefault="00BE227F" w:rsidP="00FB67DB">
      <w:pPr>
        <w:ind w:left="851"/>
        <w:rPr>
          <w:sz w:val="24"/>
          <w:szCs w:val="24"/>
        </w:rPr>
      </w:pPr>
    </w:p>
    <w:p w14:paraId="1CAB4585" w14:textId="77777777" w:rsidR="00BE227F" w:rsidRPr="003501B6" w:rsidRDefault="00BE227F" w:rsidP="00FB67DB">
      <w:pPr>
        <w:ind w:left="851"/>
        <w:rPr>
          <w:sz w:val="24"/>
          <w:szCs w:val="24"/>
        </w:rPr>
      </w:pPr>
      <w:r w:rsidRPr="003501B6">
        <w:rPr>
          <w:sz w:val="24"/>
          <w:szCs w:val="24"/>
        </w:rPr>
        <w:t>Ved overdosering bør symptomatisk behandling iværksættes. EKG bør monitoreres på grund af risikoen for forlængelse af QT-intervallet. Antacida kan anvendes til beskyttelse af maveslimhinden. Hæmodialyse, herunder peritonealdialyse og CAPD, er ikke effektivt til at eliminere levofloxacin fra kroppen.</w:t>
      </w:r>
    </w:p>
    <w:p w14:paraId="7196D063" w14:textId="77777777" w:rsidR="00BE227F" w:rsidRPr="003501B6" w:rsidRDefault="00BE227F" w:rsidP="00FB67DB">
      <w:pPr>
        <w:ind w:left="851"/>
        <w:rPr>
          <w:sz w:val="24"/>
          <w:szCs w:val="24"/>
        </w:rPr>
      </w:pPr>
    </w:p>
    <w:p w14:paraId="41C55456" w14:textId="77777777" w:rsidR="00BE227F" w:rsidRPr="003501B6" w:rsidRDefault="00BE227F" w:rsidP="00FB67DB">
      <w:pPr>
        <w:ind w:left="851"/>
        <w:rPr>
          <w:sz w:val="24"/>
          <w:szCs w:val="24"/>
        </w:rPr>
      </w:pPr>
      <w:r w:rsidRPr="003501B6">
        <w:rPr>
          <w:sz w:val="24"/>
          <w:szCs w:val="24"/>
        </w:rPr>
        <w:t>Der findes ingen specifik antidot.</w:t>
      </w:r>
    </w:p>
    <w:p w14:paraId="6A65B3FC" w14:textId="77777777" w:rsidR="009260DE" w:rsidRPr="003501B6" w:rsidRDefault="009260DE" w:rsidP="009260DE">
      <w:pPr>
        <w:tabs>
          <w:tab w:val="left" w:pos="851"/>
        </w:tabs>
        <w:ind w:left="851"/>
        <w:rPr>
          <w:sz w:val="24"/>
          <w:szCs w:val="24"/>
        </w:rPr>
      </w:pPr>
    </w:p>
    <w:p w14:paraId="5AB6A7C2" w14:textId="77777777" w:rsidR="009260DE" w:rsidRPr="003501B6" w:rsidRDefault="009260DE" w:rsidP="009260DE">
      <w:pPr>
        <w:tabs>
          <w:tab w:val="left" w:pos="851"/>
        </w:tabs>
        <w:ind w:left="851" w:hanging="851"/>
        <w:rPr>
          <w:b/>
          <w:sz w:val="24"/>
          <w:szCs w:val="24"/>
        </w:rPr>
      </w:pPr>
      <w:r w:rsidRPr="003501B6">
        <w:rPr>
          <w:b/>
          <w:sz w:val="24"/>
          <w:szCs w:val="24"/>
        </w:rPr>
        <w:t>4.10</w:t>
      </w:r>
      <w:r w:rsidRPr="003501B6">
        <w:rPr>
          <w:b/>
          <w:sz w:val="24"/>
          <w:szCs w:val="24"/>
        </w:rPr>
        <w:tab/>
        <w:t>Udlevering</w:t>
      </w:r>
    </w:p>
    <w:p w14:paraId="2C4E95D2" w14:textId="7AA09735" w:rsidR="009260DE" w:rsidRPr="003501B6" w:rsidRDefault="00FB67DB" w:rsidP="009260DE">
      <w:pPr>
        <w:tabs>
          <w:tab w:val="left" w:pos="851"/>
        </w:tabs>
        <w:ind w:left="851"/>
        <w:rPr>
          <w:sz w:val="24"/>
          <w:szCs w:val="24"/>
        </w:rPr>
      </w:pPr>
      <w:r w:rsidRPr="003501B6">
        <w:rPr>
          <w:sz w:val="24"/>
          <w:szCs w:val="24"/>
        </w:rPr>
        <w:t>B</w:t>
      </w:r>
    </w:p>
    <w:p w14:paraId="5DD652AF" w14:textId="77777777" w:rsidR="009260DE" w:rsidRPr="003501B6" w:rsidRDefault="009260DE" w:rsidP="009260DE">
      <w:pPr>
        <w:tabs>
          <w:tab w:val="left" w:pos="851"/>
        </w:tabs>
        <w:ind w:left="851"/>
        <w:rPr>
          <w:sz w:val="24"/>
          <w:szCs w:val="24"/>
        </w:rPr>
      </w:pPr>
    </w:p>
    <w:p w14:paraId="022EE2AA" w14:textId="77777777" w:rsidR="009260DE" w:rsidRPr="003501B6" w:rsidRDefault="009260DE" w:rsidP="009260DE">
      <w:pPr>
        <w:tabs>
          <w:tab w:val="left" w:pos="851"/>
        </w:tabs>
        <w:ind w:left="851"/>
        <w:rPr>
          <w:sz w:val="24"/>
          <w:szCs w:val="24"/>
        </w:rPr>
      </w:pPr>
    </w:p>
    <w:p w14:paraId="5BBA3420" w14:textId="77777777" w:rsidR="009260DE" w:rsidRPr="003501B6" w:rsidRDefault="009260DE" w:rsidP="009260DE">
      <w:pPr>
        <w:tabs>
          <w:tab w:val="left" w:pos="851"/>
        </w:tabs>
        <w:ind w:left="851" w:hanging="851"/>
        <w:rPr>
          <w:b/>
          <w:sz w:val="24"/>
          <w:szCs w:val="24"/>
        </w:rPr>
      </w:pPr>
      <w:r w:rsidRPr="003501B6">
        <w:rPr>
          <w:b/>
          <w:sz w:val="24"/>
          <w:szCs w:val="24"/>
        </w:rPr>
        <w:t>5.</w:t>
      </w:r>
      <w:r w:rsidRPr="003501B6">
        <w:rPr>
          <w:b/>
          <w:sz w:val="24"/>
          <w:szCs w:val="24"/>
        </w:rPr>
        <w:tab/>
        <w:t>FARMAKOLOGISKE EGENSKABER</w:t>
      </w:r>
    </w:p>
    <w:p w14:paraId="116E9B74" w14:textId="77777777" w:rsidR="009260DE" w:rsidRPr="003501B6" w:rsidRDefault="009260DE" w:rsidP="009260DE">
      <w:pPr>
        <w:tabs>
          <w:tab w:val="left" w:pos="851"/>
        </w:tabs>
        <w:ind w:left="851"/>
        <w:rPr>
          <w:sz w:val="24"/>
          <w:szCs w:val="24"/>
        </w:rPr>
      </w:pPr>
    </w:p>
    <w:p w14:paraId="5B4E63DE" w14:textId="77777777" w:rsidR="009260DE" w:rsidRPr="003501B6" w:rsidRDefault="009260DE" w:rsidP="009260DE">
      <w:pPr>
        <w:tabs>
          <w:tab w:val="num" w:pos="851"/>
        </w:tabs>
        <w:ind w:left="851" w:hanging="851"/>
        <w:rPr>
          <w:b/>
          <w:sz w:val="24"/>
          <w:szCs w:val="24"/>
        </w:rPr>
      </w:pPr>
      <w:r w:rsidRPr="003501B6">
        <w:rPr>
          <w:b/>
          <w:sz w:val="24"/>
          <w:szCs w:val="24"/>
        </w:rPr>
        <w:t>5.1</w:t>
      </w:r>
      <w:r w:rsidRPr="003501B6">
        <w:rPr>
          <w:b/>
          <w:sz w:val="24"/>
          <w:szCs w:val="24"/>
        </w:rPr>
        <w:tab/>
        <w:t>Farmakodynamiske egenskaber</w:t>
      </w:r>
    </w:p>
    <w:p w14:paraId="5597CCDD" w14:textId="6508E5BB" w:rsidR="00FB67DB" w:rsidRPr="003501B6" w:rsidRDefault="00FB67DB" w:rsidP="00FB67DB">
      <w:pPr>
        <w:ind w:left="851"/>
        <w:rPr>
          <w:sz w:val="24"/>
          <w:szCs w:val="24"/>
        </w:rPr>
      </w:pPr>
      <w:r w:rsidRPr="003501B6">
        <w:rPr>
          <w:sz w:val="24"/>
          <w:szCs w:val="24"/>
        </w:rPr>
        <w:t>Farmakoterapeutisk gruppe: Quinolon-antibiotika – fluoroquinoloner, ATC-kode: J01MA12.</w:t>
      </w:r>
    </w:p>
    <w:p w14:paraId="21622BF9" w14:textId="77777777" w:rsidR="00FB67DB" w:rsidRPr="003501B6" w:rsidRDefault="00FB67DB" w:rsidP="00FB67DB">
      <w:pPr>
        <w:ind w:left="851"/>
        <w:rPr>
          <w:sz w:val="24"/>
          <w:szCs w:val="24"/>
        </w:rPr>
      </w:pPr>
    </w:p>
    <w:p w14:paraId="6A29B084" w14:textId="77777777" w:rsidR="00BE227F" w:rsidRPr="003501B6" w:rsidRDefault="00BE227F" w:rsidP="00FB67DB">
      <w:pPr>
        <w:ind w:left="851"/>
        <w:rPr>
          <w:sz w:val="24"/>
          <w:szCs w:val="24"/>
        </w:rPr>
      </w:pPr>
      <w:r w:rsidRPr="003501B6">
        <w:rPr>
          <w:sz w:val="24"/>
          <w:szCs w:val="24"/>
        </w:rPr>
        <w:t xml:space="preserve">Levofloxacin er et syntetisk antibakterielt middel fra fluoroquinolongruppen og er S (-) enantiomeren af det racemiske lægemiddelstof ofloxacin. </w:t>
      </w:r>
    </w:p>
    <w:p w14:paraId="5C6598FC" w14:textId="77777777" w:rsidR="00BE227F" w:rsidRPr="003501B6" w:rsidRDefault="00BE227F" w:rsidP="00FB67DB">
      <w:pPr>
        <w:ind w:left="851"/>
        <w:rPr>
          <w:sz w:val="24"/>
          <w:szCs w:val="24"/>
        </w:rPr>
      </w:pPr>
    </w:p>
    <w:p w14:paraId="40AADE01" w14:textId="77777777" w:rsidR="00BE227F" w:rsidRPr="003501B6" w:rsidRDefault="00BE227F" w:rsidP="00FB67DB">
      <w:pPr>
        <w:ind w:left="851"/>
        <w:rPr>
          <w:sz w:val="24"/>
          <w:szCs w:val="24"/>
          <w:u w:val="single"/>
        </w:rPr>
      </w:pPr>
      <w:r w:rsidRPr="003501B6">
        <w:rPr>
          <w:sz w:val="24"/>
          <w:szCs w:val="24"/>
          <w:u w:val="single"/>
        </w:rPr>
        <w:t>Virkningsmekanisme</w:t>
      </w:r>
    </w:p>
    <w:p w14:paraId="761399C3" w14:textId="77777777" w:rsidR="00BE227F" w:rsidRPr="003501B6" w:rsidRDefault="00BE227F" w:rsidP="00FB67DB">
      <w:pPr>
        <w:ind w:left="851"/>
        <w:rPr>
          <w:sz w:val="24"/>
          <w:szCs w:val="24"/>
        </w:rPr>
      </w:pPr>
      <w:r w:rsidRPr="003501B6">
        <w:rPr>
          <w:sz w:val="24"/>
          <w:szCs w:val="24"/>
        </w:rPr>
        <w:t>Som et fluoroquinolonn-antibiotikum indvirker levofloxacin på DNA-DNA-gyrasekomplekset og på topoisomerase IV.</w:t>
      </w:r>
    </w:p>
    <w:p w14:paraId="68FEC007" w14:textId="77777777" w:rsidR="00BE227F" w:rsidRPr="003501B6" w:rsidRDefault="00BE227F" w:rsidP="00FB67DB">
      <w:pPr>
        <w:ind w:left="851"/>
        <w:rPr>
          <w:sz w:val="24"/>
          <w:szCs w:val="24"/>
        </w:rPr>
      </w:pPr>
    </w:p>
    <w:p w14:paraId="1019C5DB" w14:textId="77777777" w:rsidR="00BE227F" w:rsidRPr="003501B6" w:rsidRDefault="00BE227F" w:rsidP="00FB67DB">
      <w:pPr>
        <w:ind w:left="851"/>
        <w:rPr>
          <w:sz w:val="24"/>
          <w:szCs w:val="24"/>
          <w:u w:val="single"/>
        </w:rPr>
      </w:pPr>
      <w:r w:rsidRPr="003501B6">
        <w:rPr>
          <w:sz w:val="24"/>
          <w:szCs w:val="24"/>
          <w:u w:val="single"/>
        </w:rPr>
        <w:t>Farmakokinetiske/farmakodynamiske forhold</w:t>
      </w:r>
    </w:p>
    <w:p w14:paraId="47C818F5" w14:textId="77777777" w:rsidR="00BE227F" w:rsidRPr="003501B6" w:rsidRDefault="00BE227F" w:rsidP="00FB67DB">
      <w:pPr>
        <w:ind w:left="851"/>
        <w:rPr>
          <w:sz w:val="24"/>
          <w:szCs w:val="24"/>
        </w:rPr>
      </w:pPr>
      <w:r w:rsidRPr="003501B6">
        <w:rPr>
          <w:sz w:val="24"/>
          <w:szCs w:val="24"/>
        </w:rPr>
        <w:t>Graden af levofloxacins baktericide aktivitet afhænger af forholdet mellem den maksimale serumkoncentration (C</w:t>
      </w:r>
      <w:r w:rsidRPr="003501B6">
        <w:rPr>
          <w:sz w:val="24"/>
          <w:szCs w:val="24"/>
          <w:vertAlign w:val="subscript"/>
        </w:rPr>
        <w:t>max</w:t>
      </w:r>
      <w:r w:rsidRPr="003501B6">
        <w:rPr>
          <w:sz w:val="24"/>
          <w:szCs w:val="24"/>
        </w:rPr>
        <w:t>) eller arealet under kurven (AUC) og den mindste hæmmende koncentration (MIC).</w:t>
      </w:r>
    </w:p>
    <w:p w14:paraId="3B73E749" w14:textId="77777777" w:rsidR="00BE227F" w:rsidRPr="003501B6" w:rsidRDefault="00BE227F" w:rsidP="00FB67DB">
      <w:pPr>
        <w:ind w:left="851"/>
        <w:rPr>
          <w:sz w:val="24"/>
          <w:szCs w:val="24"/>
        </w:rPr>
      </w:pPr>
    </w:p>
    <w:p w14:paraId="54A3A0AD" w14:textId="77777777" w:rsidR="00BE227F" w:rsidRPr="003501B6" w:rsidRDefault="00BE227F" w:rsidP="00FB67DB">
      <w:pPr>
        <w:ind w:left="851"/>
        <w:rPr>
          <w:sz w:val="24"/>
          <w:szCs w:val="24"/>
          <w:u w:val="single"/>
        </w:rPr>
      </w:pPr>
      <w:r w:rsidRPr="003501B6">
        <w:rPr>
          <w:sz w:val="24"/>
          <w:szCs w:val="24"/>
          <w:u w:val="single"/>
        </w:rPr>
        <w:t>Resistensmekanisme</w:t>
      </w:r>
    </w:p>
    <w:p w14:paraId="2457E9B0" w14:textId="77777777" w:rsidR="00BE227F" w:rsidRPr="003501B6" w:rsidRDefault="00BE227F" w:rsidP="00FB67DB">
      <w:pPr>
        <w:ind w:left="851"/>
        <w:rPr>
          <w:sz w:val="24"/>
          <w:szCs w:val="24"/>
        </w:rPr>
      </w:pPr>
      <w:r w:rsidRPr="003501B6">
        <w:rPr>
          <w:sz w:val="24"/>
          <w:szCs w:val="24"/>
        </w:rPr>
        <w:t xml:space="preserve">Resistens over for levofloxacin udvikles gennem en trinvis proces af mutationer på target i begge type II-topoisomeraser, DNA-gyrase og topoisomerase IV. Andre resistensmekanismer som f.eks. permeationsbarrierer (almindelig ved </w:t>
      </w:r>
      <w:r w:rsidRPr="003501B6">
        <w:rPr>
          <w:i/>
          <w:sz w:val="24"/>
          <w:szCs w:val="24"/>
        </w:rPr>
        <w:t>Pseudomonas aeruginosa</w:t>
      </w:r>
      <w:r w:rsidRPr="003501B6">
        <w:rPr>
          <w:sz w:val="24"/>
          <w:szCs w:val="24"/>
        </w:rPr>
        <w:t xml:space="preserve">) og effluksmekanismer kan også påvirke følsomheden for levofloxacin. </w:t>
      </w:r>
    </w:p>
    <w:p w14:paraId="5BACBA6F" w14:textId="77777777" w:rsidR="00BE227F" w:rsidRPr="003501B6" w:rsidRDefault="00BE227F" w:rsidP="00FB67DB">
      <w:pPr>
        <w:ind w:left="851"/>
        <w:rPr>
          <w:sz w:val="24"/>
          <w:szCs w:val="24"/>
        </w:rPr>
      </w:pPr>
    </w:p>
    <w:p w14:paraId="0C7928B1" w14:textId="77777777" w:rsidR="00BE227F" w:rsidRPr="003501B6" w:rsidRDefault="00BE227F" w:rsidP="00FB67DB">
      <w:pPr>
        <w:ind w:left="851"/>
        <w:rPr>
          <w:sz w:val="24"/>
          <w:szCs w:val="24"/>
        </w:rPr>
      </w:pPr>
      <w:r w:rsidRPr="003501B6">
        <w:rPr>
          <w:sz w:val="24"/>
          <w:szCs w:val="24"/>
        </w:rPr>
        <w:t>Der er observeret krydsresistens mellem levofloxacin og andre fluoroquinoloner. På grund af virkningsmekanismen er der generelt ingen krydsresistens mellem levofloxacin og andre klasser af antibiotika.</w:t>
      </w:r>
    </w:p>
    <w:p w14:paraId="1F1AC527" w14:textId="77777777" w:rsidR="00BE227F" w:rsidRPr="003501B6" w:rsidRDefault="00BE227F" w:rsidP="00FB67DB">
      <w:pPr>
        <w:ind w:left="851"/>
        <w:rPr>
          <w:bCs/>
          <w:iCs/>
          <w:sz w:val="24"/>
          <w:szCs w:val="24"/>
          <w:u w:val="single"/>
        </w:rPr>
      </w:pPr>
    </w:p>
    <w:p w14:paraId="610A1B25" w14:textId="77777777" w:rsidR="00BE227F" w:rsidRPr="003501B6" w:rsidRDefault="00BE227F" w:rsidP="00FB67DB">
      <w:pPr>
        <w:ind w:left="851"/>
        <w:rPr>
          <w:sz w:val="24"/>
          <w:szCs w:val="24"/>
          <w:u w:val="single"/>
        </w:rPr>
      </w:pPr>
      <w:r w:rsidRPr="003501B6">
        <w:rPr>
          <w:sz w:val="24"/>
          <w:szCs w:val="24"/>
          <w:u w:val="single"/>
        </w:rPr>
        <w:t>Grænseværdier</w:t>
      </w:r>
    </w:p>
    <w:p w14:paraId="5BC03A33" w14:textId="77777777" w:rsidR="00BE227F" w:rsidRPr="003501B6" w:rsidRDefault="00BE227F" w:rsidP="00FB67DB">
      <w:pPr>
        <w:ind w:left="851"/>
        <w:rPr>
          <w:sz w:val="24"/>
          <w:szCs w:val="24"/>
        </w:rPr>
      </w:pPr>
      <w:r w:rsidRPr="003501B6">
        <w:rPr>
          <w:sz w:val="24"/>
          <w:szCs w:val="24"/>
        </w:rPr>
        <w:t>De af EUCAST anbefalede MIC-grænseværdier for levofloxacin, der adskiller følsomme og intermediært følsomme organismer fra resistente organismer, præsenteres i nedenstående tabel for MIC-værdier (mg/l).</w:t>
      </w:r>
    </w:p>
    <w:p w14:paraId="7885959C" w14:textId="59B7BEEC" w:rsidR="00C10F13" w:rsidRDefault="00C10F13">
      <w:pPr>
        <w:rPr>
          <w:sz w:val="24"/>
          <w:szCs w:val="24"/>
        </w:rPr>
      </w:pPr>
      <w:r>
        <w:rPr>
          <w:sz w:val="24"/>
          <w:szCs w:val="24"/>
        </w:rPr>
        <w:br w:type="page"/>
      </w:r>
    </w:p>
    <w:p w14:paraId="79245A31" w14:textId="77777777" w:rsidR="00BE227F" w:rsidRPr="003501B6" w:rsidRDefault="00BE227F" w:rsidP="00FB67DB">
      <w:pPr>
        <w:ind w:left="851"/>
        <w:rPr>
          <w:sz w:val="24"/>
          <w:szCs w:val="24"/>
        </w:rPr>
      </w:pPr>
    </w:p>
    <w:p w14:paraId="37C96EC5" w14:textId="77777777" w:rsidR="00BE227F" w:rsidRPr="003501B6" w:rsidRDefault="00BE227F" w:rsidP="00FB67DB">
      <w:pPr>
        <w:ind w:left="851"/>
        <w:rPr>
          <w:i/>
          <w:sz w:val="24"/>
          <w:szCs w:val="24"/>
        </w:rPr>
      </w:pPr>
      <w:r w:rsidRPr="003501B6">
        <w:rPr>
          <w:i/>
          <w:sz w:val="24"/>
          <w:szCs w:val="24"/>
        </w:rPr>
        <w:t>EUCAST-kliniske MIC-grænseværdier for levofloxacin (version 10.0, 2020-01-01):</w:t>
      </w:r>
    </w:p>
    <w:tbl>
      <w:tblPr>
        <w:tblW w:w="453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296"/>
        <w:gridCol w:w="3200"/>
      </w:tblGrid>
      <w:tr w:rsidR="00BE227F" w:rsidRPr="003501B6" w14:paraId="50E1EF7A"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45AB4106" w14:textId="77777777" w:rsidR="00BE227F" w:rsidRPr="003501B6" w:rsidRDefault="00BE227F">
            <w:pPr>
              <w:tabs>
                <w:tab w:val="left" w:pos="1304"/>
              </w:tabs>
              <w:rPr>
                <w:b/>
                <w:sz w:val="24"/>
                <w:szCs w:val="24"/>
              </w:rPr>
            </w:pPr>
            <w:bookmarkStart w:id="2" w:name="_Hlk81920574"/>
            <w:r w:rsidRPr="003501B6">
              <w:rPr>
                <w:b/>
                <w:sz w:val="24"/>
                <w:szCs w:val="24"/>
              </w:rPr>
              <w:t>Patogen</w:t>
            </w:r>
          </w:p>
        </w:tc>
        <w:tc>
          <w:tcPr>
            <w:tcW w:w="1315" w:type="pct"/>
            <w:tcBorders>
              <w:top w:val="single" w:sz="4" w:space="0" w:color="auto"/>
              <w:left w:val="single" w:sz="4" w:space="0" w:color="auto"/>
              <w:bottom w:val="single" w:sz="4" w:space="0" w:color="auto"/>
              <w:right w:val="single" w:sz="4" w:space="0" w:color="auto"/>
            </w:tcBorders>
            <w:hideMark/>
          </w:tcPr>
          <w:p w14:paraId="55EA6BA1" w14:textId="77777777" w:rsidR="00BE227F" w:rsidRPr="003501B6" w:rsidRDefault="00BE227F">
            <w:pPr>
              <w:tabs>
                <w:tab w:val="left" w:pos="1304"/>
              </w:tabs>
              <w:rPr>
                <w:b/>
                <w:sz w:val="24"/>
                <w:szCs w:val="24"/>
              </w:rPr>
            </w:pPr>
            <w:r w:rsidRPr="003501B6">
              <w:rPr>
                <w:b/>
                <w:sz w:val="24"/>
                <w:szCs w:val="24"/>
              </w:rPr>
              <w:t>Følsomt</w:t>
            </w:r>
          </w:p>
        </w:tc>
        <w:tc>
          <w:tcPr>
            <w:tcW w:w="1833" w:type="pct"/>
            <w:tcBorders>
              <w:top w:val="single" w:sz="4" w:space="0" w:color="auto"/>
              <w:left w:val="single" w:sz="4" w:space="0" w:color="auto"/>
              <w:bottom w:val="single" w:sz="4" w:space="0" w:color="auto"/>
              <w:right w:val="single" w:sz="4" w:space="0" w:color="auto"/>
            </w:tcBorders>
            <w:hideMark/>
          </w:tcPr>
          <w:p w14:paraId="1D2FE146" w14:textId="77777777" w:rsidR="00BE227F" w:rsidRPr="003501B6" w:rsidRDefault="00BE227F">
            <w:pPr>
              <w:tabs>
                <w:tab w:val="left" w:pos="1304"/>
              </w:tabs>
              <w:rPr>
                <w:b/>
                <w:sz w:val="24"/>
                <w:szCs w:val="24"/>
              </w:rPr>
            </w:pPr>
            <w:r w:rsidRPr="003501B6">
              <w:rPr>
                <w:b/>
                <w:sz w:val="24"/>
                <w:szCs w:val="24"/>
              </w:rPr>
              <w:t>Resistent</w:t>
            </w:r>
          </w:p>
        </w:tc>
      </w:tr>
      <w:tr w:rsidR="00BE227F" w:rsidRPr="003501B6" w14:paraId="0BB18BDB"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06AD0C3E" w14:textId="77777777" w:rsidR="00BE227F" w:rsidRPr="003501B6" w:rsidRDefault="00BE227F">
            <w:pPr>
              <w:tabs>
                <w:tab w:val="left" w:pos="1304"/>
              </w:tabs>
              <w:rPr>
                <w:sz w:val="24"/>
                <w:szCs w:val="24"/>
              </w:rPr>
            </w:pPr>
            <w:r w:rsidRPr="003501B6">
              <w:rPr>
                <w:sz w:val="24"/>
                <w:szCs w:val="24"/>
              </w:rPr>
              <w:t>Enterobacteriaceae</w:t>
            </w:r>
          </w:p>
        </w:tc>
        <w:tc>
          <w:tcPr>
            <w:tcW w:w="1315" w:type="pct"/>
            <w:tcBorders>
              <w:top w:val="single" w:sz="4" w:space="0" w:color="auto"/>
              <w:left w:val="single" w:sz="4" w:space="0" w:color="auto"/>
              <w:bottom w:val="single" w:sz="4" w:space="0" w:color="auto"/>
              <w:right w:val="single" w:sz="4" w:space="0" w:color="auto"/>
            </w:tcBorders>
            <w:hideMark/>
          </w:tcPr>
          <w:p w14:paraId="37BB4FBC" w14:textId="77777777" w:rsidR="00BE227F" w:rsidRPr="003501B6" w:rsidRDefault="00BE227F">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27EEB564" w14:textId="77777777" w:rsidR="00BE227F" w:rsidRPr="003501B6" w:rsidRDefault="00BE227F">
            <w:pPr>
              <w:tabs>
                <w:tab w:val="left" w:pos="1304"/>
              </w:tabs>
              <w:rPr>
                <w:sz w:val="24"/>
                <w:szCs w:val="24"/>
              </w:rPr>
            </w:pPr>
            <w:r w:rsidRPr="003501B6">
              <w:rPr>
                <w:sz w:val="24"/>
                <w:szCs w:val="24"/>
              </w:rPr>
              <w:t>&gt;1 mg/l</w:t>
            </w:r>
          </w:p>
        </w:tc>
      </w:tr>
      <w:tr w:rsidR="00BE227F" w:rsidRPr="003501B6" w14:paraId="3A23FD16"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354F11D2" w14:textId="77777777" w:rsidR="00BE227F" w:rsidRPr="003501B6" w:rsidRDefault="00BE227F">
            <w:pPr>
              <w:tabs>
                <w:tab w:val="left" w:pos="1304"/>
              </w:tabs>
              <w:rPr>
                <w:sz w:val="24"/>
                <w:szCs w:val="24"/>
              </w:rPr>
            </w:pPr>
            <w:r w:rsidRPr="003501B6">
              <w:rPr>
                <w:i/>
                <w:sz w:val="24"/>
                <w:szCs w:val="24"/>
              </w:rPr>
              <w:t>Pseudomonas</w:t>
            </w:r>
            <w:r w:rsidRPr="003501B6">
              <w:rPr>
                <w:sz w:val="24"/>
                <w:szCs w:val="24"/>
              </w:rPr>
              <w:t xml:space="preserve"> spp.</w:t>
            </w:r>
          </w:p>
        </w:tc>
        <w:tc>
          <w:tcPr>
            <w:tcW w:w="1315" w:type="pct"/>
            <w:tcBorders>
              <w:top w:val="single" w:sz="4" w:space="0" w:color="auto"/>
              <w:left w:val="single" w:sz="4" w:space="0" w:color="auto"/>
              <w:bottom w:val="single" w:sz="4" w:space="0" w:color="auto"/>
              <w:right w:val="single" w:sz="4" w:space="0" w:color="auto"/>
            </w:tcBorders>
            <w:hideMark/>
          </w:tcPr>
          <w:p w14:paraId="356B8725" w14:textId="77777777" w:rsidR="00BE227F" w:rsidRPr="003501B6" w:rsidRDefault="00BE227F">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792C78D2" w14:textId="77777777" w:rsidR="00BE227F" w:rsidRPr="003501B6" w:rsidRDefault="00BE227F">
            <w:pPr>
              <w:tabs>
                <w:tab w:val="left" w:pos="1304"/>
              </w:tabs>
              <w:rPr>
                <w:sz w:val="24"/>
                <w:szCs w:val="24"/>
              </w:rPr>
            </w:pPr>
            <w:r w:rsidRPr="003501B6">
              <w:rPr>
                <w:sz w:val="24"/>
                <w:szCs w:val="24"/>
              </w:rPr>
              <w:t>&gt;1 mg/l</w:t>
            </w:r>
          </w:p>
        </w:tc>
      </w:tr>
      <w:tr w:rsidR="00BE227F" w:rsidRPr="003501B6" w14:paraId="046E9300"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11B104F2" w14:textId="77777777" w:rsidR="00BE227F" w:rsidRPr="003501B6" w:rsidRDefault="00BE227F">
            <w:pPr>
              <w:tabs>
                <w:tab w:val="left" w:pos="1304"/>
              </w:tabs>
              <w:rPr>
                <w:sz w:val="24"/>
                <w:szCs w:val="24"/>
              </w:rPr>
            </w:pPr>
            <w:r w:rsidRPr="003501B6">
              <w:rPr>
                <w:i/>
                <w:sz w:val="24"/>
                <w:szCs w:val="24"/>
              </w:rPr>
              <w:t xml:space="preserve">Acinetobacter </w:t>
            </w:r>
            <w:r w:rsidRPr="003501B6">
              <w:rPr>
                <w:sz w:val="24"/>
                <w:szCs w:val="24"/>
              </w:rPr>
              <w:t>spp.</w:t>
            </w:r>
          </w:p>
        </w:tc>
        <w:tc>
          <w:tcPr>
            <w:tcW w:w="1315" w:type="pct"/>
            <w:tcBorders>
              <w:top w:val="single" w:sz="4" w:space="0" w:color="auto"/>
              <w:left w:val="single" w:sz="4" w:space="0" w:color="auto"/>
              <w:bottom w:val="single" w:sz="4" w:space="0" w:color="auto"/>
              <w:right w:val="single" w:sz="4" w:space="0" w:color="auto"/>
            </w:tcBorders>
            <w:hideMark/>
          </w:tcPr>
          <w:p w14:paraId="4F17641F" w14:textId="77777777" w:rsidR="00BE227F" w:rsidRPr="003501B6" w:rsidRDefault="00BE227F">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4F68D98B" w14:textId="77777777" w:rsidR="00BE227F" w:rsidRPr="003501B6" w:rsidRDefault="00BE227F">
            <w:pPr>
              <w:tabs>
                <w:tab w:val="left" w:pos="1304"/>
              </w:tabs>
              <w:rPr>
                <w:sz w:val="24"/>
                <w:szCs w:val="24"/>
              </w:rPr>
            </w:pPr>
            <w:r w:rsidRPr="003501B6">
              <w:rPr>
                <w:sz w:val="24"/>
                <w:szCs w:val="24"/>
              </w:rPr>
              <w:t>&gt;1 mg/l</w:t>
            </w:r>
          </w:p>
        </w:tc>
      </w:tr>
      <w:tr w:rsidR="00BE227F" w:rsidRPr="003501B6" w14:paraId="4474F607"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210A10E3" w14:textId="77777777" w:rsidR="00BE227F" w:rsidRPr="003501B6" w:rsidRDefault="00BE227F">
            <w:pPr>
              <w:tabs>
                <w:tab w:val="left" w:pos="1304"/>
              </w:tabs>
              <w:rPr>
                <w:iCs/>
                <w:sz w:val="24"/>
                <w:szCs w:val="24"/>
              </w:rPr>
            </w:pPr>
            <w:r w:rsidRPr="003501B6">
              <w:rPr>
                <w:i/>
                <w:sz w:val="24"/>
                <w:szCs w:val="24"/>
              </w:rPr>
              <w:t>Staphylococcus aureus</w:t>
            </w:r>
            <w:r w:rsidRPr="003501B6">
              <w:rPr>
                <w:i/>
                <w:sz w:val="24"/>
                <w:szCs w:val="24"/>
              </w:rPr>
              <w:br/>
            </w:r>
            <w:r w:rsidRPr="003501B6">
              <w:rPr>
                <w:sz w:val="24"/>
                <w:szCs w:val="24"/>
              </w:rPr>
              <w:t>koagulasenegative stafylokokker</w:t>
            </w:r>
          </w:p>
        </w:tc>
        <w:tc>
          <w:tcPr>
            <w:tcW w:w="1315" w:type="pct"/>
            <w:tcBorders>
              <w:top w:val="single" w:sz="4" w:space="0" w:color="auto"/>
              <w:left w:val="single" w:sz="4" w:space="0" w:color="auto"/>
              <w:bottom w:val="single" w:sz="4" w:space="0" w:color="auto"/>
              <w:right w:val="single" w:sz="4" w:space="0" w:color="auto"/>
            </w:tcBorders>
            <w:hideMark/>
          </w:tcPr>
          <w:p w14:paraId="1A369C8C" w14:textId="77777777" w:rsidR="00BE227F" w:rsidRPr="003501B6" w:rsidRDefault="00BE227F">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3C2076A9" w14:textId="77777777" w:rsidR="00BE227F" w:rsidRPr="003501B6" w:rsidRDefault="00BE227F">
            <w:pPr>
              <w:tabs>
                <w:tab w:val="left" w:pos="1304"/>
              </w:tabs>
              <w:rPr>
                <w:sz w:val="24"/>
                <w:szCs w:val="24"/>
              </w:rPr>
            </w:pPr>
            <w:r w:rsidRPr="003501B6">
              <w:rPr>
                <w:sz w:val="24"/>
                <w:szCs w:val="24"/>
              </w:rPr>
              <w:t>&gt;1 mg/l</w:t>
            </w:r>
          </w:p>
        </w:tc>
      </w:tr>
      <w:tr w:rsidR="00BE227F" w:rsidRPr="003501B6" w14:paraId="6D198941"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560F5311" w14:textId="77777777" w:rsidR="00BE227F" w:rsidRPr="003501B6" w:rsidRDefault="00BE227F">
            <w:pPr>
              <w:tabs>
                <w:tab w:val="left" w:pos="1304"/>
              </w:tabs>
              <w:rPr>
                <w:iCs/>
                <w:sz w:val="24"/>
                <w:szCs w:val="24"/>
              </w:rPr>
            </w:pPr>
            <w:r w:rsidRPr="003501B6">
              <w:rPr>
                <w:i/>
                <w:sz w:val="24"/>
                <w:szCs w:val="24"/>
              </w:rPr>
              <w:t xml:space="preserve">Enterococcus </w:t>
            </w:r>
            <w:r w:rsidRPr="003501B6">
              <w:rPr>
                <w:sz w:val="24"/>
                <w:szCs w:val="24"/>
              </w:rPr>
              <w:t>spp</w:t>
            </w:r>
            <w:r w:rsidRPr="003501B6">
              <w:rPr>
                <w:sz w:val="24"/>
                <w:szCs w:val="24"/>
                <w:vertAlign w:val="superscript"/>
              </w:rPr>
              <w:t>1</w:t>
            </w:r>
            <w:r w:rsidRPr="003501B6">
              <w:rPr>
                <w:sz w:val="24"/>
                <w:szCs w:val="24"/>
              </w:rPr>
              <w:t>.</w:t>
            </w:r>
          </w:p>
        </w:tc>
        <w:tc>
          <w:tcPr>
            <w:tcW w:w="1315" w:type="pct"/>
            <w:tcBorders>
              <w:top w:val="single" w:sz="4" w:space="0" w:color="auto"/>
              <w:left w:val="single" w:sz="4" w:space="0" w:color="auto"/>
              <w:bottom w:val="single" w:sz="4" w:space="0" w:color="auto"/>
              <w:right w:val="single" w:sz="4" w:space="0" w:color="auto"/>
            </w:tcBorders>
            <w:hideMark/>
          </w:tcPr>
          <w:p w14:paraId="24F29BED" w14:textId="77777777" w:rsidR="00BE227F" w:rsidRPr="003501B6" w:rsidRDefault="00BE227F">
            <w:pPr>
              <w:tabs>
                <w:tab w:val="left" w:pos="1304"/>
              </w:tabs>
              <w:rPr>
                <w:sz w:val="24"/>
                <w:szCs w:val="24"/>
              </w:rPr>
            </w:pPr>
            <w:r w:rsidRPr="003501B6">
              <w:rPr>
                <w:sz w:val="24"/>
                <w:szCs w:val="24"/>
              </w:rPr>
              <w:t>≤4 mg/l</w:t>
            </w:r>
          </w:p>
        </w:tc>
        <w:tc>
          <w:tcPr>
            <w:tcW w:w="1833" w:type="pct"/>
            <w:tcBorders>
              <w:top w:val="single" w:sz="4" w:space="0" w:color="auto"/>
              <w:left w:val="single" w:sz="4" w:space="0" w:color="auto"/>
              <w:bottom w:val="single" w:sz="4" w:space="0" w:color="auto"/>
              <w:right w:val="single" w:sz="4" w:space="0" w:color="auto"/>
            </w:tcBorders>
            <w:hideMark/>
          </w:tcPr>
          <w:p w14:paraId="0A54AA65" w14:textId="77777777" w:rsidR="00BE227F" w:rsidRPr="003501B6" w:rsidRDefault="00BE227F">
            <w:pPr>
              <w:tabs>
                <w:tab w:val="left" w:pos="1304"/>
              </w:tabs>
              <w:rPr>
                <w:sz w:val="24"/>
                <w:szCs w:val="24"/>
              </w:rPr>
            </w:pPr>
            <w:r w:rsidRPr="003501B6">
              <w:rPr>
                <w:sz w:val="24"/>
                <w:szCs w:val="24"/>
              </w:rPr>
              <w:t>≤4 mg/l</w:t>
            </w:r>
          </w:p>
        </w:tc>
      </w:tr>
      <w:tr w:rsidR="00BE227F" w:rsidRPr="003501B6" w14:paraId="6891D643"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07B37508" w14:textId="77777777" w:rsidR="00BE227F" w:rsidRPr="003501B6" w:rsidRDefault="00BE227F">
            <w:pPr>
              <w:tabs>
                <w:tab w:val="left" w:pos="1304"/>
              </w:tabs>
              <w:rPr>
                <w:sz w:val="24"/>
                <w:szCs w:val="24"/>
              </w:rPr>
            </w:pPr>
            <w:r w:rsidRPr="003501B6">
              <w:rPr>
                <w:i/>
                <w:sz w:val="24"/>
                <w:szCs w:val="24"/>
              </w:rPr>
              <w:t>S. pneumoniae</w:t>
            </w:r>
          </w:p>
        </w:tc>
        <w:tc>
          <w:tcPr>
            <w:tcW w:w="1315" w:type="pct"/>
            <w:tcBorders>
              <w:top w:val="single" w:sz="4" w:space="0" w:color="auto"/>
              <w:left w:val="single" w:sz="4" w:space="0" w:color="auto"/>
              <w:bottom w:val="single" w:sz="4" w:space="0" w:color="auto"/>
              <w:right w:val="single" w:sz="4" w:space="0" w:color="auto"/>
            </w:tcBorders>
            <w:hideMark/>
          </w:tcPr>
          <w:p w14:paraId="0A9D7579" w14:textId="77777777" w:rsidR="00BE227F" w:rsidRPr="003501B6" w:rsidRDefault="00BE227F">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55B053F6" w14:textId="77777777" w:rsidR="00BE227F" w:rsidRPr="003501B6" w:rsidRDefault="00BE227F">
            <w:pPr>
              <w:tabs>
                <w:tab w:val="left" w:pos="1304"/>
              </w:tabs>
              <w:rPr>
                <w:sz w:val="24"/>
                <w:szCs w:val="24"/>
              </w:rPr>
            </w:pPr>
            <w:r w:rsidRPr="003501B6">
              <w:rPr>
                <w:sz w:val="24"/>
                <w:szCs w:val="24"/>
              </w:rPr>
              <w:t>&gt;2 mg/l</w:t>
            </w:r>
          </w:p>
        </w:tc>
      </w:tr>
      <w:tr w:rsidR="00BE227F" w:rsidRPr="003501B6" w14:paraId="4A58DDDA"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3DD5B6A2" w14:textId="77777777" w:rsidR="00BE227F" w:rsidRPr="003501B6" w:rsidRDefault="00BE227F">
            <w:pPr>
              <w:tabs>
                <w:tab w:val="left" w:pos="1304"/>
              </w:tabs>
              <w:rPr>
                <w:sz w:val="24"/>
                <w:szCs w:val="24"/>
                <w:lang w:val="en-US"/>
              </w:rPr>
            </w:pPr>
            <w:r w:rsidRPr="003501B6">
              <w:rPr>
                <w:sz w:val="24"/>
                <w:szCs w:val="24"/>
                <w:lang w:val="en-US"/>
              </w:rPr>
              <w:t>Streptococcus A, B, C, G</w:t>
            </w:r>
          </w:p>
        </w:tc>
        <w:tc>
          <w:tcPr>
            <w:tcW w:w="1315" w:type="pct"/>
            <w:tcBorders>
              <w:top w:val="single" w:sz="4" w:space="0" w:color="auto"/>
              <w:left w:val="single" w:sz="4" w:space="0" w:color="auto"/>
              <w:bottom w:val="single" w:sz="4" w:space="0" w:color="auto"/>
              <w:right w:val="single" w:sz="4" w:space="0" w:color="auto"/>
            </w:tcBorders>
            <w:hideMark/>
          </w:tcPr>
          <w:p w14:paraId="4ACC4D14" w14:textId="77777777" w:rsidR="00BE227F" w:rsidRPr="003501B6" w:rsidRDefault="00BE227F">
            <w:pPr>
              <w:tabs>
                <w:tab w:val="left" w:pos="1304"/>
              </w:tabs>
              <w:rPr>
                <w:sz w:val="24"/>
                <w:szCs w:val="24"/>
              </w:rPr>
            </w:pPr>
            <w:r w:rsidRPr="003501B6">
              <w:rPr>
                <w:sz w:val="24"/>
                <w:szCs w:val="24"/>
              </w:rPr>
              <w:t>≤0,001 mg/l</w:t>
            </w:r>
          </w:p>
        </w:tc>
        <w:tc>
          <w:tcPr>
            <w:tcW w:w="1833" w:type="pct"/>
            <w:tcBorders>
              <w:top w:val="single" w:sz="4" w:space="0" w:color="auto"/>
              <w:left w:val="single" w:sz="4" w:space="0" w:color="auto"/>
              <w:bottom w:val="single" w:sz="4" w:space="0" w:color="auto"/>
              <w:right w:val="single" w:sz="4" w:space="0" w:color="auto"/>
            </w:tcBorders>
            <w:hideMark/>
          </w:tcPr>
          <w:p w14:paraId="1AB5C525" w14:textId="77777777" w:rsidR="00BE227F" w:rsidRPr="003501B6" w:rsidRDefault="00BE227F">
            <w:pPr>
              <w:tabs>
                <w:tab w:val="left" w:pos="1304"/>
              </w:tabs>
              <w:rPr>
                <w:sz w:val="24"/>
                <w:szCs w:val="24"/>
              </w:rPr>
            </w:pPr>
            <w:r w:rsidRPr="003501B6">
              <w:rPr>
                <w:sz w:val="24"/>
                <w:szCs w:val="24"/>
              </w:rPr>
              <w:t>&gt;2 mg/l</w:t>
            </w:r>
          </w:p>
        </w:tc>
      </w:tr>
      <w:tr w:rsidR="00BE227F" w:rsidRPr="003501B6" w14:paraId="014BA23E" w14:textId="77777777" w:rsidTr="00596E4B">
        <w:tc>
          <w:tcPr>
            <w:tcW w:w="1852" w:type="pct"/>
            <w:tcBorders>
              <w:top w:val="single" w:sz="4" w:space="0" w:color="auto"/>
              <w:left w:val="single" w:sz="4" w:space="0" w:color="auto"/>
              <w:bottom w:val="single" w:sz="4" w:space="0" w:color="auto"/>
              <w:right w:val="single" w:sz="4" w:space="0" w:color="auto"/>
            </w:tcBorders>
          </w:tcPr>
          <w:p w14:paraId="4E43E3FD" w14:textId="77777777" w:rsidR="00BE227F" w:rsidRPr="003501B6" w:rsidRDefault="00BE227F">
            <w:pPr>
              <w:tabs>
                <w:tab w:val="left" w:pos="1304"/>
              </w:tabs>
              <w:rPr>
                <w:i/>
                <w:sz w:val="24"/>
                <w:szCs w:val="24"/>
              </w:rPr>
            </w:pPr>
            <w:r w:rsidRPr="003501B6">
              <w:rPr>
                <w:i/>
                <w:sz w:val="24"/>
                <w:szCs w:val="24"/>
              </w:rPr>
              <w:t>H. influenzae</w:t>
            </w:r>
          </w:p>
          <w:p w14:paraId="1D8E3B0D" w14:textId="77777777" w:rsidR="00BE227F" w:rsidRPr="003501B6" w:rsidRDefault="00BE227F">
            <w:pPr>
              <w:tabs>
                <w:tab w:val="left" w:pos="1304"/>
              </w:tabs>
              <w:rPr>
                <w:sz w:val="24"/>
                <w:szCs w:val="24"/>
                <w:lang w:val="en-US"/>
              </w:rPr>
            </w:pPr>
          </w:p>
        </w:tc>
        <w:tc>
          <w:tcPr>
            <w:tcW w:w="1315" w:type="pct"/>
            <w:tcBorders>
              <w:top w:val="single" w:sz="4" w:space="0" w:color="auto"/>
              <w:left w:val="single" w:sz="4" w:space="0" w:color="auto"/>
              <w:bottom w:val="single" w:sz="4" w:space="0" w:color="auto"/>
              <w:right w:val="single" w:sz="4" w:space="0" w:color="auto"/>
            </w:tcBorders>
            <w:hideMark/>
          </w:tcPr>
          <w:p w14:paraId="747C28E7" w14:textId="77777777" w:rsidR="00BE227F" w:rsidRPr="003501B6" w:rsidRDefault="00BE227F">
            <w:pPr>
              <w:tabs>
                <w:tab w:val="left" w:pos="1304"/>
              </w:tabs>
              <w:rPr>
                <w:sz w:val="24"/>
                <w:szCs w:val="24"/>
              </w:rPr>
            </w:pPr>
            <w:r w:rsidRPr="003501B6">
              <w:rPr>
                <w:sz w:val="24"/>
                <w:szCs w:val="24"/>
              </w:rPr>
              <w:t>≤0,06 mg/l</w:t>
            </w:r>
          </w:p>
        </w:tc>
        <w:tc>
          <w:tcPr>
            <w:tcW w:w="1833" w:type="pct"/>
            <w:tcBorders>
              <w:top w:val="single" w:sz="4" w:space="0" w:color="auto"/>
              <w:left w:val="single" w:sz="4" w:space="0" w:color="auto"/>
              <w:bottom w:val="single" w:sz="4" w:space="0" w:color="auto"/>
              <w:right w:val="single" w:sz="4" w:space="0" w:color="auto"/>
            </w:tcBorders>
            <w:hideMark/>
          </w:tcPr>
          <w:p w14:paraId="5A3A152F" w14:textId="77777777" w:rsidR="00BE227F" w:rsidRPr="003501B6" w:rsidRDefault="00BE227F">
            <w:pPr>
              <w:tabs>
                <w:tab w:val="left" w:pos="1304"/>
              </w:tabs>
              <w:rPr>
                <w:sz w:val="24"/>
                <w:szCs w:val="24"/>
              </w:rPr>
            </w:pPr>
            <w:r w:rsidRPr="003501B6">
              <w:rPr>
                <w:sz w:val="24"/>
                <w:szCs w:val="24"/>
              </w:rPr>
              <w:t>&gt;0,06 mg/l</w:t>
            </w:r>
          </w:p>
        </w:tc>
      </w:tr>
      <w:tr w:rsidR="00BE227F" w:rsidRPr="003501B6" w14:paraId="7F539680"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4D9BC2CB" w14:textId="77777777" w:rsidR="00BE227F" w:rsidRPr="003501B6" w:rsidRDefault="00BE227F">
            <w:pPr>
              <w:tabs>
                <w:tab w:val="left" w:pos="1304"/>
              </w:tabs>
              <w:rPr>
                <w:i/>
                <w:sz w:val="24"/>
                <w:szCs w:val="24"/>
              </w:rPr>
            </w:pPr>
            <w:r w:rsidRPr="003501B6">
              <w:rPr>
                <w:i/>
                <w:sz w:val="24"/>
                <w:szCs w:val="24"/>
              </w:rPr>
              <w:t>Moraxella catarrhalis</w:t>
            </w:r>
          </w:p>
        </w:tc>
        <w:tc>
          <w:tcPr>
            <w:tcW w:w="1315" w:type="pct"/>
            <w:tcBorders>
              <w:top w:val="single" w:sz="4" w:space="0" w:color="auto"/>
              <w:left w:val="single" w:sz="4" w:space="0" w:color="auto"/>
              <w:bottom w:val="single" w:sz="4" w:space="0" w:color="auto"/>
              <w:right w:val="single" w:sz="4" w:space="0" w:color="auto"/>
            </w:tcBorders>
            <w:hideMark/>
          </w:tcPr>
          <w:p w14:paraId="6B8CCE45" w14:textId="77777777" w:rsidR="00BE227F" w:rsidRPr="003501B6" w:rsidRDefault="00BE227F">
            <w:pPr>
              <w:tabs>
                <w:tab w:val="left" w:pos="1304"/>
              </w:tabs>
              <w:rPr>
                <w:sz w:val="24"/>
                <w:szCs w:val="24"/>
              </w:rPr>
            </w:pPr>
            <w:r w:rsidRPr="003501B6">
              <w:rPr>
                <w:sz w:val="24"/>
                <w:szCs w:val="24"/>
              </w:rPr>
              <w:t>≤0,125 mg/l</w:t>
            </w:r>
          </w:p>
        </w:tc>
        <w:tc>
          <w:tcPr>
            <w:tcW w:w="1833" w:type="pct"/>
            <w:tcBorders>
              <w:top w:val="single" w:sz="4" w:space="0" w:color="auto"/>
              <w:left w:val="single" w:sz="4" w:space="0" w:color="auto"/>
              <w:bottom w:val="single" w:sz="4" w:space="0" w:color="auto"/>
              <w:right w:val="single" w:sz="4" w:space="0" w:color="auto"/>
            </w:tcBorders>
            <w:hideMark/>
          </w:tcPr>
          <w:p w14:paraId="13D22149" w14:textId="77777777" w:rsidR="00BE227F" w:rsidRPr="003501B6" w:rsidRDefault="00BE227F">
            <w:pPr>
              <w:tabs>
                <w:tab w:val="left" w:pos="1304"/>
              </w:tabs>
              <w:rPr>
                <w:sz w:val="24"/>
                <w:szCs w:val="24"/>
              </w:rPr>
            </w:pPr>
            <w:r w:rsidRPr="003501B6">
              <w:rPr>
                <w:sz w:val="24"/>
                <w:szCs w:val="24"/>
              </w:rPr>
              <w:t>&gt; 0.125 mg/l</w:t>
            </w:r>
          </w:p>
        </w:tc>
      </w:tr>
      <w:tr w:rsidR="00BE227F" w:rsidRPr="003501B6" w14:paraId="7D586400"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44C1BA6A" w14:textId="77777777" w:rsidR="00BE227F" w:rsidRPr="003501B6" w:rsidRDefault="00BE227F">
            <w:pPr>
              <w:tabs>
                <w:tab w:val="left" w:pos="1304"/>
              </w:tabs>
              <w:rPr>
                <w:i/>
                <w:sz w:val="24"/>
                <w:szCs w:val="24"/>
              </w:rPr>
            </w:pPr>
            <w:r w:rsidRPr="003501B6">
              <w:rPr>
                <w:i/>
                <w:sz w:val="24"/>
                <w:szCs w:val="24"/>
              </w:rPr>
              <w:t>Helicobacter pylori</w:t>
            </w:r>
          </w:p>
        </w:tc>
        <w:tc>
          <w:tcPr>
            <w:tcW w:w="1315" w:type="pct"/>
            <w:tcBorders>
              <w:top w:val="single" w:sz="4" w:space="0" w:color="auto"/>
              <w:left w:val="single" w:sz="4" w:space="0" w:color="auto"/>
              <w:bottom w:val="single" w:sz="4" w:space="0" w:color="auto"/>
              <w:right w:val="single" w:sz="4" w:space="0" w:color="auto"/>
            </w:tcBorders>
            <w:hideMark/>
          </w:tcPr>
          <w:p w14:paraId="57194F8B" w14:textId="77777777" w:rsidR="00BE227F" w:rsidRPr="003501B6" w:rsidRDefault="00BE227F">
            <w:pPr>
              <w:tabs>
                <w:tab w:val="left" w:pos="1304"/>
              </w:tabs>
              <w:rPr>
                <w:sz w:val="24"/>
                <w:szCs w:val="24"/>
              </w:rPr>
            </w:pPr>
            <w:r w:rsidRPr="003501B6">
              <w:rPr>
                <w:sz w:val="24"/>
                <w:szCs w:val="24"/>
              </w:rPr>
              <w:t>≤1 mg/l</w:t>
            </w:r>
          </w:p>
        </w:tc>
        <w:tc>
          <w:tcPr>
            <w:tcW w:w="1833" w:type="pct"/>
            <w:tcBorders>
              <w:top w:val="single" w:sz="4" w:space="0" w:color="auto"/>
              <w:left w:val="single" w:sz="4" w:space="0" w:color="auto"/>
              <w:bottom w:val="single" w:sz="4" w:space="0" w:color="auto"/>
              <w:right w:val="single" w:sz="4" w:space="0" w:color="auto"/>
            </w:tcBorders>
            <w:hideMark/>
          </w:tcPr>
          <w:p w14:paraId="010D7BF0" w14:textId="77777777" w:rsidR="00BE227F" w:rsidRPr="003501B6" w:rsidRDefault="00BE227F">
            <w:pPr>
              <w:tabs>
                <w:tab w:val="left" w:pos="1304"/>
              </w:tabs>
              <w:rPr>
                <w:sz w:val="24"/>
                <w:szCs w:val="24"/>
              </w:rPr>
            </w:pPr>
            <w:r w:rsidRPr="003501B6">
              <w:rPr>
                <w:sz w:val="24"/>
                <w:szCs w:val="24"/>
              </w:rPr>
              <w:t>&gt;1 mg/l</w:t>
            </w:r>
          </w:p>
        </w:tc>
      </w:tr>
      <w:tr w:rsidR="00BE227F" w:rsidRPr="003501B6" w14:paraId="64D8B492"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43014E96" w14:textId="77777777" w:rsidR="00BE227F" w:rsidRPr="003501B6" w:rsidRDefault="00BE227F">
            <w:pPr>
              <w:tabs>
                <w:tab w:val="left" w:pos="1304"/>
              </w:tabs>
              <w:rPr>
                <w:i/>
                <w:sz w:val="24"/>
                <w:szCs w:val="24"/>
              </w:rPr>
            </w:pPr>
            <w:r w:rsidRPr="003501B6">
              <w:rPr>
                <w:i/>
                <w:sz w:val="24"/>
                <w:szCs w:val="24"/>
              </w:rPr>
              <w:t>Aerococcus sanguinicola, urinae</w:t>
            </w:r>
            <w:r w:rsidRPr="003501B6">
              <w:rPr>
                <w:i/>
                <w:sz w:val="24"/>
                <w:szCs w:val="24"/>
                <w:vertAlign w:val="superscript"/>
              </w:rPr>
              <w:t>2</w:t>
            </w:r>
          </w:p>
        </w:tc>
        <w:tc>
          <w:tcPr>
            <w:tcW w:w="1315" w:type="pct"/>
            <w:tcBorders>
              <w:top w:val="single" w:sz="4" w:space="0" w:color="auto"/>
              <w:left w:val="single" w:sz="4" w:space="0" w:color="auto"/>
              <w:bottom w:val="single" w:sz="4" w:space="0" w:color="auto"/>
              <w:right w:val="single" w:sz="4" w:space="0" w:color="auto"/>
            </w:tcBorders>
            <w:hideMark/>
          </w:tcPr>
          <w:p w14:paraId="243095CE" w14:textId="77777777" w:rsidR="00BE227F" w:rsidRPr="003501B6" w:rsidRDefault="00BE227F">
            <w:pPr>
              <w:tabs>
                <w:tab w:val="left" w:pos="1304"/>
              </w:tabs>
              <w:rPr>
                <w:sz w:val="24"/>
                <w:szCs w:val="24"/>
              </w:rPr>
            </w:pPr>
            <w:r w:rsidRPr="003501B6">
              <w:rPr>
                <w:sz w:val="24"/>
                <w:szCs w:val="24"/>
              </w:rPr>
              <w:t>≤2 mg/l</w:t>
            </w:r>
          </w:p>
        </w:tc>
        <w:tc>
          <w:tcPr>
            <w:tcW w:w="1833" w:type="pct"/>
            <w:tcBorders>
              <w:top w:val="single" w:sz="4" w:space="0" w:color="auto"/>
              <w:left w:val="single" w:sz="4" w:space="0" w:color="auto"/>
              <w:bottom w:val="single" w:sz="4" w:space="0" w:color="auto"/>
              <w:right w:val="single" w:sz="4" w:space="0" w:color="auto"/>
            </w:tcBorders>
            <w:hideMark/>
          </w:tcPr>
          <w:p w14:paraId="76EFB3FC" w14:textId="77777777" w:rsidR="00BE227F" w:rsidRPr="003501B6" w:rsidRDefault="00BE227F">
            <w:pPr>
              <w:tabs>
                <w:tab w:val="left" w:pos="1304"/>
              </w:tabs>
              <w:rPr>
                <w:sz w:val="24"/>
                <w:szCs w:val="24"/>
              </w:rPr>
            </w:pPr>
            <w:r w:rsidRPr="003501B6">
              <w:rPr>
                <w:sz w:val="24"/>
                <w:szCs w:val="24"/>
              </w:rPr>
              <w:t>&gt;2 mg/l</w:t>
            </w:r>
          </w:p>
        </w:tc>
      </w:tr>
      <w:tr w:rsidR="00BE227F" w:rsidRPr="003501B6" w14:paraId="4038606E"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68941FC6" w14:textId="77777777" w:rsidR="00BE227F" w:rsidRPr="003501B6" w:rsidRDefault="00BE227F">
            <w:pPr>
              <w:tabs>
                <w:tab w:val="left" w:pos="1304"/>
              </w:tabs>
              <w:rPr>
                <w:iCs/>
                <w:sz w:val="24"/>
                <w:szCs w:val="24"/>
              </w:rPr>
            </w:pPr>
            <w:r w:rsidRPr="003501B6">
              <w:rPr>
                <w:i/>
                <w:sz w:val="24"/>
                <w:szCs w:val="24"/>
              </w:rPr>
              <w:t xml:space="preserve">Aeromonas </w:t>
            </w:r>
            <w:r w:rsidRPr="003501B6">
              <w:rPr>
                <w:sz w:val="24"/>
                <w:szCs w:val="24"/>
              </w:rPr>
              <w:t>spp.</w:t>
            </w:r>
          </w:p>
        </w:tc>
        <w:tc>
          <w:tcPr>
            <w:tcW w:w="1315" w:type="pct"/>
            <w:tcBorders>
              <w:top w:val="single" w:sz="4" w:space="0" w:color="auto"/>
              <w:left w:val="single" w:sz="4" w:space="0" w:color="auto"/>
              <w:bottom w:val="single" w:sz="4" w:space="0" w:color="auto"/>
              <w:right w:val="single" w:sz="4" w:space="0" w:color="auto"/>
            </w:tcBorders>
            <w:hideMark/>
          </w:tcPr>
          <w:p w14:paraId="1593EDDC" w14:textId="77777777" w:rsidR="00BE227F" w:rsidRPr="003501B6" w:rsidRDefault="00BE227F">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6718DF38" w14:textId="77777777" w:rsidR="00BE227F" w:rsidRPr="003501B6" w:rsidRDefault="00BE227F">
            <w:pPr>
              <w:tabs>
                <w:tab w:val="left" w:pos="1304"/>
              </w:tabs>
              <w:rPr>
                <w:sz w:val="24"/>
                <w:szCs w:val="24"/>
              </w:rPr>
            </w:pPr>
            <w:r w:rsidRPr="003501B6">
              <w:rPr>
                <w:sz w:val="24"/>
                <w:szCs w:val="24"/>
              </w:rPr>
              <w:t>&gt;1 mg/l</w:t>
            </w:r>
          </w:p>
        </w:tc>
      </w:tr>
      <w:tr w:rsidR="00BE227F" w:rsidRPr="003501B6" w14:paraId="21DA4004" w14:textId="77777777" w:rsidTr="00596E4B">
        <w:tc>
          <w:tcPr>
            <w:tcW w:w="1852" w:type="pct"/>
            <w:tcBorders>
              <w:top w:val="single" w:sz="4" w:space="0" w:color="auto"/>
              <w:left w:val="single" w:sz="4" w:space="0" w:color="auto"/>
              <w:bottom w:val="single" w:sz="4" w:space="0" w:color="auto"/>
              <w:right w:val="single" w:sz="4" w:space="0" w:color="auto"/>
            </w:tcBorders>
            <w:hideMark/>
          </w:tcPr>
          <w:p w14:paraId="4DD823D1" w14:textId="77777777" w:rsidR="00BE227F" w:rsidRPr="003501B6" w:rsidRDefault="00BE227F">
            <w:pPr>
              <w:tabs>
                <w:tab w:val="left" w:pos="1304"/>
              </w:tabs>
              <w:rPr>
                <w:sz w:val="24"/>
                <w:szCs w:val="24"/>
              </w:rPr>
            </w:pPr>
            <w:r w:rsidRPr="003501B6">
              <w:rPr>
                <w:sz w:val="24"/>
                <w:szCs w:val="24"/>
              </w:rPr>
              <w:t>Ikke-artsrelaterede grænseværdier</w:t>
            </w:r>
          </w:p>
        </w:tc>
        <w:tc>
          <w:tcPr>
            <w:tcW w:w="1315" w:type="pct"/>
            <w:tcBorders>
              <w:top w:val="single" w:sz="4" w:space="0" w:color="auto"/>
              <w:left w:val="single" w:sz="4" w:space="0" w:color="auto"/>
              <w:bottom w:val="single" w:sz="4" w:space="0" w:color="auto"/>
              <w:right w:val="single" w:sz="4" w:space="0" w:color="auto"/>
            </w:tcBorders>
            <w:hideMark/>
          </w:tcPr>
          <w:p w14:paraId="77E2EA2E" w14:textId="77777777" w:rsidR="00BE227F" w:rsidRPr="003501B6" w:rsidRDefault="00BE227F">
            <w:pPr>
              <w:tabs>
                <w:tab w:val="left" w:pos="1304"/>
              </w:tabs>
              <w:rPr>
                <w:sz w:val="24"/>
                <w:szCs w:val="24"/>
              </w:rPr>
            </w:pPr>
            <w:r w:rsidRPr="003501B6">
              <w:rPr>
                <w:sz w:val="24"/>
                <w:szCs w:val="24"/>
              </w:rPr>
              <w:t>≤0,5 mg/l</w:t>
            </w:r>
          </w:p>
        </w:tc>
        <w:tc>
          <w:tcPr>
            <w:tcW w:w="1833" w:type="pct"/>
            <w:tcBorders>
              <w:top w:val="single" w:sz="4" w:space="0" w:color="auto"/>
              <w:left w:val="single" w:sz="4" w:space="0" w:color="auto"/>
              <w:bottom w:val="single" w:sz="4" w:space="0" w:color="auto"/>
              <w:right w:val="single" w:sz="4" w:space="0" w:color="auto"/>
            </w:tcBorders>
            <w:hideMark/>
          </w:tcPr>
          <w:p w14:paraId="573EDE12" w14:textId="77777777" w:rsidR="00BE227F" w:rsidRPr="003501B6" w:rsidRDefault="00BE227F">
            <w:pPr>
              <w:tabs>
                <w:tab w:val="left" w:pos="1304"/>
              </w:tabs>
              <w:rPr>
                <w:sz w:val="24"/>
                <w:szCs w:val="24"/>
              </w:rPr>
            </w:pPr>
            <w:r w:rsidRPr="003501B6">
              <w:rPr>
                <w:sz w:val="24"/>
                <w:szCs w:val="24"/>
              </w:rPr>
              <w:t>&gt;1 mg/l</w:t>
            </w:r>
          </w:p>
        </w:tc>
      </w:tr>
    </w:tbl>
    <w:bookmarkEnd w:id="2"/>
    <w:p w14:paraId="4CD6AD5F" w14:textId="77777777" w:rsidR="00BE227F" w:rsidRPr="00596E4B" w:rsidRDefault="00BE227F" w:rsidP="00FB67DB">
      <w:pPr>
        <w:ind w:left="851"/>
        <w:rPr>
          <w:sz w:val="20"/>
        </w:rPr>
      </w:pPr>
      <w:r w:rsidRPr="00596E4B">
        <w:rPr>
          <w:sz w:val="20"/>
        </w:rPr>
        <w:t>1.</w:t>
      </w:r>
      <w:r w:rsidRPr="00596E4B">
        <w:rPr>
          <w:sz w:val="20"/>
          <w:vertAlign w:val="superscript"/>
        </w:rPr>
        <w:t xml:space="preserve"> </w:t>
      </w:r>
      <w:r w:rsidRPr="00596E4B">
        <w:rPr>
          <w:sz w:val="20"/>
        </w:rPr>
        <w:t>Kun ukomplicerede urinvejsinfektioner.</w:t>
      </w:r>
    </w:p>
    <w:p w14:paraId="62C60022" w14:textId="77777777" w:rsidR="00BE227F" w:rsidRPr="00596E4B" w:rsidRDefault="00BE227F" w:rsidP="00FB67DB">
      <w:pPr>
        <w:ind w:left="851"/>
        <w:rPr>
          <w:sz w:val="20"/>
        </w:rPr>
      </w:pPr>
      <w:r w:rsidRPr="00596E4B">
        <w:rPr>
          <w:sz w:val="20"/>
        </w:rPr>
        <w:t>2.</w:t>
      </w:r>
      <w:r w:rsidRPr="00596E4B">
        <w:rPr>
          <w:sz w:val="20"/>
          <w:vertAlign w:val="superscript"/>
        </w:rPr>
        <w:t xml:space="preserve"> </w:t>
      </w:r>
      <w:r w:rsidRPr="00596E4B">
        <w:rPr>
          <w:sz w:val="20"/>
        </w:rPr>
        <w:t xml:space="preserve">Følsomheden kan udledes af følsomhed over for ciprofloxacin. </w:t>
      </w:r>
    </w:p>
    <w:p w14:paraId="61000465" w14:textId="77777777" w:rsidR="00BE227F" w:rsidRPr="003501B6" w:rsidRDefault="00BE227F" w:rsidP="00FB67DB">
      <w:pPr>
        <w:ind w:left="851"/>
        <w:rPr>
          <w:sz w:val="24"/>
          <w:szCs w:val="24"/>
        </w:rPr>
      </w:pPr>
    </w:p>
    <w:p w14:paraId="58B5940C" w14:textId="77777777" w:rsidR="00BE227F" w:rsidRPr="003501B6" w:rsidRDefault="00BE227F" w:rsidP="00FB67DB">
      <w:pPr>
        <w:ind w:left="851"/>
        <w:rPr>
          <w:sz w:val="24"/>
          <w:szCs w:val="24"/>
        </w:rPr>
      </w:pPr>
      <w:r w:rsidRPr="003501B6">
        <w:rPr>
          <w:sz w:val="24"/>
          <w:szCs w:val="24"/>
        </w:rPr>
        <w:t>Resistensprævalensen kan variere geografisk og med tiden for de enkelte arter, og lokal information om resistens er ønskværdig, særligt ved behandling af svære infektioner. Ekspertrådgivning bør søges efter behov, når den lokale resistensprævalens er sådan, at midlets anvendelighed er tvivlsom til i det mindste nogle typer infektioner.</w:t>
      </w:r>
    </w:p>
    <w:p w14:paraId="48FD65C7" w14:textId="77777777" w:rsidR="00BE227F" w:rsidRPr="003501B6" w:rsidRDefault="00BE227F" w:rsidP="00FB67DB">
      <w:pPr>
        <w:ind w:left="851"/>
        <w:rPr>
          <w:sz w:val="24"/>
          <w:szCs w:val="24"/>
        </w:rPr>
      </w:pPr>
    </w:p>
    <w:p w14:paraId="3C365FD4" w14:textId="77777777" w:rsidR="00BE227F" w:rsidRPr="003501B6" w:rsidRDefault="00BE227F" w:rsidP="00FB67DB">
      <w:pPr>
        <w:ind w:left="851"/>
        <w:rPr>
          <w:sz w:val="24"/>
          <w:szCs w:val="24"/>
          <w:u w:val="single"/>
        </w:rPr>
      </w:pPr>
      <w:r w:rsidRPr="003501B6">
        <w:rPr>
          <w:sz w:val="24"/>
          <w:szCs w:val="24"/>
          <w:u w:val="single"/>
        </w:rPr>
        <w:t>ALMINDELIGT FØLSOMME ARTER</w:t>
      </w:r>
    </w:p>
    <w:p w14:paraId="0D072E5F" w14:textId="77777777" w:rsidR="00BE227F" w:rsidRPr="003501B6" w:rsidRDefault="00BE227F" w:rsidP="00FB67DB">
      <w:pPr>
        <w:ind w:left="851"/>
        <w:rPr>
          <w:b/>
          <w:sz w:val="24"/>
          <w:szCs w:val="24"/>
        </w:rPr>
      </w:pPr>
    </w:p>
    <w:p w14:paraId="678AAAA2" w14:textId="77777777" w:rsidR="00BE227F" w:rsidRPr="003501B6" w:rsidRDefault="00BE227F" w:rsidP="00FB67DB">
      <w:pPr>
        <w:ind w:left="851"/>
        <w:rPr>
          <w:sz w:val="24"/>
          <w:szCs w:val="24"/>
        </w:rPr>
      </w:pPr>
      <w:r w:rsidRPr="003501B6">
        <w:rPr>
          <w:b/>
          <w:sz w:val="24"/>
          <w:szCs w:val="24"/>
        </w:rPr>
        <w:t>Aerobe grampositive bakterier</w:t>
      </w:r>
    </w:p>
    <w:p w14:paraId="4DC0E490" w14:textId="77777777" w:rsidR="00BE227F" w:rsidRPr="003501B6" w:rsidRDefault="00BE227F" w:rsidP="00FB67DB">
      <w:pPr>
        <w:ind w:left="851"/>
        <w:rPr>
          <w:i/>
          <w:sz w:val="24"/>
          <w:szCs w:val="24"/>
          <w:lang w:val="en-US"/>
        </w:rPr>
      </w:pPr>
      <w:r w:rsidRPr="003501B6">
        <w:rPr>
          <w:i/>
          <w:sz w:val="24"/>
          <w:szCs w:val="24"/>
          <w:lang w:val="en-US"/>
        </w:rPr>
        <w:t>Bacillus anthracis</w:t>
      </w:r>
    </w:p>
    <w:p w14:paraId="7C0D4EBC" w14:textId="77777777" w:rsidR="00BE227F" w:rsidRPr="003501B6" w:rsidRDefault="00BE227F" w:rsidP="00FB67DB">
      <w:pPr>
        <w:ind w:left="851"/>
        <w:rPr>
          <w:sz w:val="24"/>
          <w:szCs w:val="24"/>
          <w:lang w:val="en-US"/>
        </w:rPr>
      </w:pPr>
      <w:r w:rsidRPr="003501B6">
        <w:rPr>
          <w:i/>
          <w:sz w:val="24"/>
          <w:szCs w:val="24"/>
          <w:lang w:val="en-US"/>
        </w:rPr>
        <w:t>Staphylococcus aureus</w:t>
      </w:r>
      <w:r w:rsidRPr="003501B6">
        <w:rPr>
          <w:sz w:val="24"/>
          <w:szCs w:val="24"/>
          <w:lang w:val="en-US"/>
        </w:rPr>
        <w:t xml:space="preserve"> methicillin-følsom</w:t>
      </w:r>
    </w:p>
    <w:p w14:paraId="25928E1D" w14:textId="77777777" w:rsidR="00BE227F" w:rsidRPr="003501B6" w:rsidRDefault="00BE227F" w:rsidP="00FB67DB">
      <w:pPr>
        <w:ind w:left="851"/>
        <w:rPr>
          <w:i/>
          <w:sz w:val="24"/>
          <w:szCs w:val="24"/>
          <w:lang w:val="en-US"/>
        </w:rPr>
      </w:pPr>
      <w:r w:rsidRPr="003501B6">
        <w:rPr>
          <w:i/>
          <w:sz w:val="24"/>
          <w:szCs w:val="24"/>
          <w:lang w:val="en-US"/>
        </w:rPr>
        <w:t>Staphylococcus saprophyticus</w:t>
      </w:r>
    </w:p>
    <w:p w14:paraId="0262C648" w14:textId="77777777" w:rsidR="00BE227F" w:rsidRPr="003501B6" w:rsidRDefault="00BE227F" w:rsidP="00FB67DB">
      <w:pPr>
        <w:ind w:left="851"/>
        <w:rPr>
          <w:sz w:val="24"/>
          <w:szCs w:val="24"/>
          <w:lang w:val="en-US"/>
        </w:rPr>
      </w:pPr>
      <w:r w:rsidRPr="003501B6">
        <w:rPr>
          <w:i/>
          <w:sz w:val="24"/>
          <w:szCs w:val="24"/>
          <w:lang w:val="en-US"/>
        </w:rPr>
        <w:t>Streptococci</w:t>
      </w:r>
      <w:r w:rsidRPr="003501B6">
        <w:rPr>
          <w:sz w:val="24"/>
          <w:szCs w:val="24"/>
          <w:lang w:val="en-US"/>
        </w:rPr>
        <w:t>, gruppe C og G</w:t>
      </w:r>
    </w:p>
    <w:p w14:paraId="225D602C" w14:textId="77777777" w:rsidR="00BE227F" w:rsidRPr="003501B6" w:rsidRDefault="00BE227F" w:rsidP="00FB67DB">
      <w:pPr>
        <w:ind w:left="851"/>
        <w:rPr>
          <w:i/>
          <w:sz w:val="24"/>
          <w:szCs w:val="24"/>
          <w:lang w:val="en-US"/>
        </w:rPr>
      </w:pPr>
      <w:r w:rsidRPr="003501B6">
        <w:rPr>
          <w:i/>
          <w:sz w:val="24"/>
          <w:szCs w:val="24"/>
          <w:lang w:val="en-US"/>
        </w:rPr>
        <w:t>Streptococcus agalactiae</w:t>
      </w:r>
    </w:p>
    <w:p w14:paraId="733F2B4F" w14:textId="77777777" w:rsidR="00BE227F" w:rsidRPr="003501B6" w:rsidRDefault="00BE227F" w:rsidP="00FB67DB">
      <w:pPr>
        <w:ind w:left="851"/>
        <w:rPr>
          <w:sz w:val="24"/>
          <w:szCs w:val="24"/>
          <w:lang w:val="en-US"/>
        </w:rPr>
      </w:pPr>
      <w:r w:rsidRPr="003501B6">
        <w:rPr>
          <w:i/>
          <w:sz w:val="24"/>
          <w:szCs w:val="24"/>
          <w:lang w:val="en-US"/>
        </w:rPr>
        <w:t>Streptococcus pneumoniae</w:t>
      </w:r>
    </w:p>
    <w:p w14:paraId="596D76CD" w14:textId="77777777" w:rsidR="00BE227F" w:rsidRPr="003501B6" w:rsidRDefault="00BE227F" w:rsidP="00FB67DB">
      <w:pPr>
        <w:ind w:left="851"/>
        <w:rPr>
          <w:sz w:val="24"/>
          <w:szCs w:val="24"/>
          <w:lang w:val="en-US"/>
        </w:rPr>
      </w:pPr>
      <w:r w:rsidRPr="003501B6">
        <w:rPr>
          <w:i/>
          <w:sz w:val="24"/>
          <w:szCs w:val="24"/>
          <w:lang w:val="en-US"/>
        </w:rPr>
        <w:t>Streptococcus pyogenes</w:t>
      </w:r>
    </w:p>
    <w:p w14:paraId="57736F1D" w14:textId="77777777" w:rsidR="00BE227F" w:rsidRPr="003501B6" w:rsidRDefault="00BE227F" w:rsidP="00FB67DB">
      <w:pPr>
        <w:ind w:left="851"/>
        <w:rPr>
          <w:sz w:val="24"/>
          <w:szCs w:val="24"/>
          <w:lang w:val="en-US"/>
        </w:rPr>
      </w:pPr>
    </w:p>
    <w:p w14:paraId="027A80CF" w14:textId="77777777" w:rsidR="00BE227F" w:rsidRPr="003501B6" w:rsidRDefault="00BE227F" w:rsidP="00FB67DB">
      <w:pPr>
        <w:ind w:left="851"/>
        <w:rPr>
          <w:b/>
          <w:sz w:val="24"/>
          <w:szCs w:val="24"/>
          <w:lang w:val="en-US"/>
        </w:rPr>
      </w:pPr>
      <w:r w:rsidRPr="003501B6">
        <w:rPr>
          <w:b/>
          <w:sz w:val="24"/>
          <w:szCs w:val="24"/>
          <w:lang w:val="en-US"/>
        </w:rPr>
        <w:t>Aerobe gramnegative bakterier</w:t>
      </w:r>
    </w:p>
    <w:p w14:paraId="30AC2D70" w14:textId="77777777" w:rsidR="00BE227F" w:rsidRPr="003501B6" w:rsidRDefault="00BE227F" w:rsidP="00FB67DB">
      <w:pPr>
        <w:ind w:left="851"/>
        <w:rPr>
          <w:i/>
          <w:sz w:val="24"/>
          <w:szCs w:val="24"/>
          <w:lang w:val="en-US"/>
        </w:rPr>
      </w:pPr>
      <w:r w:rsidRPr="003501B6">
        <w:rPr>
          <w:i/>
          <w:sz w:val="24"/>
          <w:szCs w:val="24"/>
          <w:lang w:val="en-US"/>
        </w:rPr>
        <w:t>Eikenella corrodens</w:t>
      </w:r>
    </w:p>
    <w:p w14:paraId="5857E9EB" w14:textId="77777777" w:rsidR="00BE227F" w:rsidRPr="003501B6" w:rsidRDefault="00BE227F" w:rsidP="00FB67DB">
      <w:pPr>
        <w:ind w:left="851"/>
        <w:rPr>
          <w:sz w:val="24"/>
          <w:szCs w:val="24"/>
          <w:lang w:val="en-US"/>
        </w:rPr>
      </w:pPr>
      <w:r w:rsidRPr="003501B6">
        <w:rPr>
          <w:i/>
          <w:sz w:val="24"/>
          <w:szCs w:val="24"/>
          <w:lang w:val="en-US"/>
        </w:rPr>
        <w:t>Haemophilus influenzae</w:t>
      </w:r>
    </w:p>
    <w:p w14:paraId="3FB5D11C" w14:textId="77777777" w:rsidR="00BE227F" w:rsidRPr="003501B6" w:rsidRDefault="00BE227F" w:rsidP="00FB67DB">
      <w:pPr>
        <w:ind w:left="851"/>
        <w:rPr>
          <w:sz w:val="24"/>
          <w:szCs w:val="24"/>
          <w:lang w:val="en-US"/>
        </w:rPr>
      </w:pPr>
      <w:r w:rsidRPr="003501B6">
        <w:rPr>
          <w:i/>
          <w:sz w:val="24"/>
          <w:szCs w:val="24"/>
          <w:lang w:val="en-US"/>
        </w:rPr>
        <w:t>Haemophilus para-influenzae</w:t>
      </w:r>
    </w:p>
    <w:p w14:paraId="3D23F8DD" w14:textId="77777777" w:rsidR="00BE227F" w:rsidRPr="003501B6" w:rsidRDefault="00BE227F" w:rsidP="00FB67DB">
      <w:pPr>
        <w:ind w:left="851"/>
        <w:rPr>
          <w:i/>
          <w:sz w:val="24"/>
          <w:szCs w:val="24"/>
          <w:lang w:val="en-US"/>
        </w:rPr>
      </w:pPr>
      <w:r w:rsidRPr="003501B6">
        <w:rPr>
          <w:i/>
          <w:sz w:val="24"/>
          <w:szCs w:val="24"/>
          <w:lang w:val="en-US"/>
        </w:rPr>
        <w:t>Klebsiella oxytoca</w:t>
      </w:r>
    </w:p>
    <w:p w14:paraId="280EFA06" w14:textId="77777777" w:rsidR="00BE227F" w:rsidRPr="003501B6" w:rsidRDefault="00BE227F" w:rsidP="00FB67DB">
      <w:pPr>
        <w:ind w:left="851"/>
        <w:rPr>
          <w:sz w:val="24"/>
          <w:szCs w:val="24"/>
          <w:lang w:val="en-US"/>
        </w:rPr>
      </w:pPr>
      <w:r w:rsidRPr="003501B6">
        <w:rPr>
          <w:i/>
          <w:sz w:val="24"/>
          <w:szCs w:val="24"/>
          <w:lang w:val="en-US"/>
        </w:rPr>
        <w:t>Moraxella catarrhalis</w:t>
      </w:r>
    </w:p>
    <w:p w14:paraId="619A7372" w14:textId="77777777" w:rsidR="00BE227F" w:rsidRPr="003501B6" w:rsidRDefault="00BE227F" w:rsidP="00FB67DB">
      <w:pPr>
        <w:ind w:left="851"/>
        <w:rPr>
          <w:i/>
          <w:sz w:val="24"/>
          <w:szCs w:val="24"/>
          <w:lang w:val="en-US"/>
        </w:rPr>
      </w:pPr>
      <w:r w:rsidRPr="003501B6">
        <w:rPr>
          <w:i/>
          <w:sz w:val="24"/>
          <w:szCs w:val="24"/>
          <w:lang w:val="en-US"/>
        </w:rPr>
        <w:t>Pasteurella multocida</w:t>
      </w:r>
    </w:p>
    <w:p w14:paraId="7D4BD040" w14:textId="77777777" w:rsidR="00BE227F" w:rsidRPr="003501B6" w:rsidRDefault="00BE227F" w:rsidP="00FB67DB">
      <w:pPr>
        <w:ind w:left="851"/>
        <w:rPr>
          <w:i/>
          <w:sz w:val="24"/>
          <w:szCs w:val="24"/>
          <w:lang w:val="en-US"/>
        </w:rPr>
      </w:pPr>
      <w:r w:rsidRPr="003501B6">
        <w:rPr>
          <w:i/>
          <w:sz w:val="24"/>
          <w:szCs w:val="24"/>
          <w:lang w:val="en-US"/>
        </w:rPr>
        <w:t>Proteus vulgaris</w:t>
      </w:r>
    </w:p>
    <w:p w14:paraId="60812068" w14:textId="77777777" w:rsidR="00BE227F" w:rsidRPr="003501B6" w:rsidRDefault="00BE227F" w:rsidP="00FB67DB">
      <w:pPr>
        <w:ind w:left="851"/>
        <w:rPr>
          <w:i/>
          <w:sz w:val="24"/>
          <w:szCs w:val="24"/>
          <w:lang w:val="en-US"/>
        </w:rPr>
      </w:pPr>
      <w:r w:rsidRPr="003501B6">
        <w:rPr>
          <w:i/>
          <w:sz w:val="24"/>
          <w:szCs w:val="24"/>
          <w:lang w:val="en-US"/>
        </w:rPr>
        <w:t>Providencia rettgeri</w:t>
      </w:r>
    </w:p>
    <w:p w14:paraId="54C52B0B" w14:textId="02A510AD" w:rsidR="00C10F13" w:rsidRDefault="00C10F13">
      <w:pPr>
        <w:rPr>
          <w:i/>
          <w:sz w:val="24"/>
          <w:szCs w:val="24"/>
          <w:lang w:val="en-US"/>
        </w:rPr>
      </w:pPr>
      <w:r>
        <w:rPr>
          <w:i/>
          <w:sz w:val="24"/>
          <w:szCs w:val="24"/>
          <w:lang w:val="en-US"/>
        </w:rPr>
        <w:br w:type="page"/>
      </w:r>
    </w:p>
    <w:p w14:paraId="117D6E87" w14:textId="77777777" w:rsidR="00BE227F" w:rsidRPr="003501B6" w:rsidRDefault="00BE227F" w:rsidP="00FB67DB">
      <w:pPr>
        <w:ind w:left="851"/>
        <w:rPr>
          <w:i/>
          <w:sz w:val="24"/>
          <w:szCs w:val="24"/>
          <w:lang w:val="en-US"/>
        </w:rPr>
      </w:pPr>
    </w:p>
    <w:p w14:paraId="2B11291A" w14:textId="77777777" w:rsidR="00BE227F" w:rsidRPr="003501B6" w:rsidRDefault="00BE227F" w:rsidP="00FB67DB">
      <w:pPr>
        <w:ind w:left="851"/>
        <w:rPr>
          <w:b/>
          <w:sz w:val="24"/>
          <w:szCs w:val="24"/>
          <w:lang w:val="en-US"/>
        </w:rPr>
      </w:pPr>
      <w:r w:rsidRPr="003501B6">
        <w:rPr>
          <w:b/>
          <w:sz w:val="24"/>
          <w:szCs w:val="24"/>
          <w:lang w:val="en-US"/>
        </w:rPr>
        <w:t>Anaerobe bakterier</w:t>
      </w:r>
    </w:p>
    <w:p w14:paraId="4C6297B2" w14:textId="77777777" w:rsidR="00BE227F" w:rsidRPr="003501B6" w:rsidRDefault="00BE227F" w:rsidP="00FB67DB">
      <w:pPr>
        <w:ind w:left="851"/>
        <w:rPr>
          <w:i/>
          <w:sz w:val="24"/>
          <w:szCs w:val="24"/>
          <w:lang w:val="en-US"/>
        </w:rPr>
      </w:pPr>
      <w:r w:rsidRPr="003501B6">
        <w:rPr>
          <w:i/>
          <w:sz w:val="24"/>
          <w:szCs w:val="24"/>
          <w:lang w:val="en-US"/>
        </w:rPr>
        <w:t>Peptostreptococcus</w:t>
      </w:r>
    </w:p>
    <w:p w14:paraId="7D626BEA" w14:textId="77777777" w:rsidR="00BE227F" w:rsidRPr="003501B6" w:rsidRDefault="00BE227F" w:rsidP="00FB67DB">
      <w:pPr>
        <w:ind w:left="851"/>
        <w:rPr>
          <w:i/>
          <w:sz w:val="24"/>
          <w:szCs w:val="24"/>
          <w:lang w:val="en-US"/>
        </w:rPr>
      </w:pPr>
    </w:p>
    <w:p w14:paraId="43D2F18F" w14:textId="77777777" w:rsidR="00BE227F" w:rsidRPr="003501B6" w:rsidRDefault="00BE227F" w:rsidP="00FB67DB">
      <w:pPr>
        <w:ind w:left="851"/>
        <w:rPr>
          <w:b/>
          <w:sz w:val="24"/>
          <w:szCs w:val="24"/>
          <w:lang w:val="en-US"/>
        </w:rPr>
      </w:pPr>
      <w:r w:rsidRPr="003501B6">
        <w:rPr>
          <w:b/>
          <w:sz w:val="24"/>
          <w:szCs w:val="24"/>
          <w:lang w:val="en-US"/>
        </w:rPr>
        <w:t>Andet</w:t>
      </w:r>
    </w:p>
    <w:p w14:paraId="0E89D70A" w14:textId="77777777" w:rsidR="00BE227F" w:rsidRPr="003501B6" w:rsidRDefault="00BE227F" w:rsidP="00FB67DB">
      <w:pPr>
        <w:ind w:left="851"/>
        <w:rPr>
          <w:sz w:val="24"/>
          <w:szCs w:val="24"/>
          <w:lang w:val="en-US"/>
        </w:rPr>
      </w:pPr>
      <w:r w:rsidRPr="003501B6">
        <w:rPr>
          <w:i/>
          <w:sz w:val="24"/>
          <w:szCs w:val="24"/>
          <w:lang w:val="en-US"/>
        </w:rPr>
        <w:t>Chlamydophila pneumoniae</w:t>
      </w:r>
    </w:p>
    <w:p w14:paraId="590B572C" w14:textId="77777777" w:rsidR="00BE227F" w:rsidRPr="003501B6" w:rsidRDefault="00BE227F" w:rsidP="00FB67DB">
      <w:pPr>
        <w:ind w:left="851"/>
        <w:rPr>
          <w:i/>
          <w:sz w:val="24"/>
          <w:szCs w:val="24"/>
          <w:lang w:val="en-US"/>
        </w:rPr>
      </w:pPr>
      <w:r w:rsidRPr="003501B6">
        <w:rPr>
          <w:i/>
          <w:sz w:val="24"/>
          <w:szCs w:val="24"/>
          <w:lang w:val="en-US"/>
        </w:rPr>
        <w:t>Chlamydophila psittaci</w:t>
      </w:r>
    </w:p>
    <w:p w14:paraId="231C2A33" w14:textId="77777777" w:rsidR="00BE227F" w:rsidRPr="003501B6" w:rsidRDefault="00BE227F" w:rsidP="00FB67DB">
      <w:pPr>
        <w:ind w:left="851"/>
        <w:rPr>
          <w:i/>
          <w:sz w:val="24"/>
          <w:szCs w:val="24"/>
          <w:lang w:val="en-US"/>
        </w:rPr>
      </w:pPr>
      <w:r w:rsidRPr="003501B6">
        <w:rPr>
          <w:i/>
          <w:sz w:val="24"/>
          <w:szCs w:val="24"/>
          <w:lang w:val="en-US"/>
        </w:rPr>
        <w:t>Chlamydia trachomatis</w:t>
      </w:r>
    </w:p>
    <w:p w14:paraId="0A8B99A2" w14:textId="77777777" w:rsidR="00BE227F" w:rsidRPr="003501B6" w:rsidRDefault="00BE227F" w:rsidP="00FB67DB">
      <w:pPr>
        <w:ind w:left="851"/>
        <w:rPr>
          <w:sz w:val="24"/>
          <w:szCs w:val="24"/>
          <w:lang w:val="sv-SE"/>
        </w:rPr>
      </w:pPr>
      <w:r w:rsidRPr="003501B6">
        <w:rPr>
          <w:i/>
          <w:sz w:val="24"/>
          <w:szCs w:val="24"/>
          <w:lang w:val="sv-SE"/>
        </w:rPr>
        <w:t>Legionella pneumophila</w:t>
      </w:r>
    </w:p>
    <w:p w14:paraId="28918AAF" w14:textId="77777777" w:rsidR="00BE227F" w:rsidRPr="003501B6" w:rsidRDefault="00BE227F" w:rsidP="00FB67DB">
      <w:pPr>
        <w:ind w:left="851"/>
        <w:rPr>
          <w:sz w:val="24"/>
          <w:szCs w:val="24"/>
          <w:lang w:val="sv-SE"/>
        </w:rPr>
      </w:pPr>
      <w:r w:rsidRPr="003501B6">
        <w:rPr>
          <w:i/>
          <w:sz w:val="24"/>
          <w:szCs w:val="24"/>
          <w:lang w:val="sv-SE"/>
        </w:rPr>
        <w:t>Mycoplasma pneumoniae</w:t>
      </w:r>
    </w:p>
    <w:p w14:paraId="72822334" w14:textId="77777777" w:rsidR="00BE227F" w:rsidRPr="003501B6" w:rsidRDefault="00BE227F" w:rsidP="00FB67DB">
      <w:pPr>
        <w:ind w:left="851"/>
        <w:rPr>
          <w:i/>
          <w:sz w:val="24"/>
          <w:szCs w:val="24"/>
          <w:lang w:val="sv-SE"/>
        </w:rPr>
      </w:pPr>
      <w:r w:rsidRPr="003501B6">
        <w:rPr>
          <w:i/>
          <w:sz w:val="24"/>
          <w:szCs w:val="24"/>
          <w:lang w:val="sv-SE"/>
        </w:rPr>
        <w:t>Mycoplasma hominis</w:t>
      </w:r>
    </w:p>
    <w:p w14:paraId="058D749C" w14:textId="77777777" w:rsidR="00BE227F" w:rsidRPr="00254CC6" w:rsidRDefault="00BE227F" w:rsidP="00FB67DB">
      <w:pPr>
        <w:ind w:left="851"/>
        <w:rPr>
          <w:i/>
          <w:sz w:val="24"/>
          <w:szCs w:val="24"/>
          <w:lang w:val="en-US"/>
        </w:rPr>
      </w:pPr>
      <w:r w:rsidRPr="00254CC6">
        <w:rPr>
          <w:i/>
          <w:sz w:val="24"/>
          <w:szCs w:val="24"/>
          <w:lang w:val="en-US"/>
        </w:rPr>
        <w:t>Ureaplasma urealyticum</w:t>
      </w:r>
    </w:p>
    <w:p w14:paraId="1EBF3BBF" w14:textId="77777777" w:rsidR="00BE227F" w:rsidRPr="00254CC6" w:rsidRDefault="00BE227F" w:rsidP="00FB67DB">
      <w:pPr>
        <w:ind w:left="851"/>
        <w:rPr>
          <w:i/>
          <w:sz w:val="24"/>
          <w:szCs w:val="24"/>
          <w:lang w:val="en-US"/>
        </w:rPr>
      </w:pPr>
    </w:p>
    <w:p w14:paraId="2963D545" w14:textId="77777777" w:rsidR="00BE227F" w:rsidRPr="003501B6" w:rsidRDefault="00BE227F" w:rsidP="00FB67DB">
      <w:pPr>
        <w:ind w:left="851"/>
        <w:rPr>
          <w:sz w:val="24"/>
          <w:szCs w:val="24"/>
          <w:u w:val="single"/>
        </w:rPr>
      </w:pPr>
      <w:r w:rsidRPr="003501B6">
        <w:rPr>
          <w:sz w:val="24"/>
          <w:szCs w:val="24"/>
          <w:u w:val="single"/>
        </w:rPr>
        <w:t>ARTER, HVOR ERHVERVET RESISTENS KAN VÆRE ET PROBLEM</w:t>
      </w:r>
    </w:p>
    <w:p w14:paraId="75F98B75" w14:textId="77777777" w:rsidR="00BE227F" w:rsidRPr="003501B6" w:rsidRDefault="00BE227F" w:rsidP="00FB67DB">
      <w:pPr>
        <w:ind w:left="851"/>
        <w:rPr>
          <w:b/>
          <w:sz w:val="24"/>
          <w:szCs w:val="24"/>
        </w:rPr>
      </w:pPr>
    </w:p>
    <w:p w14:paraId="01680E14" w14:textId="77777777" w:rsidR="00BE227F" w:rsidRPr="003501B6" w:rsidRDefault="00BE227F" w:rsidP="00FB67DB">
      <w:pPr>
        <w:ind w:left="851"/>
        <w:rPr>
          <w:sz w:val="24"/>
          <w:szCs w:val="24"/>
          <w:lang w:val="en-US"/>
        </w:rPr>
      </w:pPr>
      <w:r w:rsidRPr="003501B6">
        <w:rPr>
          <w:b/>
          <w:sz w:val="24"/>
          <w:szCs w:val="24"/>
          <w:lang w:val="en-US"/>
        </w:rPr>
        <w:t>Aerobe grampositive bakterier</w:t>
      </w:r>
    </w:p>
    <w:p w14:paraId="0FF0D170" w14:textId="77777777" w:rsidR="00BE227F" w:rsidRPr="003501B6" w:rsidRDefault="00BE227F" w:rsidP="00FB67DB">
      <w:pPr>
        <w:ind w:left="851"/>
        <w:rPr>
          <w:sz w:val="24"/>
          <w:szCs w:val="24"/>
          <w:lang w:val="en-US"/>
        </w:rPr>
      </w:pPr>
      <w:r w:rsidRPr="003501B6">
        <w:rPr>
          <w:i/>
          <w:sz w:val="24"/>
          <w:szCs w:val="24"/>
          <w:lang w:val="en-US"/>
        </w:rPr>
        <w:t>Enterococcus faecalis</w:t>
      </w:r>
    </w:p>
    <w:p w14:paraId="249F63B2" w14:textId="77777777" w:rsidR="00BE227F" w:rsidRPr="003501B6" w:rsidRDefault="00BE227F" w:rsidP="00FB67DB">
      <w:pPr>
        <w:ind w:left="851"/>
        <w:rPr>
          <w:sz w:val="24"/>
          <w:szCs w:val="24"/>
          <w:lang w:val="en-US"/>
        </w:rPr>
      </w:pPr>
      <w:r w:rsidRPr="003501B6">
        <w:rPr>
          <w:i/>
          <w:sz w:val="24"/>
          <w:szCs w:val="24"/>
          <w:lang w:val="en-US"/>
        </w:rPr>
        <w:t xml:space="preserve">Staphylococcus aureus </w:t>
      </w:r>
      <w:r w:rsidRPr="003501B6">
        <w:rPr>
          <w:sz w:val="24"/>
          <w:szCs w:val="24"/>
          <w:lang w:val="en-US"/>
        </w:rPr>
        <w:t>methicillin-resistent</w:t>
      </w:r>
      <w:r w:rsidRPr="003501B6">
        <w:rPr>
          <w:sz w:val="24"/>
          <w:szCs w:val="24"/>
          <w:vertAlign w:val="superscript"/>
          <w:lang w:val="en-US"/>
        </w:rPr>
        <w:t>#</w:t>
      </w:r>
    </w:p>
    <w:p w14:paraId="11C076E0" w14:textId="77777777" w:rsidR="00BE227F" w:rsidRPr="003501B6" w:rsidRDefault="00BE227F" w:rsidP="00FB67DB">
      <w:pPr>
        <w:ind w:left="851"/>
        <w:rPr>
          <w:i/>
          <w:sz w:val="24"/>
          <w:szCs w:val="24"/>
          <w:lang w:val="en-US"/>
        </w:rPr>
      </w:pPr>
      <w:r w:rsidRPr="003501B6">
        <w:rPr>
          <w:sz w:val="24"/>
          <w:szCs w:val="24"/>
          <w:lang w:val="en-US"/>
        </w:rPr>
        <w:t>Koagulasenegativ</w:t>
      </w:r>
      <w:r w:rsidRPr="003501B6">
        <w:rPr>
          <w:i/>
          <w:sz w:val="24"/>
          <w:szCs w:val="24"/>
          <w:lang w:val="en-US"/>
        </w:rPr>
        <w:t xml:space="preserve"> Staphylococcus </w:t>
      </w:r>
      <w:r w:rsidRPr="003501B6">
        <w:rPr>
          <w:sz w:val="24"/>
          <w:szCs w:val="24"/>
          <w:lang w:val="en-US"/>
        </w:rPr>
        <w:t>spp</w:t>
      </w:r>
    </w:p>
    <w:p w14:paraId="1F9D2AFC" w14:textId="77777777" w:rsidR="00BE227F" w:rsidRPr="003501B6" w:rsidRDefault="00BE227F" w:rsidP="00FB67DB">
      <w:pPr>
        <w:ind w:left="851"/>
        <w:rPr>
          <w:b/>
          <w:sz w:val="24"/>
          <w:szCs w:val="24"/>
          <w:lang w:val="en-US"/>
        </w:rPr>
      </w:pPr>
    </w:p>
    <w:p w14:paraId="6B86B8D5" w14:textId="77777777" w:rsidR="00BE227F" w:rsidRPr="003501B6" w:rsidRDefault="00BE227F" w:rsidP="00FB67DB">
      <w:pPr>
        <w:ind w:left="851"/>
        <w:rPr>
          <w:sz w:val="24"/>
          <w:szCs w:val="24"/>
          <w:lang w:val="en-US"/>
        </w:rPr>
      </w:pPr>
      <w:r w:rsidRPr="003501B6">
        <w:rPr>
          <w:b/>
          <w:sz w:val="24"/>
          <w:szCs w:val="24"/>
          <w:lang w:val="en-US"/>
        </w:rPr>
        <w:t>Aerobe gramnegative bakterier</w:t>
      </w:r>
    </w:p>
    <w:p w14:paraId="2A6DBD2D" w14:textId="77777777" w:rsidR="00BE227F" w:rsidRPr="003501B6" w:rsidRDefault="00BE227F" w:rsidP="00FB67DB">
      <w:pPr>
        <w:ind w:left="851"/>
        <w:rPr>
          <w:sz w:val="24"/>
          <w:szCs w:val="24"/>
          <w:lang w:val="en-US"/>
        </w:rPr>
      </w:pPr>
      <w:r w:rsidRPr="003501B6">
        <w:rPr>
          <w:i/>
          <w:sz w:val="24"/>
          <w:szCs w:val="24"/>
          <w:lang w:val="en-US"/>
        </w:rPr>
        <w:t>Acinetobacter baumannii</w:t>
      </w:r>
    </w:p>
    <w:p w14:paraId="4EFF37E5" w14:textId="77777777" w:rsidR="00BE227F" w:rsidRPr="003501B6" w:rsidRDefault="00BE227F" w:rsidP="00FB67DB">
      <w:pPr>
        <w:ind w:left="851"/>
        <w:rPr>
          <w:sz w:val="24"/>
          <w:szCs w:val="24"/>
          <w:lang w:val="en-US"/>
        </w:rPr>
      </w:pPr>
      <w:r w:rsidRPr="003501B6">
        <w:rPr>
          <w:i/>
          <w:sz w:val="24"/>
          <w:szCs w:val="24"/>
          <w:lang w:val="en-US"/>
        </w:rPr>
        <w:t>Citrobacter freundii</w:t>
      </w:r>
    </w:p>
    <w:p w14:paraId="30103026" w14:textId="77777777" w:rsidR="00BE227F" w:rsidRPr="003501B6" w:rsidRDefault="00BE227F" w:rsidP="00FB67DB">
      <w:pPr>
        <w:ind w:left="851"/>
        <w:rPr>
          <w:i/>
          <w:sz w:val="24"/>
          <w:szCs w:val="24"/>
          <w:lang w:val="en-US"/>
        </w:rPr>
      </w:pPr>
      <w:r w:rsidRPr="003501B6">
        <w:rPr>
          <w:i/>
          <w:sz w:val="24"/>
          <w:szCs w:val="24"/>
          <w:lang w:val="en-US"/>
        </w:rPr>
        <w:t>Enterobacter aerogenes</w:t>
      </w:r>
    </w:p>
    <w:p w14:paraId="7813E11E" w14:textId="77777777" w:rsidR="00BE227F" w:rsidRPr="003501B6" w:rsidRDefault="00BE227F" w:rsidP="00FB67DB">
      <w:pPr>
        <w:ind w:left="851"/>
        <w:rPr>
          <w:sz w:val="24"/>
          <w:szCs w:val="24"/>
          <w:lang w:val="en-US"/>
        </w:rPr>
      </w:pPr>
      <w:r w:rsidRPr="003501B6">
        <w:rPr>
          <w:i/>
          <w:sz w:val="24"/>
          <w:szCs w:val="24"/>
          <w:lang w:val="en-US"/>
        </w:rPr>
        <w:t>Enterobacter cloacae</w:t>
      </w:r>
    </w:p>
    <w:p w14:paraId="2DB02865" w14:textId="77777777" w:rsidR="00BE227F" w:rsidRPr="003501B6" w:rsidRDefault="00BE227F" w:rsidP="00FB67DB">
      <w:pPr>
        <w:ind w:left="851"/>
        <w:rPr>
          <w:i/>
          <w:sz w:val="24"/>
          <w:szCs w:val="24"/>
          <w:lang w:val="en-US"/>
        </w:rPr>
      </w:pPr>
      <w:r w:rsidRPr="003501B6">
        <w:rPr>
          <w:i/>
          <w:sz w:val="24"/>
          <w:szCs w:val="24"/>
          <w:lang w:val="en-US"/>
        </w:rPr>
        <w:t>Escherichia coli</w:t>
      </w:r>
    </w:p>
    <w:p w14:paraId="5A0A8521" w14:textId="77777777" w:rsidR="00BE227F" w:rsidRPr="003501B6" w:rsidRDefault="00BE227F" w:rsidP="00FB67DB">
      <w:pPr>
        <w:ind w:left="851"/>
        <w:rPr>
          <w:i/>
          <w:sz w:val="24"/>
          <w:szCs w:val="24"/>
          <w:lang w:val="en-US"/>
        </w:rPr>
      </w:pPr>
      <w:r w:rsidRPr="003501B6">
        <w:rPr>
          <w:i/>
          <w:sz w:val="24"/>
          <w:szCs w:val="24"/>
          <w:lang w:val="en-US"/>
        </w:rPr>
        <w:t>Klebsiella pneumoniae</w:t>
      </w:r>
    </w:p>
    <w:p w14:paraId="60A2260B" w14:textId="77777777" w:rsidR="00BE227F" w:rsidRPr="003501B6" w:rsidRDefault="00BE227F" w:rsidP="00FB67DB">
      <w:pPr>
        <w:ind w:left="851"/>
        <w:rPr>
          <w:sz w:val="24"/>
          <w:szCs w:val="24"/>
          <w:lang w:val="en-US"/>
        </w:rPr>
      </w:pPr>
      <w:r w:rsidRPr="003501B6">
        <w:rPr>
          <w:i/>
          <w:sz w:val="24"/>
          <w:szCs w:val="24"/>
          <w:lang w:val="en-US"/>
        </w:rPr>
        <w:t>Morganella morganii</w:t>
      </w:r>
    </w:p>
    <w:p w14:paraId="479A52C8" w14:textId="77777777" w:rsidR="00BE227F" w:rsidRPr="003501B6" w:rsidRDefault="00BE227F" w:rsidP="00FB67DB">
      <w:pPr>
        <w:ind w:left="851"/>
        <w:rPr>
          <w:sz w:val="24"/>
          <w:szCs w:val="24"/>
          <w:lang w:val="en-US"/>
        </w:rPr>
      </w:pPr>
      <w:r w:rsidRPr="003501B6">
        <w:rPr>
          <w:i/>
          <w:sz w:val="24"/>
          <w:szCs w:val="24"/>
          <w:lang w:val="en-US"/>
        </w:rPr>
        <w:t>Proteus mirabilis</w:t>
      </w:r>
    </w:p>
    <w:p w14:paraId="066693E2" w14:textId="77777777" w:rsidR="00BE227F" w:rsidRPr="003501B6" w:rsidRDefault="00BE227F" w:rsidP="00FB67DB">
      <w:pPr>
        <w:ind w:left="851"/>
        <w:rPr>
          <w:i/>
          <w:sz w:val="24"/>
          <w:szCs w:val="24"/>
          <w:lang w:val="en-US"/>
        </w:rPr>
      </w:pPr>
      <w:r w:rsidRPr="003501B6">
        <w:rPr>
          <w:i/>
          <w:sz w:val="24"/>
          <w:szCs w:val="24"/>
          <w:lang w:val="en-US"/>
        </w:rPr>
        <w:t>Providencia stuartii</w:t>
      </w:r>
    </w:p>
    <w:p w14:paraId="2843F4AF" w14:textId="77777777" w:rsidR="00BE227F" w:rsidRPr="003501B6" w:rsidRDefault="00BE227F" w:rsidP="00FB67DB">
      <w:pPr>
        <w:ind w:left="851"/>
        <w:rPr>
          <w:sz w:val="24"/>
          <w:szCs w:val="24"/>
        </w:rPr>
      </w:pPr>
      <w:r w:rsidRPr="003501B6">
        <w:rPr>
          <w:i/>
          <w:sz w:val="24"/>
          <w:szCs w:val="24"/>
        </w:rPr>
        <w:t>Pseudomonas aeruginosa</w:t>
      </w:r>
    </w:p>
    <w:p w14:paraId="520E9E29" w14:textId="77777777" w:rsidR="00BE227F" w:rsidRPr="003501B6" w:rsidRDefault="00BE227F" w:rsidP="00FB67DB">
      <w:pPr>
        <w:ind w:left="851"/>
        <w:rPr>
          <w:sz w:val="24"/>
          <w:szCs w:val="24"/>
        </w:rPr>
      </w:pPr>
      <w:r w:rsidRPr="003501B6">
        <w:rPr>
          <w:i/>
          <w:sz w:val="24"/>
          <w:szCs w:val="24"/>
        </w:rPr>
        <w:t>Serratia marcescens</w:t>
      </w:r>
    </w:p>
    <w:p w14:paraId="15D67AC4" w14:textId="77777777" w:rsidR="00BE227F" w:rsidRPr="003501B6" w:rsidRDefault="00BE227F" w:rsidP="00FB67DB">
      <w:pPr>
        <w:ind w:left="851"/>
        <w:rPr>
          <w:sz w:val="24"/>
          <w:szCs w:val="24"/>
        </w:rPr>
      </w:pPr>
    </w:p>
    <w:p w14:paraId="60306BF2" w14:textId="77777777" w:rsidR="00BE227F" w:rsidRPr="003501B6" w:rsidRDefault="00BE227F" w:rsidP="00FB67DB">
      <w:pPr>
        <w:ind w:left="851"/>
        <w:rPr>
          <w:sz w:val="24"/>
          <w:szCs w:val="24"/>
        </w:rPr>
      </w:pPr>
      <w:r w:rsidRPr="003501B6">
        <w:rPr>
          <w:b/>
          <w:sz w:val="24"/>
          <w:szCs w:val="24"/>
        </w:rPr>
        <w:t>Anaerobe bakterier</w:t>
      </w:r>
    </w:p>
    <w:p w14:paraId="3CAA0C57" w14:textId="77777777" w:rsidR="00BE227F" w:rsidRPr="003501B6" w:rsidRDefault="00BE227F" w:rsidP="00FB67DB">
      <w:pPr>
        <w:ind w:left="851"/>
        <w:rPr>
          <w:i/>
          <w:sz w:val="24"/>
          <w:szCs w:val="24"/>
        </w:rPr>
      </w:pPr>
      <w:r w:rsidRPr="003501B6">
        <w:rPr>
          <w:i/>
          <w:sz w:val="24"/>
          <w:szCs w:val="24"/>
        </w:rPr>
        <w:t>Bacteroides fragilis</w:t>
      </w:r>
    </w:p>
    <w:p w14:paraId="12D08166" w14:textId="77777777" w:rsidR="00BE227F" w:rsidRPr="003501B6" w:rsidRDefault="00BE227F" w:rsidP="00FB67DB">
      <w:pPr>
        <w:ind w:left="851"/>
        <w:rPr>
          <w:i/>
          <w:sz w:val="24"/>
          <w:szCs w:val="24"/>
        </w:rPr>
      </w:pPr>
    </w:p>
    <w:p w14:paraId="691B86AA" w14:textId="77777777" w:rsidR="00BE227F" w:rsidRPr="003501B6" w:rsidRDefault="00BE227F" w:rsidP="00FB67DB">
      <w:pPr>
        <w:ind w:left="851"/>
        <w:rPr>
          <w:i/>
          <w:sz w:val="24"/>
          <w:szCs w:val="24"/>
          <w:u w:val="single"/>
        </w:rPr>
      </w:pPr>
      <w:r w:rsidRPr="003501B6">
        <w:rPr>
          <w:sz w:val="24"/>
          <w:szCs w:val="24"/>
          <w:u w:val="single"/>
        </w:rPr>
        <w:t>NATURLIGT RESISTENTE STAMMER</w:t>
      </w:r>
    </w:p>
    <w:p w14:paraId="600A1D8B" w14:textId="77777777" w:rsidR="00BE227F" w:rsidRPr="003501B6" w:rsidRDefault="00BE227F" w:rsidP="00FB67DB">
      <w:pPr>
        <w:ind w:left="851"/>
        <w:rPr>
          <w:b/>
          <w:sz w:val="24"/>
          <w:szCs w:val="24"/>
        </w:rPr>
      </w:pPr>
      <w:r w:rsidRPr="003501B6">
        <w:rPr>
          <w:b/>
          <w:sz w:val="24"/>
          <w:szCs w:val="24"/>
        </w:rPr>
        <w:t>Aerobe grampositive bakterier</w:t>
      </w:r>
    </w:p>
    <w:p w14:paraId="7F1C4C03" w14:textId="77777777" w:rsidR="00BE227F" w:rsidRPr="003501B6" w:rsidRDefault="00BE227F" w:rsidP="00FB67DB">
      <w:pPr>
        <w:ind w:left="851"/>
        <w:rPr>
          <w:i/>
          <w:sz w:val="24"/>
          <w:szCs w:val="24"/>
        </w:rPr>
      </w:pPr>
      <w:r w:rsidRPr="003501B6">
        <w:rPr>
          <w:i/>
          <w:sz w:val="24"/>
          <w:szCs w:val="24"/>
        </w:rPr>
        <w:t>Enterococcus faecium</w:t>
      </w:r>
    </w:p>
    <w:p w14:paraId="7B9D0C37" w14:textId="77777777" w:rsidR="00BE227F" w:rsidRPr="003501B6" w:rsidRDefault="00BE227F" w:rsidP="00FB67DB">
      <w:pPr>
        <w:ind w:left="851"/>
        <w:rPr>
          <w:i/>
          <w:sz w:val="24"/>
          <w:szCs w:val="24"/>
        </w:rPr>
      </w:pPr>
    </w:p>
    <w:p w14:paraId="52EAA75F" w14:textId="77777777" w:rsidR="00BE227F" w:rsidRPr="003501B6" w:rsidRDefault="00BE227F" w:rsidP="00FB67DB">
      <w:pPr>
        <w:ind w:left="851"/>
        <w:rPr>
          <w:bCs/>
          <w:iCs/>
          <w:sz w:val="24"/>
          <w:szCs w:val="24"/>
        </w:rPr>
      </w:pPr>
      <w:r w:rsidRPr="003501B6">
        <w:rPr>
          <w:sz w:val="24"/>
          <w:szCs w:val="24"/>
          <w:vertAlign w:val="superscript"/>
        </w:rPr>
        <w:t>#</w:t>
      </w:r>
      <w:r w:rsidRPr="003501B6">
        <w:rPr>
          <w:sz w:val="24"/>
          <w:szCs w:val="24"/>
        </w:rPr>
        <w:t xml:space="preserve"> Methicillin-resistent </w:t>
      </w:r>
      <w:r w:rsidRPr="003501B6">
        <w:rPr>
          <w:i/>
          <w:sz w:val="24"/>
          <w:szCs w:val="24"/>
        </w:rPr>
        <w:t>S. aureus</w:t>
      </w:r>
      <w:r w:rsidRPr="003501B6">
        <w:rPr>
          <w:sz w:val="24"/>
          <w:szCs w:val="24"/>
        </w:rPr>
        <w:t xml:space="preserve"> er højst sandsynligt co-resistent for fluoroquinoloner, inklusive levofloxacin.</w:t>
      </w:r>
    </w:p>
    <w:p w14:paraId="3FCC1006" w14:textId="77777777" w:rsidR="009260DE" w:rsidRPr="003501B6" w:rsidRDefault="009260DE" w:rsidP="009260DE">
      <w:pPr>
        <w:tabs>
          <w:tab w:val="left" w:pos="851"/>
        </w:tabs>
        <w:ind w:left="851"/>
        <w:rPr>
          <w:sz w:val="24"/>
          <w:szCs w:val="24"/>
        </w:rPr>
      </w:pPr>
    </w:p>
    <w:p w14:paraId="128F80A9" w14:textId="77777777" w:rsidR="009260DE" w:rsidRPr="003501B6" w:rsidRDefault="009260DE" w:rsidP="009260DE">
      <w:pPr>
        <w:tabs>
          <w:tab w:val="left" w:pos="851"/>
        </w:tabs>
        <w:ind w:left="851" w:hanging="851"/>
        <w:rPr>
          <w:b/>
          <w:sz w:val="24"/>
          <w:szCs w:val="24"/>
        </w:rPr>
      </w:pPr>
      <w:r w:rsidRPr="003501B6">
        <w:rPr>
          <w:b/>
          <w:sz w:val="24"/>
          <w:szCs w:val="24"/>
        </w:rPr>
        <w:t>5.2</w:t>
      </w:r>
      <w:r w:rsidRPr="003501B6">
        <w:rPr>
          <w:b/>
          <w:sz w:val="24"/>
          <w:szCs w:val="24"/>
        </w:rPr>
        <w:tab/>
        <w:t>Farmakokinetiske egenskaber</w:t>
      </w:r>
    </w:p>
    <w:p w14:paraId="30446539" w14:textId="77777777" w:rsidR="00596E4B" w:rsidRDefault="00596E4B" w:rsidP="00FB67DB">
      <w:pPr>
        <w:ind w:left="851"/>
        <w:rPr>
          <w:sz w:val="24"/>
          <w:szCs w:val="24"/>
        </w:rPr>
      </w:pPr>
    </w:p>
    <w:p w14:paraId="0A41AF33" w14:textId="0CDDB3B9" w:rsidR="00BE227F" w:rsidRPr="00596E4B" w:rsidRDefault="00BE227F" w:rsidP="00FB67DB">
      <w:pPr>
        <w:ind w:left="851"/>
        <w:rPr>
          <w:sz w:val="24"/>
          <w:szCs w:val="24"/>
          <w:u w:val="single"/>
        </w:rPr>
      </w:pPr>
      <w:r w:rsidRPr="00596E4B">
        <w:rPr>
          <w:sz w:val="24"/>
          <w:szCs w:val="24"/>
          <w:u w:val="single"/>
        </w:rPr>
        <w:t>Absorption</w:t>
      </w:r>
    </w:p>
    <w:p w14:paraId="14EAF0C7" w14:textId="77777777" w:rsidR="00BE227F" w:rsidRPr="003501B6" w:rsidRDefault="00BE227F" w:rsidP="00FB67DB">
      <w:pPr>
        <w:ind w:left="851"/>
        <w:rPr>
          <w:sz w:val="24"/>
          <w:szCs w:val="24"/>
        </w:rPr>
      </w:pPr>
      <w:r w:rsidRPr="003501B6">
        <w:rPr>
          <w:sz w:val="24"/>
          <w:szCs w:val="24"/>
        </w:rPr>
        <w:t>Levofloxacin indgivet oralt absorberes hurtigt og næsten fuldstændigt med maksimal plasmakoncentration inden for 1</w:t>
      </w:r>
      <w:r w:rsidRPr="003501B6">
        <w:rPr>
          <w:sz w:val="24"/>
          <w:szCs w:val="24"/>
        </w:rPr>
        <w:noBreakHyphen/>
        <w:t>2 timer. Den absolutte biotilgængelighed er 99</w:t>
      </w:r>
      <w:r w:rsidRPr="003501B6">
        <w:rPr>
          <w:sz w:val="24"/>
          <w:szCs w:val="24"/>
        </w:rPr>
        <w:noBreakHyphen/>
        <w:t xml:space="preserve">100 %. </w:t>
      </w:r>
    </w:p>
    <w:p w14:paraId="1423AD14" w14:textId="77777777" w:rsidR="00BE227F" w:rsidRPr="003501B6" w:rsidRDefault="00BE227F" w:rsidP="00FB67DB">
      <w:pPr>
        <w:ind w:left="851"/>
        <w:rPr>
          <w:sz w:val="24"/>
          <w:szCs w:val="24"/>
        </w:rPr>
      </w:pPr>
    </w:p>
    <w:p w14:paraId="37B3A73E" w14:textId="77777777" w:rsidR="00BE227F" w:rsidRPr="003501B6" w:rsidRDefault="00BE227F" w:rsidP="00FB67DB">
      <w:pPr>
        <w:ind w:left="851"/>
        <w:rPr>
          <w:sz w:val="24"/>
          <w:szCs w:val="24"/>
        </w:rPr>
      </w:pPr>
      <w:r w:rsidRPr="003501B6">
        <w:rPr>
          <w:sz w:val="24"/>
          <w:szCs w:val="24"/>
        </w:rPr>
        <w:t xml:space="preserve">Føde har kun en lille indflydelse på absorptionen af levofloxacin. </w:t>
      </w:r>
    </w:p>
    <w:p w14:paraId="0223BA3D" w14:textId="77777777" w:rsidR="00BE227F" w:rsidRPr="003501B6" w:rsidRDefault="00BE227F" w:rsidP="00FB67DB">
      <w:pPr>
        <w:ind w:left="851"/>
        <w:rPr>
          <w:bCs/>
          <w:sz w:val="24"/>
          <w:szCs w:val="24"/>
        </w:rPr>
      </w:pPr>
    </w:p>
    <w:p w14:paraId="2FAC58EE" w14:textId="77777777" w:rsidR="00BE227F" w:rsidRPr="003501B6" w:rsidRDefault="00BE227F" w:rsidP="00FB67DB">
      <w:pPr>
        <w:ind w:left="851"/>
        <w:rPr>
          <w:bCs/>
          <w:sz w:val="24"/>
          <w:szCs w:val="24"/>
        </w:rPr>
      </w:pPr>
      <w:r w:rsidRPr="003501B6">
        <w:rPr>
          <w:sz w:val="24"/>
          <w:szCs w:val="24"/>
        </w:rPr>
        <w:lastRenderedPageBreak/>
        <w:t>Steady state nås i løbet af 48 timer efter en dosis på 500 mg én eller to gange dagligt.</w:t>
      </w:r>
    </w:p>
    <w:p w14:paraId="01DC60BC" w14:textId="77777777" w:rsidR="00BE227F" w:rsidRPr="003501B6" w:rsidRDefault="00BE227F" w:rsidP="00FB67DB">
      <w:pPr>
        <w:ind w:left="851"/>
        <w:rPr>
          <w:bCs/>
          <w:sz w:val="24"/>
          <w:szCs w:val="24"/>
        </w:rPr>
      </w:pPr>
    </w:p>
    <w:p w14:paraId="7E77AE3C" w14:textId="77777777" w:rsidR="00BE227F" w:rsidRPr="00596E4B" w:rsidRDefault="00BE227F" w:rsidP="00FB67DB">
      <w:pPr>
        <w:ind w:left="851"/>
        <w:rPr>
          <w:sz w:val="24"/>
          <w:szCs w:val="24"/>
          <w:u w:val="single"/>
        </w:rPr>
      </w:pPr>
      <w:r w:rsidRPr="00596E4B">
        <w:rPr>
          <w:sz w:val="24"/>
          <w:szCs w:val="24"/>
          <w:u w:val="single"/>
        </w:rPr>
        <w:t>Fordeling</w:t>
      </w:r>
    </w:p>
    <w:p w14:paraId="50643EDE" w14:textId="77777777" w:rsidR="00BE227F" w:rsidRPr="003501B6" w:rsidRDefault="00BE227F" w:rsidP="00FB67DB">
      <w:pPr>
        <w:ind w:left="851"/>
        <w:rPr>
          <w:b/>
          <w:bCs/>
          <w:i/>
          <w:iCs/>
          <w:sz w:val="24"/>
          <w:szCs w:val="24"/>
        </w:rPr>
      </w:pPr>
      <w:r w:rsidRPr="003501B6">
        <w:rPr>
          <w:sz w:val="24"/>
          <w:szCs w:val="24"/>
        </w:rPr>
        <w:t>Ca. 30</w:t>
      </w:r>
      <w:r w:rsidRPr="003501B6">
        <w:rPr>
          <w:sz w:val="24"/>
          <w:szCs w:val="24"/>
        </w:rPr>
        <w:noBreakHyphen/>
        <w:t xml:space="preserve">40 % af levofloxacin er bundet til serumprotein. Den gennemsnitlige fordelingsvolumen for levofloxacin er ca. 100 l efter en enkelt eller gentagne 500 mg doser, hvilket indikerer udbredt fordeling til legemsvæv. </w:t>
      </w:r>
    </w:p>
    <w:p w14:paraId="30CC9A00" w14:textId="77777777" w:rsidR="00BE227F" w:rsidRPr="003501B6" w:rsidRDefault="00BE227F" w:rsidP="00FB67DB">
      <w:pPr>
        <w:ind w:left="851"/>
        <w:rPr>
          <w:bCs/>
          <w:iCs/>
          <w:sz w:val="24"/>
          <w:szCs w:val="24"/>
        </w:rPr>
      </w:pPr>
    </w:p>
    <w:p w14:paraId="343CB330" w14:textId="77777777" w:rsidR="00BE227F" w:rsidRPr="00596E4B" w:rsidRDefault="00BE227F" w:rsidP="00FB67DB">
      <w:pPr>
        <w:ind w:left="851"/>
        <w:rPr>
          <w:sz w:val="24"/>
          <w:szCs w:val="24"/>
          <w:u w:val="single"/>
        </w:rPr>
      </w:pPr>
      <w:r w:rsidRPr="00596E4B">
        <w:rPr>
          <w:sz w:val="24"/>
          <w:szCs w:val="24"/>
          <w:u w:val="single"/>
        </w:rPr>
        <w:t>Penetration til væv og legemsvæsker</w:t>
      </w:r>
    </w:p>
    <w:p w14:paraId="17B31354" w14:textId="77777777" w:rsidR="00BE227F" w:rsidRPr="003501B6" w:rsidRDefault="00BE227F" w:rsidP="00FB67DB">
      <w:pPr>
        <w:ind w:left="851"/>
        <w:rPr>
          <w:sz w:val="24"/>
          <w:szCs w:val="24"/>
        </w:rPr>
      </w:pPr>
      <w:r w:rsidRPr="003501B6">
        <w:rPr>
          <w:sz w:val="24"/>
          <w:szCs w:val="24"/>
        </w:rPr>
        <w:t xml:space="preserve">Det er påvist, at levofloxacin trænger ind i bronkieslimhinden, epitelvæske, alveolære makrofager, lungevæv, hud (blistervæske), prostatavæv og urin. Levofloxacin har midlertid ringe penetration til cerebrospinalvæsken. </w:t>
      </w:r>
    </w:p>
    <w:p w14:paraId="4BF93DA7" w14:textId="77777777" w:rsidR="00BE227F" w:rsidRPr="003501B6" w:rsidRDefault="00BE227F" w:rsidP="00FB67DB">
      <w:pPr>
        <w:ind w:left="851"/>
        <w:rPr>
          <w:i/>
          <w:iCs/>
          <w:sz w:val="24"/>
          <w:szCs w:val="24"/>
        </w:rPr>
      </w:pPr>
    </w:p>
    <w:p w14:paraId="33BF1C17" w14:textId="77777777" w:rsidR="00BE227F" w:rsidRPr="00596E4B" w:rsidRDefault="00BE227F" w:rsidP="00FB67DB">
      <w:pPr>
        <w:ind w:left="851"/>
        <w:rPr>
          <w:sz w:val="24"/>
          <w:szCs w:val="24"/>
          <w:u w:val="single"/>
        </w:rPr>
      </w:pPr>
      <w:r w:rsidRPr="00596E4B">
        <w:rPr>
          <w:sz w:val="24"/>
          <w:szCs w:val="24"/>
          <w:u w:val="single"/>
        </w:rPr>
        <w:t>Biotransformation</w:t>
      </w:r>
    </w:p>
    <w:p w14:paraId="45A571D3" w14:textId="77777777" w:rsidR="00BE227F" w:rsidRPr="003501B6" w:rsidRDefault="00BE227F" w:rsidP="00FB67DB">
      <w:pPr>
        <w:ind w:left="851"/>
        <w:rPr>
          <w:sz w:val="24"/>
          <w:szCs w:val="24"/>
        </w:rPr>
      </w:pPr>
      <w:r w:rsidRPr="003501B6">
        <w:rPr>
          <w:sz w:val="24"/>
          <w:szCs w:val="24"/>
        </w:rPr>
        <w:t>Levofloxacin metaboliseres i meget lille omfang; metabolitterne er desmethyl-levofloxacin og levofloxacin N-oxid. Disse metabolitter udgør &lt;5 % af dosis og udskilles i urinen. Levofloxacin er stereokemisk stabilt og undgår ikke chiral inversion.</w:t>
      </w:r>
    </w:p>
    <w:p w14:paraId="770C92D3" w14:textId="77777777" w:rsidR="00BE227F" w:rsidRPr="003501B6" w:rsidRDefault="00BE227F" w:rsidP="00FB67DB">
      <w:pPr>
        <w:ind w:left="851"/>
        <w:rPr>
          <w:sz w:val="24"/>
          <w:szCs w:val="24"/>
        </w:rPr>
      </w:pPr>
      <w:r w:rsidRPr="003501B6">
        <w:rPr>
          <w:sz w:val="24"/>
          <w:szCs w:val="24"/>
        </w:rPr>
        <w:t xml:space="preserve"> </w:t>
      </w:r>
    </w:p>
    <w:p w14:paraId="3869AD6D" w14:textId="77777777" w:rsidR="00BE227F" w:rsidRPr="00596E4B" w:rsidRDefault="00BE227F" w:rsidP="00FB67DB">
      <w:pPr>
        <w:ind w:left="851"/>
        <w:rPr>
          <w:sz w:val="24"/>
          <w:szCs w:val="24"/>
          <w:u w:val="single"/>
        </w:rPr>
      </w:pPr>
      <w:r w:rsidRPr="00596E4B">
        <w:rPr>
          <w:sz w:val="24"/>
          <w:szCs w:val="24"/>
          <w:u w:val="single"/>
        </w:rPr>
        <w:t>Elimination</w:t>
      </w:r>
    </w:p>
    <w:p w14:paraId="492F0357" w14:textId="77777777" w:rsidR="00BE227F" w:rsidRPr="003501B6" w:rsidRDefault="00BE227F" w:rsidP="00FB67DB">
      <w:pPr>
        <w:ind w:left="851"/>
        <w:rPr>
          <w:sz w:val="24"/>
          <w:szCs w:val="24"/>
        </w:rPr>
      </w:pPr>
      <w:r w:rsidRPr="003501B6">
        <w:rPr>
          <w:sz w:val="24"/>
          <w:szCs w:val="24"/>
        </w:rPr>
        <w:t>Efter oral og intravenøs administration elimineres levofloxacin relativt langsomt fra plasma (t</w:t>
      </w:r>
      <w:r w:rsidRPr="003501B6">
        <w:rPr>
          <w:sz w:val="24"/>
          <w:szCs w:val="24"/>
          <w:vertAlign w:val="subscript"/>
        </w:rPr>
        <w:t>½</w:t>
      </w:r>
      <w:r w:rsidRPr="003501B6">
        <w:rPr>
          <w:sz w:val="24"/>
          <w:szCs w:val="24"/>
        </w:rPr>
        <w:t xml:space="preserve">: 6-8 timer). Udskillelsen sker primært renalt (&gt;85 % af den administrerede dosis). </w:t>
      </w:r>
    </w:p>
    <w:p w14:paraId="2BA00B28" w14:textId="77777777" w:rsidR="00BE227F" w:rsidRPr="003501B6" w:rsidRDefault="00BE227F" w:rsidP="00FB67DB">
      <w:pPr>
        <w:ind w:left="851"/>
        <w:rPr>
          <w:sz w:val="24"/>
          <w:szCs w:val="24"/>
        </w:rPr>
      </w:pPr>
    </w:p>
    <w:p w14:paraId="35D8BC3F" w14:textId="77777777" w:rsidR="00BE227F" w:rsidRPr="003501B6" w:rsidRDefault="00BE227F" w:rsidP="00FB67DB">
      <w:pPr>
        <w:ind w:left="851"/>
        <w:rPr>
          <w:sz w:val="24"/>
          <w:szCs w:val="24"/>
        </w:rPr>
      </w:pPr>
      <w:r w:rsidRPr="003501B6">
        <w:rPr>
          <w:sz w:val="24"/>
          <w:szCs w:val="24"/>
        </w:rPr>
        <w:t xml:space="preserve">Den gennemsnitlige tilsyneladende total-levofloxacinclearance efter en enkeltdosis på 500 mg var 175 +/- 29,2 ml/min. </w:t>
      </w:r>
    </w:p>
    <w:p w14:paraId="56BA9800" w14:textId="77777777" w:rsidR="00BE227F" w:rsidRPr="003501B6" w:rsidRDefault="00BE227F" w:rsidP="00FB67DB">
      <w:pPr>
        <w:ind w:left="851"/>
        <w:rPr>
          <w:sz w:val="24"/>
          <w:szCs w:val="24"/>
        </w:rPr>
      </w:pPr>
    </w:p>
    <w:p w14:paraId="4F660D0B" w14:textId="77777777" w:rsidR="00BE227F" w:rsidRPr="003501B6" w:rsidRDefault="00BE227F" w:rsidP="00FB67DB">
      <w:pPr>
        <w:ind w:left="851"/>
        <w:rPr>
          <w:sz w:val="24"/>
          <w:szCs w:val="24"/>
        </w:rPr>
      </w:pPr>
      <w:r w:rsidRPr="003501B6">
        <w:rPr>
          <w:sz w:val="24"/>
          <w:szCs w:val="24"/>
        </w:rPr>
        <w:t xml:space="preserve">Der er ingen væsentlige forskelle på levofloxacins farmakokinetik efter intravenøs og oral indgift, hvilket antyder, at oral og intravenøs administration er substituerbar. </w:t>
      </w:r>
    </w:p>
    <w:p w14:paraId="190F3F0F" w14:textId="77777777" w:rsidR="00BE227F" w:rsidRPr="00596E4B" w:rsidRDefault="00BE227F" w:rsidP="00FB67DB">
      <w:pPr>
        <w:ind w:left="851"/>
        <w:rPr>
          <w:bCs/>
          <w:sz w:val="24"/>
          <w:szCs w:val="24"/>
        </w:rPr>
      </w:pPr>
    </w:p>
    <w:p w14:paraId="78F2D0AD" w14:textId="77777777" w:rsidR="00BE227F" w:rsidRPr="00596E4B" w:rsidRDefault="00BE227F" w:rsidP="00FB67DB">
      <w:pPr>
        <w:ind w:left="851"/>
        <w:rPr>
          <w:bCs/>
          <w:sz w:val="24"/>
          <w:szCs w:val="24"/>
          <w:u w:val="single"/>
        </w:rPr>
      </w:pPr>
      <w:r w:rsidRPr="00596E4B">
        <w:rPr>
          <w:sz w:val="24"/>
          <w:szCs w:val="24"/>
          <w:u w:val="single"/>
        </w:rPr>
        <w:t>Linearitet</w:t>
      </w:r>
    </w:p>
    <w:p w14:paraId="163C7FD3" w14:textId="77777777" w:rsidR="00BE227F" w:rsidRPr="003501B6" w:rsidRDefault="00BE227F" w:rsidP="00FB67DB">
      <w:pPr>
        <w:ind w:left="851"/>
        <w:rPr>
          <w:bCs/>
          <w:sz w:val="24"/>
          <w:szCs w:val="24"/>
        </w:rPr>
      </w:pPr>
      <w:r w:rsidRPr="003501B6">
        <w:rPr>
          <w:sz w:val="24"/>
          <w:szCs w:val="24"/>
        </w:rPr>
        <w:t>Levofloxacin følger lineær farmakokinetik over et dosisinterval på 50 til 1 000 mg.</w:t>
      </w:r>
    </w:p>
    <w:p w14:paraId="11E7CE16" w14:textId="77777777" w:rsidR="00BE227F" w:rsidRPr="003501B6" w:rsidRDefault="00BE227F" w:rsidP="00FB67DB">
      <w:pPr>
        <w:ind w:left="851"/>
        <w:rPr>
          <w:bCs/>
          <w:sz w:val="24"/>
          <w:szCs w:val="24"/>
        </w:rPr>
      </w:pPr>
    </w:p>
    <w:p w14:paraId="7185A308" w14:textId="77777777" w:rsidR="00BE227F" w:rsidRPr="00596E4B" w:rsidRDefault="00BE227F" w:rsidP="00FB67DB">
      <w:pPr>
        <w:ind w:left="851"/>
        <w:rPr>
          <w:bCs/>
          <w:sz w:val="24"/>
          <w:szCs w:val="24"/>
          <w:u w:val="single"/>
        </w:rPr>
      </w:pPr>
      <w:r w:rsidRPr="00596E4B">
        <w:rPr>
          <w:sz w:val="24"/>
          <w:szCs w:val="24"/>
          <w:u w:val="single"/>
        </w:rPr>
        <w:t>Særlige populationer</w:t>
      </w:r>
    </w:p>
    <w:p w14:paraId="2ECC6C5C" w14:textId="77777777" w:rsidR="00BE227F" w:rsidRPr="003501B6" w:rsidRDefault="00BE227F" w:rsidP="00FB67DB">
      <w:pPr>
        <w:ind w:left="851"/>
        <w:rPr>
          <w:bCs/>
          <w:sz w:val="24"/>
          <w:szCs w:val="24"/>
        </w:rPr>
      </w:pPr>
    </w:p>
    <w:p w14:paraId="7365C209" w14:textId="77777777" w:rsidR="00BE227F" w:rsidRPr="003501B6" w:rsidRDefault="00BE227F" w:rsidP="00FB67DB">
      <w:pPr>
        <w:ind w:left="851"/>
        <w:rPr>
          <w:i/>
          <w:sz w:val="24"/>
          <w:szCs w:val="24"/>
        </w:rPr>
      </w:pPr>
      <w:r w:rsidRPr="003501B6">
        <w:rPr>
          <w:i/>
          <w:sz w:val="24"/>
          <w:szCs w:val="24"/>
        </w:rPr>
        <w:t>Patienter med nedsat nyrefunktion</w:t>
      </w:r>
    </w:p>
    <w:p w14:paraId="21D1D173" w14:textId="77777777" w:rsidR="00BE227F" w:rsidRPr="003501B6" w:rsidRDefault="00BE227F" w:rsidP="00FB67DB">
      <w:pPr>
        <w:ind w:left="851"/>
        <w:rPr>
          <w:sz w:val="24"/>
          <w:szCs w:val="24"/>
        </w:rPr>
      </w:pPr>
      <w:r w:rsidRPr="003501B6">
        <w:rPr>
          <w:sz w:val="24"/>
          <w:szCs w:val="24"/>
        </w:rPr>
        <w:t xml:space="preserve">Levofloxacins farmakokinetik påvirkes af nedsat nyrefunktion. Med faldende nyrefunktion falder renal elimination og clearance, og elimineringshalveringstiden stiger som vist i nedenstående tabel: </w:t>
      </w:r>
    </w:p>
    <w:p w14:paraId="095CFE20" w14:textId="77777777" w:rsidR="00BE227F" w:rsidRPr="003501B6" w:rsidRDefault="00BE227F" w:rsidP="00FB67DB">
      <w:pPr>
        <w:ind w:left="851"/>
        <w:rPr>
          <w:sz w:val="24"/>
          <w:szCs w:val="24"/>
        </w:rPr>
      </w:pPr>
      <w:r w:rsidRPr="003501B6">
        <w:rPr>
          <w:sz w:val="24"/>
          <w:szCs w:val="24"/>
        </w:rPr>
        <w:t>Farmakokinetik ved nyreinsufficiens efter en enkelt oral 500 mg dosis</w:t>
      </w:r>
    </w:p>
    <w:p w14:paraId="4F8DC0D4" w14:textId="77777777" w:rsidR="00BE227F" w:rsidRPr="003501B6" w:rsidRDefault="00BE227F" w:rsidP="00BE227F">
      <w:pPr>
        <w:tabs>
          <w:tab w:val="left" w:pos="1304"/>
        </w:tabs>
        <w:rPr>
          <w:sz w:val="24"/>
          <w:szCs w:val="24"/>
        </w:rPr>
      </w:pPr>
    </w:p>
    <w:tbl>
      <w:tblPr>
        <w:tblW w:w="4567"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4"/>
        <w:gridCol w:w="2216"/>
        <w:gridCol w:w="2216"/>
        <w:gridCol w:w="1863"/>
      </w:tblGrid>
      <w:tr w:rsidR="00BE227F" w:rsidRPr="003501B6" w14:paraId="13448048" w14:textId="77777777" w:rsidTr="00596E4B">
        <w:trPr>
          <w:tblCellSpacing w:w="0" w:type="dxa"/>
        </w:trPr>
        <w:tc>
          <w:tcPr>
            <w:tcW w:w="2493" w:type="dxa"/>
            <w:tcBorders>
              <w:top w:val="outset" w:sz="6" w:space="0" w:color="auto"/>
              <w:left w:val="outset" w:sz="6" w:space="0" w:color="auto"/>
              <w:bottom w:val="outset" w:sz="6" w:space="0" w:color="auto"/>
              <w:right w:val="outset" w:sz="6" w:space="0" w:color="auto"/>
            </w:tcBorders>
            <w:hideMark/>
          </w:tcPr>
          <w:p w14:paraId="0C2B6F7E" w14:textId="77777777" w:rsidR="00BE227F" w:rsidRPr="003501B6" w:rsidRDefault="00BE227F" w:rsidP="00FB67DB">
            <w:pPr>
              <w:pStyle w:val="NormalWeb"/>
            </w:pPr>
            <w:r w:rsidRPr="003501B6">
              <w:t>Cl</w:t>
            </w:r>
            <w:r w:rsidRPr="003501B6">
              <w:rPr>
                <w:vertAlign w:val="subscript"/>
              </w:rPr>
              <w:t>cr</w:t>
            </w:r>
            <w:r w:rsidRPr="003501B6">
              <w:t xml:space="preserve"> [ml/min]</w:t>
            </w:r>
          </w:p>
        </w:tc>
        <w:tc>
          <w:tcPr>
            <w:tcW w:w="2216" w:type="dxa"/>
            <w:tcBorders>
              <w:top w:val="outset" w:sz="6" w:space="0" w:color="auto"/>
              <w:left w:val="outset" w:sz="6" w:space="0" w:color="auto"/>
              <w:bottom w:val="outset" w:sz="6" w:space="0" w:color="auto"/>
              <w:right w:val="outset" w:sz="6" w:space="0" w:color="auto"/>
            </w:tcBorders>
            <w:hideMark/>
          </w:tcPr>
          <w:p w14:paraId="7960EC84" w14:textId="77777777" w:rsidR="00BE227F" w:rsidRPr="003501B6" w:rsidRDefault="00BE227F" w:rsidP="00FB67DB">
            <w:pPr>
              <w:pStyle w:val="NormalWeb"/>
            </w:pPr>
            <w:r w:rsidRPr="003501B6">
              <w:t>&lt;20</w:t>
            </w:r>
          </w:p>
        </w:tc>
        <w:tc>
          <w:tcPr>
            <w:tcW w:w="2216" w:type="dxa"/>
            <w:tcBorders>
              <w:top w:val="outset" w:sz="6" w:space="0" w:color="auto"/>
              <w:left w:val="outset" w:sz="6" w:space="0" w:color="auto"/>
              <w:bottom w:val="outset" w:sz="6" w:space="0" w:color="auto"/>
              <w:right w:val="outset" w:sz="6" w:space="0" w:color="auto"/>
            </w:tcBorders>
            <w:hideMark/>
          </w:tcPr>
          <w:p w14:paraId="165E898E" w14:textId="77777777" w:rsidR="00BE227F" w:rsidRPr="003501B6" w:rsidRDefault="00BE227F" w:rsidP="00FB67DB">
            <w:pPr>
              <w:pStyle w:val="NormalWeb"/>
            </w:pPr>
            <w:r w:rsidRPr="003501B6">
              <w:t>20</w:t>
            </w:r>
            <w:r w:rsidRPr="003501B6">
              <w:noBreakHyphen/>
              <w:t>49</w:t>
            </w:r>
          </w:p>
        </w:tc>
        <w:tc>
          <w:tcPr>
            <w:tcW w:w="1863" w:type="dxa"/>
            <w:tcBorders>
              <w:top w:val="outset" w:sz="6" w:space="0" w:color="auto"/>
              <w:left w:val="outset" w:sz="6" w:space="0" w:color="auto"/>
              <w:bottom w:val="outset" w:sz="6" w:space="0" w:color="auto"/>
              <w:right w:val="outset" w:sz="6" w:space="0" w:color="auto"/>
            </w:tcBorders>
            <w:hideMark/>
          </w:tcPr>
          <w:p w14:paraId="43CFBAF7" w14:textId="77777777" w:rsidR="00BE227F" w:rsidRPr="003501B6" w:rsidRDefault="00BE227F" w:rsidP="00FB67DB">
            <w:pPr>
              <w:pStyle w:val="NormalWeb"/>
            </w:pPr>
            <w:r w:rsidRPr="003501B6">
              <w:t>50</w:t>
            </w:r>
            <w:r w:rsidRPr="003501B6">
              <w:noBreakHyphen/>
              <w:t>80</w:t>
            </w:r>
          </w:p>
        </w:tc>
      </w:tr>
      <w:tr w:rsidR="00BE227F" w:rsidRPr="003501B6" w14:paraId="6DF6BF4D" w14:textId="77777777" w:rsidTr="00596E4B">
        <w:trPr>
          <w:tblCellSpacing w:w="0" w:type="dxa"/>
        </w:trPr>
        <w:tc>
          <w:tcPr>
            <w:tcW w:w="2493" w:type="dxa"/>
            <w:tcBorders>
              <w:top w:val="outset" w:sz="6" w:space="0" w:color="auto"/>
              <w:left w:val="outset" w:sz="6" w:space="0" w:color="auto"/>
              <w:bottom w:val="outset" w:sz="6" w:space="0" w:color="auto"/>
              <w:right w:val="outset" w:sz="6" w:space="0" w:color="auto"/>
            </w:tcBorders>
            <w:hideMark/>
          </w:tcPr>
          <w:p w14:paraId="45FA08DF" w14:textId="77777777" w:rsidR="00BE227F" w:rsidRPr="003501B6" w:rsidRDefault="00BE227F" w:rsidP="00FB67DB">
            <w:pPr>
              <w:pStyle w:val="NormalWeb"/>
            </w:pPr>
            <w:r w:rsidRPr="003501B6">
              <w:t>Cl</w:t>
            </w:r>
            <w:r w:rsidRPr="003501B6">
              <w:rPr>
                <w:vertAlign w:val="subscript"/>
              </w:rPr>
              <w:t>R</w:t>
            </w:r>
            <w:r w:rsidRPr="003501B6">
              <w:t xml:space="preserve"> [ml/min]</w:t>
            </w:r>
          </w:p>
        </w:tc>
        <w:tc>
          <w:tcPr>
            <w:tcW w:w="2216" w:type="dxa"/>
            <w:tcBorders>
              <w:top w:val="outset" w:sz="6" w:space="0" w:color="auto"/>
              <w:left w:val="outset" w:sz="6" w:space="0" w:color="auto"/>
              <w:bottom w:val="outset" w:sz="6" w:space="0" w:color="auto"/>
              <w:right w:val="outset" w:sz="6" w:space="0" w:color="auto"/>
            </w:tcBorders>
            <w:hideMark/>
          </w:tcPr>
          <w:p w14:paraId="24332E20" w14:textId="77777777" w:rsidR="00BE227F" w:rsidRPr="003501B6" w:rsidRDefault="00BE227F" w:rsidP="00FB67DB">
            <w:pPr>
              <w:pStyle w:val="NormalWeb"/>
            </w:pPr>
            <w:r w:rsidRPr="003501B6">
              <w:t>13</w:t>
            </w:r>
          </w:p>
        </w:tc>
        <w:tc>
          <w:tcPr>
            <w:tcW w:w="2216" w:type="dxa"/>
            <w:tcBorders>
              <w:top w:val="outset" w:sz="6" w:space="0" w:color="auto"/>
              <w:left w:val="outset" w:sz="6" w:space="0" w:color="auto"/>
              <w:bottom w:val="outset" w:sz="6" w:space="0" w:color="auto"/>
              <w:right w:val="outset" w:sz="6" w:space="0" w:color="auto"/>
            </w:tcBorders>
            <w:hideMark/>
          </w:tcPr>
          <w:p w14:paraId="5A7D56AB" w14:textId="77777777" w:rsidR="00BE227F" w:rsidRPr="003501B6" w:rsidRDefault="00BE227F" w:rsidP="00FB67DB">
            <w:pPr>
              <w:pStyle w:val="NormalWeb"/>
            </w:pPr>
            <w:r w:rsidRPr="003501B6">
              <w:t>26</w:t>
            </w:r>
          </w:p>
        </w:tc>
        <w:tc>
          <w:tcPr>
            <w:tcW w:w="1863" w:type="dxa"/>
            <w:tcBorders>
              <w:top w:val="outset" w:sz="6" w:space="0" w:color="auto"/>
              <w:left w:val="outset" w:sz="6" w:space="0" w:color="auto"/>
              <w:bottom w:val="outset" w:sz="6" w:space="0" w:color="auto"/>
              <w:right w:val="outset" w:sz="6" w:space="0" w:color="auto"/>
            </w:tcBorders>
            <w:hideMark/>
          </w:tcPr>
          <w:p w14:paraId="1572BE2F" w14:textId="77777777" w:rsidR="00BE227F" w:rsidRPr="003501B6" w:rsidRDefault="00BE227F" w:rsidP="00FB67DB">
            <w:pPr>
              <w:pStyle w:val="NormalWeb"/>
            </w:pPr>
            <w:r w:rsidRPr="003501B6">
              <w:t>57</w:t>
            </w:r>
          </w:p>
        </w:tc>
      </w:tr>
      <w:tr w:rsidR="00BE227F" w:rsidRPr="003501B6" w14:paraId="7C072C29" w14:textId="77777777" w:rsidTr="00596E4B">
        <w:trPr>
          <w:tblCellSpacing w:w="0" w:type="dxa"/>
        </w:trPr>
        <w:tc>
          <w:tcPr>
            <w:tcW w:w="2493" w:type="dxa"/>
            <w:tcBorders>
              <w:top w:val="outset" w:sz="6" w:space="0" w:color="auto"/>
              <w:left w:val="outset" w:sz="6" w:space="0" w:color="auto"/>
              <w:bottom w:val="outset" w:sz="6" w:space="0" w:color="auto"/>
              <w:right w:val="outset" w:sz="6" w:space="0" w:color="auto"/>
            </w:tcBorders>
            <w:hideMark/>
          </w:tcPr>
          <w:p w14:paraId="2E15EFF3" w14:textId="77777777" w:rsidR="00BE227F" w:rsidRPr="003501B6" w:rsidRDefault="00BE227F" w:rsidP="00FB67DB">
            <w:pPr>
              <w:pStyle w:val="NormalWeb"/>
            </w:pPr>
            <w:r w:rsidRPr="003501B6">
              <w:t>t</w:t>
            </w:r>
            <w:r w:rsidRPr="003501B6">
              <w:rPr>
                <w:vertAlign w:val="subscript"/>
              </w:rPr>
              <w:t>1/2</w:t>
            </w:r>
            <w:r w:rsidRPr="003501B6">
              <w:t xml:space="preserve"> [timer]</w:t>
            </w:r>
          </w:p>
        </w:tc>
        <w:tc>
          <w:tcPr>
            <w:tcW w:w="2216" w:type="dxa"/>
            <w:tcBorders>
              <w:top w:val="outset" w:sz="6" w:space="0" w:color="auto"/>
              <w:left w:val="outset" w:sz="6" w:space="0" w:color="auto"/>
              <w:bottom w:val="outset" w:sz="6" w:space="0" w:color="auto"/>
              <w:right w:val="outset" w:sz="6" w:space="0" w:color="auto"/>
            </w:tcBorders>
            <w:hideMark/>
          </w:tcPr>
          <w:p w14:paraId="1AA3043D" w14:textId="77777777" w:rsidR="00BE227F" w:rsidRPr="003501B6" w:rsidRDefault="00BE227F" w:rsidP="00FB67DB">
            <w:pPr>
              <w:pStyle w:val="NormalWeb"/>
            </w:pPr>
            <w:r w:rsidRPr="003501B6">
              <w:t>35</w:t>
            </w:r>
          </w:p>
        </w:tc>
        <w:tc>
          <w:tcPr>
            <w:tcW w:w="2216" w:type="dxa"/>
            <w:tcBorders>
              <w:top w:val="outset" w:sz="6" w:space="0" w:color="auto"/>
              <w:left w:val="outset" w:sz="6" w:space="0" w:color="auto"/>
              <w:bottom w:val="outset" w:sz="6" w:space="0" w:color="auto"/>
              <w:right w:val="outset" w:sz="6" w:space="0" w:color="auto"/>
            </w:tcBorders>
            <w:hideMark/>
          </w:tcPr>
          <w:p w14:paraId="7AE64C28" w14:textId="77777777" w:rsidR="00BE227F" w:rsidRPr="003501B6" w:rsidRDefault="00BE227F" w:rsidP="00FB67DB">
            <w:pPr>
              <w:pStyle w:val="NormalWeb"/>
            </w:pPr>
            <w:r w:rsidRPr="003501B6">
              <w:t>27</w:t>
            </w:r>
          </w:p>
        </w:tc>
        <w:tc>
          <w:tcPr>
            <w:tcW w:w="1863" w:type="dxa"/>
            <w:tcBorders>
              <w:top w:val="outset" w:sz="6" w:space="0" w:color="auto"/>
              <w:left w:val="outset" w:sz="6" w:space="0" w:color="auto"/>
              <w:bottom w:val="outset" w:sz="6" w:space="0" w:color="auto"/>
              <w:right w:val="outset" w:sz="6" w:space="0" w:color="auto"/>
            </w:tcBorders>
            <w:hideMark/>
          </w:tcPr>
          <w:p w14:paraId="70049CFB" w14:textId="77777777" w:rsidR="00BE227F" w:rsidRPr="003501B6" w:rsidRDefault="00BE227F" w:rsidP="00FB67DB">
            <w:pPr>
              <w:pStyle w:val="NormalWeb"/>
            </w:pPr>
            <w:r w:rsidRPr="003501B6">
              <w:t>9</w:t>
            </w:r>
          </w:p>
        </w:tc>
      </w:tr>
    </w:tbl>
    <w:p w14:paraId="3A361F26" w14:textId="77777777" w:rsidR="00BE227F" w:rsidRPr="003501B6" w:rsidRDefault="00BE227F" w:rsidP="00FB67DB">
      <w:pPr>
        <w:ind w:left="851"/>
        <w:rPr>
          <w:sz w:val="24"/>
          <w:szCs w:val="24"/>
          <w:lang w:val="en-US"/>
        </w:rPr>
      </w:pPr>
    </w:p>
    <w:p w14:paraId="4955D131" w14:textId="77777777" w:rsidR="00BE227F" w:rsidRPr="003501B6" w:rsidRDefault="00BE227F" w:rsidP="00FB67DB">
      <w:pPr>
        <w:ind w:left="851"/>
        <w:rPr>
          <w:i/>
          <w:sz w:val="24"/>
          <w:szCs w:val="24"/>
        </w:rPr>
      </w:pPr>
      <w:r w:rsidRPr="003501B6">
        <w:rPr>
          <w:i/>
          <w:sz w:val="24"/>
          <w:szCs w:val="24"/>
        </w:rPr>
        <w:t>Ældre</w:t>
      </w:r>
    </w:p>
    <w:p w14:paraId="7C471D36" w14:textId="77777777" w:rsidR="00BE227F" w:rsidRPr="003501B6" w:rsidRDefault="00BE227F" w:rsidP="00FB67DB">
      <w:pPr>
        <w:ind w:left="851"/>
        <w:rPr>
          <w:sz w:val="24"/>
          <w:szCs w:val="24"/>
        </w:rPr>
      </w:pPr>
      <w:r w:rsidRPr="003501B6">
        <w:rPr>
          <w:sz w:val="24"/>
          <w:szCs w:val="24"/>
        </w:rPr>
        <w:t xml:space="preserve">Der er ingen signifikant forskel på levofloxacin farmakokinetik hos yngre og ældre patienter bortset fra, hvad der kan tilskrives forskelle i kreatininclearance. </w:t>
      </w:r>
    </w:p>
    <w:p w14:paraId="4F38ADB5" w14:textId="77777777" w:rsidR="00BE227F" w:rsidRPr="003501B6" w:rsidRDefault="00BE227F" w:rsidP="00FB67DB">
      <w:pPr>
        <w:ind w:left="851"/>
        <w:rPr>
          <w:sz w:val="24"/>
          <w:szCs w:val="24"/>
        </w:rPr>
      </w:pPr>
    </w:p>
    <w:p w14:paraId="4C6CD3CB" w14:textId="77777777" w:rsidR="00BE227F" w:rsidRPr="003501B6" w:rsidRDefault="00BE227F" w:rsidP="00FB67DB">
      <w:pPr>
        <w:ind w:left="851"/>
        <w:rPr>
          <w:i/>
          <w:sz w:val="24"/>
          <w:szCs w:val="24"/>
        </w:rPr>
      </w:pPr>
      <w:r w:rsidRPr="003501B6">
        <w:rPr>
          <w:i/>
          <w:sz w:val="24"/>
          <w:szCs w:val="24"/>
        </w:rPr>
        <w:t>Kønsforskelle</w:t>
      </w:r>
    </w:p>
    <w:p w14:paraId="0605E0D3" w14:textId="77777777" w:rsidR="00BE227F" w:rsidRPr="003501B6" w:rsidRDefault="00BE227F" w:rsidP="00FB67DB">
      <w:pPr>
        <w:ind w:left="851"/>
        <w:rPr>
          <w:sz w:val="24"/>
          <w:szCs w:val="24"/>
        </w:rPr>
      </w:pPr>
      <w:r w:rsidRPr="003501B6">
        <w:rPr>
          <w:sz w:val="24"/>
          <w:szCs w:val="24"/>
        </w:rPr>
        <w:t>Separate analyser på mænd og kvinder påviste små eller marginale kønsforskelle i levofloxacins farmakokinetik. Der er ingen evidens for, at disse kønsforskelle har klinisk relevans.</w:t>
      </w:r>
    </w:p>
    <w:p w14:paraId="24388637" w14:textId="77777777" w:rsidR="009260DE" w:rsidRPr="003501B6" w:rsidRDefault="009260DE" w:rsidP="009260DE">
      <w:pPr>
        <w:tabs>
          <w:tab w:val="left" w:pos="851"/>
        </w:tabs>
        <w:ind w:left="851"/>
        <w:rPr>
          <w:sz w:val="24"/>
          <w:szCs w:val="24"/>
        </w:rPr>
      </w:pPr>
    </w:p>
    <w:p w14:paraId="2781BA22" w14:textId="77777777" w:rsidR="009260DE" w:rsidRPr="003501B6" w:rsidRDefault="009260DE" w:rsidP="009260DE">
      <w:pPr>
        <w:tabs>
          <w:tab w:val="left" w:pos="851"/>
        </w:tabs>
        <w:ind w:left="851" w:hanging="851"/>
        <w:rPr>
          <w:b/>
          <w:sz w:val="24"/>
          <w:szCs w:val="24"/>
        </w:rPr>
      </w:pPr>
      <w:r w:rsidRPr="003501B6">
        <w:rPr>
          <w:b/>
          <w:sz w:val="24"/>
          <w:szCs w:val="24"/>
        </w:rPr>
        <w:t>5.3</w:t>
      </w:r>
      <w:r w:rsidRPr="003501B6">
        <w:rPr>
          <w:b/>
          <w:sz w:val="24"/>
          <w:szCs w:val="24"/>
        </w:rPr>
        <w:tab/>
      </w:r>
      <w:r w:rsidR="00BD7931" w:rsidRPr="003501B6">
        <w:rPr>
          <w:b/>
          <w:sz w:val="24"/>
          <w:szCs w:val="24"/>
        </w:rPr>
        <w:t>Non-</w:t>
      </w:r>
      <w:r w:rsidRPr="003501B6">
        <w:rPr>
          <w:b/>
          <w:sz w:val="24"/>
          <w:szCs w:val="24"/>
        </w:rPr>
        <w:t>kliniske sikkerhedsdata</w:t>
      </w:r>
    </w:p>
    <w:p w14:paraId="5FBF5F68" w14:textId="77777777" w:rsidR="00BE227F" w:rsidRPr="003501B6" w:rsidRDefault="00BE227F" w:rsidP="00FB67DB">
      <w:pPr>
        <w:ind w:left="851"/>
        <w:rPr>
          <w:b/>
          <w:bCs/>
          <w:sz w:val="24"/>
          <w:szCs w:val="24"/>
        </w:rPr>
      </w:pPr>
      <w:r w:rsidRPr="003501B6">
        <w:rPr>
          <w:sz w:val="24"/>
          <w:szCs w:val="24"/>
        </w:rPr>
        <w:t>Non-kliniske data viser ingen speciel risiko for mennesker vurderet ud fra konventionelle studier af toksicitet efter enkeltdosis, toksicitet efter gentagne doser, karcinogent potentiale samt reproduktions- og udviklingstoksicitet.</w:t>
      </w:r>
    </w:p>
    <w:p w14:paraId="4BBC00B5" w14:textId="77777777" w:rsidR="00BE227F" w:rsidRPr="003501B6" w:rsidRDefault="00BE227F" w:rsidP="00FB67DB">
      <w:pPr>
        <w:ind w:left="851"/>
        <w:rPr>
          <w:bCs/>
          <w:sz w:val="24"/>
          <w:szCs w:val="24"/>
          <w:u w:val="single"/>
        </w:rPr>
      </w:pPr>
    </w:p>
    <w:p w14:paraId="0673F720" w14:textId="77777777" w:rsidR="00BE227F" w:rsidRPr="003501B6" w:rsidRDefault="00BE227F" w:rsidP="00FB67DB">
      <w:pPr>
        <w:ind w:left="851"/>
        <w:rPr>
          <w:sz w:val="24"/>
          <w:szCs w:val="24"/>
        </w:rPr>
      </w:pPr>
      <w:r w:rsidRPr="003501B6">
        <w:rPr>
          <w:sz w:val="24"/>
          <w:szCs w:val="24"/>
        </w:rPr>
        <w:t xml:space="preserve">Levofloxacin påvirkede ikke fertiliteten eller reproduktionsevnen hos rotter, og den eneste virkning på fostre var forsinket modning som følge af maternel toksicitet. </w:t>
      </w:r>
    </w:p>
    <w:p w14:paraId="29DC3229" w14:textId="77777777" w:rsidR="00BE227F" w:rsidRPr="003501B6" w:rsidRDefault="00BE227F" w:rsidP="00FB67DB">
      <w:pPr>
        <w:ind w:left="851"/>
        <w:rPr>
          <w:sz w:val="24"/>
          <w:szCs w:val="24"/>
        </w:rPr>
      </w:pPr>
    </w:p>
    <w:p w14:paraId="7F7D16D2" w14:textId="77777777" w:rsidR="00BE227F" w:rsidRPr="003501B6" w:rsidRDefault="00BE227F" w:rsidP="00FB67DB">
      <w:pPr>
        <w:ind w:left="851"/>
        <w:rPr>
          <w:sz w:val="24"/>
          <w:szCs w:val="24"/>
        </w:rPr>
      </w:pPr>
      <w:r w:rsidRPr="003501B6">
        <w:rPr>
          <w:sz w:val="24"/>
          <w:szCs w:val="24"/>
        </w:rPr>
        <w:t xml:space="preserve">Levofloxacin fremkaldte ikke genmutationer i bakterier eller pattedyrsceller, men fremkaldte kromosomafvigelser i lungeceller fra kinesisk hamster </w:t>
      </w:r>
      <w:r w:rsidRPr="003501B6">
        <w:rPr>
          <w:i/>
          <w:sz w:val="24"/>
          <w:szCs w:val="24"/>
        </w:rPr>
        <w:t>in vitro</w:t>
      </w:r>
      <w:r w:rsidRPr="003501B6">
        <w:rPr>
          <w:sz w:val="24"/>
          <w:szCs w:val="24"/>
        </w:rPr>
        <w:t xml:space="preserve">. Disse effekter kan tilskrives inhibering af topoisomerase II. </w:t>
      </w:r>
      <w:r w:rsidRPr="003501B6">
        <w:rPr>
          <w:i/>
          <w:sz w:val="24"/>
          <w:szCs w:val="24"/>
        </w:rPr>
        <w:t>In vivo</w:t>
      </w:r>
      <w:r w:rsidRPr="003501B6">
        <w:rPr>
          <w:sz w:val="24"/>
          <w:szCs w:val="24"/>
        </w:rPr>
        <w:t xml:space="preserve">-test (mikronukleus, søsterkromatidudveksling, ikke-planlagt DNA-syntese, dominant letaltest) udviste ikke nogen genotoksicitet. </w:t>
      </w:r>
    </w:p>
    <w:p w14:paraId="7CE184E0" w14:textId="77777777" w:rsidR="00BE227F" w:rsidRPr="003501B6" w:rsidRDefault="00BE227F" w:rsidP="00FB67DB">
      <w:pPr>
        <w:ind w:left="851"/>
        <w:rPr>
          <w:sz w:val="24"/>
          <w:szCs w:val="24"/>
        </w:rPr>
      </w:pPr>
    </w:p>
    <w:p w14:paraId="72B378B0" w14:textId="77777777" w:rsidR="00BE227F" w:rsidRPr="003501B6" w:rsidRDefault="00BE227F" w:rsidP="00FB67DB">
      <w:pPr>
        <w:ind w:left="851"/>
        <w:rPr>
          <w:sz w:val="24"/>
          <w:szCs w:val="24"/>
        </w:rPr>
      </w:pPr>
      <w:r w:rsidRPr="003501B6">
        <w:rPr>
          <w:sz w:val="24"/>
          <w:szCs w:val="24"/>
        </w:rPr>
        <w:t xml:space="preserve">Studier med mus viste, at levofloxacin kun havde fototoksisk aktivitet ved meget høje doser. Levofloxacin viste ingen tegn på tenotoksicitet i en fotomutagenicitetsanalyse, og det reducerede tumorudviklingen i en fotokarcinogenicitetsstudie. </w:t>
      </w:r>
    </w:p>
    <w:p w14:paraId="6A29E6C1" w14:textId="77777777" w:rsidR="00BE227F" w:rsidRPr="003501B6" w:rsidRDefault="00BE227F" w:rsidP="00FB67DB">
      <w:pPr>
        <w:ind w:left="851"/>
        <w:rPr>
          <w:sz w:val="24"/>
          <w:szCs w:val="24"/>
          <w:u w:val="single"/>
        </w:rPr>
      </w:pPr>
    </w:p>
    <w:p w14:paraId="64866CD4" w14:textId="77777777" w:rsidR="00BE227F" w:rsidRPr="003501B6" w:rsidRDefault="00BE227F" w:rsidP="00FB67DB">
      <w:pPr>
        <w:ind w:left="851"/>
        <w:rPr>
          <w:sz w:val="24"/>
          <w:szCs w:val="24"/>
        </w:rPr>
      </w:pPr>
      <w:r w:rsidRPr="003501B6">
        <w:rPr>
          <w:sz w:val="24"/>
          <w:szCs w:val="24"/>
        </w:rPr>
        <w:t>Ligesom andre fluoroquinoloner påvirkede levofloxacin brusk (blisterdannelse og kaviteter) hos rotter og hunde. Disse fund var mere udtalte hos unge dyr.</w:t>
      </w:r>
    </w:p>
    <w:p w14:paraId="288A61D1" w14:textId="77777777" w:rsidR="009260DE" w:rsidRPr="003501B6" w:rsidRDefault="009260DE" w:rsidP="009260DE">
      <w:pPr>
        <w:tabs>
          <w:tab w:val="left" w:pos="851"/>
        </w:tabs>
        <w:ind w:left="851"/>
        <w:rPr>
          <w:sz w:val="24"/>
          <w:szCs w:val="24"/>
        </w:rPr>
      </w:pPr>
    </w:p>
    <w:p w14:paraId="3626B403" w14:textId="77777777" w:rsidR="009260DE" w:rsidRPr="003501B6" w:rsidRDefault="009260DE" w:rsidP="009260DE">
      <w:pPr>
        <w:tabs>
          <w:tab w:val="left" w:pos="851"/>
        </w:tabs>
        <w:ind w:left="851"/>
        <w:rPr>
          <w:sz w:val="24"/>
          <w:szCs w:val="24"/>
        </w:rPr>
      </w:pPr>
    </w:p>
    <w:p w14:paraId="611B0F94" w14:textId="77777777" w:rsidR="009260DE" w:rsidRPr="003501B6" w:rsidRDefault="009260DE" w:rsidP="009260DE">
      <w:pPr>
        <w:tabs>
          <w:tab w:val="left" w:pos="851"/>
        </w:tabs>
        <w:ind w:left="851" w:hanging="851"/>
        <w:rPr>
          <w:b/>
          <w:sz w:val="24"/>
          <w:szCs w:val="24"/>
        </w:rPr>
      </w:pPr>
      <w:r w:rsidRPr="003501B6">
        <w:rPr>
          <w:b/>
          <w:sz w:val="24"/>
          <w:szCs w:val="24"/>
        </w:rPr>
        <w:t>6.</w:t>
      </w:r>
      <w:r w:rsidRPr="003501B6">
        <w:rPr>
          <w:b/>
          <w:sz w:val="24"/>
          <w:szCs w:val="24"/>
        </w:rPr>
        <w:tab/>
        <w:t>FARMACEUTISKE OPLYSNINGER</w:t>
      </w:r>
    </w:p>
    <w:p w14:paraId="66318B03" w14:textId="77777777" w:rsidR="009260DE" w:rsidRPr="003501B6" w:rsidRDefault="009260DE" w:rsidP="009260DE">
      <w:pPr>
        <w:tabs>
          <w:tab w:val="left" w:pos="851"/>
        </w:tabs>
        <w:ind w:left="851"/>
        <w:rPr>
          <w:sz w:val="24"/>
          <w:szCs w:val="24"/>
        </w:rPr>
      </w:pPr>
    </w:p>
    <w:p w14:paraId="15AEE1A9" w14:textId="77777777" w:rsidR="009260DE" w:rsidRPr="003501B6" w:rsidRDefault="009260DE" w:rsidP="009260DE">
      <w:pPr>
        <w:tabs>
          <w:tab w:val="left" w:pos="851"/>
        </w:tabs>
        <w:ind w:left="851" w:hanging="851"/>
        <w:rPr>
          <w:b/>
          <w:sz w:val="24"/>
          <w:szCs w:val="24"/>
        </w:rPr>
      </w:pPr>
      <w:r w:rsidRPr="003501B6">
        <w:rPr>
          <w:b/>
          <w:sz w:val="24"/>
          <w:szCs w:val="24"/>
        </w:rPr>
        <w:t>6.1</w:t>
      </w:r>
      <w:r w:rsidRPr="003501B6">
        <w:rPr>
          <w:b/>
          <w:sz w:val="24"/>
          <w:szCs w:val="24"/>
        </w:rPr>
        <w:tab/>
        <w:t>Hjælpestoffer</w:t>
      </w:r>
    </w:p>
    <w:p w14:paraId="1580EE81" w14:textId="77777777" w:rsidR="00596E4B" w:rsidRDefault="00596E4B" w:rsidP="00860B62">
      <w:pPr>
        <w:ind w:left="851"/>
        <w:rPr>
          <w:sz w:val="24"/>
          <w:szCs w:val="24"/>
        </w:rPr>
      </w:pPr>
    </w:p>
    <w:p w14:paraId="62BD1BF0" w14:textId="36EF4D9A" w:rsidR="00D44DD4" w:rsidRPr="00C10F13" w:rsidRDefault="00860B62" w:rsidP="00860B62">
      <w:pPr>
        <w:ind w:left="851"/>
        <w:rPr>
          <w:sz w:val="24"/>
          <w:szCs w:val="24"/>
          <w:u w:val="single"/>
          <w:lang w:val="en-US"/>
        </w:rPr>
      </w:pPr>
      <w:r w:rsidRPr="00C10F13">
        <w:rPr>
          <w:sz w:val="24"/>
          <w:szCs w:val="24"/>
          <w:u w:val="single"/>
          <w:lang w:val="en-US"/>
        </w:rPr>
        <w:t>Tabletkerne</w:t>
      </w:r>
    </w:p>
    <w:p w14:paraId="7BFFCA2A" w14:textId="770AB5CD" w:rsidR="00860B62" w:rsidRPr="00254CC6" w:rsidRDefault="00860B62" w:rsidP="00860B62">
      <w:pPr>
        <w:ind w:left="851"/>
        <w:rPr>
          <w:sz w:val="24"/>
          <w:szCs w:val="24"/>
          <w:lang w:val="en-US"/>
        </w:rPr>
      </w:pPr>
      <w:r w:rsidRPr="00254CC6">
        <w:rPr>
          <w:sz w:val="24"/>
          <w:szCs w:val="24"/>
          <w:lang w:val="en-US"/>
        </w:rPr>
        <w:t>Mikrokrystallinsk cellulose</w:t>
      </w:r>
    </w:p>
    <w:p w14:paraId="70ED7062" w14:textId="0B586060" w:rsidR="00860B62" w:rsidRPr="00254CC6" w:rsidRDefault="00860B62" w:rsidP="00860B62">
      <w:pPr>
        <w:ind w:left="851"/>
        <w:rPr>
          <w:sz w:val="24"/>
          <w:szCs w:val="24"/>
          <w:lang w:val="en-US"/>
        </w:rPr>
      </w:pPr>
      <w:r w:rsidRPr="00254CC6">
        <w:rPr>
          <w:sz w:val="24"/>
          <w:szCs w:val="24"/>
          <w:lang w:val="en-US"/>
        </w:rPr>
        <w:t>Hydroxypropylcellulose</w:t>
      </w:r>
    </w:p>
    <w:p w14:paraId="5875FDEB" w14:textId="46A823FA" w:rsidR="00860B62" w:rsidRPr="00254CC6" w:rsidRDefault="00860B62" w:rsidP="00860B62">
      <w:pPr>
        <w:ind w:left="851"/>
        <w:rPr>
          <w:sz w:val="24"/>
          <w:szCs w:val="24"/>
          <w:lang w:val="en-US"/>
        </w:rPr>
      </w:pPr>
      <w:r w:rsidRPr="00254CC6">
        <w:rPr>
          <w:sz w:val="24"/>
          <w:szCs w:val="24"/>
          <w:lang w:val="en-US"/>
        </w:rPr>
        <w:t>Crospovidon</w:t>
      </w:r>
    </w:p>
    <w:p w14:paraId="3B78FD8B" w14:textId="3ED5774D" w:rsidR="00860B62" w:rsidRPr="00254CC6" w:rsidRDefault="00860B62" w:rsidP="00860B62">
      <w:pPr>
        <w:ind w:left="851"/>
        <w:rPr>
          <w:sz w:val="24"/>
          <w:szCs w:val="24"/>
          <w:lang w:val="en-US"/>
        </w:rPr>
      </w:pPr>
      <w:r w:rsidRPr="00254CC6">
        <w:rPr>
          <w:sz w:val="24"/>
          <w:szCs w:val="24"/>
          <w:lang w:val="en-US"/>
        </w:rPr>
        <w:t>Magnesiumstearat</w:t>
      </w:r>
    </w:p>
    <w:p w14:paraId="1E4E9273" w14:textId="47551893" w:rsidR="00860B62" w:rsidRPr="003501B6" w:rsidRDefault="00860B62" w:rsidP="00860B62">
      <w:pPr>
        <w:ind w:left="851"/>
        <w:rPr>
          <w:sz w:val="24"/>
          <w:szCs w:val="24"/>
          <w:lang w:val="en-US"/>
        </w:rPr>
      </w:pPr>
    </w:p>
    <w:p w14:paraId="269C8E3B" w14:textId="7B2B3309" w:rsidR="00860B62" w:rsidRPr="00C10F13" w:rsidRDefault="00860B62" w:rsidP="00860B62">
      <w:pPr>
        <w:ind w:left="851"/>
        <w:rPr>
          <w:sz w:val="24"/>
          <w:szCs w:val="24"/>
          <w:u w:val="single"/>
          <w:lang w:val="en-US"/>
        </w:rPr>
      </w:pPr>
      <w:r w:rsidRPr="00C10F13">
        <w:rPr>
          <w:sz w:val="24"/>
          <w:szCs w:val="24"/>
          <w:u w:val="single"/>
          <w:lang w:val="en-US"/>
        </w:rPr>
        <w:t>Filmovertræk</w:t>
      </w:r>
    </w:p>
    <w:p w14:paraId="75351ABB" w14:textId="2AC18699" w:rsidR="00860B62" w:rsidRPr="00254CC6" w:rsidRDefault="00860B62" w:rsidP="00860B62">
      <w:pPr>
        <w:ind w:left="851"/>
        <w:rPr>
          <w:color w:val="000000"/>
          <w:sz w:val="24"/>
          <w:szCs w:val="24"/>
          <w:lang w:val="en-US"/>
        </w:rPr>
      </w:pPr>
      <w:r w:rsidRPr="00254CC6">
        <w:rPr>
          <w:color w:val="000000"/>
          <w:sz w:val="24"/>
          <w:szCs w:val="24"/>
          <w:lang w:val="en-US"/>
        </w:rPr>
        <w:t>Hypromellose</w:t>
      </w:r>
    </w:p>
    <w:p w14:paraId="5D556E14" w14:textId="6E114360" w:rsidR="00860B62" w:rsidRPr="00254CC6" w:rsidRDefault="00860B62" w:rsidP="00860B62">
      <w:pPr>
        <w:ind w:left="851"/>
        <w:rPr>
          <w:color w:val="000000"/>
          <w:sz w:val="24"/>
          <w:szCs w:val="24"/>
          <w:lang w:val="en-US"/>
        </w:rPr>
      </w:pPr>
      <w:r w:rsidRPr="00254CC6">
        <w:rPr>
          <w:color w:val="000000"/>
          <w:sz w:val="24"/>
          <w:szCs w:val="24"/>
          <w:lang w:val="en-US"/>
        </w:rPr>
        <w:t>Indigotin/indigocarmin (E132)</w:t>
      </w:r>
    </w:p>
    <w:p w14:paraId="27529AF2" w14:textId="6DC78877" w:rsidR="00860B62" w:rsidRPr="00254CC6" w:rsidRDefault="00860B62" w:rsidP="00860B62">
      <w:pPr>
        <w:ind w:left="851"/>
        <w:rPr>
          <w:color w:val="000000"/>
          <w:sz w:val="24"/>
          <w:szCs w:val="24"/>
          <w:lang w:val="en-US"/>
        </w:rPr>
      </w:pPr>
      <w:r w:rsidRPr="00254CC6">
        <w:rPr>
          <w:color w:val="000000"/>
          <w:sz w:val="24"/>
          <w:szCs w:val="24"/>
          <w:lang w:val="en-US"/>
        </w:rPr>
        <w:t>Sunset yellow FCF (E110)</w:t>
      </w:r>
    </w:p>
    <w:p w14:paraId="1ACB23D0" w14:textId="18C6F595" w:rsidR="00860B62" w:rsidRPr="00254CC6" w:rsidRDefault="00860B62" w:rsidP="00860B62">
      <w:pPr>
        <w:ind w:left="851"/>
        <w:rPr>
          <w:color w:val="000000"/>
          <w:sz w:val="24"/>
          <w:szCs w:val="24"/>
          <w:lang w:val="en-US"/>
        </w:rPr>
      </w:pPr>
      <w:r w:rsidRPr="00254CC6">
        <w:rPr>
          <w:color w:val="000000"/>
          <w:sz w:val="24"/>
          <w:szCs w:val="24"/>
          <w:lang w:val="en-US"/>
        </w:rPr>
        <w:t>Jernoxid rød (E172)</w:t>
      </w:r>
    </w:p>
    <w:p w14:paraId="23C82587" w14:textId="351073DE" w:rsidR="00860B62" w:rsidRPr="00254CC6" w:rsidRDefault="00860B62" w:rsidP="00860B62">
      <w:pPr>
        <w:ind w:left="851"/>
        <w:rPr>
          <w:color w:val="000000"/>
          <w:sz w:val="24"/>
          <w:szCs w:val="24"/>
          <w:lang w:val="en-US"/>
        </w:rPr>
      </w:pPr>
      <w:r w:rsidRPr="00254CC6">
        <w:rPr>
          <w:color w:val="000000"/>
          <w:sz w:val="24"/>
          <w:szCs w:val="24"/>
          <w:lang w:val="en-US"/>
        </w:rPr>
        <w:t>Macrogol 4000</w:t>
      </w:r>
    </w:p>
    <w:p w14:paraId="5339DFDE" w14:textId="781FC303" w:rsidR="00860B62" w:rsidRPr="00254CC6" w:rsidRDefault="00860B62" w:rsidP="00860B62">
      <w:pPr>
        <w:ind w:left="851"/>
        <w:rPr>
          <w:color w:val="000000"/>
          <w:sz w:val="24"/>
          <w:szCs w:val="24"/>
          <w:lang w:val="en-US"/>
        </w:rPr>
      </w:pPr>
      <w:r w:rsidRPr="00254CC6">
        <w:rPr>
          <w:color w:val="000000"/>
          <w:sz w:val="24"/>
          <w:szCs w:val="24"/>
          <w:lang w:val="en-US"/>
        </w:rPr>
        <w:t>Titanidioxid (E171)</w:t>
      </w:r>
    </w:p>
    <w:p w14:paraId="7589335C" w14:textId="0F5EBB27" w:rsidR="00860B62" w:rsidRPr="00254CC6" w:rsidRDefault="00860B62" w:rsidP="00860B62">
      <w:pPr>
        <w:ind w:left="851"/>
        <w:rPr>
          <w:sz w:val="24"/>
          <w:szCs w:val="24"/>
        </w:rPr>
      </w:pPr>
      <w:r w:rsidRPr="003501B6">
        <w:rPr>
          <w:color w:val="000000"/>
          <w:sz w:val="24"/>
          <w:szCs w:val="24"/>
        </w:rPr>
        <w:t>Jernoxid gul (E172)</w:t>
      </w:r>
    </w:p>
    <w:p w14:paraId="20F75509" w14:textId="77777777" w:rsidR="009260DE" w:rsidRPr="003501B6" w:rsidRDefault="009260DE" w:rsidP="009260DE">
      <w:pPr>
        <w:tabs>
          <w:tab w:val="left" w:pos="851"/>
        </w:tabs>
        <w:ind w:left="851"/>
        <w:rPr>
          <w:sz w:val="24"/>
          <w:szCs w:val="24"/>
        </w:rPr>
      </w:pPr>
    </w:p>
    <w:p w14:paraId="4B860220" w14:textId="77777777" w:rsidR="009260DE" w:rsidRPr="003501B6" w:rsidRDefault="009260DE" w:rsidP="009260DE">
      <w:pPr>
        <w:tabs>
          <w:tab w:val="left" w:pos="851"/>
        </w:tabs>
        <w:ind w:left="851" w:hanging="851"/>
        <w:rPr>
          <w:b/>
          <w:sz w:val="24"/>
          <w:szCs w:val="24"/>
        </w:rPr>
      </w:pPr>
      <w:r w:rsidRPr="003501B6">
        <w:rPr>
          <w:b/>
          <w:sz w:val="24"/>
          <w:szCs w:val="24"/>
        </w:rPr>
        <w:t>6.2</w:t>
      </w:r>
      <w:r w:rsidRPr="003501B6">
        <w:rPr>
          <w:b/>
          <w:sz w:val="24"/>
          <w:szCs w:val="24"/>
        </w:rPr>
        <w:tab/>
        <w:t>Uforligeligheder</w:t>
      </w:r>
    </w:p>
    <w:p w14:paraId="7DDF4E37" w14:textId="77777777" w:rsidR="00D44DD4" w:rsidRPr="003501B6" w:rsidRDefault="00D44DD4" w:rsidP="00860B62">
      <w:pPr>
        <w:ind w:left="851"/>
        <w:rPr>
          <w:sz w:val="24"/>
          <w:szCs w:val="24"/>
        </w:rPr>
      </w:pPr>
      <w:r w:rsidRPr="003501B6">
        <w:rPr>
          <w:sz w:val="24"/>
          <w:szCs w:val="24"/>
        </w:rPr>
        <w:t>Ikke relevant.</w:t>
      </w:r>
    </w:p>
    <w:p w14:paraId="49D3BD19" w14:textId="77777777" w:rsidR="009260DE" w:rsidRPr="003501B6" w:rsidRDefault="009260DE" w:rsidP="009260DE">
      <w:pPr>
        <w:tabs>
          <w:tab w:val="left" w:pos="851"/>
        </w:tabs>
        <w:ind w:left="851"/>
        <w:rPr>
          <w:sz w:val="24"/>
          <w:szCs w:val="24"/>
        </w:rPr>
      </w:pPr>
    </w:p>
    <w:p w14:paraId="5B0A4F8F" w14:textId="77777777" w:rsidR="009260DE" w:rsidRPr="003501B6" w:rsidRDefault="009260DE" w:rsidP="009260DE">
      <w:pPr>
        <w:tabs>
          <w:tab w:val="left" w:pos="851"/>
        </w:tabs>
        <w:ind w:left="851" w:hanging="851"/>
        <w:rPr>
          <w:b/>
          <w:sz w:val="24"/>
          <w:szCs w:val="24"/>
        </w:rPr>
      </w:pPr>
      <w:r w:rsidRPr="003501B6">
        <w:rPr>
          <w:b/>
          <w:sz w:val="24"/>
          <w:szCs w:val="24"/>
        </w:rPr>
        <w:t>6.3</w:t>
      </w:r>
      <w:r w:rsidRPr="003501B6">
        <w:rPr>
          <w:b/>
          <w:sz w:val="24"/>
          <w:szCs w:val="24"/>
        </w:rPr>
        <w:tab/>
        <w:t>Opbevaringstid</w:t>
      </w:r>
    </w:p>
    <w:p w14:paraId="324A74B3" w14:textId="77777777" w:rsidR="00D44DD4" w:rsidRPr="003501B6" w:rsidRDefault="00D44DD4" w:rsidP="00860B62">
      <w:pPr>
        <w:ind w:left="851"/>
        <w:rPr>
          <w:sz w:val="24"/>
          <w:szCs w:val="24"/>
        </w:rPr>
      </w:pPr>
      <w:r w:rsidRPr="003501B6">
        <w:rPr>
          <w:sz w:val="24"/>
          <w:szCs w:val="24"/>
        </w:rPr>
        <w:t>5 år.</w:t>
      </w:r>
    </w:p>
    <w:p w14:paraId="14B0D346" w14:textId="77777777" w:rsidR="009260DE" w:rsidRPr="003501B6" w:rsidRDefault="009260DE" w:rsidP="009260DE">
      <w:pPr>
        <w:tabs>
          <w:tab w:val="left" w:pos="851"/>
        </w:tabs>
        <w:ind w:left="851"/>
        <w:rPr>
          <w:sz w:val="24"/>
          <w:szCs w:val="24"/>
        </w:rPr>
      </w:pPr>
    </w:p>
    <w:p w14:paraId="5EA5EA1D" w14:textId="77777777" w:rsidR="009260DE" w:rsidRPr="003501B6" w:rsidRDefault="009260DE" w:rsidP="009260DE">
      <w:pPr>
        <w:tabs>
          <w:tab w:val="left" w:pos="851"/>
        </w:tabs>
        <w:ind w:left="851" w:hanging="851"/>
        <w:rPr>
          <w:b/>
          <w:sz w:val="24"/>
          <w:szCs w:val="24"/>
        </w:rPr>
      </w:pPr>
      <w:r w:rsidRPr="003501B6">
        <w:rPr>
          <w:b/>
          <w:sz w:val="24"/>
          <w:szCs w:val="24"/>
        </w:rPr>
        <w:t>6.4</w:t>
      </w:r>
      <w:r w:rsidRPr="003501B6">
        <w:rPr>
          <w:b/>
          <w:sz w:val="24"/>
          <w:szCs w:val="24"/>
        </w:rPr>
        <w:tab/>
        <w:t>Særlige opbevaringsforhold</w:t>
      </w:r>
    </w:p>
    <w:p w14:paraId="1B8A2FF6" w14:textId="77777777" w:rsidR="00D44DD4" w:rsidRPr="003501B6" w:rsidRDefault="00D44DD4" w:rsidP="00860B62">
      <w:pPr>
        <w:ind w:left="851"/>
        <w:rPr>
          <w:sz w:val="24"/>
          <w:szCs w:val="24"/>
        </w:rPr>
      </w:pPr>
      <w:r w:rsidRPr="003501B6">
        <w:rPr>
          <w:sz w:val="24"/>
          <w:szCs w:val="24"/>
        </w:rPr>
        <w:t>Dette lægemiddel kræver ingen særlige forholdsregler vedrørende opbevaringen.</w:t>
      </w:r>
    </w:p>
    <w:p w14:paraId="615FDD76" w14:textId="77777777" w:rsidR="009260DE" w:rsidRPr="003501B6" w:rsidRDefault="009260DE" w:rsidP="009260DE">
      <w:pPr>
        <w:tabs>
          <w:tab w:val="left" w:pos="851"/>
        </w:tabs>
        <w:ind w:left="851"/>
        <w:rPr>
          <w:sz w:val="24"/>
          <w:szCs w:val="24"/>
        </w:rPr>
      </w:pPr>
    </w:p>
    <w:p w14:paraId="35BFD468" w14:textId="77777777" w:rsidR="009260DE" w:rsidRPr="003501B6" w:rsidRDefault="009260DE" w:rsidP="009260DE">
      <w:pPr>
        <w:tabs>
          <w:tab w:val="left" w:pos="851"/>
        </w:tabs>
        <w:ind w:left="851" w:hanging="851"/>
        <w:rPr>
          <w:b/>
          <w:sz w:val="24"/>
          <w:szCs w:val="24"/>
        </w:rPr>
      </w:pPr>
      <w:r w:rsidRPr="003501B6">
        <w:rPr>
          <w:b/>
          <w:sz w:val="24"/>
          <w:szCs w:val="24"/>
        </w:rPr>
        <w:lastRenderedPageBreak/>
        <w:t>6.5</w:t>
      </w:r>
      <w:r w:rsidRPr="003501B6">
        <w:rPr>
          <w:b/>
          <w:sz w:val="24"/>
          <w:szCs w:val="24"/>
        </w:rPr>
        <w:tab/>
        <w:t>Emballagetype og pakningsstørrelser</w:t>
      </w:r>
    </w:p>
    <w:p w14:paraId="77964D27" w14:textId="77777777" w:rsidR="00D44DD4" w:rsidRPr="003501B6" w:rsidRDefault="00D44DD4" w:rsidP="00860B62">
      <w:pPr>
        <w:ind w:left="851"/>
        <w:rPr>
          <w:sz w:val="24"/>
          <w:szCs w:val="24"/>
        </w:rPr>
      </w:pPr>
      <w:r w:rsidRPr="003501B6">
        <w:rPr>
          <w:sz w:val="24"/>
          <w:szCs w:val="24"/>
        </w:rPr>
        <w:t>Transparent PVC/PE/PVDC/aluminiumblister i en papæske.</w:t>
      </w:r>
    </w:p>
    <w:p w14:paraId="5C1AD0B2" w14:textId="77777777" w:rsidR="00D44DD4" w:rsidRPr="003501B6" w:rsidRDefault="00D44DD4" w:rsidP="00860B62">
      <w:pPr>
        <w:ind w:left="851"/>
        <w:rPr>
          <w:sz w:val="24"/>
          <w:szCs w:val="24"/>
        </w:rPr>
      </w:pPr>
    </w:p>
    <w:p w14:paraId="0BC51C80" w14:textId="3C90E735" w:rsidR="00D44DD4" w:rsidRPr="003501B6" w:rsidRDefault="00D44DD4" w:rsidP="00860B62">
      <w:pPr>
        <w:ind w:left="851"/>
        <w:rPr>
          <w:sz w:val="24"/>
          <w:szCs w:val="24"/>
        </w:rPr>
      </w:pPr>
      <w:r w:rsidRPr="003501B6">
        <w:rPr>
          <w:sz w:val="24"/>
          <w:szCs w:val="24"/>
        </w:rPr>
        <w:t xml:space="preserve">Pakningsstørrelser: Pakningsstørrelser med 1, 5, 7 </w:t>
      </w:r>
      <w:r w:rsidR="00C10F13">
        <w:rPr>
          <w:sz w:val="24"/>
          <w:szCs w:val="24"/>
        </w:rPr>
        <w:t>og</w:t>
      </w:r>
      <w:r w:rsidRPr="003501B6">
        <w:rPr>
          <w:sz w:val="24"/>
          <w:szCs w:val="24"/>
        </w:rPr>
        <w:t xml:space="preserve"> 10 filmovertrukne tabletter.</w:t>
      </w:r>
    </w:p>
    <w:p w14:paraId="23E31A31" w14:textId="77777777" w:rsidR="00D44DD4" w:rsidRPr="003501B6" w:rsidRDefault="00D44DD4" w:rsidP="00860B62">
      <w:pPr>
        <w:ind w:left="851"/>
        <w:rPr>
          <w:sz w:val="24"/>
          <w:szCs w:val="24"/>
        </w:rPr>
      </w:pPr>
    </w:p>
    <w:p w14:paraId="5A708C69" w14:textId="77777777" w:rsidR="00D44DD4" w:rsidRPr="003501B6" w:rsidRDefault="00D44DD4" w:rsidP="00860B62">
      <w:pPr>
        <w:ind w:left="851"/>
        <w:rPr>
          <w:sz w:val="24"/>
          <w:szCs w:val="24"/>
        </w:rPr>
      </w:pPr>
      <w:r w:rsidRPr="003501B6">
        <w:rPr>
          <w:sz w:val="24"/>
          <w:szCs w:val="24"/>
        </w:rPr>
        <w:t>Ikke alle pakningsstørrelser er nødvendigvis markedsført.</w:t>
      </w:r>
    </w:p>
    <w:p w14:paraId="2834B90E" w14:textId="77777777" w:rsidR="009260DE" w:rsidRPr="003501B6" w:rsidRDefault="009260DE" w:rsidP="009260DE">
      <w:pPr>
        <w:tabs>
          <w:tab w:val="left" w:pos="851"/>
        </w:tabs>
        <w:ind w:left="851"/>
        <w:rPr>
          <w:sz w:val="24"/>
          <w:szCs w:val="24"/>
        </w:rPr>
      </w:pPr>
    </w:p>
    <w:p w14:paraId="09AC0370" w14:textId="77777777" w:rsidR="009260DE" w:rsidRPr="003501B6" w:rsidRDefault="009260DE" w:rsidP="009260DE">
      <w:pPr>
        <w:tabs>
          <w:tab w:val="left" w:pos="851"/>
        </w:tabs>
        <w:ind w:left="851" w:hanging="851"/>
        <w:rPr>
          <w:b/>
          <w:sz w:val="24"/>
          <w:szCs w:val="24"/>
        </w:rPr>
      </w:pPr>
      <w:r w:rsidRPr="003501B6">
        <w:rPr>
          <w:b/>
          <w:sz w:val="24"/>
          <w:szCs w:val="24"/>
        </w:rPr>
        <w:t>6.6</w:t>
      </w:r>
      <w:r w:rsidRPr="003501B6">
        <w:rPr>
          <w:b/>
          <w:sz w:val="24"/>
          <w:szCs w:val="24"/>
        </w:rPr>
        <w:tab/>
        <w:t xml:space="preserve">Regler for </w:t>
      </w:r>
      <w:r w:rsidR="00BD7931" w:rsidRPr="003501B6">
        <w:rPr>
          <w:b/>
          <w:sz w:val="24"/>
          <w:szCs w:val="24"/>
        </w:rPr>
        <w:t>bortskaffelse</w:t>
      </w:r>
      <w:r w:rsidRPr="003501B6">
        <w:rPr>
          <w:b/>
          <w:sz w:val="24"/>
          <w:szCs w:val="24"/>
        </w:rPr>
        <w:t xml:space="preserve"> og anden håndtering</w:t>
      </w:r>
    </w:p>
    <w:p w14:paraId="00CCB9C6" w14:textId="77777777" w:rsidR="00FB67DB" w:rsidRPr="003501B6" w:rsidRDefault="00FB67DB" w:rsidP="00860B62">
      <w:pPr>
        <w:ind w:left="851"/>
        <w:rPr>
          <w:sz w:val="24"/>
          <w:szCs w:val="24"/>
        </w:rPr>
      </w:pPr>
      <w:r w:rsidRPr="003501B6">
        <w:rPr>
          <w:sz w:val="24"/>
          <w:szCs w:val="24"/>
        </w:rPr>
        <w:t>Ikke anvendt lægemiddel samt affald heraf skal bortskaffes i henhold til lokale retningslinjer.</w:t>
      </w:r>
    </w:p>
    <w:p w14:paraId="2A596E34" w14:textId="77777777" w:rsidR="009260DE" w:rsidRPr="003501B6" w:rsidRDefault="009260DE" w:rsidP="000730CA">
      <w:pPr>
        <w:tabs>
          <w:tab w:val="left" w:pos="851"/>
        </w:tabs>
        <w:ind w:left="851"/>
        <w:rPr>
          <w:sz w:val="24"/>
          <w:szCs w:val="24"/>
        </w:rPr>
      </w:pPr>
    </w:p>
    <w:p w14:paraId="43E5987B" w14:textId="77777777" w:rsidR="009260DE" w:rsidRPr="003501B6" w:rsidRDefault="009260DE" w:rsidP="009260DE">
      <w:pPr>
        <w:tabs>
          <w:tab w:val="left" w:pos="851"/>
        </w:tabs>
        <w:ind w:left="851" w:hanging="851"/>
        <w:rPr>
          <w:b/>
          <w:sz w:val="24"/>
          <w:szCs w:val="24"/>
        </w:rPr>
      </w:pPr>
      <w:r w:rsidRPr="003501B6">
        <w:rPr>
          <w:b/>
          <w:sz w:val="24"/>
          <w:szCs w:val="24"/>
        </w:rPr>
        <w:t>7.</w:t>
      </w:r>
      <w:r w:rsidRPr="003501B6">
        <w:rPr>
          <w:b/>
          <w:sz w:val="24"/>
          <w:szCs w:val="24"/>
        </w:rPr>
        <w:tab/>
        <w:t>INDEHAVER AF MARKEDSFØRINGSTILLADELSEN</w:t>
      </w:r>
    </w:p>
    <w:p w14:paraId="0E611CE7" w14:textId="77777777" w:rsidR="00FB67DB" w:rsidRPr="003501B6" w:rsidRDefault="00FB67DB" w:rsidP="00860B62">
      <w:pPr>
        <w:ind w:left="851"/>
        <w:rPr>
          <w:sz w:val="24"/>
          <w:szCs w:val="24"/>
        </w:rPr>
      </w:pPr>
      <w:r w:rsidRPr="003501B6">
        <w:rPr>
          <w:sz w:val="24"/>
          <w:szCs w:val="24"/>
        </w:rPr>
        <w:t>Macure Pharma ApS</w:t>
      </w:r>
    </w:p>
    <w:p w14:paraId="3E9E8B08" w14:textId="77777777" w:rsidR="00FB67DB" w:rsidRPr="003501B6" w:rsidRDefault="00FB67DB" w:rsidP="00860B62">
      <w:pPr>
        <w:ind w:left="851"/>
        <w:rPr>
          <w:sz w:val="24"/>
          <w:szCs w:val="24"/>
        </w:rPr>
      </w:pPr>
      <w:r w:rsidRPr="003501B6">
        <w:rPr>
          <w:sz w:val="24"/>
          <w:szCs w:val="24"/>
        </w:rPr>
        <w:t>Hejrevej 39</w:t>
      </w:r>
    </w:p>
    <w:p w14:paraId="634885D3" w14:textId="77777777" w:rsidR="00FB67DB" w:rsidRPr="003501B6" w:rsidRDefault="00FB67DB" w:rsidP="00860B62">
      <w:pPr>
        <w:ind w:left="851"/>
        <w:rPr>
          <w:sz w:val="24"/>
          <w:szCs w:val="24"/>
        </w:rPr>
      </w:pPr>
      <w:r w:rsidRPr="003501B6">
        <w:rPr>
          <w:sz w:val="24"/>
          <w:szCs w:val="24"/>
        </w:rPr>
        <w:t>2400 København NV</w:t>
      </w:r>
    </w:p>
    <w:p w14:paraId="00ABB103" w14:textId="77777777" w:rsidR="00641C65" w:rsidRPr="003501B6" w:rsidRDefault="00641C65" w:rsidP="009260DE">
      <w:pPr>
        <w:tabs>
          <w:tab w:val="left" w:pos="851"/>
        </w:tabs>
        <w:ind w:left="851"/>
        <w:rPr>
          <w:sz w:val="24"/>
          <w:szCs w:val="24"/>
        </w:rPr>
      </w:pPr>
    </w:p>
    <w:p w14:paraId="55B26FBE" w14:textId="77777777" w:rsidR="009260DE" w:rsidRPr="003501B6" w:rsidRDefault="009260DE" w:rsidP="009260DE">
      <w:pPr>
        <w:tabs>
          <w:tab w:val="left" w:pos="851"/>
        </w:tabs>
        <w:ind w:left="851" w:hanging="851"/>
        <w:rPr>
          <w:b/>
          <w:sz w:val="24"/>
          <w:szCs w:val="24"/>
        </w:rPr>
      </w:pPr>
      <w:r w:rsidRPr="003501B6">
        <w:rPr>
          <w:b/>
          <w:sz w:val="24"/>
          <w:szCs w:val="24"/>
        </w:rPr>
        <w:t>8.</w:t>
      </w:r>
      <w:r w:rsidRPr="003501B6">
        <w:rPr>
          <w:b/>
          <w:sz w:val="24"/>
          <w:szCs w:val="24"/>
        </w:rPr>
        <w:tab/>
        <w:t>MARKEDSFØRINGSTILLADELSESNUMMER (</w:t>
      </w:r>
      <w:r w:rsidR="00BF6243" w:rsidRPr="003501B6">
        <w:rPr>
          <w:b/>
          <w:sz w:val="24"/>
          <w:szCs w:val="24"/>
        </w:rPr>
        <w:t>-</w:t>
      </w:r>
      <w:r w:rsidRPr="003501B6">
        <w:rPr>
          <w:b/>
          <w:sz w:val="24"/>
          <w:szCs w:val="24"/>
        </w:rPr>
        <w:t>NUMRE)</w:t>
      </w:r>
    </w:p>
    <w:p w14:paraId="3975B9F2" w14:textId="28E0321A" w:rsidR="009260DE" w:rsidRPr="003501B6" w:rsidRDefault="00FB67DB" w:rsidP="009260DE">
      <w:pPr>
        <w:tabs>
          <w:tab w:val="left" w:pos="851"/>
        </w:tabs>
        <w:ind w:left="851"/>
        <w:rPr>
          <w:sz w:val="24"/>
          <w:szCs w:val="24"/>
        </w:rPr>
      </w:pPr>
      <w:r w:rsidRPr="003501B6">
        <w:rPr>
          <w:sz w:val="24"/>
          <w:szCs w:val="24"/>
        </w:rPr>
        <w:t>66906</w:t>
      </w:r>
    </w:p>
    <w:p w14:paraId="746B49C2" w14:textId="77777777" w:rsidR="009260DE" w:rsidRPr="003501B6" w:rsidRDefault="009260DE" w:rsidP="009260DE">
      <w:pPr>
        <w:tabs>
          <w:tab w:val="left" w:pos="851"/>
        </w:tabs>
        <w:ind w:left="851"/>
        <w:jc w:val="both"/>
        <w:rPr>
          <w:sz w:val="24"/>
          <w:szCs w:val="24"/>
        </w:rPr>
      </w:pPr>
    </w:p>
    <w:p w14:paraId="52F9974E" w14:textId="77777777" w:rsidR="009260DE" w:rsidRPr="003501B6" w:rsidRDefault="009260DE" w:rsidP="009260DE">
      <w:pPr>
        <w:tabs>
          <w:tab w:val="left" w:pos="851"/>
        </w:tabs>
        <w:ind w:left="851" w:hanging="851"/>
        <w:rPr>
          <w:b/>
          <w:sz w:val="24"/>
          <w:szCs w:val="24"/>
        </w:rPr>
      </w:pPr>
      <w:r w:rsidRPr="003501B6">
        <w:rPr>
          <w:b/>
          <w:sz w:val="24"/>
          <w:szCs w:val="24"/>
        </w:rPr>
        <w:t>9.</w:t>
      </w:r>
      <w:r w:rsidRPr="003501B6">
        <w:rPr>
          <w:b/>
          <w:sz w:val="24"/>
          <w:szCs w:val="24"/>
        </w:rPr>
        <w:tab/>
        <w:t>DATO FOR FØRSTE MARKEDSFØRINGSTILLADELSE</w:t>
      </w:r>
    </w:p>
    <w:p w14:paraId="4C2E60AE" w14:textId="57897DDA" w:rsidR="009260DE" w:rsidRPr="003501B6" w:rsidRDefault="00AF3258" w:rsidP="009260DE">
      <w:pPr>
        <w:tabs>
          <w:tab w:val="left" w:pos="851"/>
        </w:tabs>
        <w:ind w:left="851"/>
        <w:rPr>
          <w:sz w:val="24"/>
          <w:szCs w:val="24"/>
        </w:rPr>
      </w:pPr>
      <w:r>
        <w:rPr>
          <w:sz w:val="24"/>
          <w:szCs w:val="24"/>
        </w:rPr>
        <w:t>22. januar 2024</w:t>
      </w:r>
    </w:p>
    <w:p w14:paraId="2A3FC8C8" w14:textId="77777777" w:rsidR="009260DE" w:rsidRPr="003501B6" w:rsidRDefault="009260DE" w:rsidP="009260DE">
      <w:pPr>
        <w:tabs>
          <w:tab w:val="left" w:pos="851"/>
        </w:tabs>
        <w:ind w:left="851"/>
        <w:rPr>
          <w:sz w:val="24"/>
          <w:szCs w:val="24"/>
        </w:rPr>
      </w:pPr>
    </w:p>
    <w:p w14:paraId="6C0664C4" w14:textId="77777777" w:rsidR="009260DE" w:rsidRPr="003501B6" w:rsidRDefault="009260DE" w:rsidP="009260DE">
      <w:pPr>
        <w:tabs>
          <w:tab w:val="left" w:pos="851"/>
        </w:tabs>
        <w:ind w:left="851" w:hanging="851"/>
        <w:rPr>
          <w:b/>
          <w:sz w:val="24"/>
          <w:szCs w:val="24"/>
        </w:rPr>
      </w:pPr>
      <w:r w:rsidRPr="003501B6">
        <w:rPr>
          <w:b/>
          <w:sz w:val="24"/>
          <w:szCs w:val="24"/>
        </w:rPr>
        <w:t>10.</w:t>
      </w:r>
      <w:r w:rsidRPr="003501B6">
        <w:rPr>
          <w:b/>
          <w:sz w:val="24"/>
          <w:szCs w:val="24"/>
        </w:rPr>
        <w:tab/>
        <w:t>DATO FOR ÆNDRING AF TEKSTEN</w:t>
      </w:r>
    </w:p>
    <w:p w14:paraId="4C549150" w14:textId="3212430F" w:rsidR="009260DE" w:rsidRPr="003501B6" w:rsidRDefault="00C10F13" w:rsidP="009260DE">
      <w:pPr>
        <w:tabs>
          <w:tab w:val="left" w:pos="851"/>
        </w:tabs>
        <w:ind w:left="851"/>
        <w:rPr>
          <w:sz w:val="24"/>
          <w:szCs w:val="24"/>
        </w:rPr>
      </w:pPr>
      <w:r>
        <w:rPr>
          <w:sz w:val="24"/>
          <w:szCs w:val="24"/>
        </w:rPr>
        <w:t>17. januar 2025</w:t>
      </w:r>
    </w:p>
    <w:sectPr w:rsidR="009260DE" w:rsidRPr="003501B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CFA69" w14:textId="77777777" w:rsidR="00A501FE" w:rsidRDefault="00A501FE">
      <w:r>
        <w:separator/>
      </w:r>
    </w:p>
  </w:endnote>
  <w:endnote w:type="continuationSeparator" w:id="0">
    <w:p w14:paraId="6282AB74" w14:textId="77777777" w:rsidR="00A501FE" w:rsidRDefault="00A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126D" w14:textId="77777777" w:rsidR="00A501FE" w:rsidRDefault="00A501FE">
    <w:pPr>
      <w:pStyle w:val="Sidefod"/>
      <w:pBdr>
        <w:bottom w:val="single" w:sz="6" w:space="1" w:color="auto"/>
      </w:pBdr>
    </w:pPr>
  </w:p>
  <w:p w14:paraId="3202C9B3" w14:textId="77777777" w:rsidR="00A501FE" w:rsidRDefault="00A501FE" w:rsidP="00C42586">
    <w:pPr>
      <w:pStyle w:val="Sidefod"/>
      <w:tabs>
        <w:tab w:val="clear" w:pos="4819"/>
        <w:tab w:val="left" w:pos="8505"/>
      </w:tabs>
      <w:rPr>
        <w:i/>
        <w:sz w:val="18"/>
        <w:szCs w:val="18"/>
      </w:rPr>
    </w:pPr>
  </w:p>
  <w:p w14:paraId="3000934C" w14:textId="03767337" w:rsidR="00A501FE" w:rsidRPr="00B373D7" w:rsidRDefault="00A501F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Levofloxacin Macure,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66B3" w14:textId="77777777" w:rsidR="00A501FE" w:rsidRDefault="00A501FE">
      <w:r>
        <w:separator/>
      </w:r>
    </w:p>
  </w:footnote>
  <w:footnote w:type="continuationSeparator" w:id="0">
    <w:p w14:paraId="40A13753" w14:textId="77777777" w:rsidR="00A501FE" w:rsidRDefault="00A5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3F73"/>
    <w:multiLevelType w:val="hybridMultilevel"/>
    <w:tmpl w:val="CCB6F66E"/>
    <w:lvl w:ilvl="0" w:tplc="C82CF208">
      <w:start w:val="1"/>
      <w:numFmt w:val="bullet"/>
      <w:lvlText w:val="-"/>
      <w:lvlJc w:val="left"/>
      <w:pPr>
        <w:ind w:left="1429" w:hanging="360"/>
      </w:pPr>
      <w:rPr>
        <w:rFonts w:ascii="Tempus Sans ITC" w:hAnsi="Tempus Sans ITC"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8F7924"/>
    <w:multiLevelType w:val="hybridMultilevel"/>
    <w:tmpl w:val="68AAAB0E"/>
    <w:lvl w:ilvl="0" w:tplc="2E7E07F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9360D0"/>
    <w:multiLevelType w:val="hybridMultilevel"/>
    <w:tmpl w:val="B81CBED6"/>
    <w:lvl w:ilvl="0" w:tplc="E53A6B0A">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FA1DB1"/>
    <w:multiLevelType w:val="hybridMultilevel"/>
    <w:tmpl w:val="89C600D8"/>
    <w:lvl w:ilvl="0" w:tplc="2E7E07F8">
      <w:start w:val="1"/>
      <w:numFmt w:val="bullet"/>
      <w:lvlText w:val="-"/>
      <w:lvlJc w:val="left"/>
      <w:pPr>
        <w:ind w:left="1146" w:hanging="360"/>
      </w:pPr>
      <w:rPr>
        <w:rFonts w:ascii="Times New Roman" w:eastAsia="Times New Roman" w:hAnsi="Times New Roman"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start w:val="1"/>
      <w:numFmt w:val="bullet"/>
      <w:lvlText w:val=""/>
      <w:lvlJc w:val="left"/>
      <w:pPr>
        <w:ind w:left="2586" w:hanging="360"/>
      </w:pPr>
      <w:rPr>
        <w:rFonts w:ascii="Wingdings" w:hAnsi="Wingdings" w:hint="default"/>
      </w:rPr>
    </w:lvl>
    <w:lvl w:ilvl="3" w:tplc="04060001">
      <w:start w:val="1"/>
      <w:numFmt w:val="bullet"/>
      <w:lvlText w:val=""/>
      <w:lvlJc w:val="left"/>
      <w:pPr>
        <w:ind w:left="3306" w:hanging="360"/>
      </w:pPr>
      <w:rPr>
        <w:rFonts w:ascii="Symbol" w:hAnsi="Symbol" w:hint="default"/>
      </w:rPr>
    </w:lvl>
    <w:lvl w:ilvl="4" w:tplc="04060003">
      <w:start w:val="1"/>
      <w:numFmt w:val="bullet"/>
      <w:lvlText w:val="o"/>
      <w:lvlJc w:val="left"/>
      <w:pPr>
        <w:ind w:left="4026" w:hanging="360"/>
      </w:pPr>
      <w:rPr>
        <w:rFonts w:ascii="Courier New" w:hAnsi="Courier New" w:cs="Courier New" w:hint="default"/>
      </w:rPr>
    </w:lvl>
    <w:lvl w:ilvl="5" w:tplc="04060005">
      <w:start w:val="1"/>
      <w:numFmt w:val="bullet"/>
      <w:lvlText w:val=""/>
      <w:lvlJc w:val="left"/>
      <w:pPr>
        <w:ind w:left="4746" w:hanging="360"/>
      </w:pPr>
      <w:rPr>
        <w:rFonts w:ascii="Wingdings" w:hAnsi="Wingdings" w:hint="default"/>
      </w:rPr>
    </w:lvl>
    <w:lvl w:ilvl="6" w:tplc="04060001">
      <w:start w:val="1"/>
      <w:numFmt w:val="bullet"/>
      <w:lvlText w:val=""/>
      <w:lvlJc w:val="left"/>
      <w:pPr>
        <w:ind w:left="5466" w:hanging="360"/>
      </w:pPr>
      <w:rPr>
        <w:rFonts w:ascii="Symbol" w:hAnsi="Symbol" w:hint="default"/>
      </w:rPr>
    </w:lvl>
    <w:lvl w:ilvl="7" w:tplc="04060003">
      <w:start w:val="1"/>
      <w:numFmt w:val="bullet"/>
      <w:lvlText w:val="o"/>
      <w:lvlJc w:val="left"/>
      <w:pPr>
        <w:ind w:left="6186" w:hanging="360"/>
      </w:pPr>
      <w:rPr>
        <w:rFonts w:ascii="Courier New" w:hAnsi="Courier New" w:cs="Courier New" w:hint="default"/>
      </w:rPr>
    </w:lvl>
    <w:lvl w:ilvl="8" w:tplc="04060005">
      <w:start w:val="1"/>
      <w:numFmt w:val="bullet"/>
      <w:lvlText w:val=""/>
      <w:lvlJc w:val="left"/>
      <w:pPr>
        <w:ind w:left="6906" w:hanging="360"/>
      </w:pPr>
      <w:rPr>
        <w:rFonts w:ascii="Wingdings" w:hAnsi="Wingdings" w:hint="default"/>
      </w:rPr>
    </w:lvl>
  </w:abstractNum>
  <w:abstractNum w:abstractNumId="8" w15:restartNumberingAfterBreak="0">
    <w:nsid w:val="47165AE9"/>
    <w:multiLevelType w:val="hybridMultilevel"/>
    <w:tmpl w:val="D7D251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C05262A"/>
    <w:multiLevelType w:val="hybridMultilevel"/>
    <w:tmpl w:val="A4502A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1112D21"/>
    <w:multiLevelType w:val="hybridMultilevel"/>
    <w:tmpl w:val="0CAC70B8"/>
    <w:lvl w:ilvl="0" w:tplc="FFFFFFFF">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4E348AF"/>
    <w:multiLevelType w:val="hybridMultilevel"/>
    <w:tmpl w:val="5A3E7C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7EE54EE"/>
    <w:multiLevelType w:val="hybridMultilevel"/>
    <w:tmpl w:val="EA5C8376"/>
    <w:lvl w:ilvl="0" w:tplc="2E7E07F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10"/>
  </w:num>
  <w:num w:numId="10">
    <w:abstractNumId w:val="0"/>
  </w:num>
  <w:num w:numId="11">
    <w:abstractNumId w:val="9"/>
  </w:num>
  <w:num w:numId="12">
    <w:abstractNumId w:val="8"/>
  </w:num>
  <w:num w:numId="13">
    <w:abstractNumId w:val="11"/>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DA"/>
    <w:rsid w:val="000259B9"/>
    <w:rsid w:val="00041491"/>
    <w:rsid w:val="00050D16"/>
    <w:rsid w:val="000730CA"/>
    <w:rsid w:val="00074F2A"/>
    <w:rsid w:val="000A1CA8"/>
    <w:rsid w:val="000A466B"/>
    <w:rsid w:val="000B058C"/>
    <w:rsid w:val="000D68B0"/>
    <w:rsid w:val="000E4EE6"/>
    <w:rsid w:val="001454E2"/>
    <w:rsid w:val="001F193D"/>
    <w:rsid w:val="00206CE8"/>
    <w:rsid w:val="0021526C"/>
    <w:rsid w:val="00254CC6"/>
    <w:rsid w:val="00283A2B"/>
    <w:rsid w:val="002B30AD"/>
    <w:rsid w:val="002C1EC0"/>
    <w:rsid w:val="002C2C01"/>
    <w:rsid w:val="003501B6"/>
    <w:rsid w:val="00381E84"/>
    <w:rsid w:val="003A29AE"/>
    <w:rsid w:val="003A32D7"/>
    <w:rsid w:val="003B4074"/>
    <w:rsid w:val="003C769A"/>
    <w:rsid w:val="003D3A90"/>
    <w:rsid w:val="003F1838"/>
    <w:rsid w:val="004251C1"/>
    <w:rsid w:val="0045746C"/>
    <w:rsid w:val="0049104B"/>
    <w:rsid w:val="004E3B12"/>
    <w:rsid w:val="00532310"/>
    <w:rsid w:val="005610EE"/>
    <w:rsid w:val="00565F0F"/>
    <w:rsid w:val="00594A86"/>
    <w:rsid w:val="00596D86"/>
    <w:rsid w:val="00596E4B"/>
    <w:rsid w:val="005D4BC1"/>
    <w:rsid w:val="00617885"/>
    <w:rsid w:val="00637F5A"/>
    <w:rsid w:val="00641C65"/>
    <w:rsid w:val="006560B1"/>
    <w:rsid w:val="006756DD"/>
    <w:rsid w:val="0071241E"/>
    <w:rsid w:val="00737275"/>
    <w:rsid w:val="00740EEC"/>
    <w:rsid w:val="0078011A"/>
    <w:rsid w:val="00782AF4"/>
    <w:rsid w:val="00790EE7"/>
    <w:rsid w:val="007B6649"/>
    <w:rsid w:val="0082576E"/>
    <w:rsid w:val="00860B62"/>
    <w:rsid w:val="0089346F"/>
    <w:rsid w:val="00907F75"/>
    <w:rsid w:val="009260DE"/>
    <w:rsid w:val="0093258A"/>
    <w:rsid w:val="009C7BA3"/>
    <w:rsid w:val="009D1F5A"/>
    <w:rsid w:val="00A10294"/>
    <w:rsid w:val="00A501FE"/>
    <w:rsid w:val="00AA709A"/>
    <w:rsid w:val="00AC12DA"/>
    <w:rsid w:val="00AD6732"/>
    <w:rsid w:val="00AF3258"/>
    <w:rsid w:val="00B003BF"/>
    <w:rsid w:val="00B373D7"/>
    <w:rsid w:val="00B55271"/>
    <w:rsid w:val="00BD7931"/>
    <w:rsid w:val="00BE227F"/>
    <w:rsid w:val="00BF6243"/>
    <w:rsid w:val="00C10F13"/>
    <w:rsid w:val="00C36276"/>
    <w:rsid w:val="00C42586"/>
    <w:rsid w:val="00C45F6B"/>
    <w:rsid w:val="00C60CCD"/>
    <w:rsid w:val="00C84483"/>
    <w:rsid w:val="00C95551"/>
    <w:rsid w:val="00CB20D7"/>
    <w:rsid w:val="00D020B0"/>
    <w:rsid w:val="00D11748"/>
    <w:rsid w:val="00D237F6"/>
    <w:rsid w:val="00D34D98"/>
    <w:rsid w:val="00D366CF"/>
    <w:rsid w:val="00D44DD4"/>
    <w:rsid w:val="00D93992"/>
    <w:rsid w:val="00E108AA"/>
    <w:rsid w:val="00E3749A"/>
    <w:rsid w:val="00E7437F"/>
    <w:rsid w:val="00E865B8"/>
    <w:rsid w:val="00EC0B9B"/>
    <w:rsid w:val="00ED5E9F"/>
    <w:rsid w:val="00EF18B8"/>
    <w:rsid w:val="00F66D4F"/>
    <w:rsid w:val="00FB67D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E9865"/>
  <w15:chartTrackingRefBased/>
  <w15:docId w15:val="{76114770-3377-4C08-A7AF-00772A0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E227F"/>
    <w:pPr>
      <w:tabs>
        <w:tab w:val="left" w:pos="567"/>
      </w:tabs>
      <w:spacing w:line="260" w:lineRule="exact"/>
      <w:ind w:left="720"/>
      <w:contextualSpacing/>
    </w:pPr>
    <w:rPr>
      <w:sz w:val="22"/>
    </w:rPr>
  </w:style>
  <w:style w:type="paragraph" w:styleId="NormalWeb">
    <w:name w:val="Normal (Web)"/>
    <w:basedOn w:val="Normal"/>
    <w:semiHidden/>
    <w:unhideWhenUsed/>
    <w:rsid w:val="00BE227F"/>
    <w:pPr>
      <w:spacing w:before="100" w:beforeAutospacing="1" w:after="100" w:afterAutospacing="1"/>
    </w:pPr>
    <w:rPr>
      <w:sz w:val="24"/>
      <w:szCs w:val="24"/>
      <w:lang w:eastAsia="el-GR"/>
    </w:rPr>
  </w:style>
  <w:style w:type="paragraph" w:customStyle="1" w:styleId="Default">
    <w:name w:val="Default"/>
    <w:rsid w:val="00BE227F"/>
    <w:pPr>
      <w:autoSpaceDE w:val="0"/>
      <w:autoSpaceDN w:val="0"/>
      <w:adjustRightInd w:val="0"/>
    </w:pPr>
    <w:rPr>
      <w:lang w:eastAsia="en-US"/>
    </w:rPr>
  </w:style>
  <w:style w:type="table" w:styleId="Tabel-Gitter">
    <w:name w:val="Table Grid"/>
    <w:basedOn w:val="Tabel-Normal"/>
    <w:rsid w:val="00BE227F"/>
    <w:rPr>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90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819701">
      <w:bodyDiv w:val="1"/>
      <w:marLeft w:val="0"/>
      <w:marRight w:val="0"/>
      <w:marTop w:val="0"/>
      <w:marBottom w:val="0"/>
      <w:divBdr>
        <w:top w:val="none" w:sz="0" w:space="0" w:color="auto"/>
        <w:left w:val="none" w:sz="0" w:space="0" w:color="auto"/>
        <w:bottom w:val="none" w:sz="0" w:space="0" w:color="auto"/>
        <w:right w:val="none" w:sz="0" w:space="0" w:color="auto"/>
      </w:divBdr>
    </w:div>
    <w:div w:id="199245213">
      <w:bodyDiv w:val="1"/>
      <w:marLeft w:val="0"/>
      <w:marRight w:val="0"/>
      <w:marTop w:val="0"/>
      <w:marBottom w:val="0"/>
      <w:divBdr>
        <w:top w:val="none" w:sz="0" w:space="0" w:color="auto"/>
        <w:left w:val="none" w:sz="0" w:space="0" w:color="auto"/>
        <w:bottom w:val="none" w:sz="0" w:space="0" w:color="auto"/>
        <w:right w:val="none" w:sz="0" w:space="0" w:color="auto"/>
      </w:divBdr>
    </w:div>
    <w:div w:id="204173724">
      <w:bodyDiv w:val="1"/>
      <w:marLeft w:val="0"/>
      <w:marRight w:val="0"/>
      <w:marTop w:val="0"/>
      <w:marBottom w:val="0"/>
      <w:divBdr>
        <w:top w:val="none" w:sz="0" w:space="0" w:color="auto"/>
        <w:left w:val="none" w:sz="0" w:space="0" w:color="auto"/>
        <w:bottom w:val="none" w:sz="0" w:space="0" w:color="auto"/>
        <w:right w:val="none" w:sz="0" w:space="0" w:color="auto"/>
      </w:divBdr>
    </w:div>
    <w:div w:id="413937685">
      <w:bodyDiv w:val="1"/>
      <w:marLeft w:val="0"/>
      <w:marRight w:val="0"/>
      <w:marTop w:val="0"/>
      <w:marBottom w:val="0"/>
      <w:divBdr>
        <w:top w:val="none" w:sz="0" w:space="0" w:color="auto"/>
        <w:left w:val="none" w:sz="0" w:space="0" w:color="auto"/>
        <w:bottom w:val="none" w:sz="0" w:space="0" w:color="auto"/>
        <w:right w:val="none" w:sz="0" w:space="0" w:color="auto"/>
      </w:divBdr>
    </w:div>
    <w:div w:id="470252636">
      <w:bodyDiv w:val="1"/>
      <w:marLeft w:val="0"/>
      <w:marRight w:val="0"/>
      <w:marTop w:val="0"/>
      <w:marBottom w:val="0"/>
      <w:divBdr>
        <w:top w:val="none" w:sz="0" w:space="0" w:color="auto"/>
        <w:left w:val="none" w:sz="0" w:space="0" w:color="auto"/>
        <w:bottom w:val="none" w:sz="0" w:space="0" w:color="auto"/>
        <w:right w:val="none" w:sz="0" w:space="0" w:color="auto"/>
      </w:divBdr>
    </w:div>
    <w:div w:id="555971610">
      <w:bodyDiv w:val="1"/>
      <w:marLeft w:val="0"/>
      <w:marRight w:val="0"/>
      <w:marTop w:val="0"/>
      <w:marBottom w:val="0"/>
      <w:divBdr>
        <w:top w:val="none" w:sz="0" w:space="0" w:color="auto"/>
        <w:left w:val="none" w:sz="0" w:space="0" w:color="auto"/>
        <w:bottom w:val="none" w:sz="0" w:space="0" w:color="auto"/>
        <w:right w:val="none" w:sz="0" w:space="0" w:color="auto"/>
      </w:divBdr>
    </w:div>
    <w:div w:id="568461933">
      <w:bodyDiv w:val="1"/>
      <w:marLeft w:val="0"/>
      <w:marRight w:val="0"/>
      <w:marTop w:val="0"/>
      <w:marBottom w:val="0"/>
      <w:divBdr>
        <w:top w:val="none" w:sz="0" w:space="0" w:color="auto"/>
        <w:left w:val="none" w:sz="0" w:space="0" w:color="auto"/>
        <w:bottom w:val="none" w:sz="0" w:space="0" w:color="auto"/>
        <w:right w:val="none" w:sz="0" w:space="0" w:color="auto"/>
      </w:divBdr>
    </w:div>
    <w:div w:id="671419858">
      <w:bodyDiv w:val="1"/>
      <w:marLeft w:val="0"/>
      <w:marRight w:val="0"/>
      <w:marTop w:val="0"/>
      <w:marBottom w:val="0"/>
      <w:divBdr>
        <w:top w:val="none" w:sz="0" w:space="0" w:color="auto"/>
        <w:left w:val="none" w:sz="0" w:space="0" w:color="auto"/>
        <w:bottom w:val="none" w:sz="0" w:space="0" w:color="auto"/>
        <w:right w:val="none" w:sz="0" w:space="0" w:color="auto"/>
      </w:divBdr>
    </w:div>
    <w:div w:id="712390692">
      <w:bodyDiv w:val="1"/>
      <w:marLeft w:val="0"/>
      <w:marRight w:val="0"/>
      <w:marTop w:val="0"/>
      <w:marBottom w:val="0"/>
      <w:divBdr>
        <w:top w:val="none" w:sz="0" w:space="0" w:color="auto"/>
        <w:left w:val="none" w:sz="0" w:space="0" w:color="auto"/>
        <w:bottom w:val="none" w:sz="0" w:space="0" w:color="auto"/>
        <w:right w:val="none" w:sz="0" w:space="0" w:color="auto"/>
      </w:divBdr>
    </w:div>
    <w:div w:id="897203307">
      <w:bodyDiv w:val="1"/>
      <w:marLeft w:val="0"/>
      <w:marRight w:val="0"/>
      <w:marTop w:val="0"/>
      <w:marBottom w:val="0"/>
      <w:divBdr>
        <w:top w:val="none" w:sz="0" w:space="0" w:color="auto"/>
        <w:left w:val="none" w:sz="0" w:space="0" w:color="auto"/>
        <w:bottom w:val="none" w:sz="0" w:space="0" w:color="auto"/>
        <w:right w:val="none" w:sz="0" w:space="0" w:color="auto"/>
      </w:divBdr>
    </w:div>
    <w:div w:id="951130234">
      <w:bodyDiv w:val="1"/>
      <w:marLeft w:val="0"/>
      <w:marRight w:val="0"/>
      <w:marTop w:val="0"/>
      <w:marBottom w:val="0"/>
      <w:divBdr>
        <w:top w:val="none" w:sz="0" w:space="0" w:color="auto"/>
        <w:left w:val="none" w:sz="0" w:space="0" w:color="auto"/>
        <w:bottom w:val="none" w:sz="0" w:space="0" w:color="auto"/>
        <w:right w:val="none" w:sz="0" w:space="0" w:color="auto"/>
      </w:divBdr>
    </w:div>
    <w:div w:id="1052116939">
      <w:bodyDiv w:val="1"/>
      <w:marLeft w:val="0"/>
      <w:marRight w:val="0"/>
      <w:marTop w:val="0"/>
      <w:marBottom w:val="0"/>
      <w:divBdr>
        <w:top w:val="none" w:sz="0" w:space="0" w:color="auto"/>
        <w:left w:val="none" w:sz="0" w:space="0" w:color="auto"/>
        <w:bottom w:val="none" w:sz="0" w:space="0" w:color="auto"/>
        <w:right w:val="none" w:sz="0" w:space="0" w:color="auto"/>
      </w:divBdr>
    </w:div>
    <w:div w:id="1110197237">
      <w:bodyDiv w:val="1"/>
      <w:marLeft w:val="0"/>
      <w:marRight w:val="0"/>
      <w:marTop w:val="0"/>
      <w:marBottom w:val="0"/>
      <w:divBdr>
        <w:top w:val="none" w:sz="0" w:space="0" w:color="auto"/>
        <w:left w:val="none" w:sz="0" w:space="0" w:color="auto"/>
        <w:bottom w:val="none" w:sz="0" w:space="0" w:color="auto"/>
        <w:right w:val="none" w:sz="0" w:space="0" w:color="auto"/>
      </w:divBdr>
    </w:div>
    <w:div w:id="1227640980">
      <w:bodyDiv w:val="1"/>
      <w:marLeft w:val="0"/>
      <w:marRight w:val="0"/>
      <w:marTop w:val="0"/>
      <w:marBottom w:val="0"/>
      <w:divBdr>
        <w:top w:val="none" w:sz="0" w:space="0" w:color="auto"/>
        <w:left w:val="none" w:sz="0" w:space="0" w:color="auto"/>
        <w:bottom w:val="none" w:sz="0" w:space="0" w:color="auto"/>
        <w:right w:val="none" w:sz="0" w:space="0" w:color="auto"/>
      </w:divBdr>
    </w:div>
    <w:div w:id="1249265619">
      <w:bodyDiv w:val="1"/>
      <w:marLeft w:val="0"/>
      <w:marRight w:val="0"/>
      <w:marTop w:val="0"/>
      <w:marBottom w:val="0"/>
      <w:divBdr>
        <w:top w:val="none" w:sz="0" w:space="0" w:color="auto"/>
        <w:left w:val="none" w:sz="0" w:space="0" w:color="auto"/>
        <w:bottom w:val="none" w:sz="0" w:space="0" w:color="auto"/>
        <w:right w:val="none" w:sz="0" w:space="0" w:color="auto"/>
      </w:divBdr>
    </w:div>
    <w:div w:id="1338264495">
      <w:bodyDiv w:val="1"/>
      <w:marLeft w:val="0"/>
      <w:marRight w:val="0"/>
      <w:marTop w:val="0"/>
      <w:marBottom w:val="0"/>
      <w:divBdr>
        <w:top w:val="none" w:sz="0" w:space="0" w:color="auto"/>
        <w:left w:val="none" w:sz="0" w:space="0" w:color="auto"/>
        <w:bottom w:val="none" w:sz="0" w:space="0" w:color="auto"/>
        <w:right w:val="none" w:sz="0" w:space="0" w:color="auto"/>
      </w:divBdr>
    </w:div>
    <w:div w:id="1461076255">
      <w:bodyDiv w:val="1"/>
      <w:marLeft w:val="0"/>
      <w:marRight w:val="0"/>
      <w:marTop w:val="0"/>
      <w:marBottom w:val="0"/>
      <w:divBdr>
        <w:top w:val="none" w:sz="0" w:space="0" w:color="auto"/>
        <w:left w:val="none" w:sz="0" w:space="0" w:color="auto"/>
        <w:bottom w:val="none" w:sz="0" w:space="0" w:color="auto"/>
        <w:right w:val="none" w:sz="0" w:space="0" w:color="auto"/>
      </w:divBdr>
    </w:div>
    <w:div w:id="1493061851">
      <w:bodyDiv w:val="1"/>
      <w:marLeft w:val="0"/>
      <w:marRight w:val="0"/>
      <w:marTop w:val="0"/>
      <w:marBottom w:val="0"/>
      <w:divBdr>
        <w:top w:val="none" w:sz="0" w:space="0" w:color="auto"/>
        <w:left w:val="none" w:sz="0" w:space="0" w:color="auto"/>
        <w:bottom w:val="none" w:sz="0" w:space="0" w:color="auto"/>
        <w:right w:val="none" w:sz="0" w:space="0" w:color="auto"/>
      </w:divBdr>
    </w:div>
    <w:div w:id="1499537996">
      <w:bodyDiv w:val="1"/>
      <w:marLeft w:val="0"/>
      <w:marRight w:val="0"/>
      <w:marTop w:val="0"/>
      <w:marBottom w:val="0"/>
      <w:divBdr>
        <w:top w:val="none" w:sz="0" w:space="0" w:color="auto"/>
        <w:left w:val="none" w:sz="0" w:space="0" w:color="auto"/>
        <w:bottom w:val="none" w:sz="0" w:space="0" w:color="auto"/>
        <w:right w:val="none" w:sz="0" w:space="0" w:color="auto"/>
      </w:divBdr>
    </w:div>
    <w:div w:id="1504083603">
      <w:bodyDiv w:val="1"/>
      <w:marLeft w:val="0"/>
      <w:marRight w:val="0"/>
      <w:marTop w:val="0"/>
      <w:marBottom w:val="0"/>
      <w:divBdr>
        <w:top w:val="none" w:sz="0" w:space="0" w:color="auto"/>
        <w:left w:val="none" w:sz="0" w:space="0" w:color="auto"/>
        <w:bottom w:val="none" w:sz="0" w:space="0" w:color="auto"/>
        <w:right w:val="none" w:sz="0" w:space="0" w:color="auto"/>
      </w:divBdr>
    </w:div>
    <w:div w:id="1730834504">
      <w:bodyDiv w:val="1"/>
      <w:marLeft w:val="0"/>
      <w:marRight w:val="0"/>
      <w:marTop w:val="0"/>
      <w:marBottom w:val="0"/>
      <w:divBdr>
        <w:top w:val="none" w:sz="0" w:space="0" w:color="auto"/>
        <w:left w:val="none" w:sz="0" w:space="0" w:color="auto"/>
        <w:bottom w:val="none" w:sz="0" w:space="0" w:color="auto"/>
        <w:right w:val="none" w:sz="0" w:space="0" w:color="auto"/>
      </w:divBdr>
    </w:div>
    <w:div w:id="1971978245">
      <w:bodyDiv w:val="1"/>
      <w:marLeft w:val="0"/>
      <w:marRight w:val="0"/>
      <w:marTop w:val="0"/>
      <w:marBottom w:val="0"/>
      <w:divBdr>
        <w:top w:val="none" w:sz="0" w:space="0" w:color="auto"/>
        <w:left w:val="none" w:sz="0" w:space="0" w:color="auto"/>
        <w:bottom w:val="none" w:sz="0" w:space="0" w:color="auto"/>
        <w:right w:val="none" w:sz="0" w:space="0" w:color="auto"/>
      </w:divBdr>
    </w:div>
    <w:div w:id="1984848696">
      <w:bodyDiv w:val="1"/>
      <w:marLeft w:val="0"/>
      <w:marRight w:val="0"/>
      <w:marTop w:val="0"/>
      <w:marBottom w:val="0"/>
      <w:divBdr>
        <w:top w:val="none" w:sz="0" w:space="0" w:color="auto"/>
        <w:left w:val="none" w:sz="0" w:space="0" w:color="auto"/>
        <w:bottom w:val="none" w:sz="0" w:space="0" w:color="auto"/>
        <w:right w:val="none" w:sz="0" w:space="0" w:color="auto"/>
      </w:divBdr>
    </w:div>
    <w:div w:id="2045864936">
      <w:bodyDiv w:val="1"/>
      <w:marLeft w:val="0"/>
      <w:marRight w:val="0"/>
      <w:marTop w:val="0"/>
      <w:marBottom w:val="0"/>
      <w:divBdr>
        <w:top w:val="none" w:sz="0" w:space="0" w:color="auto"/>
        <w:left w:val="none" w:sz="0" w:space="0" w:color="auto"/>
        <w:bottom w:val="none" w:sz="0" w:space="0" w:color="auto"/>
        <w:right w:val="none" w:sz="0" w:space="0" w:color="auto"/>
      </w:divBdr>
    </w:div>
    <w:div w:id="20836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73</TotalTime>
  <Pages>19</Pages>
  <Words>4933</Words>
  <Characters>34614</Characters>
  <Application>Microsoft Office Word</Application>
  <DocSecurity>0</DocSecurity>
  <Lines>288</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2024081223 var 2 psusa opdat</dc:description>
  <cp:lastModifiedBy>Hanne Thy Iversen</cp:lastModifiedBy>
  <cp:revision>16</cp:revision>
  <cp:lastPrinted>2012-08-22T08:53:00Z</cp:lastPrinted>
  <dcterms:created xsi:type="dcterms:W3CDTF">2024-01-22T08:22:00Z</dcterms:created>
  <dcterms:modified xsi:type="dcterms:W3CDTF">2025-01-17T15:29:00Z</dcterms:modified>
</cp:coreProperties>
</file>