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EF2BEC">
        <w:rPr>
          <w:szCs w:val="24"/>
        </w:rPr>
        <w:t>6. september 2022</w:t>
      </w:r>
      <w:bookmarkStart w:id="0" w:name="_GoBack"/>
      <w:bookmarkEnd w:id="0"/>
    </w:p>
    <w:p w:rsidR="009260DE" w:rsidRPr="00C84483" w:rsidRDefault="009260DE" w:rsidP="009260DE">
      <w:pPr>
        <w:pStyle w:val="Titel"/>
        <w:tabs>
          <w:tab w:val="left" w:pos="8222"/>
        </w:tabs>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C84483" w:rsidRDefault="00DA7BBB" w:rsidP="009260DE">
      <w:pPr>
        <w:jc w:val="center"/>
        <w:rPr>
          <w:b/>
          <w:sz w:val="24"/>
          <w:szCs w:val="24"/>
        </w:rPr>
      </w:pPr>
      <w:r>
        <w:rPr>
          <w:b/>
          <w:sz w:val="24"/>
          <w:szCs w:val="24"/>
        </w:rPr>
        <w:t>Levosimendan "Fresenius Kabi", koncentrat til in</w:t>
      </w:r>
      <w:r w:rsidR="0041031A">
        <w:rPr>
          <w:b/>
          <w:sz w:val="24"/>
          <w:szCs w:val="24"/>
        </w:rPr>
        <w:t>fusi</w:t>
      </w:r>
      <w:r>
        <w:rPr>
          <w:b/>
          <w:sz w:val="24"/>
          <w:szCs w:val="24"/>
        </w:rPr>
        <w:t>onsvæske, opløsning</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DA7BBB" w:rsidP="009260DE">
      <w:pPr>
        <w:tabs>
          <w:tab w:val="left" w:pos="851"/>
        </w:tabs>
        <w:ind w:left="851"/>
        <w:rPr>
          <w:sz w:val="24"/>
          <w:szCs w:val="24"/>
        </w:rPr>
      </w:pPr>
      <w:r>
        <w:rPr>
          <w:sz w:val="24"/>
          <w:szCs w:val="24"/>
        </w:rPr>
        <w:t>32189</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DA7BBB" w:rsidP="009260DE">
      <w:pPr>
        <w:tabs>
          <w:tab w:val="left" w:pos="851"/>
        </w:tabs>
        <w:ind w:left="851"/>
        <w:rPr>
          <w:sz w:val="24"/>
          <w:szCs w:val="24"/>
        </w:rPr>
      </w:pPr>
      <w:r>
        <w:rPr>
          <w:sz w:val="24"/>
          <w:szCs w:val="24"/>
        </w:rPr>
        <w:t>Levosimendan "Fresenius Kabi"</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0C3850" w:rsidRPr="000C3850" w:rsidRDefault="000C3850" w:rsidP="000C3850">
      <w:pPr>
        <w:tabs>
          <w:tab w:val="left" w:pos="851"/>
        </w:tabs>
        <w:ind w:left="851"/>
        <w:rPr>
          <w:sz w:val="24"/>
          <w:szCs w:val="24"/>
        </w:rPr>
      </w:pPr>
      <w:r>
        <w:rPr>
          <w:sz w:val="24"/>
          <w:szCs w:val="24"/>
        </w:rPr>
        <w:t>E</w:t>
      </w:r>
      <w:r w:rsidRPr="000C3850">
        <w:rPr>
          <w:sz w:val="24"/>
          <w:szCs w:val="24"/>
        </w:rPr>
        <w:t>n ml koncentrat indeholder 2,5 mg levosimendan.</w:t>
      </w:r>
    </w:p>
    <w:p w:rsidR="000C3850" w:rsidRPr="000C3850" w:rsidRDefault="000C3850" w:rsidP="000C3850">
      <w:pPr>
        <w:tabs>
          <w:tab w:val="left" w:pos="851"/>
        </w:tabs>
        <w:ind w:left="851"/>
        <w:rPr>
          <w:sz w:val="24"/>
          <w:szCs w:val="24"/>
        </w:rPr>
      </w:pPr>
      <w:r w:rsidRPr="000C3850">
        <w:rPr>
          <w:sz w:val="24"/>
          <w:szCs w:val="24"/>
        </w:rPr>
        <w:t>Et hætteglas med 5 ml indeholder 12,5 mg levosimendan.</w:t>
      </w:r>
    </w:p>
    <w:p w:rsidR="000C3850" w:rsidRPr="000C3850" w:rsidRDefault="000C3850" w:rsidP="000C3850">
      <w:pPr>
        <w:tabs>
          <w:tab w:val="left" w:pos="851"/>
        </w:tabs>
        <w:ind w:left="851"/>
        <w:rPr>
          <w:sz w:val="24"/>
          <w:szCs w:val="24"/>
        </w:rPr>
      </w:pPr>
    </w:p>
    <w:p w:rsidR="00250037" w:rsidRPr="00250037" w:rsidRDefault="000C3850" w:rsidP="000C3850">
      <w:pPr>
        <w:tabs>
          <w:tab w:val="left" w:pos="851"/>
        </w:tabs>
        <w:ind w:left="851"/>
        <w:rPr>
          <w:sz w:val="24"/>
          <w:szCs w:val="24"/>
          <w:u w:val="single"/>
        </w:rPr>
      </w:pPr>
      <w:r w:rsidRPr="00250037">
        <w:rPr>
          <w:sz w:val="24"/>
          <w:szCs w:val="24"/>
          <w:u w:val="single"/>
        </w:rPr>
        <w:t>Hjælpestof, som behandleren skal være opmærksom på</w:t>
      </w:r>
    </w:p>
    <w:p w:rsidR="000C3850" w:rsidRPr="000C3850" w:rsidRDefault="000C3850" w:rsidP="000C3850">
      <w:pPr>
        <w:tabs>
          <w:tab w:val="left" w:pos="851"/>
        </w:tabs>
        <w:ind w:left="851"/>
        <w:rPr>
          <w:sz w:val="24"/>
          <w:szCs w:val="24"/>
        </w:rPr>
      </w:pPr>
      <w:r w:rsidRPr="000C3850">
        <w:rPr>
          <w:sz w:val="24"/>
          <w:szCs w:val="24"/>
        </w:rPr>
        <w:t>Ethanol</w:t>
      </w:r>
      <w:r w:rsidR="00250037">
        <w:rPr>
          <w:sz w:val="24"/>
          <w:szCs w:val="24"/>
        </w:rPr>
        <w:t xml:space="preserve">: </w:t>
      </w:r>
      <w:r w:rsidRPr="000C3850">
        <w:rPr>
          <w:sz w:val="24"/>
          <w:szCs w:val="24"/>
        </w:rPr>
        <w:t>Dette lægemiddel indeholder 785 mg/ml dvs. 98 vol</w:t>
      </w:r>
      <w:r w:rsidR="00E417D4">
        <w:rPr>
          <w:sz w:val="24"/>
          <w:szCs w:val="24"/>
        </w:rPr>
        <w:t xml:space="preserve"> %</w:t>
      </w:r>
      <w:r w:rsidRPr="000C3850">
        <w:rPr>
          <w:sz w:val="24"/>
          <w:szCs w:val="24"/>
        </w:rPr>
        <w:t xml:space="preserve"> ethanol (alkohol).</w:t>
      </w:r>
    </w:p>
    <w:p w:rsidR="000C3850" w:rsidRPr="000C3850" w:rsidRDefault="000C3850" w:rsidP="000C3850">
      <w:pPr>
        <w:tabs>
          <w:tab w:val="left" w:pos="851"/>
        </w:tabs>
        <w:ind w:left="851"/>
        <w:rPr>
          <w:sz w:val="24"/>
          <w:szCs w:val="24"/>
        </w:rPr>
      </w:pPr>
    </w:p>
    <w:p w:rsidR="000C3850" w:rsidRPr="000C3850" w:rsidRDefault="000C3850" w:rsidP="000C3850">
      <w:pPr>
        <w:tabs>
          <w:tab w:val="left" w:pos="851"/>
        </w:tabs>
        <w:ind w:left="851"/>
        <w:rPr>
          <w:sz w:val="24"/>
          <w:szCs w:val="24"/>
        </w:rPr>
      </w:pPr>
      <w:r w:rsidRPr="000C3850">
        <w:rPr>
          <w:sz w:val="24"/>
          <w:szCs w:val="24"/>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DD5FD1" w:rsidRDefault="00DD5FD1" w:rsidP="00DD5FD1">
      <w:pPr>
        <w:tabs>
          <w:tab w:val="left" w:pos="851"/>
        </w:tabs>
        <w:ind w:left="851"/>
        <w:rPr>
          <w:sz w:val="24"/>
          <w:szCs w:val="24"/>
        </w:rPr>
      </w:pPr>
      <w:r w:rsidRPr="00DD5FD1">
        <w:rPr>
          <w:sz w:val="24"/>
          <w:szCs w:val="24"/>
        </w:rPr>
        <w:t>Koncentrat til infusionsvæske, opløsning</w:t>
      </w:r>
    </w:p>
    <w:p w:rsidR="00DD5FD1" w:rsidRPr="00DD5FD1" w:rsidRDefault="00DD5FD1" w:rsidP="00DD5FD1">
      <w:pPr>
        <w:tabs>
          <w:tab w:val="left" w:pos="851"/>
        </w:tabs>
        <w:ind w:left="851"/>
        <w:rPr>
          <w:sz w:val="24"/>
          <w:szCs w:val="24"/>
        </w:rPr>
      </w:pPr>
    </w:p>
    <w:p w:rsidR="00DD5FD1" w:rsidRPr="00DD5FD1" w:rsidRDefault="00DD5FD1" w:rsidP="00DD5FD1">
      <w:pPr>
        <w:tabs>
          <w:tab w:val="left" w:pos="851"/>
        </w:tabs>
        <w:ind w:left="851"/>
        <w:rPr>
          <w:sz w:val="24"/>
          <w:szCs w:val="24"/>
        </w:rPr>
      </w:pPr>
      <w:r w:rsidRPr="00DD5FD1">
        <w:rPr>
          <w:sz w:val="24"/>
          <w:szCs w:val="24"/>
        </w:rPr>
        <w:t>Koncentratet er en klar gul eller orange opløsning til fortynding før administration.</w:t>
      </w:r>
    </w:p>
    <w:p w:rsidR="00DD5FD1" w:rsidRPr="00DD5FD1" w:rsidRDefault="00DD5FD1" w:rsidP="00DD5FD1">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DD5FD1" w:rsidRDefault="00DD5FD1" w:rsidP="00DD5FD1">
      <w:pPr>
        <w:autoSpaceDE w:val="0"/>
        <w:autoSpaceDN w:val="0"/>
        <w:adjustRightInd w:val="0"/>
        <w:ind w:left="851" w:hanging="851"/>
        <w:rPr>
          <w:sz w:val="24"/>
          <w:szCs w:val="24"/>
          <w:lang w:eastAsia="da-DK"/>
        </w:rPr>
      </w:pPr>
      <w:r>
        <w:rPr>
          <w:sz w:val="24"/>
          <w:szCs w:val="24"/>
        </w:rPr>
        <w:tab/>
      </w:r>
      <w:r w:rsidR="00C04FD6">
        <w:rPr>
          <w:sz w:val="24"/>
          <w:szCs w:val="24"/>
        </w:rPr>
        <w:t>Levosimendan "Fresenius Kabi"</w:t>
      </w:r>
      <w:r>
        <w:rPr>
          <w:sz w:val="24"/>
          <w:szCs w:val="24"/>
          <w:lang w:eastAsia="da-DK"/>
        </w:rPr>
        <w:t xml:space="preserve"> er indiceret til korttidsbehandling af akut dekompenseret, svær kronisk hjertesvigt (ADHF) i situationer, hvor konventionel terapi ikke er tilstrækkelig, og ved tilfælde hvor inotropisk støtte er vurderet at være hensigtsmæssig (se pkt. 5.1).</w:t>
      </w:r>
    </w:p>
    <w:p w:rsidR="00DD5FD1" w:rsidRDefault="00DD5FD1" w:rsidP="00DD5FD1">
      <w:pPr>
        <w:suppressAutoHyphens/>
        <w:ind w:left="851" w:hanging="851"/>
        <w:rPr>
          <w:sz w:val="24"/>
          <w:szCs w:val="24"/>
          <w:lang w:eastAsia="da-DK"/>
        </w:rPr>
      </w:pPr>
    </w:p>
    <w:p w:rsidR="00DD5FD1" w:rsidRDefault="00C04FD6" w:rsidP="00DD5FD1">
      <w:pPr>
        <w:suppressAutoHyphens/>
        <w:ind w:left="851"/>
        <w:rPr>
          <w:sz w:val="24"/>
          <w:szCs w:val="24"/>
          <w:lang w:eastAsia="da-DK"/>
        </w:rPr>
      </w:pPr>
      <w:r>
        <w:rPr>
          <w:sz w:val="24"/>
          <w:szCs w:val="24"/>
          <w:lang w:eastAsia="da-DK"/>
        </w:rPr>
        <w:t>Levosimendan "Fresenius Kabi"</w:t>
      </w:r>
      <w:r w:rsidR="00DD5FD1">
        <w:rPr>
          <w:sz w:val="24"/>
          <w:szCs w:val="24"/>
          <w:lang w:eastAsia="da-DK"/>
        </w:rPr>
        <w:t xml:space="preserve"> er indiceret til voksne.</w:t>
      </w:r>
    </w:p>
    <w:p w:rsidR="00277310" w:rsidRDefault="00277310">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Dosering og indgivelsesmåde</w:t>
      </w:r>
    </w:p>
    <w:p w:rsidR="00C04FD6" w:rsidRDefault="00C04FD6" w:rsidP="00277310">
      <w:pPr>
        <w:autoSpaceDE w:val="0"/>
        <w:autoSpaceDN w:val="0"/>
        <w:adjustRightInd w:val="0"/>
        <w:ind w:left="851"/>
        <w:rPr>
          <w:sz w:val="24"/>
          <w:szCs w:val="24"/>
          <w:lang w:eastAsia="da-DK"/>
        </w:rPr>
      </w:pPr>
      <w:r>
        <w:rPr>
          <w:sz w:val="24"/>
          <w:szCs w:val="24"/>
          <w:lang w:eastAsia="da-DK"/>
        </w:rPr>
        <w:t>Levosimendan "Fresenius Kabi" er kun til brug på et hospital. Det bør administreres i et sygehusmiljø, hvor egnet overvågningsudstyr og ekspertise i brug af inotrope midler er tilgængelige.</w:t>
      </w:r>
    </w:p>
    <w:p w:rsidR="00C04FD6" w:rsidRDefault="00C04FD6" w:rsidP="00277310">
      <w:pPr>
        <w:autoSpaceDE w:val="0"/>
        <w:autoSpaceDN w:val="0"/>
        <w:adjustRightInd w:val="0"/>
        <w:ind w:left="851"/>
        <w:rPr>
          <w:sz w:val="24"/>
          <w:szCs w:val="24"/>
          <w:lang w:eastAsia="da-DK"/>
        </w:rPr>
      </w:pPr>
    </w:p>
    <w:p w:rsidR="00C04FD6" w:rsidRDefault="00C04FD6" w:rsidP="00277310">
      <w:pPr>
        <w:autoSpaceDE w:val="0"/>
        <w:autoSpaceDN w:val="0"/>
        <w:adjustRightInd w:val="0"/>
        <w:ind w:left="851"/>
        <w:rPr>
          <w:sz w:val="24"/>
          <w:szCs w:val="24"/>
          <w:u w:val="single"/>
          <w:lang w:eastAsia="da-DK"/>
        </w:rPr>
      </w:pPr>
      <w:r>
        <w:rPr>
          <w:sz w:val="24"/>
          <w:szCs w:val="24"/>
          <w:u w:val="single"/>
          <w:lang w:eastAsia="da-DK"/>
        </w:rPr>
        <w:t>Dosering</w:t>
      </w:r>
    </w:p>
    <w:p w:rsidR="00C04FD6" w:rsidRDefault="00C04FD6" w:rsidP="00277310">
      <w:pPr>
        <w:autoSpaceDE w:val="0"/>
        <w:autoSpaceDN w:val="0"/>
        <w:adjustRightInd w:val="0"/>
        <w:ind w:left="851"/>
        <w:rPr>
          <w:sz w:val="24"/>
          <w:szCs w:val="24"/>
          <w:lang w:eastAsia="da-DK"/>
        </w:rPr>
      </w:pPr>
      <w:r>
        <w:rPr>
          <w:sz w:val="24"/>
          <w:szCs w:val="24"/>
          <w:lang w:eastAsia="da-DK"/>
        </w:rPr>
        <w:t>Dosis og varighed af behandlingen er individuel alt efter patientens kliniske tilstand og respons.</w:t>
      </w:r>
    </w:p>
    <w:p w:rsidR="00C04FD6" w:rsidRDefault="00C04FD6" w:rsidP="00277310">
      <w:pPr>
        <w:autoSpaceDE w:val="0"/>
        <w:autoSpaceDN w:val="0"/>
        <w:adjustRightInd w:val="0"/>
        <w:ind w:left="851"/>
        <w:rPr>
          <w:sz w:val="24"/>
          <w:szCs w:val="24"/>
          <w:lang w:eastAsia="da-DK"/>
        </w:rPr>
      </w:pPr>
    </w:p>
    <w:p w:rsidR="00C04FD6" w:rsidRDefault="00C04FD6" w:rsidP="00277310">
      <w:pPr>
        <w:autoSpaceDE w:val="0"/>
        <w:autoSpaceDN w:val="0"/>
        <w:adjustRightInd w:val="0"/>
        <w:ind w:left="851"/>
        <w:rPr>
          <w:sz w:val="24"/>
          <w:szCs w:val="24"/>
          <w:lang w:eastAsia="da-DK"/>
        </w:rPr>
      </w:pPr>
      <w:r>
        <w:rPr>
          <w:sz w:val="24"/>
          <w:szCs w:val="24"/>
          <w:lang w:eastAsia="da-DK"/>
        </w:rPr>
        <w:t xml:space="preserve">Behandlingen bør initieres med en støddosis på 6-12 mikrogram/kg over 10 minutter efterfulgt af en kontinuerlig infusion på 0,1 mikrogram/kg/minut (se pkt. 5.1). </w:t>
      </w:r>
    </w:p>
    <w:p w:rsidR="00C04FD6" w:rsidRDefault="00C04FD6" w:rsidP="00277310">
      <w:pPr>
        <w:autoSpaceDE w:val="0"/>
        <w:autoSpaceDN w:val="0"/>
        <w:adjustRightInd w:val="0"/>
        <w:ind w:left="851"/>
        <w:rPr>
          <w:sz w:val="24"/>
          <w:szCs w:val="24"/>
          <w:lang w:eastAsia="da-DK"/>
        </w:rPr>
      </w:pPr>
    </w:p>
    <w:p w:rsidR="00C04FD6" w:rsidRDefault="00C04FD6" w:rsidP="00277310">
      <w:pPr>
        <w:autoSpaceDE w:val="0"/>
        <w:autoSpaceDN w:val="0"/>
        <w:adjustRightInd w:val="0"/>
        <w:ind w:left="851"/>
        <w:rPr>
          <w:sz w:val="24"/>
          <w:szCs w:val="24"/>
          <w:lang w:eastAsia="da-DK"/>
        </w:rPr>
      </w:pPr>
      <w:r>
        <w:rPr>
          <w:sz w:val="24"/>
          <w:szCs w:val="24"/>
          <w:lang w:eastAsia="da-DK"/>
        </w:rPr>
        <w:t xml:space="preserve">Den laveste støddosis på 6 mikrogram/kg anbefales til patienter, som samtidig får intravenøse vasodilatorer eller inotrope lægemidler intravenøst eller begge dele i starten af infusionen. </w:t>
      </w:r>
    </w:p>
    <w:p w:rsidR="00C04FD6" w:rsidRDefault="00C04FD6" w:rsidP="00277310">
      <w:pPr>
        <w:autoSpaceDE w:val="0"/>
        <w:autoSpaceDN w:val="0"/>
        <w:adjustRightInd w:val="0"/>
        <w:ind w:left="851"/>
        <w:rPr>
          <w:sz w:val="24"/>
          <w:szCs w:val="24"/>
          <w:lang w:eastAsia="da-DK"/>
        </w:rPr>
      </w:pPr>
    </w:p>
    <w:p w:rsidR="00C04FD6" w:rsidRDefault="00C04FD6" w:rsidP="00277310">
      <w:pPr>
        <w:autoSpaceDE w:val="0"/>
        <w:autoSpaceDN w:val="0"/>
        <w:adjustRightInd w:val="0"/>
        <w:ind w:left="851"/>
        <w:rPr>
          <w:sz w:val="24"/>
          <w:szCs w:val="24"/>
          <w:lang w:eastAsia="da-DK"/>
        </w:rPr>
      </w:pPr>
      <w:r>
        <w:rPr>
          <w:sz w:val="24"/>
          <w:szCs w:val="24"/>
          <w:lang w:eastAsia="da-DK"/>
        </w:rPr>
        <w:t xml:space="preserve">Højere støddoser inden for dette område vil producere et stærkere hæmodynamisk respons, men kan være forbundet med en forbigående forhøjet forekomst af bivirkninger. </w:t>
      </w:r>
    </w:p>
    <w:p w:rsidR="00C04FD6" w:rsidRDefault="00C04FD6" w:rsidP="00277310">
      <w:pPr>
        <w:autoSpaceDE w:val="0"/>
        <w:autoSpaceDN w:val="0"/>
        <w:adjustRightInd w:val="0"/>
        <w:ind w:left="851"/>
        <w:rPr>
          <w:sz w:val="24"/>
          <w:szCs w:val="24"/>
          <w:lang w:eastAsia="da-DK"/>
        </w:rPr>
      </w:pPr>
    </w:p>
    <w:p w:rsidR="00C04FD6" w:rsidRDefault="00C04FD6" w:rsidP="00277310">
      <w:pPr>
        <w:autoSpaceDE w:val="0"/>
        <w:autoSpaceDN w:val="0"/>
        <w:adjustRightInd w:val="0"/>
        <w:ind w:left="851"/>
        <w:rPr>
          <w:sz w:val="24"/>
          <w:szCs w:val="24"/>
          <w:lang w:eastAsia="da-DK"/>
        </w:rPr>
      </w:pPr>
      <w:r>
        <w:rPr>
          <w:sz w:val="24"/>
          <w:szCs w:val="24"/>
          <w:lang w:eastAsia="da-DK"/>
        </w:rPr>
        <w:t xml:space="preserve">Patientens respons bør vurderes med støddosis eller inden for 30 til 60 minutter efter dosisjustering og som klinisk indiceret. </w:t>
      </w:r>
    </w:p>
    <w:p w:rsidR="00C04FD6" w:rsidRDefault="00C04FD6" w:rsidP="00277310">
      <w:pPr>
        <w:autoSpaceDE w:val="0"/>
        <w:autoSpaceDN w:val="0"/>
        <w:adjustRightInd w:val="0"/>
        <w:ind w:left="851"/>
        <w:rPr>
          <w:sz w:val="24"/>
          <w:szCs w:val="24"/>
          <w:lang w:eastAsia="da-DK"/>
        </w:rPr>
      </w:pPr>
    </w:p>
    <w:p w:rsidR="00C04FD6" w:rsidRDefault="00C04FD6" w:rsidP="00277310">
      <w:pPr>
        <w:autoSpaceDE w:val="0"/>
        <w:autoSpaceDN w:val="0"/>
        <w:adjustRightInd w:val="0"/>
        <w:ind w:left="851"/>
        <w:rPr>
          <w:sz w:val="24"/>
          <w:szCs w:val="24"/>
          <w:lang w:eastAsia="da-DK"/>
        </w:rPr>
      </w:pPr>
      <w:r>
        <w:rPr>
          <w:sz w:val="24"/>
          <w:szCs w:val="24"/>
          <w:lang w:eastAsia="da-DK"/>
        </w:rPr>
        <w:t xml:space="preserve">Hvis responset synes for kraftigt (hypotension, takykardi), kan infusionshastigheden sættes ned til 0,05 mikrogram/kg/minut eller afbrydes (se pkt. 4.4). </w:t>
      </w:r>
    </w:p>
    <w:p w:rsidR="00C04FD6" w:rsidRDefault="00C04FD6" w:rsidP="00277310">
      <w:pPr>
        <w:autoSpaceDE w:val="0"/>
        <w:autoSpaceDN w:val="0"/>
        <w:adjustRightInd w:val="0"/>
        <w:ind w:left="851"/>
        <w:rPr>
          <w:sz w:val="24"/>
          <w:szCs w:val="24"/>
          <w:lang w:eastAsia="da-DK"/>
        </w:rPr>
      </w:pPr>
    </w:p>
    <w:p w:rsidR="00C04FD6" w:rsidRDefault="00C04FD6" w:rsidP="00277310">
      <w:pPr>
        <w:autoSpaceDE w:val="0"/>
        <w:autoSpaceDN w:val="0"/>
        <w:adjustRightInd w:val="0"/>
        <w:ind w:left="851"/>
        <w:rPr>
          <w:sz w:val="24"/>
          <w:szCs w:val="24"/>
          <w:lang w:eastAsia="da-DK"/>
        </w:rPr>
      </w:pPr>
      <w:r>
        <w:rPr>
          <w:sz w:val="24"/>
          <w:szCs w:val="24"/>
          <w:lang w:eastAsia="da-DK"/>
        </w:rPr>
        <w:t>Hvis den initiale dosis tolereres og en øget hæmodynamisk virkning er ønsket, kan infusionshastigheden øges til 0,2</w:t>
      </w:r>
      <w:r>
        <w:rPr>
          <w:sz w:val="24"/>
          <w:szCs w:val="24"/>
        </w:rPr>
        <w:t> </w:t>
      </w:r>
      <w:r>
        <w:rPr>
          <w:sz w:val="24"/>
          <w:szCs w:val="24"/>
          <w:lang w:eastAsia="da-DK"/>
        </w:rPr>
        <w:t>mikrogram/kg/minut.</w:t>
      </w:r>
    </w:p>
    <w:p w:rsidR="00C04FD6" w:rsidRDefault="00C04FD6" w:rsidP="00277310">
      <w:pPr>
        <w:autoSpaceDE w:val="0"/>
        <w:autoSpaceDN w:val="0"/>
        <w:adjustRightInd w:val="0"/>
        <w:ind w:left="851"/>
        <w:rPr>
          <w:sz w:val="24"/>
          <w:szCs w:val="24"/>
        </w:rPr>
      </w:pPr>
    </w:p>
    <w:p w:rsidR="00C04FD6" w:rsidRDefault="00C04FD6" w:rsidP="00277310">
      <w:pPr>
        <w:autoSpaceDE w:val="0"/>
        <w:autoSpaceDN w:val="0"/>
        <w:adjustRightInd w:val="0"/>
        <w:ind w:left="851"/>
        <w:rPr>
          <w:sz w:val="24"/>
          <w:szCs w:val="24"/>
          <w:lang w:eastAsia="da-DK"/>
        </w:rPr>
      </w:pPr>
      <w:r>
        <w:rPr>
          <w:sz w:val="24"/>
          <w:szCs w:val="24"/>
          <w:lang w:eastAsia="da-DK"/>
        </w:rPr>
        <w:t xml:space="preserve">Til patienter med akut dekompensering af svær kronisk hjertesvigt anbefales det, at infusionen varer i 24 timer. </w:t>
      </w:r>
    </w:p>
    <w:p w:rsidR="00C04FD6" w:rsidRDefault="00C04FD6" w:rsidP="00277310">
      <w:pPr>
        <w:autoSpaceDE w:val="0"/>
        <w:autoSpaceDN w:val="0"/>
        <w:adjustRightInd w:val="0"/>
        <w:ind w:left="851"/>
        <w:rPr>
          <w:sz w:val="24"/>
          <w:szCs w:val="24"/>
          <w:lang w:eastAsia="da-DK"/>
        </w:rPr>
      </w:pPr>
    </w:p>
    <w:p w:rsidR="00C04FD6" w:rsidRDefault="00C04FD6" w:rsidP="00277310">
      <w:pPr>
        <w:autoSpaceDE w:val="0"/>
        <w:autoSpaceDN w:val="0"/>
        <w:adjustRightInd w:val="0"/>
        <w:ind w:left="851"/>
        <w:rPr>
          <w:sz w:val="24"/>
          <w:szCs w:val="24"/>
          <w:lang w:eastAsia="da-DK"/>
        </w:rPr>
      </w:pPr>
      <w:r>
        <w:rPr>
          <w:sz w:val="24"/>
          <w:szCs w:val="24"/>
          <w:lang w:eastAsia="da-DK"/>
        </w:rPr>
        <w:t xml:space="preserve">Der er ikke observeret tegn på udvikling af tolerans eller reboundvirkning efter afbrydelse af levosimendaninfusion. </w:t>
      </w:r>
    </w:p>
    <w:p w:rsidR="00C04FD6" w:rsidRDefault="00C04FD6" w:rsidP="00277310">
      <w:pPr>
        <w:autoSpaceDE w:val="0"/>
        <w:autoSpaceDN w:val="0"/>
        <w:adjustRightInd w:val="0"/>
        <w:ind w:left="851"/>
        <w:rPr>
          <w:sz w:val="24"/>
          <w:szCs w:val="24"/>
          <w:lang w:eastAsia="da-DK"/>
        </w:rPr>
      </w:pPr>
    </w:p>
    <w:p w:rsidR="00C04FD6" w:rsidRDefault="00C04FD6" w:rsidP="00277310">
      <w:pPr>
        <w:autoSpaceDE w:val="0"/>
        <w:autoSpaceDN w:val="0"/>
        <w:adjustRightInd w:val="0"/>
        <w:ind w:left="851"/>
        <w:rPr>
          <w:sz w:val="24"/>
          <w:szCs w:val="24"/>
          <w:lang w:eastAsia="da-DK"/>
        </w:rPr>
      </w:pPr>
      <w:r>
        <w:rPr>
          <w:sz w:val="24"/>
          <w:szCs w:val="24"/>
          <w:lang w:eastAsia="da-DK"/>
        </w:rPr>
        <w:t>Den hæmodynamiske virkning varer i mindst 24 timer og kan ses i op til 9 dage efter en afsluttet 24-timers infusion (se pkt. 4.4).</w:t>
      </w:r>
    </w:p>
    <w:p w:rsidR="00C04FD6" w:rsidRDefault="00C04FD6" w:rsidP="00277310">
      <w:pPr>
        <w:autoSpaceDE w:val="0"/>
        <w:autoSpaceDN w:val="0"/>
        <w:adjustRightInd w:val="0"/>
        <w:ind w:left="851"/>
        <w:rPr>
          <w:sz w:val="24"/>
          <w:szCs w:val="24"/>
          <w:lang w:eastAsia="da-DK"/>
        </w:rPr>
      </w:pPr>
    </w:p>
    <w:p w:rsidR="00C04FD6" w:rsidRDefault="00C04FD6" w:rsidP="00277310">
      <w:pPr>
        <w:autoSpaceDE w:val="0"/>
        <w:autoSpaceDN w:val="0"/>
        <w:adjustRightInd w:val="0"/>
        <w:ind w:left="851"/>
        <w:rPr>
          <w:sz w:val="24"/>
          <w:szCs w:val="24"/>
          <w:lang w:eastAsia="da-DK"/>
        </w:rPr>
      </w:pPr>
      <w:r>
        <w:rPr>
          <w:sz w:val="24"/>
          <w:szCs w:val="24"/>
          <w:lang w:eastAsia="da-DK"/>
        </w:rPr>
        <w:t>Erfaring med gentagen administration af levosimendan er begrænset. Erfaring med samtidig brug af vasoaktive lægemidler, herunder inotrope lægemidler (undtagen digoxin), er begrænset. I REVIVE (Randomized Multicenter Evaluation of Intravenous Levosimendan Efficacy) programmet blev en lavere støddosis (6 mikrogram/kg) administreret samtidig med vasoaktive lægemidler ved baseline (se pkt. 4.4, 4.5 og 5.1).</w:t>
      </w:r>
    </w:p>
    <w:p w:rsidR="00C04FD6" w:rsidRDefault="00C04FD6" w:rsidP="00277310">
      <w:pPr>
        <w:autoSpaceDE w:val="0"/>
        <w:autoSpaceDN w:val="0"/>
        <w:adjustRightInd w:val="0"/>
        <w:ind w:left="851"/>
        <w:rPr>
          <w:sz w:val="24"/>
          <w:szCs w:val="24"/>
          <w:lang w:eastAsia="da-DK"/>
        </w:rPr>
      </w:pPr>
    </w:p>
    <w:p w:rsidR="00C04FD6" w:rsidRDefault="00C04FD6" w:rsidP="00277310">
      <w:pPr>
        <w:autoSpaceDE w:val="0"/>
        <w:autoSpaceDN w:val="0"/>
        <w:adjustRightInd w:val="0"/>
        <w:ind w:left="851"/>
        <w:rPr>
          <w:sz w:val="24"/>
          <w:szCs w:val="24"/>
          <w:lang w:eastAsia="da-DK"/>
        </w:rPr>
      </w:pPr>
      <w:r>
        <w:rPr>
          <w:i/>
          <w:sz w:val="24"/>
          <w:szCs w:val="24"/>
          <w:lang w:eastAsia="da-DK"/>
        </w:rPr>
        <w:t>Monitorering af behandling</w:t>
      </w:r>
    </w:p>
    <w:p w:rsidR="00C04FD6" w:rsidRDefault="00C04FD6" w:rsidP="00277310">
      <w:pPr>
        <w:autoSpaceDE w:val="0"/>
        <w:autoSpaceDN w:val="0"/>
        <w:adjustRightInd w:val="0"/>
        <w:ind w:left="851"/>
        <w:rPr>
          <w:sz w:val="24"/>
          <w:szCs w:val="24"/>
          <w:lang w:eastAsia="da-DK"/>
        </w:rPr>
      </w:pPr>
      <w:r>
        <w:rPr>
          <w:sz w:val="24"/>
          <w:szCs w:val="24"/>
          <w:lang w:eastAsia="da-DK"/>
        </w:rPr>
        <w:t>I henhold til gældende medicinsk praksis skal EKG, blodtryk og hjertefrekvens overvåges i løbet af behandlingen og diuresen skal måles. Det anbefales at overvåge disse parametre i mindst 3 dage efter afsluttet infusion, eller indtil patienten er klinisk stabil (se pkt. 4.4). For patienter med let til moderat nedsat nyre- eller leverfunktion anbefales overvågning i mindst 5 dage.</w:t>
      </w:r>
    </w:p>
    <w:p w:rsidR="00C04FD6" w:rsidRDefault="00C04FD6" w:rsidP="00277310">
      <w:pPr>
        <w:autoSpaceDE w:val="0"/>
        <w:autoSpaceDN w:val="0"/>
        <w:adjustRightInd w:val="0"/>
        <w:ind w:left="851"/>
        <w:rPr>
          <w:sz w:val="24"/>
          <w:szCs w:val="24"/>
          <w:lang w:eastAsia="da-DK"/>
        </w:rPr>
      </w:pPr>
    </w:p>
    <w:p w:rsidR="00C04FD6" w:rsidRDefault="00C04FD6" w:rsidP="00277310">
      <w:pPr>
        <w:autoSpaceDE w:val="0"/>
        <w:autoSpaceDN w:val="0"/>
        <w:adjustRightInd w:val="0"/>
        <w:ind w:left="851"/>
        <w:rPr>
          <w:sz w:val="24"/>
          <w:szCs w:val="24"/>
          <w:lang w:eastAsia="da-DK"/>
        </w:rPr>
      </w:pPr>
    </w:p>
    <w:p w:rsidR="00C04FD6" w:rsidRDefault="00C04FD6" w:rsidP="00277310">
      <w:pPr>
        <w:autoSpaceDE w:val="0"/>
        <w:autoSpaceDN w:val="0"/>
        <w:adjustRightInd w:val="0"/>
        <w:ind w:left="851"/>
        <w:rPr>
          <w:i/>
          <w:sz w:val="24"/>
          <w:szCs w:val="24"/>
          <w:lang w:eastAsia="da-DK"/>
        </w:rPr>
      </w:pPr>
      <w:r>
        <w:rPr>
          <w:i/>
          <w:sz w:val="24"/>
          <w:szCs w:val="24"/>
          <w:lang w:eastAsia="da-DK"/>
        </w:rPr>
        <w:t>Ældre patienter</w:t>
      </w:r>
    </w:p>
    <w:p w:rsidR="00C04FD6" w:rsidRDefault="00C04FD6" w:rsidP="00277310">
      <w:pPr>
        <w:autoSpaceDE w:val="0"/>
        <w:autoSpaceDN w:val="0"/>
        <w:adjustRightInd w:val="0"/>
        <w:ind w:left="851"/>
        <w:rPr>
          <w:sz w:val="24"/>
          <w:szCs w:val="24"/>
          <w:lang w:eastAsia="da-DK"/>
        </w:rPr>
      </w:pPr>
      <w:r>
        <w:rPr>
          <w:sz w:val="24"/>
          <w:szCs w:val="24"/>
          <w:lang w:eastAsia="da-DK"/>
        </w:rPr>
        <w:t>Dosisjustering er ikke nødvendig hos ældre patienter.</w:t>
      </w:r>
    </w:p>
    <w:p w:rsidR="00C04FD6" w:rsidRDefault="00C04FD6" w:rsidP="00277310">
      <w:pPr>
        <w:autoSpaceDE w:val="0"/>
        <w:autoSpaceDN w:val="0"/>
        <w:adjustRightInd w:val="0"/>
        <w:ind w:left="851"/>
        <w:rPr>
          <w:sz w:val="24"/>
          <w:szCs w:val="24"/>
          <w:lang w:eastAsia="da-DK"/>
        </w:rPr>
      </w:pPr>
    </w:p>
    <w:p w:rsidR="00C04FD6" w:rsidRDefault="00C04FD6" w:rsidP="00277310">
      <w:pPr>
        <w:autoSpaceDE w:val="0"/>
        <w:autoSpaceDN w:val="0"/>
        <w:adjustRightInd w:val="0"/>
        <w:ind w:left="851"/>
        <w:rPr>
          <w:i/>
          <w:sz w:val="24"/>
          <w:szCs w:val="24"/>
          <w:lang w:eastAsia="da-DK"/>
        </w:rPr>
      </w:pPr>
      <w:r>
        <w:rPr>
          <w:i/>
          <w:sz w:val="24"/>
          <w:szCs w:val="24"/>
          <w:lang w:eastAsia="da-DK"/>
        </w:rPr>
        <w:t>Nedsat nyrefunktion</w:t>
      </w:r>
    </w:p>
    <w:p w:rsidR="00C04FD6" w:rsidRDefault="00C04FD6" w:rsidP="00277310">
      <w:pPr>
        <w:autoSpaceDE w:val="0"/>
        <w:autoSpaceDN w:val="0"/>
        <w:adjustRightInd w:val="0"/>
        <w:ind w:left="851"/>
        <w:rPr>
          <w:sz w:val="24"/>
          <w:szCs w:val="24"/>
          <w:lang w:eastAsia="da-DK"/>
        </w:rPr>
      </w:pPr>
      <w:r>
        <w:rPr>
          <w:sz w:val="24"/>
          <w:szCs w:val="24"/>
          <w:lang w:eastAsia="da-DK"/>
        </w:rPr>
        <w:t>Levosimendan "Fresenius Kabi" skal anvendes med forsigtighed til patienter med let til moderat nedsat nyrefunktion.</w:t>
      </w:r>
    </w:p>
    <w:p w:rsidR="00C04FD6" w:rsidRDefault="00C04FD6" w:rsidP="00277310">
      <w:pPr>
        <w:autoSpaceDE w:val="0"/>
        <w:autoSpaceDN w:val="0"/>
        <w:adjustRightInd w:val="0"/>
        <w:ind w:left="851"/>
        <w:rPr>
          <w:sz w:val="24"/>
          <w:szCs w:val="24"/>
          <w:lang w:eastAsia="da-DK"/>
        </w:rPr>
      </w:pPr>
      <w:r>
        <w:rPr>
          <w:sz w:val="24"/>
          <w:szCs w:val="24"/>
          <w:lang w:eastAsia="da-DK"/>
        </w:rPr>
        <w:t>Levosimendan "Fresenius Kabi" bør ikke bruges til patienter med svær nyresvigt (kreatininclearance &lt;30 ml/min) (se pkt. 4.3, 4.4 og 5.2).</w:t>
      </w:r>
    </w:p>
    <w:p w:rsidR="00C04FD6" w:rsidRDefault="00C04FD6" w:rsidP="00277310">
      <w:pPr>
        <w:autoSpaceDE w:val="0"/>
        <w:autoSpaceDN w:val="0"/>
        <w:adjustRightInd w:val="0"/>
        <w:ind w:left="851"/>
        <w:rPr>
          <w:sz w:val="24"/>
          <w:szCs w:val="24"/>
          <w:lang w:eastAsia="da-DK"/>
        </w:rPr>
      </w:pPr>
    </w:p>
    <w:p w:rsidR="00C04FD6" w:rsidRDefault="00C04FD6" w:rsidP="00277310">
      <w:pPr>
        <w:autoSpaceDE w:val="0"/>
        <w:autoSpaceDN w:val="0"/>
        <w:adjustRightInd w:val="0"/>
        <w:ind w:left="851"/>
        <w:rPr>
          <w:i/>
          <w:sz w:val="24"/>
          <w:szCs w:val="24"/>
          <w:lang w:eastAsia="da-DK"/>
        </w:rPr>
      </w:pPr>
      <w:r>
        <w:rPr>
          <w:i/>
          <w:sz w:val="24"/>
          <w:szCs w:val="24"/>
          <w:lang w:eastAsia="da-DK"/>
        </w:rPr>
        <w:t>Nedsat leverfunktion</w:t>
      </w:r>
    </w:p>
    <w:p w:rsidR="00C04FD6" w:rsidRDefault="00C04FD6" w:rsidP="00277310">
      <w:pPr>
        <w:autoSpaceDE w:val="0"/>
        <w:autoSpaceDN w:val="0"/>
        <w:adjustRightInd w:val="0"/>
        <w:ind w:left="851"/>
        <w:rPr>
          <w:sz w:val="24"/>
          <w:szCs w:val="24"/>
          <w:lang w:eastAsia="da-DK"/>
        </w:rPr>
      </w:pPr>
      <w:r>
        <w:rPr>
          <w:sz w:val="24"/>
          <w:szCs w:val="24"/>
          <w:lang w:eastAsia="da-DK"/>
        </w:rPr>
        <w:t>Levosimendan "Fresenius Kabi" skal anvendes med forsigtighed til patienter med let til moderat nedsat leverfunktion, selvom dosisjustering ikke synes at være nødvendig hos disse patienter. Levosimendan "Fresenius Kabi" bør ikke bruges til patienter med svær leversvigt (se pkt. 4.3, 4.4 og 5.2).</w:t>
      </w:r>
    </w:p>
    <w:p w:rsidR="00C04FD6" w:rsidRDefault="00C04FD6" w:rsidP="00277310">
      <w:pPr>
        <w:autoSpaceDE w:val="0"/>
        <w:autoSpaceDN w:val="0"/>
        <w:adjustRightInd w:val="0"/>
        <w:ind w:left="851"/>
        <w:rPr>
          <w:sz w:val="24"/>
          <w:szCs w:val="24"/>
          <w:lang w:eastAsia="da-DK"/>
        </w:rPr>
      </w:pPr>
    </w:p>
    <w:p w:rsidR="00C04FD6" w:rsidRDefault="00C04FD6" w:rsidP="00277310">
      <w:pPr>
        <w:autoSpaceDE w:val="0"/>
        <w:autoSpaceDN w:val="0"/>
        <w:adjustRightInd w:val="0"/>
        <w:ind w:left="851"/>
        <w:rPr>
          <w:i/>
          <w:sz w:val="24"/>
          <w:szCs w:val="24"/>
          <w:lang w:eastAsia="da-DK"/>
        </w:rPr>
      </w:pPr>
      <w:r>
        <w:rPr>
          <w:i/>
          <w:sz w:val="24"/>
          <w:szCs w:val="24"/>
          <w:lang w:eastAsia="da-DK"/>
        </w:rPr>
        <w:t>Pædiatrisk population</w:t>
      </w:r>
    </w:p>
    <w:p w:rsidR="00C04FD6" w:rsidRDefault="00C04FD6" w:rsidP="00277310">
      <w:pPr>
        <w:autoSpaceDE w:val="0"/>
        <w:autoSpaceDN w:val="0"/>
        <w:adjustRightInd w:val="0"/>
        <w:ind w:left="851"/>
        <w:rPr>
          <w:sz w:val="24"/>
          <w:szCs w:val="24"/>
          <w:lang w:eastAsia="da-DK"/>
        </w:rPr>
      </w:pPr>
      <w:r>
        <w:rPr>
          <w:sz w:val="24"/>
          <w:szCs w:val="24"/>
          <w:lang w:eastAsia="da-DK"/>
        </w:rPr>
        <w:t xml:space="preserve">Levosimendan "Fresenius Kabi" bør ikke administreres til  børn og unge under 18 år (se pkt.4.4 og 5.2). </w:t>
      </w:r>
    </w:p>
    <w:p w:rsidR="00C04FD6" w:rsidRDefault="00C04FD6" w:rsidP="00277310">
      <w:pPr>
        <w:autoSpaceDE w:val="0"/>
        <w:autoSpaceDN w:val="0"/>
        <w:adjustRightInd w:val="0"/>
        <w:ind w:left="851"/>
        <w:rPr>
          <w:sz w:val="24"/>
          <w:szCs w:val="24"/>
          <w:lang w:eastAsia="da-DK"/>
        </w:rPr>
      </w:pPr>
    </w:p>
    <w:p w:rsidR="00C04FD6" w:rsidRDefault="00C04FD6" w:rsidP="00277310">
      <w:pPr>
        <w:autoSpaceDE w:val="0"/>
        <w:autoSpaceDN w:val="0"/>
        <w:adjustRightInd w:val="0"/>
        <w:ind w:left="851"/>
        <w:rPr>
          <w:sz w:val="24"/>
          <w:szCs w:val="24"/>
          <w:u w:val="single"/>
          <w:lang w:eastAsia="da-DK"/>
        </w:rPr>
      </w:pPr>
      <w:r>
        <w:rPr>
          <w:sz w:val="24"/>
          <w:szCs w:val="24"/>
          <w:u w:val="single"/>
          <w:lang w:eastAsia="da-DK"/>
        </w:rPr>
        <w:t>Administration</w:t>
      </w:r>
    </w:p>
    <w:p w:rsidR="00C04FD6" w:rsidRDefault="00C04FD6" w:rsidP="00277310">
      <w:pPr>
        <w:autoSpaceDE w:val="0"/>
        <w:autoSpaceDN w:val="0"/>
        <w:adjustRightInd w:val="0"/>
        <w:ind w:left="851"/>
        <w:rPr>
          <w:sz w:val="24"/>
          <w:szCs w:val="24"/>
          <w:lang w:eastAsia="da-DK"/>
        </w:rPr>
      </w:pPr>
      <w:r>
        <w:rPr>
          <w:sz w:val="24"/>
          <w:szCs w:val="24"/>
          <w:lang w:eastAsia="da-DK"/>
        </w:rPr>
        <w:t>Levosimendan "Fresenius Kabi" skal fortyndes før administration (se pkt. 6.6).</w:t>
      </w:r>
    </w:p>
    <w:p w:rsidR="00C04FD6" w:rsidRDefault="00C04FD6" w:rsidP="00277310">
      <w:pPr>
        <w:suppressAutoHyphens/>
        <w:ind w:left="851"/>
        <w:rPr>
          <w:sz w:val="24"/>
          <w:szCs w:val="24"/>
          <w:lang w:eastAsia="da-DK"/>
        </w:rPr>
      </w:pPr>
    </w:p>
    <w:p w:rsidR="00C04FD6" w:rsidRDefault="00C04FD6" w:rsidP="00277310">
      <w:pPr>
        <w:suppressAutoHyphens/>
        <w:ind w:left="851"/>
        <w:rPr>
          <w:b/>
          <w:sz w:val="24"/>
          <w:szCs w:val="24"/>
        </w:rPr>
      </w:pPr>
      <w:r>
        <w:rPr>
          <w:sz w:val="24"/>
          <w:szCs w:val="24"/>
          <w:lang w:eastAsia="da-DK"/>
        </w:rPr>
        <w:t>Infusionen er kun til intravenøs brug og kan administreres som en perifer eller central infusion.</w:t>
      </w:r>
    </w:p>
    <w:p w:rsidR="00C04FD6" w:rsidRDefault="00C04FD6" w:rsidP="00277310">
      <w:pPr>
        <w:autoSpaceDE w:val="0"/>
        <w:autoSpaceDN w:val="0"/>
        <w:adjustRightInd w:val="0"/>
        <w:ind w:left="851"/>
        <w:rPr>
          <w:sz w:val="24"/>
          <w:szCs w:val="24"/>
          <w:lang w:eastAsia="da-DK"/>
        </w:rPr>
      </w:pPr>
    </w:p>
    <w:p w:rsidR="00C04FD6" w:rsidRDefault="00C04FD6" w:rsidP="00277310">
      <w:pPr>
        <w:autoSpaceDE w:val="0"/>
        <w:autoSpaceDN w:val="0"/>
        <w:adjustRightInd w:val="0"/>
        <w:ind w:left="851"/>
        <w:rPr>
          <w:sz w:val="24"/>
          <w:szCs w:val="24"/>
          <w:lang w:eastAsia="da-DK"/>
        </w:rPr>
      </w:pPr>
      <w:r>
        <w:rPr>
          <w:sz w:val="24"/>
          <w:szCs w:val="24"/>
          <w:lang w:eastAsia="da-DK"/>
        </w:rPr>
        <w:t xml:space="preserve">Tabel 1 giver detaljer om infusionshastigheder både for støddosis og kontinuerlig infusion af en </w:t>
      </w:r>
      <w:r>
        <w:rPr>
          <w:b/>
          <w:sz w:val="24"/>
          <w:szCs w:val="24"/>
          <w:lang w:eastAsia="da-DK"/>
        </w:rPr>
        <w:t xml:space="preserve">0,05 mg/ml </w:t>
      </w:r>
      <w:r>
        <w:rPr>
          <w:bCs/>
          <w:sz w:val="24"/>
          <w:szCs w:val="24"/>
          <w:lang w:eastAsia="da-DK"/>
        </w:rPr>
        <w:t>Levosimendan "Fresenius Kabi"</w:t>
      </w:r>
      <w:r>
        <w:rPr>
          <w:sz w:val="24"/>
          <w:szCs w:val="24"/>
          <w:lang w:eastAsia="da-DK"/>
        </w:rPr>
        <w:t xml:space="preserve"> infusionsvæske:</w:t>
      </w:r>
    </w:p>
    <w:p w:rsidR="00C04FD6" w:rsidRDefault="00C04FD6" w:rsidP="00277310">
      <w:pPr>
        <w:autoSpaceDE w:val="0"/>
        <w:autoSpaceDN w:val="0"/>
        <w:adjustRightInd w:val="0"/>
        <w:ind w:left="851"/>
        <w:rPr>
          <w:sz w:val="24"/>
          <w:szCs w:val="24"/>
          <w:lang w:eastAsia="da-DK"/>
        </w:rPr>
      </w:pPr>
    </w:p>
    <w:p w:rsidR="00C04FD6" w:rsidRDefault="00C04FD6" w:rsidP="00BA197D">
      <w:pPr>
        <w:autoSpaceDE w:val="0"/>
        <w:autoSpaceDN w:val="0"/>
        <w:adjustRightInd w:val="0"/>
        <w:ind w:left="709"/>
        <w:rPr>
          <w:sz w:val="24"/>
          <w:szCs w:val="24"/>
          <w:lang w:eastAsia="da-DK"/>
        </w:rPr>
      </w:pPr>
      <w:r>
        <w:rPr>
          <w:sz w:val="24"/>
          <w:szCs w:val="24"/>
          <w:lang w:eastAsia="da-DK"/>
        </w:rPr>
        <w:t>Tabel 1</w:t>
      </w:r>
    </w:p>
    <w:p w:rsidR="00C04FD6" w:rsidRDefault="00C04FD6" w:rsidP="00C04FD6">
      <w:pPr>
        <w:autoSpaceDE w:val="0"/>
        <w:autoSpaceDN w:val="0"/>
        <w:adjustRightInd w:val="0"/>
        <w:ind w:left="851"/>
        <w:rPr>
          <w:sz w:val="24"/>
          <w:szCs w:val="24"/>
          <w:lang w:eastAsia="da-DK"/>
        </w:rPr>
      </w:pPr>
    </w:p>
    <w:tbl>
      <w:tblPr>
        <w:tblW w:w="9255" w:type="dxa"/>
        <w:tblInd w:w="704" w:type="dxa"/>
        <w:tblLayout w:type="fixed"/>
        <w:tblCellMar>
          <w:left w:w="0" w:type="dxa"/>
          <w:right w:w="0" w:type="dxa"/>
        </w:tblCellMar>
        <w:tblLook w:val="01E0" w:firstRow="1" w:lastRow="1" w:firstColumn="1" w:lastColumn="1" w:noHBand="0" w:noVBand="0"/>
      </w:tblPr>
      <w:tblGrid>
        <w:gridCol w:w="1044"/>
        <w:gridCol w:w="1560"/>
        <w:gridCol w:w="1543"/>
        <w:gridCol w:w="1703"/>
        <w:gridCol w:w="1703"/>
        <w:gridCol w:w="1702"/>
      </w:tblGrid>
      <w:tr w:rsidR="00C04FD6" w:rsidTr="00BA197D">
        <w:trPr>
          <w:trHeight w:hRule="exact" w:val="1508"/>
        </w:trPr>
        <w:tc>
          <w:tcPr>
            <w:tcW w:w="1044" w:type="dxa"/>
            <w:vMerge w:val="restart"/>
            <w:tcBorders>
              <w:top w:val="single" w:sz="6" w:space="0" w:color="000000"/>
              <w:left w:val="single" w:sz="4" w:space="0" w:color="000000"/>
              <w:bottom w:val="single" w:sz="12" w:space="0" w:color="000000"/>
              <w:right w:val="single" w:sz="4" w:space="0" w:color="000000"/>
            </w:tcBorders>
            <w:hideMark/>
          </w:tcPr>
          <w:p w:rsidR="00C04FD6" w:rsidRDefault="00C04FD6">
            <w:pPr>
              <w:tabs>
                <w:tab w:val="left" w:pos="720"/>
              </w:tabs>
            </w:pPr>
            <w:r>
              <w:t xml:space="preserve">Patientens vægt </w:t>
            </w:r>
          </w:p>
          <w:p w:rsidR="00C04FD6" w:rsidRDefault="00C04FD6">
            <w:pPr>
              <w:tabs>
                <w:tab w:val="left" w:pos="720"/>
              </w:tabs>
            </w:pPr>
            <w:r>
              <w:t>(kg)</w:t>
            </w:r>
          </w:p>
        </w:tc>
        <w:tc>
          <w:tcPr>
            <w:tcW w:w="3103" w:type="dxa"/>
            <w:gridSpan w:val="2"/>
            <w:tcBorders>
              <w:top w:val="single" w:sz="6" w:space="0" w:color="000000"/>
              <w:left w:val="single" w:sz="4" w:space="0" w:color="000000"/>
              <w:bottom w:val="nil"/>
              <w:right w:val="single" w:sz="4" w:space="0" w:color="000000"/>
            </w:tcBorders>
            <w:hideMark/>
          </w:tcPr>
          <w:p w:rsidR="00C04FD6" w:rsidRDefault="00C04FD6">
            <w:pPr>
              <w:ind w:left="100"/>
            </w:pPr>
            <w:r>
              <w:rPr>
                <w:sz w:val="24"/>
                <w:szCs w:val="24"/>
                <w:lang w:eastAsia="de-DE"/>
              </w:rPr>
              <w:t xml:space="preserve">Støddosis administreret som </w:t>
            </w:r>
            <w:r>
              <w:rPr>
                <w:sz w:val="24"/>
                <w:szCs w:val="24"/>
                <w:lang w:eastAsia="de-DE"/>
              </w:rPr>
              <w:br w:type="textWrapping" w:clear="all"/>
              <w:t xml:space="preserve">infusion i løbet af </w:t>
            </w:r>
            <w:r>
              <w:rPr>
                <w:sz w:val="24"/>
                <w:szCs w:val="24"/>
                <w:lang w:eastAsia="de-DE"/>
              </w:rPr>
              <w:br w:type="textWrapping" w:clear="all"/>
              <w:t xml:space="preserve">10 minutter med følgende infusionshastighed </w:t>
            </w:r>
            <w:r>
              <w:rPr>
                <w:sz w:val="24"/>
                <w:szCs w:val="24"/>
                <w:lang w:eastAsia="de-DE"/>
              </w:rPr>
              <w:br w:type="textWrapping" w:clear="all"/>
              <w:t>(ml/time)</w:t>
            </w:r>
            <w:r>
              <w:rPr>
                <w:sz w:val="24"/>
                <w:szCs w:val="24"/>
                <w:lang w:eastAsia="de-DE"/>
              </w:rPr>
              <w:br w:type="textWrapping" w:clear="all"/>
            </w:r>
          </w:p>
        </w:tc>
        <w:tc>
          <w:tcPr>
            <w:tcW w:w="5108" w:type="dxa"/>
            <w:gridSpan w:val="3"/>
            <w:tcBorders>
              <w:top w:val="single" w:sz="6" w:space="0" w:color="000000"/>
              <w:left w:val="single" w:sz="4" w:space="0" w:color="000000"/>
              <w:bottom w:val="nil"/>
              <w:right w:val="single" w:sz="6" w:space="0" w:color="000000"/>
            </w:tcBorders>
            <w:hideMark/>
          </w:tcPr>
          <w:p w:rsidR="00C04FD6" w:rsidRDefault="00C04FD6">
            <w:pPr>
              <w:ind w:left="102"/>
            </w:pPr>
            <w:r>
              <w:rPr>
                <w:sz w:val="24"/>
                <w:szCs w:val="24"/>
                <w:lang w:val="de-DE" w:eastAsia="de-DE"/>
              </w:rPr>
              <w:t>Kontinuerlig infusionshastighed</w:t>
            </w:r>
            <w:r>
              <w:rPr>
                <w:sz w:val="24"/>
                <w:szCs w:val="24"/>
                <w:lang w:val="de-DE" w:eastAsia="de-DE"/>
              </w:rPr>
              <w:br w:type="textWrapping" w:clear="all"/>
              <w:t>(ml/time)</w:t>
            </w:r>
          </w:p>
        </w:tc>
      </w:tr>
      <w:tr w:rsidR="00C04FD6" w:rsidTr="00BA197D">
        <w:trPr>
          <w:trHeight w:hRule="exact" w:val="873"/>
        </w:trPr>
        <w:tc>
          <w:tcPr>
            <w:tcW w:w="1044" w:type="dxa"/>
            <w:vMerge/>
            <w:tcBorders>
              <w:top w:val="single" w:sz="6" w:space="0" w:color="000000"/>
              <w:left w:val="single" w:sz="4" w:space="0" w:color="000000"/>
              <w:bottom w:val="single" w:sz="12" w:space="0" w:color="000000"/>
              <w:right w:val="single" w:sz="4" w:space="0" w:color="000000"/>
            </w:tcBorders>
            <w:vAlign w:val="center"/>
            <w:hideMark/>
          </w:tcPr>
          <w:p w:rsidR="00C04FD6" w:rsidRDefault="00C04FD6"/>
        </w:tc>
        <w:tc>
          <w:tcPr>
            <w:tcW w:w="1560" w:type="dxa"/>
            <w:tcBorders>
              <w:top w:val="single" w:sz="12" w:space="0" w:color="000000"/>
              <w:left w:val="single" w:sz="4" w:space="0" w:color="000000"/>
              <w:bottom w:val="single" w:sz="12" w:space="0" w:color="000000"/>
              <w:right w:val="single" w:sz="4" w:space="0" w:color="000000"/>
            </w:tcBorders>
            <w:hideMark/>
          </w:tcPr>
          <w:p w:rsidR="00C04FD6" w:rsidRDefault="00C04FD6">
            <w:pPr>
              <w:spacing w:before="1"/>
              <w:ind w:left="100"/>
            </w:pPr>
            <w:r>
              <w:rPr>
                <w:sz w:val="24"/>
                <w:szCs w:val="24"/>
                <w:lang w:val="de-DE" w:eastAsia="de-DE"/>
              </w:rPr>
              <w:t>Støddosis 6 mikrog/kg</w:t>
            </w:r>
          </w:p>
        </w:tc>
        <w:tc>
          <w:tcPr>
            <w:tcW w:w="1543" w:type="dxa"/>
            <w:tcBorders>
              <w:top w:val="single" w:sz="12" w:space="0" w:color="000000"/>
              <w:left w:val="single" w:sz="4" w:space="0" w:color="000000"/>
              <w:bottom w:val="single" w:sz="12" w:space="0" w:color="000000"/>
              <w:right w:val="single" w:sz="4" w:space="0" w:color="000000"/>
            </w:tcBorders>
            <w:hideMark/>
          </w:tcPr>
          <w:p w:rsidR="00C04FD6" w:rsidRDefault="00C04FD6">
            <w:pPr>
              <w:pStyle w:val="fkpreparattabellweb"/>
              <w:ind w:left="142"/>
              <w:rPr>
                <w:sz w:val="24"/>
                <w:szCs w:val="24"/>
                <w:lang w:val="de-DE" w:eastAsia="de-DE"/>
              </w:rPr>
            </w:pPr>
            <w:r>
              <w:rPr>
                <w:sz w:val="24"/>
                <w:szCs w:val="24"/>
                <w:lang w:val="de-DE" w:eastAsia="de-DE"/>
              </w:rPr>
              <w:t xml:space="preserve">Støddosis </w:t>
            </w:r>
          </w:p>
          <w:p w:rsidR="00C04FD6" w:rsidRDefault="00C04FD6">
            <w:pPr>
              <w:spacing w:line="243" w:lineRule="exact"/>
              <w:ind w:left="102"/>
            </w:pPr>
            <w:r>
              <w:rPr>
                <w:sz w:val="24"/>
                <w:szCs w:val="24"/>
                <w:lang w:val="de-DE" w:eastAsia="de-DE"/>
              </w:rPr>
              <w:t>12 mikrog/kg</w:t>
            </w:r>
          </w:p>
        </w:tc>
        <w:tc>
          <w:tcPr>
            <w:tcW w:w="1703" w:type="dxa"/>
            <w:tcBorders>
              <w:top w:val="single" w:sz="12" w:space="0" w:color="000000"/>
              <w:left w:val="single" w:sz="4" w:space="0" w:color="000000"/>
              <w:bottom w:val="single" w:sz="12" w:space="0" w:color="000000"/>
              <w:right w:val="single" w:sz="4" w:space="0" w:color="000000"/>
            </w:tcBorders>
            <w:hideMark/>
          </w:tcPr>
          <w:p w:rsidR="00C04FD6" w:rsidRDefault="00C04FD6">
            <w:pPr>
              <w:spacing w:line="243" w:lineRule="exact"/>
              <w:ind w:left="102"/>
            </w:pPr>
            <w:r>
              <w:rPr>
                <w:szCs w:val="22"/>
              </w:rPr>
              <w:t>0,05</w:t>
            </w:r>
          </w:p>
          <w:p w:rsidR="00C04FD6" w:rsidRDefault="00C04FD6">
            <w:pPr>
              <w:spacing w:before="5" w:line="252" w:lineRule="exact"/>
              <w:ind w:left="102"/>
              <w:rPr>
                <w:spacing w:val="3"/>
                <w:szCs w:val="22"/>
              </w:rPr>
            </w:pPr>
            <w:r>
              <w:rPr>
                <w:spacing w:val="-4"/>
                <w:szCs w:val="22"/>
              </w:rPr>
              <w:t>m</w:t>
            </w:r>
            <w:r>
              <w:rPr>
                <w:spacing w:val="1"/>
                <w:szCs w:val="22"/>
              </w:rPr>
              <w:t>i</w:t>
            </w:r>
            <w:r>
              <w:rPr>
                <w:szCs w:val="22"/>
              </w:rPr>
              <w:t>k</w:t>
            </w:r>
            <w:r>
              <w:rPr>
                <w:spacing w:val="1"/>
                <w:szCs w:val="22"/>
              </w:rPr>
              <w:t>r</w:t>
            </w:r>
            <w:r>
              <w:rPr>
                <w:szCs w:val="22"/>
              </w:rPr>
              <w:t>o</w:t>
            </w:r>
            <w:r>
              <w:rPr>
                <w:spacing w:val="-2"/>
                <w:szCs w:val="22"/>
              </w:rPr>
              <w:t>g</w:t>
            </w:r>
            <w:r>
              <w:rPr>
                <w:spacing w:val="1"/>
                <w:szCs w:val="22"/>
              </w:rPr>
              <w:t>r</w:t>
            </w:r>
            <w:r>
              <w:rPr>
                <w:szCs w:val="22"/>
              </w:rPr>
              <w:t>a</w:t>
            </w:r>
            <w:r>
              <w:rPr>
                <w:spacing w:val="-3"/>
                <w:szCs w:val="22"/>
              </w:rPr>
              <w:t>m</w:t>
            </w:r>
            <w:r>
              <w:rPr>
                <w:spacing w:val="1"/>
                <w:szCs w:val="22"/>
              </w:rPr>
              <w:t>/</w:t>
            </w:r>
            <w:r>
              <w:rPr>
                <w:szCs w:val="22"/>
              </w:rPr>
              <w:t>k</w:t>
            </w:r>
            <w:r>
              <w:rPr>
                <w:spacing w:val="-2"/>
                <w:szCs w:val="22"/>
              </w:rPr>
              <w:t>g</w:t>
            </w:r>
            <w:r>
              <w:rPr>
                <w:spacing w:val="3"/>
                <w:szCs w:val="22"/>
              </w:rPr>
              <w:t>/</w:t>
            </w:r>
          </w:p>
          <w:p w:rsidR="00C04FD6" w:rsidRDefault="00C04FD6">
            <w:pPr>
              <w:spacing w:before="5" w:line="252" w:lineRule="exact"/>
              <w:ind w:left="102"/>
            </w:pPr>
            <w:r>
              <w:rPr>
                <w:spacing w:val="-4"/>
                <w:szCs w:val="22"/>
              </w:rPr>
              <w:t>m</w:t>
            </w:r>
            <w:r>
              <w:rPr>
                <w:szCs w:val="22"/>
              </w:rPr>
              <w:t>inu</w:t>
            </w:r>
            <w:r>
              <w:rPr>
                <w:spacing w:val="1"/>
                <w:szCs w:val="22"/>
              </w:rPr>
              <w:t>t</w:t>
            </w:r>
          </w:p>
        </w:tc>
        <w:tc>
          <w:tcPr>
            <w:tcW w:w="1703" w:type="dxa"/>
            <w:tcBorders>
              <w:top w:val="single" w:sz="12" w:space="0" w:color="000000"/>
              <w:left w:val="single" w:sz="4" w:space="0" w:color="000000"/>
              <w:bottom w:val="single" w:sz="12" w:space="0" w:color="000000"/>
              <w:right w:val="single" w:sz="4" w:space="0" w:color="000000"/>
            </w:tcBorders>
            <w:hideMark/>
          </w:tcPr>
          <w:p w:rsidR="00C04FD6" w:rsidRDefault="00C04FD6">
            <w:pPr>
              <w:spacing w:line="243" w:lineRule="exact"/>
              <w:ind w:left="102"/>
            </w:pPr>
            <w:r>
              <w:rPr>
                <w:szCs w:val="22"/>
              </w:rPr>
              <w:t>0,1</w:t>
            </w:r>
          </w:p>
          <w:p w:rsidR="00C04FD6" w:rsidRDefault="00C04FD6">
            <w:pPr>
              <w:spacing w:before="5" w:line="252" w:lineRule="exact"/>
              <w:ind w:left="102"/>
              <w:rPr>
                <w:spacing w:val="3"/>
                <w:szCs w:val="22"/>
              </w:rPr>
            </w:pPr>
            <w:r>
              <w:rPr>
                <w:spacing w:val="-4"/>
                <w:szCs w:val="22"/>
              </w:rPr>
              <w:t>m</w:t>
            </w:r>
            <w:r>
              <w:rPr>
                <w:spacing w:val="1"/>
                <w:szCs w:val="22"/>
              </w:rPr>
              <w:t>i</w:t>
            </w:r>
            <w:r>
              <w:rPr>
                <w:szCs w:val="22"/>
              </w:rPr>
              <w:t>k</w:t>
            </w:r>
            <w:r>
              <w:rPr>
                <w:spacing w:val="1"/>
                <w:szCs w:val="22"/>
              </w:rPr>
              <w:t>r</w:t>
            </w:r>
            <w:r>
              <w:rPr>
                <w:szCs w:val="22"/>
              </w:rPr>
              <w:t>o</w:t>
            </w:r>
            <w:r>
              <w:rPr>
                <w:spacing w:val="-2"/>
                <w:szCs w:val="22"/>
              </w:rPr>
              <w:t>g</w:t>
            </w:r>
            <w:r>
              <w:rPr>
                <w:spacing w:val="1"/>
                <w:szCs w:val="22"/>
              </w:rPr>
              <w:t>r</w:t>
            </w:r>
            <w:r>
              <w:rPr>
                <w:szCs w:val="22"/>
              </w:rPr>
              <w:t>a</w:t>
            </w:r>
            <w:r>
              <w:rPr>
                <w:spacing w:val="-3"/>
                <w:szCs w:val="22"/>
              </w:rPr>
              <w:t>m</w:t>
            </w:r>
            <w:r>
              <w:rPr>
                <w:spacing w:val="1"/>
                <w:szCs w:val="22"/>
              </w:rPr>
              <w:t>/</w:t>
            </w:r>
            <w:r>
              <w:rPr>
                <w:szCs w:val="22"/>
              </w:rPr>
              <w:t>k</w:t>
            </w:r>
            <w:r>
              <w:rPr>
                <w:spacing w:val="-2"/>
                <w:szCs w:val="22"/>
              </w:rPr>
              <w:t>g</w:t>
            </w:r>
            <w:r>
              <w:rPr>
                <w:spacing w:val="3"/>
                <w:szCs w:val="22"/>
              </w:rPr>
              <w:t>/</w:t>
            </w:r>
          </w:p>
          <w:p w:rsidR="00C04FD6" w:rsidRDefault="00C04FD6">
            <w:pPr>
              <w:spacing w:before="5" w:line="252" w:lineRule="exact"/>
              <w:ind w:left="102"/>
            </w:pPr>
            <w:r>
              <w:rPr>
                <w:spacing w:val="-4"/>
                <w:szCs w:val="22"/>
              </w:rPr>
              <w:t>m</w:t>
            </w:r>
            <w:r>
              <w:rPr>
                <w:szCs w:val="22"/>
              </w:rPr>
              <w:t>inu</w:t>
            </w:r>
            <w:r>
              <w:rPr>
                <w:spacing w:val="1"/>
                <w:szCs w:val="22"/>
              </w:rPr>
              <w:t>t</w:t>
            </w:r>
          </w:p>
        </w:tc>
        <w:tc>
          <w:tcPr>
            <w:tcW w:w="1702" w:type="dxa"/>
            <w:tcBorders>
              <w:top w:val="single" w:sz="12" w:space="0" w:color="000000"/>
              <w:left w:val="single" w:sz="4" w:space="0" w:color="000000"/>
              <w:bottom w:val="single" w:sz="12" w:space="0" w:color="000000"/>
              <w:right w:val="single" w:sz="6" w:space="0" w:color="000000"/>
            </w:tcBorders>
            <w:hideMark/>
          </w:tcPr>
          <w:p w:rsidR="00C04FD6" w:rsidRDefault="00C04FD6">
            <w:pPr>
              <w:spacing w:line="243" w:lineRule="exact"/>
              <w:ind w:left="100"/>
            </w:pPr>
            <w:r>
              <w:rPr>
                <w:szCs w:val="22"/>
              </w:rPr>
              <w:t>0,2</w:t>
            </w:r>
          </w:p>
          <w:p w:rsidR="00C04FD6" w:rsidRDefault="00C04FD6">
            <w:pPr>
              <w:spacing w:before="5" w:line="252" w:lineRule="exact"/>
              <w:ind w:left="100"/>
              <w:rPr>
                <w:spacing w:val="3"/>
                <w:szCs w:val="22"/>
              </w:rPr>
            </w:pPr>
            <w:r>
              <w:rPr>
                <w:spacing w:val="-4"/>
                <w:szCs w:val="22"/>
              </w:rPr>
              <w:t>m</w:t>
            </w:r>
            <w:r>
              <w:rPr>
                <w:spacing w:val="1"/>
                <w:szCs w:val="22"/>
              </w:rPr>
              <w:t>i</w:t>
            </w:r>
            <w:r>
              <w:rPr>
                <w:szCs w:val="22"/>
              </w:rPr>
              <w:t>k</w:t>
            </w:r>
            <w:r>
              <w:rPr>
                <w:spacing w:val="1"/>
                <w:szCs w:val="22"/>
              </w:rPr>
              <w:t>r</w:t>
            </w:r>
            <w:r>
              <w:rPr>
                <w:szCs w:val="22"/>
              </w:rPr>
              <w:t>o</w:t>
            </w:r>
            <w:r>
              <w:rPr>
                <w:spacing w:val="-2"/>
                <w:szCs w:val="22"/>
              </w:rPr>
              <w:t>g</w:t>
            </w:r>
            <w:r>
              <w:rPr>
                <w:spacing w:val="1"/>
                <w:szCs w:val="22"/>
              </w:rPr>
              <w:t>r</w:t>
            </w:r>
            <w:r>
              <w:rPr>
                <w:szCs w:val="22"/>
              </w:rPr>
              <w:t>a</w:t>
            </w:r>
            <w:r>
              <w:rPr>
                <w:spacing w:val="-3"/>
                <w:szCs w:val="22"/>
              </w:rPr>
              <w:t>m</w:t>
            </w:r>
            <w:r>
              <w:rPr>
                <w:spacing w:val="1"/>
                <w:szCs w:val="22"/>
              </w:rPr>
              <w:t>/</w:t>
            </w:r>
            <w:r>
              <w:rPr>
                <w:szCs w:val="22"/>
              </w:rPr>
              <w:t>k</w:t>
            </w:r>
            <w:r>
              <w:rPr>
                <w:spacing w:val="-2"/>
                <w:szCs w:val="22"/>
              </w:rPr>
              <w:t>g</w:t>
            </w:r>
            <w:r>
              <w:rPr>
                <w:spacing w:val="3"/>
                <w:szCs w:val="22"/>
              </w:rPr>
              <w:t>/</w:t>
            </w:r>
          </w:p>
          <w:p w:rsidR="00C04FD6" w:rsidRDefault="00C04FD6">
            <w:pPr>
              <w:spacing w:before="5" w:line="252" w:lineRule="exact"/>
              <w:ind w:left="100"/>
            </w:pPr>
            <w:r>
              <w:rPr>
                <w:spacing w:val="-4"/>
                <w:szCs w:val="22"/>
              </w:rPr>
              <w:t>m</w:t>
            </w:r>
            <w:r>
              <w:rPr>
                <w:szCs w:val="22"/>
              </w:rPr>
              <w:t>inu</w:t>
            </w:r>
            <w:r>
              <w:rPr>
                <w:spacing w:val="1"/>
                <w:szCs w:val="22"/>
              </w:rPr>
              <w:t>t</w:t>
            </w:r>
          </w:p>
        </w:tc>
      </w:tr>
      <w:tr w:rsidR="00C04FD6" w:rsidTr="00BA197D">
        <w:trPr>
          <w:trHeight w:hRule="exact" w:val="290"/>
        </w:trPr>
        <w:tc>
          <w:tcPr>
            <w:tcW w:w="1044" w:type="dxa"/>
            <w:tcBorders>
              <w:top w:val="single" w:sz="12" w:space="0" w:color="000000"/>
              <w:left w:val="single" w:sz="4" w:space="0" w:color="000000"/>
              <w:bottom w:val="single" w:sz="4" w:space="0" w:color="000000"/>
              <w:right w:val="single" w:sz="4" w:space="0" w:color="000000"/>
            </w:tcBorders>
            <w:hideMark/>
          </w:tcPr>
          <w:p w:rsidR="00C04FD6" w:rsidRDefault="00C04FD6">
            <w:pPr>
              <w:spacing w:line="248" w:lineRule="exact"/>
              <w:ind w:left="102"/>
            </w:pPr>
            <w:r>
              <w:rPr>
                <w:szCs w:val="22"/>
              </w:rPr>
              <w:t>40</w:t>
            </w:r>
          </w:p>
        </w:tc>
        <w:tc>
          <w:tcPr>
            <w:tcW w:w="1560" w:type="dxa"/>
            <w:tcBorders>
              <w:top w:val="single" w:sz="12" w:space="0" w:color="000000"/>
              <w:left w:val="single" w:sz="4" w:space="0" w:color="000000"/>
              <w:bottom w:val="single" w:sz="4" w:space="0" w:color="000000"/>
              <w:right w:val="single" w:sz="4" w:space="0" w:color="000000"/>
            </w:tcBorders>
            <w:hideMark/>
          </w:tcPr>
          <w:p w:rsidR="00C04FD6" w:rsidRDefault="00C04FD6">
            <w:pPr>
              <w:spacing w:line="248" w:lineRule="exact"/>
              <w:ind w:left="100"/>
            </w:pPr>
            <w:r>
              <w:rPr>
                <w:szCs w:val="22"/>
              </w:rPr>
              <w:t>29</w:t>
            </w:r>
          </w:p>
        </w:tc>
        <w:tc>
          <w:tcPr>
            <w:tcW w:w="1543" w:type="dxa"/>
            <w:tcBorders>
              <w:top w:val="single" w:sz="12" w:space="0" w:color="000000"/>
              <w:left w:val="single" w:sz="4" w:space="0" w:color="000000"/>
              <w:bottom w:val="single" w:sz="4" w:space="0" w:color="000000"/>
              <w:right w:val="single" w:sz="4" w:space="0" w:color="000000"/>
            </w:tcBorders>
            <w:hideMark/>
          </w:tcPr>
          <w:p w:rsidR="00C04FD6" w:rsidRDefault="00C04FD6">
            <w:pPr>
              <w:spacing w:line="248" w:lineRule="exact"/>
              <w:ind w:left="102"/>
            </w:pPr>
            <w:r>
              <w:rPr>
                <w:szCs w:val="22"/>
              </w:rPr>
              <w:t>58</w:t>
            </w:r>
          </w:p>
        </w:tc>
        <w:tc>
          <w:tcPr>
            <w:tcW w:w="1703" w:type="dxa"/>
            <w:tcBorders>
              <w:top w:val="single" w:sz="12" w:space="0" w:color="000000"/>
              <w:left w:val="single" w:sz="4" w:space="0" w:color="000000"/>
              <w:bottom w:val="single" w:sz="4" w:space="0" w:color="000000"/>
              <w:right w:val="single" w:sz="4" w:space="0" w:color="000000"/>
            </w:tcBorders>
            <w:hideMark/>
          </w:tcPr>
          <w:p w:rsidR="00C04FD6" w:rsidRDefault="00C04FD6">
            <w:pPr>
              <w:spacing w:line="248" w:lineRule="exact"/>
              <w:ind w:left="102"/>
            </w:pPr>
            <w:r>
              <w:rPr>
                <w:szCs w:val="22"/>
              </w:rPr>
              <w:t>2</w:t>
            </w:r>
          </w:p>
        </w:tc>
        <w:tc>
          <w:tcPr>
            <w:tcW w:w="1703" w:type="dxa"/>
            <w:tcBorders>
              <w:top w:val="single" w:sz="12" w:space="0" w:color="000000"/>
              <w:left w:val="single" w:sz="4" w:space="0" w:color="000000"/>
              <w:bottom w:val="single" w:sz="4" w:space="0" w:color="000000"/>
              <w:right w:val="single" w:sz="4" w:space="0" w:color="000000"/>
            </w:tcBorders>
            <w:hideMark/>
          </w:tcPr>
          <w:p w:rsidR="00C04FD6" w:rsidRDefault="00C04FD6">
            <w:pPr>
              <w:spacing w:line="248" w:lineRule="exact"/>
              <w:ind w:left="102"/>
            </w:pPr>
            <w:r>
              <w:rPr>
                <w:szCs w:val="22"/>
              </w:rPr>
              <w:t>5</w:t>
            </w:r>
          </w:p>
        </w:tc>
        <w:tc>
          <w:tcPr>
            <w:tcW w:w="1702" w:type="dxa"/>
            <w:tcBorders>
              <w:top w:val="single" w:sz="12" w:space="0" w:color="000000"/>
              <w:left w:val="single" w:sz="4" w:space="0" w:color="000000"/>
              <w:bottom w:val="single" w:sz="4" w:space="0" w:color="000000"/>
              <w:right w:val="single" w:sz="6" w:space="0" w:color="000000"/>
            </w:tcBorders>
            <w:hideMark/>
          </w:tcPr>
          <w:p w:rsidR="00C04FD6" w:rsidRDefault="00C04FD6">
            <w:pPr>
              <w:spacing w:line="248" w:lineRule="exact"/>
              <w:ind w:left="100"/>
            </w:pPr>
            <w:r>
              <w:rPr>
                <w:szCs w:val="22"/>
              </w:rPr>
              <w:t>10</w:t>
            </w:r>
          </w:p>
        </w:tc>
      </w:tr>
      <w:tr w:rsidR="00C04FD6" w:rsidTr="00BA197D">
        <w:trPr>
          <w:trHeight w:hRule="exact" w:val="300"/>
        </w:trPr>
        <w:tc>
          <w:tcPr>
            <w:tcW w:w="1044" w:type="dxa"/>
            <w:tcBorders>
              <w:top w:val="single" w:sz="4" w:space="0" w:color="000000"/>
              <w:left w:val="single" w:sz="4" w:space="0" w:color="000000"/>
              <w:bottom w:val="single" w:sz="4" w:space="0" w:color="000000"/>
              <w:right w:val="single" w:sz="4" w:space="0" w:color="000000"/>
            </w:tcBorders>
            <w:hideMark/>
          </w:tcPr>
          <w:p w:rsidR="00C04FD6" w:rsidRDefault="00C04FD6">
            <w:pPr>
              <w:spacing w:line="246" w:lineRule="exact"/>
              <w:ind w:left="102"/>
            </w:pPr>
            <w:r>
              <w:rPr>
                <w:szCs w:val="22"/>
              </w:rPr>
              <w:t>50</w:t>
            </w:r>
          </w:p>
        </w:tc>
        <w:tc>
          <w:tcPr>
            <w:tcW w:w="1560" w:type="dxa"/>
            <w:tcBorders>
              <w:top w:val="single" w:sz="4" w:space="0" w:color="000000"/>
              <w:left w:val="single" w:sz="4" w:space="0" w:color="000000"/>
              <w:bottom w:val="single" w:sz="4" w:space="0" w:color="000000"/>
              <w:right w:val="single" w:sz="4" w:space="0" w:color="000000"/>
            </w:tcBorders>
            <w:hideMark/>
          </w:tcPr>
          <w:p w:rsidR="00C04FD6" w:rsidRDefault="00C04FD6">
            <w:pPr>
              <w:spacing w:line="246" w:lineRule="exact"/>
              <w:ind w:left="100"/>
            </w:pPr>
            <w:r>
              <w:rPr>
                <w:szCs w:val="22"/>
              </w:rPr>
              <w:t>36</w:t>
            </w:r>
          </w:p>
        </w:tc>
        <w:tc>
          <w:tcPr>
            <w:tcW w:w="1543" w:type="dxa"/>
            <w:tcBorders>
              <w:top w:val="single" w:sz="4" w:space="0" w:color="000000"/>
              <w:left w:val="single" w:sz="4" w:space="0" w:color="000000"/>
              <w:bottom w:val="single" w:sz="4" w:space="0" w:color="000000"/>
              <w:right w:val="single" w:sz="4" w:space="0" w:color="000000"/>
            </w:tcBorders>
            <w:hideMark/>
          </w:tcPr>
          <w:p w:rsidR="00C04FD6" w:rsidRDefault="00C04FD6">
            <w:pPr>
              <w:spacing w:line="246" w:lineRule="exact"/>
              <w:ind w:left="102"/>
            </w:pPr>
            <w:r>
              <w:rPr>
                <w:szCs w:val="22"/>
              </w:rPr>
              <w:t>72</w:t>
            </w:r>
          </w:p>
        </w:tc>
        <w:tc>
          <w:tcPr>
            <w:tcW w:w="1703" w:type="dxa"/>
            <w:tcBorders>
              <w:top w:val="single" w:sz="4" w:space="0" w:color="000000"/>
              <w:left w:val="single" w:sz="4" w:space="0" w:color="000000"/>
              <w:bottom w:val="single" w:sz="4" w:space="0" w:color="000000"/>
              <w:right w:val="single" w:sz="4" w:space="0" w:color="000000"/>
            </w:tcBorders>
            <w:hideMark/>
          </w:tcPr>
          <w:p w:rsidR="00C04FD6" w:rsidRDefault="00C04FD6">
            <w:pPr>
              <w:spacing w:line="246" w:lineRule="exact"/>
              <w:ind w:left="102"/>
            </w:pPr>
            <w:r>
              <w:rPr>
                <w:szCs w:val="22"/>
              </w:rPr>
              <w:t>3</w:t>
            </w:r>
          </w:p>
        </w:tc>
        <w:tc>
          <w:tcPr>
            <w:tcW w:w="1703" w:type="dxa"/>
            <w:tcBorders>
              <w:top w:val="single" w:sz="4" w:space="0" w:color="000000"/>
              <w:left w:val="single" w:sz="4" w:space="0" w:color="000000"/>
              <w:bottom w:val="single" w:sz="4" w:space="0" w:color="000000"/>
              <w:right w:val="single" w:sz="4" w:space="0" w:color="000000"/>
            </w:tcBorders>
            <w:hideMark/>
          </w:tcPr>
          <w:p w:rsidR="00C04FD6" w:rsidRDefault="00C04FD6">
            <w:pPr>
              <w:spacing w:line="246" w:lineRule="exact"/>
              <w:ind w:left="102"/>
            </w:pPr>
            <w:r>
              <w:rPr>
                <w:szCs w:val="22"/>
              </w:rPr>
              <w:t>6</w:t>
            </w:r>
          </w:p>
        </w:tc>
        <w:tc>
          <w:tcPr>
            <w:tcW w:w="1702" w:type="dxa"/>
            <w:tcBorders>
              <w:top w:val="single" w:sz="4" w:space="0" w:color="000000"/>
              <w:left w:val="single" w:sz="4" w:space="0" w:color="000000"/>
              <w:bottom w:val="single" w:sz="4" w:space="0" w:color="000000"/>
              <w:right w:val="single" w:sz="6" w:space="0" w:color="000000"/>
            </w:tcBorders>
            <w:hideMark/>
          </w:tcPr>
          <w:p w:rsidR="00C04FD6" w:rsidRDefault="00C04FD6">
            <w:pPr>
              <w:spacing w:line="246" w:lineRule="exact"/>
              <w:ind w:left="100"/>
            </w:pPr>
            <w:r>
              <w:rPr>
                <w:szCs w:val="22"/>
              </w:rPr>
              <w:t>12</w:t>
            </w:r>
          </w:p>
        </w:tc>
      </w:tr>
      <w:tr w:rsidR="00C04FD6" w:rsidTr="00BA197D">
        <w:trPr>
          <w:trHeight w:hRule="exact" w:val="300"/>
        </w:trPr>
        <w:tc>
          <w:tcPr>
            <w:tcW w:w="1044" w:type="dxa"/>
            <w:tcBorders>
              <w:top w:val="single" w:sz="4" w:space="0" w:color="000000"/>
              <w:left w:val="single" w:sz="4" w:space="0" w:color="000000"/>
              <w:bottom w:val="single" w:sz="4" w:space="0" w:color="000000"/>
              <w:right w:val="single" w:sz="4" w:space="0" w:color="000000"/>
            </w:tcBorders>
            <w:hideMark/>
          </w:tcPr>
          <w:p w:rsidR="00C04FD6" w:rsidRDefault="00C04FD6">
            <w:pPr>
              <w:spacing w:line="246" w:lineRule="exact"/>
              <w:ind w:left="102"/>
            </w:pPr>
            <w:r>
              <w:rPr>
                <w:szCs w:val="22"/>
              </w:rPr>
              <w:t>60</w:t>
            </w:r>
          </w:p>
        </w:tc>
        <w:tc>
          <w:tcPr>
            <w:tcW w:w="1560" w:type="dxa"/>
            <w:tcBorders>
              <w:top w:val="single" w:sz="4" w:space="0" w:color="000000"/>
              <w:left w:val="single" w:sz="4" w:space="0" w:color="000000"/>
              <w:bottom w:val="single" w:sz="4" w:space="0" w:color="000000"/>
              <w:right w:val="single" w:sz="4" w:space="0" w:color="000000"/>
            </w:tcBorders>
            <w:hideMark/>
          </w:tcPr>
          <w:p w:rsidR="00C04FD6" w:rsidRDefault="00C04FD6">
            <w:pPr>
              <w:spacing w:line="246" w:lineRule="exact"/>
              <w:ind w:left="100"/>
            </w:pPr>
            <w:r>
              <w:rPr>
                <w:szCs w:val="22"/>
              </w:rPr>
              <w:t>43</w:t>
            </w:r>
          </w:p>
        </w:tc>
        <w:tc>
          <w:tcPr>
            <w:tcW w:w="1543" w:type="dxa"/>
            <w:tcBorders>
              <w:top w:val="single" w:sz="4" w:space="0" w:color="000000"/>
              <w:left w:val="single" w:sz="4" w:space="0" w:color="000000"/>
              <w:bottom w:val="single" w:sz="4" w:space="0" w:color="000000"/>
              <w:right w:val="single" w:sz="4" w:space="0" w:color="000000"/>
            </w:tcBorders>
            <w:hideMark/>
          </w:tcPr>
          <w:p w:rsidR="00C04FD6" w:rsidRDefault="00C04FD6">
            <w:pPr>
              <w:spacing w:line="246" w:lineRule="exact"/>
              <w:ind w:left="102"/>
            </w:pPr>
            <w:r>
              <w:rPr>
                <w:szCs w:val="22"/>
              </w:rPr>
              <w:t>86</w:t>
            </w:r>
          </w:p>
        </w:tc>
        <w:tc>
          <w:tcPr>
            <w:tcW w:w="1703" w:type="dxa"/>
            <w:tcBorders>
              <w:top w:val="single" w:sz="4" w:space="0" w:color="000000"/>
              <w:left w:val="single" w:sz="4" w:space="0" w:color="000000"/>
              <w:bottom w:val="single" w:sz="4" w:space="0" w:color="000000"/>
              <w:right w:val="single" w:sz="4" w:space="0" w:color="000000"/>
            </w:tcBorders>
            <w:hideMark/>
          </w:tcPr>
          <w:p w:rsidR="00C04FD6" w:rsidRDefault="00C04FD6">
            <w:pPr>
              <w:spacing w:line="246" w:lineRule="exact"/>
              <w:ind w:left="102"/>
            </w:pPr>
            <w:r>
              <w:rPr>
                <w:szCs w:val="22"/>
              </w:rPr>
              <w:t>4</w:t>
            </w:r>
          </w:p>
        </w:tc>
        <w:tc>
          <w:tcPr>
            <w:tcW w:w="1703" w:type="dxa"/>
            <w:tcBorders>
              <w:top w:val="single" w:sz="4" w:space="0" w:color="000000"/>
              <w:left w:val="single" w:sz="4" w:space="0" w:color="000000"/>
              <w:bottom w:val="single" w:sz="4" w:space="0" w:color="000000"/>
              <w:right w:val="single" w:sz="4" w:space="0" w:color="000000"/>
            </w:tcBorders>
            <w:hideMark/>
          </w:tcPr>
          <w:p w:rsidR="00C04FD6" w:rsidRDefault="00C04FD6">
            <w:pPr>
              <w:spacing w:line="246" w:lineRule="exact"/>
              <w:ind w:left="102"/>
            </w:pPr>
            <w:r>
              <w:rPr>
                <w:szCs w:val="22"/>
              </w:rPr>
              <w:t>7</w:t>
            </w:r>
          </w:p>
        </w:tc>
        <w:tc>
          <w:tcPr>
            <w:tcW w:w="1702" w:type="dxa"/>
            <w:tcBorders>
              <w:top w:val="single" w:sz="4" w:space="0" w:color="000000"/>
              <w:left w:val="single" w:sz="4" w:space="0" w:color="000000"/>
              <w:bottom w:val="single" w:sz="4" w:space="0" w:color="000000"/>
              <w:right w:val="single" w:sz="6" w:space="0" w:color="000000"/>
            </w:tcBorders>
            <w:hideMark/>
          </w:tcPr>
          <w:p w:rsidR="00C04FD6" w:rsidRDefault="00C04FD6">
            <w:pPr>
              <w:spacing w:line="246" w:lineRule="exact"/>
              <w:ind w:left="100"/>
            </w:pPr>
            <w:r>
              <w:rPr>
                <w:szCs w:val="22"/>
              </w:rPr>
              <w:t>14</w:t>
            </w:r>
          </w:p>
        </w:tc>
      </w:tr>
      <w:tr w:rsidR="00C04FD6" w:rsidTr="00BA197D">
        <w:trPr>
          <w:trHeight w:hRule="exact" w:val="300"/>
        </w:trPr>
        <w:tc>
          <w:tcPr>
            <w:tcW w:w="1044" w:type="dxa"/>
            <w:tcBorders>
              <w:top w:val="single" w:sz="4" w:space="0" w:color="000000"/>
              <w:left w:val="single" w:sz="4" w:space="0" w:color="000000"/>
              <w:bottom w:val="single" w:sz="4" w:space="0" w:color="000000"/>
              <w:right w:val="single" w:sz="4" w:space="0" w:color="000000"/>
            </w:tcBorders>
            <w:hideMark/>
          </w:tcPr>
          <w:p w:rsidR="00C04FD6" w:rsidRDefault="00C04FD6">
            <w:pPr>
              <w:spacing w:line="246" w:lineRule="exact"/>
              <w:ind w:left="102"/>
            </w:pPr>
            <w:r>
              <w:rPr>
                <w:szCs w:val="22"/>
              </w:rPr>
              <w:t>70</w:t>
            </w:r>
          </w:p>
        </w:tc>
        <w:tc>
          <w:tcPr>
            <w:tcW w:w="1560" w:type="dxa"/>
            <w:tcBorders>
              <w:top w:val="single" w:sz="4" w:space="0" w:color="000000"/>
              <w:left w:val="single" w:sz="4" w:space="0" w:color="000000"/>
              <w:bottom w:val="single" w:sz="4" w:space="0" w:color="000000"/>
              <w:right w:val="single" w:sz="4" w:space="0" w:color="000000"/>
            </w:tcBorders>
            <w:hideMark/>
          </w:tcPr>
          <w:p w:rsidR="00C04FD6" w:rsidRDefault="00C04FD6">
            <w:pPr>
              <w:spacing w:line="246" w:lineRule="exact"/>
              <w:ind w:left="100"/>
            </w:pPr>
            <w:r>
              <w:rPr>
                <w:szCs w:val="22"/>
              </w:rPr>
              <w:t>50</w:t>
            </w:r>
          </w:p>
        </w:tc>
        <w:tc>
          <w:tcPr>
            <w:tcW w:w="1543" w:type="dxa"/>
            <w:tcBorders>
              <w:top w:val="single" w:sz="4" w:space="0" w:color="000000"/>
              <w:left w:val="single" w:sz="4" w:space="0" w:color="000000"/>
              <w:bottom w:val="single" w:sz="4" w:space="0" w:color="000000"/>
              <w:right w:val="single" w:sz="4" w:space="0" w:color="000000"/>
            </w:tcBorders>
            <w:hideMark/>
          </w:tcPr>
          <w:p w:rsidR="00C04FD6" w:rsidRDefault="00C04FD6">
            <w:pPr>
              <w:spacing w:line="246" w:lineRule="exact"/>
              <w:ind w:left="102"/>
            </w:pPr>
            <w:r>
              <w:rPr>
                <w:szCs w:val="22"/>
              </w:rPr>
              <w:t>101</w:t>
            </w:r>
          </w:p>
        </w:tc>
        <w:tc>
          <w:tcPr>
            <w:tcW w:w="1703" w:type="dxa"/>
            <w:tcBorders>
              <w:top w:val="single" w:sz="4" w:space="0" w:color="000000"/>
              <w:left w:val="single" w:sz="4" w:space="0" w:color="000000"/>
              <w:bottom w:val="single" w:sz="4" w:space="0" w:color="000000"/>
              <w:right w:val="single" w:sz="4" w:space="0" w:color="000000"/>
            </w:tcBorders>
            <w:hideMark/>
          </w:tcPr>
          <w:p w:rsidR="00C04FD6" w:rsidRDefault="00C04FD6">
            <w:pPr>
              <w:spacing w:line="246" w:lineRule="exact"/>
              <w:ind w:left="102"/>
            </w:pPr>
            <w:r>
              <w:rPr>
                <w:szCs w:val="22"/>
              </w:rPr>
              <w:t>4</w:t>
            </w:r>
          </w:p>
        </w:tc>
        <w:tc>
          <w:tcPr>
            <w:tcW w:w="1703" w:type="dxa"/>
            <w:tcBorders>
              <w:top w:val="single" w:sz="4" w:space="0" w:color="000000"/>
              <w:left w:val="single" w:sz="4" w:space="0" w:color="000000"/>
              <w:bottom w:val="single" w:sz="4" w:space="0" w:color="000000"/>
              <w:right w:val="single" w:sz="4" w:space="0" w:color="000000"/>
            </w:tcBorders>
            <w:hideMark/>
          </w:tcPr>
          <w:p w:rsidR="00C04FD6" w:rsidRDefault="00C04FD6">
            <w:pPr>
              <w:spacing w:line="246" w:lineRule="exact"/>
              <w:ind w:left="102"/>
            </w:pPr>
            <w:r>
              <w:rPr>
                <w:szCs w:val="22"/>
              </w:rPr>
              <w:t>8</w:t>
            </w:r>
          </w:p>
        </w:tc>
        <w:tc>
          <w:tcPr>
            <w:tcW w:w="1702" w:type="dxa"/>
            <w:tcBorders>
              <w:top w:val="single" w:sz="4" w:space="0" w:color="000000"/>
              <w:left w:val="single" w:sz="4" w:space="0" w:color="000000"/>
              <w:bottom w:val="single" w:sz="4" w:space="0" w:color="000000"/>
              <w:right w:val="single" w:sz="6" w:space="0" w:color="000000"/>
            </w:tcBorders>
            <w:hideMark/>
          </w:tcPr>
          <w:p w:rsidR="00C04FD6" w:rsidRDefault="00C04FD6">
            <w:pPr>
              <w:spacing w:line="246" w:lineRule="exact"/>
              <w:ind w:left="100"/>
            </w:pPr>
            <w:r>
              <w:rPr>
                <w:szCs w:val="22"/>
              </w:rPr>
              <w:t>17</w:t>
            </w:r>
          </w:p>
        </w:tc>
      </w:tr>
      <w:tr w:rsidR="00C04FD6" w:rsidTr="00BA197D">
        <w:trPr>
          <w:trHeight w:hRule="exact" w:val="300"/>
        </w:trPr>
        <w:tc>
          <w:tcPr>
            <w:tcW w:w="1044" w:type="dxa"/>
            <w:tcBorders>
              <w:top w:val="single" w:sz="4" w:space="0" w:color="000000"/>
              <w:left w:val="single" w:sz="4" w:space="0" w:color="000000"/>
              <w:bottom w:val="single" w:sz="4" w:space="0" w:color="000000"/>
              <w:right w:val="single" w:sz="4" w:space="0" w:color="000000"/>
            </w:tcBorders>
            <w:hideMark/>
          </w:tcPr>
          <w:p w:rsidR="00C04FD6" w:rsidRDefault="00C04FD6">
            <w:pPr>
              <w:spacing w:line="246" w:lineRule="exact"/>
              <w:ind w:left="102"/>
            </w:pPr>
            <w:r>
              <w:rPr>
                <w:szCs w:val="22"/>
              </w:rPr>
              <w:t>80</w:t>
            </w:r>
          </w:p>
        </w:tc>
        <w:tc>
          <w:tcPr>
            <w:tcW w:w="1560" w:type="dxa"/>
            <w:tcBorders>
              <w:top w:val="single" w:sz="4" w:space="0" w:color="000000"/>
              <w:left w:val="single" w:sz="4" w:space="0" w:color="000000"/>
              <w:bottom w:val="single" w:sz="4" w:space="0" w:color="000000"/>
              <w:right w:val="single" w:sz="4" w:space="0" w:color="000000"/>
            </w:tcBorders>
            <w:hideMark/>
          </w:tcPr>
          <w:p w:rsidR="00C04FD6" w:rsidRDefault="00C04FD6">
            <w:pPr>
              <w:spacing w:line="246" w:lineRule="exact"/>
              <w:ind w:left="100"/>
            </w:pPr>
            <w:r>
              <w:rPr>
                <w:szCs w:val="22"/>
              </w:rPr>
              <w:t>58</w:t>
            </w:r>
          </w:p>
        </w:tc>
        <w:tc>
          <w:tcPr>
            <w:tcW w:w="1543" w:type="dxa"/>
            <w:tcBorders>
              <w:top w:val="single" w:sz="4" w:space="0" w:color="000000"/>
              <w:left w:val="single" w:sz="4" w:space="0" w:color="000000"/>
              <w:bottom w:val="single" w:sz="4" w:space="0" w:color="000000"/>
              <w:right w:val="single" w:sz="4" w:space="0" w:color="000000"/>
            </w:tcBorders>
            <w:hideMark/>
          </w:tcPr>
          <w:p w:rsidR="00C04FD6" w:rsidRDefault="00C04FD6">
            <w:pPr>
              <w:spacing w:line="246" w:lineRule="exact"/>
              <w:ind w:left="102"/>
            </w:pPr>
            <w:r>
              <w:rPr>
                <w:szCs w:val="22"/>
              </w:rPr>
              <w:t>115</w:t>
            </w:r>
          </w:p>
        </w:tc>
        <w:tc>
          <w:tcPr>
            <w:tcW w:w="1703" w:type="dxa"/>
            <w:tcBorders>
              <w:top w:val="single" w:sz="4" w:space="0" w:color="000000"/>
              <w:left w:val="single" w:sz="4" w:space="0" w:color="000000"/>
              <w:bottom w:val="single" w:sz="4" w:space="0" w:color="000000"/>
              <w:right w:val="single" w:sz="4" w:space="0" w:color="000000"/>
            </w:tcBorders>
            <w:hideMark/>
          </w:tcPr>
          <w:p w:rsidR="00C04FD6" w:rsidRDefault="00C04FD6">
            <w:pPr>
              <w:spacing w:line="246" w:lineRule="exact"/>
              <w:ind w:left="102"/>
            </w:pPr>
            <w:r>
              <w:rPr>
                <w:szCs w:val="22"/>
              </w:rPr>
              <w:t>5</w:t>
            </w:r>
          </w:p>
        </w:tc>
        <w:tc>
          <w:tcPr>
            <w:tcW w:w="1703" w:type="dxa"/>
            <w:tcBorders>
              <w:top w:val="single" w:sz="4" w:space="0" w:color="000000"/>
              <w:left w:val="single" w:sz="4" w:space="0" w:color="000000"/>
              <w:bottom w:val="single" w:sz="4" w:space="0" w:color="000000"/>
              <w:right w:val="single" w:sz="4" w:space="0" w:color="000000"/>
            </w:tcBorders>
            <w:hideMark/>
          </w:tcPr>
          <w:p w:rsidR="00C04FD6" w:rsidRDefault="00C04FD6">
            <w:pPr>
              <w:spacing w:line="246" w:lineRule="exact"/>
              <w:ind w:left="102"/>
            </w:pPr>
            <w:r>
              <w:rPr>
                <w:szCs w:val="22"/>
              </w:rPr>
              <w:t>10</w:t>
            </w:r>
          </w:p>
        </w:tc>
        <w:tc>
          <w:tcPr>
            <w:tcW w:w="1702" w:type="dxa"/>
            <w:tcBorders>
              <w:top w:val="single" w:sz="4" w:space="0" w:color="000000"/>
              <w:left w:val="single" w:sz="4" w:space="0" w:color="000000"/>
              <w:bottom w:val="single" w:sz="4" w:space="0" w:color="000000"/>
              <w:right w:val="single" w:sz="6" w:space="0" w:color="000000"/>
            </w:tcBorders>
            <w:hideMark/>
          </w:tcPr>
          <w:p w:rsidR="00C04FD6" w:rsidRDefault="00C04FD6">
            <w:pPr>
              <w:spacing w:line="246" w:lineRule="exact"/>
              <w:ind w:left="100"/>
            </w:pPr>
            <w:r>
              <w:rPr>
                <w:szCs w:val="22"/>
              </w:rPr>
              <w:t>19</w:t>
            </w:r>
          </w:p>
        </w:tc>
      </w:tr>
      <w:tr w:rsidR="00C04FD6" w:rsidTr="00BA197D">
        <w:trPr>
          <w:trHeight w:hRule="exact" w:val="301"/>
        </w:trPr>
        <w:tc>
          <w:tcPr>
            <w:tcW w:w="1044" w:type="dxa"/>
            <w:tcBorders>
              <w:top w:val="single" w:sz="4" w:space="0" w:color="000000"/>
              <w:left w:val="single" w:sz="4" w:space="0" w:color="000000"/>
              <w:bottom w:val="single" w:sz="4" w:space="0" w:color="000000"/>
              <w:right w:val="single" w:sz="4" w:space="0" w:color="000000"/>
            </w:tcBorders>
            <w:hideMark/>
          </w:tcPr>
          <w:p w:rsidR="00C04FD6" w:rsidRDefault="00C04FD6">
            <w:pPr>
              <w:spacing w:line="246" w:lineRule="exact"/>
              <w:ind w:left="102"/>
            </w:pPr>
            <w:r>
              <w:rPr>
                <w:szCs w:val="22"/>
              </w:rPr>
              <w:t>90</w:t>
            </w:r>
          </w:p>
        </w:tc>
        <w:tc>
          <w:tcPr>
            <w:tcW w:w="1560" w:type="dxa"/>
            <w:tcBorders>
              <w:top w:val="single" w:sz="4" w:space="0" w:color="000000"/>
              <w:left w:val="single" w:sz="4" w:space="0" w:color="000000"/>
              <w:bottom w:val="single" w:sz="4" w:space="0" w:color="000000"/>
              <w:right w:val="single" w:sz="4" w:space="0" w:color="000000"/>
            </w:tcBorders>
            <w:hideMark/>
          </w:tcPr>
          <w:p w:rsidR="00C04FD6" w:rsidRDefault="00C04FD6">
            <w:pPr>
              <w:spacing w:line="246" w:lineRule="exact"/>
              <w:ind w:left="100"/>
            </w:pPr>
            <w:r>
              <w:rPr>
                <w:szCs w:val="22"/>
              </w:rPr>
              <w:t>65</w:t>
            </w:r>
          </w:p>
        </w:tc>
        <w:tc>
          <w:tcPr>
            <w:tcW w:w="1543" w:type="dxa"/>
            <w:tcBorders>
              <w:top w:val="single" w:sz="4" w:space="0" w:color="000000"/>
              <w:left w:val="single" w:sz="4" w:space="0" w:color="000000"/>
              <w:bottom w:val="single" w:sz="4" w:space="0" w:color="000000"/>
              <w:right w:val="single" w:sz="4" w:space="0" w:color="000000"/>
            </w:tcBorders>
            <w:hideMark/>
          </w:tcPr>
          <w:p w:rsidR="00C04FD6" w:rsidRDefault="00C04FD6">
            <w:pPr>
              <w:spacing w:line="246" w:lineRule="exact"/>
              <w:ind w:left="102"/>
            </w:pPr>
            <w:r>
              <w:rPr>
                <w:szCs w:val="22"/>
              </w:rPr>
              <w:t>130</w:t>
            </w:r>
          </w:p>
        </w:tc>
        <w:tc>
          <w:tcPr>
            <w:tcW w:w="1703" w:type="dxa"/>
            <w:tcBorders>
              <w:top w:val="single" w:sz="4" w:space="0" w:color="000000"/>
              <w:left w:val="single" w:sz="4" w:space="0" w:color="000000"/>
              <w:bottom w:val="single" w:sz="4" w:space="0" w:color="000000"/>
              <w:right w:val="single" w:sz="4" w:space="0" w:color="000000"/>
            </w:tcBorders>
            <w:hideMark/>
          </w:tcPr>
          <w:p w:rsidR="00C04FD6" w:rsidRDefault="00C04FD6">
            <w:pPr>
              <w:spacing w:line="246" w:lineRule="exact"/>
              <w:ind w:left="102"/>
            </w:pPr>
            <w:r>
              <w:rPr>
                <w:szCs w:val="22"/>
              </w:rPr>
              <w:t>5</w:t>
            </w:r>
          </w:p>
        </w:tc>
        <w:tc>
          <w:tcPr>
            <w:tcW w:w="1703" w:type="dxa"/>
            <w:tcBorders>
              <w:top w:val="single" w:sz="4" w:space="0" w:color="000000"/>
              <w:left w:val="single" w:sz="4" w:space="0" w:color="000000"/>
              <w:bottom w:val="single" w:sz="4" w:space="0" w:color="000000"/>
              <w:right w:val="single" w:sz="4" w:space="0" w:color="000000"/>
            </w:tcBorders>
            <w:hideMark/>
          </w:tcPr>
          <w:p w:rsidR="00C04FD6" w:rsidRDefault="00C04FD6">
            <w:pPr>
              <w:spacing w:line="246" w:lineRule="exact"/>
              <w:ind w:left="102"/>
            </w:pPr>
            <w:r>
              <w:rPr>
                <w:szCs w:val="22"/>
              </w:rPr>
              <w:t>11</w:t>
            </w:r>
          </w:p>
        </w:tc>
        <w:tc>
          <w:tcPr>
            <w:tcW w:w="1702" w:type="dxa"/>
            <w:tcBorders>
              <w:top w:val="single" w:sz="4" w:space="0" w:color="000000"/>
              <w:left w:val="single" w:sz="4" w:space="0" w:color="000000"/>
              <w:bottom w:val="single" w:sz="4" w:space="0" w:color="000000"/>
              <w:right w:val="single" w:sz="6" w:space="0" w:color="000000"/>
            </w:tcBorders>
            <w:hideMark/>
          </w:tcPr>
          <w:p w:rsidR="00C04FD6" w:rsidRDefault="00C04FD6">
            <w:pPr>
              <w:spacing w:line="246" w:lineRule="exact"/>
              <w:ind w:left="100"/>
            </w:pPr>
            <w:r>
              <w:rPr>
                <w:szCs w:val="22"/>
              </w:rPr>
              <w:t>22</w:t>
            </w:r>
          </w:p>
        </w:tc>
      </w:tr>
      <w:tr w:rsidR="00C04FD6" w:rsidTr="00BA197D">
        <w:trPr>
          <w:trHeight w:hRule="exact" w:val="300"/>
        </w:trPr>
        <w:tc>
          <w:tcPr>
            <w:tcW w:w="1044" w:type="dxa"/>
            <w:tcBorders>
              <w:top w:val="single" w:sz="4" w:space="0" w:color="000000"/>
              <w:left w:val="single" w:sz="4" w:space="0" w:color="000000"/>
              <w:bottom w:val="single" w:sz="4" w:space="0" w:color="000000"/>
              <w:right w:val="single" w:sz="4" w:space="0" w:color="000000"/>
            </w:tcBorders>
            <w:hideMark/>
          </w:tcPr>
          <w:p w:rsidR="00C04FD6" w:rsidRDefault="00C04FD6">
            <w:pPr>
              <w:spacing w:line="246" w:lineRule="exact"/>
              <w:ind w:left="102"/>
            </w:pPr>
            <w:r>
              <w:rPr>
                <w:szCs w:val="22"/>
              </w:rPr>
              <w:t>100</w:t>
            </w:r>
          </w:p>
        </w:tc>
        <w:tc>
          <w:tcPr>
            <w:tcW w:w="1560" w:type="dxa"/>
            <w:tcBorders>
              <w:top w:val="single" w:sz="4" w:space="0" w:color="000000"/>
              <w:left w:val="single" w:sz="4" w:space="0" w:color="000000"/>
              <w:bottom w:val="single" w:sz="4" w:space="0" w:color="000000"/>
              <w:right w:val="single" w:sz="4" w:space="0" w:color="000000"/>
            </w:tcBorders>
            <w:hideMark/>
          </w:tcPr>
          <w:p w:rsidR="00C04FD6" w:rsidRDefault="00C04FD6">
            <w:pPr>
              <w:spacing w:line="246" w:lineRule="exact"/>
              <w:ind w:left="100"/>
            </w:pPr>
            <w:r>
              <w:rPr>
                <w:szCs w:val="22"/>
              </w:rPr>
              <w:t>72</w:t>
            </w:r>
          </w:p>
        </w:tc>
        <w:tc>
          <w:tcPr>
            <w:tcW w:w="1543" w:type="dxa"/>
            <w:tcBorders>
              <w:top w:val="single" w:sz="4" w:space="0" w:color="000000"/>
              <w:left w:val="single" w:sz="4" w:space="0" w:color="000000"/>
              <w:bottom w:val="single" w:sz="4" w:space="0" w:color="000000"/>
              <w:right w:val="single" w:sz="4" w:space="0" w:color="000000"/>
            </w:tcBorders>
            <w:hideMark/>
          </w:tcPr>
          <w:p w:rsidR="00C04FD6" w:rsidRDefault="00C04FD6">
            <w:pPr>
              <w:spacing w:line="246" w:lineRule="exact"/>
              <w:ind w:left="102"/>
            </w:pPr>
            <w:r>
              <w:rPr>
                <w:szCs w:val="22"/>
              </w:rPr>
              <w:t>144</w:t>
            </w:r>
          </w:p>
        </w:tc>
        <w:tc>
          <w:tcPr>
            <w:tcW w:w="1703" w:type="dxa"/>
            <w:tcBorders>
              <w:top w:val="single" w:sz="4" w:space="0" w:color="000000"/>
              <w:left w:val="single" w:sz="4" w:space="0" w:color="000000"/>
              <w:bottom w:val="single" w:sz="4" w:space="0" w:color="000000"/>
              <w:right w:val="single" w:sz="4" w:space="0" w:color="000000"/>
            </w:tcBorders>
            <w:hideMark/>
          </w:tcPr>
          <w:p w:rsidR="00C04FD6" w:rsidRDefault="00C04FD6">
            <w:pPr>
              <w:spacing w:line="246" w:lineRule="exact"/>
              <w:ind w:left="102"/>
            </w:pPr>
            <w:r>
              <w:rPr>
                <w:szCs w:val="22"/>
              </w:rPr>
              <w:t>6</w:t>
            </w:r>
          </w:p>
        </w:tc>
        <w:tc>
          <w:tcPr>
            <w:tcW w:w="1703" w:type="dxa"/>
            <w:tcBorders>
              <w:top w:val="single" w:sz="4" w:space="0" w:color="000000"/>
              <w:left w:val="single" w:sz="4" w:space="0" w:color="000000"/>
              <w:bottom w:val="single" w:sz="4" w:space="0" w:color="000000"/>
              <w:right w:val="single" w:sz="4" w:space="0" w:color="000000"/>
            </w:tcBorders>
            <w:hideMark/>
          </w:tcPr>
          <w:p w:rsidR="00C04FD6" w:rsidRDefault="00C04FD6">
            <w:pPr>
              <w:spacing w:line="246" w:lineRule="exact"/>
              <w:ind w:left="102"/>
            </w:pPr>
            <w:r>
              <w:rPr>
                <w:szCs w:val="22"/>
              </w:rPr>
              <w:t>12</w:t>
            </w:r>
          </w:p>
        </w:tc>
        <w:tc>
          <w:tcPr>
            <w:tcW w:w="1702" w:type="dxa"/>
            <w:tcBorders>
              <w:top w:val="single" w:sz="4" w:space="0" w:color="000000"/>
              <w:left w:val="single" w:sz="4" w:space="0" w:color="000000"/>
              <w:bottom w:val="single" w:sz="4" w:space="0" w:color="000000"/>
              <w:right w:val="single" w:sz="6" w:space="0" w:color="000000"/>
            </w:tcBorders>
            <w:hideMark/>
          </w:tcPr>
          <w:p w:rsidR="00C04FD6" w:rsidRDefault="00C04FD6">
            <w:pPr>
              <w:spacing w:line="246" w:lineRule="exact"/>
              <w:ind w:left="100"/>
            </w:pPr>
            <w:r>
              <w:rPr>
                <w:szCs w:val="22"/>
              </w:rPr>
              <w:t>24</w:t>
            </w:r>
          </w:p>
        </w:tc>
      </w:tr>
      <w:tr w:rsidR="00C04FD6" w:rsidTr="00BA197D">
        <w:trPr>
          <w:trHeight w:hRule="exact" w:val="300"/>
        </w:trPr>
        <w:tc>
          <w:tcPr>
            <w:tcW w:w="1044" w:type="dxa"/>
            <w:tcBorders>
              <w:top w:val="single" w:sz="4" w:space="0" w:color="000000"/>
              <w:left w:val="single" w:sz="4" w:space="0" w:color="000000"/>
              <w:bottom w:val="single" w:sz="4" w:space="0" w:color="000000"/>
              <w:right w:val="single" w:sz="4" w:space="0" w:color="000000"/>
            </w:tcBorders>
            <w:hideMark/>
          </w:tcPr>
          <w:p w:rsidR="00C04FD6" w:rsidRDefault="00C04FD6">
            <w:pPr>
              <w:spacing w:line="246" w:lineRule="exact"/>
              <w:ind w:left="102"/>
            </w:pPr>
            <w:r>
              <w:rPr>
                <w:szCs w:val="22"/>
              </w:rPr>
              <w:t>110</w:t>
            </w:r>
          </w:p>
        </w:tc>
        <w:tc>
          <w:tcPr>
            <w:tcW w:w="1560" w:type="dxa"/>
            <w:tcBorders>
              <w:top w:val="single" w:sz="4" w:space="0" w:color="000000"/>
              <w:left w:val="single" w:sz="4" w:space="0" w:color="000000"/>
              <w:bottom w:val="single" w:sz="4" w:space="0" w:color="000000"/>
              <w:right w:val="single" w:sz="4" w:space="0" w:color="000000"/>
            </w:tcBorders>
            <w:hideMark/>
          </w:tcPr>
          <w:p w:rsidR="00C04FD6" w:rsidRDefault="00C04FD6">
            <w:pPr>
              <w:spacing w:line="246" w:lineRule="exact"/>
              <w:ind w:left="100"/>
            </w:pPr>
            <w:r>
              <w:rPr>
                <w:szCs w:val="22"/>
              </w:rPr>
              <w:t>79</w:t>
            </w:r>
          </w:p>
        </w:tc>
        <w:tc>
          <w:tcPr>
            <w:tcW w:w="1543" w:type="dxa"/>
            <w:tcBorders>
              <w:top w:val="single" w:sz="4" w:space="0" w:color="000000"/>
              <w:left w:val="single" w:sz="4" w:space="0" w:color="000000"/>
              <w:bottom w:val="single" w:sz="4" w:space="0" w:color="000000"/>
              <w:right w:val="single" w:sz="4" w:space="0" w:color="000000"/>
            </w:tcBorders>
            <w:hideMark/>
          </w:tcPr>
          <w:p w:rsidR="00C04FD6" w:rsidRDefault="00C04FD6">
            <w:pPr>
              <w:spacing w:line="246" w:lineRule="exact"/>
              <w:ind w:left="102"/>
            </w:pPr>
            <w:r>
              <w:rPr>
                <w:szCs w:val="22"/>
              </w:rPr>
              <w:t>158</w:t>
            </w:r>
          </w:p>
        </w:tc>
        <w:tc>
          <w:tcPr>
            <w:tcW w:w="1703" w:type="dxa"/>
            <w:tcBorders>
              <w:top w:val="single" w:sz="4" w:space="0" w:color="000000"/>
              <w:left w:val="single" w:sz="4" w:space="0" w:color="000000"/>
              <w:bottom w:val="single" w:sz="4" w:space="0" w:color="000000"/>
              <w:right w:val="single" w:sz="4" w:space="0" w:color="000000"/>
            </w:tcBorders>
            <w:hideMark/>
          </w:tcPr>
          <w:p w:rsidR="00C04FD6" w:rsidRDefault="00C04FD6">
            <w:pPr>
              <w:spacing w:line="246" w:lineRule="exact"/>
              <w:ind w:left="102"/>
            </w:pPr>
            <w:r>
              <w:rPr>
                <w:szCs w:val="22"/>
              </w:rPr>
              <w:t>7</w:t>
            </w:r>
          </w:p>
        </w:tc>
        <w:tc>
          <w:tcPr>
            <w:tcW w:w="1703" w:type="dxa"/>
            <w:tcBorders>
              <w:top w:val="single" w:sz="4" w:space="0" w:color="000000"/>
              <w:left w:val="single" w:sz="4" w:space="0" w:color="000000"/>
              <w:bottom w:val="single" w:sz="4" w:space="0" w:color="000000"/>
              <w:right w:val="single" w:sz="4" w:space="0" w:color="000000"/>
            </w:tcBorders>
            <w:hideMark/>
          </w:tcPr>
          <w:p w:rsidR="00C04FD6" w:rsidRDefault="00C04FD6">
            <w:pPr>
              <w:spacing w:line="246" w:lineRule="exact"/>
              <w:ind w:left="102"/>
            </w:pPr>
            <w:r>
              <w:rPr>
                <w:szCs w:val="22"/>
              </w:rPr>
              <w:t>13</w:t>
            </w:r>
          </w:p>
        </w:tc>
        <w:tc>
          <w:tcPr>
            <w:tcW w:w="1702" w:type="dxa"/>
            <w:tcBorders>
              <w:top w:val="single" w:sz="4" w:space="0" w:color="000000"/>
              <w:left w:val="single" w:sz="4" w:space="0" w:color="000000"/>
              <w:bottom w:val="single" w:sz="4" w:space="0" w:color="000000"/>
              <w:right w:val="single" w:sz="6" w:space="0" w:color="000000"/>
            </w:tcBorders>
            <w:hideMark/>
          </w:tcPr>
          <w:p w:rsidR="00C04FD6" w:rsidRDefault="00C04FD6">
            <w:pPr>
              <w:spacing w:line="246" w:lineRule="exact"/>
              <w:ind w:left="100"/>
            </w:pPr>
            <w:r>
              <w:rPr>
                <w:szCs w:val="22"/>
              </w:rPr>
              <w:t>26</w:t>
            </w:r>
          </w:p>
        </w:tc>
      </w:tr>
      <w:tr w:rsidR="00C04FD6" w:rsidTr="00BA197D">
        <w:trPr>
          <w:trHeight w:hRule="exact" w:val="300"/>
        </w:trPr>
        <w:tc>
          <w:tcPr>
            <w:tcW w:w="1044" w:type="dxa"/>
            <w:tcBorders>
              <w:top w:val="single" w:sz="4" w:space="0" w:color="000000"/>
              <w:left w:val="single" w:sz="4" w:space="0" w:color="000000"/>
              <w:bottom w:val="single" w:sz="4" w:space="0" w:color="000000"/>
              <w:right w:val="single" w:sz="4" w:space="0" w:color="000000"/>
            </w:tcBorders>
            <w:hideMark/>
          </w:tcPr>
          <w:p w:rsidR="00C04FD6" w:rsidRDefault="00C04FD6">
            <w:pPr>
              <w:spacing w:line="246" w:lineRule="exact"/>
              <w:ind w:left="102"/>
            </w:pPr>
            <w:r>
              <w:rPr>
                <w:szCs w:val="22"/>
              </w:rPr>
              <w:t>120</w:t>
            </w:r>
          </w:p>
        </w:tc>
        <w:tc>
          <w:tcPr>
            <w:tcW w:w="1560" w:type="dxa"/>
            <w:tcBorders>
              <w:top w:val="single" w:sz="4" w:space="0" w:color="000000"/>
              <w:left w:val="single" w:sz="4" w:space="0" w:color="000000"/>
              <w:bottom w:val="single" w:sz="4" w:space="0" w:color="000000"/>
              <w:right w:val="single" w:sz="4" w:space="0" w:color="000000"/>
            </w:tcBorders>
            <w:hideMark/>
          </w:tcPr>
          <w:p w:rsidR="00C04FD6" w:rsidRDefault="00C04FD6">
            <w:pPr>
              <w:spacing w:line="246" w:lineRule="exact"/>
              <w:ind w:left="100"/>
            </w:pPr>
            <w:r>
              <w:rPr>
                <w:szCs w:val="22"/>
              </w:rPr>
              <w:t>86</w:t>
            </w:r>
          </w:p>
        </w:tc>
        <w:tc>
          <w:tcPr>
            <w:tcW w:w="1543" w:type="dxa"/>
            <w:tcBorders>
              <w:top w:val="single" w:sz="4" w:space="0" w:color="000000"/>
              <w:left w:val="single" w:sz="4" w:space="0" w:color="000000"/>
              <w:bottom w:val="single" w:sz="4" w:space="0" w:color="000000"/>
              <w:right w:val="single" w:sz="4" w:space="0" w:color="000000"/>
            </w:tcBorders>
            <w:hideMark/>
          </w:tcPr>
          <w:p w:rsidR="00C04FD6" w:rsidRDefault="00C04FD6">
            <w:pPr>
              <w:spacing w:line="246" w:lineRule="exact"/>
              <w:ind w:left="102"/>
            </w:pPr>
            <w:r>
              <w:rPr>
                <w:szCs w:val="22"/>
              </w:rPr>
              <w:t>173</w:t>
            </w:r>
          </w:p>
        </w:tc>
        <w:tc>
          <w:tcPr>
            <w:tcW w:w="1703" w:type="dxa"/>
            <w:tcBorders>
              <w:top w:val="single" w:sz="4" w:space="0" w:color="000000"/>
              <w:left w:val="single" w:sz="4" w:space="0" w:color="000000"/>
              <w:bottom w:val="single" w:sz="4" w:space="0" w:color="000000"/>
              <w:right w:val="single" w:sz="4" w:space="0" w:color="000000"/>
            </w:tcBorders>
            <w:hideMark/>
          </w:tcPr>
          <w:p w:rsidR="00C04FD6" w:rsidRDefault="00C04FD6">
            <w:pPr>
              <w:spacing w:line="246" w:lineRule="exact"/>
              <w:ind w:left="102"/>
            </w:pPr>
            <w:r>
              <w:rPr>
                <w:szCs w:val="22"/>
              </w:rPr>
              <w:t>7</w:t>
            </w:r>
          </w:p>
        </w:tc>
        <w:tc>
          <w:tcPr>
            <w:tcW w:w="1703" w:type="dxa"/>
            <w:tcBorders>
              <w:top w:val="single" w:sz="4" w:space="0" w:color="000000"/>
              <w:left w:val="single" w:sz="4" w:space="0" w:color="000000"/>
              <w:bottom w:val="single" w:sz="4" w:space="0" w:color="000000"/>
              <w:right w:val="single" w:sz="4" w:space="0" w:color="000000"/>
            </w:tcBorders>
            <w:hideMark/>
          </w:tcPr>
          <w:p w:rsidR="00C04FD6" w:rsidRDefault="00C04FD6">
            <w:pPr>
              <w:spacing w:line="246" w:lineRule="exact"/>
              <w:ind w:left="102"/>
            </w:pPr>
            <w:r>
              <w:rPr>
                <w:szCs w:val="22"/>
              </w:rPr>
              <w:t>14</w:t>
            </w:r>
          </w:p>
        </w:tc>
        <w:tc>
          <w:tcPr>
            <w:tcW w:w="1702" w:type="dxa"/>
            <w:tcBorders>
              <w:top w:val="single" w:sz="4" w:space="0" w:color="000000"/>
              <w:left w:val="single" w:sz="4" w:space="0" w:color="000000"/>
              <w:bottom w:val="single" w:sz="4" w:space="0" w:color="000000"/>
              <w:right w:val="single" w:sz="6" w:space="0" w:color="000000"/>
            </w:tcBorders>
            <w:hideMark/>
          </w:tcPr>
          <w:p w:rsidR="00C04FD6" w:rsidRDefault="00C04FD6">
            <w:pPr>
              <w:spacing w:line="246" w:lineRule="exact"/>
              <w:ind w:left="100"/>
            </w:pPr>
            <w:r>
              <w:rPr>
                <w:szCs w:val="22"/>
              </w:rPr>
              <w:t>29</w:t>
            </w:r>
          </w:p>
        </w:tc>
      </w:tr>
    </w:tbl>
    <w:p w:rsidR="00C04FD6" w:rsidRDefault="00C04FD6" w:rsidP="00C04FD6">
      <w:pPr>
        <w:autoSpaceDE w:val="0"/>
        <w:autoSpaceDN w:val="0"/>
        <w:adjustRightInd w:val="0"/>
        <w:ind w:left="851" w:hanging="851"/>
        <w:rPr>
          <w:sz w:val="24"/>
          <w:szCs w:val="24"/>
          <w:lang w:eastAsia="da-DK"/>
        </w:rPr>
      </w:pPr>
    </w:p>
    <w:p w:rsidR="00C04FD6" w:rsidRDefault="00C04FD6" w:rsidP="00C04FD6">
      <w:pPr>
        <w:autoSpaceDE w:val="0"/>
        <w:autoSpaceDN w:val="0"/>
        <w:adjustRightInd w:val="0"/>
        <w:ind w:left="851"/>
        <w:rPr>
          <w:sz w:val="24"/>
          <w:szCs w:val="24"/>
          <w:lang w:eastAsia="da-DK"/>
        </w:rPr>
      </w:pPr>
      <w:r>
        <w:rPr>
          <w:sz w:val="24"/>
          <w:szCs w:val="24"/>
          <w:lang w:eastAsia="da-DK"/>
        </w:rPr>
        <w:lastRenderedPageBreak/>
        <w:t xml:space="preserve">Tabel 2 giver detaljer om infusionshastigheder både for støddosis og kontinuerlig infusion af en </w:t>
      </w:r>
      <w:r>
        <w:rPr>
          <w:b/>
          <w:sz w:val="24"/>
          <w:szCs w:val="24"/>
          <w:lang w:eastAsia="da-DK"/>
        </w:rPr>
        <w:t xml:space="preserve">0,025 mg/ml </w:t>
      </w:r>
      <w:r>
        <w:rPr>
          <w:bCs/>
          <w:sz w:val="24"/>
          <w:szCs w:val="24"/>
          <w:lang w:eastAsia="da-DK"/>
        </w:rPr>
        <w:t>Levosimendan "Fresenius Kabi"</w:t>
      </w:r>
      <w:r>
        <w:rPr>
          <w:sz w:val="24"/>
          <w:szCs w:val="24"/>
          <w:lang w:eastAsia="da-DK"/>
        </w:rPr>
        <w:t xml:space="preserve"> infusionsvæske:</w:t>
      </w:r>
    </w:p>
    <w:p w:rsidR="00C04FD6" w:rsidRDefault="00C04FD6" w:rsidP="00C04FD6">
      <w:pPr>
        <w:autoSpaceDE w:val="0"/>
        <w:autoSpaceDN w:val="0"/>
        <w:adjustRightInd w:val="0"/>
        <w:ind w:left="851"/>
        <w:rPr>
          <w:sz w:val="24"/>
          <w:szCs w:val="24"/>
          <w:lang w:eastAsia="da-DK"/>
        </w:rPr>
      </w:pPr>
    </w:p>
    <w:p w:rsidR="00C04FD6" w:rsidRDefault="00C04FD6" w:rsidP="00BA197D">
      <w:pPr>
        <w:autoSpaceDE w:val="0"/>
        <w:autoSpaceDN w:val="0"/>
        <w:adjustRightInd w:val="0"/>
        <w:ind w:left="709"/>
        <w:rPr>
          <w:sz w:val="24"/>
          <w:szCs w:val="24"/>
          <w:lang w:eastAsia="da-DK"/>
        </w:rPr>
      </w:pPr>
      <w:r>
        <w:rPr>
          <w:sz w:val="24"/>
          <w:szCs w:val="24"/>
          <w:lang w:eastAsia="da-DK"/>
        </w:rPr>
        <w:t>Tabel 2</w:t>
      </w:r>
    </w:p>
    <w:p w:rsidR="00C04FD6" w:rsidRDefault="00C04FD6" w:rsidP="00C04FD6">
      <w:pPr>
        <w:spacing w:before="5" w:line="240" w:lineRule="exact"/>
        <w:rPr>
          <w:sz w:val="24"/>
          <w:szCs w:val="24"/>
        </w:rPr>
      </w:pPr>
    </w:p>
    <w:tbl>
      <w:tblPr>
        <w:tblW w:w="9495" w:type="dxa"/>
        <w:tblInd w:w="704" w:type="dxa"/>
        <w:tblLayout w:type="fixed"/>
        <w:tblCellMar>
          <w:left w:w="0" w:type="dxa"/>
          <w:right w:w="0" w:type="dxa"/>
        </w:tblCellMar>
        <w:tblLook w:val="01E0" w:firstRow="1" w:lastRow="1" w:firstColumn="1" w:lastColumn="1" w:noHBand="0" w:noVBand="0"/>
      </w:tblPr>
      <w:tblGrid>
        <w:gridCol w:w="1135"/>
        <w:gridCol w:w="1559"/>
        <w:gridCol w:w="1559"/>
        <w:gridCol w:w="1842"/>
        <w:gridCol w:w="1700"/>
        <w:gridCol w:w="1700"/>
      </w:tblGrid>
      <w:tr w:rsidR="00C04FD6" w:rsidTr="00BA197D">
        <w:trPr>
          <w:trHeight w:hRule="exact" w:val="1485"/>
        </w:trPr>
        <w:tc>
          <w:tcPr>
            <w:tcW w:w="1135" w:type="dxa"/>
            <w:vMerge w:val="restart"/>
            <w:tcBorders>
              <w:top w:val="single" w:sz="6" w:space="0" w:color="000000"/>
              <w:left w:val="single" w:sz="4" w:space="0" w:color="000000"/>
              <w:bottom w:val="single" w:sz="12" w:space="0" w:color="000000"/>
              <w:right w:val="single" w:sz="4" w:space="0" w:color="000000"/>
            </w:tcBorders>
            <w:hideMark/>
          </w:tcPr>
          <w:p w:rsidR="00C04FD6" w:rsidRDefault="00C04FD6">
            <w:pPr>
              <w:tabs>
                <w:tab w:val="left" w:pos="720"/>
              </w:tabs>
              <w:spacing w:before="2"/>
              <w:ind w:left="102"/>
              <w:rPr>
                <w:sz w:val="22"/>
                <w:szCs w:val="22"/>
              </w:rPr>
            </w:pPr>
            <w:r>
              <w:rPr>
                <w:sz w:val="22"/>
                <w:szCs w:val="22"/>
              </w:rPr>
              <w:t>Patientens vægt (kg)</w:t>
            </w:r>
          </w:p>
        </w:tc>
        <w:tc>
          <w:tcPr>
            <w:tcW w:w="3118" w:type="dxa"/>
            <w:gridSpan w:val="2"/>
            <w:tcBorders>
              <w:top w:val="single" w:sz="6" w:space="0" w:color="000000"/>
              <w:left w:val="single" w:sz="4" w:space="0" w:color="000000"/>
              <w:bottom w:val="nil"/>
              <w:right w:val="single" w:sz="4" w:space="0" w:color="000000"/>
            </w:tcBorders>
            <w:hideMark/>
          </w:tcPr>
          <w:p w:rsidR="00C04FD6" w:rsidRDefault="00C04FD6">
            <w:pPr>
              <w:spacing w:before="2"/>
              <w:ind w:left="100"/>
            </w:pPr>
            <w:r>
              <w:rPr>
                <w:sz w:val="24"/>
                <w:szCs w:val="24"/>
                <w:lang w:eastAsia="de-DE"/>
              </w:rPr>
              <w:t xml:space="preserve">Støddosis administreret som </w:t>
            </w:r>
            <w:r>
              <w:rPr>
                <w:sz w:val="24"/>
                <w:szCs w:val="24"/>
                <w:lang w:eastAsia="de-DE"/>
              </w:rPr>
              <w:br w:type="textWrapping" w:clear="all"/>
              <w:t xml:space="preserve">infusion i løbet af </w:t>
            </w:r>
            <w:r>
              <w:rPr>
                <w:sz w:val="24"/>
                <w:szCs w:val="24"/>
                <w:lang w:eastAsia="de-DE"/>
              </w:rPr>
              <w:br w:type="textWrapping" w:clear="all"/>
              <w:t xml:space="preserve">10 minutter med </w:t>
            </w:r>
            <w:r>
              <w:rPr>
                <w:sz w:val="24"/>
                <w:szCs w:val="24"/>
                <w:lang w:eastAsia="de-DE"/>
              </w:rPr>
              <w:br w:type="textWrapping" w:clear="all"/>
              <w:t xml:space="preserve">følgende infusionshastighed </w:t>
            </w:r>
            <w:r>
              <w:rPr>
                <w:sz w:val="24"/>
                <w:szCs w:val="24"/>
                <w:lang w:eastAsia="de-DE"/>
              </w:rPr>
              <w:br w:type="textWrapping" w:clear="all"/>
              <w:t>(ml/time)</w:t>
            </w:r>
          </w:p>
        </w:tc>
        <w:tc>
          <w:tcPr>
            <w:tcW w:w="5242" w:type="dxa"/>
            <w:gridSpan w:val="3"/>
            <w:tcBorders>
              <w:top w:val="single" w:sz="6" w:space="0" w:color="000000"/>
              <w:left w:val="single" w:sz="4" w:space="0" w:color="000000"/>
              <w:bottom w:val="nil"/>
              <w:right w:val="single" w:sz="6" w:space="0" w:color="000000"/>
            </w:tcBorders>
            <w:hideMark/>
          </w:tcPr>
          <w:p w:rsidR="00C04FD6" w:rsidRDefault="00C04FD6">
            <w:pPr>
              <w:spacing w:before="2"/>
              <w:ind w:left="102"/>
            </w:pPr>
            <w:r>
              <w:rPr>
                <w:sz w:val="24"/>
                <w:szCs w:val="24"/>
                <w:lang w:val="de-DE" w:eastAsia="de-DE"/>
              </w:rPr>
              <w:t xml:space="preserve">Kontinuerlig infusionshastighed </w:t>
            </w:r>
            <w:r>
              <w:rPr>
                <w:sz w:val="24"/>
                <w:szCs w:val="24"/>
                <w:lang w:val="de-DE" w:eastAsia="de-DE"/>
              </w:rPr>
              <w:br w:type="textWrapping" w:clear="all"/>
              <w:t>(ml/time)</w:t>
            </w:r>
          </w:p>
        </w:tc>
      </w:tr>
      <w:tr w:rsidR="00C04FD6" w:rsidTr="00BA197D">
        <w:trPr>
          <w:trHeight w:hRule="exact" w:val="1041"/>
        </w:trPr>
        <w:tc>
          <w:tcPr>
            <w:tcW w:w="1135" w:type="dxa"/>
            <w:vMerge/>
            <w:tcBorders>
              <w:top w:val="single" w:sz="6" w:space="0" w:color="000000"/>
              <w:left w:val="single" w:sz="4" w:space="0" w:color="000000"/>
              <w:bottom w:val="single" w:sz="12" w:space="0" w:color="000000"/>
              <w:right w:val="single" w:sz="4" w:space="0" w:color="000000"/>
            </w:tcBorders>
            <w:vAlign w:val="center"/>
            <w:hideMark/>
          </w:tcPr>
          <w:p w:rsidR="00C04FD6" w:rsidRDefault="00C04FD6">
            <w:pPr>
              <w:rPr>
                <w:sz w:val="22"/>
                <w:szCs w:val="22"/>
              </w:rPr>
            </w:pPr>
          </w:p>
        </w:tc>
        <w:tc>
          <w:tcPr>
            <w:tcW w:w="1559" w:type="dxa"/>
            <w:tcBorders>
              <w:top w:val="single" w:sz="12" w:space="0" w:color="000000"/>
              <w:left w:val="single" w:sz="4" w:space="0" w:color="000000"/>
              <w:bottom w:val="single" w:sz="12" w:space="0" w:color="000000"/>
              <w:right w:val="single" w:sz="4" w:space="0" w:color="000000"/>
            </w:tcBorders>
            <w:hideMark/>
          </w:tcPr>
          <w:p w:rsidR="00C04FD6" w:rsidRDefault="00C04FD6">
            <w:pPr>
              <w:pStyle w:val="fkpreparattabellweb"/>
              <w:rPr>
                <w:sz w:val="24"/>
                <w:szCs w:val="24"/>
                <w:lang w:val="de-DE" w:eastAsia="de-DE"/>
              </w:rPr>
            </w:pPr>
            <w:r>
              <w:rPr>
                <w:sz w:val="24"/>
                <w:szCs w:val="24"/>
                <w:lang w:val="de-DE" w:eastAsia="de-DE"/>
              </w:rPr>
              <w:t xml:space="preserve">  Støddosis </w:t>
            </w:r>
          </w:p>
          <w:p w:rsidR="00C04FD6" w:rsidRDefault="00C04FD6">
            <w:pPr>
              <w:spacing w:line="246" w:lineRule="exact"/>
              <w:ind w:left="100"/>
            </w:pPr>
            <w:r>
              <w:rPr>
                <w:sz w:val="24"/>
                <w:szCs w:val="24"/>
                <w:lang w:val="de-DE" w:eastAsia="de-DE"/>
              </w:rPr>
              <w:t>6 mikrog/kg</w:t>
            </w:r>
          </w:p>
        </w:tc>
        <w:tc>
          <w:tcPr>
            <w:tcW w:w="1559" w:type="dxa"/>
            <w:tcBorders>
              <w:top w:val="single" w:sz="12" w:space="0" w:color="000000"/>
              <w:left w:val="single" w:sz="4" w:space="0" w:color="000000"/>
              <w:bottom w:val="single" w:sz="12" w:space="0" w:color="000000"/>
              <w:right w:val="single" w:sz="4" w:space="0" w:color="000000"/>
            </w:tcBorders>
            <w:hideMark/>
          </w:tcPr>
          <w:p w:rsidR="00C04FD6" w:rsidRDefault="00C04FD6">
            <w:pPr>
              <w:spacing w:line="246" w:lineRule="exact"/>
              <w:ind w:left="102"/>
            </w:pPr>
            <w:r>
              <w:rPr>
                <w:sz w:val="24"/>
                <w:szCs w:val="24"/>
                <w:lang w:val="de-DE" w:eastAsia="de-DE"/>
              </w:rPr>
              <w:t>Støddosis 12 mikrog/kg</w:t>
            </w:r>
          </w:p>
        </w:tc>
        <w:tc>
          <w:tcPr>
            <w:tcW w:w="1842" w:type="dxa"/>
            <w:tcBorders>
              <w:top w:val="single" w:sz="12" w:space="0" w:color="000000"/>
              <w:left w:val="single" w:sz="4" w:space="0" w:color="000000"/>
              <w:bottom w:val="single" w:sz="12" w:space="0" w:color="000000"/>
              <w:right w:val="single" w:sz="4" w:space="0" w:color="000000"/>
            </w:tcBorders>
            <w:hideMark/>
          </w:tcPr>
          <w:p w:rsidR="00C04FD6" w:rsidRDefault="00C04FD6">
            <w:pPr>
              <w:spacing w:line="246" w:lineRule="exact"/>
              <w:ind w:left="102"/>
            </w:pPr>
            <w:r>
              <w:rPr>
                <w:szCs w:val="22"/>
              </w:rPr>
              <w:t>0,05</w:t>
            </w:r>
          </w:p>
          <w:p w:rsidR="00C04FD6" w:rsidRDefault="00C04FD6">
            <w:pPr>
              <w:spacing w:before="3" w:line="252" w:lineRule="exact"/>
              <w:ind w:left="102"/>
              <w:rPr>
                <w:spacing w:val="3"/>
                <w:szCs w:val="22"/>
              </w:rPr>
            </w:pPr>
            <w:r>
              <w:rPr>
                <w:spacing w:val="-4"/>
                <w:szCs w:val="22"/>
              </w:rPr>
              <w:t>m</w:t>
            </w:r>
            <w:r>
              <w:rPr>
                <w:spacing w:val="1"/>
                <w:szCs w:val="22"/>
              </w:rPr>
              <w:t>i</w:t>
            </w:r>
            <w:r>
              <w:rPr>
                <w:szCs w:val="22"/>
              </w:rPr>
              <w:t>k</w:t>
            </w:r>
            <w:r>
              <w:rPr>
                <w:spacing w:val="1"/>
                <w:szCs w:val="22"/>
              </w:rPr>
              <w:t>r</w:t>
            </w:r>
            <w:r>
              <w:rPr>
                <w:szCs w:val="22"/>
              </w:rPr>
              <w:t>o</w:t>
            </w:r>
            <w:r>
              <w:rPr>
                <w:spacing w:val="-2"/>
                <w:szCs w:val="22"/>
              </w:rPr>
              <w:t>g</w:t>
            </w:r>
            <w:r>
              <w:rPr>
                <w:spacing w:val="1"/>
                <w:szCs w:val="22"/>
              </w:rPr>
              <w:t>r</w:t>
            </w:r>
            <w:r>
              <w:rPr>
                <w:szCs w:val="22"/>
              </w:rPr>
              <w:t>a</w:t>
            </w:r>
            <w:r>
              <w:rPr>
                <w:spacing w:val="-3"/>
                <w:szCs w:val="22"/>
              </w:rPr>
              <w:t>m</w:t>
            </w:r>
            <w:r>
              <w:rPr>
                <w:spacing w:val="1"/>
                <w:szCs w:val="22"/>
              </w:rPr>
              <w:t>/</w:t>
            </w:r>
            <w:r>
              <w:rPr>
                <w:szCs w:val="22"/>
              </w:rPr>
              <w:t>k</w:t>
            </w:r>
            <w:r>
              <w:rPr>
                <w:spacing w:val="-2"/>
                <w:szCs w:val="22"/>
              </w:rPr>
              <w:t>g</w:t>
            </w:r>
            <w:r>
              <w:rPr>
                <w:spacing w:val="3"/>
                <w:szCs w:val="22"/>
              </w:rPr>
              <w:t>/</w:t>
            </w:r>
          </w:p>
          <w:p w:rsidR="00C04FD6" w:rsidRDefault="00C04FD6">
            <w:pPr>
              <w:spacing w:before="3" w:line="252" w:lineRule="exact"/>
              <w:ind w:left="102"/>
            </w:pPr>
            <w:r>
              <w:rPr>
                <w:spacing w:val="-4"/>
                <w:szCs w:val="22"/>
              </w:rPr>
              <w:t>m</w:t>
            </w:r>
            <w:r>
              <w:rPr>
                <w:szCs w:val="22"/>
              </w:rPr>
              <w:t>inu</w:t>
            </w:r>
            <w:r>
              <w:rPr>
                <w:spacing w:val="1"/>
                <w:szCs w:val="22"/>
              </w:rPr>
              <w:t>t</w:t>
            </w:r>
          </w:p>
        </w:tc>
        <w:tc>
          <w:tcPr>
            <w:tcW w:w="1700" w:type="dxa"/>
            <w:tcBorders>
              <w:top w:val="single" w:sz="12" w:space="0" w:color="000000"/>
              <w:left w:val="single" w:sz="4" w:space="0" w:color="000000"/>
              <w:bottom w:val="single" w:sz="12" w:space="0" w:color="000000"/>
              <w:right w:val="single" w:sz="4" w:space="0" w:color="000000"/>
            </w:tcBorders>
            <w:hideMark/>
          </w:tcPr>
          <w:p w:rsidR="00C04FD6" w:rsidRDefault="00C04FD6">
            <w:pPr>
              <w:spacing w:line="246" w:lineRule="exact"/>
              <w:ind w:left="102"/>
            </w:pPr>
            <w:r>
              <w:rPr>
                <w:szCs w:val="22"/>
              </w:rPr>
              <w:t>0,1</w:t>
            </w:r>
          </w:p>
          <w:p w:rsidR="00C04FD6" w:rsidRDefault="00C04FD6">
            <w:pPr>
              <w:spacing w:before="3" w:line="252" w:lineRule="exact"/>
              <w:ind w:left="102"/>
              <w:rPr>
                <w:spacing w:val="3"/>
                <w:szCs w:val="22"/>
              </w:rPr>
            </w:pPr>
            <w:r>
              <w:rPr>
                <w:spacing w:val="-4"/>
                <w:szCs w:val="22"/>
              </w:rPr>
              <w:t>m</w:t>
            </w:r>
            <w:r>
              <w:rPr>
                <w:spacing w:val="1"/>
                <w:szCs w:val="22"/>
              </w:rPr>
              <w:t>i</w:t>
            </w:r>
            <w:r>
              <w:rPr>
                <w:szCs w:val="22"/>
              </w:rPr>
              <w:t>k</w:t>
            </w:r>
            <w:r>
              <w:rPr>
                <w:spacing w:val="1"/>
                <w:szCs w:val="22"/>
              </w:rPr>
              <w:t>r</w:t>
            </w:r>
            <w:r>
              <w:rPr>
                <w:szCs w:val="22"/>
              </w:rPr>
              <w:t>o</w:t>
            </w:r>
            <w:r>
              <w:rPr>
                <w:spacing w:val="-2"/>
                <w:szCs w:val="22"/>
              </w:rPr>
              <w:t>g</w:t>
            </w:r>
            <w:r>
              <w:rPr>
                <w:spacing w:val="1"/>
                <w:szCs w:val="22"/>
              </w:rPr>
              <w:t>r</w:t>
            </w:r>
            <w:r>
              <w:rPr>
                <w:szCs w:val="22"/>
              </w:rPr>
              <w:t>a</w:t>
            </w:r>
            <w:r>
              <w:rPr>
                <w:spacing w:val="-3"/>
                <w:szCs w:val="22"/>
              </w:rPr>
              <w:t>m</w:t>
            </w:r>
            <w:r>
              <w:rPr>
                <w:spacing w:val="1"/>
                <w:szCs w:val="22"/>
              </w:rPr>
              <w:t>/</w:t>
            </w:r>
            <w:r>
              <w:rPr>
                <w:szCs w:val="22"/>
              </w:rPr>
              <w:t>k</w:t>
            </w:r>
            <w:r>
              <w:rPr>
                <w:spacing w:val="-2"/>
                <w:szCs w:val="22"/>
              </w:rPr>
              <w:t>g</w:t>
            </w:r>
            <w:r>
              <w:rPr>
                <w:spacing w:val="3"/>
                <w:szCs w:val="22"/>
              </w:rPr>
              <w:t>/</w:t>
            </w:r>
          </w:p>
          <w:p w:rsidR="00C04FD6" w:rsidRDefault="00C04FD6">
            <w:pPr>
              <w:spacing w:before="3" w:line="252" w:lineRule="exact"/>
              <w:ind w:left="102"/>
            </w:pPr>
            <w:r>
              <w:rPr>
                <w:spacing w:val="-4"/>
                <w:szCs w:val="22"/>
              </w:rPr>
              <w:t>m</w:t>
            </w:r>
            <w:r>
              <w:rPr>
                <w:szCs w:val="22"/>
              </w:rPr>
              <w:t>inu</w:t>
            </w:r>
            <w:r>
              <w:rPr>
                <w:spacing w:val="1"/>
                <w:szCs w:val="22"/>
              </w:rPr>
              <w:t>t</w:t>
            </w:r>
          </w:p>
        </w:tc>
        <w:tc>
          <w:tcPr>
            <w:tcW w:w="1700" w:type="dxa"/>
            <w:tcBorders>
              <w:top w:val="single" w:sz="12" w:space="0" w:color="000000"/>
              <w:left w:val="single" w:sz="4" w:space="0" w:color="000000"/>
              <w:bottom w:val="single" w:sz="12" w:space="0" w:color="000000"/>
              <w:right w:val="single" w:sz="6" w:space="0" w:color="000000"/>
            </w:tcBorders>
            <w:hideMark/>
          </w:tcPr>
          <w:p w:rsidR="00C04FD6" w:rsidRDefault="00C04FD6">
            <w:pPr>
              <w:spacing w:line="246" w:lineRule="exact"/>
              <w:ind w:left="100"/>
            </w:pPr>
            <w:r>
              <w:rPr>
                <w:szCs w:val="22"/>
              </w:rPr>
              <w:t>0,2</w:t>
            </w:r>
          </w:p>
          <w:p w:rsidR="00C04FD6" w:rsidRDefault="00C04FD6">
            <w:pPr>
              <w:spacing w:before="3" w:line="252" w:lineRule="exact"/>
              <w:ind w:left="100"/>
              <w:rPr>
                <w:spacing w:val="3"/>
                <w:szCs w:val="22"/>
              </w:rPr>
            </w:pPr>
            <w:r>
              <w:rPr>
                <w:spacing w:val="-4"/>
                <w:szCs w:val="22"/>
              </w:rPr>
              <w:t>m</w:t>
            </w:r>
            <w:r>
              <w:rPr>
                <w:spacing w:val="1"/>
                <w:szCs w:val="22"/>
              </w:rPr>
              <w:t>i</w:t>
            </w:r>
            <w:r>
              <w:rPr>
                <w:szCs w:val="22"/>
              </w:rPr>
              <w:t>k</w:t>
            </w:r>
            <w:r>
              <w:rPr>
                <w:spacing w:val="1"/>
                <w:szCs w:val="22"/>
              </w:rPr>
              <w:t>r</w:t>
            </w:r>
            <w:r>
              <w:rPr>
                <w:szCs w:val="22"/>
              </w:rPr>
              <w:t>o</w:t>
            </w:r>
            <w:r>
              <w:rPr>
                <w:spacing w:val="-2"/>
                <w:szCs w:val="22"/>
              </w:rPr>
              <w:t>g</w:t>
            </w:r>
            <w:r>
              <w:rPr>
                <w:spacing w:val="1"/>
                <w:szCs w:val="22"/>
              </w:rPr>
              <w:t>r</w:t>
            </w:r>
            <w:r>
              <w:rPr>
                <w:szCs w:val="22"/>
              </w:rPr>
              <w:t>a</w:t>
            </w:r>
            <w:r>
              <w:rPr>
                <w:spacing w:val="-3"/>
                <w:szCs w:val="22"/>
              </w:rPr>
              <w:t>m</w:t>
            </w:r>
            <w:r>
              <w:rPr>
                <w:spacing w:val="1"/>
                <w:szCs w:val="22"/>
              </w:rPr>
              <w:t>/</w:t>
            </w:r>
            <w:r>
              <w:rPr>
                <w:szCs w:val="22"/>
              </w:rPr>
              <w:t>k</w:t>
            </w:r>
            <w:r>
              <w:rPr>
                <w:spacing w:val="-2"/>
                <w:szCs w:val="22"/>
              </w:rPr>
              <w:t>g</w:t>
            </w:r>
            <w:r>
              <w:rPr>
                <w:spacing w:val="3"/>
                <w:szCs w:val="22"/>
              </w:rPr>
              <w:t>/</w:t>
            </w:r>
          </w:p>
          <w:p w:rsidR="00C04FD6" w:rsidRDefault="00C04FD6">
            <w:pPr>
              <w:spacing w:before="3" w:line="252" w:lineRule="exact"/>
              <w:ind w:left="100"/>
            </w:pPr>
            <w:r>
              <w:rPr>
                <w:spacing w:val="-4"/>
                <w:szCs w:val="22"/>
              </w:rPr>
              <w:t>m</w:t>
            </w:r>
            <w:r>
              <w:rPr>
                <w:szCs w:val="22"/>
              </w:rPr>
              <w:t>inu</w:t>
            </w:r>
            <w:r>
              <w:rPr>
                <w:spacing w:val="1"/>
                <w:szCs w:val="22"/>
              </w:rPr>
              <w:t>t</w:t>
            </w:r>
          </w:p>
        </w:tc>
      </w:tr>
      <w:tr w:rsidR="00C04FD6" w:rsidTr="00BA197D">
        <w:trPr>
          <w:trHeight w:hRule="exact" w:val="290"/>
        </w:trPr>
        <w:tc>
          <w:tcPr>
            <w:tcW w:w="1135" w:type="dxa"/>
            <w:tcBorders>
              <w:top w:val="single" w:sz="12" w:space="0" w:color="000000"/>
              <w:left w:val="single" w:sz="4" w:space="0" w:color="000000"/>
              <w:bottom w:val="single" w:sz="4" w:space="0" w:color="000000"/>
              <w:right w:val="single" w:sz="4" w:space="0" w:color="000000"/>
            </w:tcBorders>
            <w:hideMark/>
          </w:tcPr>
          <w:p w:rsidR="00C04FD6" w:rsidRDefault="00C04FD6">
            <w:pPr>
              <w:spacing w:line="248" w:lineRule="exact"/>
              <w:ind w:left="102"/>
            </w:pPr>
            <w:r>
              <w:rPr>
                <w:szCs w:val="22"/>
              </w:rPr>
              <w:t>40</w:t>
            </w:r>
          </w:p>
        </w:tc>
        <w:tc>
          <w:tcPr>
            <w:tcW w:w="1559" w:type="dxa"/>
            <w:tcBorders>
              <w:top w:val="single" w:sz="12" w:space="0" w:color="000000"/>
              <w:left w:val="single" w:sz="4" w:space="0" w:color="000000"/>
              <w:bottom w:val="single" w:sz="4" w:space="0" w:color="000000"/>
              <w:right w:val="single" w:sz="4" w:space="0" w:color="000000"/>
            </w:tcBorders>
            <w:hideMark/>
          </w:tcPr>
          <w:p w:rsidR="00C04FD6" w:rsidRDefault="00C04FD6">
            <w:pPr>
              <w:spacing w:line="248" w:lineRule="exact"/>
              <w:ind w:left="100"/>
            </w:pPr>
            <w:r>
              <w:rPr>
                <w:szCs w:val="22"/>
              </w:rPr>
              <w:t>58</w:t>
            </w:r>
          </w:p>
        </w:tc>
        <w:tc>
          <w:tcPr>
            <w:tcW w:w="1559" w:type="dxa"/>
            <w:tcBorders>
              <w:top w:val="single" w:sz="12" w:space="0" w:color="000000"/>
              <w:left w:val="single" w:sz="4" w:space="0" w:color="000000"/>
              <w:bottom w:val="single" w:sz="4" w:space="0" w:color="000000"/>
              <w:right w:val="single" w:sz="4" w:space="0" w:color="000000"/>
            </w:tcBorders>
            <w:hideMark/>
          </w:tcPr>
          <w:p w:rsidR="00C04FD6" w:rsidRDefault="00C04FD6">
            <w:pPr>
              <w:spacing w:line="248" w:lineRule="exact"/>
              <w:ind w:left="102"/>
            </w:pPr>
            <w:r>
              <w:rPr>
                <w:szCs w:val="22"/>
              </w:rPr>
              <w:t>115</w:t>
            </w:r>
          </w:p>
        </w:tc>
        <w:tc>
          <w:tcPr>
            <w:tcW w:w="1842" w:type="dxa"/>
            <w:tcBorders>
              <w:top w:val="single" w:sz="12" w:space="0" w:color="000000"/>
              <w:left w:val="single" w:sz="4" w:space="0" w:color="000000"/>
              <w:bottom w:val="single" w:sz="4" w:space="0" w:color="000000"/>
              <w:right w:val="single" w:sz="4" w:space="0" w:color="000000"/>
            </w:tcBorders>
            <w:hideMark/>
          </w:tcPr>
          <w:p w:rsidR="00C04FD6" w:rsidRDefault="00C04FD6">
            <w:pPr>
              <w:spacing w:line="248" w:lineRule="exact"/>
              <w:ind w:left="102"/>
            </w:pPr>
            <w:r>
              <w:rPr>
                <w:szCs w:val="22"/>
              </w:rPr>
              <w:t>5</w:t>
            </w:r>
          </w:p>
        </w:tc>
        <w:tc>
          <w:tcPr>
            <w:tcW w:w="1700" w:type="dxa"/>
            <w:tcBorders>
              <w:top w:val="single" w:sz="12" w:space="0" w:color="000000"/>
              <w:left w:val="single" w:sz="4" w:space="0" w:color="000000"/>
              <w:bottom w:val="single" w:sz="4" w:space="0" w:color="000000"/>
              <w:right w:val="single" w:sz="4" w:space="0" w:color="000000"/>
            </w:tcBorders>
            <w:hideMark/>
          </w:tcPr>
          <w:p w:rsidR="00C04FD6" w:rsidRDefault="00C04FD6">
            <w:pPr>
              <w:spacing w:line="248" w:lineRule="exact"/>
              <w:ind w:left="102"/>
            </w:pPr>
            <w:r>
              <w:rPr>
                <w:szCs w:val="22"/>
              </w:rPr>
              <w:t>10</w:t>
            </w:r>
          </w:p>
        </w:tc>
        <w:tc>
          <w:tcPr>
            <w:tcW w:w="1700" w:type="dxa"/>
            <w:tcBorders>
              <w:top w:val="single" w:sz="12" w:space="0" w:color="000000"/>
              <w:left w:val="single" w:sz="4" w:space="0" w:color="000000"/>
              <w:bottom w:val="single" w:sz="4" w:space="0" w:color="000000"/>
              <w:right w:val="single" w:sz="6" w:space="0" w:color="000000"/>
            </w:tcBorders>
            <w:hideMark/>
          </w:tcPr>
          <w:p w:rsidR="00C04FD6" w:rsidRDefault="00C04FD6">
            <w:pPr>
              <w:spacing w:line="248" w:lineRule="exact"/>
              <w:ind w:left="100"/>
            </w:pPr>
            <w:r>
              <w:rPr>
                <w:szCs w:val="22"/>
              </w:rPr>
              <w:t>19</w:t>
            </w:r>
          </w:p>
        </w:tc>
      </w:tr>
      <w:tr w:rsidR="00C04FD6" w:rsidTr="00BA197D">
        <w:trPr>
          <w:trHeight w:hRule="exact" w:val="300"/>
        </w:trPr>
        <w:tc>
          <w:tcPr>
            <w:tcW w:w="1135" w:type="dxa"/>
            <w:tcBorders>
              <w:top w:val="single" w:sz="4" w:space="0" w:color="000000"/>
              <w:left w:val="single" w:sz="4" w:space="0" w:color="000000"/>
              <w:bottom w:val="single" w:sz="4" w:space="0" w:color="000000"/>
              <w:right w:val="single" w:sz="4" w:space="0" w:color="000000"/>
            </w:tcBorders>
            <w:hideMark/>
          </w:tcPr>
          <w:p w:rsidR="00C04FD6" w:rsidRDefault="00C04FD6">
            <w:pPr>
              <w:spacing w:line="246" w:lineRule="exact"/>
              <w:ind w:left="102"/>
            </w:pPr>
            <w:r>
              <w:rPr>
                <w:szCs w:val="22"/>
              </w:rPr>
              <w:t>50</w:t>
            </w:r>
          </w:p>
        </w:tc>
        <w:tc>
          <w:tcPr>
            <w:tcW w:w="1559" w:type="dxa"/>
            <w:tcBorders>
              <w:top w:val="single" w:sz="4" w:space="0" w:color="000000"/>
              <w:left w:val="single" w:sz="4" w:space="0" w:color="000000"/>
              <w:bottom w:val="single" w:sz="4" w:space="0" w:color="000000"/>
              <w:right w:val="single" w:sz="4" w:space="0" w:color="000000"/>
            </w:tcBorders>
            <w:hideMark/>
          </w:tcPr>
          <w:p w:rsidR="00C04FD6" w:rsidRDefault="00C04FD6">
            <w:pPr>
              <w:spacing w:line="246" w:lineRule="exact"/>
              <w:ind w:left="100"/>
            </w:pPr>
            <w:r>
              <w:rPr>
                <w:szCs w:val="22"/>
              </w:rPr>
              <w:t>72</w:t>
            </w:r>
          </w:p>
        </w:tc>
        <w:tc>
          <w:tcPr>
            <w:tcW w:w="1559" w:type="dxa"/>
            <w:tcBorders>
              <w:top w:val="single" w:sz="4" w:space="0" w:color="000000"/>
              <w:left w:val="single" w:sz="4" w:space="0" w:color="000000"/>
              <w:bottom w:val="single" w:sz="4" w:space="0" w:color="000000"/>
              <w:right w:val="single" w:sz="4" w:space="0" w:color="000000"/>
            </w:tcBorders>
            <w:hideMark/>
          </w:tcPr>
          <w:p w:rsidR="00C04FD6" w:rsidRDefault="00C04FD6">
            <w:pPr>
              <w:spacing w:line="246" w:lineRule="exact"/>
              <w:ind w:left="102"/>
            </w:pPr>
            <w:r>
              <w:rPr>
                <w:szCs w:val="22"/>
              </w:rPr>
              <w:t>144</w:t>
            </w:r>
          </w:p>
        </w:tc>
        <w:tc>
          <w:tcPr>
            <w:tcW w:w="1842" w:type="dxa"/>
            <w:tcBorders>
              <w:top w:val="single" w:sz="4" w:space="0" w:color="000000"/>
              <w:left w:val="single" w:sz="4" w:space="0" w:color="000000"/>
              <w:bottom w:val="single" w:sz="4" w:space="0" w:color="000000"/>
              <w:right w:val="single" w:sz="4" w:space="0" w:color="000000"/>
            </w:tcBorders>
            <w:hideMark/>
          </w:tcPr>
          <w:p w:rsidR="00C04FD6" w:rsidRDefault="00C04FD6">
            <w:pPr>
              <w:spacing w:line="246" w:lineRule="exact"/>
              <w:ind w:left="102"/>
            </w:pPr>
            <w:r>
              <w:rPr>
                <w:szCs w:val="22"/>
              </w:rPr>
              <w:t>6</w:t>
            </w:r>
          </w:p>
        </w:tc>
        <w:tc>
          <w:tcPr>
            <w:tcW w:w="1700" w:type="dxa"/>
            <w:tcBorders>
              <w:top w:val="single" w:sz="4" w:space="0" w:color="000000"/>
              <w:left w:val="single" w:sz="4" w:space="0" w:color="000000"/>
              <w:bottom w:val="single" w:sz="4" w:space="0" w:color="000000"/>
              <w:right w:val="single" w:sz="4" w:space="0" w:color="000000"/>
            </w:tcBorders>
            <w:hideMark/>
          </w:tcPr>
          <w:p w:rsidR="00C04FD6" w:rsidRDefault="00C04FD6">
            <w:pPr>
              <w:spacing w:line="246" w:lineRule="exact"/>
              <w:ind w:left="102"/>
            </w:pPr>
            <w:r>
              <w:rPr>
                <w:szCs w:val="22"/>
              </w:rPr>
              <w:t>12</w:t>
            </w:r>
          </w:p>
        </w:tc>
        <w:tc>
          <w:tcPr>
            <w:tcW w:w="1700" w:type="dxa"/>
            <w:tcBorders>
              <w:top w:val="single" w:sz="4" w:space="0" w:color="000000"/>
              <w:left w:val="single" w:sz="4" w:space="0" w:color="000000"/>
              <w:bottom w:val="single" w:sz="4" w:space="0" w:color="000000"/>
              <w:right w:val="single" w:sz="6" w:space="0" w:color="000000"/>
            </w:tcBorders>
            <w:hideMark/>
          </w:tcPr>
          <w:p w:rsidR="00C04FD6" w:rsidRDefault="00C04FD6">
            <w:pPr>
              <w:spacing w:line="246" w:lineRule="exact"/>
              <w:ind w:left="100"/>
            </w:pPr>
            <w:r>
              <w:rPr>
                <w:szCs w:val="22"/>
              </w:rPr>
              <w:t>24</w:t>
            </w:r>
          </w:p>
        </w:tc>
      </w:tr>
      <w:tr w:rsidR="00C04FD6" w:rsidTr="00BA197D">
        <w:trPr>
          <w:trHeight w:hRule="exact" w:val="300"/>
        </w:trPr>
        <w:tc>
          <w:tcPr>
            <w:tcW w:w="1135" w:type="dxa"/>
            <w:tcBorders>
              <w:top w:val="single" w:sz="4" w:space="0" w:color="000000"/>
              <w:left w:val="single" w:sz="4" w:space="0" w:color="000000"/>
              <w:bottom w:val="single" w:sz="4" w:space="0" w:color="000000"/>
              <w:right w:val="single" w:sz="4" w:space="0" w:color="000000"/>
            </w:tcBorders>
            <w:hideMark/>
          </w:tcPr>
          <w:p w:rsidR="00C04FD6" w:rsidRDefault="00C04FD6">
            <w:pPr>
              <w:spacing w:line="246" w:lineRule="exact"/>
              <w:ind w:left="102"/>
            </w:pPr>
            <w:r>
              <w:rPr>
                <w:szCs w:val="22"/>
              </w:rPr>
              <w:t>60</w:t>
            </w:r>
          </w:p>
        </w:tc>
        <w:tc>
          <w:tcPr>
            <w:tcW w:w="1559" w:type="dxa"/>
            <w:tcBorders>
              <w:top w:val="single" w:sz="4" w:space="0" w:color="000000"/>
              <w:left w:val="single" w:sz="4" w:space="0" w:color="000000"/>
              <w:bottom w:val="single" w:sz="4" w:space="0" w:color="000000"/>
              <w:right w:val="single" w:sz="4" w:space="0" w:color="000000"/>
            </w:tcBorders>
            <w:hideMark/>
          </w:tcPr>
          <w:p w:rsidR="00C04FD6" w:rsidRDefault="00C04FD6">
            <w:pPr>
              <w:spacing w:line="246" w:lineRule="exact"/>
              <w:ind w:left="100"/>
            </w:pPr>
            <w:r>
              <w:rPr>
                <w:szCs w:val="22"/>
              </w:rPr>
              <w:t>86</w:t>
            </w:r>
          </w:p>
        </w:tc>
        <w:tc>
          <w:tcPr>
            <w:tcW w:w="1559" w:type="dxa"/>
            <w:tcBorders>
              <w:top w:val="single" w:sz="4" w:space="0" w:color="000000"/>
              <w:left w:val="single" w:sz="4" w:space="0" w:color="000000"/>
              <w:bottom w:val="single" w:sz="4" w:space="0" w:color="000000"/>
              <w:right w:val="single" w:sz="4" w:space="0" w:color="000000"/>
            </w:tcBorders>
            <w:hideMark/>
          </w:tcPr>
          <w:p w:rsidR="00C04FD6" w:rsidRDefault="00C04FD6">
            <w:pPr>
              <w:spacing w:line="246" w:lineRule="exact"/>
              <w:ind w:left="102"/>
            </w:pPr>
            <w:r>
              <w:rPr>
                <w:szCs w:val="22"/>
              </w:rPr>
              <w:t>173</w:t>
            </w:r>
          </w:p>
        </w:tc>
        <w:tc>
          <w:tcPr>
            <w:tcW w:w="1842" w:type="dxa"/>
            <w:tcBorders>
              <w:top w:val="single" w:sz="4" w:space="0" w:color="000000"/>
              <w:left w:val="single" w:sz="4" w:space="0" w:color="000000"/>
              <w:bottom w:val="single" w:sz="4" w:space="0" w:color="000000"/>
              <w:right w:val="single" w:sz="4" w:space="0" w:color="000000"/>
            </w:tcBorders>
            <w:hideMark/>
          </w:tcPr>
          <w:p w:rsidR="00C04FD6" w:rsidRDefault="00C04FD6">
            <w:pPr>
              <w:spacing w:line="246" w:lineRule="exact"/>
              <w:ind w:left="102"/>
            </w:pPr>
            <w:r>
              <w:rPr>
                <w:szCs w:val="22"/>
              </w:rPr>
              <w:t>7</w:t>
            </w:r>
          </w:p>
        </w:tc>
        <w:tc>
          <w:tcPr>
            <w:tcW w:w="1700" w:type="dxa"/>
            <w:tcBorders>
              <w:top w:val="single" w:sz="4" w:space="0" w:color="000000"/>
              <w:left w:val="single" w:sz="4" w:space="0" w:color="000000"/>
              <w:bottom w:val="single" w:sz="4" w:space="0" w:color="000000"/>
              <w:right w:val="single" w:sz="4" w:space="0" w:color="000000"/>
            </w:tcBorders>
            <w:hideMark/>
          </w:tcPr>
          <w:p w:rsidR="00C04FD6" w:rsidRDefault="00C04FD6">
            <w:pPr>
              <w:spacing w:line="246" w:lineRule="exact"/>
              <w:ind w:left="102"/>
            </w:pPr>
            <w:r>
              <w:rPr>
                <w:szCs w:val="22"/>
              </w:rPr>
              <w:t>14</w:t>
            </w:r>
          </w:p>
        </w:tc>
        <w:tc>
          <w:tcPr>
            <w:tcW w:w="1700" w:type="dxa"/>
            <w:tcBorders>
              <w:top w:val="single" w:sz="4" w:space="0" w:color="000000"/>
              <w:left w:val="single" w:sz="4" w:space="0" w:color="000000"/>
              <w:bottom w:val="single" w:sz="4" w:space="0" w:color="000000"/>
              <w:right w:val="single" w:sz="6" w:space="0" w:color="000000"/>
            </w:tcBorders>
            <w:hideMark/>
          </w:tcPr>
          <w:p w:rsidR="00C04FD6" w:rsidRDefault="00C04FD6">
            <w:pPr>
              <w:spacing w:line="246" w:lineRule="exact"/>
              <w:ind w:left="100"/>
            </w:pPr>
            <w:r>
              <w:rPr>
                <w:szCs w:val="22"/>
              </w:rPr>
              <w:t>29</w:t>
            </w:r>
          </w:p>
        </w:tc>
      </w:tr>
      <w:tr w:rsidR="00C04FD6" w:rsidTr="00BA197D">
        <w:trPr>
          <w:trHeight w:hRule="exact" w:val="300"/>
        </w:trPr>
        <w:tc>
          <w:tcPr>
            <w:tcW w:w="1135" w:type="dxa"/>
            <w:tcBorders>
              <w:top w:val="single" w:sz="4" w:space="0" w:color="000000"/>
              <w:left w:val="single" w:sz="4" w:space="0" w:color="000000"/>
              <w:bottom w:val="single" w:sz="4" w:space="0" w:color="000000"/>
              <w:right w:val="single" w:sz="4" w:space="0" w:color="000000"/>
            </w:tcBorders>
            <w:hideMark/>
          </w:tcPr>
          <w:p w:rsidR="00C04FD6" w:rsidRDefault="00C04FD6">
            <w:pPr>
              <w:spacing w:line="246" w:lineRule="exact"/>
              <w:ind w:left="102"/>
            </w:pPr>
            <w:r>
              <w:rPr>
                <w:szCs w:val="22"/>
              </w:rPr>
              <w:t>70</w:t>
            </w:r>
          </w:p>
        </w:tc>
        <w:tc>
          <w:tcPr>
            <w:tcW w:w="1559" w:type="dxa"/>
            <w:tcBorders>
              <w:top w:val="single" w:sz="4" w:space="0" w:color="000000"/>
              <w:left w:val="single" w:sz="4" w:space="0" w:color="000000"/>
              <w:bottom w:val="single" w:sz="4" w:space="0" w:color="000000"/>
              <w:right w:val="single" w:sz="4" w:space="0" w:color="000000"/>
            </w:tcBorders>
            <w:hideMark/>
          </w:tcPr>
          <w:p w:rsidR="00C04FD6" w:rsidRDefault="00C04FD6">
            <w:pPr>
              <w:spacing w:line="246" w:lineRule="exact"/>
              <w:ind w:left="100"/>
            </w:pPr>
            <w:r>
              <w:rPr>
                <w:szCs w:val="22"/>
              </w:rPr>
              <w:t>101</w:t>
            </w:r>
          </w:p>
        </w:tc>
        <w:tc>
          <w:tcPr>
            <w:tcW w:w="1559" w:type="dxa"/>
            <w:tcBorders>
              <w:top w:val="single" w:sz="4" w:space="0" w:color="000000"/>
              <w:left w:val="single" w:sz="4" w:space="0" w:color="000000"/>
              <w:bottom w:val="single" w:sz="4" w:space="0" w:color="000000"/>
              <w:right w:val="single" w:sz="4" w:space="0" w:color="000000"/>
            </w:tcBorders>
            <w:hideMark/>
          </w:tcPr>
          <w:p w:rsidR="00C04FD6" w:rsidRDefault="00C04FD6">
            <w:pPr>
              <w:spacing w:line="246" w:lineRule="exact"/>
              <w:ind w:left="102"/>
            </w:pPr>
            <w:r>
              <w:rPr>
                <w:szCs w:val="22"/>
              </w:rPr>
              <w:t>202</w:t>
            </w:r>
          </w:p>
        </w:tc>
        <w:tc>
          <w:tcPr>
            <w:tcW w:w="1842" w:type="dxa"/>
            <w:tcBorders>
              <w:top w:val="single" w:sz="4" w:space="0" w:color="000000"/>
              <w:left w:val="single" w:sz="4" w:space="0" w:color="000000"/>
              <w:bottom w:val="single" w:sz="4" w:space="0" w:color="000000"/>
              <w:right w:val="single" w:sz="4" w:space="0" w:color="000000"/>
            </w:tcBorders>
            <w:hideMark/>
          </w:tcPr>
          <w:p w:rsidR="00C04FD6" w:rsidRDefault="00C04FD6">
            <w:pPr>
              <w:spacing w:line="246" w:lineRule="exact"/>
              <w:ind w:left="102"/>
            </w:pPr>
            <w:r>
              <w:rPr>
                <w:szCs w:val="22"/>
              </w:rPr>
              <w:t>8</w:t>
            </w:r>
          </w:p>
        </w:tc>
        <w:tc>
          <w:tcPr>
            <w:tcW w:w="1700" w:type="dxa"/>
            <w:tcBorders>
              <w:top w:val="single" w:sz="4" w:space="0" w:color="000000"/>
              <w:left w:val="single" w:sz="4" w:space="0" w:color="000000"/>
              <w:bottom w:val="single" w:sz="4" w:space="0" w:color="000000"/>
              <w:right w:val="single" w:sz="4" w:space="0" w:color="000000"/>
            </w:tcBorders>
            <w:hideMark/>
          </w:tcPr>
          <w:p w:rsidR="00C04FD6" w:rsidRDefault="00C04FD6">
            <w:pPr>
              <w:spacing w:line="246" w:lineRule="exact"/>
              <w:ind w:left="102"/>
            </w:pPr>
            <w:r>
              <w:rPr>
                <w:szCs w:val="22"/>
              </w:rPr>
              <w:t>17</w:t>
            </w:r>
          </w:p>
        </w:tc>
        <w:tc>
          <w:tcPr>
            <w:tcW w:w="1700" w:type="dxa"/>
            <w:tcBorders>
              <w:top w:val="single" w:sz="4" w:space="0" w:color="000000"/>
              <w:left w:val="single" w:sz="4" w:space="0" w:color="000000"/>
              <w:bottom w:val="single" w:sz="4" w:space="0" w:color="000000"/>
              <w:right w:val="single" w:sz="6" w:space="0" w:color="000000"/>
            </w:tcBorders>
            <w:hideMark/>
          </w:tcPr>
          <w:p w:rsidR="00C04FD6" w:rsidRDefault="00C04FD6">
            <w:pPr>
              <w:spacing w:line="246" w:lineRule="exact"/>
              <w:ind w:left="100"/>
            </w:pPr>
            <w:r>
              <w:rPr>
                <w:szCs w:val="22"/>
              </w:rPr>
              <w:t>34</w:t>
            </w:r>
          </w:p>
        </w:tc>
      </w:tr>
      <w:tr w:rsidR="00C04FD6" w:rsidTr="00BA197D">
        <w:trPr>
          <w:trHeight w:hRule="exact" w:val="300"/>
        </w:trPr>
        <w:tc>
          <w:tcPr>
            <w:tcW w:w="1135" w:type="dxa"/>
            <w:tcBorders>
              <w:top w:val="single" w:sz="4" w:space="0" w:color="000000"/>
              <w:left w:val="single" w:sz="4" w:space="0" w:color="000000"/>
              <w:bottom w:val="single" w:sz="4" w:space="0" w:color="000000"/>
              <w:right w:val="single" w:sz="4" w:space="0" w:color="000000"/>
            </w:tcBorders>
            <w:hideMark/>
          </w:tcPr>
          <w:p w:rsidR="00C04FD6" w:rsidRDefault="00C04FD6">
            <w:pPr>
              <w:spacing w:line="246" w:lineRule="exact"/>
              <w:ind w:left="102"/>
            </w:pPr>
            <w:r>
              <w:rPr>
                <w:szCs w:val="22"/>
              </w:rPr>
              <w:t>80</w:t>
            </w:r>
          </w:p>
        </w:tc>
        <w:tc>
          <w:tcPr>
            <w:tcW w:w="1559" w:type="dxa"/>
            <w:tcBorders>
              <w:top w:val="single" w:sz="4" w:space="0" w:color="000000"/>
              <w:left w:val="single" w:sz="4" w:space="0" w:color="000000"/>
              <w:bottom w:val="single" w:sz="4" w:space="0" w:color="000000"/>
              <w:right w:val="single" w:sz="4" w:space="0" w:color="000000"/>
            </w:tcBorders>
            <w:hideMark/>
          </w:tcPr>
          <w:p w:rsidR="00C04FD6" w:rsidRDefault="00C04FD6">
            <w:pPr>
              <w:spacing w:line="246" w:lineRule="exact"/>
              <w:ind w:left="100"/>
            </w:pPr>
            <w:r>
              <w:rPr>
                <w:szCs w:val="22"/>
              </w:rPr>
              <w:t>115</w:t>
            </w:r>
          </w:p>
        </w:tc>
        <w:tc>
          <w:tcPr>
            <w:tcW w:w="1559" w:type="dxa"/>
            <w:tcBorders>
              <w:top w:val="single" w:sz="4" w:space="0" w:color="000000"/>
              <w:left w:val="single" w:sz="4" w:space="0" w:color="000000"/>
              <w:bottom w:val="single" w:sz="4" w:space="0" w:color="000000"/>
              <w:right w:val="single" w:sz="4" w:space="0" w:color="000000"/>
            </w:tcBorders>
            <w:hideMark/>
          </w:tcPr>
          <w:p w:rsidR="00C04FD6" w:rsidRDefault="00C04FD6">
            <w:pPr>
              <w:spacing w:line="246" w:lineRule="exact"/>
              <w:ind w:left="102"/>
            </w:pPr>
            <w:r>
              <w:rPr>
                <w:szCs w:val="22"/>
              </w:rPr>
              <w:t>230</w:t>
            </w:r>
          </w:p>
        </w:tc>
        <w:tc>
          <w:tcPr>
            <w:tcW w:w="1842" w:type="dxa"/>
            <w:tcBorders>
              <w:top w:val="single" w:sz="4" w:space="0" w:color="000000"/>
              <w:left w:val="single" w:sz="4" w:space="0" w:color="000000"/>
              <w:bottom w:val="single" w:sz="4" w:space="0" w:color="000000"/>
              <w:right w:val="single" w:sz="4" w:space="0" w:color="000000"/>
            </w:tcBorders>
            <w:hideMark/>
          </w:tcPr>
          <w:p w:rsidR="00C04FD6" w:rsidRDefault="00C04FD6">
            <w:pPr>
              <w:spacing w:line="246" w:lineRule="exact"/>
              <w:ind w:left="102"/>
            </w:pPr>
            <w:r>
              <w:rPr>
                <w:szCs w:val="22"/>
              </w:rPr>
              <w:t>10</w:t>
            </w:r>
          </w:p>
        </w:tc>
        <w:tc>
          <w:tcPr>
            <w:tcW w:w="1700" w:type="dxa"/>
            <w:tcBorders>
              <w:top w:val="single" w:sz="4" w:space="0" w:color="000000"/>
              <w:left w:val="single" w:sz="4" w:space="0" w:color="000000"/>
              <w:bottom w:val="single" w:sz="4" w:space="0" w:color="000000"/>
              <w:right w:val="single" w:sz="4" w:space="0" w:color="000000"/>
            </w:tcBorders>
            <w:hideMark/>
          </w:tcPr>
          <w:p w:rsidR="00C04FD6" w:rsidRDefault="00C04FD6">
            <w:pPr>
              <w:spacing w:line="246" w:lineRule="exact"/>
              <w:ind w:left="102"/>
            </w:pPr>
            <w:r>
              <w:rPr>
                <w:szCs w:val="22"/>
              </w:rPr>
              <w:t>19</w:t>
            </w:r>
          </w:p>
        </w:tc>
        <w:tc>
          <w:tcPr>
            <w:tcW w:w="1700" w:type="dxa"/>
            <w:tcBorders>
              <w:top w:val="single" w:sz="4" w:space="0" w:color="000000"/>
              <w:left w:val="single" w:sz="4" w:space="0" w:color="000000"/>
              <w:bottom w:val="single" w:sz="4" w:space="0" w:color="000000"/>
              <w:right w:val="single" w:sz="6" w:space="0" w:color="000000"/>
            </w:tcBorders>
            <w:hideMark/>
          </w:tcPr>
          <w:p w:rsidR="00C04FD6" w:rsidRDefault="00C04FD6">
            <w:pPr>
              <w:spacing w:line="246" w:lineRule="exact"/>
              <w:ind w:left="100"/>
            </w:pPr>
            <w:r>
              <w:rPr>
                <w:szCs w:val="22"/>
              </w:rPr>
              <w:t>38</w:t>
            </w:r>
          </w:p>
        </w:tc>
      </w:tr>
      <w:tr w:rsidR="00C04FD6" w:rsidTr="00BA197D">
        <w:trPr>
          <w:trHeight w:hRule="exact" w:val="300"/>
        </w:trPr>
        <w:tc>
          <w:tcPr>
            <w:tcW w:w="1135" w:type="dxa"/>
            <w:tcBorders>
              <w:top w:val="single" w:sz="4" w:space="0" w:color="000000"/>
              <w:left w:val="single" w:sz="4" w:space="0" w:color="000000"/>
              <w:bottom w:val="single" w:sz="4" w:space="0" w:color="000000"/>
              <w:right w:val="single" w:sz="4" w:space="0" w:color="000000"/>
            </w:tcBorders>
            <w:hideMark/>
          </w:tcPr>
          <w:p w:rsidR="00C04FD6" w:rsidRDefault="00C04FD6">
            <w:pPr>
              <w:spacing w:line="246" w:lineRule="exact"/>
              <w:ind w:left="102"/>
            </w:pPr>
            <w:r>
              <w:rPr>
                <w:szCs w:val="22"/>
              </w:rPr>
              <w:t>90</w:t>
            </w:r>
          </w:p>
        </w:tc>
        <w:tc>
          <w:tcPr>
            <w:tcW w:w="1559" w:type="dxa"/>
            <w:tcBorders>
              <w:top w:val="single" w:sz="4" w:space="0" w:color="000000"/>
              <w:left w:val="single" w:sz="4" w:space="0" w:color="000000"/>
              <w:bottom w:val="single" w:sz="4" w:space="0" w:color="000000"/>
              <w:right w:val="single" w:sz="4" w:space="0" w:color="000000"/>
            </w:tcBorders>
            <w:hideMark/>
          </w:tcPr>
          <w:p w:rsidR="00C04FD6" w:rsidRDefault="00C04FD6">
            <w:pPr>
              <w:spacing w:line="246" w:lineRule="exact"/>
              <w:ind w:left="100"/>
            </w:pPr>
            <w:r>
              <w:rPr>
                <w:szCs w:val="22"/>
              </w:rPr>
              <w:t>130</w:t>
            </w:r>
          </w:p>
        </w:tc>
        <w:tc>
          <w:tcPr>
            <w:tcW w:w="1559" w:type="dxa"/>
            <w:tcBorders>
              <w:top w:val="single" w:sz="4" w:space="0" w:color="000000"/>
              <w:left w:val="single" w:sz="4" w:space="0" w:color="000000"/>
              <w:bottom w:val="single" w:sz="4" w:space="0" w:color="000000"/>
              <w:right w:val="single" w:sz="4" w:space="0" w:color="000000"/>
            </w:tcBorders>
            <w:hideMark/>
          </w:tcPr>
          <w:p w:rsidR="00C04FD6" w:rsidRDefault="00C04FD6">
            <w:pPr>
              <w:spacing w:line="246" w:lineRule="exact"/>
              <w:ind w:left="102"/>
            </w:pPr>
            <w:r>
              <w:rPr>
                <w:szCs w:val="22"/>
              </w:rPr>
              <w:t>259</w:t>
            </w:r>
          </w:p>
        </w:tc>
        <w:tc>
          <w:tcPr>
            <w:tcW w:w="1842" w:type="dxa"/>
            <w:tcBorders>
              <w:top w:val="single" w:sz="4" w:space="0" w:color="000000"/>
              <w:left w:val="single" w:sz="4" w:space="0" w:color="000000"/>
              <w:bottom w:val="single" w:sz="4" w:space="0" w:color="000000"/>
              <w:right w:val="single" w:sz="4" w:space="0" w:color="000000"/>
            </w:tcBorders>
            <w:hideMark/>
          </w:tcPr>
          <w:p w:rsidR="00C04FD6" w:rsidRDefault="00C04FD6">
            <w:pPr>
              <w:spacing w:line="246" w:lineRule="exact"/>
              <w:ind w:left="102"/>
            </w:pPr>
            <w:r>
              <w:rPr>
                <w:szCs w:val="22"/>
              </w:rPr>
              <w:t>11</w:t>
            </w:r>
          </w:p>
        </w:tc>
        <w:tc>
          <w:tcPr>
            <w:tcW w:w="1700" w:type="dxa"/>
            <w:tcBorders>
              <w:top w:val="single" w:sz="4" w:space="0" w:color="000000"/>
              <w:left w:val="single" w:sz="4" w:space="0" w:color="000000"/>
              <w:bottom w:val="single" w:sz="4" w:space="0" w:color="000000"/>
              <w:right w:val="single" w:sz="4" w:space="0" w:color="000000"/>
            </w:tcBorders>
            <w:hideMark/>
          </w:tcPr>
          <w:p w:rsidR="00C04FD6" w:rsidRDefault="00C04FD6">
            <w:pPr>
              <w:spacing w:line="246" w:lineRule="exact"/>
              <w:ind w:left="102"/>
            </w:pPr>
            <w:r>
              <w:rPr>
                <w:szCs w:val="22"/>
              </w:rPr>
              <w:t>22</w:t>
            </w:r>
          </w:p>
        </w:tc>
        <w:tc>
          <w:tcPr>
            <w:tcW w:w="1700" w:type="dxa"/>
            <w:tcBorders>
              <w:top w:val="single" w:sz="4" w:space="0" w:color="000000"/>
              <w:left w:val="single" w:sz="4" w:space="0" w:color="000000"/>
              <w:bottom w:val="single" w:sz="4" w:space="0" w:color="000000"/>
              <w:right w:val="single" w:sz="6" w:space="0" w:color="000000"/>
            </w:tcBorders>
            <w:hideMark/>
          </w:tcPr>
          <w:p w:rsidR="00C04FD6" w:rsidRDefault="00C04FD6">
            <w:pPr>
              <w:spacing w:line="246" w:lineRule="exact"/>
              <w:ind w:left="100"/>
            </w:pPr>
            <w:r>
              <w:rPr>
                <w:szCs w:val="22"/>
              </w:rPr>
              <w:t>43</w:t>
            </w:r>
          </w:p>
        </w:tc>
      </w:tr>
      <w:tr w:rsidR="00C04FD6" w:rsidTr="00BA197D">
        <w:trPr>
          <w:trHeight w:hRule="exact" w:val="300"/>
        </w:trPr>
        <w:tc>
          <w:tcPr>
            <w:tcW w:w="1135" w:type="dxa"/>
            <w:tcBorders>
              <w:top w:val="single" w:sz="4" w:space="0" w:color="000000"/>
              <w:left w:val="single" w:sz="4" w:space="0" w:color="000000"/>
              <w:bottom w:val="single" w:sz="4" w:space="0" w:color="000000"/>
              <w:right w:val="single" w:sz="4" w:space="0" w:color="000000"/>
            </w:tcBorders>
            <w:hideMark/>
          </w:tcPr>
          <w:p w:rsidR="00C04FD6" w:rsidRDefault="00C04FD6">
            <w:pPr>
              <w:spacing w:line="246" w:lineRule="exact"/>
              <w:ind w:left="102"/>
            </w:pPr>
            <w:r>
              <w:rPr>
                <w:szCs w:val="22"/>
              </w:rPr>
              <w:t>100</w:t>
            </w:r>
          </w:p>
        </w:tc>
        <w:tc>
          <w:tcPr>
            <w:tcW w:w="1559" w:type="dxa"/>
            <w:tcBorders>
              <w:top w:val="single" w:sz="4" w:space="0" w:color="000000"/>
              <w:left w:val="single" w:sz="4" w:space="0" w:color="000000"/>
              <w:bottom w:val="single" w:sz="4" w:space="0" w:color="000000"/>
              <w:right w:val="single" w:sz="4" w:space="0" w:color="000000"/>
            </w:tcBorders>
            <w:hideMark/>
          </w:tcPr>
          <w:p w:rsidR="00C04FD6" w:rsidRDefault="00C04FD6">
            <w:pPr>
              <w:spacing w:line="246" w:lineRule="exact"/>
              <w:ind w:left="100"/>
            </w:pPr>
            <w:r>
              <w:rPr>
                <w:szCs w:val="22"/>
              </w:rPr>
              <w:t>144</w:t>
            </w:r>
          </w:p>
        </w:tc>
        <w:tc>
          <w:tcPr>
            <w:tcW w:w="1559" w:type="dxa"/>
            <w:tcBorders>
              <w:top w:val="single" w:sz="4" w:space="0" w:color="000000"/>
              <w:left w:val="single" w:sz="4" w:space="0" w:color="000000"/>
              <w:bottom w:val="single" w:sz="4" w:space="0" w:color="000000"/>
              <w:right w:val="single" w:sz="4" w:space="0" w:color="000000"/>
            </w:tcBorders>
            <w:hideMark/>
          </w:tcPr>
          <w:p w:rsidR="00C04FD6" w:rsidRDefault="00C04FD6">
            <w:pPr>
              <w:spacing w:line="246" w:lineRule="exact"/>
              <w:ind w:left="102"/>
            </w:pPr>
            <w:r>
              <w:rPr>
                <w:szCs w:val="22"/>
              </w:rPr>
              <w:t>288</w:t>
            </w:r>
          </w:p>
        </w:tc>
        <w:tc>
          <w:tcPr>
            <w:tcW w:w="1842" w:type="dxa"/>
            <w:tcBorders>
              <w:top w:val="single" w:sz="4" w:space="0" w:color="000000"/>
              <w:left w:val="single" w:sz="4" w:space="0" w:color="000000"/>
              <w:bottom w:val="single" w:sz="4" w:space="0" w:color="000000"/>
              <w:right w:val="single" w:sz="4" w:space="0" w:color="000000"/>
            </w:tcBorders>
            <w:hideMark/>
          </w:tcPr>
          <w:p w:rsidR="00C04FD6" w:rsidRDefault="00C04FD6">
            <w:pPr>
              <w:spacing w:line="246" w:lineRule="exact"/>
              <w:ind w:left="102"/>
            </w:pPr>
            <w:r>
              <w:rPr>
                <w:szCs w:val="22"/>
              </w:rPr>
              <w:t>12</w:t>
            </w:r>
          </w:p>
        </w:tc>
        <w:tc>
          <w:tcPr>
            <w:tcW w:w="1700" w:type="dxa"/>
            <w:tcBorders>
              <w:top w:val="single" w:sz="4" w:space="0" w:color="000000"/>
              <w:left w:val="single" w:sz="4" w:space="0" w:color="000000"/>
              <w:bottom w:val="single" w:sz="4" w:space="0" w:color="000000"/>
              <w:right w:val="single" w:sz="4" w:space="0" w:color="000000"/>
            </w:tcBorders>
            <w:hideMark/>
          </w:tcPr>
          <w:p w:rsidR="00C04FD6" w:rsidRDefault="00C04FD6">
            <w:pPr>
              <w:spacing w:line="246" w:lineRule="exact"/>
              <w:ind w:left="102"/>
            </w:pPr>
            <w:r>
              <w:rPr>
                <w:szCs w:val="22"/>
              </w:rPr>
              <w:t>24</w:t>
            </w:r>
          </w:p>
        </w:tc>
        <w:tc>
          <w:tcPr>
            <w:tcW w:w="1700" w:type="dxa"/>
            <w:tcBorders>
              <w:top w:val="single" w:sz="4" w:space="0" w:color="000000"/>
              <w:left w:val="single" w:sz="4" w:space="0" w:color="000000"/>
              <w:bottom w:val="single" w:sz="4" w:space="0" w:color="000000"/>
              <w:right w:val="single" w:sz="6" w:space="0" w:color="000000"/>
            </w:tcBorders>
            <w:hideMark/>
          </w:tcPr>
          <w:p w:rsidR="00C04FD6" w:rsidRDefault="00C04FD6">
            <w:pPr>
              <w:spacing w:line="246" w:lineRule="exact"/>
              <w:ind w:left="100"/>
            </w:pPr>
            <w:r>
              <w:rPr>
                <w:szCs w:val="22"/>
              </w:rPr>
              <w:t>48</w:t>
            </w:r>
          </w:p>
        </w:tc>
      </w:tr>
      <w:tr w:rsidR="00C04FD6" w:rsidTr="00BA197D">
        <w:trPr>
          <w:trHeight w:hRule="exact" w:val="300"/>
        </w:trPr>
        <w:tc>
          <w:tcPr>
            <w:tcW w:w="1135" w:type="dxa"/>
            <w:tcBorders>
              <w:top w:val="single" w:sz="4" w:space="0" w:color="000000"/>
              <w:left w:val="single" w:sz="4" w:space="0" w:color="000000"/>
              <w:bottom w:val="single" w:sz="4" w:space="0" w:color="000000"/>
              <w:right w:val="single" w:sz="4" w:space="0" w:color="000000"/>
            </w:tcBorders>
            <w:hideMark/>
          </w:tcPr>
          <w:p w:rsidR="00C04FD6" w:rsidRDefault="00C04FD6">
            <w:pPr>
              <w:spacing w:line="246" w:lineRule="exact"/>
              <w:ind w:left="102"/>
            </w:pPr>
            <w:r>
              <w:rPr>
                <w:szCs w:val="22"/>
              </w:rPr>
              <w:t>110</w:t>
            </w:r>
          </w:p>
        </w:tc>
        <w:tc>
          <w:tcPr>
            <w:tcW w:w="1559" w:type="dxa"/>
            <w:tcBorders>
              <w:top w:val="single" w:sz="4" w:space="0" w:color="000000"/>
              <w:left w:val="single" w:sz="4" w:space="0" w:color="000000"/>
              <w:bottom w:val="single" w:sz="4" w:space="0" w:color="000000"/>
              <w:right w:val="single" w:sz="4" w:space="0" w:color="000000"/>
            </w:tcBorders>
            <w:hideMark/>
          </w:tcPr>
          <w:p w:rsidR="00C04FD6" w:rsidRDefault="00C04FD6">
            <w:pPr>
              <w:spacing w:line="246" w:lineRule="exact"/>
              <w:ind w:left="100"/>
            </w:pPr>
            <w:r>
              <w:rPr>
                <w:szCs w:val="22"/>
              </w:rPr>
              <w:t>158</w:t>
            </w:r>
          </w:p>
        </w:tc>
        <w:tc>
          <w:tcPr>
            <w:tcW w:w="1559" w:type="dxa"/>
            <w:tcBorders>
              <w:top w:val="single" w:sz="4" w:space="0" w:color="000000"/>
              <w:left w:val="single" w:sz="4" w:space="0" w:color="000000"/>
              <w:bottom w:val="single" w:sz="4" w:space="0" w:color="000000"/>
              <w:right w:val="single" w:sz="4" w:space="0" w:color="000000"/>
            </w:tcBorders>
            <w:hideMark/>
          </w:tcPr>
          <w:p w:rsidR="00C04FD6" w:rsidRDefault="00C04FD6">
            <w:pPr>
              <w:spacing w:line="246" w:lineRule="exact"/>
              <w:ind w:left="102"/>
            </w:pPr>
            <w:r>
              <w:rPr>
                <w:szCs w:val="22"/>
              </w:rPr>
              <w:t>317</w:t>
            </w:r>
          </w:p>
        </w:tc>
        <w:tc>
          <w:tcPr>
            <w:tcW w:w="1842" w:type="dxa"/>
            <w:tcBorders>
              <w:top w:val="single" w:sz="4" w:space="0" w:color="000000"/>
              <w:left w:val="single" w:sz="4" w:space="0" w:color="000000"/>
              <w:bottom w:val="single" w:sz="4" w:space="0" w:color="000000"/>
              <w:right w:val="single" w:sz="4" w:space="0" w:color="000000"/>
            </w:tcBorders>
            <w:hideMark/>
          </w:tcPr>
          <w:p w:rsidR="00C04FD6" w:rsidRDefault="00C04FD6">
            <w:pPr>
              <w:spacing w:line="246" w:lineRule="exact"/>
              <w:ind w:left="102"/>
            </w:pPr>
            <w:r>
              <w:rPr>
                <w:szCs w:val="22"/>
              </w:rPr>
              <w:t>13</w:t>
            </w:r>
          </w:p>
        </w:tc>
        <w:tc>
          <w:tcPr>
            <w:tcW w:w="1700" w:type="dxa"/>
            <w:tcBorders>
              <w:top w:val="single" w:sz="4" w:space="0" w:color="000000"/>
              <w:left w:val="single" w:sz="4" w:space="0" w:color="000000"/>
              <w:bottom w:val="single" w:sz="4" w:space="0" w:color="000000"/>
              <w:right w:val="single" w:sz="4" w:space="0" w:color="000000"/>
            </w:tcBorders>
            <w:hideMark/>
          </w:tcPr>
          <w:p w:rsidR="00C04FD6" w:rsidRDefault="00C04FD6">
            <w:pPr>
              <w:spacing w:line="246" w:lineRule="exact"/>
              <w:ind w:left="102"/>
            </w:pPr>
            <w:r>
              <w:rPr>
                <w:szCs w:val="22"/>
              </w:rPr>
              <w:t>26</w:t>
            </w:r>
          </w:p>
        </w:tc>
        <w:tc>
          <w:tcPr>
            <w:tcW w:w="1700" w:type="dxa"/>
            <w:tcBorders>
              <w:top w:val="single" w:sz="4" w:space="0" w:color="000000"/>
              <w:left w:val="single" w:sz="4" w:space="0" w:color="000000"/>
              <w:bottom w:val="single" w:sz="4" w:space="0" w:color="000000"/>
              <w:right w:val="single" w:sz="6" w:space="0" w:color="000000"/>
            </w:tcBorders>
            <w:hideMark/>
          </w:tcPr>
          <w:p w:rsidR="00C04FD6" w:rsidRDefault="00C04FD6">
            <w:pPr>
              <w:spacing w:line="246" w:lineRule="exact"/>
              <w:ind w:left="100"/>
            </w:pPr>
            <w:r>
              <w:rPr>
                <w:szCs w:val="22"/>
              </w:rPr>
              <w:t>53</w:t>
            </w:r>
          </w:p>
        </w:tc>
      </w:tr>
      <w:tr w:rsidR="00C04FD6" w:rsidTr="00BA197D">
        <w:trPr>
          <w:trHeight w:hRule="exact" w:val="301"/>
        </w:trPr>
        <w:tc>
          <w:tcPr>
            <w:tcW w:w="1135" w:type="dxa"/>
            <w:tcBorders>
              <w:top w:val="single" w:sz="4" w:space="0" w:color="000000"/>
              <w:left w:val="single" w:sz="4" w:space="0" w:color="000000"/>
              <w:bottom w:val="single" w:sz="4" w:space="0" w:color="000000"/>
              <w:right w:val="single" w:sz="4" w:space="0" w:color="000000"/>
            </w:tcBorders>
            <w:hideMark/>
          </w:tcPr>
          <w:p w:rsidR="00C04FD6" w:rsidRDefault="00C04FD6">
            <w:pPr>
              <w:spacing w:line="246" w:lineRule="exact"/>
              <w:ind w:left="102"/>
            </w:pPr>
            <w:r>
              <w:rPr>
                <w:szCs w:val="22"/>
              </w:rPr>
              <w:t>120</w:t>
            </w:r>
          </w:p>
        </w:tc>
        <w:tc>
          <w:tcPr>
            <w:tcW w:w="1559" w:type="dxa"/>
            <w:tcBorders>
              <w:top w:val="single" w:sz="4" w:space="0" w:color="000000"/>
              <w:left w:val="single" w:sz="4" w:space="0" w:color="000000"/>
              <w:bottom w:val="single" w:sz="4" w:space="0" w:color="000000"/>
              <w:right w:val="single" w:sz="4" w:space="0" w:color="000000"/>
            </w:tcBorders>
            <w:hideMark/>
          </w:tcPr>
          <w:p w:rsidR="00C04FD6" w:rsidRDefault="00C04FD6">
            <w:pPr>
              <w:spacing w:line="246" w:lineRule="exact"/>
              <w:ind w:left="100"/>
            </w:pPr>
            <w:r>
              <w:rPr>
                <w:szCs w:val="22"/>
              </w:rPr>
              <w:t>173</w:t>
            </w:r>
          </w:p>
        </w:tc>
        <w:tc>
          <w:tcPr>
            <w:tcW w:w="1559" w:type="dxa"/>
            <w:tcBorders>
              <w:top w:val="single" w:sz="4" w:space="0" w:color="000000"/>
              <w:left w:val="single" w:sz="4" w:space="0" w:color="000000"/>
              <w:bottom w:val="single" w:sz="4" w:space="0" w:color="000000"/>
              <w:right w:val="single" w:sz="4" w:space="0" w:color="000000"/>
            </w:tcBorders>
            <w:hideMark/>
          </w:tcPr>
          <w:p w:rsidR="00C04FD6" w:rsidRDefault="00C04FD6">
            <w:pPr>
              <w:spacing w:line="246" w:lineRule="exact"/>
              <w:ind w:left="102"/>
            </w:pPr>
            <w:r>
              <w:rPr>
                <w:szCs w:val="22"/>
              </w:rPr>
              <w:t>346</w:t>
            </w:r>
          </w:p>
        </w:tc>
        <w:tc>
          <w:tcPr>
            <w:tcW w:w="1842" w:type="dxa"/>
            <w:tcBorders>
              <w:top w:val="single" w:sz="4" w:space="0" w:color="000000"/>
              <w:left w:val="single" w:sz="4" w:space="0" w:color="000000"/>
              <w:bottom w:val="single" w:sz="4" w:space="0" w:color="000000"/>
              <w:right w:val="single" w:sz="4" w:space="0" w:color="000000"/>
            </w:tcBorders>
            <w:hideMark/>
          </w:tcPr>
          <w:p w:rsidR="00C04FD6" w:rsidRDefault="00C04FD6">
            <w:pPr>
              <w:spacing w:line="246" w:lineRule="exact"/>
              <w:ind w:left="102"/>
            </w:pPr>
            <w:r>
              <w:rPr>
                <w:szCs w:val="22"/>
              </w:rPr>
              <w:t>14</w:t>
            </w:r>
          </w:p>
        </w:tc>
        <w:tc>
          <w:tcPr>
            <w:tcW w:w="1700" w:type="dxa"/>
            <w:tcBorders>
              <w:top w:val="single" w:sz="4" w:space="0" w:color="000000"/>
              <w:left w:val="single" w:sz="4" w:space="0" w:color="000000"/>
              <w:bottom w:val="single" w:sz="4" w:space="0" w:color="000000"/>
              <w:right w:val="single" w:sz="4" w:space="0" w:color="000000"/>
            </w:tcBorders>
            <w:hideMark/>
          </w:tcPr>
          <w:p w:rsidR="00C04FD6" w:rsidRDefault="00C04FD6">
            <w:pPr>
              <w:spacing w:line="246" w:lineRule="exact"/>
              <w:ind w:left="102"/>
            </w:pPr>
            <w:r>
              <w:rPr>
                <w:szCs w:val="22"/>
              </w:rPr>
              <w:t>29</w:t>
            </w:r>
          </w:p>
        </w:tc>
        <w:tc>
          <w:tcPr>
            <w:tcW w:w="1700" w:type="dxa"/>
            <w:tcBorders>
              <w:top w:val="single" w:sz="4" w:space="0" w:color="000000"/>
              <w:left w:val="single" w:sz="4" w:space="0" w:color="000000"/>
              <w:bottom w:val="single" w:sz="4" w:space="0" w:color="000000"/>
              <w:right w:val="single" w:sz="6" w:space="0" w:color="000000"/>
            </w:tcBorders>
            <w:hideMark/>
          </w:tcPr>
          <w:p w:rsidR="00C04FD6" w:rsidRDefault="00C04FD6">
            <w:pPr>
              <w:spacing w:line="246" w:lineRule="exact"/>
              <w:ind w:left="100"/>
            </w:pPr>
            <w:r>
              <w:rPr>
                <w:szCs w:val="22"/>
              </w:rPr>
              <w:t>58</w:t>
            </w:r>
          </w:p>
        </w:tc>
      </w:tr>
    </w:tbl>
    <w:p w:rsidR="00C04FD6" w:rsidRDefault="00C04FD6" w:rsidP="00C04FD6">
      <w:pPr>
        <w:tabs>
          <w:tab w:val="left" w:pos="720"/>
        </w:tabs>
        <w:autoSpaceDE w:val="0"/>
        <w:autoSpaceDN w:val="0"/>
        <w:adjustRightInd w:val="0"/>
        <w:ind w:left="142"/>
        <w:jc w:val="both"/>
        <w:rPr>
          <w:sz w:val="22"/>
          <w:szCs w:val="22"/>
          <w:lang w:val="en-GB"/>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9670EF" w:rsidRPr="009670EF" w:rsidRDefault="009670EF" w:rsidP="009670EF">
      <w:pPr>
        <w:numPr>
          <w:ilvl w:val="0"/>
          <w:numId w:val="6"/>
        </w:numPr>
        <w:tabs>
          <w:tab w:val="clear" w:pos="720"/>
          <w:tab w:val="left" w:pos="851"/>
        </w:tabs>
        <w:ind w:left="1134" w:hanging="283"/>
        <w:rPr>
          <w:sz w:val="24"/>
          <w:szCs w:val="24"/>
        </w:rPr>
      </w:pPr>
      <w:r w:rsidRPr="009670EF">
        <w:rPr>
          <w:sz w:val="24"/>
          <w:szCs w:val="24"/>
        </w:rPr>
        <w:t>Overfølsomhed over for det aktive stof eller over for et eller flere af hjælpestofferne anført i pkt. 6.1.</w:t>
      </w:r>
    </w:p>
    <w:p w:rsidR="009670EF" w:rsidRPr="009670EF" w:rsidRDefault="009670EF" w:rsidP="009670EF">
      <w:pPr>
        <w:numPr>
          <w:ilvl w:val="0"/>
          <w:numId w:val="6"/>
        </w:numPr>
        <w:tabs>
          <w:tab w:val="clear" w:pos="720"/>
          <w:tab w:val="left" w:pos="851"/>
        </w:tabs>
        <w:ind w:left="1134" w:hanging="283"/>
        <w:rPr>
          <w:sz w:val="24"/>
          <w:szCs w:val="24"/>
        </w:rPr>
      </w:pPr>
      <w:r w:rsidRPr="009670EF">
        <w:rPr>
          <w:sz w:val="24"/>
          <w:szCs w:val="24"/>
        </w:rPr>
        <w:t>Svær hypotension og takykardi (se pkt. 4.4 og 5.1).</w:t>
      </w:r>
    </w:p>
    <w:p w:rsidR="009670EF" w:rsidRPr="009670EF" w:rsidRDefault="009670EF" w:rsidP="009670EF">
      <w:pPr>
        <w:numPr>
          <w:ilvl w:val="0"/>
          <w:numId w:val="6"/>
        </w:numPr>
        <w:tabs>
          <w:tab w:val="clear" w:pos="720"/>
          <w:tab w:val="left" w:pos="851"/>
        </w:tabs>
        <w:ind w:left="1134" w:hanging="283"/>
        <w:rPr>
          <w:sz w:val="24"/>
          <w:szCs w:val="24"/>
        </w:rPr>
      </w:pPr>
      <w:r w:rsidRPr="009670EF">
        <w:rPr>
          <w:sz w:val="24"/>
          <w:szCs w:val="24"/>
        </w:rPr>
        <w:t>Udtalt mekanisk obstruktion, som påvirker ventrikelfyldning eller -tømning eller begge dele.</w:t>
      </w:r>
    </w:p>
    <w:p w:rsidR="009670EF" w:rsidRPr="009670EF" w:rsidRDefault="009670EF" w:rsidP="009670EF">
      <w:pPr>
        <w:numPr>
          <w:ilvl w:val="0"/>
          <w:numId w:val="6"/>
        </w:numPr>
        <w:tabs>
          <w:tab w:val="clear" w:pos="720"/>
          <w:tab w:val="left" w:pos="851"/>
        </w:tabs>
        <w:ind w:left="1134" w:hanging="283"/>
        <w:rPr>
          <w:sz w:val="24"/>
          <w:szCs w:val="24"/>
        </w:rPr>
      </w:pPr>
      <w:r w:rsidRPr="009670EF">
        <w:rPr>
          <w:sz w:val="24"/>
          <w:szCs w:val="24"/>
        </w:rPr>
        <w:t>Svært nedsat nyrefunktion (kreatininclearance &lt;30 ml/min)</w:t>
      </w:r>
    </w:p>
    <w:p w:rsidR="009670EF" w:rsidRPr="009670EF" w:rsidRDefault="009670EF" w:rsidP="009670EF">
      <w:pPr>
        <w:numPr>
          <w:ilvl w:val="0"/>
          <w:numId w:val="6"/>
        </w:numPr>
        <w:tabs>
          <w:tab w:val="clear" w:pos="720"/>
          <w:tab w:val="left" w:pos="851"/>
        </w:tabs>
        <w:ind w:left="1134" w:hanging="283"/>
        <w:rPr>
          <w:sz w:val="24"/>
          <w:szCs w:val="24"/>
        </w:rPr>
      </w:pPr>
      <w:r w:rsidRPr="009670EF">
        <w:rPr>
          <w:sz w:val="24"/>
          <w:szCs w:val="24"/>
        </w:rPr>
        <w:t>Svært nedsat leverfunktion.</w:t>
      </w:r>
    </w:p>
    <w:p w:rsidR="009670EF" w:rsidRPr="009670EF" w:rsidRDefault="009670EF" w:rsidP="009670EF">
      <w:pPr>
        <w:numPr>
          <w:ilvl w:val="0"/>
          <w:numId w:val="6"/>
        </w:numPr>
        <w:tabs>
          <w:tab w:val="clear" w:pos="720"/>
          <w:tab w:val="left" w:pos="851"/>
        </w:tabs>
        <w:ind w:left="1134" w:hanging="283"/>
        <w:rPr>
          <w:sz w:val="24"/>
          <w:szCs w:val="24"/>
        </w:rPr>
      </w:pPr>
      <w:r w:rsidRPr="009670EF">
        <w:rPr>
          <w:sz w:val="24"/>
          <w:szCs w:val="24"/>
        </w:rPr>
        <w:t>”Torsades de pointes” i anamnesen.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8662F2" w:rsidRPr="008662F2" w:rsidRDefault="008662F2" w:rsidP="008662F2">
      <w:pPr>
        <w:tabs>
          <w:tab w:val="left" w:pos="851"/>
        </w:tabs>
        <w:ind w:left="851"/>
        <w:rPr>
          <w:sz w:val="24"/>
          <w:szCs w:val="24"/>
        </w:rPr>
      </w:pPr>
      <w:r w:rsidRPr="008662F2">
        <w:rPr>
          <w:sz w:val="24"/>
          <w:szCs w:val="24"/>
        </w:rPr>
        <w:t>En initial hæmodynamisk virkning af levosimendan kan være en reduktion i systolisk og diastolisk blodtryk. Derfor bør levosimendan anvendes med forsigtighed hos patienter med lavt systolisk eller diastolisk blodtryk ved baseline eller hos patienter med risiko for hypotensive episoder. Et mere konservativt doseringsregime anbefales til disse patienter. Læger skal tilpasse dosis og behandlingsvarighed ud fra patientens tilstand og respons (se pkt. 4.2, 4.5 og 5.1).</w:t>
      </w:r>
    </w:p>
    <w:p w:rsidR="008662F2" w:rsidRPr="008662F2" w:rsidRDefault="008662F2" w:rsidP="008662F2">
      <w:pPr>
        <w:tabs>
          <w:tab w:val="left" w:pos="851"/>
        </w:tabs>
        <w:ind w:left="851"/>
        <w:rPr>
          <w:sz w:val="24"/>
          <w:szCs w:val="24"/>
        </w:rPr>
      </w:pPr>
    </w:p>
    <w:p w:rsidR="008662F2" w:rsidRPr="008662F2" w:rsidRDefault="008662F2" w:rsidP="008662F2">
      <w:pPr>
        <w:tabs>
          <w:tab w:val="left" w:pos="851"/>
        </w:tabs>
        <w:ind w:left="851"/>
        <w:rPr>
          <w:sz w:val="24"/>
          <w:szCs w:val="24"/>
        </w:rPr>
      </w:pPr>
      <w:r w:rsidRPr="008662F2">
        <w:rPr>
          <w:sz w:val="24"/>
          <w:szCs w:val="24"/>
        </w:rPr>
        <w:t>Svær hypovolæmi bør korrigeres før en infusion med levosimendan.</w:t>
      </w:r>
    </w:p>
    <w:p w:rsidR="008662F2" w:rsidRPr="008662F2" w:rsidRDefault="008662F2" w:rsidP="008662F2">
      <w:pPr>
        <w:tabs>
          <w:tab w:val="left" w:pos="851"/>
        </w:tabs>
        <w:ind w:left="851"/>
        <w:rPr>
          <w:sz w:val="24"/>
          <w:szCs w:val="24"/>
        </w:rPr>
      </w:pPr>
      <w:r w:rsidRPr="008662F2">
        <w:rPr>
          <w:sz w:val="24"/>
          <w:szCs w:val="24"/>
        </w:rPr>
        <w:t>Hvis der observeres udtalte ændringer i blodtrykket eller hjerterytmen</w:t>
      </w:r>
      <w:r w:rsidRPr="008662F2">
        <w:rPr>
          <w:sz w:val="24"/>
          <w:szCs w:val="24"/>
          <w:u w:val="single"/>
        </w:rPr>
        <w:t>,</w:t>
      </w:r>
      <w:r w:rsidRPr="008662F2">
        <w:rPr>
          <w:sz w:val="24"/>
          <w:szCs w:val="24"/>
        </w:rPr>
        <w:t xml:space="preserve"> bør infusionshastigheden reduceres eller infusionen afbrydes.</w:t>
      </w:r>
    </w:p>
    <w:p w:rsidR="008662F2" w:rsidRPr="008662F2" w:rsidRDefault="008662F2" w:rsidP="008662F2">
      <w:pPr>
        <w:tabs>
          <w:tab w:val="left" w:pos="851"/>
        </w:tabs>
        <w:ind w:left="851"/>
        <w:rPr>
          <w:sz w:val="24"/>
          <w:szCs w:val="24"/>
        </w:rPr>
      </w:pPr>
    </w:p>
    <w:p w:rsidR="008662F2" w:rsidRPr="008662F2" w:rsidRDefault="008662F2" w:rsidP="008662F2">
      <w:pPr>
        <w:tabs>
          <w:tab w:val="left" w:pos="851"/>
        </w:tabs>
        <w:ind w:left="851"/>
        <w:rPr>
          <w:sz w:val="24"/>
          <w:szCs w:val="24"/>
        </w:rPr>
      </w:pPr>
      <w:r w:rsidRPr="008662F2">
        <w:rPr>
          <w:sz w:val="24"/>
          <w:szCs w:val="24"/>
        </w:rPr>
        <w:t xml:space="preserve">Den nøjagtige varighed af samtlige hæmodynamiske virkninger er ikke klarlagt, men de hæmodynamiske virkninger varer sædvanligvis i 7-10 dage. Dette skyldes delvis tilstedeværelsen af aktive metabolitter, der når deres maksimale plasmakoncentrationer omkring 48 timer efter, at infusionen er standset. Ikke-invasiv overvågning i mindst 4-5 </w:t>
      </w:r>
      <w:r w:rsidRPr="008662F2">
        <w:rPr>
          <w:sz w:val="24"/>
          <w:szCs w:val="24"/>
        </w:rPr>
        <w:lastRenderedPageBreak/>
        <w:t>dage efter afsluttet infusion anbefales. Det anbefales at fortsætte med overvågning indtil reduktionen i blodtrykket har nået sit maksimum og begynder at stige på ny. Det kan være nødvendig med overvågning i mere end 5 dage, hvis der er tegn på, at blodtrykket fortsætter med at falde. Men den kan også være kortere, hvis patienten er klinisk stabil. For patienter med let til moderat nedsat nyre- eller leverfunktion kan en udvidet periode med overvågning være nødvendig.</w:t>
      </w:r>
    </w:p>
    <w:p w:rsidR="008662F2" w:rsidRPr="008662F2" w:rsidRDefault="008662F2" w:rsidP="008662F2">
      <w:pPr>
        <w:tabs>
          <w:tab w:val="left" w:pos="851"/>
        </w:tabs>
        <w:ind w:left="851"/>
        <w:rPr>
          <w:sz w:val="24"/>
          <w:szCs w:val="24"/>
        </w:rPr>
      </w:pPr>
    </w:p>
    <w:p w:rsidR="008662F2" w:rsidRPr="008662F2" w:rsidRDefault="008662F2" w:rsidP="008662F2">
      <w:pPr>
        <w:tabs>
          <w:tab w:val="left" w:pos="851"/>
        </w:tabs>
        <w:ind w:left="851"/>
        <w:rPr>
          <w:sz w:val="24"/>
          <w:szCs w:val="24"/>
        </w:rPr>
      </w:pPr>
      <w:r w:rsidRPr="008662F2">
        <w:rPr>
          <w:sz w:val="24"/>
          <w:szCs w:val="24"/>
        </w:rPr>
        <w:t>Levosimendan "Fresenius Kabi" bør anvendes med forsigtighed til patienter med en let til moderat nedsat nyrefunktion. Der er begrænsede data tilgængelige for elimination af de aktive metabolitter hos patienter med nedsat nyrefunktion. Nedsat nyrefunktion kan føre til en øget koncentration af metabolitterne, som igen kan resultere i en mere udtalt og forlænget hæmodynamisk virkning (se pkt. 5.2).</w:t>
      </w:r>
    </w:p>
    <w:p w:rsidR="008662F2" w:rsidRPr="008662F2" w:rsidRDefault="008662F2" w:rsidP="008662F2">
      <w:pPr>
        <w:tabs>
          <w:tab w:val="left" w:pos="851"/>
        </w:tabs>
        <w:ind w:left="851"/>
        <w:rPr>
          <w:sz w:val="24"/>
          <w:szCs w:val="24"/>
        </w:rPr>
      </w:pPr>
    </w:p>
    <w:p w:rsidR="008662F2" w:rsidRPr="008662F2" w:rsidRDefault="008662F2" w:rsidP="008662F2">
      <w:pPr>
        <w:tabs>
          <w:tab w:val="left" w:pos="851"/>
        </w:tabs>
        <w:ind w:left="851"/>
        <w:rPr>
          <w:sz w:val="24"/>
          <w:szCs w:val="24"/>
        </w:rPr>
      </w:pPr>
      <w:r w:rsidRPr="008662F2">
        <w:rPr>
          <w:sz w:val="24"/>
          <w:szCs w:val="24"/>
        </w:rPr>
        <w:t>Levosimendan "Fresenius Kabi" bør anvendes med forsigtighed til patienter med en let til moderat nedsat leverfunktion.</w:t>
      </w:r>
    </w:p>
    <w:p w:rsidR="008662F2" w:rsidRPr="008662F2" w:rsidRDefault="008662F2" w:rsidP="008662F2">
      <w:pPr>
        <w:tabs>
          <w:tab w:val="left" w:pos="851"/>
        </w:tabs>
        <w:ind w:left="851"/>
        <w:rPr>
          <w:sz w:val="24"/>
          <w:szCs w:val="24"/>
        </w:rPr>
      </w:pPr>
      <w:r w:rsidRPr="008662F2">
        <w:rPr>
          <w:sz w:val="24"/>
          <w:szCs w:val="24"/>
        </w:rPr>
        <w:t>Nedsat leverfunktion kan medføre forlænget eksponering for metabolitterne, som igen kan resultere i en mere udtalt og forlænget hæmodynamisk virkning (se pkt. 5.2).</w:t>
      </w:r>
    </w:p>
    <w:p w:rsidR="008662F2" w:rsidRPr="008662F2" w:rsidRDefault="008662F2" w:rsidP="008662F2">
      <w:pPr>
        <w:tabs>
          <w:tab w:val="left" w:pos="851"/>
        </w:tabs>
        <w:ind w:left="851"/>
        <w:rPr>
          <w:sz w:val="24"/>
          <w:szCs w:val="24"/>
        </w:rPr>
      </w:pPr>
    </w:p>
    <w:p w:rsidR="008662F2" w:rsidRPr="008662F2" w:rsidRDefault="008662F2" w:rsidP="008662F2">
      <w:pPr>
        <w:tabs>
          <w:tab w:val="left" w:pos="851"/>
        </w:tabs>
        <w:ind w:left="851"/>
        <w:rPr>
          <w:sz w:val="24"/>
          <w:szCs w:val="24"/>
        </w:rPr>
      </w:pPr>
      <w:r w:rsidRPr="008662F2">
        <w:rPr>
          <w:sz w:val="24"/>
          <w:szCs w:val="24"/>
        </w:rPr>
        <w:t xml:space="preserve">Infusion med Levosimendan "Fresenius Kabi" kan forårsage et fald i kaliumkoncentrationen i serum. Derfor bør lave kaliumkoncentrationer i serum korrigeres før administration af Levosimendan "Fresenius Kabi". Koncentrationen af kalium i serum bør også overvåges i løbet af behandlingen. </w:t>
      </w:r>
    </w:p>
    <w:p w:rsidR="008662F2" w:rsidRPr="008662F2" w:rsidRDefault="008662F2" w:rsidP="008662F2">
      <w:pPr>
        <w:tabs>
          <w:tab w:val="left" w:pos="851"/>
        </w:tabs>
        <w:ind w:left="851"/>
        <w:rPr>
          <w:sz w:val="24"/>
          <w:szCs w:val="24"/>
        </w:rPr>
      </w:pPr>
    </w:p>
    <w:p w:rsidR="008662F2" w:rsidRPr="008662F2" w:rsidRDefault="008662F2" w:rsidP="008662F2">
      <w:pPr>
        <w:tabs>
          <w:tab w:val="left" w:pos="851"/>
        </w:tabs>
        <w:ind w:left="851"/>
        <w:rPr>
          <w:sz w:val="24"/>
          <w:szCs w:val="24"/>
        </w:rPr>
      </w:pPr>
      <w:r w:rsidRPr="008662F2">
        <w:rPr>
          <w:sz w:val="24"/>
          <w:szCs w:val="24"/>
        </w:rPr>
        <w:t>Som for andre præparater til behandling af hjertesvigt, kan infusion af Levosimendan "Fresenius Kabi" følges af fald i hæmoglobin- og hæmatokritværdier, og forsigtighed bør udvises hos patienter med iskæmisk kardiovaskulær sygdom og samtidig anæmi.</w:t>
      </w:r>
    </w:p>
    <w:p w:rsidR="008662F2" w:rsidRPr="008662F2" w:rsidRDefault="008662F2" w:rsidP="008662F2">
      <w:pPr>
        <w:tabs>
          <w:tab w:val="left" w:pos="851"/>
        </w:tabs>
        <w:ind w:left="851"/>
        <w:rPr>
          <w:sz w:val="24"/>
          <w:szCs w:val="24"/>
        </w:rPr>
      </w:pPr>
    </w:p>
    <w:p w:rsidR="008662F2" w:rsidRPr="008662F2" w:rsidRDefault="008662F2" w:rsidP="008662F2">
      <w:pPr>
        <w:tabs>
          <w:tab w:val="left" w:pos="851"/>
        </w:tabs>
        <w:ind w:left="851"/>
        <w:rPr>
          <w:sz w:val="24"/>
          <w:szCs w:val="24"/>
        </w:rPr>
      </w:pPr>
      <w:r w:rsidRPr="008662F2">
        <w:rPr>
          <w:sz w:val="24"/>
          <w:szCs w:val="24"/>
        </w:rPr>
        <w:t>Levosimendan "Fresenius Kabi" infusion bør anvendes med forsigtighed til patienter med takykardi, atrieflimren med hurtigt ventrikulært respons eller potentielle livstruende arytmier.</w:t>
      </w:r>
    </w:p>
    <w:p w:rsidR="008662F2" w:rsidRPr="008662F2" w:rsidRDefault="008662F2" w:rsidP="008662F2">
      <w:pPr>
        <w:tabs>
          <w:tab w:val="left" w:pos="851"/>
        </w:tabs>
        <w:ind w:left="851"/>
        <w:rPr>
          <w:sz w:val="24"/>
          <w:szCs w:val="24"/>
          <w:u w:val="single"/>
        </w:rPr>
      </w:pPr>
    </w:p>
    <w:p w:rsidR="008662F2" w:rsidRPr="008662F2" w:rsidRDefault="008662F2" w:rsidP="008662F2">
      <w:pPr>
        <w:tabs>
          <w:tab w:val="left" w:pos="851"/>
        </w:tabs>
        <w:ind w:left="851"/>
        <w:rPr>
          <w:sz w:val="24"/>
          <w:szCs w:val="24"/>
        </w:rPr>
      </w:pPr>
      <w:r w:rsidRPr="008662F2">
        <w:rPr>
          <w:sz w:val="24"/>
          <w:szCs w:val="24"/>
        </w:rPr>
        <w:t xml:space="preserve">Der er begrænset erfaring med gentagen administration af levosimendan. </w:t>
      </w:r>
    </w:p>
    <w:p w:rsidR="008662F2" w:rsidRPr="008662F2" w:rsidRDefault="008662F2" w:rsidP="008662F2">
      <w:pPr>
        <w:tabs>
          <w:tab w:val="left" w:pos="851"/>
        </w:tabs>
        <w:ind w:left="851"/>
        <w:rPr>
          <w:sz w:val="24"/>
          <w:szCs w:val="24"/>
        </w:rPr>
      </w:pPr>
    </w:p>
    <w:p w:rsidR="008662F2" w:rsidRPr="008662F2" w:rsidRDefault="008662F2" w:rsidP="008662F2">
      <w:pPr>
        <w:tabs>
          <w:tab w:val="left" w:pos="851"/>
        </w:tabs>
        <w:ind w:left="851"/>
        <w:rPr>
          <w:sz w:val="24"/>
          <w:szCs w:val="24"/>
        </w:rPr>
      </w:pPr>
      <w:r w:rsidRPr="008662F2">
        <w:rPr>
          <w:sz w:val="24"/>
          <w:szCs w:val="24"/>
        </w:rPr>
        <w:t>Der er begrænset erfaring med samtidig brug af vasoaktive lægemidler, inklusive inotrope lægemidler (undtagen digoxin). Fordel og risiko bør vurderes for hver enkelt patient.</w:t>
      </w:r>
    </w:p>
    <w:p w:rsidR="008662F2" w:rsidRPr="008662F2" w:rsidRDefault="008662F2" w:rsidP="008662F2">
      <w:pPr>
        <w:tabs>
          <w:tab w:val="left" w:pos="851"/>
        </w:tabs>
        <w:ind w:left="851"/>
        <w:rPr>
          <w:sz w:val="24"/>
          <w:szCs w:val="24"/>
        </w:rPr>
      </w:pPr>
    </w:p>
    <w:p w:rsidR="008662F2" w:rsidRPr="008662F2" w:rsidRDefault="008662F2" w:rsidP="008662F2">
      <w:pPr>
        <w:tabs>
          <w:tab w:val="left" w:pos="851"/>
        </w:tabs>
        <w:ind w:left="851"/>
        <w:rPr>
          <w:sz w:val="24"/>
          <w:szCs w:val="24"/>
        </w:rPr>
      </w:pPr>
      <w:r w:rsidRPr="008662F2">
        <w:rPr>
          <w:sz w:val="24"/>
          <w:szCs w:val="24"/>
        </w:rPr>
        <w:t xml:space="preserve">Levosimendan "Fresenius Kabi" bør bruges med forsigtighed og under nøje overvågning af EKG til patienter med eksisterende koronar iskæmi, langt QTc-interval uanset ætiologi, eller når det gives samtidigt med lægemidler, som forlænger QTc-intervallet (se pkt. 4.9) </w:t>
      </w:r>
    </w:p>
    <w:p w:rsidR="008662F2" w:rsidRPr="008662F2" w:rsidRDefault="008662F2" w:rsidP="008662F2">
      <w:pPr>
        <w:tabs>
          <w:tab w:val="left" w:pos="851"/>
        </w:tabs>
        <w:ind w:left="851"/>
        <w:rPr>
          <w:sz w:val="24"/>
          <w:szCs w:val="24"/>
        </w:rPr>
      </w:pPr>
    </w:p>
    <w:p w:rsidR="008662F2" w:rsidRPr="008662F2" w:rsidRDefault="008662F2" w:rsidP="008662F2">
      <w:pPr>
        <w:tabs>
          <w:tab w:val="left" w:pos="851"/>
        </w:tabs>
        <w:ind w:left="851"/>
        <w:rPr>
          <w:sz w:val="24"/>
          <w:szCs w:val="24"/>
        </w:rPr>
      </w:pPr>
      <w:r w:rsidRPr="008662F2">
        <w:rPr>
          <w:sz w:val="24"/>
          <w:szCs w:val="24"/>
        </w:rPr>
        <w:t xml:space="preserve">Brug af levosimendan er ikke undersøgt ved kardiogent shock. </w:t>
      </w:r>
    </w:p>
    <w:p w:rsidR="008662F2" w:rsidRPr="008662F2" w:rsidRDefault="008662F2" w:rsidP="008662F2">
      <w:pPr>
        <w:tabs>
          <w:tab w:val="left" w:pos="851"/>
        </w:tabs>
        <w:ind w:left="851"/>
        <w:rPr>
          <w:sz w:val="24"/>
          <w:szCs w:val="24"/>
        </w:rPr>
      </w:pPr>
    </w:p>
    <w:p w:rsidR="008662F2" w:rsidRPr="008662F2" w:rsidRDefault="008662F2" w:rsidP="008662F2">
      <w:pPr>
        <w:tabs>
          <w:tab w:val="left" w:pos="851"/>
        </w:tabs>
        <w:ind w:left="851"/>
        <w:rPr>
          <w:sz w:val="24"/>
          <w:szCs w:val="24"/>
        </w:rPr>
      </w:pPr>
      <w:r w:rsidRPr="008662F2">
        <w:rPr>
          <w:sz w:val="24"/>
          <w:szCs w:val="24"/>
        </w:rPr>
        <w:t>Der er ingen tilgængelig information om brug af Levosimendan "Fresenius Kabi" til følgende sygdomme: restriktiv kardiomyopati, hypertrofisk kardiomyopati, alvorlig mitralklapinsufficiens, myokardieruptur, hjertetamponade og infarkt i højre hjertekammer.</w:t>
      </w:r>
    </w:p>
    <w:p w:rsidR="008662F2" w:rsidRPr="008662F2" w:rsidRDefault="008662F2" w:rsidP="008662F2">
      <w:pPr>
        <w:tabs>
          <w:tab w:val="left" w:pos="851"/>
        </w:tabs>
        <w:ind w:left="851"/>
        <w:rPr>
          <w:sz w:val="24"/>
          <w:szCs w:val="24"/>
        </w:rPr>
      </w:pPr>
    </w:p>
    <w:p w:rsidR="008662F2" w:rsidRPr="008662F2" w:rsidRDefault="008662F2" w:rsidP="008662F2">
      <w:pPr>
        <w:tabs>
          <w:tab w:val="left" w:pos="851"/>
        </w:tabs>
        <w:ind w:left="851"/>
        <w:rPr>
          <w:sz w:val="24"/>
          <w:szCs w:val="24"/>
        </w:rPr>
      </w:pPr>
      <w:r w:rsidRPr="008662F2">
        <w:rPr>
          <w:sz w:val="24"/>
          <w:szCs w:val="24"/>
        </w:rPr>
        <w:t>Levosimendan "Fresenius Kabi" bør ikke administreres til børn, fordi der kun findes begrænsede erfaringer med brug til børn og unge under 18 år (se pkt. 5.2).</w:t>
      </w:r>
    </w:p>
    <w:p w:rsidR="008662F2" w:rsidRPr="008662F2" w:rsidRDefault="008662F2" w:rsidP="008662F2">
      <w:pPr>
        <w:tabs>
          <w:tab w:val="left" w:pos="851"/>
        </w:tabs>
        <w:ind w:left="851"/>
        <w:rPr>
          <w:sz w:val="24"/>
          <w:szCs w:val="24"/>
        </w:rPr>
      </w:pPr>
    </w:p>
    <w:p w:rsidR="008662F2" w:rsidRPr="008662F2" w:rsidRDefault="008662F2" w:rsidP="008662F2">
      <w:pPr>
        <w:tabs>
          <w:tab w:val="left" w:pos="851"/>
        </w:tabs>
        <w:ind w:left="851"/>
        <w:rPr>
          <w:sz w:val="24"/>
          <w:szCs w:val="24"/>
        </w:rPr>
      </w:pPr>
      <w:r w:rsidRPr="008662F2">
        <w:rPr>
          <w:sz w:val="24"/>
          <w:szCs w:val="24"/>
        </w:rPr>
        <w:t>Der er begrænset erfaring tilgængelig vedr. brug af Levosimendan "Fresenius Kabi" til patienter med svær kronisk hjertesvigt, som venter på en hjertetransplantation.</w:t>
      </w:r>
    </w:p>
    <w:p w:rsidR="008662F2" w:rsidRPr="008662F2" w:rsidRDefault="008662F2" w:rsidP="008662F2">
      <w:pPr>
        <w:tabs>
          <w:tab w:val="left" w:pos="851"/>
        </w:tabs>
        <w:ind w:left="851"/>
        <w:rPr>
          <w:sz w:val="24"/>
          <w:szCs w:val="24"/>
        </w:rPr>
      </w:pPr>
    </w:p>
    <w:p w:rsidR="008662F2" w:rsidRPr="008662F2" w:rsidRDefault="008662F2" w:rsidP="008662F2">
      <w:pPr>
        <w:tabs>
          <w:tab w:val="left" w:pos="851"/>
        </w:tabs>
        <w:ind w:left="851"/>
        <w:rPr>
          <w:sz w:val="24"/>
          <w:szCs w:val="24"/>
        </w:rPr>
      </w:pPr>
      <w:r w:rsidRPr="008662F2">
        <w:rPr>
          <w:sz w:val="24"/>
          <w:szCs w:val="24"/>
        </w:rPr>
        <w:t>Dette lægemiddel indeholder 3925 mg alkohol (vandfri ethanol) i hvert 5 ml hætteglas, hvilket svarer til ca. 98 vol</w:t>
      </w:r>
      <w:r w:rsidR="00E417D4">
        <w:rPr>
          <w:sz w:val="24"/>
          <w:szCs w:val="24"/>
        </w:rPr>
        <w:t xml:space="preserve"> %</w:t>
      </w:r>
      <w:r w:rsidRPr="008662F2">
        <w:rPr>
          <w:sz w:val="24"/>
          <w:szCs w:val="24"/>
        </w:rPr>
        <w:t xml:space="preserve">.  Mængden i et 5 ml hætteglas af denne medicin svarer til 99,2 ml øl eller 41,3 ml vin. </w:t>
      </w:r>
    </w:p>
    <w:p w:rsidR="008662F2" w:rsidRPr="008662F2" w:rsidRDefault="008662F2" w:rsidP="008662F2">
      <w:pPr>
        <w:tabs>
          <w:tab w:val="left" w:pos="851"/>
        </w:tabs>
        <w:ind w:left="851"/>
        <w:rPr>
          <w:sz w:val="24"/>
          <w:szCs w:val="24"/>
          <w:lang w:val="sv-SE"/>
        </w:rPr>
      </w:pPr>
      <w:r w:rsidRPr="008662F2">
        <w:rPr>
          <w:sz w:val="24"/>
          <w:szCs w:val="24"/>
          <w:lang w:val="sv-SE"/>
        </w:rPr>
        <w:t>Skadeligt for alkoholikere.</w:t>
      </w:r>
    </w:p>
    <w:p w:rsidR="008662F2" w:rsidRPr="008662F2" w:rsidRDefault="008662F2" w:rsidP="008662F2">
      <w:pPr>
        <w:tabs>
          <w:tab w:val="left" w:pos="851"/>
        </w:tabs>
        <w:ind w:left="851"/>
        <w:rPr>
          <w:sz w:val="24"/>
          <w:szCs w:val="24"/>
        </w:rPr>
      </w:pPr>
      <w:r w:rsidRPr="008662F2">
        <w:rPr>
          <w:sz w:val="24"/>
          <w:szCs w:val="24"/>
        </w:rPr>
        <w:t>Der skal tages højde for dette hos gravide eller ammende kvinder, børn samt patienter i højrisikogruppe såsom patienter med leversygdomme eller epilepsi. Mængden af alkohol i dette lægemiddel kan ændre virkningen af andre lægemidler.</w:t>
      </w:r>
    </w:p>
    <w:p w:rsidR="008662F2" w:rsidRPr="008662F2" w:rsidRDefault="008662F2" w:rsidP="008662F2">
      <w:pPr>
        <w:tabs>
          <w:tab w:val="left" w:pos="851"/>
        </w:tabs>
        <w:ind w:left="851"/>
        <w:rPr>
          <w:sz w:val="24"/>
          <w:szCs w:val="24"/>
        </w:rPr>
      </w:pPr>
    </w:p>
    <w:p w:rsidR="008662F2" w:rsidRPr="008662F2" w:rsidRDefault="008662F2" w:rsidP="008662F2">
      <w:pPr>
        <w:tabs>
          <w:tab w:val="left" w:pos="851"/>
        </w:tabs>
        <w:ind w:left="851"/>
        <w:rPr>
          <w:sz w:val="24"/>
          <w:szCs w:val="24"/>
        </w:rPr>
      </w:pPr>
      <w:r w:rsidRPr="008662F2">
        <w:rPr>
          <w:sz w:val="24"/>
          <w:szCs w:val="24"/>
        </w:rPr>
        <w:t xml:space="preserve">Alkoholens virkning kan være reduceret, idet denne medicin almindeligvis gives langsomt over 24 timer.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216A5C" w:rsidRPr="00216A5C" w:rsidRDefault="00216A5C" w:rsidP="00216A5C">
      <w:pPr>
        <w:tabs>
          <w:tab w:val="left" w:pos="851"/>
        </w:tabs>
        <w:ind w:left="851"/>
        <w:rPr>
          <w:sz w:val="24"/>
          <w:szCs w:val="24"/>
        </w:rPr>
      </w:pPr>
      <w:r w:rsidRPr="00216A5C">
        <w:rPr>
          <w:sz w:val="24"/>
          <w:szCs w:val="24"/>
        </w:rPr>
        <w:t>I overensstemmelse med gældende medicinsk praksis bør levosimendan anvendes med forsigtighed, når det administreres sammen med andre intravenøse vasoaktive lægemidler på grund af en potentielt øget risiko for hypotension (se pkt. 4.4).</w:t>
      </w:r>
    </w:p>
    <w:p w:rsidR="00216A5C" w:rsidRPr="00216A5C" w:rsidRDefault="00216A5C" w:rsidP="00216A5C">
      <w:pPr>
        <w:tabs>
          <w:tab w:val="left" w:pos="851"/>
        </w:tabs>
        <w:ind w:left="851"/>
        <w:rPr>
          <w:sz w:val="24"/>
          <w:szCs w:val="24"/>
        </w:rPr>
      </w:pPr>
    </w:p>
    <w:p w:rsidR="00216A5C" w:rsidRPr="00216A5C" w:rsidRDefault="00216A5C" w:rsidP="00216A5C">
      <w:pPr>
        <w:tabs>
          <w:tab w:val="left" w:pos="851"/>
        </w:tabs>
        <w:ind w:left="851"/>
        <w:rPr>
          <w:sz w:val="24"/>
          <w:szCs w:val="24"/>
        </w:rPr>
      </w:pPr>
      <w:r w:rsidRPr="00216A5C">
        <w:rPr>
          <w:sz w:val="24"/>
          <w:szCs w:val="24"/>
        </w:rPr>
        <w:t>Der er ikke observeret farmakokinetiske interaktioner i en populationsanalyse af patienter, som fik digoxin og Levosimendan "Fresenius Kabi" infusion. Infusion med Levosimendan "Fresenius Kabi" kan administreres til patienter, som får betablokkere, uden virkningstab. Samtidig administration af isosorbidmononitrat og levosimendan til raske frivillige førte til en kraftig forstærkning af det ortostatiske hypotensive respons.</w:t>
      </w:r>
    </w:p>
    <w:p w:rsidR="00216A5C" w:rsidRPr="00216A5C" w:rsidRDefault="00216A5C" w:rsidP="00216A5C">
      <w:pPr>
        <w:tabs>
          <w:tab w:val="left" w:pos="851"/>
        </w:tabs>
        <w:ind w:left="851"/>
        <w:rPr>
          <w:sz w:val="24"/>
          <w:szCs w:val="24"/>
        </w:rPr>
      </w:pPr>
    </w:p>
    <w:p w:rsidR="00216A5C" w:rsidRPr="00216A5C" w:rsidRDefault="00216A5C" w:rsidP="00216A5C">
      <w:pPr>
        <w:tabs>
          <w:tab w:val="left" w:pos="851"/>
        </w:tabs>
        <w:ind w:left="851"/>
        <w:rPr>
          <w:sz w:val="24"/>
          <w:szCs w:val="24"/>
        </w:rPr>
      </w:pPr>
      <w:r w:rsidRPr="00216A5C">
        <w:rPr>
          <w:sz w:val="24"/>
          <w:szCs w:val="24"/>
        </w:rPr>
        <w:t xml:space="preserve">Levosimendan har vist sig at være en hæmmer af CYP28 in vitro, og det kan derfor ikke udelukkes, at levosimendan kan øge eksponeringen af samtidigt administrerede lægemidler, som er primært metaboliseret af CYP28. Samtidig administration af levosimendan med sensitive CYP28 substrater såsom loperamid, pioglitazon, repaglinid og enzalutamid bør derfor undgås, når muligt.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t>Graviditet og amning</w:t>
      </w:r>
    </w:p>
    <w:p w:rsidR="004470FB" w:rsidRDefault="004470FB" w:rsidP="004470FB">
      <w:pPr>
        <w:tabs>
          <w:tab w:val="left" w:pos="851"/>
        </w:tabs>
        <w:ind w:left="851"/>
        <w:rPr>
          <w:sz w:val="24"/>
          <w:szCs w:val="24"/>
          <w:u w:val="single"/>
        </w:rPr>
      </w:pPr>
    </w:p>
    <w:p w:rsidR="004470FB" w:rsidRPr="004470FB" w:rsidRDefault="004470FB" w:rsidP="004470FB">
      <w:pPr>
        <w:tabs>
          <w:tab w:val="left" w:pos="851"/>
        </w:tabs>
        <w:ind w:left="851"/>
        <w:rPr>
          <w:sz w:val="24"/>
          <w:szCs w:val="24"/>
          <w:u w:val="single"/>
        </w:rPr>
      </w:pPr>
      <w:r w:rsidRPr="004470FB">
        <w:rPr>
          <w:sz w:val="24"/>
          <w:szCs w:val="24"/>
          <w:u w:val="single"/>
        </w:rPr>
        <w:t>Graviditet</w:t>
      </w:r>
    </w:p>
    <w:p w:rsidR="004470FB" w:rsidRPr="004470FB" w:rsidRDefault="004470FB" w:rsidP="004470FB">
      <w:pPr>
        <w:tabs>
          <w:tab w:val="left" w:pos="851"/>
        </w:tabs>
        <w:ind w:left="851"/>
        <w:rPr>
          <w:sz w:val="24"/>
          <w:szCs w:val="24"/>
        </w:rPr>
      </w:pPr>
      <w:r w:rsidRPr="004470FB">
        <w:rPr>
          <w:sz w:val="24"/>
          <w:szCs w:val="24"/>
        </w:rPr>
        <w:t>Der er ingen erfaring med anvendelse af levosimendan til gravide kvinder. Data fra dyrestudier har påvist reproduktionstoksicitet (se pkt. 5.3). Levosimendan bør derfor kun anvendes til gravide kvinder, hvis fordelene for moderen opvejer de mulige risici for fosteret.</w:t>
      </w:r>
    </w:p>
    <w:p w:rsidR="004470FB" w:rsidRPr="004470FB" w:rsidRDefault="004470FB" w:rsidP="004470FB">
      <w:pPr>
        <w:tabs>
          <w:tab w:val="left" w:pos="851"/>
        </w:tabs>
        <w:ind w:left="851"/>
        <w:rPr>
          <w:sz w:val="24"/>
          <w:szCs w:val="24"/>
        </w:rPr>
      </w:pPr>
    </w:p>
    <w:p w:rsidR="004470FB" w:rsidRPr="004470FB" w:rsidRDefault="004470FB" w:rsidP="004470FB">
      <w:pPr>
        <w:tabs>
          <w:tab w:val="left" w:pos="851"/>
        </w:tabs>
        <w:ind w:left="851"/>
        <w:rPr>
          <w:sz w:val="24"/>
          <w:szCs w:val="24"/>
          <w:u w:val="single"/>
        </w:rPr>
      </w:pPr>
      <w:r w:rsidRPr="004470FB">
        <w:rPr>
          <w:sz w:val="24"/>
          <w:szCs w:val="24"/>
          <w:u w:val="single"/>
        </w:rPr>
        <w:t>Amning</w:t>
      </w:r>
    </w:p>
    <w:p w:rsidR="004470FB" w:rsidRPr="004470FB" w:rsidRDefault="004470FB" w:rsidP="004470FB">
      <w:pPr>
        <w:tabs>
          <w:tab w:val="left" w:pos="851"/>
        </w:tabs>
        <w:ind w:left="851"/>
        <w:rPr>
          <w:sz w:val="24"/>
          <w:szCs w:val="24"/>
        </w:rPr>
      </w:pPr>
      <w:r w:rsidRPr="004470FB">
        <w:rPr>
          <w:sz w:val="24"/>
          <w:szCs w:val="24"/>
        </w:rPr>
        <w:t>Oplysninger fra anvendelse efter markedsføring hos ammende kvinder viser, at levosimendans aktive metabolitter, OR-1896 og OR-1855, udskilles i modermælk og blev påvist i mælk i mindst 14 dage efter påbegyndelsen af 24-timers infusion med levosimendan. For at undgå potentielle kardiovaskulære bivirkninger hos barnet bør kvinder, der får levosimendan, ikke amme.</w:t>
      </w:r>
    </w:p>
    <w:p w:rsidR="004470FB" w:rsidRPr="004470FB" w:rsidRDefault="004470FB" w:rsidP="004470FB">
      <w:pPr>
        <w:tabs>
          <w:tab w:val="left" w:pos="851"/>
        </w:tabs>
        <w:ind w:left="851"/>
        <w:rPr>
          <w:sz w:val="24"/>
          <w:szCs w:val="24"/>
        </w:rPr>
      </w:pPr>
    </w:p>
    <w:p w:rsidR="004470FB" w:rsidRPr="004470FB" w:rsidRDefault="004470FB" w:rsidP="004470FB">
      <w:pPr>
        <w:tabs>
          <w:tab w:val="left" w:pos="851"/>
        </w:tabs>
        <w:ind w:left="851"/>
        <w:rPr>
          <w:sz w:val="24"/>
          <w:szCs w:val="24"/>
          <w:u w:val="single"/>
        </w:rPr>
      </w:pPr>
      <w:r w:rsidRPr="004470FB">
        <w:rPr>
          <w:sz w:val="24"/>
          <w:szCs w:val="24"/>
          <w:u w:val="single"/>
        </w:rPr>
        <w:t>Fertilitet</w:t>
      </w:r>
    </w:p>
    <w:p w:rsidR="004470FB" w:rsidRPr="004470FB" w:rsidRDefault="004470FB" w:rsidP="004470FB">
      <w:pPr>
        <w:tabs>
          <w:tab w:val="left" w:pos="851"/>
        </w:tabs>
        <w:ind w:left="851"/>
        <w:rPr>
          <w:sz w:val="24"/>
          <w:szCs w:val="24"/>
        </w:rPr>
      </w:pPr>
      <w:r w:rsidRPr="004470FB">
        <w:rPr>
          <w:sz w:val="24"/>
          <w:szCs w:val="24"/>
        </w:rPr>
        <w:t>Dyrestudier har påvist toksiske virkninger på reproduktion (se pkt. 5.3).</w:t>
      </w:r>
    </w:p>
    <w:p w:rsidR="004470FB" w:rsidRPr="004470FB" w:rsidRDefault="004470FB" w:rsidP="004470FB">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rsidR="004470FB" w:rsidRPr="004470FB" w:rsidRDefault="004470FB" w:rsidP="004470FB">
      <w:pPr>
        <w:tabs>
          <w:tab w:val="left" w:pos="851"/>
        </w:tabs>
        <w:ind w:left="851" w:hanging="851"/>
        <w:rPr>
          <w:sz w:val="24"/>
          <w:szCs w:val="24"/>
        </w:rPr>
      </w:pPr>
      <w:r w:rsidRPr="004470FB">
        <w:rPr>
          <w:sz w:val="24"/>
          <w:szCs w:val="24"/>
        </w:rPr>
        <w:tab/>
        <w:t>Ikke mærkning.</w:t>
      </w:r>
    </w:p>
    <w:p w:rsidR="004470FB" w:rsidRDefault="004470FB" w:rsidP="004470FB">
      <w:pPr>
        <w:tabs>
          <w:tab w:val="left" w:pos="851"/>
        </w:tabs>
        <w:ind w:left="851"/>
        <w:rPr>
          <w:sz w:val="24"/>
          <w:szCs w:val="24"/>
        </w:rPr>
      </w:pPr>
      <w:r w:rsidRPr="004470FB">
        <w:rPr>
          <w:sz w:val="24"/>
          <w:szCs w:val="24"/>
        </w:rPr>
        <w:t>Ikke relevant.</w:t>
      </w:r>
    </w:p>
    <w:p w:rsidR="004470FB" w:rsidRPr="004470FB" w:rsidRDefault="004470FB" w:rsidP="004470FB">
      <w:pPr>
        <w:tabs>
          <w:tab w:val="left" w:pos="851"/>
        </w:tabs>
        <w:ind w:left="851"/>
        <w:rPr>
          <w:sz w:val="24"/>
          <w:szCs w:val="24"/>
        </w:rPr>
      </w:pPr>
    </w:p>
    <w:p w:rsidR="009260DE" w:rsidRPr="00C84483" w:rsidRDefault="004470FB" w:rsidP="004470FB">
      <w:pPr>
        <w:tabs>
          <w:tab w:val="left" w:pos="851"/>
        </w:tabs>
        <w:ind w:left="851" w:hanging="851"/>
        <w:rPr>
          <w:b/>
          <w:sz w:val="24"/>
          <w:szCs w:val="24"/>
        </w:rPr>
      </w:pPr>
      <w:r w:rsidRPr="004470FB">
        <w:rPr>
          <w:b/>
          <w:sz w:val="24"/>
          <w:szCs w:val="24"/>
        </w:rPr>
        <w:lastRenderedPageBreak/>
        <w:t xml:space="preserve"> </w:t>
      </w:r>
      <w:r w:rsidR="009260DE" w:rsidRPr="00C84483">
        <w:rPr>
          <w:b/>
          <w:sz w:val="24"/>
          <w:szCs w:val="24"/>
        </w:rPr>
        <w:t>4.8</w:t>
      </w:r>
      <w:r w:rsidR="009260DE" w:rsidRPr="00C84483">
        <w:rPr>
          <w:b/>
          <w:sz w:val="24"/>
          <w:szCs w:val="24"/>
        </w:rPr>
        <w:tab/>
        <w:t>Bivirkninger</w:t>
      </w:r>
    </w:p>
    <w:p w:rsidR="001C0500" w:rsidRPr="001C0500" w:rsidRDefault="001C0500" w:rsidP="001C0500">
      <w:pPr>
        <w:tabs>
          <w:tab w:val="left" w:pos="851"/>
        </w:tabs>
        <w:ind w:left="851"/>
        <w:rPr>
          <w:sz w:val="24"/>
          <w:szCs w:val="24"/>
        </w:rPr>
      </w:pPr>
      <w:r w:rsidRPr="001C0500">
        <w:rPr>
          <w:sz w:val="24"/>
          <w:szCs w:val="24"/>
        </w:rPr>
        <w:t>I placebo-kontrollerede kliniske studier for Akut dekompenseret hjertesvigt (ADHF) (REVIVE [Randomized Multicenter Evaluation of Intravenous Levosimendan Efficacy]-program) oplevede 53</w:t>
      </w:r>
      <w:r w:rsidR="00E417D4">
        <w:rPr>
          <w:sz w:val="24"/>
          <w:szCs w:val="24"/>
        </w:rPr>
        <w:t xml:space="preserve"> %</w:t>
      </w:r>
      <w:r w:rsidRPr="001C0500">
        <w:rPr>
          <w:sz w:val="24"/>
          <w:szCs w:val="24"/>
        </w:rPr>
        <w:t xml:space="preserve"> af patienterne bivirkninger. De hyppigste bivirkninger var ventrikulær takykardi, hypotension og hovedpine.</w:t>
      </w:r>
    </w:p>
    <w:p w:rsidR="001C0500" w:rsidRPr="001C0500" w:rsidRDefault="001C0500" w:rsidP="001C0500">
      <w:pPr>
        <w:tabs>
          <w:tab w:val="left" w:pos="851"/>
        </w:tabs>
        <w:ind w:left="851"/>
        <w:rPr>
          <w:sz w:val="24"/>
          <w:szCs w:val="24"/>
        </w:rPr>
      </w:pPr>
    </w:p>
    <w:p w:rsidR="001C0500" w:rsidRPr="001C0500" w:rsidRDefault="001C0500" w:rsidP="001C0500">
      <w:pPr>
        <w:tabs>
          <w:tab w:val="left" w:pos="851"/>
        </w:tabs>
        <w:ind w:left="851"/>
        <w:rPr>
          <w:sz w:val="24"/>
          <w:szCs w:val="24"/>
        </w:rPr>
      </w:pPr>
      <w:r w:rsidRPr="001C0500">
        <w:rPr>
          <w:sz w:val="24"/>
          <w:szCs w:val="24"/>
        </w:rPr>
        <w:t>I et dobutamin-kontrolleret klinisk studie for ADHF (SURVIVE [Survival of Patients with Acute Heart Failure in Need of Intravenous Inotropic Support]) oplevede 18</w:t>
      </w:r>
      <w:r w:rsidR="00E417D4">
        <w:rPr>
          <w:sz w:val="24"/>
          <w:szCs w:val="24"/>
        </w:rPr>
        <w:t xml:space="preserve"> %</w:t>
      </w:r>
      <w:r w:rsidRPr="001C0500">
        <w:rPr>
          <w:sz w:val="24"/>
          <w:szCs w:val="24"/>
        </w:rPr>
        <w:t xml:space="preserve"> af patienterne bivirkninger. De hyppigste bivirkninger var ventrikulær takykardi, atrieflimren, hypotension, ventrikulær ekstrasystole, takykardi og hovedpine.</w:t>
      </w:r>
    </w:p>
    <w:p w:rsidR="001C0500" w:rsidRPr="001C0500" w:rsidRDefault="001C0500" w:rsidP="001C0500">
      <w:pPr>
        <w:tabs>
          <w:tab w:val="left" w:pos="851"/>
        </w:tabs>
        <w:ind w:left="851"/>
        <w:rPr>
          <w:sz w:val="24"/>
          <w:szCs w:val="24"/>
        </w:rPr>
      </w:pPr>
    </w:p>
    <w:p w:rsidR="001C0500" w:rsidRPr="001C0500" w:rsidRDefault="001C0500" w:rsidP="001C0500">
      <w:pPr>
        <w:tabs>
          <w:tab w:val="left" w:pos="851"/>
        </w:tabs>
        <w:ind w:left="851"/>
        <w:rPr>
          <w:sz w:val="24"/>
          <w:szCs w:val="24"/>
        </w:rPr>
      </w:pPr>
      <w:r w:rsidRPr="001C0500">
        <w:rPr>
          <w:sz w:val="24"/>
          <w:szCs w:val="24"/>
        </w:rPr>
        <w:t>Tabel 3 beskriver bivirkninger, som blev observeret hos 1</w:t>
      </w:r>
      <w:r w:rsidR="00E417D4">
        <w:rPr>
          <w:sz w:val="24"/>
          <w:szCs w:val="24"/>
        </w:rPr>
        <w:t xml:space="preserve"> %</w:t>
      </w:r>
      <w:r w:rsidRPr="001C0500">
        <w:rPr>
          <w:sz w:val="24"/>
          <w:szCs w:val="24"/>
        </w:rPr>
        <w:t xml:space="preserve"> eller flere af patienterne, i de kliniske studier REVIVE I, REVIVE II, SURVIVE, LIDO, RUSSLAN, 300105 og 3001024. Hvis forekomsten af enhver særlig hændelse i et enkelt studie var større end det, som blev observeret i de andre studier, er den højeste forekomst rapporteret i tabellen.</w:t>
      </w:r>
    </w:p>
    <w:p w:rsidR="001C0500" w:rsidRPr="001C0500" w:rsidRDefault="001C0500" w:rsidP="001C0500">
      <w:pPr>
        <w:tabs>
          <w:tab w:val="left" w:pos="851"/>
        </w:tabs>
        <w:ind w:left="851"/>
        <w:rPr>
          <w:sz w:val="24"/>
          <w:szCs w:val="24"/>
        </w:rPr>
      </w:pPr>
    </w:p>
    <w:p w:rsidR="001C0500" w:rsidRPr="001C0500" w:rsidRDefault="001C0500" w:rsidP="001C0500">
      <w:pPr>
        <w:tabs>
          <w:tab w:val="left" w:pos="851"/>
        </w:tabs>
        <w:ind w:left="851"/>
        <w:rPr>
          <w:sz w:val="24"/>
          <w:szCs w:val="24"/>
        </w:rPr>
      </w:pPr>
      <w:r w:rsidRPr="001C0500">
        <w:rPr>
          <w:sz w:val="24"/>
          <w:szCs w:val="24"/>
        </w:rPr>
        <w:t xml:space="preserve">Hændelser, som blev vurderet at have en mulig relation til levosimendan er vist i henhold til systemorganklasser og frekvens, under anvendelse af følgende konvention: </w:t>
      </w:r>
    </w:p>
    <w:p w:rsidR="001C0500" w:rsidRPr="001C0500" w:rsidRDefault="001C0500" w:rsidP="001C0500">
      <w:pPr>
        <w:tabs>
          <w:tab w:val="left" w:pos="851"/>
        </w:tabs>
        <w:ind w:left="851"/>
        <w:rPr>
          <w:b/>
          <w:bCs/>
          <w:sz w:val="24"/>
          <w:szCs w:val="24"/>
        </w:rPr>
      </w:pPr>
      <w:r w:rsidRPr="001C0500">
        <w:rPr>
          <w:sz w:val="24"/>
          <w:szCs w:val="24"/>
        </w:rPr>
        <w:t>Meget almindelig (≥1/10)</w:t>
      </w:r>
    </w:p>
    <w:p w:rsidR="001C0500" w:rsidRPr="001C0500" w:rsidRDefault="001C0500" w:rsidP="001C0500">
      <w:pPr>
        <w:tabs>
          <w:tab w:val="left" w:pos="851"/>
        </w:tabs>
        <w:ind w:left="851"/>
        <w:rPr>
          <w:b/>
          <w:bCs/>
          <w:sz w:val="24"/>
          <w:szCs w:val="24"/>
        </w:rPr>
      </w:pPr>
      <w:r w:rsidRPr="001C0500">
        <w:rPr>
          <w:sz w:val="24"/>
          <w:szCs w:val="24"/>
        </w:rPr>
        <w:t>Almindelig (≥1/100 til &lt;1/10)</w:t>
      </w:r>
    </w:p>
    <w:p w:rsidR="001C0500" w:rsidRPr="001C0500" w:rsidRDefault="001C0500" w:rsidP="001C0500">
      <w:pPr>
        <w:tabs>
          <w:tab w:val="left" w:pos="851"/>
        </w:tabs>
        <w:ind w:left="851"/>
        <w:rPr>
          <w:sz w:val="24"/>
          <w:szCs w:val="24"/>
        </w:rPr>
      </w:pPr>
    </w:p>
    <w:p w:rsidR="009355A3" w:rsidRDefault="001C0500" w:rsidP="001C0500">
      <w:pPr>
        <w:tabs>
          <w:tab w:val="left" w:pos="851"/>
        </w:tabs>
        <w:ind w:left="851"/>
        <w:rPr>
          <w:sz w:val="24"/>
          <w:szCs w:val="24"/>
        </w:rPr>
      </w:pPr>
      <w:r w:rsidRPr="001C0500">
        <w:rPr>
          <w:bCs/>
          <w:sz w:val="24"/>
          <w:szCs w:val="24"/>
        </w:rPr>
        <w:t>Tabel</w:t>
      </w:r>
      <w:r w:rsidRPr="001C0500">
        <w:rPr>
          <w:sz w:val="24"/>
          <w:szCs w:val="24"/>
        </w:rPr>
        <w:t xml:space="preserve"> 3</w:t>
      </w:r>
    </w:p>
    <w:p w:rsidR="009355A3" w:rsidRDefault="001C0500" w:rsidP="001C0500">
      <w:pPr>
        <w:tabs>
          <w:tab w:val="left" w:pos="851"/>
        </w:tabs>
        <w:ind w:left="851"/>
        <w:rPr>
          <w:sz w:val="24"/>
          <w:szCs w:val="24"/>
        </w:rPr>
      </w:pPr>
      <w:r w:rsidRPr="001C0500">
        <w:rPr>
          <w:sz w:val="24"/>
          <w:szCs w:val="24"/>
        </w:rPr>
        <w:t>Resumé af bivirkninger</w:t>
      </w:r>
    </w:p>
    <w:p w:rsidR="009355A3" w:rsidRDefault="001C0500" w:rsidP="001C0500">
      <w:pPr>
        <w:tabs>
          <w:tab w:val="left" w:pos="851"/>
        </w:tabs>
        <w:ind w:left="851"/>
        <w:rPr>
          <w:sz w:val="24"/>
          <w:szCs w:val="24"/>
        </w:rPr>
      </w:pPr>
      <w:r w:rsidRPr="001C0500">
        <w:rPr>
          <w:sz w:val="24"/>
          <w:szCs w:val="24"/>
        </w:rPr>
        <w:t>SURVIVE klinisk studie, REVIVE-program og</w:t>
      </w:r>
    </w:p>
    <w:p w:rsidR="001C0500" w:rsidRPr="001C0500" w:rsidRDefault="001C0500" w:rsidP="001C0500">
      <w:pPr>
        <w:tabs>
          <w:tab w:val="left" w:pos="851"/>
        </w:tabs>
        <w:ind w:left="851"/>
        <w:rPr>
          <w:sz w:val="24"/>
          <w:szCs w:val="24"/>
        </w:rPr>
      </w:pPr>
      <w:r w:rsidRPr="001C0500">
        <w:rPr>
          <w:sz w:val="24"/>
          <w:szCs w:val="24"/>
        </w:rPr>
        <w:t>LIDO/RUSSLAN/300105/3001024 kliniske studier kombineret</w:t>
      </w:r>
    </w:p>
    <w:p w:rsidR="001C0500" w:rsidRPr="001C0500" w:rsidRDefault="001C0500" w:rsidP="001C0500">
      <w:pPr>
        <w:tabs>
          <w:tab w:val="left" w:pos="851"/>
        </w:tabs>
        <w:ind w:left="851"/>
        <w:rPr>
          <w:sz w:val="24"/>
          <w:szCs w:val="24"/>
        </w:rPr>
      </w:pPr>
    </w:p>
    <w:tbl>
      <w:tblPr>
        <w:tblW w:w="4559" w:type="pct"/>
        <w:tblCellSpacing w:w="0" w:type="dxa"/>
        <w:tblInd w:w="85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9"/>
        <w:gridCol w:w="2786"/>
        <w:gridCol w:w="3288"/>
      </w:tblGrid>
      <w:tr w:rsidR="001C0500" w:rsidRPr="001C0500" w:rsidTr="001C0500">
        <w:trPr>
          <w:tblCellSpacing w:w="0" w:type="dxa"/>
        </w:trPr>
        <w:tc>
          <w:tcPr>
            <w:tcW w:w="1542" w:type="pct"/>
            <w:tcBorders>
              <w:top w:val="outset" w:sz="6" w:space="0" w:color="auto"/>
              <w:left w:val="single" w:sz="4" w:space="0" w:color="auto"/>
              <w:bottom w:val="outset" w:sz="6" w:space="0" w:color="auto"/>
              <w:right w:val="outset" w:sz="6" w:space="0" w:color="auto"/>
            </w:tcBorders>
            <w:vAlign w:val="center"/>
            <w:hideMark/>
          </w:tcPr>
          <w:p w:rsidR="001C0500" w:rsidRPr="001C0500" w:rsidRDefault="001C0500" w:rsidP="00E47422">
            <w:pPr>
              <w:ind w:left="123"/>
              <w:rPr>
                <w:b/>
                <w:bCs/>
                <w:iCs/>
                <w:sz w:val="24"/>
                <w:szCs w:val="24"/>
                <w:lang w:val="de-DE"/>
              </w:rPr>
            </w:pPr>
            <w:r w:rsidRPr="001C0500">
              <w:rPr>
                <w:b/>
                <w:bCs/>
                <w:iCs/>
                <w:sz w:val="24"/>
                <w:szCs w:val="24"/>
                <w:lang w:val="de-DE"/>
              </w:rPr>
              <w:t>Organklasse </w:t>
            </w:r>
          </w:p>
        </w:tc>
        <w:tc>
          <w:tcPr>
            <w:tcW w:w="1586" w:type="pct"/>
            <w:tcBorders>
              <w:top w:val="outset" w:sz="6" w:space="0" w:color="auto"/>
              <w:left w:val="outset" w:sz="6" w:space="0" w:color="auto"/>
              <w:bottom w:val="outset" w:sz="6" w:space="0" w:color="auto"/>
              <w:right w:val="outset" w:sz="6" w:space="0" w:color="auto"/>
            </w:tcBorders>
            <w:vAlign w:val="center"/>
            <w:hideMark/>
          </w:tcPr>
          <w:p w:rsidR="001C0500" w:rsidRPr="001C0500" w:rsidRDefault="001C0500" w:rsidP="00E47422">
            <w:pPr>
              <w:ind w:left="106"/>
              <w:rPr>
                <w:sz w:val="24"/>
                <w:szCs w:val="24"/>
                <w:lang w:val="de-DE"/>
              </w:rPr>
            </w:pPr>
            <w:r w:rsidRPr="001C0500">
              <w:rPr>
                <w:b/>
                <w:sz w:val="24"/>
                <w:szCs w:val="24"/>
                <w:lang w:val="de-DE"/>
              </w:rPr>
              <w:t>Hyppighed</w:t>
            </w:r>
          </w:p>
        </w:tc>
        <w:tc>
          <w:tcPr>
            <w:tcW w:w="1872" w:type="pct"/>
            <w:tcBorders>
              <w:top w:val="outset" w:sz="6" w:space="0" w:color="auto"/>
              <w:left w:val="outset" w:sz="6" w:space="0" w:color="auto"/>
              <w:bottom w:val="outset" w:sz="6" w:space="0" w:color="auto"/>
              <w:right w:val="nil"/>
            </w:tcBorders>
            <w:vAlign w:val="center"/>
            <w:hideMark/>
          </w:tcPr>
          <w:p w:rsidR="001C0500" w:rsidRPr="001C0500" w:rsidRDefault="001C0500" w:rsidP="00E47422">
            <w:pPr>
              <w:ind w:left="151"/>
              <w:rPr>
                <w:sz w:val="24"/>
                <w:szCs w:val="24"/>
                <w:lang w:val="de-DE"/>
              </w:rPr>
            </w:pPr>
            <w:r w:rsidRPr="001C0500">
              <w:rPr>
                <w:b/>
                <w:sz w:val="24"/>
                <w:szCs w:val="24"/>
                <w:lang w:val="de-DE"/>
              </w:rPr>
              <w:t>Bivirkninger</w:t>
            </w:r>
            <w:r w:rsidRPr="001C0500">
              <w:rPr>
                <w:sz w:val="24"/>
                <w:szCs w:val="24"/>
                <w:lang w:val="de-DE"/>
              </w:rPr>
              <w:t xml:space="preserve">  </w:t>
            </w:r>
          </w:p>
        </w:tc>
      </w:tr>
      <w:tr w:rsidR="001C0500" w:rsidRPr="001C0500" w:rsidTr="001C0500">
        <w:trPr>
          <w:tblCellSpacing w:w="0" w:type="dxa"/>
        </w:trPr>
        <w:tc>
          <w:tcPr>
            <w:tcW w:w="1542" w:type="pct"/>
            <w:tcBorders>
              <w:top w:val="outset" w:sz="6" w:space="0" w:color="auto"/>
              <w:left w:val="single" w:sz="4" w:space="0" w:color="auto"/>
              <w:bottom w:val="outset" w:sz="6" w:space="0" w:color="auto"/>
              <w:right w:val="outset" w:sz="6" w:space="0" w:color="auto"/>
            </w:tcBorders>
            <w:vAlign w:val="center"/>
            <w:hideMark/>
          </w:tcPr>
          <w:p w:rsidR="001C0500" w:rsidRPr="001C0500" w:rsidRDefault="001C0500" w:rsidP="00E47422">
            <w:pPr>
              <w:ind w:left="123"/>
              <w:rPr>
                <w:sz w:val="24"/>
                <w:szCs w:val="24"/>
                <w:lang w:val="de-DE"/>
              </w:rPr>
            </w:pPr>
            <w:r w:rsidRPr="001C0500">
              <w:rPr>
                <w:sz w:val="24"/>
                <w:szCs w:val="24"/>
                <w:lang w:val="de-DE"/>
              </w:rPr>
              <w:t>Metabolisme og ernæring  </w:t>
            </w:r>
          </w:p>
        </w:tc>
        <w:tc>
          <w:tcPr>
            <w:tcW w:w="1586" w:type="pct"/>
            <w:tcBorders>
              <w:top w:val="outset" w:sz="6" w:space="0" w:color="auto"/>
              <w:left w:val="outset" w:sz="6" w:space="0" w:color="auto"/>
              <w:bottom w:val="outset" w:sz="6" w:space="0" w:color="auto"/>
              <w:right w:val="outset" w:sz="6" w:space="0" w:color="auto"/>
            </w:tcBorders>
            <w:vAlign w:val="center"/>
            <w:hideMark/>
          </w:tcPr>
          <w:p w:rsidR="001C0500" w:rsidRPr="001C0500" w:rsidRDefault="001C0500" w:rsidP="00E47422">
            <w:pPr>
              <w:ind w:left="106"/>
              <w:rPr>
                <w:sz w:val="24"/>
                <w:szCs w:val="24"/>
                <w:lang w:val="de-DE"/>
              </w:rPr>
            </w:pPr>
            <w:r w:rsidRPr="001C0500">
              <w:rPr>
                <w:sz w:val="24"/>
                <w:szCs w:val="24"/>
                <w:lang w:val="de-DE"/>
              </w:rPr>
              <w:t>Almindelig  </w:t>
            </w:r>
          </w:p>
        </w:tc>
        <w:tc>
          <w:tcPr>
            <w:tcW w:w="1872" w:type="pct"/>
            <w:tcBorders>
              <w:top w:val="outset" w:sz="6" w:space="0" w:color="auto"/>
              <w:left w:val="outset" w:sz="6" w:space="0" w:color="auto"/>
              <w:bottom w:val="outset" w:sz="6" w:space="0" w:color="auto"/>
              <w:right w:val="nil"/>
            </w:tcBorders>
            <w:vAlign w:val="center"/>
            <w:hideMark/>
          </w:tcPr>
          <w:p w:rsidR="001C0500" w:rsidRPr="001C0500" w:rsidRDefault="001C0500" w:rsidP="00E47422">
            <w:pPr>
              <w:ind w:left="151"/>
              <w:rPr>
                <w:sz w:val="24"/>
                <w:szCs w:val="24"/>
                <w:lang w:val="de-DE"/>
              </w:rPr>
            </w:pPr>
            <w:r w:rsidRPr="001C0500">
              <w:rPr>
                <w:sz w:val="24"/>
                <w:szCs w:val="24"/>
                <w:lang w:val="de-DE"/>
              </w:rPr>
              <w:t>Hypokaliæmi  </w:t>
            </w:r>
          </w:p>
        </w:tc>
      </w:tr>
      <w:tr w:rsidR="001C0500" w:rsidRPr="001C0500" w:rsidTr="001C0500">
        <w:trPr>
          <w:tblCellSpacing w:w="0" w:type="dxa"/>
        </w:trPr>
        <w:tc>
          <w:tcPr>
            <w:tcW w:w="1542" w:type="pct"/>
            <w:tcBorders>
              <w:top w:val="outset" w:sz="6" w:space="0" w:color="auto"/>
              <w:left w:val="single" w:sz="4" w:space="0" w:color="auto"/>
              <w:bottom w:val="outset" w:sz="6" w:space="0" w:color="auto"/>
              <w:right w:val="outset" w:sz="6" w:space="0" w:color="auto"/>
            </w:tcBorders>
            <w:vAlign w:val="center"/>
            <w:hideMark/>
          </w:tcPr>
          <w:p w:rsidR="001C0500" w:rsidRPr="001C0500" w:rsidRDefault="001C0500" w:rsidP="00E47422">
            <w:pPr>
              <w:ind w:left="123"/>
              <w:rPr>
                <w:sz w:val="24"/>
                <w:szCs w:val="24"/>
                <w:lang w:val="de-DE"/>
              </w:rPr>
            </w:pPr>
            <w:r w:rsidRPr="001C0500">
              <w:rPr>
                <w:sz w:val="24"/>
                <w:szCs w:val="24"/>
                <w:lang w:val="de-DE"/>
              </w:rPr>
              <w:t>Psykiske forstyrrelser</w:t>
            </w:r>
          </w:p>
        </w:tc>
        <w:tc>
          <w:tcPr>
            <w:tcW w:w="1586" w:type="pct"/>
            <w:tcBorders>
              <w:top w:val="outset" w:sz="6" w:space="0" w:color="auto"/>
              <w:left w:val="outset" w:sz="6" w:space="0" w:color="auto"/>
              <w:bottom w:val="outset" w:sz="6" w:space="0" w:color="auto"/>
              <w:right w:val="outset" w:sz="6" w:space="0" w:color="auto"/>
            </w:tcBorders>
            <w:vAlign w:val="center"/>
            <w:hideMark/>
          </w:tcPr>
          <w:p w:rsidR="001C0500" w:rsidRPr="001C0500" w:rsidRDefault="001C0500" w:rsidP="00E47422">
            <w:pPr>
              <w:ind w:left="106"/>
              <w:rPr>
                <w:sz w:val="24"/>
                <w:szCs w:val="24"/>
                <w:lang w:val="de-DE"/>
              </w:rPr>
            </w:pPr>
            <w:r w:rsidRPr="001C0500">
              <w:rPr>
                <w:sz w:val="24"/>
                <w:szCs w:val="24"/>
                <w:lang w:val="de-DE"/>
              </w:rPr>
              <w:t>Almindelig  </w:t>
            </w:r>
          </w:p>
        </w:tc>
        <w:tc>
          <w:tcPr>
            <w:tcW w:w="1872" w:type="pct"/>
            <w:tcBorders>
              <w:top w:val="outset" w:sz="6" w:space="0" w:color="auto"/>
              <w:left w:val="outset" w:sz="6" w:space="0" w:color="auto"/>
              <w:bottom w:val="outset" w:sz="6" w:space="0" w:color="auto"/>
              <w:right w:val="nil"/>
            </w:tcBorders>
            <w:vAlign w:val="center"/>
            <w:hideMark/>
          </w:tcPr>
          <w:p w:rsidR="001C0500" w:rsidRPr="001C0500" w:rsidRDefault="001C0500" w:rsidP="00E47422">
            <w:pPr>
              <w:ind w:left="151"/>
              <w:rPr>
                <w:sz w:val="24"/>
                <w:szCs w:val="24"/>
                <w:lang w:val="de-DE"/>
              </w:rPr>
            </w:pPr>
            <w:r w:rsidRPr="001C0500">
              <w:rPr>
                <w:sz w:val="24"/>
                <w:szCs w:val="24"/>
                <w:lang w:val="de-DE"/>
              </w:rPr>
              <w:t>Søvnløshed  </w:t>
            </w:r>
          </w:p>
        </w:tc>
      </w:tr>
      <w:tr w:rsidR="001C0500" w:rsidRPr="001C0500" w:rsidTr="001C0500">
        <w:trPr>
          <w:tblCellSpacing w:w="0" w:type="dxa"/>
        </w:trPr>
        <w:tc>
          <w:tcPr>
            <w:tcW w:w="1542" w:type="pct"/>
            <w:vMerge w:val="restart"/>
            <w:tcBorders>
              <w:top w:val="outset" w:sz="6" w:space="0" w:color="auto"/>
              <w:left w:val="single" w:sz="4" w:space="0" w:color="auto"/>
              <w:bottom w:val="outset" w:sz="6" w:space="0" w:color="auto"/>
              <w:right w:val="outset" w:sz="6" w:space="0" w:color="auto"/>
            </w:tcBorders>
            <w:vAlign w:val="center"/>
            <w:hideMark/>
          </w:tcPr>
          <w:p w:rsidR="001C0500" w:rsidRPr="001C0500" w:rsidRDefault="001C0500" w:rsidP="00E47422">
            <w:pPr>
              <w:ind w:left="123"/>
              <w:rPr>
                <w:sz w:val="24"/>
                <w:szCs w:val="24"/>
                <w:lang w:val="de-DE"/>
              </w:rPr>
            </w:pPr>
            <w:r w:rsidRPr="001C0500">
              <w:rPr>
                <w:sz w:val="24"/>
                <w:szCs w:val="24"/>
                <w:lang w:val="de-DE"/>
              </w:rPr>
              <w:t>Nervesystemet</w:t>
            </w:r>
          </w:p>
        </w:tc>
        <w:tc>
          <w:tcPr>
            <w:tcW w:w="1586" w:type="pct"/>
            <w:tcBorders>
              <w:top w:val="outset" w:sz="6" w:space="0" w:color="auto"/>
              <w:left w:val="outset" w:sz="6" w:space="0" w:color="auto"/>
              <w:bottom w:val="outset" w:sz="6" w:space="0" w:color="auto"/>
              <w:right w:val="outset" w:sz="6" w:space="0" w:color="auto"/>
            </w:tcBorders>
            <w:vAlign w:val="center"/>
          </w:tcPr>
          <w:p w:rsidR="001C0500" w:rsidRPr="001C0500" w:rsidRDefault="001C0500" w:rsidP="00E47422">
            <w:pPr>
              <w:ind w:left="106"/>
              <w:rPr>
                <w:sz w:val="24"/>
                <w:szCs w:val="24"/>
                <w:lang w:val="de-DE"/>
              </w:rPr>
            </w:pPr>
            <w:r w:rsidRPr="001C0500">
              <w:rPr>
                <w:sz w:val="24"/>
                <w:szCs w:val="24"/>
                <w:lang w:val="de-DE"/>
              </w:rPr>
              <w:t>Meget almindelig</w:t>
            </w:r>
          </w:p>
        </w:tc>
        <w:tc>
          <w:tcPr>
            <w:tcW w:w="1872" w:type="pct"/>
            <w:tcBorders>
              <w:top w:val="outset" w:sz="6" w:space="0" w:color="auto"/>
              <w:left w:val="outset" w:sz="6" w:space="0" w:color="auto"/>
              <w:bottom w:val="outset" w:sz="6" w:space="0" w:color="auto"/>
              <w:right w:val="nil"/>
            </w:tcBorders>
            <w:vAlign w:val="center"/>
          </w:tcPr>
          <w:p w:rsidR="001C0500" w:rsidRPr="001C0500" w:rsidRDefault="001C0500" w:rsidP="00E47422">
            <w:pPr>
              <w:ind w:left="151"/>
              <w:rPr>
                <w:sz w:val="24"/>
                <w:szCs w:val="24"/>
                <w:lang w:val="de-DE"/>
              </w:rPr>
            </w:pPr>
            <w:r w:rsidRPr="001C0500">
              <w:rPr>
                <w:sz w:val="24"/>
                <w:szCs w:val="24"/>
                <w:lang w:val="de-DE"/>
              </w:rPr>
              <w:t>Hovedpine</w:t>
            </w:r>
          </w:p>
        </w:tc>
      </w:tr>
      <w:tr w:rsidR="001C0500" w:rsidRPr="001C0500" w:rsidTr="001C0500">
        <w:trPr>
          <w:tblCellSpacing w:w="0" w:type="dxa"/>
        </w:trPr>
        <w:tc>
          <w:tcPr>
            <w:tcW w:w="0" w:type="auto"/>
            <w:vMerge/>
            <w:tcBorders>
              <w:top w:val="outset" w:sz="6" w:space="0" w:color="auto"/>
              <w:left w:val="single" w:sz="4" w:space="0" w:color="auto"/>
              <w:bottom w:val="outset" w:sz="6" w:space="0" w:color="auto"/>
              <w:right w:val="outset" w:sz="6" w:space="0" w:color="auto"/>
            </w:tcBorders>
            <w:vAlign w:val="center"/>
            <w:hideMark/>
          </w:tcPr>
          <w:p w:rsidR="001C0500" w:rsidRPr="001C0500" w:rsidRDefault="001C0500" w:rsidP="00E47422">
            <w:pPr>
              <w:ind w:left="123"/>
              <w:rPr>
                <w:sz w:val="24"/>
                <w:szCs w:val="24"/>
                <w:lang w:val="de-DE"/>
              </w:rPr>
            </w:pPr>
          </w:p>
        </w:tc>
        <w:tc>
          <w:tcPr>
            <w:tcW w:w="1586" w:type="pct"/>
            <w:tcBorders>
              <w:top w:val="outset" w:sz="6" w:space="0" w:color="auto"/>
              <w:left w:val="outset" w:sz="6" w:space="0" w:color="auto"/>
              <w:bottom w:val="outset" w:sz="6" w:space="0" w:color="auto"/>
              <w:right w:val="outset" w:sz="6" w:space="0" w:color="auto"/>
            </w:tcBorders>
            <w:vAlign w:val="center"/>
            <w:hideMark/>
          </w:tcPr>
          <w:p w:rsidR="001C0500" w:rsidRPr="001C0500" w:rsidRDefault="001C0500" w:rsidP="00E47422">
            <w:pPr>
              <w:ind w:left="106"/>
              <w:rPr>
                <w:sz w:val="24"/>
                <w:szCs w:val="24"/>
                <w:lang w:val="de-DE"/>
              </w:rPr>
            </w:pPr>
            <w:r w:rsidRPr="001C0500">
              <w:rPr>
                <w:sz w:val="24"/>
                <w:szCs w:val="24"/>
                <w:lang w:val="de-DE"/>
              </w:rPr>
              <w:t>Almindelig</w:t>
            </w:r>
          </w:p>
        </w:tc>
        <w:tc>
          <w:tcPr>
            <w:tcW w:w="1872" w:type="pct"/>
            <w:tcBorders>
              <w:top w:val="outset" w:sz="6" w:space="0" w:color="auto"/>
              <w:left w:val="outset" w:sz="6" w:space="0" w:color="auto"/>
              <w:bottom w:val="outset" w:sz="6" w:space="0" w:color="auto"/>
              <w:right w:val="nil"/>
            </w:tcBorders>
            <w:vAlign w:val="center"/>
            <w:hideMark/>
          </w:tcPr>
          <w:p w:rsidR="001C0500" w:rsidRPr="001C0500" w:rsidRDefault="001C0500" w:rsidP="00E47422">
            <w:pPr>
              <w:ind w:left="151"/>
              <w:rPr>
                <w:sz w:val="24"/>
                <w:szCs w:val="24"/>
                <w:lang w:val="de-DE"/>
              </w:rPr>
            </w:pPr>
            <w:r w:rsidRPr="001C0500">
              <w:rPr>
                <w:sz w:val="24"/>
                <w:szCs w:val="24"/>
                <w:lang w:val="de-DE"/>
              </w:rPr>
              <w:t>Svimmelhed</w:t>
            </w:r>
          </w:p>
        </w:tc>
      </w:tr>
      <w:tr w:rsidR="001C0500" w:rsidRPr="001C0500" w:rsidTr="001C0500">
        <w:trPr>
          <w:tblCellSpacing w:w="0" w:type="dxa"/>
        </w:trPr>
        <w:tc>
          <w:tcPr>
            <w:tcW w:w="1542" w:type="pct"/>
            <w:vMerge w:val="restart"/>
            <w:tcBorders>
              <w:top w:val="outset" w:sz="6" w:space="0" w:color="auto"/>
              <w:left w:val="single" w:sz="4" w:space="0" w:color="auto"/>
              <w:bottom w:val="outset" w:sz="6" w:space="0" w:color="auto"/>
              <w:right w:val="outset" w:sz="6" w:space="0" w:color="auto"/>
            </w:tcBorders>
            <w:vAlign w:val="center"/>
            <w:hideMark/>
          </w:tcPr>
          <w:p w:rsidR="001C0500" w:rsidRPr="001C0500" w:rsidRDefault="001C0500" w:rsidP="00E47422">
            <w:pPr>
              <w:ind w:left="123"/>
              <w:rPr>
                <w:sz w:val="24"/>
                <w:szCs w:val="24"/>
                <w:lang w:val="de-DE"/>
              </w:rPr>
            </w:pPr>
            <w:r w:rsidRPr="001C0500">
              <w:rPr>
                <w:sz w:val="24"/>
                <w:szCs w:val="24"/>
                <w:lang w:val="de-DE"/>
              </w:rPr>
              <w:t>Hjerte</w:t>
            </w:r>
          </w:p>
        </w:tc>
        <w:tc>
          <w:tcPr>
            <w:tcW w:w="1586" w:type="pct"/>
            <w:tcBorders>
              <w:top w:val="outset" w:sz="6" w:space="0" w:color="auto"/>
              <w:left w:val="outset" w:sz="6" w:space="0" w:color="auto"/>
              <w:bottom w:val="outset" w:sz="6" w:space="0" w:color="auto"/>
              <w:right w:val="outset" w:sz="6" w:space="0" w:color="auto"/>
            </w:tcBorders>
            <w:vAlign w:val="center"/>
            <w:hideMark/>
          </w:tcPr>
          <w:p w:rsidR="001C0500" w:rsidRPr="001C0500" w:rsidRDefault="001C0500" w:rsidP="00E47422">
            <w:pPr>
              <w:ind w:left="106"/>
              <w:rPr>
                <w:sz w:val="24"/>
                <w:szCs w:val="24"/>
                <w:lang w:val="de-DE"/>
              </w:rPr>
            </w:pPr>
            <w:r w:rsidRPr="001C0500">
              <w:rPr>
                <w:sz w:val="24"/>
                <w:szCs w:val="24"/>
                <w:lang w:val="de-DE"/>
              </w:rPr>
              <w:t>Meget almindelig </w:t>
            </w:r>
          </w:p>
        </w:tc>
        <w:tc>
          <w:tcPr>
            <w:tcW w:w="1872" w:type="pct"/>
            <w:tcBorders>
              <w:top w:val="outset" w:sz="6" w:space="0" w:color="auto"/>
              <w:left w:val="outset" w:sz="6" w:space="0" w:color="auto"/>
              <w:bottom w:val="outset" w:sz="6" w:space="0" w:color="auto"/>
              <w:right w:val="nil"/>
            </w:tcBorders>
            <w:vAlign w:val="center"/>
            <w:hideMark/>
          </w:tcPr>
          <w:p w:rsidR="001C0500" w:rsidRPr="001C0500" w:rsidRDefault="001C0500" w:rsidP="00E47422">
            <w:pPr>
              <w:ind w:left="151"/>
              <w:rPr>
                <w:sz w:val="24"/>
                <w:szCs w:val="24"/>
                <w:lang w:val="de-DE"/>
              </w:rPr>
            </w:pPr>
            <w:r w:rsidRPr="001C0500">
              <w:rPr>
                <w:sz w:val="24"/>
                <w:szCs w:val="24"/>
                <w:lang w:val="de-DE"/>
              </w:rPr>
              <w:t>Ventrikulær takykardi</w:t>
            </w:r>
          </w:p>
        </w:tc>
      </w:tr>
      <w:tr w:rsidR="001C0500" w:rsidRPr="001C0500" w:rsidTr="001C0500">
        <w:trPr>
          <w:tblCellSpacing w:w="0" w:type="dxa"/>
        </w:trPr>
        <w:tc>
          <w:tcPr>
            <w:tcW w:w="0" w:type="auto"/>
            <w:vMerge/>
            <w:tcBorders>
              <w:top w:val="outset" w:sz="6" w:space="0" w:color="auto"/>
              <w:left w:val="single" w:sz="4" w:space="0" w:color="auto"/>
              <w:bottom w:val="outset" w:sz="6" w:space="0" w:color="auto"/>
              <w:right w:val="outset" w:sz="6" w:space="0" w:color="auto"/>
            </w:tcBorders>
            <w:vAlign w:val="center"/>
            <w:hideMark/>
          </w:tcPr>
          <w:p w:rsidR="001C0500" w:rsidRPr="001C0500" w:rsidRDefault="001C0500" w:rsidP="00E47422">
            <w:pPr>
              <w:ind w:left="123"/>
              <w:rPr>
                <w:sz w:val="24"/>
                <w:szCs w:val="24"/>
                <w:lang w:val="de-DE"/>
              </w:rPr>
            </w:pPr>
          </w:p>
        </w:tc>
        <w:tc>
          <w:tcPr>
            <w:tcW w:w="1586" w:type="pct"/>
            <w:tcBorders>
              <w:top w:val="outset" w:sz="6" w:space="0" w:color="auto"/>
              <w:left w:val="outset" w:sz="6" w:space="0" w:color="auto"/>
              <w:bottom w:val="outset" w:sz="6" w:space="0" w:color="auto"/>
              <w:right w:val="outset" w:sz="6" w:space="0" w:color="auto"/>
            </w:tcBorders>
            <w:vAlign w:val="center"/>
            <w:hideMark/>
          </w:tcPr>
          <w:p w:rsidR="001C0500" w:rsidRPr="001C0500" w:rsidRDefault="001C0500" w:rsidP="00E47422">
            <w:pPr>
              <w:ind w:left="106"/>
              <w:rPr>
                <w:sz w:val="24"/>
                <w:szCs w:val="24"/>
                <w:lang w:val="de-DE"/>
              </w:rPr>
            </w:pPr>
            <w:r w:rsidRPr="001C0500">
              <w:rPr>
                <w:sz w:val="24"/>
                <w:szCs w:val="24"/>
                <w:lang w:val="de-DE"/>
              </w:rPr>
              <w:t>Almindelig</w:t>
            </w:r>
          </w:p>
        </w:tc>
        <w:tc>
          <w:tcPr>
            <w:tcW w:w="1872" w:type="pct"/>
            <w:tcBorders>
              <w:top w:val="outset" w:sz="6" w:space="0" w:color="auto"/>
              <w:left w:val="outset" w:sz="6" w:space="0" w:color="auto"/>
              <w:bottom w:val="outset" w:sz="6" w:space="0" w:color="auto"/>
              <w:right w:val="nil"/>
            </w:tcBorders>
            <w:vAlign w:val="center"/>
            <w:hideMark/>
          </w:tcPr>
          <w:p w:rsidR="001C0500" w:rsidRDefault="001C0500" w:rsidP="00E47422">
            <w:pPr>
              <w:ind w:left="151"/>
              <w:rPr>
                <w:sz w:val="24"/>
                <w:szCs w:val="24"/>
              </w:rPr>
            </w:pPr>
            <w:r w:rsidRPr="001C0500">
              <w:rPr>
                <w:sz w:val="24"/>
                <w:szCs w:val="24"/>
              </w:rPr>
              <w:t>Atrieflimren</w:t>
            </w:r>
          </w:p>
          <w:p w:rsidR="001C0500" w:rsidRDefault="001C0500" w:rsidP="00E47422">
            <w:pPr>
              <w:ind w:left="151"/>
              <w:rPr>
                <w:sz w:val="24"/>
                <w:szCs w:val="24"/>
              </w:rPr>
            </w:pPr>
            <w:r w:rsidRPr="001C0500">
              <w:rPr>
                <w:sz w:val="24"/>
                <w:szCs w:val="24"/>
              </w:rPr>
              <w:t>Takykardi</w:t>
            </w:r>
          </w:p>
          <w:p w:rsidR="001C0500" w:rsidRDefault="00E47422" w:rsidP="00E47422">
            <w:pPr>
              <w:ind w:left="151"/>
              <w:rPr>
                <w:sz w:val="24"/>
                <w:szCs w:val="24"/>
              </w:rPr>
            </w:pPr>
            <w:r>
              <w:rPr>
                <w:sz w:val="24"/>
                <w:szCs w:val="24"/>
              </w:rPr>
              <w:t>V</w:t>
            </w:r>
            <w:r w:rsidR="001C0500" w:rsidRPr="001C0500">
              <w:rPr>
                <w:sz w:val="24"/>
                <w:szCs w:val="24"/>
              </w:rPr>
              <w:t>entrikulære ekstrasystoler</w:t>
            </w:r>
          </w:p>
          <w:p w:rsidR="001C0500" w:rsidRDefault="009355A3" w:rsidP="00E47422">
            <w:pPr>
              <w:ind w:left="151"/>
              <w:rPr>
                <w:sz w:val="24"/>
                <w:szCs w:val="24"/>
              </w:rPr>
            </w:pPr>
            <w:r>
              <w:rPr>
                <w:sz w:val="24"/>
                <w:szCs w:val="24"/>
              </w:rPr>
              <w:t>H</w:t>
            </w:r>
            <w:r w:rsidR="001C0500" w:rsidRPr="001C0500">
              <w:rPr>
                <w:sz w:val="24"/>
                <w:szCs w:val="24"/>
              </w:rPr>
              <w:t>jertesvigt</w:t>
            </w:r>
          </w:p>
          <w:p w:rsidR="009355A3" w:rsidRDefault="009355A3" w:rsidP="00E47422">
            <w:pPr>
              <w:ind w:left="151"/>
              <w:rPr>
                <w:sz w:val="24"/>
                <w:szCs w:val="24"/>
              </w:rPr>
            </w:pPr>
            <w:r w:rsidRPr="001C0500">
              <w:rPr>
                <w:sz w:val="24"/>
                <w:szCs w:val="24"/>
              </w:rPr>
              <w:t>M</w:t>
            </w:r>
            <w:r w:rsidR="001C0500" w:rsidRPr="001C0500">
              <w:rPr>
                <w:sz w:val="24"/>
                <w:szCs w:val="24"/>
              </w:rPr>
              <w:t>yokardieiskæmi</w:t>
            </w:r>
          </w:p>
          <w:p w:rsidR="001C0500" w:rsidRPr="001C0500" w:rsidRDefault="009355A3" w:rsidP="00E47422">
            <w:pPr>
              <w:ind w:left="151"/>
              <w:rPr>
                <w:sz w:val="24"/>
                <w:szCs w:val="24"/>
              </w:rPr>
            </w:pPr>
            <w:r>
              <w:rPr>
                <w:sz w:val="24"/>
                <w:szCs w:val="24"/>
              </w:rPr>
              <w:t>E</w:t>
            </w:r>
            <w:r w:rsidR="001C0500" w:rsidRPr="001C0500">
              <w:rPr>
                <w:sz w:val="24"/>
                <w:szCs w:val="24"/>
              </w:rPr>
              <w:t>kstrasystoler</w:t>
            </w:r>
          </w:p>
        </w:tc>
      </w:tr>
      <w:tr w:rsidR="001C0500" w:rsidRPr="001C0500" w:rsidTr="001C0500">
        <w:trPr>
          <w:tblCellSpacing w:w="0" w:type="dxa"/>
        </w:trPr>
        <w:tc>
          <w:tcPr>
            <w:tcW w:w="1542" w:type="pct"/>
            <w:tcBorders>
              <w:top w:val="outset" w:sz="6" w:space="0" w:color="auto"/>
              <w:left w:val="single" w:sz="4" w:space="0" w:color="auto"/>
              <w:bottom w:val="outset" w:sz="6" w:space="0" w:color="auto"/>
              <w:right w:val="outset" w:sz="6" w:space="0" w:color="auto"/>
            </w:tcBorders>
            <w:vAlign w:val="center"/>
            <w:hideMark/>
          </w:tcPr>
          <w:p w:rsidR="001C0500" w:rsidRPr="001C0500" w:rsidRDefault="001C0500" w:rsidP="00E47422">
            <w:pPr>
              <w:ind w:left="123"/>
              <w:rPr>
                <w:sz w:val="24"/>
                <w:szCs w:val="24"/>
                <w:lang w:val="de-DE"/>
              </w:rPr>
            </w:pPr>
            <w:r w:rsidRPr="001C0500">
              <w:rPr>
                <w:sz w:val="24"/>
                <w:szCs w:val="24"/>
                <w:lang w:val="de-DE"/>
              </w:rPr>
              <w:t>Vaskulære sygdomme</w:t>
            </w:r>
          </w:p>
        </w:tc>
        <w:tc>
          <w:tcPr>
            <w:tcW w:w="1586" w:type="pct"/>
            <w:tcBorders>
              <w:top w:val="outset" w:sz="6" w:space="0" w:color="auto"/>
              <w:left w:val="outset" w:sz="6" w:space="0" w:color="auto"/>
              <w:bottom w:val="outset" w:sz="6" w:space="0" w:color="auto"/>
              <w:right w:val="outset" w:sz="6" w:space="0" w:color="auto"/>
            </w:tcBorders>
            <w:vAlign w:val="center"/>
            <w:hideMark/>
          </w:tcPr>
          <w:p w:rsidR="001C0500" w:rsidRPr="001C0500" w:rsidRDefault="001C0500" w:rsidP="00E47422">
            <w:pPr>
              <w:ind w:left="106"/>
              <w:rPr>
                <w:sz w:val="24"/>
                <w:szCs w:val="24"/>
                <w:lang w:val="de-DE"/>
              </w:rPr>
            </w:pPr>
            <w:r w:rsidRPr="001C0500">
              <w:rPr>
                <w:sz w:val="24"/>
                <w:szCs w:val="24"/>
                <w:lang w:val="de-DE"/>
              </w:rPr>
              <w:t>Meget almindelig  </w:t>
            </w:r>
          </w:p>
        </w:tc>
        <w:tc>
          <w:tcPr>
            <w:tcW w:w="1872" w:type="pct"/>
            <w:tcBorders>
              <w:top w:val="outset" w:sz="6" w:space="0" w:color="auto"/>
              <w:left w:val="outset" w:sz="6" w:space="0" w:color="auto"/>
              <w:bottom w:val="outset" w:sz="6" w:space="0" w:color="auto"/>
              <w:right w:val="nil"/>
            </w:tcBorders>
            <w:vAlign w:val="center"/>
            <w:hideMark/>
          </w:tcPr>
          <w:p w:rsidR="001C0500" w:rsidRPr="001C0500" w:rsidRDefault="001C0500" w:rsidP="00E47422">
            <w:pPr>
              <w:ind w:left="151"/>
              <w:rPr>
                <w:sz w:val="24"/>
                <w:szCs w:val="24"/>
                <w:lang w:val="de-DE"/>
              </w:rPr>
            </w:pPr>
            <w:r w:rsidRPr="001C0500">
              <w:rPr>
                <w:sz w:val="24"/>
                <w:szCs w:val="24"/>
                <w:lang w:val="de-DE"/>
              </w:rPr>
              <w:t>Hypotension  </w:t>
            </w:r>
          </w:p>
        </w:tc>
      </w:tr>
      <w:tr w:rsidR="001C0500" w:rsidRPr="001C0500" w:rsidTr="001C0500">
        <w:trPr>
          <w:tblCellSpacing w:w="0" w:type="dxa"/>
        </w:trPr>
        <w:tc>
          <w:tcPr>
            <w:tcW w:w="1542" w:type="pct"/>
            <w:tcBorders>
              <w:top w:val="outset" w:sz="6" w:space="0" w:color="auto"/>
              <w:left w:val="single" w:sz="4" w:space="0" w:color="auto"/>
              <w:bottom w:val="outset" w:sz="6" w:space="0" w:color="auto"/>
              <w:right w:val="outset" w:sz="6" w:space="0" w:color="auto"/>
            </w:tcBorders>
            <w:vAlign w:val="center"/>
            <w:hideMark/>
          </w:tcPr>
          <w:p w:rsidR="001C0500" w:rsidRPr="001C0500" w:rsidRDefault="001C0500" w:rsidP="00E47422">
            <w:pPr>
              <w:ind w:left="123"/>
              <w:rPr>
                <w:sz w:val="24"/>
                <w:szCs w:val="24"/>
                <w:lang w:val="de-DE"/>
              </w:rPr>
            </w:pPr>
            <w:r w:rsidRPr="001C0500">
              <w:rPr>
                <w:sz w:val="24"/>
                <w:szCs w:val="24"/>
                <w:lang w:val="de-DE"/>
              </w:rPr>
              <w:t>Mave-tarm-kanalen </w:t>
            </w:r>
          </w:p>
        </w:tc>
        <w:tc>
          <w:tcPr>
            <w:tcW w:w="1586" w:type="pct"/>
            <w:tcBorders>
              <w:top w:val="outset" w:sz="6" w:space="0" w:color="auto"/>
              <w:left w:val="outset" w:sz="6" w:space="0" w:color="auto"/>
              <w:bottom w:val="outset" w:sz="6" w:space="0" w:color="auto"/>
              <w:right w:val="outset" w:sz="6" w:space="0" w:color="auto"/>
            </w:tcBorders>
            <w:vAlign w:val="center"/>
            <w:hideMark/>
          </w:tcPr>
          <w:p w:rsidR="001C0500" w:rsidRPr="001C0500" w:rsidRDefault="001C0500" w:rsidP="00E47422">
            <w:pPr>
              <w:ind w:left="106"/>
              <w:rPr>
                <w:sz w:val="24"/>
                <w:szCs w:val="24"/>
                <w:lang w:val="de-DE"/>
              </w:rPr>
            </w:pPr>
            <w:r w:rsidRPr="001C0500">
              <w:rPr>
                <w:sz w:val="24"/>
                <w:szCs w:val="24"/>
                <w:lang w:val="de-DE"/>
              </w:rPr>
              <w:t>Almindelig  </w:t>
            </w:r>
          </w:p>
        </w:tc>
        <w:tc>
          <w:tcPr>
            <w:tcW w:w="1872" w:type="pct"/>
            <w:tcBorders>
              <w:top w:val="outset" w:sz="6" w:space="0" w:color="auto"/>
              <w:left w:val="outset" w:sz="6" w:space="0" w:color="auto"/>
              <w:bottom w:val="outset" w:sz="6" w:space="0" w:color="auto"/>
              <w:right w:val="nil"/>
            </w:tcBorders>
            <w:vAlign w:val="center"/>
            <w:hideMark/>
          </w:tcPr>
          <w:p w:rsidR="00CD6A14" w:rsidRDefault="001C0500" w:rsidP="00CD6A14">
            <w:pPr>
              <w:ind w:left="151"/>
              <w:rPr>
                <w:sz w:val="24"/>
                <w:szCs w:val="24"/>
                <w:lang w:val="de-DE"/>
              </w:rPr>
            </w:pPr>
            <w:r w:rsidRPr="001C0500">
              <w:rPr>
                <w:sz w:val="24"/>
                <w:szCs w:val="24"/>
                <w:lang w:val="de-DE"/>
              </w:rPr>
              <w:t>Kvalme</w:t>
            </w:r>
          </w:p>
          <w:p w:rsidR="00CD6A14" w:rsidRDefault="00CD6A14" w:rsidP="00CD6A14">
            <w:pPr>
              <w:ind w:left="151"/>
              <w:rPr>
                <w:sz w:val="24"/>
                <w:szCs w:val="24"/>
                <w:lang w:val="de-DE"/>
              </w:rPr>
            </w:pPr>
            <w:r>
              <w:rPr>
                <w:sz w:val="24"/>
                <w:szCs w:val="24"/>
                <w:lang w:val="de-DE"/>
              </w:rPr>
              <w:t>F</w:t>
            </w:r>
            <w:r w:rsidR="001C0500" w:rsidRPr="001C0500">
              <w:rPr>
                <w:sz w:val="24"/>
                <w:szCs w:val="24"/>
                <w:lang w:val="de-DE"/>
              </w:rPr>
              <w:t>orstoppelse</w:t>
            </w:r>
          </w:p>
          <w:p w:rsidR="00CD6A14" w:rsidRDefault="00CD6A14" w:rsidP="00CD6A14">
            <w:pPr>
              <w:ind w:left="151"/>
              <w:rPr>
                <w:sz w:val="24"/>
                <w:szCs w:val="24"/>
                <w:lang w:val="de-DE"/>
              </w:rPr>
            </w:pPr>
            <w:r>
              <w:rPr>
                <w:sz w:val="24"/>
                <w:szCs w:val="24"/>
                <w:lang w:val="de-DE"/>
              </w:rPr>
              <w:t>D</w:t>
            </w:r>
            <w:r w:rsidR="001C0500" w:rsidRPr="001C0500">
              <w:rPr>
                <w:sz w:val="24"/>
                <w:szCs w:val="24"/>
                <w:lang w:val="de-DE"/>
              </w:rPr>
              <w:t>iarré</w:t>
            </w:r>
          </w:p>
          <w:p w:rsidR="001C0500" w:rsidRPr="001C0500" w:rsidRDefault="00CD6A14" w:rsidP="00CD6A14">
            <w:pPr>
              <w:ind w:left="151"/>
              <w:rPr>
                <w:sz w:val="24"/>
                <w:szCs w:val="24"/>
                <w:lang w:val="de-DE"/>
              </w:rPr>
            </w:pPr>
            <w:r>
              <w:rPr>
                <w:sz w:val="24"/>
                <w:szCs w:val="24"/>
                <w:lang w:val="de-DE"/>
              </w:rPr>
              <w:t>O</w:t>
            </w:r>
            <w:r w:rsidR="001C0500" w:rsidRPr="001C0500">
              <w:rPr>
                <w:sz w:val="24"/>
                <w:szCs w:val="24"/>
                <w:lang w:val="de-DE"/>
              </w:rPr>
              <w:t>pkastning</w:t>
            </w:r>
          </w:p>
        </w:tc>
      </w:tr>
      <w:tr w:rsidR="001C0500" w:rsidRPr="001C0500" w:rsidTr="001C0500">
        <w:trPr>
          <w:tblCellSpacing w:w="0" w:type="dxa"/>
        </w:trPr>
        <w:tc>
          <w:tcPr>
            <w:tcW w:w="1542" w:type="pct"/>
            <w:tcBorders>
              <w:top w:val="outset" w:sz="6" w:space="0" w:color="auto"/>
              <w:left w:val="single" w:sz="4" w:space="0" w:color="auto"/>
              <w:bottom w:val="outset" w:sz="6" w:space="0" w:color="auto"/>
              <w:right w:val="outset" w:sz="6" w:space="0" w:color="auto"/>
            </w:tcBorders>
            <w:vAlign w:val="center"/>
            <w:hideMark/>
          </w:tcPr>
          <w:p w:rsidR="001C0500" w:rsidRPr="001C0500" w:rsidRDefault="001C0500" w:rsidP="00E47422">
            <w:pPr>
              <w:ind w:left="123"/>
              <w:rPr>
                <w:sz w:val="24"/>
                <w:szCs w:val="24"/>
                <w:lang w:val="de-DE"/>
              </w:rPr>
            </w:pPr>
            <w:r w:rsidRPr="001C0500">
              <w:rPr>
                <w:sz w:val="24"/>
                <w:szCs w:val="24"/>
                <w:lang w:val="de-DE"/>
              </w:rPr>
              <w:t>Undersøgelser  </w:t>
            </w:r>
          </w:p>
        </w:tc>
        <w:tc>
          <w:tcPr>
            <w:tcW w:w="1586" w:type="pct"/>
            <w:tcBorders>
              <w:top w:val="outset" w:sz="6" w:space="0" w:color="auto"/>
              <w:left w:val="outset" w:sz="6" w:space="0" w:color="auto"/>
              <w:bottom w:val="outset" w:sz="6" w:space="0" w:color="auto"/>
              <w:right w:val="outset" w:sz="6" w:space="0" w:color="auto"/>
            </w:tcBorders>
            <w:vAlign w:val="center"/>
            <w:hideMark/>
          </w:tcPr>
          <w:p w:rsidR="001C0500" w:rsidRPr="001C0500" w:rsidRDefault="001C0500" w:rsidP="00E47422">
            <w:pPr>
              <w:ind w:left="106"/>
              <w:rPr>
                <w:sz w:val="24"/>
                <w:szCs w:val="24"/>
                <w:lang w:val="de-DE"/>
              </w:rPr>
            </w:pPr>
            <w:r w:rsidRPr="001C0500">
              <w:rPr>
                <w:sz w:val="24"/>
                <w:szCs w:val="24"/>
                <w:lang w:val="de-DE"/>
              </w:rPr>
              <w:t>Almindelig  </w:t>
            </w:r>
          </w:p>
        </w:tc>
        <w:tc>
          <w:tcPr>
            <w:tcW w:w="1872" w:type="pct"/>
            <w:tcBorders>
              <w:top w:val="outset" w:sz="6" w:space="0" w:color="auto"/>
              <w:left w:val="outset" w:sz="6" w:space="0" w:color="auto"/>
              <w:bottom w:val="outset" w:sz="6" w:space="0" w:color="auto"/>
              <w:right w:val="nil"/>
            </w:tcBorders>
            <w:vAlign w:val="center"/>
            <w:hideMark/>
          </w:tcPr>
          <w:p w:rsidR="001C0500" w:rsidRPr="001C0500" w:rsidRDefault="001C0500" w:rsidP="00E47422">
            <w:pPr>
              <w:ind w:left="151"/>
              <w:rPr>
                <w:sz w:val="24"/>
                <w:szCs w:val="24"/>
                <w:lang w:val="de-DE"/>
              </w:rPr>
            </w:pPr>
            <w:r w:rsidRPr="001C0500">
              <w:rPr>
                <w:sz w:val="24"/>
                <w:szCs w:val="24"/>
                <w:lang w:val="de-DE"/>
              </w:rPr>
              <w:t>Nedsat hæmoglobin  </w:t>
            </w:r>
          </w:p>
        </w:tc>
      </w:tr>
    </w:tbl>
    <w:p w:rsidR="001C0500" w:rsidRPr="001C0500" w:rsidRDefault="001C0500" w:rsidP="001C0500">
      <w:pPr>
        <w:tabs>
          <w:tab w:val="left" w:pos="851"/>
        </w:tabs>
        <w:ind w:left="851"/>
        <w:rPr>
          <w:i/>
          <w:sz w:val="24"/>
          <w:szCs w:val="24"/>
        </w:rPr>
      </w:pPr>
    </w:p>
    <w:p w:rsidR="001C0500" w:rsidRPr="001C0500" w:rsidRDefault="001C0500" w:rsidP="001C0500">
      <w:pPr>
        <w:tabs>
          <w:tab w:val="left" w:pos="851"/>
        </w:tabs>
        <w:ind w:left="851"/>
        <w:rPr>
          <w:sz w:val="24"/>
          <w:szCs w:val="24"/>
        </w:rPr>
      </w:pPr>
      <w:r w:rsidRPr="001C0500">
        <w:rPr>
          <w:sz w:val="24"/>
          <w:szCs w:val="24"/>
          <w:u w:val="single"/>
        </w:rPr>
        <w:t>Bivirkninger efter markedsføringen</w:t>
      </w:r>
      <w:r w:rsidRPr="001C0500">
        <w:rPr>
          <w:sz w:val="24"/>
          <w:szCs w:val="24"/>
          <w:u w:val="single"/>
        </w:rPr>
        <w:br/>
      </w:r>
      <w:r w:rsidRPr="001C0500">
        <w:rPr>
          <w:sz w:val="24"/>
          <w:szCs w:val="24"/>
        </w:rPr>
        <w:t>I perioden efter markedsføring er ventrikelflimmer rapporteret hos patienter, som blev behandlet med levosimendan.</w:t>
      </w:r>
    </w:p>
    <w:p w:rsidR="001C0500" w:rsidRPr="001C0500" w:rsidRDefault="001C0500" w:rsidP="001C0500">
      <w:pPr>
        <w:tabs>
          <w:tab w:val="left" w:pos="851"/>
        </w:tabs>
        <w:ind w:left="851"/>
        <w:rPr>
          <w:i/>
          <w:sz w:val="24"/>
          <w:szCs w:val="24"/>
        </w:rPr>
      </w:pPr>
    </w:p>
    <w:p w:rsidR="001C0500" w:rsidRPr="001C0500" w:rsidRDefault="001C0500" w:rsidP="001C0500">
      <w:pPr>
        <w:tabs>
          <w:tab w:val="left" w:pos="851"/>
        </w:tabs>
        <w:ind w:left="851"/>
        <w:rPr>
          <w:sz w:val="24"/>
          <w:szCs w:val="24"/>
          <w:u w:val="single"/>
        </w:rPr>
      </w:pPr>
      <w:r w:rsidRPr="001C0500">
        <w:rPr>
          <w:sz w:val="24"/>
          <w:szCs w:val="24"/>
          <w:u w:val="single"/>
        </w:rPr>
        <w:lastRenderedPageBreak/>
        <w:t>Indberetning af mistænkte bivirkninger</w:t>
      </w:r>
    </w:p>
    <w:p w:rsidR="001C0500" w:rsidRPr="001C0500" w:rsidRDefault="001C0500" w:rsidP="001C0500">
      <w:pPr>
        <w:tabs>
          <w:tab w:val="left" w:pos="851"/>
        </w:tabs>
        <w:ind w:left="851"/>
        <w:rPr>
          <w:sz w:val="24"/>
          <w:szCs w:val="24"/>
        </w:rPr>
      </w:pPr>
      <w:r w:rsidRPr="001C0500">
        <w:rPr>
          <w:sz w:val="24"/>
          <w:szCs w:val="24"/>
        </w:rPr>
        <w:t>Når lægemidlet er godkendt, er indberetning af formodede bivirkninger vigtig. Det muliggør løbende overvågning af benefit/risk-forholdet for lægemidlet. Sundhedspersoner anmodes om at indberette alle formodede bivirkninger til:</w:t>
      </w:r>
    </w:p>
    <w:p w:rsidR="001C0500" w:rsidRPr="001C0500" w:rsidRDefault="001C0500" w:rsidP="001C0500">
      <w:pPr>
        <w:tabs>
          <w:tab w:val="left" w:pos="851"/>
        </w:tabs>
        <w:ind w:left="851"/>
        <w:rPr>
          <w:sz w:val="24"/>
          <w:szCs w:val="24"/>
        </w:rPr>
      </w:pPr>
    </w:p>
    <w:p w:rsidR="001C0500" w:rsidRPr="001C0500" w:rsidRDefault="001C0500" w:rsidP="001C0500">
      <w:pPr>
        <w:tabs>
          <w:tab w:val="left" w:pos="851"/>
        </w:tabs>
        <w:ind w:left="851"/>
        <w:rPr>
          <w:sz w:val="24"/>
          <w:szCs w:val="24"/>
        </w:rPr>
      </w:pPr>
      <w:r w:rsidRPr="001C0500">
        <w:rPr>
          <w:sz w:val="24"/>
          <w:szCs w:val="24"/>
        </w:rPr>
        <w:t>Lægemiddelstyrelsen</w:t>
      </w:r>
    </w:p>
    <w:p w:rsidR="001C0500" w:rsidRPr="001C0500" w:rsidRDefault="001C0500" w:rsidP="001C0500">
      <w:pPr>
        <w:tabs>
          <w:tab w:val="left" w:pos="851"/>
        </w:tabs>
        <w:ind w:left="851"/>
        <w:rPr>
          <w:sz w:val="24"/>
          <w:szCs w:val="24"/>
        </w:rPr>
      </w:pPr>
      <w:r w:rsidRPr="001C0500">
        <w:rPr>
          <w:sz w:val="24"/>
          <w:szCs w:val="24"/>
        </w:rPr>
        <w:t>Axel Heides Gade 1</w:t>
      </w:r>
    </w:p>
    <w:p w:rsidR="001C0500" w:rsidRPr="001C0500" w:rsidRDefault="001C0500" w:rsidP="001C0500">
      <w:pPr>
        <w:tabs>
          <w:tab w:val="left" w:pos="851"/>
        </w:tabs>
        <w:ind w:left="851"/>
        <w:rPr>
          <w:sz w:val="24"/>
          <w:szCs w:val="24"/>
        </w:rPr>
      </w:pPr>
      <w:r w:rsidRPr="001C0500">
        <w:rPr>
          <w:sz w:val="24"/>
          <w:szCs w:val="24"/>
        </w:rPr>
        <w:t>DK-2300 København S</w:t>
      </w:r>
    </w:p>
    <w:p w:rsidR="001C0500" w:rsidRPr="001C0500" w:rsidRDefault="001C0500" w:rsidP="001C0500">
      <w:pPr>
        <w:tabs>
          <w:tab w:val="left" w:pos="851"/>
        </w:tabs>
        <w:ind w:left="851"/>
        <w:rPr>
          <w:sz w:val="24"/>
          <w:szCs w:val="24"/>
        </w:rPr>
      </w:pPr>
      <w:r w:rsidRPr="001C0500">
        <w:rPr>
          <w:sz w:val="24"/>
          <w:szCs w:val="24"/>
        </w:rPr>
        <w:t>Websted: www.meldenbivirkning.dk</w:t>
      </w:r>
    </w:p>
    <w:p w:rsidR="009260DE" w:rsidRPr="00A10294" w:rsidRDefault="009260DE" w:rsidP="00A10294">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E97955" w:rsidRPr="00E97955" w:rsidRDefault="00E97955" w:rsidP="00E97955">
      <w:pPr>
        <w:tabs>
          <w:tab w:val="left" w:pos="851"/>
        </w:tabs>
        <w:ind w:left="851"/>
        <w:rPr>
          <w:sz w:val="24"/>
          <w:szCs w:val="24"/>
        </w:rPr>
      </w:pPr>
      <w:r w:rsidRPr="00E97955">
        <w:rPr>
          <w:sz w:val="24"/>
          <w:szCs w:val="24"/>
        </w:rPr>
        <w:t>Overdosering af Levosimendan "Fresenius Kabi" kan medføre hypotension og takykardi. I kliniske studier med levosimendan har behandling af hypotension med en vasopressor været vellykket (f.eks. dopamin til patienter med kongestiv hjertesvigt og adrenalin til patienter efter hjerteoperation). For store fald i hjertets fyldningstryk kan begrænse responset på Levosimendan "Fresenius Kabi", men kan behandles med parenteral væske. Høje doser (0,4 mikrogram/kg/minut eller højere) og infusion over 24 timer øger hjertefrekvensen og er nogle gange associeret med forlængelse af QTc-intervallet. Ved overdosering med Levosimendan "Fresenius Kabi" bør der foretages kontinuerlig EKG-overvågning, gentagne målinger af elektrolytter i serum og invasiv hæmodynamisk monitorering. Overdosering med Levosimendan "Fresenius Kabi" medfører øget plasmakoncentration af den aktive metabolit, som kan medføre en mere udtalt og forlænget virkning på hjertefrekvensen, hvilket igen kræver en tilsvarende forlænget observationstid.</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2307E8" w:rsidP="009260DE">
      <w:pPr>
        <w:tabs>
          <w:tab w:val="left" w:pos="851"/>
        </w:tabs>
        <w:ind w:left="851"/>
        <w:rPr>
          <w:sz w:val="24"/>
          <w:szCs w:val="24"/>
        </w:rPr>
      </w:pPr>
      <w:r>
        <w:rPr>
          <w:sz w:val="24"/>
          <w:szCs w:val="24"/>
        </w:rPr>
        <w:t>BEGR (kun til sygehuse)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5.0</w:t>
      </w:r>
      <w:r w:rsidRPr="00C84483">
        <w:rPr>
          <w:b/>
          <w:sz w:val="24"/>
          <w:szCs w:val="24"/>
        </w:rPr>
        <w:tab/>
        <w:t>Terapeutisk klassifikation</w:t>
      </w:r>
    </w:p>
    <w:p w:rsidR="00EC655A" w:rsidRPr="00EC655A" w:rsidRDefault="00EC655A" w:rsidP="00EC655A">
      <w:pPr>
        <w:tabs>
          <w:tab w:val="left" w:pos="851"/>
        </w:tabs>
        <w:ind w:left="851"/>
        <w:rPr>
          <w:sz w:val="24"/>
          <w:szCs w:val="24"/>
        </w:rPr>
      </w:pPr>
      <w:r w:rsidRPr="00EC655A">
        <w:rPr>
          <w:sz w:val="24"/>
          <w:szCs w:val="24"/>
        </w:rPr>
        <w:t>ATC kode: C</w:t>
      </w:r>
      <w:r>
        <w:rPr>
          <w:sz w:val="24"/>
          <w:szCs w:val="24"/>
        </w:rPr>
        <w:t xml:space="preserve"> </w:t>
      </w:r>
      <w:r w:rsidRPr="00EC655A">
        <w:rPr>
          <w:sz w:val="24"/>
          <w:szCs w:val="24"/>
        </w:rPr>
        <w:t>01</w:t>
      </w:r>
      <w:r>
        <w:rPr>
          <w:sz w:val="24"/>
          <w:szCs w:val="24"/>
        </w:rPr>
        <w:t xml:space="preserve"> </w:t>
      </w:r>
      <w:r w:rsidRPr="00EC655A">
        <w:rPr>
          <w:sz w:val="24"/>
          <w:szCs w:val="24"/>
        </w:rPr>
        <w:t>CX</w:t>
      </w:r>
      <w:r>
        <w:rPr>
          <w:sz w:val="24"/>
          <w:szCs w:val="24"/>
        </w:rPr>
        <w:t xml:space="preserve"> </w:t>
      </w:r>
      <w:r w:rsidRPr="00EC655A">
        <w:rPr>
          <w:sz w:val="24"/>
          <w:szCs w:val="24"/>
        </w:rPr>
        <w:t>08. Andre hjertestimulerende midler.</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CE73B4" w:rsidRPr="00CE73B4" w:rsidRDefault="00CE73B4" w:rsidP="00CE73B4">
      <w:pPr>
        <w:tabs>
          <w:tab w:val="left" w:pos="851"/>
        </w:tabs>
        <w:ind w:left="851"/>
        <w:rPr>
          <w:sz w:val="24"/>
          <w:szCs w:val="24"/>
        </w:rPr>
      </w:pPr>
      <w:r w:rsidRPr="00CE73B4">
        <w:rPr>
          <w:sz w:val="24"/>
          <w:szCs w:val="24"/>
        </w:rPr>
        <w:tab/>
      </w:r>
    </w:p>
    <w:p w:rsidR="00CE73B4" w:rsidRPr="00CE73B4" w:rsidRDefault="00CE73B4" w:rsidP="00CE73B4">
      <w:pPr>
        <w:tabs>
          <w:tab w:val="left" w:pos="851"/>
        </w:tabs>
        <w:ind w:left="851"/>
        <w:rPr>
          <w:iCs/>
          <w:sz w:val="24"/>
          <w:szCs w:val="24"/>
          <w:u w:val="single"/>
        </w:rPr>
      </w:pPr>
      <w:r w:rsidRPr="00CE73B4">
        <w:rPr>
          <w:iCs/>
          <w:sz w:val="24"/>
          <w:szCs w:val="24"/>
          <w:u w:val="single"/>
        </w:rPr>
        <w:t>Farmakodynamiske virkninger</w:t>
      </w:r>
    </w:p>
    <w:p w:rsidR="00CE73B4" w:rsidRPr="00CE73B4" w:rsidRDefault="00CE73B4" w:rsidP="00CE73B4">
      <w:pPr>
        <w:tabs>
          <w:tab w:val="left" w:pos="851"/>
        </w:tabs>
        <w:ind w:left="851"/>
        <w:rPr>
          <w:sz w:val="24"/>
          <w:szCs w:val="24"/>
        </w:rPr>
      </w:pPr>
      <w:r w:rsidRPr="00CE73B4">
        <w:rPr>
          <w:sz w:val="24"/>
          <w:szCs w:val="24"/>
        </w:rPr>
        <w:t xml:space="preserve">Levosimendan forstærker calcium-sensitiviteten i de kontraktile proteiner gennem en calciumafhængig binding til kardialt troponin C. Levosimendan øger kontraktionskraften, men har ikke en negativ indvirkning på den ventrikulære afslapning. Derudover åbner levosimendan ATP-sensitive kaliumkanaler i den vaskulære glatte muskulatur og inducerer dermed vasodilatation af både systemiske og koronare arterielle modstandskar og systemiske venøse kapacitetskar. Levosimendan er en selektiv phosphodiesterase III-hæmmer </w:t>
      </w:r>
      <w:r w:rsidRPr="00CE73B4">
        <w:rPr>
          <w:i/>
          <w:sz w:val="24"/>
          <w:szCs w:val="24"/>
        </w:rPr>
        <w:t>in vitro</w:t>
      </w:r>
      <w:r w:rsidRPr="00CE73B4">
        <w:rPr>
          <w:sz w:val="24"/>
          <w:szCs w:val="24"/>
        </w:rPr>
        <w:t xml:space="preserve">. Relevansen af dette er uklar ved terapeutiske koncentrationer. Hos patienter med hjertesvigt resulterer de positive inotrope og vasodilaterende virkninger af levosimendan i øget kontraktionskraft, samt en reduktion af både preload og afterload uden negativ påvirkning af den diastoliske funktion. Levosimendan aktiverer såkaldt ”stunned” myokardium (dvs. myokardium som ikke er fuldstændig restitueret fra tidligere iskæmiske perioder) hos patienter efter PTCA (Percutaneous Transluminal Coronary Angioplasty) eller trombolyse. </w:t>
      </w:r>
    </w:p>
    <w:p w:rsidR="00CE73B4" w:rsidRPr="00CE73B4" w:rsidRDefault="00CE73B4" w:rsidP="00CE73B4">
      <w:pPr>
        <w:tabs>
          <w:tab w:val="left" w:pos="851"/>
        </w:tabs>
        <w:ind w:left="851"/>
        <w:rPr>
          <w:sz w:val="24"/>
          <w:szCs w:val="24"/>
        </w:rPr>
      </w:pPr>
    </w:p>
    <w:p w:rsidR="00CE73B4" w:rsidRPr="00CE73B4" w:rsidRDefault="00CE73B4" w:rsidP="00CE73B4">
      <w:pPr>
        <w:tabs>
          <w:tab w:val="left" w:pos="851"/>
        </w:tabs>
        <w:ind w:left="851"/>
        <w:rPr>
          <w:sz w:val="24"/>
          <w:szCs w:val="24"/>
        </w:rPr>
      </w:pPr>
      <w:r w:rsidRPr="00CE73B4">
        <w:rPr>
          <w:sz w:val="24"/>
          <w:szCs w:val="24"/>
        </w:rPr>
        <w:lastRenderedPageBreak/>
        <w:t xml:space="preserve">Hæmodynamiske studier hos raske frivillige og hos patienter med stabil og ustabil hjertesvigt har vist en dosisafhængig virkning af levosimendan administreret intravenøst som støddosis (3 mikrogram/kg til 24 mikrogram/kg) og kontinuerlig infusion (0,05 til 0,2 mikrogram/kg pr. minut). </w:t>
      </w:r>
    </w:p>
    <w:p w:rsidR="00CE73B4" w:rsidRPr="00CE73B4" w:rsidRDefault="00CE73B4" w:rsidP="00CE73B4">
      <w:pPr>
        <w:tabs>
          <w:tab w:val="left" w:pos="851"/>
        </w:tabs>
        <w:ind w:left="851"/>
        <w:rPr>
          <w:sz w:val="24"/>
          <w:szCs w:val="24"/>
        </w:rPr>
      </w:pPr>
    </w:p>
    <w:p w:rsidR="00CE73B4" w:rsidRPr="00CE73B4" w:rsidRDefault="00CE73B4" w:rsidP="00CE73B4">
      <w:pPr>
        <w:tabs>
          <w:tab w:val="left" w:pos="851"/>
        </w:tabs>
        <w:ind w:left="851"/>
        <w:rPr>
          <w:sz w:val="24"/>
          <w:szCs w:val="24"/>
        </w:rPr>
      </w:pPr>
      <w:r w:rsidRPr="00CE73B4">
        <w:rPr>
          <w:sz w:val="24"/>
          <w:szCs w:val="24"/>
        </w:rPr>
        <w:t>Sammenlignet med placebo øgede levosimendan minutvolumen, slagvolumen, uddrivningsfraktion og hjertefrekvens, og reducerer systolisk blodtryk, diastolisk blodtryk, lungekapillærtryk, højre atrial tryk og den perifere vaskulære modstand.</w:t>
      </w:r>
    </w:p>
    <w:p w:rsidR="00CE73B4" w:rsidRPr="00CE73B4" w:rsidRDefault="00CE73B4" w:rsidP="00CE73B4">
      <w:pPr>
        <w:tabs>
          <w:tab w:val="left" w:pos="851"/>
        </w:tabs>
        <w:ind w:left="851"/>
        <w:rPr>
          <w:sz w:val="24"/>
          <w:szCs w:val="24"/>
        </w:rPr>
      </w:pPr>
    </w:p>
    <w:p w:rsidR="00CE73B4" w:rsidRPr="00CE73B4" w:rsidRDefault="00CE73B4" w:rsidP="00CE73B4">
      <w:pPr>
        <w:tabs>
          <w:tab w:val="left" w:pos="851"/>
        </w:tabs>
        <w:ind w:left="851"/>
        <w:rPr>
          <w:sz w:val="24"/>
          <w:szCs w:val="24"/>
        </w:rPr>
      </w:pPr>
      <w:r w:rsidRPr="00CE73B4">
        <w:rPr>
          <w:sz w:val="24"/>
          <w:szCs w:val="24"/>
        </w:rPr>
        <w:t xml:space="preserve">Infusion med levosimendan øger den koronare blodgennemstrømning hos patienter, som har gennemgået hjerteoperationer, samt forbedrer myokardieperfusionen hos patienter med hjertesvigt. Disse fordele opnås uden, at myokardiets oxygenforbrug øges signifikant. </w:t>
      </w:r>
    </w:p>
    <w:p w:rsidR="00CE73B4" w:rsidRPr="00CE73B4" w:rsidRDefault="00CE73B4" w:rsidP="00CE73B4">
      <w:pPr>
        <w:tabs>
          <w:tab w:val="left" w:pos="851"/>
        </w:tabs>
        <w:ind w:left="851"/>
        <w:rPr>
          <w:sz w:val="24"/>
          <w:szCs w:val="24"/>
        </w:rPr>
      </w:pPr>
    </w:p>
    <w:p w:rsidR="00CE73B4" w:rsidRPr="00CE73B4" w:rsidRDefault="00CE73B4" w:rsidP="00CE73B4">
      <w:pPr>
        <w:tabs>
          <w:tab w:val="left" w:pos="851"/>
        </w:tabs>
        <w:ind w:left="851"/>
        <w:rPr>
          <w:sz w:val="24"/>
          <w:szCs w:val="24"/>
        </w:rPr>
      </w:pPr>
      <w:r w:rsidRPr="00CE73B4">
        <w:rPr>
          <w:sz w:val="24"/>
          <w:szCs w:val="24"/>
        </w:rPr>
        <w:t xml:space="preserve">Behandling med en levosimendaninfusion reducerer signifikant plasmakoncentrationer af endothelin-1 hos patienter med kongestiv hjertesvigt. Plasmakoncentrationer af katekolaminer øges ikke ved de anbefalede infusionshastigheder.  </w:t>
      </w:r>
    </w:p>
    <w:p w:rsidR="00CE73B4" w:rsidRPr="00CE73B4" w:rsidRDefault="00CE73B4" w:rsidP="00CE73B4">
      <w:pPr>
        <w:tabs>
          <w:tab w:val="left" w:pos="851"/>
        </w:tabs>
        <w:ind w:left="851"/>
        <w:rPr>
          <w:sz w:val="24"/>
          <w:szCs w:val="24"/>
        </w:rPr>
      </w:pPr>
    </w:p>
    <w:p w:rsidR="00CE73B4" w:rsidRPr="00CE73B4" w:rsidRDefault="00CE73B4" w:rsidP="00CE73B4">
      <w:pPr>
        <w:tabs>
          <w:tab w:val="left" w:pos="851"/>
        </w:tabs>
        <w:ind w:left="851"/>
        <w:rPr>
          <w:iCs/>
          <w:sz w:val="24"/>
          <w:szCs w:val="24"/>
          <w:u w:val="single"/>
        </w:rPr>
      </w:pPr>
      <w:r w:rsidRPr="00CE73B4">
        <w:rPr>
          <w:iCs/>
          <w:sz w:val="24"/>
          <w:szCs w:val="24"/>
          <w:u w:val="single"/>
        </w:rPr>
        <w:t>Kliniske studier i akut hjertesvigt</w:t>
      </w:r>
    </w:p>
    <w:p w:rsidR="00CE73B4" w:rsidRPr="00CE73B4" w:rsidRDefault="00CE73B4" w:rsidP="00CE73B4">
      <w:pPr>
        <w:tabs>
          <w:tab w:val="left" w:pos="851"/>
        </w:tabs>
        <w:ind w:left="851"/>
        <w:rPr>
          <w:sz w:val="24"/>
          <w:szCs w:val="24"/>
        </w:rPr>
      </w:pPr>
      <w:r w:rsidRPr="00CE73B4">
        <w:rPr>
          <w:sz w:val="24"/>
          <w:szCs w:val="24"/>
        </w:rPr>
        <w:t>Levosimendan er blevet evalueret i kliniske studier med over 2800 patienter med hjertesvigt. Levosimendans virkning og sikkerhed til behandling af ADHF er vurderet i de følgende randomiserede, dobbeltblinde, multinationale kliniske studier:</w:t>
      </w:r>
    </w:p>
    <w:p w:rsidR="00CE73B4" w:rsidRPr="00CE73B4" w:rsidRDefault="00CE73B4" w:rsidP="00CE73B4">
      <w:pPr>
        <w:tabs>
          <w:tab w:val="left" w:pos="851"/>
        </w:tabs>
        <w:ind w:left="851"/>
        <w:rPr>
          <w:sz w:val="24"/>
          <w:szCs w:val="24"/>
        </w:rPr>
      </w:pPr>
    </w:p>
    <w:p w:rsidR="00CE73B4" w:rsidRPr="00CE73B4" w:rsidRDefault="00CE73B4" w:rsidP="00CE73B4">
      <w:pPr>
        <w:tabs>
          <w:tab w:val="left" w:pos="851"/>
        </w:tabs>
        <w:ind w:left="851"/>
        <w:rPr>
          <w:sz w:val="24"/>
          <w:szCs w:val="24"/>
          <w:u w:val="single"/>
        </w:rPr>
      </w:pPr>
      <w:r w:rsidRPr="00CE73B4">
        <w:rPr>
          <w:sz w:val="24"/>
          <w:szCs w:val="24"/>
          <w:u w:val="single"/>
        </w:rPr>
        <w:t>REVIVE-program</w:t>
      </w:r>
    </w:p>
    <w:p w:rsidR="00CE73B4" w:rsidRPr="00CE73B4" w:rsidRDefault="00CE73B4" w:rsidP="00CE73B4">
      <w:pPr>
        <w:tabs>
          <w:tab w:val="left" w:pos="851"/>
        </w:tabs>
        <w:ind w:left="851"/>
        <w:rPr>
          <w:sz w:val="24"/>
          <w:szCs w:val="24"/>
          <w:u w:val="single"/>
        </w:rPr>
      </w:pPr>
    </w:p>
    <w:p w:rsidR="00CE73B4" w:rsidRPr="00CE73B4" w:rsidRDefault="00CE73B4" w:rsidP="00CE73B4">
      <w:pPr>
        <w:tabs>
          <w:tab w:val="left" w:pos="851"/>
        </w:tabs>
        <w:ind w:left="851"/>
        <w:rPr>
          <w:i/>
          <w:sz w:val="24"/>
          <w:szCs w:val="24"/>
        </w:rPr>
      </w:pPr>
      <w:r w:rsidRPr="00CE73B4">
        <w:rPr>
          <w:i/>
          <w:sz w:val="24"/>
          <w:szCs w:val="24"/>
        </w:rPr>
        <w:t>REVIVE I</w:t>
      </w:r>
    </w:p>
    <w:p w:rsidR="00CE73B4" w:rsidRPr="00CE73B4" w:rsidRDefault="00CE73B4" w:rsidP="00CE73B4">
      <w:pPr>
        <w:tabs>
          <w:tab w:val="left" w:pos="851"/>
        </w:tabs>
        <w:ind w:left="851"/>
        <w:rPr>
          <w:sz w:val="24"/>
          <w:szCs w:val="24"/>
        </w:rPr>
      </w:pPr>
      <w:r w:rsidRPr="00CE73B4">
        <w:rPr>
          <w:sz w:val="24"/>
          <w:szCs w:val="24"/>
        </w:rPr>
        <w:t>I et dobbeltblindt, placebokontrolleret pilotstudie fik 100 patienter med ADHF en infusion med levosimendan i 24 timer. Der blev observeret et positivt respons, målt ud fra det klinisk samlede endepunkt mod placebo plus standardterapi hos de patienter, som blev behandlet med levosimendan.</w:t>
      </w:r>
    </w:p>
    <w:p w:rsidR="00CE73B4" w:rsidRPr="00CE73B4" w:rsidRDefault="00CE73B4" w:rsidP="00CE73B4">
      <w:pPr>
        <w:tabs>
          <w:tab w:val="left" w:pos="851"/>
        </w:tabs>
        <w:ind w:left="851"/>
        <w:rPr>
          <w:sz w:val="24"/>
          <w:szCs w:val="24"/>
        </w:rPr>
      </w:pPr>
    </w:p>
    <w:p w:rsidR="00CE73B4" w:rsidRPr="00CE73B4" w:rsidRDefault="00CE73B4" w:rsidP="00CE73B4">
      <w:pPr>
        <w:tabs>
          <w:tab w:val="left" w:pos="851"/>
        </w:tabs>
        <w:ind w:left="851"/>
        <w:rPr>
          <w:i/>
          <w:sz w:val="24"/>
          <w:szCs w:val="24"/>
        </w:rPr>
      </w:pPr>
      <w:r w:rsidRPr="00CE73B4">
        <w:rPr>
          <w:i/>
          <w:sz w:val="24"/>
          <w:szCs w:val="24"/>
        </w:rPr>
        <w:t>REVIVE II</w:t>
      </w:r>
    </w:p>
    <w:p w:rsidR="00CE73B4" w:rsidRPr="00CE73B4" w:rsidRDefault="00CE73B4" w:rsidP="00CE73B4">
      <w:pPr>
        <w:tabs>
          <w:tab w:val="left" w:pos="851"/>
        </w:tabs>
        <w:ind w:left="851"/>
        <w:rPr>
          <w:sz w:val="24"/>
          <w:szCs w:val="24"/>
        </w:rPr>
      </w:pPr>
      <w:r w:rsidRPr="00CE73B4">
        <w:rPr>
          <w:sz w:val="24"/>
          <w:szCs w:val="24"/>
        </w:rPr>
        <w:t>Et dobbeltblindt, placebokontrolleret pivotal-studie med 600 patienter, som fik en støddosis på 6-12 mikrogram/kg i 10 minutter efterfulgt af en protokol-specificeret trinvis titrering af levosimendan til 0,05-0,2 mikrogram/kg/minut i op til 24 timer, som førte til en fordel i klinisk status hos patienter med ADHF, som forblev kortåndet efter intravenøs diuretisk behandling.</w:t>
      </w:r>
    </w:p>
    <w:p w:rsidR="00CE73B4" w:rsidRPr="00CE73B4" w:rsidRDefault="00CE73B4" w:rsidP="00CE73B4">
      <w:pPr>
        <w:tabs>
          <w:tab w:val="left" w:pos="851"/>
        </w:tabs>
        <w:ind w:left="851"/>
        <w:rPr>
          <w:sz w:val="24"/>
          <w:szCs w:val="24"/>
        </w:rPr>
      </w:pPr>
    </w:p>
    <w:p w:rsidR="00CE73B4" w:rsidRPr="00CE73B4" w:rsidRDefault="00CE73B4" w:rsidP="00CE73B4">
      <w:pPr>
        <w:tabs>
          <w:tab w:val="left" w:pos="851"/>
        </w:tabs>
        <w:ind w:left="851"/>
        <w:rPr>
          <w:sz w:val="24"/>
          <w:szCs w:val="24"/>
        </w:rPr>
      </w:pPr>
      <w:r w:rsidRPr="00CE73B4">
        <w:rPr>
          <w:sz w:val="24"/>
          <w:szCs w:val="24"/>
        </w:rPr>
        <w:t>Det kliniske program for REVIVE var designet til at sammenligne virkningen af levosimendan plus standardterapi med placebo plus standardterapi i behandlingen af ADHF.</w:t>
      </w:r>
    </w:p>
    <w:p w:rsidR="00CE73B4" w:rsidRPr="00CE73B4" w:rsidRDefault="00CE73B4" w:rsidP="00CE73B4">
      <w:pPr>
        <w:tabs>
          <w:tab w:val="left" w:pos="851"/>
        </w:tabs>
        <w:ind w:left="851"/>
        <w:rPr>
          <w:sz w:val="24"/>
          <w:szCs w:val="24"/>
        </w:rPr>
      </w:pPr>
    </w:p>
    <w:p w:rsidR="00CE73B4" w:rsidRPr="00CE73B4" w:rsidRDefault="00CE73B4" w:rsidP="00CE73B4">
      <w:pPr>
        <w:tabs>
          <w:tab w:val="left" w:pos="851"/>
        </w:tabs>
        <w:ind w:left="851"/>
        <w:rPr>
          <w:sz w:val="24"/>
          <w:szCs w:val="24"/>
        </w:rPr>
      </w:pPr>
      <w:r w:rsidRPr="00CE73B4">
        <w:rPr>
          <w:sz w:val="24"/>
          <w:szCs w:val="24"/>
        </w:rPr>
        <w:t>Inklusionskriterier omfattede patienter indlagt på sygehus med ADHF, venstre ventrikulær uddrivningsfraktion mindre end eller lig med 35</w:t>
      </w:r>
      <w:r w:rsidR="00E417D4">
        <w:rPr>
          <w:sz w:val="24"/>
          <w:szCs w:val="24"/>
        </w:rPr>
        <w:t xml:space="preserve"> %</w:t>
      </w:r>
      <w:r w:rsidRPr="00CE73B4">
        <w:rPr>
          <w:sz w:val="24"/>
          <w:szCs w:val="24"/>
        </w:rPr>
        <w:t xml:space="preserve"> i løbet af de sidste 12 måneder, og hviledyspnø. Alle baseline-terapier var tilladt undtagen intravenøs milrinon. Eksklusionskriterier omfattede svær obstruktion i ventriklens udløb, kardiogent shock, systolisk blodtryk ≤90 mmHg eller hjerterytme ≥120 slag pr. minut (vedvarende i mindst fem minutter), eller behov for mekanisk ventilering.</w:t>
      </w:r>
    </w:p>
    <w:p w:rsidR="00CE73B4" w:rsidRPr="00CE73B4" w:rsidRDefault="00CE73B4" w:rsidP="00CE73B4">
      <w:pPr>
        <w:tabs>
          <w:tab w:val="left" w:pos="851"/>
        </w:tabs>
        <w:ind w:left="851"/>
        <w:rPr>
          <w:sz w:val="24"/>
          <w:szCs w:val="24"/>
        </w:rPr>
      </w:pPr>
    </w:p>
    <w:p w:rsidR="00CE73B4" w:rsidRPr="00CE73B4" w:rsidRDefault="00CE73B4" w:rsidP="00CE73B4">
      <w:pPr>
        <w:tabs>
          <w:tab w:val="left" w:pos="851"/>
        </w:tabs>
        <w:ind w:left="851"/>
        <w:rPr>
          <w:sz w:val="24"/>
          <w:szCs w:val="24"/>
        </w:rPr>
      </w:pPr>
      <w:r w:rsidRPr="00CE73B4">
        <w:rPr>
          <w:sz w:val="24"/>
          <w:szCs w:val="24"/>
        </w:rPr>
        <w:t xml:space="preserve">Resultaterne fra det primære endepunkt viste, at en større andel af patienterne var kategoriseret som forbedret og en mindre andel af patienterne kategoriseret som forværret (p-værdi 0,015) målt ved det klinisk samlede endepunkt, som viste vedvarende fordele i </w:t>
      </w:r>
      <w:r w:rsidRPr="00CE73B4">
        <w:rPr>
          <w:sz w:val="24"/>
          <w:szCs w:val="24"/>
        </w:rPr>
        <w:lastRenderedPageBreak/>
        <w:t>klinisk tilstand på tre tidspunkter: seks timer, 24 timer og fem dage. B-type natriuretisk peptid var signifikant reduceret versus placebo og standardterapi på 24 timer og gennem 5 dage (p-værdi = 0,001).</w:t>
      </w:r>
    </w:p>
    <w:p w:rsidR="00CE73B4" w:rsidRPr="00CE73B4" w:rsidRDefault="00CE73B4" w:rsidP="00CE73B4">
      <w:pPr>
        <w:tabs>
          <w:tab w:val="left" w:pos="851"/>
        </w:tabs>
        <w:ind w:left="851"/>
        <w:rPr>
          <w:sz w:val="24"/>
          <w:szCs w:val="24"/>
        </w:rPr>
      </w:pPr>
    </w:p>
    <w:p w:rsidR="00CE73B4" w:rsidRPr="00CE73B4" w:rsidRDefault="00CE73B4" w:rsidP="00CE73B4">
      <w:pPr>
        <w:tabs>
          <w:tab w:val="left" w:pos="851"/>
        </w:tabs>
        <w:ind w:left="851"/>
        <w:rPr>
          <w:sz w:val="24"/>
          <w:szCs w:val="24"/>
        </w:rPr>
      </w:pPr>
      <w:r w:rsidRPr="00CE73B4">
        <w:rPr>
          <w:sz w:val="24"/>
          <w:szCs w:val="24"/>
        </w:rPr>
        <w:t>Levosimendangruppen havde en lidt højere, men ikke statistisk signifikant, dødsrate sammenlignet med kontrolgruppen på 90 dage (15</w:t>
      </w:r>
      <w:r w:rsidR="00E417D4">
        <w:rPr>
          <w:sz w:val="24"/>
          <w:szCs w:val="24"/>
        </w:rPr>
        <w:t xml:space="preserve"> %</w:t>
      </w:r>
      <w:r w:rsidRPr="00CE73B4">
        <w:rPr>
          <w:sz w:val="24"/>
          <w:szCs w:val="24"/>
        </w:rPr>
        <w:t xml:space="preserve"> vs. 12</w:t>
      </w:r>
      <w:r w:rsidR="00E417D4">
        <w:rPr>
          <w:sz w:val="24"/>
          <w:szCs w:val="24"/>
        </w:rPr>
        <w:t xml:space="preserve"> %</w:t>
      </w:r>
      <w:r w:rsidRPr="00CE73B4">
        <w:rPr>
          <w:sz w:val="24"/>
          <w:szCs w:val="24"/>
        </w:rPr>
        <w:t>). Post hoc-analyser identificerede systolisk blodtryk &lt; 100 mmHg eller diastolisk blodtryk &lt; 60 mmHg ved baseline som faktorer, der øger mortalitetsrisikoen.</w:t>
      </w:r>
    </w:p>
    <w:p w:rsidR="00CE73B4" w:rsidRPr="00CE73B4" w:rsidRDefault="00CE73B4" w:rsidP="00CE73B4">
      <w:pPr>
        <w:tabs>
          <w:tab w:val="left" w:pos="851"/>
        </w:tabs>
        <w:ind w:left="851"/>
        <w:rPr>
          <w:sz w:val="24"/>
          <w:szCs w:val="24"/>
        </w:rPr>
      </w:pPr>
    </w:p>
    <w:p w:rsidR="00CE73B4" w:rsidRPr="00CE73B4" w:rsidRDefault="00CE73B4" w:rsidP="00CE73B4">
      <w:pPr>
        <w:tabs>
          <w:tab w:val="left" w:pos="851"/>
        </w:tabs>
        <w:ind w:left="851"/>
        <w:rPr>
          <w:bCs/>
          <w:sz w:val="24"/>
          <w:szCs w:val="24"/>
          <w:u w:val="single"/>
        </w:rPr>
      </w:pPr>
      <w:r w:rsidRPr="00CE73B4">
        <w:rPr>
          <w:bCs/>
          <w:sz w:val="24"/>
          <w:szCs w:val="24"/>
          <w:u w:val="single"/>
        </w:rPr>
        <w:t>SURVIVE</w:t>
      </w:r>
    </w:p>
    <w:p w:rsidR="00CE73B4" w:rsidRPr="00CE73B4" w:rsidRDefault="00CE73B4" w:rsidP="00CE73B4">
      <w:pPr>
        <w:tabs>
          <w:tab w:val="left" w:pos="851"/>
        </w:tabs>
        <w:ind w:left="851"/>
        <w:rPr>
          <w:sz w:val="24"/>
          <w:szCs w:val="24"/>
        </w:rPr>
      </w:pPr>
      <w:r w:rsidRPr="00CE73B4">
        <w:rPr>
          <w:sz w:val="24"/>
          <w:szCs w:val="24"/>
        </w:rPr>
        <w:t>Et dobbeltblindt, dobbeldummy, parallelgruppe, multicenterstudie, som sammenligner levosimendan vs. Dobutamin-evalueret 180 dage-mortalitet hos 1327 patienter med ADHF, som havde behov for tillægsterapi efter et utilstrækkelig respons på intravenøs diuretika eller vasodilatorer.</w:t>
      </w:r>
    </w:p>
    <w:p w:rsidR="00CE73B4" w:rsidRPr="00CE73B4" w:rsidRDefault="00CE73B4" w:rsidP="00CE73B4">
      <w:pPr>
        <w:tabs>
          <w:tab w:val="left" w:pos="851"/>
        </w:tabs>
        <w:ind w:left="851"/>
        <w:rPr>
          <w:sz w:val="24"/>
          <w:szCs w:val="24"/>
        </w:rPr>
      </w:pPr>
      <w:r w:rsidRPr="00CE73B4">
        <w:rPr>
          <w:sz w:val="24"/>
          <w:szCs w:val="24"/>
        </w:rPr>
        <w:t>Patientpopulationen var generelt i overensstemmelse med patienterne fra REVIVE II-studiet. Dog var patienter uden tidligere hjertesvigt (f.eks. akut hjerteinfarkt) og patienter, som havde behov for mekanisk ventilering inkluderede. Omtrent 90</w:t>
      </w:r>
      <w:r w:rsidR="00E417D4">
        <w:rPr>
          <w:sz w:val="24"/>
          <w:szCs w:val="24"/>
        </w:rPr>
        <w:t xml:space="preserve"> %</w:t>
      </w:r>
      <w:r w:rsidRPr="00CE73B4">
        <w:rPr>
          <w:sz w:val="24"/>
          <w:szCs w:val="24"/>
        </w:rPr>
        <w:t xml:space="preserve"> af patienterne blev inkluderet i studiet pga. hviledyspnø.</w:t>
      </w:r>
    </w:p>
    <w:p w:rsidR="00CE73B4" w:rsidRPr="00CE73B4" w:rsidRDefault="00CE73B4" w:rsidP="00CE73B4">
      <w:pPr>
        <w:tabs>
          <w:tab w:val="left" w:pos="851"/>
        </w:tabs>
        <w:ind w:left="851"/>
        <w:rPr>
          <w:sz w:val="24"/>
          <w:szCs w:val="24"/>
        </w:rPr>
      </w:pPr>
    </w:p>
    <w:p w:rsidR="00CE73B4" w:rsidRPr="00CE73B4" w:rsidRDefault="00CE73B4" w:rsidP="00CE73B4">
      <w:pPr>
        <w:tabs>
          <w:tab w:val="left" w:pos="851"/>
        </w:tabs>
        <w:ind w:left="851"/>
        <w:rPr>
          <w:sz w:val="24"/>
          <w:szCs w:val="24"/>
        </w:rPr>
      </w:pPr>
      <w:r w:rsidRPr="00CE73B4">
        <w:rPr>
          <w:sz w:val="24"/>
          <w:szCs w:val="24"/>
        </w:rPr>
        <w:t>Resultaterne fra SURVIVE viste ingen statistisk signifikante forskelle mellem levosimendan og dobutamin for alle mortalitetstilfælde uanset årsag ved 180 dage {hazardratio = 0,91 (95</w:t>
      </w:r>
      <w:r w:rsidR="00E417D4">
        <w:rPr>
          <w:sz w:val="24"/>
          <w:szCs w:val="24"/>
        </w:rPr>
        <w:t xml:space="preserve"> %</w:t>
      </w:r>
      <w:r w:rsidRPr="00CE73B4">
        <w:rPr>
          <w:sz w:val="24"/>
          <w:szCs w:val="24"/>
        </w:rPr>
        <w:t xml:space="preserve"> CI [0,74, 1,13] p-værdi 0,401)}. Der var dog en numerisk fordel i mortalitet ved dag 5 (4</w:t>
      </w:r>
      <w:r w:rsidR="00E417D4">
        <w:rPr>
          <w:sz w:val="24"/>
          <w:szCs w:val="24"/>
        </w:rPr>
        <w:t xml:space="preserve"> %</w:t>
      </w:r>
      <w:r w:rsidRPr="00CE73B4">
        <w:rPr>
          <w:sz w:val="24"/>
          <w:szCs w:val="24"/>
        </w:rPr>
        <w:t xml:space="preserve"> levosimendan vs. 6</w:t>
      </w:r>
      <w:r w:rsidR="00E417D4">
        <w:rPr>
          <w:sz w:val="24"/>
          <w:szCs w:val="24"/>
        </w:rPr>
        <w:t xml:space="preserve"> %</w:t>
      </w:r>
      <w:r w:rsidRPr="00CE73B4">
        <w:rPr>
          <w:sz w:val="24"/>
          <w:szCs w:val="24"/>
        </w:rPr>
        <w:t xml:space="preserve"> dobutamin) for levosimendan. Denne fordel varede ved gennem en 31-dags periode (12</w:t>
      </w:r>
      <w:r w:rsidR="00E417D4">
        <w:rPr>
          <w:sz w:val="24"/>
          <w:szCs w:val="24"/>
        </w:rPr>
        <w:t xml:space="preserve"> %</w:t>
      </w:r>
      <w:r w:rsidRPr="00CE73B4">
        <w:rPr>
          <w:sz w:val="24"/>
          <w:szCs w:val="24"/>
        </w:rPr>
        <w:t xml:space="preserve"> levosimendan vs. 14</w:t>
      </w:r>
      <w:r w:rsidR="00E417D4">
        <w:rPr>
          <w:sz w:val="24"/>
          <w:szCs w:val="24"/>
        </w:rPr>
        <w:t xml:space="preserve"> %</w:t>
      </w:r>
      <w:r w:rsidRPr="00CE73B4">
        <w:rPr>
          <w:sz w:val="24"/>
          <w:szCs w:val="24"/>
        </w:rPr>
        <w:t xml:space="preserve"> dobutamin) og var mest fremtrædende hos patienter, som fik betablokker-terapi ved baseline. I begge grupper, som fik behandling, oplevede patienter med lavt blodtryk ved baseline en højere mortalitetsrate end patienterne med højere blodtryk ved baseline.</w:t>
      </w:r>
    </w:p>
    <w:p w:rsidR="00CE73B4" w:rsidRPr="00CE73B4" w:rsidRDefault="00CE73B4" w:rsidP="00CE73B4">
      <w:pPr>
        <w:tabs>
          <w:tab w:val="left" w:pos="851"/>
        </w:tabs>
        <w:ind w:left="851"/>
        <w:rPr>
          <w:sz w:val="24"/>
          <w:szCs w:val="24"/>
        </w:rPr>
      </w:pPr>
    </w:p>
    <w:p w:rsidR="00CE73B4" w:rsidRPr="00CE73B4" w:rsidRDefault="00CE73B4" w:rsidP="00CE73B4">
      <w:pPr>
        <w:tabs>
          <w:tab w:val="left" w:pos="851"/>
        </w:tabs>
        <w:ind w:left="851"/>
        <w:rPr>
          <w:bCs/>
          <w:sz w:val="24"/>
          <w:szCs w:val="24"/>
          <w:u w:val="single"/>
        </w:rPr>
      </w:pPr>
      <w:r w:rsidRPr="00CE73B4">
        <w:rPr>
          <w:bCs/>
          <w:sz w:val="24"/>
          <w:szCs w:val="24"/>
          <w:u w:val="single"/>
        </w:rPr>
        <w:t>LIDO</w:t>
      </w:r>
    </w:p>
    <w:p w:rsidR="00CE73B4" w:rsidRPr="00CE73B4" w:rsidRDefault="00CE73B4" w:rsidP="00CE73B4">
      <w:pPr>
        <w:tabs>
          <w:tab w:val="left" w:pos="851"/>
        </w:tabs>
        <w:ind w:left="851"/>
        <w:rPr>
          <w:sz w:val="24"/>
          <w:szCs w:val="24"/>
        </w:rPr>
      </w:pPr>
      <w:r w:rsidRPr="00CE73B4">
        <w:rPr>
          <w:sz w:val="24"/>
          <w:szCs w:val="24"/>
        </w:rPr>
        <w:t>Levosimendan har vist sig at medføre dosisafhængig øgning af minutvolumen og slagvolumen, samt en dosisafhængig reduktion i det lungekapillærtrykket, det gennemsnitlige arterielle tryk og den totale perifere modstand.</w:t>
      </w:r>
    </w:p>
    <w:p w:rsidR="00CE73B4" w:rsidRPr="00CE73B4" w:rsidRDefault="00CE73B4" w:rsidP="00CE73B4">
      <w:pPr>
        <w:tabs>
          <w:tab w:val="left" w:pos="851"/>
        </w:tabs>
        <w:ind w:left="851"/>
        <w:rPr>
          <w:sz w:val="24"/>
          <w:szCs w:val="24"/>
        </w:rPr>
      </w:pPr>
    </w:p>
    <w:p w:rsidR="00CE73B4" w:rsidRPr="00CE73B4" w:rsidRDefault="00CE73B4" w:rsidP="00CE73B4">
      <w:pPr>
        <w:tabs>
          <w:tab w:val="left" w:pos="851"/>
        </w:tabs>
        <w:ind w:left="851"/>
        <w:rPr>
          <w:sz w:val="24"/>
          <w:szCs w:val="24"/>
        </w:rPr>
      </w:pPr>
      <w:r w:rsidRPr="00CE73B4">
        <w:rPr>
          <w:sz w:val="24"/>
          <w:szCs w:val="24"/>
        </w:rPr>
        <w:t>I et dobbeltblindt multicenterstudie fik 203 patienter med svær hjertesvigt med lavt minutvolumen (uddrivningsfraktion ≤ 0,35, kardial indeks &lt;2,5 l/min/m</w:t>
      </w:r>
      <w:r w:rsidRPr="00CE73B4">
        <w:rPr>
          <w:sz w:val="24"/>
          <w:szCs w:val="24"/>
          <w:vertAlign w:val="superscript"/>
        </w:rPr>
        <w:t>2</w:t>
      </w:r>
      <w:r w:rsidRPr="00CE73B4">
        <w:rPr>
          <w:sz w:val="24"/>
          <w:szCs w:val="24"/>
        </w:rPr>
        <w:t>, pulmonale kapillære kiletryk (PCWP) &gt;15mmHg) og med behov for inotrop støtte, enten levosimendan (støddosis på 24 mikrogram/kg i løbet af 10 minutter efterfulgt af en kontinuerlig infusion på 0,1-0,2 mikrogram/kg/min) eller dobutamin (5-10 mikrogram/kg/min) i 24 timer.</w:t>
      </w:r>
    </w:p>
    <w:p w:rsidR="00CE73B4" w:rsidRPr="00CE73B4" w:rsidRDefault="00CE73B4" w:rsidP="00CE73B4">
      <w:pPr>
        <w:tabs>
          <w:tab w:val="left" w:pos="851"/>
        </w:tabs>
        <w:ind w:left="851"/>
        <w:rPr>
          <w:sz w:val="24"/>
          <w:szCs w:val="24"/>
        </w:rPr>
      </w:pPr>
      <w:r w:rsidRPr="00CE73B4">
        <w:rPr>
          <w:sz w:val="24"/>
          <w:szCs w:val="24"/>
        </w:rPr>
        <w:t>Ætiologien for hjertesvigt var iskæmi hos 47</w:t>
      </w:r>
      <w:r w:rsidR="00E417D4">
        <w:rPr>
          <w:sz w:val="24"/>
          <w:szCs w:val="24"/>
        </w:rPr>
        <w:t xml:space="preserve"> %</w:t>
      </w:r>
      <w:r w:rsidRPr="00CE73B4">
        <w:rPr>
          <w:sz w:val="24"/>
          <w:szCs w:val="24"/>
        </w:rPr>
        <w:t xml:space="preserve"> af patienterne; 45</w:t>
      </w:r>
      <w:r w:rsidR="00E417D4">
        <w:rPr>
          <w:sz w:val="24"/>
          <w:szCs w:val="24"/>
        </w:rPr>
        <w:t xml:space="preserve"> %</w:t>
      </w:r>
      <w:r w:rsidRPr="00CE73B4">
        <w:rPr>
          <w:sz w:val="24"/>
          <w:szCs w:val="24"/>
        </w:rPr>
        <w:t xml:space="preserve"> havde idiopatisk forstørret kardiomyopati. 76</w:t>
      </w:r>
      <w:r w:rsidR="00E417D4">
        <w:rPr>
          <w:sz w:val="24"/>
          <w:szCs w:val="24"/>
        </w:rPr>
        <w:t xml:space="preserve"> %</w:t>
      </w:r>
      <w:r w:rsidRPr="00CE73B4">
        <w:rPr>
          <w:sz w:val="24"/>
          <w:szCs w:val="24"/>
        </w:rPr>
        <w:t xml:space="preserve"> af patienterne havde hviledyspnø. Hovedeksklusionskriterier omfattede systolisk blodtryk under 90 mmHg og en hjertefrekvens over 120 slag i minuttet. Det primære endepunkt var en stigning i minutvolumen på ≥ 30</w:t>
      </w:r>
      <w:r w:rsidR="00E417D4">
        <w:rPr>
          <w:sz w:val="24"/>
          <w:szCs w:val="24"/>
        </w:rPr>
        <w:t xml:space="preserve"> %</w:t>
      </w:r>
      <w:r w:rsidRPr="00CE73B4">
        <w:rPr>
          <w:sz w:val="24"/>
          <w:szCs w:val="24"/>
        </w:rPr>
        <w:t xml:space="preserve"> og et samtidig fald i PCWP på ≥ 25</w:t>
      </w:r>
      <w:r w:rsidR="00E417D4">
        <w:rPr>
          <w:sz w:val="24"/>
          <w:szCs w:val="24"/>
        </w:rPr>
        <w:t xml:space="preserve"> %</w:t>
      </w:r>
      <w:r w:rsidRPr="00CE73B4">
        <w:rPr>
          <w:sz w:val="24"/>
          <w:szCs w:val="24"/>
        </w:rPr>
        <w:t xml:space="preserve"> på 24 timer. Dette blev opnået hos 28</w:t>
      </w:r>
      <w:r w:rsidR="00E417D4">
        <w:rPr>
          <w:sz w:val="24"/>
          <w:szCs w:val="24"/>
        </w:rPr>
        <w:t xml:space="preserve"> %</w:t>
      </w:r>
      <w:r w:rsidRPr="00CE73B4">
        <w:rPr>
          <w:sz w:val="24"/>
          <w:szCs w:val="24"/>
        </w:rPr>
        <w:t xml:space="preserve"> af patienterne, som blev behandlet med levosimendan sammenlignet med 15</w:t>
      </w:r>
      <w:r w:rsidR="00E417D4">
        <w:rPr>
          <w:sz w:val="24"/>
          <w:szCs w:val="24"/>
        </w:rPr>
        <w:t xml:space="preserve"> %</w:t>
      </w:r>
      <w:r w:rsidRPr="00CE73B4">
        <w:rPr>
          <w:sz w:val="24"/>
          <w:szCs w:val="24"/>
        </w:rPr>
        <w:t xml:space="preserve"> efter dobutaminbehandling (p=0,025). 68</w:t>
      </w:r>
      <w:r w:rsidR="00E417D4">
        <w:rPr>
          <w:sz w:val="24"/>
          <w:szCs w:val="24"/>
        </w:rPr>
        <w:t xml:space="preserve"> %</w:t>
      </w:r>
      <w:r w:rsidRPr="00CE73B4">
        <w:rPr>
          <w:sz w:val="24"/>
          <w:szCs w:val="24"/>
        </w:rPr>
        <w:t xml:space="preserve"> af symptomatiske patienter havde en forbedring med hensyn til dyspnø efter levosimendanbehandlingen, sammenlignet med 59</w:t>
      </w:r>
      <w:r w:rsidR="00E417D4">
        <w:rPr>
          <w:sz w:val="24"/>
          <w:szCs w:val="24"/>
        </w:rPr>
        <w:t xml:space="preserve"> %</w:t>
      </w:r>
      <w:r w:rsidRPr="00CE73B4">
        <w:rPr>
          <w:sz w:val="24"/>
          <w:szCs w:val="24"/>
        </w:rPr>
        <w:t xml:space="preserve"> efter dobutaminbehandling. Forbedringerne for måling af træthed var 63</w:t>
      </w:r>
      <w:r w:rsidR="00E417D4">
        <w:rPr>
          <w:sz w:val="24"/>
          <w:szCs w:val="24"/>
        </w:rPr>
        <w:t xml:space="preserve"> %</w:t>
      </w:r>
      <w:r w:rsidRPr="00CE73B4">
        <w:rPr>
          <w:sz w:val="24"/>
          <w:szCs w:val="24"/>
        </w:rPr>
        <w:t xml:space="preserve"> og 47</w:t>
      </w:r>
      <w:r w:rsidR="00E417D4">
        <w:rPr>
          <w:sz w:val="24"/>
          <w:szCs w:val="24"/>
        </w:rPr>
        <w:t xml:space="preserve"> %</w:t>
      </w:r>
      <w:r w:rsidRPr="00CE73B4">
        <w:rPr>
          <w:sz w:val="24"/>
          <w:szCs w:val="24"/>
        </w:rPr>
        <w:t xml:space="preserve"> efter hhv. behandling med levosimendan og dobutamin. Dødsfald uanset årsag på dag 31, var 7,8</w:t>
      </w:r>
      <w:r w:rsidR="00E417D4">
        <w:rPr>
          <w:sz w:val="24"/>
          <w:szCs w:val="24"/>
        </w:rPr>
        <w:t xml:space="preserve"> %</w:t>
      </w:r>
      <w:r w:rsidRPr="00CE73B4">
        <w:rPr>
          <w:sz w:val="24"/>
          <w:szCs w:val="24"/>
        </w:rPr>
        <w:t xml:space="preserve"> for levosimendan og 17</w:t>
      </w:r>
      <w:r w:rsidR="00E417D4">
        <w:rPr>
          <w:sz w:val="24"/>
          <w:szCs w:val="24"/>
        </w:rPr>
        <w:t xml:space="preserve"> %</w:t>
      </w:r>
      <w:r w:rsidRPr="00CE73B4">
        <w:rPr>
          <w:sz w:val="24"/>
          <w:szCs w:val="24"/>
        </w:rPr>
        <w:t xml:space="preserve"> for patienter, som blev behandlet med dobutamin.</w:t>
      </w:r>
    </w:p>
    <w:p w:rsidR="00CE73B4" w:rsidRPr="00CE73B4" w:rsidRDefault="00CE73B4" w:rsidP="00CE73B4">
      <w:pPr>
        <w:tabs>
          <w:tab w:val="left" w:pos="851"/>
        </w:tabs>
        <w:ind w:left="851"/>
        <w:rPr>
          <w:sz w:val="24"/>
          <w:szCs w:val="24"/>
        </w:rPr>
      </w:pPr>
    </w:p>
    <w:p w:rsidR="00CE73B4" w:rsidRPr="00CE73B4" w:rsidRDefault="00CE73B4" w:rsidP="00CE73B4">
      <w:pPr>
        <w:tabs>
          <w:tab w:val="left" w:pos="851"/>
        </w:tabs>
        <w:ind w:left="851"/>
        <w:rPr>
          <w:bCs/>
          <w:sz w:val="24"/>
          <w:szCs w:val="24"/>
          <w:u w:val="single"/>
        </w:rPr>
      </w:pPr>
      <w:r w:rsidRPr="00CE73B4">
        <w:rPr>
          <w:bCs/>
          <w:sz w:val="24"/>
          <w:szCs w:val="24"/>
          <w:u w:val="single"/>
        </w:rPr>
        <w:lastRenderedPageBreak/>
        <w:t>RUSSLAN</w:t>
      </w:r>
    </w:p>
    <w:p w:rsidR="00CE73B4" w:rsidRPr="00CE73B4" w:rsidRDefault="00CE73B4" w:rsidP="00CE73B4">
      <w:pPr>
        <w:tabs>
          <w:tab w:val="left" w:pos="851"/>
        </w:tabs>
        <w:ind w:left="851"/>
        <w:rPr>
          <w:sz w:val="24"/>
          <w:szCs w:val="24"/>
        </w:rPr>
      </w:pPr>
      <w:r w:rsidRPr="00CE73B4">
        <w:rPr>
          <w:sz w:val="24"/>
          <w:szCs w:val="24"/>
        </w:rPr>
        <w:t>I et yderligere dobbeltblindt multicenter-studie, som blev gennemført primært for at vurdere sikkerheden, blev 504 patienter med dekompenseret hjertesvigt efter akut myokardieinfarkt, som blev vurderet til at have behov for inotrop støtte, behandlet med levosimendan eller placebo i 6 timer. Der var ingen signifikante forskelle på forekomsten af hypotension og iskæmi mellem behandlingsgrupperne. Ingen negativ virkning på overlevelsen blev observeret i op til 6 måneder ved en retrospektiv analyse af LIDO- og RUSSLAN-studierne.</w:t>
      </w:r>
    </w:p>
    <w:p w:rsidR="00CE73B4" w:rsidRPr="00CE73B4" w:rsidRDefault="00CE73B4" w:rsidP="00CE73B4">
      <w:pPr>
        <w:tabs>
          <w:tab w:val="left" w:pos="851"/>
        </w:tabs>
        <w:ind w:left="851"/>
        <w:rPr>
          <w:sz w:val="24"/>
          <w:szCs w:val="24"/>
        </w:rPr>
      </w:pPr>
    </w:p>
    <w:p w:rsidR="00CE73B4" w:rsidRPr="00CE73B4" w:rsidRDefault="00CE73B4" w:rsidP="00CE73B4">
      <w:pPr>
        <w:tabs>
          <w:tab w:val="left" w:pos="851"/>
        </w:tabs>
        <w:ind w:left="851"/>
        <w:rPr>
          <w:sz w:val="24"/>
          <w:szCs w:val="24"/>
          <w:u w:val="single"/>
        </w:rPr>
      </w:pPr>
      <w:r w:rsidRPr="00CE73B4">
        <w:rPr>
          <w:sz w:val="24"/>
          <w:szCs w:val="24"/>
          <w:u w:val="single"/>
        </w:rPr>
        <w:t>Kliniske studier i hjertekirurgi</w:t>
      </w:r>
    </w:p>
    <w:p w:rsidR="00CE73B4" w:rsidRPr="00CE73B4" w:rsidRDefault="00CE73B4" w:rsidP="00CE73B4">
      <w:pPr>
        <w:tabs>
          <w:tab w:val="left" w:pos="851"/>
        </w:tabs>
        <w:ind w:left="851"/>
        <w:rPr>
          <w:sz w:val="24"/>
          <w:szCs w:val="24"/>
        </w:rPr>
      </w:pPr>
      <w:r w:rsidRPr="00CE73B4">
        <w:rPr>
          <w:sz w:val="24"/>
          <w:szCs w:val="24"/>
        </w:rPr>
        <w:t xml:space="preserve">To af de største placebo-kontrollerede studier er præsenteret nedenfor. </w:t>
      </w:r>
    </w:p>
    <w:p w:rsidR="00CE73B4" w:rsidRPr="00CE73B4" w:rsidRDefault="00CE73B4" w:rsidP="00CE73B4">
      <w:pPr>
        <w:tabs>
          <w:tab w:val="left" w:pos="851"/>
        </w:tabs>
        <w:ind w:left="851"/>
        <w:rPr>
          <w:sz w:val="24"/>
          <w:szCs w:val="24"/>
        </w:rPr>
      </w:pPr>
    </w:p>
    <w:p w:rsidR="00CE73B4" w:rsidRPr="00CE73B4" w:rsidRDefault="00CE73B4" w:rsidP="00CE73B4">
      <w:pPr>
        <w:tabs>
          <w:tab w:val="left" w:pos="851"/>
        </w:tabs>
        <w:ind w:left="851"/>
        <w:rPr>
          <w:sz w:val="24"/>
          <w:szCs w:val="24"/>
        </w:rPr>
      </w:pPr>
      <w:r w:rsidRPr="00CE73B4">
        <w:rPr>
          <w:sz w:val="24"/>
          <w:szCs w:val="24"/>
        </w:rPr>
        <w:t>LEVO-CTS</w:t>
      </w:r>
    </w:p>
    <w:p w:rsidR="00CE73B4" w:rsidRPr="00CE73B4" w:rsidRDefault="00CE73B4" w:rsidP="00CE73B4">
      <w:pPr>
        <w:tabs>
          <w:tab w:val="left" w:pos="851"/>
        </w:tabs>
        <w:ind w:left="851"/>
        <w:rPr>
          <w:sz w:val="24"/>
          <w:szCs w:val="24"/>
        </w:rPr>
      </w:pPr>
      <w:r w:rsidRPr="00CE73B4">
        <w:rPr>
          <w:sz w:val="24"/>
          <w:szCs w:val="24"/>
        </w:rPr>
        <w:t>I et dobbeltblindt, placebokontrolleret studie med 882 patienter, der gennemgik hjertekirurgi, blev levosimendan (0,2 μg/kg/min i 60 minutter, efterfulgt af 0,1 μg/kg/min i  23 timer) startet ved induktion af anæstesi til patienter med præoperativ venstre ventrikels uddrivningsfraktion mindre end eller lig med 35</w:t>
      </w:r>
      <w:r w:rsidR="00E417D4">
        <w:rPr>
          <w:sz w:val="24"/>
          <w:szCs w:val="24"/>
        </w:rPr>
        <w:t xml:space="preserve"> %</w:t>
      </w:r>
      <w:r w:rsidRPr="00CE73B4">
        <w:rPr>
          <w:sz w:val="24"/>
          <w:szCs w:val="24"/>
        </w:rPr>
        <w:t>. Studiet opfyldte ikke de kombinerede primære endepunkter. Det primære endepunkt med fire komponenter (død til dag 30, nyreerstatningsterapi til dag 30, perioperativ myokardieinfarkt til dag 5, eller brug af mekanisk hjerteassisterende udstyr til dag 5) forekom hos 24,5</w:t>
      </w:r>
      <w:r w:rsidR="00E417D4">
        <w:rPr>
          <w:sz w:val="24"/>
          <w:szCs w:val="24"/>
        </w:rPr>
        <w:t xml:space="preserve"> %</w:t>
      </w:r>
      <w:r w:rsidRPr="00CE73B4">
        <w:rPr>
          <w:sz w:val="24"/>
          <w:szCs w:val="24"/>
        </w:rPr>
        <w:t xml:space="preserve"> i levosimendan gruppen og hos 24,5</w:t>
      </w:r>
      <w:r w:rsidR="00E417D4">
        <w:rPr>
          <w:sz w:val="24"/>
          <w:szCs w:val="24"/>
        </w:rPr>
        <w:t xml:space="preserve"> %</w:t>
      </w:r>
      <w:r w:rsidRPr="00CE73B4">
        <w:rPr>
          <w:sz w:val="24"/>
          <w:szCs w:val="24"/>
        </w:rPr>
        <w:t xml:space="preserve"> i placebogruppen (justeret OR, 1,00; 99</w:t>
      </w:r>
      <w:r w:rsidR="00E417D4">
        <w:rPr>
          <w:sz w:val="24"/>
          <w:szCs w:val="24"/>
        </w:rPr>
        <w:t xml:space="preserve"> %</w:t>
      </w:r>
      <w:r w:rsidRPr="00CE73B4">
        <w:rPr>
          <w:sz w:val="24"/>
          <w:szCs w:val="24"/>
        </w:rPr>
        <w:t xml:space="preserve"> CI, 0,66 til 1,54). Det primære endepunkt med to komponenter (død til dag 30 eller brug af mekanisk hjerteassisterende udstyr til dag 5) forekom hos 13,1</w:t>
      </w:r>
      <w:r w:rsidR="00E417D4">
        <w:rPr>
          <w:sz w:val="24"/>
          <w:szCs w:val="24"/>
        </w:rPr>
        <w:t xml:space="preserve"> %</w:t>
      </w:r>
      <w:r w:rsidRPr="00CE73B4">
        <w:rPr>
          <w:sz w:val="24"/>
          <w:szCs w:val="24"/>
        </w:rPr>
        <w:t xml:space="preserve"> i levosimendan gruppen og hos 11,4</w:t>
      </w:r>
      <w:r w:rsidR="00E417D4">
        <w:rPr>
          <w:sz w:val="24"/>
          <w:szCs w:val="24"/>
        </w:rPr>
        <w:t xml:space="preserve"> %</w:t>
      </w:r>
      <w:r w:rsidRPr="00CE73B4">
        <w:rPr>
          <w:sz w:val="24"/>
          <w:szCs w:val="24"/>
        </w:rPr>
        <w:t xml:space="preserve"> i placebogruppen (justeret OR, 1,18; 96</w:t>
      </w:r>
      <w:r w:rsidR="00E417D4">
        <w:rPr>
          <w:sz w:val="24"/>
          <w:szCs w:val="24"/>
        </w:rPr>
        <w:t xml:space="preserve"> %</w:t>
      </w:r>
      <w:r w:rsidRPr="00CE73B4">
        <w:rPr>
          <w:sz w:val="24"/>
          <w:szCs w:val="24"/>
        </w:rPr>
        <w:t xml:space="preserve"> CI, 0,76 til 1,82). På dag 90 havde død forekommet hos 4,7</w:t>
      </w:r>
      <w:r w:rsidR="00E417D4">
        <w:rPr>
          <w:sz w:val="24"/>
          <w:szCs w:val="24"/>
        </w:rPr>
        <w:t xml:space="preserve"> %</w:t>
      </w:r>
      <w:r w:rsidRPr="00CE73B4">
        <w:rPr>
          <w:sz w:val="24"/>
          <w:szCs w:val="24"/>
        </w:rPr>
        <w:t xml:space="preserve"> af patienterne i levosimendan gruppen og hos 7,1</w:t>
      </w:r>
      <w:r w:rsidR="00E417D4">
        <w:rPr>
          <w:sz w:val="24"/>
          <w:szCs w:val="24"/>
        </w:rPr>
        <w:t xml:space="preserve"> %</w:t>
      </w:r>
      <w:r w:rsidRPr="00CE73B4">
        <w:rPr>
          <w:sz w:val="24"/>
          <w:szCs w:val="24"/>
        </w:rPr>
        <w:t xml:space="preserve"> i placebogruppen (ikke justeret hazard ratio, 064; 95</w:t>
      </w:r>
      <w:r w:rsidR="00E417D4">
        <w:rPr>
          <w:sz w:val="24"/>
          <w:szCs w:val="24"/>
        </w:rPr>
        <w:t xml:space="preserve"> %</w:t>
      </w:r>
      <w:r w:rsidRPr="00CE73B4">
        <w:rPr>
          <w:sz w:val="24"/>
          <w:szCs w:val="24"/>
        </w:rPr>
        <w:t xml:space="preserve"> CI, 037 til 1,13). Hypotension var set hos 36</w:t>
      </w:r>
      <w:r w:rsidR="00E417D4">
        <w:rPr>
          <w:sz w:val="24"/>
          <w:szCs w:val="24"/>
        </w:rPr>
        <w:t xml:space="preserve"> %</w:t>
      </w:r>
      <w:r w:rsidRPr="00CE73B4">
        <w:rPr>
          <w:sz w:val="24"/>
          <w:szCs w:val="24"/>
        </w:rPr>
        <w:t xml:space="preserve"> i levosimendan gruppen og hos 33</w:t>
      </w:r>
      <w:r w:rsidR="00E417D4">
        <w:rPr>
          <w:sz w:val="24"/>
          <w:szCs w:val="24"/>
        </w:rPr>
        <w:t xml:space="preserve"> %</w:t>
      </w:r>
      <w:r w:rsidRPr="00CE73B4">
        <w:rPr>
          <w:sz w:val="24"/>
          <w:szCs w:val="24"/>
        </w:rPr>
        <w:t xml:space="preserve"> i placebogruppen. Atrieflimren var set hos 38</w:t>
      </w:r>
      <w:r w:rsidR="00E417D4">
        <w:rPr>
          <w:sz w:val="24"/>
          <w:szCs w:val="24"/>
        </w:rPr>
        <w:t xml:space="preserve"> %</w:t>
      </w:r>
      <w:r w:rsidRPr="00CE73B4">
        <w:rPr>
          <w:sz w:val="24"/>
          <w:szCs w:val="24"/>
        </w:rPr>
        <w:t xml:space="preserve"> i levosimendan gruppen og hos 33</w:t>
      </w:r>
      <w:r w:rsidR="00E417D4">
        <w:rPr>
          <w:sz w:val="24"/>
          <w:szCs w:val="24"/>
        </w:rPr>
        <w:t xml:space="preserve"> %</w:t>
      </w:r>
      <w:r w:rsidRPr="00CE73B4">
        <w:rPr>
          <w:sz w:val="24"/>
          <w:szCs w:val="24"/>
        </w:rPr>
        <w:t xml:space="preserve"> i placebogruppen. </w:t>
      </w:r>
    </w:p>
    <w:p w:rsidR="00CE73B4" w:rsidRPr="00CE73B4" w:rsidRDefault="00CE73B4" w:rsidP="00CE73B4">
      <w:pPr>
        <w:tabs>
          <w:tab w:val="left" w:pos="851"/>
        </w:tabs>
        <w:ind w:left="851"/>
        <w:rPr>
          <w:sz w:val="24"/>
          <w:szCs w:val="24"/>
        </w:rPr>
      </w:pPr>
    </w:p>
    <w:p w:rsidR="00CE73B4" w:rsidRPr="00CE73B4" w:rsidRDefault="00CE73B4" w:rsidP="00CE73B4">
      <w:pPr>
        <w:tabs>
          <w:tab w:val="left" w:pos="851"/>
        </w:tabs>
        <w:ind w:left="851"/>
        <w:rPr>
          <w:sz w:val="24"/>
          <w:szCs w:val="24"/>
        </w:rPr>
      </w:pPr>
      <w:r w:rsidRPr="00CE73B4">
        <w:rPr>
          <w:sz w:val="24"/>
          <w:szCs w:val="24"/>
        </w:rPr>
        <w:t>LICORN</w:t>
      </w:r>
    </w:p>
    <w:p w:rsidR="00CE73B4" w:rsidRPr="00CE73B4" w:rsidRDefault="00CE73B4" w:rsidP="00CE73B4">
      <w:pPr>
        <w:tabs>
          <w:tab w:val="left" w:pos="851"/>
        </w:tabs>
        <w:ind w:left="851"/>
        <w:rPr>
          <w:sz w:val="24"/>
          <w:szCs w:val="24"/>
        </w:rPr>
      </w:pPr>
      <w:r w:rsidRPr="00CE73B4">
        <w:rPr>
          <w:sz w:val="24"/>
          <w:szCs w:val="24"/>
        </w:rPr>
        <w:t>En investigator-initieret multicenter, randomiseret, placebokontrolleret, dobbeltblindet klinisk studie inkluderende 336 voksne patienter med LVEF≤40</w:t>
      </w:r>
      <w:r w:rsidR="00E417D4">
        <w:rPr>
          <w:sz w:val="24"/>
          <w:szCs w:val="24"/>
        </w:rPr>
        <w:t xml:space="preserve"> %</w:t>
      </w:r>
      <w:r w:rsidRPr="00CE73B4">
        <w:rPr>
          <w:sz w:val="24"/>
          <w:szCs w:val="24"/>
        </w:rPr>
        <w:t xml:space="preserve"> planlagt til at gennemgå </w:t>
      </w:r>
    </w:p>
    <w:p w:rsidR="00CE73B4" w:rsidRPr="00CE73B4" w:rsidRDefault="00CE73B4" w:rsidP="00CE73B4">
      <w:pPr>
        <w:tabs>
          <w:tab w:val="left" w:pos="851"/>
        </w:tabs>
        <w:ind w:left="851"/>
        <w:rPr>
          <w:sz w:val="24"/>
          <w:szCs w:val="24"/>
        </w:rPr>
      </w:pPr>
      <w:r w:rsidRPr="00CE73B4">
        <w:rPr>
          <w:sz w:val="24"/>
          <w:szCs w:val="24"/>
        </w:rPr>
        <w:t>koronaraterie bypass graft (med eller uden ventilkirurgi). Levosimendan infusion 0,1 μg/kg/min, uden loading dosis, blev givet 24 timer efter induktion af anæstesi. Det primære resultat var en kombination af katekolamininfusion, der varede ud over 48 timer, behovet for mekanisk kredsløbsassisterende udstyr i den postoperative periode eller behovet for nyreerstatningsterapi. Det primære endepunkt forekom hos 52</w:t>
      </w:r>
      <w:r w:rsidR="00E417D4">
        <w:rPr>
          <w:sz w:val="24"/>
          <w:szCs w:val="24"/>
        </w:rPr>
        <w:t xml:space="preserve"> %</w:t>
      </w:r>
      <w:r w:rsidRPr="00CE73B4">
        <w:rPr>
          <w:sz w:val="24"/>
          <w:szCs w:val="24"/>
        </w:rPr>
        <w:t xml:space="preserve"> af levosimendan patienterne og hos 61</w:t>
      </w:r>
      <w:r w:rsidR="00E417D4">
        <w:rPr>
          <w:sz w:val="24"/>
          <w:szCs w:val="24"/>
        </w:rPr>
        <w:t xml:space="preserve"> %</w:t>
      </w:r>
      <w:r w:rsidRPr="00CE73B4">
        <w:rPr>
          <w:sz w:val="24"/>
          <w:szCs w:val="24"/>
        </w:rPr>
        <w:t xml:space="preserve"> af placebo patienterne (absolut risikoforskel, -7</w:t>
      </w:r>
      <w:r w:rsidR="00E417D4">
        <w:rPr>
          <w:sz w:val="24"/>
          <w:szCs w:val="24"/>
        </w:rPr>
        <w:t xml:space="preserve"> %</w:t>
      </w:r>
      <w:r w:rsidRPr="00CE73B4">
        <w:rPr>
          <w:sz w:val="24"/>
          <w:szCs w:val="24"/>
        </w:rPr>
        <w:t>; 95</w:t>
      </w:r>
      <w:r w:rsidR="00E417D4">
        <w:rPr>
          <w:sz w:val="24"/>
          <w:szCs w:val="24"/>
        </w:rPr>
        <w:t xml:space="preserve"> %</w:t>
      </w:r>
      <w:r w:rsidRPr="00CE73B4">
        <w:rPr>
          <w:sz w:val="24"/>
          <w:szCs w:val="24"/>
        </w:rPr>
        <w:t xml:space="preserve"> CI, -17</w:t>
      </w:r>
      <w:r w:rsidR="00E417D4">
        <w:rPr>
          <w:sz w:val="24"/>
          <w:szCs w:val="24"/>
        </w:rPr>
        <w:t xml:space="preserve"> %</w:t>
      </w:r>
      <w:r w:rsidRPr="00CE73B4">
        <w:rPr>
          <w:sz w:val="24"/>
          <w:szCs w:val="24"/>
        </w:rPr>
        <w:t xml:space="preserve"> til 3</w:t>
      </w:r>
      <w:r w:rsidR="00E417D4">
        <w:rPr>
          <w:sz w:val="24"/>
          <w:szCs w:val="24"/>
        </w:rPr>
        <w:t xml:space="preserve"> %</w:t>
      </w:r>
      <w:r w:rsidRPr="00CE73B4">
        <w:rPr>
          <w:sz w:val="24"/>
          <w:szCs w:val="24"/>
        </w:rPr>
        <w:t>). Den estimerede 10</w:t>
      </w:r>
      <w:r w:rsidR="00E417D4">
        <w:rPr>
          <w:sz w:val="24"/>
          <w:szCs w:val="24"/>
        </w:rPr>
        <w:t xml:space="preserve"> %</w:t>
      </w:r>
      <w:r w:rsidRPr="00CE73B4">
        <w:rPr>
          <w:sz w:val="24"/>
          <w:szCs w:val="24"/>
        </w:rPr>
        <w:t xml:space="preserve"> risikoreduktion var hovedsageligt relateret til behovet for katekolamin infusion i 48 timer. </w:t>
      </w:r>
    </w:p>
    <w:p w:rsidR="00CE73B4" w:rsidRPr="00CE73B4" w:rsidRDefault="00CE73B4" w:rsidP="00CE73B4">
      <w:pPr>
        <w:tabs>
          <w:tab w:val="left" w:pos="851"/>
        </w:tabs>
        <w:ind w:left="851"/>
        <w:rPr>
          <w:sz w:val="24"/>
          <w:szCs w:val="24"/>
        </w:rPr>
      </w:pPr>
      <w:r w:rsidRPr="00CE73B4">
        <w:rPr>
          <w:sz w:val="24"/>
          <w:szCs w:val="24"/>
        </w:rPr>
        <w:t>Mortalitet i 180 dage var 8</w:t>
      </w:r>
      <w:r w:rsidR="00E417D4">
        <w:rPr>
          <w:sz w:val="24"/>
          <w:szCs w:val="24"/>
        </w:rPr>
        <w:t xml:space="preserve"> %</w:t>
      </w:r>
      <w:r w:rsidRPr="00CE73B4">
        <w:rPr>
          <w:sz w:val="24"/>
          <w:szCs w:val="24"/>
        </w:rPr>
        <w:t xml:space="preserve"> i levosimendan gruppen og 10</w:t>
      </w:r>
      <w:r w:rsidR="00E417D4">
        <w:rPr>
          <w:sz w:val="24"/>
          <w:szCs w:val="24"/>
        </w:rPr>
        <w:t xml:space="preserve"> %</w:t>
      </w:r>
      <w:r w:rsidRPr="00CE73B4">
        <w:rPr>
          <w:sz w:val="24"/>
          <w:szCs w:val="24"/>
        </w:rPr>
        <w:t xml:space="preserve"> i placebogruppen. Hypotension var set hos 57</w:t>
      </w:r>
      <w:r w:rsidR="00E417D4">
        <w:rPr>
          <w:sz w:val="24"/>
          <w:szCs w:val="24"/>
        </w:rPr>
        <w:t xml:space="preserve"> %</w:t>
      </w:r>
      <w:r w:rsidRPr="00CE73B4">
        <w:rPr>
          <w:sz w:val="24"/>
          <w:szCs w:val="24"/>
        </w:rPr>
        <w:t xml:space="preserve"> i levosimendan gruppen og hos 48</w:t>
      </w:r>
      <w:r w:rsidR="00E417D4">
        <w:rPr>
          <w:sz w:val="24"/>
          <w:szCs w:val="24"/>
        </w:rPr>
        <w:t xml:space="preserve"> %</w:t>
      </w:r>
      <w:r w:rsidRPr="00CE73B4">
        <w:rPr>
          <w:sz w:val="24"/>
          <w:szCs w:val="24"/>
        </w:rPr>
        <w:t xml:space="preserve"> i placebogruppen. Atrieflimren var set hos 50</w:t>
      </w:r>
      <w:r w:rsidR="00E417D4">
        <w:rPr>
          <w:sz w:val="24"/>
          <w:szCs w:val="24"/>
        </w:rPr>
        <w:t xml:space="preserve"> %</w:t>
      </w:r>
      <w:r w:rsidRPr="00CE73B4">
        <w:rPr>
          <w:sz w:val="24"/>
          <w:szCs w:val="24"/>
        </w:rPr>
        <w:t xml:space="preserve"> i levosimendan gruppen og hos 40</w:t>
      </w:r>
      <w:r w:rsidR="00E417D4">
        <w:rPr>
          <w:sz w:val="24"/>
          <w:szCs w:val="24"/>
        </w:rPr>
        <w:t xml:space="preserve"> %</w:t>
      </w:r>
      <w:r w:rsidRPr="00CE73B4">
        <w:rPr>
          <w:sz w:val="24"/>
          <w:szCs w:val="24"/>
        </w:rPr>
        <w:t xml:space="preserve"> i placebogruppen.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273100" w:rsidRPr="00273100" w:rsidRDefault="00273100" w:rsidP="00273100">
      <w:pPr>
        <w:tabs>
          <w:tab w:val="left" w:pos="851"/>
        </w:tabs>
        <w:ind w:left="851"/>
        <w:rPr>
          <w:sz w:val="24"/>
          <w:szCs w:val="24"/>
        </w:rPr>
      </w:pPr>
      <w:r w:rsidRPr="00273100">
        <w:rPr>
          <w:sz w:val="24"/>
          <w:szCs w:val="24"/>
        </w:rPr>
        <w:tab/>
      </w:r>
    </w:p>
    <w:p w:rsidR="00273100" w:rsidRPr="00273100" w:rsidRDefault="00273100" w:rsidP="00273100">
      <w:pPr>
        <w:tabs>
          <w:tab w:val="left" w:pos="851"/>
        </w:tabs>
        <w:ind w:left="851"/>
        <w:rPr>
          <w:sz w:val="24"/>
          <w:szCs w:val="24"/>
          <w:u w:val="single"/>
        </w:rPr>
      </w:pPr>
      <w:r w:rsidRPr="00273100">
        <w:rPr>
          <w:sz w:val="24"/>
          <w:szCs w:val="24"/>
          <w:u w:val="single"/>
        </w:rPr>
        <w:t>Generelt</w:t>
      </w:r>
    </w:p>
    <w:p w:rsidR="00273100" w:rsidRPr="00273100" w:rsidRDefault="00273100" w:rsidP="00273100">
      <w:pPr>
        <w:tabs>
          <w:tab w:val="left" w:pos="851"/>
        </w:tabs>
        <w:ind w:left="851"/>
        <w:rPr>
          <w:sz w:val="24"/>
          <w:szCs w:val="24"/>
        </w:rPr>
      </w:pPr>
      <w:r w:rsidRPr="00273100">
        <w:rPr>
          <w:sz w:val="24"/>
          <w:szCs w:val="24"/>
        </w:rPr>
        <w:t xml:space="preserve">Levosimendans farmkokinetik er lineær i det terapeutiske doseringsområde 0,05-0,2 µg/kg/min. </w:t>
      </w:r>
      <w:r w:rsidRPr="00273100">
        <w:rPr>
          <w:sz w:val="24"/>
          <w:szCs w:val="24"/>
        </w:rPr>
        <w:tab/>
      </w:r>
    </w:p>
    <w:p w:rsidR="00273100" w:rsidRDefault="00273100">
      <w:pPr>
        <w:rPr>
          <w:sz w:val="24"/>
          <w:szCs w:val="24"/>
        </w:rPr>
      </w:pPr>
      <w:r>
        <w:rPr>
          <w:sz w:val="24"/>
          <w:szCs w:val="24"/>
        </w:rPr>
        <w:br w:type="page"/>
      </w:r>
    </w:p>
    <w:p w:rsidR="00273100" w:rsidRPr="00273100" w:rsidRDefault="00273100" w:rsidP="00273100">
      <w:pPr>
        <w:tabs>
          <w:tab w:val="left" w:pos="851"/>
        </w:tabs>
        <w:ind w:left="851"/>
        <w:rPr>
          <w:sz w:val="24"/>
          <w:szCs w:val="24"/>
        </w:rPr>
      </w:pPr>
    </w:p>
    <w:p w:rsidR="00273100" w:rsidRPr="00273100" w:rsidRDefault="00273100" w:rsidP="00273100">
      <w:pPr>
        <w:tabs>
          <w:tab w:val="left" w:pos="851"/>
        </w:tabs>
        <w:ind w:left="851"/>
        <w:rPr>
          <w:sz w:val="24"/>
          <w:szCs w:val="24"/>
          <w:u w:val="single"/>
        </w:rPr>
      </w:pPr>
      <w:r w:rsidRPr="00273100">
        <w:rPr>
          <w:sz w:val="24"/>
          <w:szCs w:val="24"/>
          <w:u w:val="single"/>
        </w:rPr>
        <w:t>Fordeling</w:t>
      </w:r>
    </w:p>
    <w:p w:rsidR="00273100" w:rsidRPr="00273100" w:rsidRDefault="00273100" w:rsidP="00273100">
      <w:pPr>
        <w:tabs>
          <w:tab w:val="left" w:pos="851"/>
        </w:tabs>
        <w:ind w:left="851"/>
        <w:rPr>
          <w:sz w:val="24"/>
          <w:szCs w:val="24"/>
        </w:rPr>
      </w:pPr>
      <w:r w:rsidRPr="00273100">
        <w:rPr>
          <w:sz w:val="24"/>
          <w:szCs w:val="24"/>
        </w:rPr>
        <w:t>Levosimendans fordelingsvolumen (Vss) er ca. 0,2 l/kg. 97-98</w:t>
      </w:r>
      <w:r w:rsidR="00E417D4">
        <w:rPr>
          <w:sz w:val="24"/>
          <w:szCs w:val="24"/>
        </w:rPr>
        <w:t xml:space="preserve"> %</w:t>
      </w:r>
      <w:r w:rsidRPr="00273100">
        <w:rPr>
          <w:sz w:val="24"/>
          <w:szCs w:val="24"/>
        </w:rPr>
        <w:t xml:space="preserve"> af levosimendan er bundet til plasmaproteiner, primært til albumin. For OR-1855 og OR-1896 var de gennemsnitlige værdier for proteinbindingen hos patienter henholdsvis 39</w:t>
      </w:r>
      <w:r w:rsidR="00E417D4">
        <w:rPr>
          <w:sz w:val="24"/>
          <w:szCs w:val="24"/>
        </w:rPr>
        <w:t xml:space="preserve"> %</w:t>
      </w:r>
      <w:r w:rsidRPr="00273100">
        <w:rPr>
          <w:sz w:val="24"/>
          <w:szCs w:val="24"/>
        </w:rPr>
        <w:t xml:space="preserve"> og 42</w:t>
      </w:r>
      <w:r w:rsidR="00E417D4">
        <w:rPr>
          <w:sz w:val="24"/>
          <w:szCs w:val="24"/>
        </w:rPr>
        <w:t xml:space="preserve"> %</w:t>
      </w:r>
      <w:r w:rsidRPr="00273100">
        <w:rPr>
          <w:sz w:val="24"/>
          <w:szCs w:val="24"/>
        </w:rPr>
        <w:t xml:space="preserve">. </w:t>
      </w:r>
    </w:p>
    <w:p w:rsidR="00273100" w:rsidRPr="00273100" w:rsidRDefault="00273100" w:rsidP="00273100">
      <w:pPr>
        <w:tabs>
          <w:tab w:val="left" w:pos="851"/>
        </w:tabs>
        <w:ind w:left="851"/>
        <w:rPr>
          <w:i/>
          <w:sz w:val="24"/>
          <w:szCs w:val="24"/>
          <w:u w:val="single"/>
        </w:rPr>
      </w:pPr>
    </w:p>
    <w:p w:rsidR="00273100" w:rsidRPr="00273100" w:rsidRDefault="00273100" w:rsidP="00273100">
      <w:pPr>
        <w:tabs>
          <w:tab w:val="left" w:pos="851"/>
        </w:tabs>
        <w:ind w:left="851"/>
        <w:rPr>
          <w:sz w:val="24"/>
          <w:szCs w:val="24"/>
          <w:u w:val="single"/>
        </w:rPr>
      </w:pPr>
      <w:r w:rsidRPr="00273100">
        <w:rPr>
          <w:sz w:val="24"/>
          <w:szCs w:val="24"/>
          <w:u w:val="single"/>
        </w:rPr>
        <w:t>Biotransformation</w:t>
      </w:r>
    </w:p>
    <w:p w:rsidR="00273100" w:rsidRPr="00273100" w:rsidRDefault="00273100" w:rsidP="00273100">
      <w:pPr>
        <w:tabs>
          <w:tab w:val="left" w:pos="851"/>
        </w:tabs>
        <w:ind w:left="851"/>
        <w:rPr>
          <w:sz w:val="24"/>
          <w:szCs w:val="24"/>
        </w:rPr>
      </w:pPr>
      <w:r w:rsidRPr="00273100">
        <w:rPr>
          <w:sz w:val="24"/>
          <w:szCs w:val="24"/>
        </w:rPr>
        <w:t>Levosimendan metaboliseres fuldstændigt, og ubetydelige mængder uændret/uomdannet modersubstans udskilles i urin og fæces. Levosimendan metaboliseres hovedsageligt ved konjugation til inaktiv cyklisk eller N-acetyleret cysteinylglycin og cysteinkonjugater. Omtrent 5</w:t>
      </w:r>
      <w:r w:rsidR="00E417D4">
        <w:rPr>
          <w:sz w:val="24"/>
          <w:szCs w:val="24"/>
        </w:rPr>
        <w:t xml:space="preserve"> %</w:t>
      </w:r>
      <w:r w:rsidRPr="00273100">
        <w:rPr>
          <w:sz w:val="24"/>
          <w:szCs w:val="24"/>
        </w:rPr>
        <w:t xml:space="preserve"> af levosimendandosis metaboliseres i tarmen ved reduktion til aktive metabolitter, aminophenylpyridazinon (OR-1855), som efter re-absorptionen metaboliseres af N-acetyltransferase til den aktive metabolit OR-1896. Acetyleringsgraden er genetisk bestemt. Hos patienter, som er hurtige acetylatorer, er koncentrationen af metabolitten OR-1896 lidt højere end hos patienter, som acetylerer langsomt. Dette har dog ingen betydning for den kliniske hæmodynamiske virkning ved anbefalede doser.</w:t>
      </w:r>
    </w:p>
    <w:p w:rsidR="00273100" w:rsidRPr="00273100" w:rsidRDefault="00273100" w:rsidP="00273100">
      <w:pPr>
        <w:tabs>
          <w:tab w:val="left" w:pos="851"/>
        </w:tabs>
        <w:ind w:left="851"/>
        <w:rPr>
          <w:sz w:val="24"/>
          <w:szCs w:val="24"/>
        </w:rPr>
      </w:pPr>
    </w:p>
    <w:p w:rsidR="00273100" w:rsidRPr="00273100" w:rsidRDefault="00273100" w:rsidP="00273100">
      <w:pPr>
        <w:tabs>
          <w:tab w:val="left" w:pos="851"/>
        </w:tabs>
        <w:ind w:left="851"/>
        <w:rPr>
          <w:sz w:val="24"/>
          <w:szCs w:val="24"/>
        </w:rPr>
      </w:pPr>
      <w:r w:rsidRPr="00273100">
        <w:rPr>
          <w:sz w:val="24"/>
          <w:szCs w:val="24"/>
        </w:rPr>
        <w:t>De eneste signifikante målbare metabolitter i systemisk cirkulation efter administration af levosimendan er OR-1855 og OR-1896. In-vivo opnår disse metabolitter lignende, som følge af metabolisk acetylering og de-acetylering, som er reguleret af N-acetyltransferase-2, en polymorfisk enzym. Blandt langsomme acetylatorer dominerer metabolitten OR-1855, mens blandt hurtige acetylatorer dominerer metabolitten OR-1896. Summen af eksponeringer for disse to metabolitter er tilsvarende blandt langsomme og hurtige acetylatorer, og der findes ingen forskelle i hæmodynamiske virkninger mellem disse to grupper. De forlængede hæmodynamiske virkninger (varer op til 7-9 dage efter en afsluttet 24 timers infusion med levosimendan) er attribueret til disse metabolitter.</w:t>
      </w:r>
    </w:p>
    <w:p w:rsidR="00273100" w:rsidRPr="00273100" w:rsidRDefault="00273100" w:rsidP="00273100">
      <w:pPr>
        <w:tabs>
          <w:tab w:val="left" w:pos="851"/>
        </w:tabs>
        <w:ind w:left="851"/>
        <w:rPr>
          <w:i/>
          <w:sz w:val="24"/>
          <w:szCs w:val="24"/>
        </w:rPr>
      </w:pPr>
    </w:p>
    <w:p w:rsidR="00273100" w:rsidRPr="00273100" w:rsidRDefault="00273100" w:rsidP="00273100">
      <w:pPr>
        <w:tabs>
          <w:tab w:val="left" w:pos="851"/>
        </w:tabs>
        <w:ind w:left="851"/>
        <w:rPr>
          <w:sz w:val="24"/>
          <w:szCs w:val="24"/>
        </w:rPr>
      </w:pPr>
      <w:r w:rsidRPr="00273100">
        <w:rPr>
          <w:i/>
          <w:sz w:val="24"/>
          <w:szCs w:val="24"/>
        </w:rPr>
        <w:t>In vitro-</w:t>
      </w:r>
      <w:r w:rsidRPr="00273100">
        <w:rPr>
          <w:sz w:val="24"/>
          <w:szCs w:val="24"/>
        </w:rPr>
        <w:t>studier har vist, at levosimendan, OR-1855 og OR-1896 ikke hæmmer CYP1A2, CYP2A6, CYP2B6, CYP2C19, CYP2D6, CYP2E1 eller CYP3A4 ved koncentrationer, som opnås efter anbefalet dosering. Derudover hæmmer levosimendan heller ikke CYP1A1, og hverken OR-1855 eller OR-1896 hæmmer CYP2C8 eller CYP2C9. Levosimendan har vist sig at være en hæmmer af CYP2C8 in vitro (se afsnit 4.5). Resultaterne fra humane interaktionsstudier med warfarin, felodipin og itraconazol bekræftede, at levosimendan ikke hæmmer CYP3A4 eller CYP2C9, og at metabolismen af levosimendan ikke er påvirket af CYP3A-hæmmere.</w:t>
      </w:r>
    </w:p>
    <w:p w:rsidR="00273100" w:rsidRPr="00273100" w:rsidRDefault="00273100" w:rsidP="00273100">
      <w:pPr>
        <w:tabs>
          <w:tab w:val="left" w:pos="851"/>
        </w:tabs>
        <w:ind w:left="851"/>
        <w:rPr>
          <w:sz w:val="24"/>
          <w:szCs w:val="24"/>
        </w:rPr>
      </w:pPr>
    </w:p>
    <w:p w:rsidR="00273100" w:rsidRPr="00273100" w:rsidRDefault="00273100" w:rsidP="00273100">
      <w:pPr>
        <w:tabs>
          <w:tab w:val="left" w:pos="851"/>
        </w:tabs>
        <w:ind w:left="851"/>
        <w:rPr>
          <w:sz w:val="24"/>
          <w:szCs w:val="24"/>
          <w:u w:val="single"/>
        </w:rPr>
      </w:pPr>
      <w:r w:rsidRPr="00273100">
        <w:rPr>
          <w:sz w:val="24"/>
          <w:szCs w:val="24"/>
          <w:u w:val="single"/>
        </w:rPr>
        <w:t xml:space="preserve">Elimination </w:t>
      </w:r>
    </w:p>
    <w:p w:rsidR="00273100" w:rsidRPr="00273100" w:rsidRDefault="00273100" w:rsidP="00273100">
      <w:pPr>
        <w:tabs>
          <w:tab w:val="left" w:pos="851"/>
        </w:tabs>
        <w:ind w:left="851"/>
        <w:rPr>
          <w:sz w:val="24"/>
          <w:szCs w:val="24"/>
        </w:rPr>
      </w:pPr>
      <w:r w:rsidRPr="00273100">
        <w:rPr>
          <w:sz w:val="24"/>
          <w:szCs w:val="24"/>
        </w:rPr>
        <w:t>Clearance er ca. 3,0 ml/min/kg, og halveringstiden er ca. 1 time. 54</w:t>
      </w:r>
      <w:r w:rsidR="00E417D4">
        <w:rPr>
          <w:sz w:val="24"/>
          <w:szCs w:val="24"/>
        </w:rPr>
        <w:t xml:space="preserve"> %</w:t>
      </w:r>
      <w:r w:rsidRPr="00273100">
        <w:rPr>
          <w:sz w:val="24"/>
          <w:szCs w:val="24"/>
        </w:rPr>
        <w:t xml:space="preserve"> af levosimendandosis udskilles i urin og 44</w:t>
      </w:r>
      <w:r w:rsidR="00E417D4">
        <w:rPr>
          <w:sz w:val="24"/>
          <w:szCs w:val="24"/>
        </w:rPr>
        <w:t xml:space="preserve"> %</w:t>
      </w:r>
      <w:r w:rsidRPr="00273100">
        <w:rPr>
          <w:sz w:val="24"/>
          <w:szCs w:val="24"/>
        </w:rPr>
        <w:t xml:space="preserve"> i fæces. Mere end 95</w:t>
      </w:r>
      <w:r w:rsidR="00E417D4">
        <w:rPr>
          <w:sz w:val="24"/>
          <w:szCs w:val="24"/>
        </w:rPr>
        <w:t xml:space="preserve"> %</w:t>
      </w:r>
      <w:r w:rsidRPr="00273100">
        <w:rPr>
          <w:sz w:val="24"/>
          <w:szCs w:val="24"/>
        </w:rPr>
        <w:t xml:space="preserve"> af dosis udskilles i løbet af en uge. Ubetydelige mængder (&lt;0,05</w:t>
      </w:r>
      <w:r w:rsidR="00E417D4">
        <w:rPr>
          <w:sz w:val="24"/>
          <w:szCs w:val="24"/>
        </w:rPr>
        <w:t xml:space="preserve"> %</w:t>
      </w:r>
      <w:r w:rsidRPr="00273100">
        <w:rPr>
          <w:sz w:val="24"/>
          <w:szCs w:val="24"/>
        </w:rPr>
        <w:t xml:space="preserve"> af dosis) udskilles som uændret levosimendan i urinen. De cirkulerende metabolitter OR-1855 og OR-1896 (cirka 5</w:t>
      </w:r>
      <w:r w:rsidR="00E417D4">
        <w:rPr>
          <w:sz w:val="24"/>
          <w:szCs w:val="24"/>
        </w:rPr>
        <w:t xml:space="preserve"> %</w:t>
      </w:r>
      <w:r w:rsidRPr="00273100">
        <w:rPr>
          <w:sz w:val="24"/>
          <w:szCs w:val="24"/>
        </w:rPr>
        <w:t xml:space="preserve"> af levosimendandosis), dannes og elimineres langsomt. Maksimal plasmakoncentration af de aktive metabolitter OR-1855 og OR-1896 (cirka 5</w:t>
      </w:r>
      <w:r w:rsidR="00E417D4">
        <w:rPr>
          <w:sz w:val="24"/>
          <w:szCs w:val="24"/>
        </w:rPr>
        <w:t xml:space="preserve"> %</w:t>
      </w:r>
      <w:r w:rsidRPr="00273100">
        <w:rPr>
          <w:sz w:val="24"/>
          <w:szCs w:val="24"/>
        </w:rPr>
        <w:t xml:space="preserve"> af levosimendandosis), opnås ca. 2 dage efter afsluttet infusion med levosimendan. Halveringstiden for metabolitterne er ca. 75-80 timer. OR-1855 og OR-1896, gennemgår konjugation eller renal filtrering, og udskilles hovedsageligt via urin.</w:t>
      </w:r>
    </w:p>
    <w:p w:rsidR="00273100" w:rsidRPr="00273100" w:rsidRDefault="00273100" w:rsidP="00273100">
      <w:pPr>
        <w:tabs>
          <w:tab w:val="left" w:pos="851"/>
        </w:tabs>
        <w:ind w:left="851"/>
        <w:rPr>
          <w:sz w:val="24"/>
          <w:szCs w:val="24"/>
        </w:rPr>
      </w:pPr>
    </w:p>
    <w:p w:rsidR="00273100" w:rsidRPr="00273100" w:rsidRDefault="00273100" w:rsidP="00273100">
      <w:pPr>
        <w:tabs>
          <w:tab w:val="left" w:pos="851"/>
        </w:tabs>
        <w:ind w:left="851"/>
        <w:rPr>
          <w:sz w:val="24"/>
          <w:szCs w:val="24"/>
          <w:u w:val="single"/>
        </w:rPr>
      </w:pPr>
      <w:r w:rsidRPr="00273100">
        <w:rPr>
          <w:sz w:val="24"/>
          <w:szCs w:val="24"/>
          <w:u w:val="single"/>
        </w:rPr>
        <w:t>Særlige populationer</w:t>
      </w:r>
    </w:p>
    <w:p w:rsidR="00273100" w:rsidRPr="00273100" w:rsidRDefault="00273100" w:rsidP="00273100">
      <w:pPr>
        <w:tabs>
          <w:tab w:val="left" w:pos="851"/>
        </w:tabs>
        <w:ind w:left="851"/>
        <w:rPr>
          <w:i/>
          <w:sz w:val="24"/>
          <w:szCs w:val="24"/>
        </w:rPr>
      </w:pPr>
    </w:p>
    <w:p w:rsidR="00273100" w:rsidRPr="00273100" w:rsidRDefault="00273100" w:rsidP="00273100">
      <w:pPr>
        <w:tabs>
          <w:tab w:val="left" w:pos="851"/>
        </w:tabs>
        <w:ind w:left="851"/>
        <w:rPr>
          <w:i/>
          <w:sz w:val="24"/>
          <w:szCs w:val="24"/>
        </w:rPr>
      </w:pPr>
      <w:r w:rsidRPr="00273100">
        <w:rPr>
          <w:i/>
          <w:sz w:val="24"/>
          <w:szCs w:val="24"/>
        </w:rPr>
        <w:t>Pædiatrisk population</w:t>
      </w:r>
    </w:p>
    <w:p w:rsidR="00273100" w:rsidRPr="00273100" w:rsidRDefault="00273100" w:rsidP="00273100">
      <w:pPr>
        <w:tabs>
          <w:tab w:val="left" w:pos="851"/>
        </w:tabs>
        <w:ind w:left="851"/>
        <w:rPr>
          <w:sz w:val="24"/>
          <w:szCs w:val="24"/>
        </w:rPr>
      </w:pPr>
      <w:r w:rsidRPr="00273100">
        <w:rPr>
          <w:sz w:val="24"/>
          <w:szCs w:val="24"/>
        </w:rPr>
        <w:t xml:space="preserve">Levosimendan bør ikke administreres til pædiatriske patienter (se pkt. 4.4). </w:t>
      </w:r>
    </w:p>
    <w:p w:rsidR="00273100" w:rsidRPr="00273100" w:rsidRDefault="00273100" w:rsidP="00273100">
      <w:pPr>
        <w:tabs>
          <w:tab w:val="left" w:pos="851"/>
        </w:tabs>
        <w:ind w:left="851"/>
        <w:rPr>
          <w:sz w:val="24"/>
          <w:szCs w:val="24"/>
        </w:rPr>
      </w:pPr>
    </w:p>
    <w:p w:rsidR="00273100" w:rsidRPr="00273100" w:rsidRDefault="00273100" w:rsidP="00273100">
      <w:pPr>
        <w:tabs>
          <w:tab w:val="left" w:pos="851"/>
        </w:tabs>
        <w:ind w:left="851"/>
        <w:rPr>
          <w:sz w:val="24"/>
          <w:szCs w:val="24"/>
        </w:rPr>
      </w:pPr>
      <w:r w:rsidRPr="00273100">
        <w:rPr>
          <w:sz w:val="24"/>
          <w:szCs w:val="24"/>
        </w:rPr>
        <w:t>Begrænsede data indikerer, at levosimendans farmakokinetik efter en enkelt dosis til børn (i alderen 3 måneder til 6 år) svarer til den for voksne. Farmakokinetikken for den aktive metabolit er ikke blevet undersøgt hos børn.</w:t>
      </w:r>
    </w:p>
    <w:p w:rsidR="00273100" w:rsidRPr="00273100" w:rsidRDefault="00273100" w:rsidP="00273100">
      <w:pPr>
        <w:tabs>
          <w:tab w:val="left" w:pos="851"/>
        </w:tabs>
        <w:ind w:left="851"/>
        <w:rPr>
          <w:sz w:val="24"/>
          <w:szCs w:val="24"/>
        </w:rPr>
      </w:pPr>
    </w:p>
    <w:p w:rsidR="00273100" w:rsidRPr="00273100" w:rsidRDefault="00273100" w:rsidP="00273100">
      <w:pPr>
        <w:tabs>
          <w:tab w:val="left" w:pos="851"/>
        </w:tabs>
        <w:ind w:left="851"/>
        <w:rPr>
          <w:i/>
          <w:iCs/>
          <w:sz w:val="24"/>
          <w:szCs w:val="24"/>
        </w:rPr>
      </w:pPr>
      <w:r w:rsidRPr="00273100">
        <w:rPr>
          <w:i/>
          <w:sz w:val="24"/>
          <w:szCs w:val="24"/>
        </w:rPr>
        <w:t>Nedsat nyrefunktion</w:t>
      </w:r>
    </w:p>
    <w:p w:rsidR="00273100" w:rsidRPr="00273100" w:rsidRDefault="00273100" w:rsidP="00273100">
      <w:pPr>
        <w:tabs>
          <w:tab w:val="left" w:pos="851"/>
        </w:tabs>
        <w:ind w:left="851"/>
        <w:rPr>
          <w:sz w:val="24"/>
          <w:szCs w:val="24"/>
        </w:rPr>
      </w:pPr>
      <w:r w:rsidRPr="00273100">
        <w:rPr>
          <w:sz w:val="24"/>
          <w:szCs w:val="24"/>
        </w:rPr>
        <w:t>Farmakokinetikken for levosimendan er blevet undersøgt hos patienter med varierende grad af nedsat nyrefunktion og uden hjertesvigt. Eksponeringen for levosimendan var tilsvarende hos patienter med let til moderat nedsat nyrefunktion og hos patienter, som gennemgår hæmodialyse mens eksponeringen for levosimendan kan være lidt lavere hos patienter med svært nedsat nyrefunktion.</w:t>
      </w:r>
    </w:p>
    <w:p w:rsidR="00273100" w:rsidRPr="00273100" w:rsidRDefault="00273100" w:rsidP="00273100">
      <w:pPr>
        <w:tabs>
          <w:tab w:val="left" w:pos="851"/>
        </w:tabs>
        <w:ind w:left="851"/>
        <w:rPr>
          <w:sz w:val="24"/>
          <w:szCs w:val="24"/>
        </w:rPr>
      </w:pPr>
    </w:p>
    <w:p w:rsidR="00273100" w:rsidRPr="00273100" w:rsidRDefault="00273100" w:rsidP="00273100">
      <w:pPr>
        <w:tabs>
          <w:tab w:val="left" w:pos="851"/>
        </w:tabs>
        <w:ind w:left="851"/>
        <w:rPr>
          <w:sz w:val="24"/>
          <w:szCs w:val="24"/>
        </w:rPr>
      </w:pPr>
      <w:r w:rsidRPr="00273100">
        <w:rPr>
          <w:sz w:val="24"/>
          <w:szCs w:val="24"/>
        </w:rPr>
        <w:t>Sammenlignet med raske frivillige viste den ikke-bundne del af levosimendan sig at være noget forhøjet, og metabolitternes (OR-1855 og OR-1896) AUC’ere var op til 170</w:t>
      </w:r>
      <w:r w:rsidR="00E417D4">
        <w:rPr>
          <w:sz w:val="24"/>
          <w:szCs w:val="24"/>
        </w:rPr>
        <w:t xml:space="preserve"> %</w:t>
      </w:r>
      <w:r w:rsidRPr="00273100">
        <w:rPr>
          <w:sz w:val="24"/>
          <w:szCs w:val="24"/>
        </w:rPr>
        <w:t xml:space="preserve"> højere hos patienter med svært nedsat nyrefunktion og patienter, som gennemgår hæmodialyse. Virkningerne af let til moderat nedsat nyrefunktion på farmakokinetikken for OR-1855 og OR-1896 forventes at være mindre end virkningerne af svært nedsat nyrefunktion.</w:t>
      </w:r>
    </w:p>
    <w:p w:rsidR="00273100" w:rsidRPr="00273100" w:rsidRDefault="00273100" w:rsidP="00273100">
      <w:pPr>
        <w:tabs>
          <w:tab w:val="left" w:pos="851"/>
        </w:tabs>
        <w:ind w:left="851"/>
        <w:rPr>
          <w:sz w:val="24"/>
          <w:szCs w:val="24"/>
        </w:rPr>
      </w:pPr>
    </w:p>
    <w:p w:rsidR="00273100" w:rsidRPr="00273100" w:rsidRDefault="00273100" w:rsidP="00273100">
      <w:pPr>
        <w:tabs>
          <w:tab w:val="left" w:pos="851"/>
        </w:tabs>
        <w:ind w:left="851"/>
        <w:rPr>
          <w:sz w:val="24"/>
          <w:szCs w:val="24"/>
        </w:rPr>
      </w:pPr>
      <w:r w:rsidRPr="00273100">
        <w:rPr>
          <w:sz w:val="24"/>
          <w:szCs w:val="24"/>
        </w:rPr>
        <w:t>Levosimendan er ikke dialysebar. Selv om OR-1855 og OR-1896 er dialysebare, er dialyse-clearance lave (ca. 8-23 ml/min) og den endelige virkning, efter en 4-timers dialyse på den totale eksponering for disse metabolitter, er lille.</w:t>
      </w:r>
    </w:p>
    <w:p w:rsidR="00273100" w:rsidRPr="00273100" w:rsidRDefault="00273100" w:rsidP="00273100">
      <w:pPr>
        <w:tabs>
          <w:tab w:val="left" w:pos="851"/>
        </w:tabs>
        <w:ind w:left="851"/>
        <w:rPr>
          <w:i/>
          <w:iCs/>
          <w:sz w:val="24"/>
          <w:szCs w:val="24"/>
        </w:rPr>
      </w:pPr>
    </w:p>
    <w:p w:rsidR="00273100" w:rsidRPr="00273100" w:rsidRDefault="00273100" w:rsidP="00273100">
      <w:pPr>
        <w:tabs>
          <w:tab w:val="left" w:pos="851"/>
        </w:tabs>
        <w:ind w:left="851"/>
        <w:rPr>
          <w:i/>
          <w:iCs/>
          <w:sz w:val="24"/>
          <w:szCs w:val="24"/>
        </w:rPr>
      </w:pPr>
      <w:r w:rsidRPr="00273100">
        <w:rPr>
          <w:i/>
          <w:iCs/>
          <w:sz w:val="24"/>
          <w:szCs w:val="24"/>
        </w:rPr>
        <w:t>Nedsat leverfunktion</w:t>
      </w:r>
    </w:p>
    <w:p w:rsidR="00273100" w:rsidRPr="00273100" w:rsidRDefault="00273100" w:rsidP="00273100">
      <w:pPr>
        <w:tabs>
          <w:tab w:val="left" w:pos="851"/>
        </w:tabs>
        <w:ind w:left="851"/>
        <w:rPr>
          <w:sz w:val="24"/>
          <w:szCs w:val="24"/>
        </w:rPr>
      </w:pPr>
      <w:r w:rsidRPr="00273100">
        <w:rPr>
          <w:sz w:val="24"/>
          <w:szCs w:val="24"/>
        </w:rPr>
        <w:t>Der er ikke fundet nogen forskelle i farmakokinetikken eller levosimendans proteinbinding hos patienter med let eller moderat cirrose versus raske frivillige. Levosimendans farmakokinetik, R-1855 og OR-1896 er tilsvarende mellem raske frivillige patienter og patienter med moderat nedsat leverfunktion (Child-Pugh Class B) med undtagelsen, at eliminationshalveringstiden for OR-1855 og OR-1896 er lidt længere hos patienter med moderat nedsat leverfunktion.</w:t>
      </w:r>
    </w:p>
    <w:p w:rsidR="00273100" w:rsidRPr="00273100" w:rsidRDefault="00273100" w:rsidP="00273100">
      <w:pPr>
        <w:tabs>
          <w:tab w:val="left" w:pos="851"/>
        </w:tabs>
        <w:ind w:left="851"/>
        <w:rPr>
          <w:sz w:val="24"/>
          <w:szCs w:val="24"/>
        </w:rPr>
      </w:pPr>
    </w:p>
    <w:p w:rsidR="00273100" w:rsidRPr="00273100" w:rsidRDefault="00273100" w:rsidP="00273100">
      <w:pPr>
        <w:tabs>
          <w:tab w:val="left" w:pos="851"/>
        </w:tabs>
        <w:ind w:left="851"/>
        <w:rPr>
          <w:sz w:val="24"/>
          <w:szCs w:val="24"/>
        </w:rPr>
      </w:pPr>
      <w:r w:rsidRPr="00273100">
        <w:rPr>
          <w:sz w:val="24"/>
          <w:szCs w:val="24"/>
        </w:rPr>
        <w:t>Populationsanalyser har vist, at alder, etnisk oprindelse eller køn ikke har nogen virkning på levosimendans farmakokinetik. De samme analyser har dog vist, at distributionsvolumen og den totale clearance er afhængig af kropsvægt.</w:t>
      </w:r>
    </w:p>
    <w:p w:rsidR="00273100" w:rsidRPr="00273100" w:rsidRDefault="00273100" w:rsidP="00273100">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t>Prækliniske sikkerhedsdata</w:t>
      </w:r>
    </w:p>
    <w:p w:rsidR="00025778" w:rsidRPr="00025778" w:rsidRDefault="00025778" w:rsidP="00025778">
      <w:pPr>
        <w:tabs>
          <w:tab w:val="left" w:pos="851"/>
        </w:tabs>
        <w:ind w:left="851"/>
        <w:rPr>
          <w:sz w:val="24"/>
          <w:szCs w:val="24"/>
        </w:rPr>
      </w:pPr>
      <w:r w:rsidRPr="00025778">
        <w:rPr>
          <w:sz w:val="24"/>
          <w:szCs w:val="24"/>
        </w:rPr>
        <w:t>Konventionelle studier af generel toksicitet og genotoksicitet viser ingen speciel risiko for mennesker ved korttidsbrug.</w:t>
      </w:r>
    </w:p>
    <w:p w:rsidR="00025778" w:rsidRPr="00025778" w:rsidRDefault="00025778" w:rsidP="00025778">
      <w:pPr>
        <w:tabs>
          <w:tab w:val="left" w:pos="851"/>
        </w:tabs>
        <w:ind w:left="851"/>
        <w:rPr>
          <w:sz w:val="24"/>
          <w:szCs w:val="24"/>
        </w:rPr>
      </w:pPr>
    </w:p>
    <w:p w:rsidR="00025778" w:rsidRPr="00025778" w:rsidRDefault="00025778" w:rsidP="00025778">
      <w:pPr>
        <w:tabs>
          <w:tab w:val="left" w:pos="851"/>
        </w:tabs>
        <w:ind w:left="851"/>
        <w:rPr>
          <w:sz w:val="24"/>
          <w:szCs w:val="24"/>
        </w:rPr>
      </w:pPr>
      <w:r w:rsidRPr="00025778">
        <w:rPr>
          <w:sz w:val="24"/>
          <w:szCs w:val="24"/>
        </w:rPr>
        <w:t>I dyrestudier var levosimendan ikke teratogent, men forårsagede en generel reduktion af ossifikationsgraden hos rotte- og kaninfostre med en unaturlig udvikling af supra-occipitalknoglen hos kaniner.</w:t>
      </w:r>
    </w:p>
    <w:p w:rsidR="00025778" w:rsidRPr="00025778" w:rsidRDefault="00025778" w:rsidP="00025778">
      <w:pPr>
        <w:tabs>
          <w:tab w:val="left" w:pos="851"/>
        </w:tabs>
        <w:ind w:left="851"/>
        <w:rPr>
          <w:sz w:val="24"/>
          <w:szCs w:val="24"/>
        </w:rPr>
      </w:pPr>
      <w:r w:rsidRPr="00025778">
        <w:rPr>
          <w:sz w:val="24"/>
          <w:szCs w:val="24"/>
        </w:rPr>
        <w:t>Hvis levosimendan administreres til hunrotter før og tidligt i drægtighedsperioden reduceres fertilitet (nedsat antal corpus lutea og implantationer) og der viser sig udviklingstoksicitet (reducerer antallet af unger pr. kuld samt øget antal tidlige resorptioner og postimplantationsafstødninger). Virkningerne blev observeret ved kliniske eksponeringskoncentrationer.</w:t>
      </w:r>
    </w:p>
    <w:p w:rsidR="00025778" w:rsidRPr="00025778" w:rsidRDefault="00025778" w:rsidP="00025778">
      <w:pPr>
        <w:tabs>
          <w:tab w:val="left" w:pos="851"/>
        </w:tabs>
        <w:ind w:left="851"/>
        <w:rPr>
          <w:sz w:val="24"/>
          <w:szCs w:val="24"/>
        </w:rPr>
      </w:pPr>
      <w:r w:rsidRPr="00025778">
        <w:rPr>
          <w:sz w:val="24"/>
          <w:szCs w:val="24"/>
        </w:rPr>
        <w:t>I dyrestudier blev levosimendan udskilt i modermælken.</w:t>
      </w:r>
    </w:p>
    <w:p w:rsidR="009260DE" w:rsidRPr="00C84483" w:rsidRDefault="009260DE" w:rsidP="009260DE">
      <w:pPr>
        <w:tabs>
          <w:tab w:val="left" w:pos="851"/>
        </w:tabs>
        <w:ind w:left="851"/>
        <w:rPr>
          <w:sz w:val="24"/>
          <w:szCs w:val="24"/>
        </w:rPr>
      </w:pPr>
    </w:p>
    <w:p w:rsidR="00CF7E5E" w:rsidRDefault="00CF7E5E">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A65132" w:rsidRPr="00A65132" w:rsidRDefault="00A65132" w:rsidP="00A65132">
      <w:pPr>
        <w:tabs>
          <w:tab w:val="left" w:pos="851"/>
        </w:tabs>
        <w:ind w:left="851"/>
        <w:rPr>
          <w:sz w:val="24"/>
          <w:szCs w:val="24"/>
        </w:rPr>
      </w:pPr>
      <w:r w:rsidRPr="00A65132">
        <w:rPr>
          <w:sz w:val="24"/>
          <w:szCs w:val="24"/>
        </w:rPr>
        <w:t xml:space="preserve">Povidon </w:t>
      </w:r>
    </w:p>
    <w:p w:rsidR="00A65132" w:rsidRPr="00A65132" w:rsidRDefault="00A65132" w:rsidP="00A65132">
      <w:pPr>
        <w:tabs>
          <w:tab w:val="left" w:pos="851"/>
        </w:tabs>
        <w:ind w:left="851"/>
        <w:rPr>
          <w:sz w:val="24"/>
          <w:szCs w:val="24"/>
        </w:rPr>
      </w:pPr>
      <w:r w:rsidRPr="00A65132">
        <w:rPr>
          <w:sz w:val="24"/>
          <w:szCs w:val="24"/>
        </w:rPr>
        <w:t>Citronsyre</w:t>
      </w:r>
    </w:p>
    <w:p w:rsidR="00A65132" w:rsidRPr="00A65132" w:rsidRDefault="00A65132" w:rsidP="00A65132">
      <w:pPr>
        <w:tabs>
          <w:tab w:val="left" w:pos="851"/>
        </w:tabs>
        <w:ind w:left="851"/>
        <w:rPr>
          <w:sz w:val="24"/>
          <w:szCs w:val="24"/>
        </w:rPr>
      </w:pPr>
      <w:r w:rsidRPr="00A65132">
        <w:rPr>
          <w:sz w:val="24"/>
          <w:szCs w:val="24"/>
        </w:rPr>
        <w:t>Ethanol, vandfri</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A65132" w:rsidRPr="00A65132" w:rsidRDefault="00A65132" w:rsidP="00A65132">
      <w:pPr>
        <w:tabs>
          <w:tab w:val="left" w:pos="851"/>
        </w:tabs>
        <w:ind w:left="851"/>
        <w:rPr>
          <w:sz w:val="24"/>
          <w:szCs w:val="24"/>
        </w:rPr>
      </w:pPr>
      <w:r w:rsidRPr="00A65132">
        <w:rPr>
          <w:sz w:val="24"/>
          <w:szCs w:val="24"/>
        </w:rPr>
        <w:t>Dette lægemiddel må ikke blandes med andre lægemidler end dem, der er anført under pkt. 6.6.</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A65132" w:rsidRPr="00A65132" w:rsidRDefault="00A65132" w:rsidP="00A65132">
      <w:pPr>
        <w:tabs>
          <w:tab w:val="left" w:pos="851"/>
        </w:tabs>
        <w:ind w:left="851"/>
        <w:rPr>
          <w:sz w:val="24"/>
          <w:szCs w:val="24"/>
        </w:rPr>
      </w:pPr>
      <w:r w:rsidRPr="00A65132">
        <w:rPr>
          <w:sz w:val="24"/>
          <w:szCs w:val="24"/>
        </w:rPr>
        <w:t xml:space="preserve">30 måneder. </w:t>
      </w:r>
    </w:p>
    <w:p w:rsidR="00A65132" w:rsidRPr="00A65132" w:rsidRDefault="00A65132" w:rsidP="00A65132">
      <w:pPr>
        <w:tabs>
          <w:tab w:val="left" w:pos="851"/>
        </w:tabs>
        <w:ind w:left="851"/>
        <w:rPr>
          <w:sz w:val="24"/>
          <w:szCs w:val="24"/>
        </w:rPr>
      </w:pPr>
    </w:p>
    <w:p w:rsidR="00A65132" w:rsidRPr="00A65132" w:rsidRDefault="00A65132" w:rsidP="00A65132">
      <w:pPr>
        <w:tabs>
          <w:tab w:val="left" w:pos="851"/>
        </w:tabs>
        <w:ind w:left="851"/>
        <w:rPr>
          <w:sz w:val="24"/>
          <w:szCs w:val="24"/>
          <w:u w:val="single"/>
        </w:rPr>
      </w:pPr>
      <w:r w:rsidRPr="00A65132">
        <w:rPr>
          <w:sz w:val="24"/>
          <w:szCs w:val="24"/>
          <w:u w:val="single"/>
        </w:rPr>
        <w:t>Efter fortynding</w:t>
      </w:r>
    </w:p>
    <w:p w:rsidR="00A65132" w:rsidRPr="00A65132" w:rsidRDefault="00A65132" w:rsidP="00A65132">
      <w:pPr>
        <w:tabs>
          <w:tab w:val="left" w:pos="851"/>
        </w:tabs>
        <w:ind w:left="851"/>
        <w:rPr>
          <w:sz w:val="24"/>
          <w:szCs w:val="24"/>
        </w:rPr>
      </w:pPr>
      <w:r w:rsidRPr="00A65132">
        <w:rPr>
          <w:sz w:val="24"/>
          <w:szCs w:val="24"/>
        </w:rPr>
        <w:t>Kemisk og fysisk stabilitet efter åbning er dokumenteret i 24 timer ved 25</w:t>
      </w:r>
      <w:r>
        <w:rPr>
          <w:sz w:val="24"/>
          <w:szCs w:val="24"/>
        </w:rPr>
        <w:t xml:space="preserve"> </w:t>
      </w:r>
      <w:r w:rsidRPr="00A65132">
        <w:rPr>
          <w:sz w:val="24"/>
          <w:szCs w:val="24"/>
        </w:rPr>
        <w:t>ºC og i 24 timer ved 2</w:t>
      </w:r>
      <w:r w:rsidR="00CB7C98">
        <w:rPr>
          <w:sz w:val="24"/>
          <w:szCs w:val="24"/>
        </w:rPr>
        <w:t>-</w:t>
      </w:r>
      <w:r w:rsidRPr="00A65132">
        <w:rPr>
          <w:sz w:val="24"/>
          <w:szCs w:val="24"/>
        </w:rPr>
        <w:t>8</w:t>
      </w:r>
      <w:r>
        <w:rPr>
          <w:sz w:val="24"/>
          <w:szCs w:val="24"/>
        </w:rPr>
        <w:t xml:space="preserve"> </w:t>
      </w:r>
      <w:r w:rsidRPr="00A65132">
        <w:rPr>
          <w:sz w:val="24"/>
          <w:szCs w:val="24"/>
        </w:rPr>
        <w:t>ºC.</w:t>
      </w:r>
    </w:p>
    <w:p w:rsidR="00A65132" w:rsidRPr="00A65132" w:rsidRDefault="00A65132" w:rsidP="00A65132">
      <w:pPr>
        <w:tabs>
          <w:tab w:val="left" w:pos="851"/>
        </w:tabs>
        <w:ind w:left="851"/>
        <w:rPr>
          <w:sz w:val="24"/>
          <w:szCs w:val="24"/>
        </w:rPr>
      </w:pPr>
    </w:p>
    <w:p w:rsidR="00A65132" w:rsidRPr="00A65132" w:rsidRDefault="00A65132" w:rsidP="00A65132">
      <w:pPr>
        <w:tabs>
          <w:tab w:val="left" w:pos="851"/>
        </w:tabs>
        <w:ind w:left="851"/>
        <w:rPr>
          <w:sz w:val="24"/>
          <w:szCs w:val="24"/>
        </w:rPr>
      </w:pPr>
      <w:r w:rsidRPr="00A65132">
        <w:rPr>
          <w:sz w:val="24"/>
          <w:szCs w:val="24"/>
        </w:rPr>
        <w:t xml:space="preserve">Ud fra et mikrobiologisk synspunkt bør præparatet bruges med det samme. </w:t>
      </w:r>
    </w:p>
    <w:p w:rsidR="00A65132" w:rsidRPr="00A65132" w:rsidRDefault="00A65132" w:rsidP="00A65132">
      <w:pPr>
        <w:tabs>
          <w:tab w:val="left" w:pos="851"/>
        </w:tabs>
        <w:ind w:left="851"/>
        <w:rPr>
          <w:sz w:val="24"/>
          <w:szCs w:val="24"/>
        </w:rPr>
      </w:pPr>
      <w:r w:rsidRPr="00A65132">
        <w:rPr>
          <w:sz w:val="24"/>
          <w:szCs w:val="24"/>
        </w:rPr>
        <w:t>Hvis det ikke anvendes straks, er anvendelse af andre opbevaringstider og -betingelser på brugerens eget ansvar og bør ikke overstige 24 timer ved 2</w:t>
      </w:r>
      <w:r>
        <w:rPr>
          <w:sz w:val="24"/>
          <w:szCs w:val="24"/>
        </w:rPr>
        <w:t>-</w:t>
      </w:r>
      <w:r w:rsidRPr="00A65132">
        <w:rPr>
          <w:sz w:val="24"/>
          <w:szCs w:val="24"/>
        </w:rPr>
        <w:t xml:space="preserve">8 °C, medmindre fortyndingen er udført under kontrollerede og validerede aseptiske betingelser. Opbevaring og ibrugtagningstid efter fortynding bør ikke overskride 24 timer.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CB7C98" w:rsidRPr="00CB7C98" w:rsidRDefault="00CB7C98" w:rsidP="00CB7C98">
      <w:pPr>
        <w:tabs>
          <w:tab w:val="left" w:pos="851"/>
        </w:tabs>
        <w:ind w:left="851"/>
        <w:rPr>
          <w:sz w:val="24"/>
          <w:szCs w:val="24"/>
        </w:rPr>
      </w:pPr>
      <w:r w:rsidRPr="00CB7C98">
        <w:rPr>
          <w:sz w:val="24"/>
          <w:szCs w:val="24"/>
        </w:rPr>
        <w:t>Opbevares i køleskabet (2</w:t>
      </w:r>
      <w:r>
        <w:rPr>
          <w:sz w:val="24"/>
          <w:szCs w:val="24"/>
        </w:rPr>
        <w:t>-</w:t>
      </w:r>
      <w:r w:rsidRPr="00CB7C98">
        <w:rPr>
          <w:sz w:val="24"/>
          <w:szCs w:val="24"/>
        </w:rPr>
        <w:t>8</w:t>
      </w:r>
      <w:r>
        <w:rPr>
          <w:sz w:val="24"/>
          <w:szCs w:val="24"/>
        </w:rPr>
        <w:t xml:space="preserve"> </w:t>
      </w:r>
      <w:r w:rsidRPr="00CB7C98">
        <w:rPr>
          <w:sz w:val="24"/>
          <w:szCs w:val="24"/>
        </w:rPr>
        <w:t>ºC). Må ikke nedfryses.</w:t>
      </w:r>
    </w:p>
    <w:p w:rsidR="00CB7C98" w:rsidRPr="00CB7C98" w:rsidRDefault="00CB7C98" w:rsidP="00CB7C98">
      <w:pPr>
        <w:tabs>
          <w:tab w:val="left" w:pos="851"/>
        </w:tabs>
        <w:ind w:left="851"/>
        <w:rPr>
          <w:sz w:val="24"/>
          <w:szCs w:val="24"/>
        </w:rPr>
      </w:pPr>
    </w:p>
    <w:p w:rsidR="00CB7C98" w:rsidRPr="00CB7C98" w:rsidRDefault="00CB7C98" w:rsidP="00CB7C98">
      <w:pPr>
        <w:tabs>
          <w:tab w:val="left" w:pos="851"/>
        </w:tabs>
        <w:ind w:left="851"/>
        <w:rPr>
          <w:sz w:val="24"/>
          <w:szCs w:val="24"/>
        </w:rPr>
      </w:pPr>
      <w:r w:rsidRPr="00CB7C98">
        <w:rPr>
          <w:sz w:val="24"/>
          <w:szCs w:val="24"/>
        </w:rPr>
        <w:t>Under opbevaringen kan farven på koncentrationen blive orange, men styrken er ikke reduceret og lægemidlet kan anvendes indtil den angivne udløbsdato, hvis opbevaringsbetingelserne overholdes.</w:t>
      </w:r>
    </w:p>
    <w:p w:rsidR="00CB7C98" w:rsidRPr="00CB7C98" w:rsidRDefault="00CB7C98" w:rsidP="00CB7C98">
      <w:pPr>
        <w:tabs>
          <w:tab w:val="left" w:pos="851"/>
        </w:tabs>
        <w:ind w:left="851"/>
        <w:rPr>
          <w:sz w:val="24"/>
          <w:szCs w:val="24"/>
        </w:rPr>
      </w:pPr>
    </w:p>
    <w:p w:rsidR="00CB7C98" w:rsidRPr="00CB7C98" w:rsidRDefault="00CB7C98" w:rsidP="00CB7C98">
      <w:pPr>
        <w:tabs>
          <w:tab w:val="left" w:pos="851"/>
        </w:tabs>
        <w:ind w:left="851"/>
        <w:rPr>
          <w:sz w:val="24"/>
          <w:szCs w:val="24"/>
        </w:rPr>
      </w:pPr>
      <w:r w:rsidRPr="00CB7C98">
        <w:rPr>
          <w:sz w:val="24"/>
          <w:szCs w:val="24"/>
        </w:rPr>
        <w:t>Opbevaringsbetingelser efter fortynding af lægemidlet, se punkt 6.3.</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rsidR="00CB7C98" w:rsidRPr="00CB7C98" w:rsidRDefault="00CB7C98" w:rsidP="000F4156">
      <w:pPr>
        <w:ind w:left="851"/>
        <w:rPr>
          <w:sz w:val="24"/>
          <w:szCs w:val="24"/>
        </w:rPr>
      </w:pPr>
      <w:r w:rsidRPr="00CB7C98">
        <w:rPr>
          <w:sz w:val="24"/>
          <w:szCs w:val="24"/>
        </w:rPr>
        <w:t>Type I glas</w:t>
      </w:r>
      <w:r w:rsidR="000F4156">
        <w:rPr>
          <w:sz w:val="24"/>
          <w:szCs w:val="24"/>
        </w:rPr>
        <w:t xml:space="preserve"> med f</w:t>
      </w:r>
      <w:r w:rsidRPr="00CB7C98">
        <w:rPr>
          <w:sz w:val="24"/>
          <w:szCs w:val="24"/>
        </w:rPr>
        <w:t xml:space="preserve">luoropolymer-ovetrukket chlorobutylgummiprop og flip-off kapsel. </w:t>
      </w:r>
    </w:p>
    <w:p w:rsidR="00CB7C98" w:rsidRPr="00CB7C98" w:rsidRDefault="00CB7C98" w:rsidP="00CB7C98">
      <w:pPr>
        <w:ind w:left="1134" w:hanging="283"/>
        <w:rPr>
          <w:sz w:val="24"/>
          <w:szCs w:val="24"/>
        </w:rPr>
      </w:pPr>
    </w:p>
    <w:p w:rsidR="00CB7C98" w:rsidRPr="000F4156" w:rsidRDefault="00CB7C98" w:rsidP="00CB7C98">
      <w:pPr>
        <w:ind w:left="1134" w:hanging="283"/>
        <w:rPr>
          <w:sz w:val="24"/>
          <w:szCs w:val="24"/>
          <w:u w:val="single"/>
        </w:rPr>
      </w:pPr>
      <w:r w:rsidRPr="000F4156">
        <w:rPr>
          <w:sz w:val="24"/>
          <w:szCs w:val="24"/>
          <w:u w:val="single"/>
        </w:rPr>
        <w:t>Pakningsstørrelser</w:t>
      </w:r>
    </w:p>
    <w:p w:rsidR="00CB7C98" w:rsidRPr="00CB7C98" w:rsidRDefault="00CB7C98" w:rsidP="000F4156">
      <w:pPr>
        <w:ind w:left="851"/>
        <w:rPr>
          <w:sz w:val="24"/>
          <w:szCs w:val="24"/>
        </w:rPr>
      </w:pPr>
      <w:r w:rsidRPr="00CB7C98">
        <w:rPr>
          <w:sz w:val="24"/>
          <w:szCs w:val="24"/>
        </w:rPr>
        <w:t>1, 4</w:t>
      </w:r>
      <w:r w:rsidR="000F4156">
        <w:rPr>
          <w:sz w:val="24"/>
          <w:szCs w:val="24"/>
        </w:rPr>
        <w:t xml:space="preserve"> og</w:t>
      </w:r>
      <w:r w:rsidRPr="00CB7C98">
        <w:rPr>
          <w:sz w:val="24"/>
          <w:szCs w:val="24"/>
        </w:rPr>
        <w:t xml:space="preserve"> 10 hætteglas á 5 ml</w:t>
      </w:r>
      <w:r w:rsidR="000F4156">
        <w:rPr>
          <w:sz w:val="24"/>
          <w:szCs w:val="24"/>
        </w:rPr>
        <w:t>.</w:t>
      </w:r>
    </w:p>
    <w:p w:rsidR="00CB7C98" w:rsidRPr="00CB7C98" w:rsidRDefault="00CB7C98" w:rsidP="00CB7C98">
      <w:pPr>
        <w:ind w:left="1134" w:hanging="283"/>
        <w:rPr>
          <w:sz w:val="24"/>
          <w:szCs w:val="24"/>
        </w:rPr>
      </w:pPr>
    </w:p>
    <w:p w:rsidR="00CB7C98" w:rsidRPr="00CB7C98" w:rsidRDefault="00CB7C98" w:rsidP="00CB7C98">
      <w:pPr>
        <w:tabs>
          <w:tab w:val="left" w:pos="851"/>
        </w:tabs>
        <w:ind w:left="851"/>
        <w:rPr>
          <w:sz w:val="24"/>
          <w:szCs w:val="24"/>
        </w:rPr>
      </w:pPr>
      <w:r w:rsidRPr="00CB7C98">
        <w:rPr>
          <w:sz w:val="24"/>
          <w:szCs w:val="24"/>
        </w:rPr>
        <w:t xml:space="preserve">Ikke alle pakningsstørrelser er nødvendigvis markedsført.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rsidR="000F4156" w:rsidRPr="000F4156" w:rsidRDefault="000F4156" w:rsidP="000F4156">
      <w:pPr>
        <w:tabs>
          <w:tab w:val="left" w:pos="851"/>
        </w:tabs>
        <w:ind w:left="851"/>
        <w:rPr>
          <w:sz w:val="24"/>
          <w:szCs w:val="24"/>
        </w:rPr>
      </w:pPr>
      <w:r w:rsidRPr="000F4156">
        <w:rPr>
          <w:sz w:val="24"/>
          <w:szCs w:val="24"/>
        </w:rPr>
        <w:t>Kun til engangsbrug.</w:t>
      </w:r>
    </w:p>
    <w:p w:rsidR="000F4156" w:rsidRPr="000F4156" w:rsidRDefault="000F4156" w:rsidP="000F4156">
      <w:pPr>
        <w:tabs>
          <w:tab w:val="left" w:pos="851"/>
        </w:tabs>
        <w:ind w:left="851"/>
        <w:rPr>
          <w:sz w:val="24"/>
          <w:szCs w:val="24"/>
        </w:rPr>
      </w:pPr>
      <w:r w:rsidRPr="000F4156">
        <w:rPr>
          <w:sz w:val="24"/>
          <w:szCs w:val="24"/>
        </w:rPr>
        <w:tab/>
      </w:r>
    </w:p>
    <w:p w:rsidR="000F4156" w:rsidRPr="000F4156" w:rsidRDefault="000F4156" w:rsidP="000F4156">
      <w:pPr>
        <w:tabs>
          <w:tab w:val="left" w:pos="851"/>
        </w:tabs>
        <w:ind w:left="851"/>
        <w:rPr>
          <w:sz w:val="24"/>
          <w:szCs w:val="24"/>
        </w:rPr>
      </w:pPr>
      <w:r w:rsidRPr="000F4156">
        <w:rPr>
          <w:sz w:val="24"/>
          <w:szCs w:val="24"/>
        </w:rPr>
        <w:t>Levosimendan 2,5 mg/ml koncentrat til infusionsvæske, opløsning, bør ikke fortyndes til en koncentration, der er højere end 0,05 mg/ml som angivet nedenfor, da der ellers kan forekomme opalisering og udfældning.</w:t>
      </w:r>
    </w:p>
    <w:p w:rsidR="000F4156" w:rsidRPr="000F4156" w:rsidRDefault="000F4156" w:rsidP="000F4156">
      <w:pPr>
        <w:tabs>
          <w:tab w:val="left" w:pos="851"/>
        </w:tabs>
        <w:ind w:left="851"/>
        <w:rPr>
          <w:sz w:val="24"/>
          <w:szCs w:val="24"/>
        </w:rPr>
      </w:pPr>
    </w:p>
    <w:p w:rsidR="000F4156" w:rsidRPr="000F4156" w:rsidRDefault="000F4156" w:rsidP="000F4156">
      <w:pPr>
        <w:tabs>
          <w:tab w:val="left" w:pos="851"/>
        </w:tabs>
        <w:ind w:left="851"/>
        <w:rPr>
          <w:sz w:val="24"/>
          <w:szCs w:val="24"/>
        </w:rPr>
      </w:pPr>
      <w:r w:rsidRPr="000F4156">
        <w:rPr>
          <w:sz w:val="24"/>
          <w:szCs w:val="24"/>
        </w:rPr>
        <w:t xml:space="preserve">Som for alle parenterale lægemidler, inspiceres den fortyndede opløsning visuelt for partikler og misfarvning før administrationen. </w:t>
      </w:r>
    </w:p>
    <w:p w:rsidR="000F4156" w:rsidRPr="000F4156" w:rsidRDefault="000F4156" w:rsidP="000F4156">
      <w:pPr>
        <w:tabs>
          <w:tab w:val="left" w:pos="851"/>
        </w:tabs>
        <w:ind w:left="851"/>
        <w:rPr>
          <w:sz w:val="24"/>
          <w:szCs w:val="24"/>
        </w:rPr>
      </w:pPr>
    </w:p>
    <w:p w:rsidR="000F4156" w:rsidRPr="000F4156" w:rsidRDefault="000F4156" w:rsidP="000F4156">
      <w:pPr>
        <w:tabs>
          <w:tab w:val="left" w:pos="851"/>
        </w:tabs>
        <w:ind w:left="851"/>
        <w:rPr>
          <w:sz w:val="24"/>
          <w:szCs w:val="24"/>
        </w:rPr>
      </w:pPr>
      <w:r w:rsidRPr="000F4156">
        <w:rPr>
          <w:sz w:val="24"/>
          <w:szCs w:val="24"/>
        </w:rPr>
        <w:t xml:space="preserve">For at tilberede en 0,025 mg/ml infusion, blandes 5 ml Levosimendan "Fresenius Kabi" 2, 5 mg/ml koncentrat til infusionsvæske, opløsning med 500 ml 5 % glucoseopløsning. </w:t>
      </w:r>
    </w:p>
    <w:p w:rsidR="000F4156" w:rsidRPr="000F4156" w:rsidRDefault="000F4156" w:rsidP="000F4156">
      <w:pPr>
        <w:tabs>
          <w:tab w:val="left" w:pos="851"/>
        </w:tabs>
        <w:ind w:left="851"/>
        <w:rPr>
          <w:sz w:val="24"/>
          <w:szCs w:val="24"/>
        </w:rPr>
      </w:pPr>
      <w:r w:rsidRPr="000F4156">
        <w:rPr>
          <w:sz w:val="24"/>
          <w:szCs w:val="24"/>
        </w:rPr>
        <w:t xml:space="preserve">For at tilberede en 0,05 mg/ml infusion, blandes 10 ml Levosimendan "Fresenius Kabi" 2, 5 mg/ml koncentrat til infusionsvæske, opløsning med 500 ml 5 % glucoseopløsning. </w:t>
      </w:r>
    </w:p>
    <w:p w:rsidR="000F4156" w:rsidRPr="000F4156" w:rsidRDefault="000F4156" w:rsidP="000F4156">
      <w:pPr>
        <w:tabs>
          <w:tab w:val="left" w:pos="851"/>
        </w:tabs>
        <w:ind w:left="851"/>
        <w:rPr>
          <w:sz w:val="24"/>
          <w:szCs w:val="24"/>
        </w:rPr>
      </w:pPr>
    </w:p>
    <w:p w:rsidR="000F4156" w:rsidRPr="000F4156" w:rsidRDefault="000F4156" w:rsidP="000F4156">
      <w:pPr>
        <w:tabs>
          <w:tab w:val="left" w:pos="851"/>
        </w:tabs>
        <w:ind w:left="851"/>
        <w:rPr>
          <w:sz w:val="24"/>
          <w:szCs w:val="24"/>
        </w:rPr>
      </w:pPr>
      <w:r w:rsidRPr="000F4156">
        <w:rPr>
          <w:sz w:val="24"/>
          <w:szCs w:val="24"/>
        </w:rPr>
        <w:t>Følgende lægemidler kan gives samtidig med Levosime</w:t>
      </w:r>
      <w:r w:rsidR="00581AAF">
        <w:rPr>
          <w:sz w:val="24"/>
          <w:szCs w:val="24"/>
        </w:rPr>
        <w:t>n</w:t>
      </w:r>
      <w:r w:rsidRPr="000F4156">
        <w:rPr>
          <w:sz w:val="24"/>
          <w:szCs w:val="24"/>
        </w:rPr>
        <w:t xml:space="preserve">dan </w:t>
      </w:r>
      <w:r w:rsidR="00581AAF">
        <w:rPr>
          <w:sz w:val="24"/>
          <w:szCs w:val="24"/>
        </w:rPr>
        <w:t>"</w:t>
      </w:r>
      <w:r w:rsidRPr="000F4156">
        <w:rPr>
          <w:sz w:val="24"/>
          <w:szCs w:val="24"/>
        </w:rPr>
        <w:t>Fresenius Kabi</w:t>
      </w:r>
      <w:r w:rsidR="00581AAF">
        <w:rPr>
          <w:sz w:val="24"/>
          <w:szCs w:val="24"/>
        </w:rPr>
        <w:t>"</w:t>
      </w:r>
      <w:r w:rsidRPr="000F4156">
        <w:rPr>
          <w:sz w:val="24"/>
          <w:szCs w:val="24"/>
        </w:rPr>
        <w:t xml:space="preserve"> via koblede infusionsslanger:</w:t>
      </w:r>
    </w:p>
    <w:p w:rsidR="000F4156" w:rsidRPr="000F4156" w:rsidRDefault="000F4156" w:rsidP="000F4156">
      <w:pPr>
        <w:numPr>
          <w:ilvl w:val="0"/>
          <w:numId w:val="9"/>
        </w:numPr>
        <w:tabs>
          <w:tab w:val="left" w:pos="851"/>
        </w:tabs>
        <w:ind w:left="1134" w:hanging="283"/>
        <w:rPr>
          <w:sz w:val="24"/>
          <w:szCs w:val="24"/>
        </w:rPr>
      </w:pPr>
      <w:r w:rsidRPr="000F4156">
        <w:rPr>
          <w:sz w:val="24"/>
          <w:szCs w:val="24"/>
        </w:rPr>
        <w:t>Furosemid 10 mg/ml</w:t>
      </w:r>
    </w:p>
    <w:p w:rsidR="000F4156" w:rsidRPr="000F4156" w:rsidRDefault="000F4156" w:rsidP="000F4156">
      <w:pPr>
        <w:numPr>
          <w:ilvl w:val="0"/>
          <w:numId w:val="9"/>
        </w:numPr>
        <w:tabs>
          <w:tab w:val="left" w:pos="851"/>
        </w:tabs>
        <w:ind w:left="1134" w:hanging="283"/>
        <w:rPr>
          <w:sz w:val="24"/>
          <w:szCs w:val="24"/>
        </w:rPr>
      </w:pPr>
      <w:r w:rsidRPr="000F4156">
        <w:rPr>
          <w:sz w:val="24"/>
          <w:szCs w:val="24"/>
        </w:rPr>
        <w:t>Digoxin 0,25 mg/l</w:t>
      </w:r>
    </w:p>
    <w:p w:rsidR="000F4156" w:rsidRPr="000F4156" w:rsidRDefault="000F4156" w:rsidP="000F4156">
      <w:pPr>
        <w:numPr>
          <w:ilvl w:val="0"/>
          <w:numId w:val="9"/>
        </w:numPr>
        <w:tabs>
          <w:tab w:val="left" w:pos="851"/>
        </w:tabs>
        <w:ind w:left="1134" w:hanging="283"/>
        <w:rPr>
          <w:sz w:val="24"/>
          <w:szCs w:val="24"/>
        </w:rPr>
      </w:pPr>
      <w:r w:rsidRPr="000F4156">
        <w:rPr>
          <w:sz w:val="24"/>
          <w:szCs w:val="24"/>
        </w:rPr>
        <w:t>Glyceryltrinitrat 0,1 mg/ml</w:t>
      </w:r>
    </w:p>
    <w:p w:rsidR="000F4156" w:rsidRPr="000F4156" w:rsidRDefault="000F4156" w:rsidP="000F4156">
      <w:pPr>
        <w:tabs>
          <w:tab w:val="left" w:pos="851"/>
        </w:tabs>
        <w:ind w:left="851"/>
        <w:rPr>
          <w:sz w:val="24"/>
          <w:szCs w:val="24"/>
        </w:rPr>
      </w:pPr>
    </w:p>
    <w:p w:rsidR="000F4156" w:rsidRPr="000F4156" w:rsidRDefault="000F4156" w:rsidP="000F4156">
      <w:pPr>
        <w:tabs>
          <w:tab w:val="left" w:pos="851"/>
        </w:tabs>
        <w:ind w:left="851"/>
        <w:rPr>
          <w:sz w:val="24"/>
          <w:szCs w:val="24"/>
        </w:rPr>
      </w:pPr>
      <w:r w:rsidRPr="000F4156">
        <w:rPr>
          <w:sz w:val="24"/>
          <w:szCs w:val="24"/>
        </w:rPr>
        <w:t>Ikke anvendt lægemiddel samt affald heraf skal bortskaffes i henhold til lokale retningslinjer.</w:t>
      </w:r>
    </w:p>
    <w:p w:rsidR="009260DE" w:rsidRPr="00C84483" w:rsidRDefault="009260DE" w:rsidP="000730CA">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581AAF" w:rsidRPr="00581AAF" w:rsidRDefault="00581AAF" w:rsidP="00581AAF">
      <w:pPr>
        <w:tabs>
          <w:tab w:val="left" w:pos="851"/>
        </w:tabs>
        <w:ind w:left="851"/>
        <w:rPr>
          <w:sz w:val="24"/>
          <w:szCs w:val="24"/>
        </w:rPr>
      </w:pPr>
      <w:r w:rsidRPr="00581AAF">
        <w:rPr>
          <w:sz w:val="24"/>
          <w:szCs w:val="24"/>
        </w:rPr>
        <w:t>Fresenius Kabi AB</w:t>
      </w:r>
    </w:p>
    <w:p w:rsidR="00581AAF" w:rsidRPr="00581AAF" w:rsidRDefault="00581AAF" w:rsidP="00581AAF">
      <w:pPr>
        <w:tabs>
          <w:tab w:val="left" w:pos="851"/>
        </w:tabs>
        <w:ind w:left="851"/>
        <w:rPr>
          <w:sz w:val="24"/>
          <w:szCs w:val="24"/>
        </w:rPr>
      </w:pPr>
      <w:r w:rsidRPr="00581AAF">
        <w:rPr>
          <w:sz w:val="24"/>
          <w:szCs w:val="24"/>
        </w:rPr>
        <w:t>Rapsgatan 7</w:t>
      </w:r>
    </w:p>
    <w:p w:rsidR="00581AAF" w:rsidRPr="00581AAF" w:rsidRDefault="00581AAF" w:rsidP="00581AAF">
      <w:pPr>
        <w:tabs>
          <w:tab w:val="left" w:pos="851"/>
        </w:tabs>
        <w:ind w:left="851"/>
        <w:rPr>
          <w:sz w:val="24"/>
          <w:szCs w:val="24"/>
        </w:rPr>
      </w:pPr>
      <w:r w:rsidRPr="00581AAF">
        <w:rPr>
          <w:sz w:val="24"/>
          <w:szCs w:val="24"/>
        </w:rPr>
        <w:t>751</w:t>
      </w:r>
      <w:r>
        <w:rPr>
          <w:sz w:val="24"/>
          <w:szCs w:val="24"/>
        </w:rPr>
        <w:t xml:space="preserve"> </w:t>
      </w:r>
      <w:r w:rsidRPr="00581AAF">
        <w:rPr>
          <w:sz w:val="24"/>
          <w:szCs w:val="24"/>
        </w:rPr>
        <w:t>74 Uppsala</w:t>
      </w:r>
    </w:p>
    <w:p w:rsidR="00581AAF" w:rsidRPr="00581AAF" w:rsidRDefault="00581AAF" w:rsidP="00581AAF">
      <w:pPr>
        <w:tabs>
          <w:tab w:val="left" w:pos="851"/>
        </w:tabs>
        <w:ind w:left="851"/>
        <w:rPr>
          <w:sz w:val="24"/>
          <w:szCs w:val="24"/>
        </w:rPr>
      </w:pPr>
      <w:r w:rsidRPr="00581AAF">
        <w:rPr>
          <w:sz w:val="24"/>
          <w:szCs w:val="24"/>
        </w:rPr>
        <w:t>Sverige</w:t>
      </w:r>
    </w:p>
    <w:p w:rsidR="00581AAF" w:rsidRPr="00581AAF" w:rsidRDefault="00581AAF" w:rsidP="00581AAF">
      <w:pPr>
        <w:tabs>
          <w:tab w:val="left" w:pos="851"/>
        </w:tabs>
        <w:ind w:left="851"/>
        <w:rPr>
          <w:sz w:val="24"/>
          <w:szCs w:val="24"/>
        </w:rPr>
      </w:pPr>
    </w:p>
    <w:p w:rsidR="00581AAF" w:rsidRPr="00581AAF" w:rsidRDefault="00581AAF" w:rsidP="00581AAF">
      <w:pPr>
        <w:tabs>
          <w:tab w:val="left" w:pos="851"/>
        </w:tabs>
        <w:ind w:left="851"/>
        <w:rPr>
          <w:b/>
          <w:sz w:val="24"/>
          <w:szCs w:val="24"/>
        </w:rPr>
      </w:pPr>
      <w:r w:rsidRPr="00581AAF">
        <w:rPr>
          <w:b/>
          <w:sz w:val="24"/>
          <w:szCs w:val="24"/>
        </w:rPr>
        <w:t>Repræsentant</w:t>
      </w:r>
    </w:p>
    <w:p w:rsidR="00581AAF" w:rsidRPr="00581AAF" w:rsidRDefault="00581AAF" w:rsidP="00581AAF">
      <w:pPr>
        <w:tabs>
          <w:tab w:val="left" w:pos="851"/>
        </w:tabs>
        <w:ind w:left="851"/>
        <w:rPr>
          <w:sz w:val="24"/>
          <w:szCs w:val="24"/>
        </w:rPr>
      </w:pPr>
      <w:r w:rsidRPr="00581AAF">
        <w:rPr>
          <w:sz w:val="24"/>
          <w:szCs w:val="24"/>
        </w:rPr>
        <w:t>Fresenius Kabi</w:t>
      </w:r>
    </w:p>
    <w:p w:rsidR="00581AAF" w:rsidRPr="00581AAF" w:rsidRDefault="00581AAF" w:rsidP="00581AAF">
      <w:pPr>
        <w:tabs>
          <w:tab w:val="left" w:pos="851"/>
        </w:tabs>
        <w:ind w:left="851"/>
        <w:rPr>
          <w:sz w:val="24"/>
          <w:szCs w:val="24"/>
        </w:rPr>
      </w:pPr>
      <w:r w:rsidRPr="00581AAF">
        <w:rPr>
          <w:sz w:val="24"/>
          <w:szCs w:val="24"/>
        </w:rPr>
        <w:t>Islands Brygge 57</w:t>
      </w:r>
    </w:p>
    <w:p w:rsidR="00581AAF" w:rsidRPr="00581AAF" w:rsidRDefault="00581AAF" w:rsidP="00581AAF">
      <w:pPr>
        <w:tabs>
          <w:tab w:val="left" w:pos="851"/>
        </w:tabs>
        <w:ind w:left="851"/>
        <w:rPr>
          <w:sz w:val="24"/>
          <w:szCs w:val="24"/>
        </w:rPr>
      </w:pPr>
      <w:r w:rsidRPr="00581AAF">
        <w:rPr>
          <w:sz w:val="24"/>
          <w:szCs w:val="24"/>
        </w:rPr>
        <w:t>2300 København S</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rsidR="009260DE" w:rsidRPr="00C84483" w:rsidRDefault="00C5662B" w:rsidP="009260DE">
      <w:pPr>
        <w:tabs>
          <w:tab w:val="left" w:pos="851"/>
        </w:tabs>
        <w:ind w:left="851"/>
        <w:rPr>
          <w:sz w:val="24"/>
          <w:szCs w:val="24"/>
        </w:rPr>
      </w:pPr>
      <w:r>
        <w:rPr>
          <w:sz w:val="24"/>
          <w:szCs w:val="24"/>
        </w:rPr>
        <w:t>64942</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EF2BEC" w:rsidP="009260DE">
      <w:pPr>
        <w:tabs>
          <w:tab w:val="left" w:pos="851"/>
        </w:tabs>
        <w:ind w:left="851"/>
        <w:rPr>
          <w:sz w:val="24"/>
          <w:szCs w:val="24"/>
        </w:rPr>
      </w:pPr>
      <w:r>
        <w:rPr>
          <w:sz w:val="24"/>
          <w:szCs w:val="24"/>
        </w:rPr>
        <w:t>6. september 2022</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C5662B" w:rsidP="009260DE">
      <w:pPr>
        <w:tabs>
          <w:tab w:val="left" w:pos="851"/>
        </w:tabs>
        <w:ind w:left="851"/>
        <w:rPr>
          <w:sz w:val="24"/>
          <w:szCs w:val="24"/>
        </w:rPr>
      </w:pPr>
      <w:r>
        <w:rPr>
          <w:sz w:val="24"/>
          <w:szCs w:val="24"/>
        </w:rPr>
        <w:t>-</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031A" w:rsidRDefault="0041031A">
      <w:r>
        <w:separator/>
      </w:r>
    </w:p>
  </w:endnote>
  <w:endnote w:type="continuationSeparator" w:id="0">
    <w:p w:rsidR="0041031A" w:rsidRDefault="00410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031A" w:rsidRDefault="0041031A">
    <w:pPr>
      <w:pStyle w:val="Sidefod"/>
      <w:pBdr>
        <w:bottom w:val="single" w:sz="6" w:space="1" w:color="auto"/>
      </w:pBdr>
    </w:pPr>
  </w:p>
  <w:p w:rsidR="0041031A" w:rsidRDefault="0041031A" w:rsidP="00C42586">
    <w:pPr>
      <w:pStyle w:val="Sidefod"/>
      <w:tabs>
        <w:tab w:val="clear" w:pos="4819"/>
        <w:tab w:val="left" w:pos="8505"/>
      </w:tabs>
      <w:rPr>
        <w:i/>
        <w:sz w:val="18"/>
        <w:szCs w:val="18"/>
      </w:rPr>
    </w:pPr>
  </w:p>
  <w:p w:rsidR="0041031A" w:rsidRPr="00B373D7" w:rsidRDefault="0041031A"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6E5326">
      <w:rPr>
        <w:i/>
        <w:noProof/>
        <w:sz w:val="18"/>
        <w:szCs w:val="18"/>
      </w:rPr>
      <w:t>Levosimendan Fresenius Kabi, koncentrat til infusionsvæske, opløsning 2,5 mg-ml</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031A" w:rsidRDefault="0041031A">
      <w:r>
        <w:separator/>
      </w:r>
    </w:p>
  </w:footnote>
  <w:footnote w:type="continuationSeparator" w:id="0">
    <w:p w:rsidR="0041031A" w:rsidRDefault="004103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824DF"/>
    <w:multiLevelType w:val="hybridMultilevel"/>
    <w:tmpl w:val="727A24E0"/>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Times New Roman"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DC42A7A"/>
    <w:multiLevelType w:val="hybridMultilevel"/>
    <w:tmpl w:val="795E954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0936561"/>
    <w:multiLevelType w:val="hybridMultilevel"/>
    <w:tmpl w:val="00F2832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695D5933"/>
    <w:multiLevelType w:val="hybridMultilevel"/>
    <w:tmpl w:val="606216B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8"/>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BBB"/>
    <w:rsid w:val="00025778"/>
    <w:rsid w:val="000259B9"/>
    <w:rsid w:val="00041491"/>
    <w:rsid w:val="00050D16"/>
    <w:rsid w:val="00057CCE"/>
    <w:rsid w:val="000730CA"/>
    <w:rsid w:val="00074F2A"/>
    <w:rsid w:val="000A1CA8"/>
    <w:rsid w:val="000A466B"/>
    <w:rsid w:val="000B058C"/>
    <w:rsid w:val="000C3850"/>
    <w:rsid w:val="000E4EE6"/>
    <w:rsid w:val="000F4156"/>
    <w:rsid w:val="001454E2"/>
    <w:rsid w:val="001C0500"/>
    <w:rsid w:val="00206CE8"/>
    <w:rsid w:val="0021526C"/>
    <w:rsid w:val="00216A5C"/>
    <w:rsid w:val="002307E8"/>
    <w:rsid w:val="00250037"/>
    <w:rsid w:val="00273100"/>
    <w:rsid w:val="00277310"/>
    <w:rsid w:val="00283A2B"/>
    <w:rsid w:val="002B30AD"/>
    <w:rsid w:val="002C2C01"/>
    <w:rsid w:val="003A29AE"/>
    <w:rsid w:val="003A32D7"/>
    <w:rsid w:val="003B4074"/>
    <w:rsid w:val="003C769A"/>
    <w:rsid w:val="003F1838"/>
    <w:rsid w:val="0041031A"/>
    <w:rsid w:val="004470FB"/>
    <w:rsid w:val="0045746C"/>
    <w:rsid w:val="0049104B"/>
    <w:rsid w:val="004E3B12"/>
    <w:rsid w:val="00532310"/>
    <w:rsid w:val="00565F0F"/>
    <w:rsid w:val="00581AAF"/>
    <w:rsid w:val="00594A86"/>
    <w:rsid w:val="00596D86"/>
    <w:rsid w:val="00637F5A"/>
    <w:rsid w:val="006560B1"/>
    <w:rsid w:val="006756DD"/>
    <w:rsid w:val="006E5326"/>
    <w:rsid w:val="00737275"/>
    <w:rsid w:val="00740EEC"/>
    <w:rsid w:val="0078011A"/>
    <w:rsid w:val="00782AF4"/>
    <w:rsid w:val="00790EE7"/>
    <w:rsid w:val="007B6649"/>
    <w:rsid w:val="0082576E"/>
    <w:rsid w:val="008662F2"/>
    <w:rsid w:val="00907F75"/>
    <w:rsid w:val="009260DE"/>
    <w:rsid w:val="0093258A"/>
    <w:rsid w:val="009355A3"/>
    <w:rsid w:val="009670EF"/>
    <w:rsid w:val="009C7BA3"/>
    <w:rsid w:val="009D1F5A"/>
    <w:rsid w:val="00A10294"/>
    <w:rsid w:val="00A65132"/>
    <w:rsid w:val="00B003BF"/>
    <w:rsid w:val="00B373D7"/>
    <w:rsid w:val="00BA197D"/>
    <w:rsid w:val="00C04FD6"/>
    <w:rsid w:val="00C36276"/>
    <w:rsid w:val="00C42586"/>
    <w:rsid w:val="00C5662B"/>
    <w:rsid w:val="00C60CCD"/>
    <w:rsid w:val="00C84483"/>
    <w:rsid w:val="00C920E6"/>
    <w:rsid w:val="00C95551"/>
    <w:rsid w:val="00CB20D7"/>
    <w:rsid w:val="00CB7C98"/>
    <w:rsid w:val="00CD6A14"/>
    <w:rsid w:val="00CE73B4"/>
    <w:rsid w:val="00CF7E5E"/>
    <w:rsid w:val="00D020B0"/>
    <w:rsid w:val="00D11748"/>
    <w:rsid w:val="00D366CF"/>
    <w:rsid w:val="00DA7BBB"/>
    <w:rsid w:val="00DD5FD1"/>
    <w:rsid w:val="00E108AA"/>
    <w:rsid w:val="00E3749A"/>
    <w:rsid w:val="00E417D4"/>
    <w:rsid w:val="00E47422"/>
    <w:rsid w:val="00E7437F"/>
    <w:rsid w:val="00E865B8"/>
    <w:rsid w:val="00E97955"/>
    <w:rsid w:val="00EC0B9B"/>
    <w:rsid w:val="00EC655A"/>
    <w:rsid w:val="00ED5E9F"/>
    <w:rsid w:val="00EF2BEC"/>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C51A8E"/>
  <w15:chartTrackingRefBased/>
  <w15:docId w15:val="{75C7022B-F46A-4C37-86B2-BAEB17AFE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fkpreparattabellweb">
    <w:name w:val="fk_preparattabellweb"/>
    <w:basedOn w:val="Normal"/>
    <w:uiPriority w:val="99"/>
    <w:rsid w:val="00C04FD6"/>
    <w:rPr>
      <w:color w:val="000000"/>
      <w:sz w:val="19"/>
      <w:szCs w:val="19"/>
      <w:lang w:eastAsia="da-DK"/>
    </w:rPr>
  </w:style>
  <w:style w:type="character" w:styleId="Hyperlink">
    <w:name w:val="Hyperlink"/>
    <w:basedOn w:val="Standardskrifttypeiafsnit"/>
    <w:uiPriority w:val="99"/>
    <w:unhideWhenUsed/>
    <w:rsid w:val="001C0500"/>
    <w:rPr>
      <w:color w:val="0563C1" w:themeColor="hyperlink"/>
      <w:u w:val="single"/>
    </w:rPr>
  </w:style>
  <w:style w:type="character" w:styleId="Ulstomtale">
    <w:name w:val="Unresolved Mention"/>
    <w:basedOn w:val="Standardskrifttypeiafsnit"/>
    <w:uiPriority w:val="99"/>
    <w:semiHidden/>
    <w:unhideWhenUsed/>
    <w:rsid w:val="001C05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63777">
      <w:bodyDiv w:val="1"/>
      <w:marLeft w:val="0"/>
      <w:marRight w:val="0"/>
      <w:marTop w:val="0"/>
      <w:marBottom w:val="0"/>
      <w:divBdr>
        <w:top w:val="none" w:sz="0" w:space="0" w:color="auto"/>
        <w:left w:val="none" w:sz="0" w:space="0" w:color="auto"/>
        <w:bottom w:val="none" w:sz="0" w:space="0" w:color="auto"/>
        <w:right w:val="none" w:sz="0" w:space="0" w:color="auto"/>
      </w:divBdr>
    </w:div>
    <w:div w:id="114369754">
      <w:bodyDiv w:val="1"/>
      <w:marLeft w:val="0"/>
      <w:marRight w:val="0"/>
      <w:marTop w:val="0"/>
      <w:marBottom w:val="0"/>
      <w:divBdr>
        <w:top w:val="none" w:sz="0" w:space="0" w:color="auto"/>
        <w:left w:val="none" w:sz="0" w:space="0" w:color="auto"/>
        <w:bottom w:val="none" w:sz="0" w:space="0" w:color="auto"/>
        <w:right w:val="none" w:sz="0" w:space="0" w:color="auto"/>
      </w:divBdr>
    </w:div>
    <w:div w:id="137236301">
      <w:bodyDiv w:val="1"/>
      <w:marLeft w:val="0"/>
      <w:marRight w:val="0"/>
      <w:marTop w:val="0"/>
      <w:marBottom w:val="0"/>
      <w:divBdr>
        <w:top w:val="none" w:sz="0" w:space="0" w:color="auto"/>
        <w:left w:val="none" w:sz="0" w:space="0" w:color="auto"/>
        <w:bottom w:val="none" w:sz="0" w:space="0" w:color="auto"/>
        <w:right w:val="none" w:sz="0" w:space="0" w:color="auto"/>
      </w:divBdr>
    </w:div>
    <w:div w:id="137769053">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68182874">
      <w:bodyDiv w:val="1"/>
      <w:marLeft w:val="0"/>
      <w:marRight w:val="0"/>
      <w:marTop w:val="0"/>
      <w:marBottom w:val="0"/>
      <w:divBdr>
        <w:top w:val="none" w:sz="0" w:space="0" w:color="auto"/>
        <w:left w:val="none" w:sz="0" w:space="0" w:color="auto"/>
        <w:bottom w:val="none" w:sz="0" w:space="0" w:color="auto"/>
        <w:right w:val="none" w:sz="0" w:space="0" w:color="auto"/>
      </w:divBdr>
    </w:div>
    <w:div w:id="186721026">
      <w:bodyDiv w:val="1"/>
      <w:marLeft w:val="0"/>
      <w:marRight w:val="0"/>
      <w:marTop w:val="0"/>
      <w:marBottom w:val="0"/>
      <w:divBdr>
        <w:top w:val="none" w:sz="0" w:space="0" w:color="auto"/>
        <w:left w:val="none" w:sz="0" w:space="0" w:color="auto"/>
        <w:bottom w:val="none" w:sz="0" w:space="0" w:color="auto"/>
        <w:right w:val="none" w:sz="0" w:space="0" w:color="auto"/>
      </w:divBdr>
    </w:div>
    <w:div w:id="242956626">
      <w:bodyDiv w:val="1"/>
      <w:marLeft w:val="0"/>
      <w:marRight w:val="0"/>
      <w:marTop w:val="0"/>
      <w:marBottom w:val="0"/>
      <w:divBdr>
        <w:top w:val="none" w:sz="0" w:space="0" w:color="auto"/>
        <w:left w:val="none" w:sz="0" w:space="0" w:color="auto"/>
        <w:bottom w:val="none" w:sz="0" w:space="0" w:color="auto"/>
        <w:right w:val="none" w:sz="0" w:space="0" w:color="auto"/>
      </w:divBdr>
    </w:div>
    <w:div w:id="385380335">
      <w:bodyDiv w:val="1"/>
      <w:marLeft w:val="0"/>
      <w:marRight w:val="0"/>
      <w:marTop w:val="0"/>
      <w:marBottom w:val="0"/>
      <w:divBdr>
        <w:top w:val="none" w:sz="0" w:space="0" w:color="auto"/>
        <w:left w:val="none" w:sz="0" w:space="0" w:color="auto"/>
        <w:bottom w:val="none" w:sz="0" w:space="0" w:color="auto"/>
        <w:right w:val="none" w:sz="0" w:space="0" w:color="auto"/>
      </w:divBdr>
    </w:div>
    <w:div w:id="391739290">
      <w:bodyDiv w:val="1"/>
      <w:marLeft w:val="0"/>
      <w:marRight w:val="0"/>
      <w:marTop w:val="0"/>
      <w:marBottom w:val="0"/>
      <w:divBdr>
        <w:top w:val="none" w:sz="0" w:space="0" w:color="auto"/>
        <w:left w:val="none" w:sz="0" w:space="0" w:color="auto"/>
        <w:bottom w:val="none" w:sz="0" w:space="0" w:color="auto"/>
        <w:right w:val="none" w:sz="0" w:space="0" w:color="auto"/>
      </w:divBdr>
    </w:div>
    <w:div w:id="489710872">
      <w:bodyDiv w:val="1"/>
      <w:marLeft w:val="0"/>
      <w:marRight w:val="0"/>
      <w:marTop w:val="0"/>
      <w:marBottom w:val="0"/>
      <w:divBdr>
        <w:top w:val="none" w:sz="0" w:space="0" w:color="auto"/>
        <w:left w:val="none" w:sz="0" w:space="0" w:color="auto"/>
        <w:bottom w:val="none" w:sz="0" w:space="0" w:color="auto"/>
        <w:right w:val="none" w:sz="0" w:space="0" w:color="auto"/>
      </w:divBdr>
    </w:div>
    <w:div w:id="498039437">
      <w:bodyDiv w:val="1"/>
      <w:marLeft w:val="0"/>
      <w:marRight w:val="0"/>
      <w:marTop w:val="0"/>
      <w:marBottom w:val="0"/>
      <w:divBdr>
        <w:top w:val="none" w:sz="0" w:space="0" w:color="auto"/>
        <w:left w:val="none" w:sz="0" w:space="0" w:color="auto"/>
        <w:bottom w:val="none" w:sz="0" w:space="0" w:color="auto"/>
        <w:right w:val="none" w:sz="0" w:space="0" w:color="auto"/>
      </w:divBdr>
    </w:div>
    <w:div w:id="654116073">
      <w:bodyDiv w:val="1"/>
      <w:marLeft w:val="0"/>
      <w:marRight w:val="0"/>
      <w:marTop w:val="0"/>
      <w:marBottom w:val="0"/>
      <w:divBdr>
        <w:top w:val="none" w:sz="0" w:space="0" w:color="auto"/>
        <w:left w:val="none" w:sz="0" w:space="0" w:color="auto"/>
        <w:bottom w:val="none" w:sz="0" w:space="0" w:color="auto"/>
        <w:right w:val="none" w:sz="0" w:space="0" w:color="auto"/>
      </w:divBdr>
    </w:div>
    <w:div w:id="794834060">
      <w:bodyDiv w:val="1"/>
      <w:marLeft w:val="0"/>
      <w:marRight w:val="0"/>
      <w:marTop w:val="0"/>
      <w:marBottom w:val="0"/>
      <w:divBdr>
        <w:top w:val="none" w:sz="0" w:space="0" w:color="auto"/>
        <w:left w:val="none" w:sz="0" w:space="0" w:color="auto"/>
        <w:bottom w:val="none" w:sz="0" w:space="0" w:color="auto"/>
        <w:right w:val="none" w:sz="0" w:space="0" w:color="auto"/>
      </w:divBdr>
    </w:div>
    <w:div w:id="830560870">
      <w:bodyDiv w:val="1"/>
      <w:marLeft w:val="0"/>
      <w:marRight w:val="0"/>
      <w:marTop w:val="0"/>
      <w:marBottom w:val="0"/>
      <w:divBdr>
        <w:top w:val="none" w:sz="0" w:space="0" w:color="auto"/>
        <w:left w:val="none" w:sz="0" w:space="0" w:color="auto"/>
        <w:bottom w:val="none" w:sz="0" w:space="0" w:color="auto"/>
        <w:right w:val="none" w:sz="0" w:space="0" w:color="auto"/>
      </w:divBdr>
    </w:div>
    <w:div w:id="832336978">
      <w:bodyDiv w:val="1"/>
      <w:marLeft w:val="0"/>
      <w:marRight w:val="0"/>
      <w:marTop w:val="0"/>
      <w:marBottom w:val="0"/>
      <w:divBdr>
        <w:top w:val="none" w:sz="0" w:space="0" w:color="auto"/>
        <w:left w:val="none" w:sz="0" w:space="0" w:color="auto"/>
        <w:bottom w:val="none" w:sz="0" w:space="0" w:color="auto"/>
        <w:right w:val="none" w:sz="0" w:space="0" w:color="auto"/>
      </w:divBdr>
    </w:div>
    <w:div w:id="878130172">
      <w:bodyDiv w:val="1"/>
      <w:marLeft w:val="0"/>
      <w:marRight w:val="0"/>
      <w:marTop w:val="0"/>
      <w:marBottom w:val="0"/>
      <w:divBdr>
        <w:top w:val="none" w:sz="0" w:space="0" w:color="auto"/>
        <w:left w:val="none" w:sz="0" w:space="0" w:color="auto"/>
        <w:bottom w:val="none" w:sz="0" w:space="0" w:color="auto"/>
        <w:right w:val="none" w:sz="0" w:space="0" w:color="auto"/>
      </w:divBdr>
    </w:div>
    <w:div w:id="1024289694">
      <w:bodyDiv w:val="1"/>
      <w:marLeft w:val="0"/>
      <w:marRight w:val="0"/>
      <w:marTop w:val="0"/>
      <w:marBottom w:val="0"/>
      <w:divBdr>
        <w:top w:val="none" w:sz="0" w:space="0" w:color="auto"/>
        <w:left w:val="none" w:sz="0" w:space="0" w:color="auto"/>
        <w:bottom w:val="none" w:sz="0" w:space="0" w:color="auto"/>
        <w:right w:val="none" w:sz="0" w:space="0" w:color="auto"/>
      </w:divBdr>
    </w:div>
    <w:div w:id="1054890216">
      <w:bodyDiv w:val="1"/>
      <w:marLeft w:val="0"/>
      <w:marRight w:val="0"/>
      <w:marTop w:val="0"/>
      <w:marBottom w:val="0"/>
      <w:divBdr>
        <w:top w:val="none" w:sz="0" w:space="0" w:color="auto"/>
        <w:left w:val="none" w:sz="0" w:space="0" w:color="auto"/>
        <w:bottom w:val="none" w:sz="0" w:space="0" w:color="auto"/>
        <w:right w:val="none" w:sz="0" w:space="0" w:color="auto"/>
      </w:divBdr>
    </w:div>
    <w:div w:id="1121142889">
      <w:bodyDiv w:val="1"/>
      <w:marLeft w:val="0"/>
      <w:marRight w:val="0"/>
      <w:marTop w:val="0"/>
      <w:marBottom w:val="0"/>
      <w:divBdr>
        <w:top w:val="none" w:sz="0" w:space="0" w:color="auto"/>
        <w:left w:val="none" w:sz="0" w:space="0" w:color="auto"/>
        <w:bottom w:val="none" w:sz="0" w:space="0" w:color="auto"/>
        <w:right w:val="none" w:sz="0" w:space="0" w:color="auto"/>
      </w:divBdr>
    </w:div>
    <w:div w:id="1134369420">
      <w:bodyDiv w:val="1"/>
      <w:marLeft w:val="0"/>
      <w:marRight w:val="0"/>
      <w:marTop w:val="0"/>
      <w:marBottom w:val="0"/>
      <w:divBdr>
        <w:top w:val="none" w:sz="0" w:space="0" w:color="auto"/>
        <w:left w:val="none" w:sz="0" w:space="0" w:color="auto"/>
        <w:bottom w:val="none" w:sz="0" w:space="0" w:color="auto"/>
        <w:right w:val="none" w:sz="0" w:space="0" w:color="auto"/>
      </w:divBdr>
    </w:div>
    <w:div w:id="1144858206">
      <w:bodyDiv w:val="1"/>
      <w:marLeft w:val="0"/>
      <w:marRight w:val="0"/>
      <w:marTop w:val="0"/>
      <w:marBottom w:val="0"/>
      <w:divBdr>
        <w:top w:val="none" w:sz="0" w:space="0" w:color="auto"/>
        <w:left w:val="none" w:sz="0" w:space="0" w:color="auto"/>
        <w:bottom w:val="none" w:sz="0" w:space="0" w:color="auto"/>
        <w:right w:val="none" w:sz="0" w:space="0" w:color="auto"/>
      </w:divBdr>
    </w:div>
    <w:div w:id="1225411555">
      <w:bodyDiv w:val="1"/>
      <w:marLeft w:val="0"/>
      <w:marRight w:val="0"/>
      <w:marTop w:val="0"/>
      <w:marBottom w:val="0"/>
      <w:divBdr>
        <w:top w:val="none" w:sz="0" w:space="0" w:color="auto"/>
        <w:left w:val="none" w:sz="0" w:space="0" w:color="auto"/>
        <w:bottom w:val="none" w:sz="0" w:space="0" w:color="auto"/>
        <w:right w:val="none" w:sz="0" w:space="0" w:color="auto"/>
      </w:divBdr>
    </w:div>
    <w:div w:id="1256597515">
      <w:bodyDiv w:val="1"/>
      <w:marLeft w:val="0"/>
      <w:marRight w:val="0"/>
      <w:marTop w:val="0"/>
      <w:marBottom w:val="0"/>
      <w:divBdr>
        <w:top w:val="none" w:sz="0" w:space="0" w:color="auto"/>
        <w:left w:val="none" w:sz="0" w:space="0" w:color="auto"/>
        <w:bottom w:val="none" w:sz="0" w:space="0" w:color="auto"/>
        <w:right w:val="none" w:sz="0" w:space="0" w:color="auto"/>
      </w:divBdr>
    </w:div>
    <w:div w:id="1258833441">
      <w:bodyDiv w:val="1"/>
      <w:marLeft w:val="0"/>
      <w:marRight w:val="0"/>
      <w:marTop w:val="0"/>
      <w:marBottom w:val="0"/>
      <w:divBdr>
        <w:top w:val="none" w:sz="0" w:space="0" w:color="auto"/>
        <w:left w:val="none" w:sz="0" w:space="0" w:color="auto"/>
        <w:bottom w:val="none" w:sz="0" w:space="0" w:color="auto"/>
        <w:right w:val="none" w:sz="0" w:space="0" w:color="auto"/>
      </w:divBdr>
    </w:div>
    <w:div w:id="1289165870">
      <w:bodyDiv w:val="1"/>
      <w:marLeft w:val="0"/>
      <w:marRight w:val="0"/>
      <w:marTop w:val="0"/>
      <w:marBottom w:val="0"/>
      <w:divBdr>
        <w:top w:val="none" w:sz="0" w:space="0" w:color="auto"/>
        <w:left w:val="none" w:sz="0" w:space="0" w:color="auto"/>
        <w:bottom w:val="none" w:sz="0" w:space="0" w:color="auto"/>
        <w:right w:val="none" w:sz="0" w:space="0" w:color="auto"/>
      </w:divBdr>
    </w:div>
    <w:div w:id="1315793774">
      <w:bodyDiv w:val="1"/>
      <w:marLeft w:val="0"/>
      <w:marRight w:val="0"/>
      <w:marTop w:val="0"/>
      <w:marBottom w:val="0"/>
      <w:divBdr>
        <w:top w:val="none" w:sz="0" w:space="0" w:color="auto"/>
        <w:left w:val="none" w:sz="0" w:space="0" w:color="auto"/>
        <w:bottom w:val="none" w:sz="0" w:space="0" w:color="auto"/>
        <w:right w:val="none" w:sz="0" w:space="0" w:color="auto"/>
      </w:divBdr>
    </w:div>
    <w:div w:id="1317877892">
      <w:bodyDiv w:val="1"/>
      <w:marLeft w:val="0"/>
      <w:marRight w:val="0"/>
      <w:marTop w:val="0"/>
      <w:marBottom w:val="0"/>
      <w:divBdr>
        <w:top w:val="none" w:sz="0" w:space="0" w:color="auto"/>
        <w:left w:val="none" w:sz="0" w:space="0" w:color="auto"/>
        <w:bottom w:val="none" w:sz="0" w:space="0" w:color="auto"/>
        <w:right w:val="none" w:sz="0" w:space="0" w:color="auto"/>
      </w:divBdr>
    </w:div>
    <w:div w:id="1321227332">
      <w:bodyDiv w:val="1"/>
      <w:marLeft w:val="0"/>
      <w:marRight w:val="0"/>
      <w:marTop w:val="0"/>
      <w:marBottom w:val="0"/>
      <w:divBdr>
        <w:top w:val="none" w:sz="0" w:space="0" w:color="auto"/>
        <w:left w:val="none" w:sz="0" w:space="0" w:color="auto"/>
        <w:bottom w:val="none" w:sz="0" w:space="0" w:color="auto"/>
        <w:right w:val="none" w:sz="0" w:space="0" w:color="auto"/>
      </w:divBdr>
    </w:div>
    <w:div w:id="1367097435">
      <w:bodyDiv w:val="1"/>
      <w:marLeft w:val="0"/>
      <w:marRight w:val="0"/>
      <w:marTop w:val="0"/>
      <w:marBottom w:val="0"/>
      <w:divBdr>
        <w:top w:val="none" w:sz="0" w:space="0" w:color="auto"/>
        <w:left w:val="none" w:sz="0" w:space="0" w:color="auto"/>
        <w:bottom w:val="none" w:sz="0" w:space="0" w:color="auto"/>
        <w:right w:val="none" w:sz="0" w:space="0" w:color="auto"/>
      </w:divBdr>
    </w:div>
    <w:div w:id="1378354956">
      <w:bodyDiv w:val="1"/>
      <w:marLeft w:val="0"/>
      <w:marRight w:val="0"/>
      <w:marTop w:val="0"/>
      <w:marBottom w:val="0"/>
      <w:divBdr>
        <w:top w:val="none" w:sz="0" w:space="0" w:color="auto"/>
        <w:left w:val="none" w:sz="0" w:space="0" w:color="auto"/>
        <w:bottom w:val="none" w:sz="0" w:space="0" w:color="auto"/>
        <w:right w:val="none" w:sz="0" w:space="0" w:color="auto"/>
      </w:divBdr>
    </w:div>
    <w:div w:id="1381133335">
      <w:bodyDiv w:val="1"/>
      <w:marLeft w:val="0"/>
      <w:marRight w:val="0"/>
      <w:marTop w:val="0"/>
      <w:marBottom w:val="0"/>
      <w:divBdr>
        <w:top w:val="none" w:sz="0" w:space="0" w:color="auto"/>
        <w:left w:val="none" w:sz="0" w:space="0" w:color="auto"/>
        <w:bottom w:val="none" w:sz="0" w:space="0" w:color="auto"/>
        <w:right w:val="none" w:sz="0" w:space="0" w:color="auto"/>
      </w:divBdr>
    </w:div>
    <w:div w:id="1387027613">
      <w:bodyDiv w:val="1"/>
      <w:marLeft w:val="0"/>
      <w:marRight w:val="0"/>
      <w:marTop w:val="0"/>
      <w:marBottom w:val="0"/>
      <w:divBdr>
        <w:top w:val="none" w:sz="0" w:space="0" w:color="auto"/>
        <w:left w:val="none" w:sz="0" w:space="0" w:color="auto"/>
        <w:bottom w:val="none" w:sz="0" w:space="0" w:color="auto"/>
        <w:right w:val="none" w:sz="0" w:space="0" w:color="auto"/>
      </w:divBdr>
    </w:div>
    <w:div w:id="1420561658">
      <w:bodyDiv w:val="1"/>
      <w:marLeft w:val="0"/>
      <w:marRight w:val="0"/>
      <w:marTop w:val="0"/>
      <w:marBottom w:val="0"/>
      <w:divBdr>
        <w:top w:val="none" w:sz="0" w:space="0" w:color="auto"/>
        <w:left w:val="none" w:sz="0" w:space="0" w:color="auto"/>
        <w:bottom w:val="none" w:sz="0" w:space="0" w:color="auto"/>
        <w:right w:val="none" w:sz="0" w:space="0" w:color="auto"/>
      </w:divBdr>
    </w:div>
    <w:div w:id="1468430074">
      <w:bodyDiv w:val="1"/>
      <w:marLeft w:val="0"/>
      <w:marRight w:val="0"/>
      <w:marTop w:val="0"/>
      <w:marBottom w:val="0"/>
      <w:divBdr>
        <w:top w:val="none" w:sz="0" w:space="0" w:color="auto"/>
        <w:left w:val="none" w:sz="0" w:space="0" w:color="auto"/>
        <w:bottom w:val="none" w:sz="0" w:space="0" w:color="auto"/>
        <w:right w:val="none" w:sz="0" w:space="0" w:color="auto"/>
      </w:divBdr>
    </w:div>
    <w:div w:id="1524242327">
      <w:bodyDiv w:val="1"/>
      <w:marLeft w:val="0"/>
      <w:marRight w:val="0"/>
      <w:marTop w:val="0"/>
      <w:marBottom w:val="0"/>
      <w:divBdr>
        <w:top w:val="none" w:sz="0" w:space="0" w:color="auto"/>
        <w:left w:val="none" w:sz="0" w:space="0" w:color="auto"/>
        <w:bottom w:val="none" w:sz="0" w:space="0" w:color="auto"/>
        <w:right w:val="none" w:sz="0" w:space="0" w:color="auto"/>
      </w:divBdr>
    </w:div>
    <w:div w:id="1569607352">
      <w:bodyDiv w:val="1"/>
      <w:marLeft w:val="0"/>
      <w:marRight w:val="0"/>
      <w:marTop w:val="0"/>
      <w:marBottom w:val="0"/>
      <w:divBdr>
        <w:top w:val="none" w:sz="0" w:space="0" w:color="auto"/>
        <w:left w:val="none" w:sz="0" w:space="0" w:color="auto"/>
        <w:bottom w:val="none" w:sz="0" w:space="0" w:color="auto"/>
        <w:right w:val="none" w:sz="0" w:space="0" w:color="auto"/>
      </w:divBdr>
    </w:div>
    <w:div w:id="1594972636">
      <w:bodyDiv w:val="1"/>
      <w:marLeft w:val="0"/>
      <w:marRight w:val="0"/>
      <w:marTop w:val="0"/>
      <w:marBottom w:val="0"/>
      <w:divBdr>
        <w:top w:val="none" w:sz="0" w:space="0" w:color="auto"/>
        <w:left w:val="none" w:sz="0" w:space="0" w:color="auto"/>
        <w:bottom w:val="none" w:sz="0" w:space="0" w:color="auto"/>
        <w:right w:val="none" w:sz="0" w:space="0" w:color="auto"/>
      </w:divBdr>
    </w:div>
    <w:div w:id="1685669123">
      <w:bodyDiv w:val="1"/>
      <w:marLeft w:val="0"/>
      <w:marRight w:val="0"/>
      <w:marTop w:val="0"/>
      <w:marBottom w:val="0"/>
      <w:divBdr>
        <w:top w:val="none" w:sz="0" w:space="0" w:color="auto"/>
        <w:left w:val="none" w:sz="0" w:space="0" w:color="auto"/>
        <w:bottom w:val="none" w:sz="0" w:space="0" w:color="auto"/>
        <w:right w:val="none" w:sz="0" w:space="0" w:color="auto"/>
      </w:divBdr>
    </w:div>
    <w:div w:id="1745488435">
      <w:bodyDiv w:val="1"/>
      <w:marLeft w:val="0"/>
      <w:marRight w:val="0"/>
      <w:marTop w:val="0"/>
      <w:marBottom w:val="0"/>
      <w:divBdr>
        <w:top w:val="none" w:sz="0" w:space="0" w:color="auto"/>
        <w:left w:val="none" w:sz="0" w:space="0" w:color="auto"/>
        <w:bottom w:val="none" w:sz="0" w:space="0" w:color="auto"/>
        <w:right w:val="none" w:sz="0" w:space="0" w:color="auto"/>
      </w:divBdr>
    </w:div>
    <w:div w:id="1772432564">
      <w:bodyDiv w:val="1"/>
      <w:marLeft w:val="0"/>
      <w:marRight w:val="0"/>
      <w:marTop w:val="0"/>
      <w:marBottom w:val="0"/>
      <w:divBdr>
        <w:top w:val="none" w:sz="0" w:space="0" w:color="auto"/>
        <w:left w:val="none" w:sz="0" w:space="0" w:color="auto"/>
        <w:bottom w:val="none" w:sz="0" w:space="0" w:color="auto"/>
        <w:right w:val="none" w:sz="0" w:space="0" w:color="auto"/>
      </w:divBdr>
    </w:div>
    <w:div w:id="1809007914">
      <w:bodyDiv w:val="1"/>
      <w:marLeft w:val="0"/>
      <w:marRight w:val="0"/>
      <w:marTop w:val="0"/>
      <w:marBottom w:val="0"/>
      <w:divBdr>
        <w:top w:val="none" w:sz="0" w:space="0" w:color="auto"/>
        <w:left w:val="none" w:sz="0" w:space="0" w:color="auto"/>
        <w:bottom w:val="none" w:sz="0" w:space="0" w:color="auto"/>
        <w:right w:val="none" w:sz="0" w:space="0" w:color="auto"/>
      </w:divBdr>
    </w:div>
    <w:div w:id="209952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8-00-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008-00-SKB SPC Hum skabelon</Template>
  <TotalTime>29</TotalTime>
  <Pages>15</Pages>
  <Words>4826</Words>
  <Characters>30746</Characters>
  <Application>Microsoft Office Word</Application>
  <DocSecurity>0</DocSecurity>
  <Lines>256</Lines>
  <Paragraphs>71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2020083244 mt</dc:description>
  <cp:lastModifiedBy>Hanne Thy Iversen</cp:lastModifiedBy>
  <cp:revision>15</cp:revision>
  <cp:lastPrinted>2012-08-22T08:53:00Z</cp:lastPrinted>
  <dcterms:created xsi:type="dcterms:W3CDTF">2022-09-05T13:06:00Z</dcterms:created>
  <dcterms:modified xsi:type="dcterms:W3CDTF">2022-09-06T09:12:00Z</dcterms:modified>
</cp:coreProperties>
</file>