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E4280" w14:textId="77777777" w:rsidR="009260DE" w:rsidRPr="00C84483" w:rsidRDefault="0021526C" w:rsidP="009F0DD7">
      <w:pPr>
        <w:rPr>
          <w:b/>
          <w:szCs w:val="24"/>
        </w:rPr>
      </w:pPr>
      <w:r w:rsidRPr="009260DE">
        <w:rPr>
          <w:noProof/>
          <w:sz w:val="24"/>
          <w:szCs w:val="24"/>
          <w:lang w:eastAsia="da-DK"/>
        </w:rPr>
        <w:drawing>
          <wp:anchor distT="0" distB="0" distL="114300" distR="114300" simplePos="0" relativeHeight="251658240" behindDoc="0" locked="0" layoutInCell="1" allowOverlap="1" wp14:anchorId="7D62B2C1" wp14:editId="4E70909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6EA2448" w14:textId="01419C32" w:rsidR="009260DE" w:rsidRPr="00D00E10" w:rsidRDefault="009260DE" w:rsidP="009260DE">
      <w:pPr>
        <w:pStyle w:val="Titel"/>
        <w:tabs>
          <w:tab w:val="right" w:pos="9356"/>
        </w:tabs>
        <w:jc w:val="left"/>
        <w:rPr>
          <w:b w:val="0"/>
          <w:szCs w:val="24"/>
          <w:lang w:eastAsia="en-US"/>
        </w:rPr>
      </w:pPr>
      <w:r w:rsidRPr="00C84483">
        <w:rPr>
          <w:b w:val="0"/>
          <w:szCs w:val="24"/>
          <w:lang w:eastAsia="en-US"/>
        </w:rPr>
        <w:tab/>
      </w:r>
      <w:r w:rsidR="009E7E19" w:rsidRPr="00D00E10">
        <w:rPr>
          <w:szCs w:val="24"/>
        </w:rPr>
        <w:t>1</w:t>
      </w:r>
      <w:r w:rsidR="00D00E10">
        <w:rPr>
          <w:szCs w:val="24"/>
        </w:rPr>
        <w:t>6</w:t>
      </w:r>
      <w:r w:rsidR="009E7E19" w:rsidRPr="00D00E10">
        <w:rPr>
          <w:szCs w:val="24"/>
        </w:rPr>
        <w:t>. juli 2020</w:t>
      </w:r>
    </w:p>
    <w:p w14:paraId="1F7EBAB2" w14:textId="77777777" w:rsidR="009260DE" w:rsidRPr="00D00E10" w:rsidRDefault="009260DE" w:rsidP="009260DE">
      <w:pPr>
        <w:pStyle w:val="Titel"/>
        <w:tabs>
          <w:tab w:val="left" w:pos="8222"/>
        </w:tabs>
        <w:jc w:val="left"/>
        <w:rPr>
          <w:b w:val="0"/>
          <w:szCs w:val="24"/>
        </w:rPr>
      </w:pPr>
    </w:p>
    <w:p w14:paraId="5BCCFEA7" w14:textId="77777777" w:rsidR="009260DE" w:rsidRPr="00D00E10" w:rsidRDefault="009260DE" w:rsidP="009260DE">
      <w:pPr>
        <w:pStyle w:val="Titel"/>
        <w:jc w:val="left"/>
        <w:rPr>
          <w:b w:val="0"/>
          <w:szCs w:val="24"/>
        </w:rPr>
      </w:pPr>
    </w:p>
    <w:p w14:paraId="62522B27" w14:textId="77777777" w:rsidR="009260DE" w:rsidRPr="009E7E19" w:rsidRDefault="009260DE" w:rsidP="009260DE">
      <w:pPr>
        <w:jc w:val="center"/>
        <w:rPr>
          <w:b/>
          <w:sz w:val="24"/>
          <w:szCs w:val="24"/>
        </w:rPr>
      </w:pPr>
      <w:r w:rsidRPr="009E7E19">
        <w:rPr>
          <w:b/>
          <w:sz w:val="24"/>
          <w:szCs w:val="24"/>
        </w:rPr>
        <w:t>PRODUKTRESUMÉ</w:t>
      </w:r>
    </w:p>
    <w:p w14:paraId="054E52E2" w14:textId="77777777" w:rsidR="009260DE" w:rsidRPr="009E7E19" w:rsidRDefault="009260DE" w:rsidP="009260DE">
      <w:pPr>
        <w:jc w:val="center"/>
        <w:rPr>
          <w:b/>
          <w:sz w:val="24"/>
          <w:szCs w:val="24"/>
        </w:rPr>
      </w:pPr>
    </w:p>
    <w:p w14:paraId="28CE682B" w14:textId="77777777" w:rsidR="009260DE" w:rsidRPr="009E7E19" w:rsidRDefault="009260DE" w:rsidP="009260DE">
      <w:pPr>
        <w:jc w:val="center"/>
        <w:rPr>
          <w:b/>
          <w:sz w:val="24"/>
          <w:szCs w:val="24"/>
        </w:rPr>
      </w:pPr>
      <w:r w:rsidRPr="009E7E19">
        <w:rPr>
          <w:b/>
          <w:sz w:val="24"/>
          <w:szCs w:val="24"/>
        </w:rPr>
        <w:t>for</w:t>
      </w:r>
    </w:p>
    <w:p w14:paraId="117EF8B7" w14:textId="77777777" w:rsidR="000B058C" w:rsidRPr="009E7E19" w:rsidRDefault="000B058C" w:rsidP="009260DE">
      <w:pPr>
        <w:jc w:val="center"/>
        <w:rPr>
          <w:b/>
          <w:sz w:val="24"/>
          <w:szCs w:val="24"/>
        </w:rPr>
      </w:pPr>
    </w:p>
    <w:p w14:paraId="4F1835B5" w14:textId="77777777" w:rsidR="009260DE" w:rsidRPr="009E7E19" w:rsidRDefault="00DF7CFC" w:rsidP="009260DE">
      <w:pPr>
        <w:jc w:val="center"/>
        <w:rPr>
          <w:b/>
          <w:sz w:val="24"/>
          <w:szCs w:val="24"/>
        </w:rPr>
      </w:pPr>
      <w:r w:rsidRPr="009E7E19">
        <w:rPr>
          <w:b/>
          <w:sz w:val="24"/>
          <w:szCs w:val="24"/>
        </w:rPr>
        <w:t>Lidocain/Prilocain "IDD", medicinsk plaster</w:t>
      </w:r>
    </w:p>
    <w:p w14:paraId="6ED1478E" w14:textId="77777777" w:rsidR="009260DE" w:rsidRPr="008F5D0B" w:rsidRDefault="009260DE" w:rsidP="009260DE">
      <w:pPr>
        <w:jc w:val="both"/>
        <w:rPr>
          <w:sz w:val="24"/>
          <w:szCs w:val="24"/>
        </w:rPr>
      </w:pPr>
    </w:p>
    <w:p w14:paraId="6DB2F484" w14:textId="77777777" w:rsidR="009260DE" w:rsidRPr="008F5D0B" w:rsidRDefault="009260DE" w:rsidP="009260DE">
      <w:pPr>
        <w:jc w:val="both"/>
        <w:rPr>
          <w:sz w:val="24"/>
          <w:szCs w:val="24"/>
        </w:rPr>
      </w:pPr>
    </w:p>
    <w:p w14:paraId="055B5562"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1BE73398" w14:textId="77777777" w:rsidR="009260DE" w:rsidRPr="00C84483" w:rsidRDefault="008F5D0B" w:rsidP="009260DE">
      <w:pPr>
        <w:tabs>
          <w:tab w:val="left" w:pos="851"/>
        </w:tabs>
        <w:ind w:left="851"/>
        <w:rPr>
          <w:sz w:val="24"/>
          <w:szCs w:val="24"/>
        </w:rPr>
      </w:pPr>
      <w:r>
        <w:rPr>
          <w:sz w:val="24"/>
          <w:szCs w:val="24"/>
        </w:rPr>
        <w:t>31494</w:t>
      </w:r>
    </w:p>
    <w:p w14:paraId="0FB32164" w14:textId="77777777" w:rsidR="009260DE" w:rsidRPr="00C84483" w:rsidRDefault="009260DE" w:rsidP="009260DE">
      <w:pPr>
        <w:tabs>
          <w:tab w:val="left" w:pos="851"/>
        </w:tabs>
        <w:ind w:left="851"/>
        <w:rPr>
          <w:sz w:val="24"/>
          <w:szCs w:val="24"/>
        </w:rPr>
      </w:pPr>
    </w:p>
    <w:p w14:paraId="6614C4A1"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5C84362" w14:textId="77777777" w:rsidR="009260DE" w:rsidRPr="00C84483" w:rsidRDefault="00B45249" w:rsidP="009260DE">
      <w:pPr>
        <w:tabs>
          <w:tab w:val="left" w:pos="851"/>
        </w:tabs>
        <w:ind w:left="851"/>
        <w:rPr>
          <w:sz w:val="24"/>
          <w:szCs w:val="24"/>
        </w:rPr>
      </w:pPr>
      <w:r w:rsidRPr="00B45249">
        <w:rPr>
          <w:sz w:val="24"/>
          <w:szCs w:val="24"/>
        </w:rPr>
        <w:t>Lidocain</w:t>
      </w:r>
      <w:r w:rsidR="007B1E77">
        <w:rPr>
          <w:sz w:val="24"/>
          <w:szCs w:val="24"/>
        </w:rPr>
        <w:t>/</w:t>
      </w:r>
      <w:r w:rsidRPr="00B45249">
        <w:rPr>
          <w:sz w:val="24"/>
          <w:szCs w:val="24"/>
        </w:rPr>
        <w:t xml:space="preserve">Prilocain </w:t>
      </w:r>
      <w:r>
        <w:rPr>
          <w:sz w:val="24"/>
          <w:szCs w:val="24"/>
        </w:rPr>
        <w:t>"</w:t>
      </w:r>
      <w:r w:rsidRPr="00B45249">
        <w:rPr>
          <w:sz w:val="24"/>
          <w:szCs w:val="24"/>
        </w:rPr>
        <w:t>IDD</w:t>
      </w:r>
      <w:r>
        <w:rPr>
          <w:sz w:val="24"/>
          <w:szCs w:val="24"/>
        </w:rPr>
        <w:t>"</w:t>
      </w:r>
    </w:p>
    <w:p w14:paraId="2ECDD9D9" w14:textId="77777777" w:rsidR="009260DE" w:rsidRPr="00C84483" w:rsidRDefault="009260DE" w:rsidP="009260DE">
      <w:pPr>
        <w:tabs>
          <w:tab w:val="left" w:pos="851"/>
        </w:tabs>
        <w:ind w:left="851"/>
        <w:rPr>
          <w:sz w:val="24"/>
          <w:szCs w:val="24"/>
        </w:rPr>
      </w:pPr>
    </w:p>
    <w:p w14:paraId="2A2B2C1B"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547CC38" w14:textId="77777777" w:rsidR="00A5384F" w:rsidRPr="00A5384F" w:rsidRDefault="00A5384F" w:rsidP="00A5384F">
      <w:pPr>
        <w:tabs>
          <w:tab w:val="left" w:pos="851"/>
        </w:tabs>
        <w:ind w:left="851"/>
        <w:rPr>
          <w:iCs/>
          <w:sz w:val="24"/>
          <w:szCs w:val="24"/>
        </w:rPr>
      </w:pPr>
      <w:r w:rsidRPr="00A5384F">
        <w:rPr>
          <w:sz w:val="24"/>
          <w:szCs w:val="24"/>
        </w:rPr>
        <w:t>Et medicinsk plaster indeholder 1 g emulsion med 25 mg lidocain og 25 mg prilocain.</w:t>
      </w:r>
    </w:p>
    <w:p w14:paraId="3E7253F7" w14:textId="77777777" w:rsidR="00A5384F" w:rsidRPr="00A5384F" w:rsidRDefault="00A5384F" w:rsidP="00A5384F">
      <w:pPr>
        <w:tabs>
          <w:tab w:val="left" w:pos="851"/>
        </w:tabs>
        <w:ind w:left="851"/>
        <w:rPr>
          <w:sz w:val="24"/>
          <w:szCs w:val="24"/>
          <w:u w:val="single"/>
        </w:rPr>
      </w:pPr>
    </w:p>
    <w:p w14:paraId="430BF97B" w14:textId="77777777" w:rsidR="00A5384F" w:rsidRPr="00A5384F" w:rsidRDefault="00A5384F" w:rsidP="00A5384F">
      <w:pPr>
        <w:tabs>
          <w:tab w:val="left" w:pos="851"/>
        </w:tabs>
        <w:ind w:left="851"/>
        <w:rPr>
          <w:sz w:val="24"/>
          <w:szCs w:val="24"/>
        </w:rPr>
      </w:pPr>
      <w:r w:rsidRPr="00A5384F">
        <w:rPr>
          <w:sz w:val="24"/>
          <w:szCs w:val="24"/>
          <w:u w:val="single"/>
        </w:rPr>
        <w:t>Hjælpestoffer, som behandleren skal være opmærksom på</w:t>
      </w:r>
    </w:p>
    <w:p w14:paraId="3D6EB9DA" w14:textId="77777777" w:rsidR="00A5384F" w:rsidRPr="00A5384F" w:rsidRDefault="00A5384F" w:rsidP="00A5384F">
      <w:pPr>
        <w:tabs>
          <w:tab w:val="left" w:pos="851"/>
        </w:tabs>
        <w:ind w:left="851"/>
        <w:rPr>
          <w:iCs/>
          <w:sz w:val="24"/>
          <w:szCs w:val="24"/>
        </w:rPr>
      </w:pPr>
      <w:r w:rsidRPr="00A5384F">
        <w:rPr>
          <w:sz w:val="24"/>
          <w:szCs w:val="24"/>
        </w:rPr>
        <w:t>Ricinusolie, polyoxyleret, hydrogeneret. Se pkt. 4.4.</w:t>
      </w:r>
    </w:p>
    <w:p w14:paraId="5BDCB5B0" w14:textId="77777777" w:rsidR="00A5384F" w:rsidRPr="00A5384F" w:rsidRDefault="00A5384F" w:rsidP="00A5384F">
      <w:pPr>
        <w:tabs>
          <w:tab w:val="left" w:pos="851"/>
        </w:tabs>
        <w:ind w:left="851"/>
        <w:rPr>
          <w:sz w:val="24"/>
          <w:szCs w:val="24"/>
        </w:rPr>
      </w:pPr>
    </w:p>
    <w:p w14:paraId="3D330471" w14:textId="77777777" w:rsidR="00A5384F" w:rsidRPr="00A5384F" w:rsidRDefault="00A5384F" w:rsidP="00A5384F">
      <w:pPr>
        <w:tabs>
          <w:tab w:val="left" w:pos="851"/>
        </w:tabs>
        <w:ind w:left="851"/>
        <w:rPr>
          <w:iCs/>
          <w:sz w:val="24"/>
          <w:szCs w:val="24"/>
        </w:rPr>
      </w:pPr>
      <w:r w:rsidRPr="00A5384F">
        <w:rPr>
          <w:sz w:val="24"/>
          <w:szCs w:val="24"/>
        </w:rPr>
        <w:t>Alle hjælpestoffer er anført under pkt. 6.1.</w:t>
      </w:r>
    </w:p>
    <w:p w14:paraId="693E4548" w14:textId="77777777" w:rsidR="00A5384F" w:rsidRPr="00A5384F" w:rsidRDefault="00A5384F" w:rsidP="00A5384F">
      <w:pPr>
        <w:tabs>
          <w:tab w:val="left" w:pos="851"/>
        </w:tabs>
        <w:ind w:left="851"/>
        <w:rPr>
          <w:sz w:val="24"/>
          <w:szCs w:val="24"/>
        </w:rPr>
      </w:pPr>
    </w:p>
    <w:p w14:paraId="14F4BA05" w14:textId="77777777" w:rsidR="00A5384F" w:rsidRPr="00A5384F" w:rsidRDefault="00A5384F" w:rsidP="00A5384F">
      <w:pPr>
        <w:tabs>
          <w:tab w:val="left" w:pos="851"/>
        </w:tabs>
        <w:ind w:left="851"/>
        <w:rPr>
          <w:sz w:val="24"/>
          <w:szCs w:val="24"/>
        </w:rPr>
      </w:pPr>
      <w:r w:rsidRPr="00A5384F">
        <w:rPr>
          <w:sz w:val="24"/>
          <w:szCs w:val="24"/>
        </w:rPr>
        <w:t>Et medicinsk plaster indeholder 0,02 g macrogolglycerol hydroxystearat (castor olie).</w:t>
      </w:r>
    </w:p>
    <w:p w14:paraId="0B9103A6" w14:textId="77777777" w:rsidR="009260DE" w:rsidRPr="00C84483" w:rsidRDefault="009260DE" w:rsidP="009260DE">
      <w:pPr>
        <w:tabs>
          <w:tab w:val="left" w:pos="851"/>
        </w:tabs>
        <w:ind w:left="851"/>
        <w:rPr>
          <w:sz w:val="24"/>
          <w:szCs w:val="24"/>
        </w:rPr>
      </w:pPr>
    </w:p>
    <w:p w14:paraId="5545A2C3"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B81FA2A" w14:textId="77777777" w:rsidR="009260DE" w:rsidRPr="00C84483" w:rsidRDefault="007B1E77" w:rsidP="009260DE">
      <w:pPr>
        <w:tabs>
          <w:tab w:val="left" w:pos="851"/>
        </w:tabs>
        <w:ind w:left="851"/>
        <w:rPr>
          <w:sz w:val="24"/>
          <w:szCs w:val="24"/>
        </w:rPr>
      </w:pPr>
      <w:r>
        <w:rPr>
          <w:sz w:val="24"/>
          <w:szCs w:val="24"/>
        </w:rPr>
        <w:t>Medicinsk plaster</w:t>
      </w:r>
    </w:p>
    <w:p w14:paraId="7467099A" w14:textId="77777777" w:rsidR="009260DE" w:rsidRPr="00C84483" w:rsidRDefault="009260DE" w:rsidP="009260DE">
      <w:pPr>
        <w:tabs>
          <w:tab w:val="left" w:pos="851"/>
        </w:tabs>
        <w:ind w:left="851"/>
        <w:rPr>
          <w:sz w:val="24"/>
          <w:szCs w:val="24"/>
        </w:rPr>
      </w:pPr>
    </w:p>
    <w:p w14:paraId="2FE84BF6" w14:textId="77777777" w:rsidR="009260DE" w:rsidRPr="00C84483" w:rsidRDefault="009260DE" w:rsidP="009260DE">
      <w:pPr>
        <w:tabs>
          <w:tab w:val="left" w:pos="851"/>
        </w:tabs>
        <w:ind w:left="851"/>
        <w:rPr>
          <w:sz w:val="24"/>
          <w:szCs w:val="24"/>
        </w:rPr>
      </w:pPr>
    </w:p>
    <w:p w14:paraId="7DB6EF4F"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E07ACD2" w14:textId="77777777" w:rsidR="009260DE" w:rsidRPr="00C84483" w:rsidRDefault="009260DE" w:rsidP="009260DE">
      <w:pPr>
        <w:tabs>
          <w:tab w:val="left" w:pos="851"/>
        </w:tabs>
        <w:ind w:left="851"/>
        <w:rPr>
          <w:b/>
          <w:sz w:val="24"/>
          <w:szCs w:val="24"/>
        </w:rPr>
      </w:pPr>
    </w:p>
    <w:p w14:paraId="377DEFB2"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5615FCB" w14:textId="77777777" w:rsidR="00627B6F" w:rsidRPr="00627B6F" w:rsidRDefault="00627B6F" w:rsidP="00627B6F">
      <w:pPr>
        <w:tabs>
          <w:tab w:val="left" w:pos="851"/>
        </w:tabs>
        <w:ind w:left="851"/>
        <w:rPr>
          <w:sz w:val="24"/>
          <w:szCs w:val="24"/>
        </w:rPr>
      </w:pPr>
      <w:r w:rsidRPr="00627B6F">
        <w:rPr>
          <w:sz w:val="24"/>
          <w:szCs w:val="24"/>
        </w:rPr>
        <w:t>Lidocain/Prilocain "IDD" er indiceret til:</w:t>
      </w:r>
    </w:p>
    <w:p w14:paraId="33A4F0AC" w14:textId="77777777" w:rsidR="00627B6F" w:rsidRPr="00627B6F" w:rsidRDefault="00627B6F" w:rsidP="00627B6F">
      <w:pPr>
        <w:tabs>
          <w:tab w:val="left" w:pos="851"/>
        </w:tabs>
        <w:ind w:left="851"/>
        <w:rPr>
          <w:sz w:val="24"/>
          <w:szCs w:val="24"/>
        </w:rPr>
      </w:pPr>
      <w:r w:rsidRPr="00627B6F">
        <w:rPr>
          <w:sz w:val="24"/>
          <w:szCs w:val="24"/>
        </w:rPr>
        <w:t>Overfladeanæstesi af en intakt hud i forbindelse med:</w:t>
      </w:r>
    </w:p>
    <w:p w14:paraId="59B1CF20" w14:textId="77777777" w:rsidR="00627B6F" w:rsidRPr="00627B6F" w:rsidRDefault="00627B6F" w:rsidP="009F0DD7">
      <w:pPr>
        <w:numPr>
          <w:ilvl w:val="0"/>
          <w:numId w:val="6"/>
        </w:numPr>
        <w:tabs>
          <w:tab w:val="left" w:pos="851"/>
        </w:tabs>
        <w:ind w:left="1134" w:hanging="283"/>
        <w:rPr>
          <w:sz w:val="24"/>
          <w:szCs w:val="24"/>
        </w:rPr>
      </w:pPr>
      <w:r w:rsidRPr="00627B6F">
        <w:rPr>
          <w:sz w:val="24"/>
          <w:szCs w:val="24"/>
        </w:rPr>
        <w:t>Indstik</w:t>
      </w:r>
      <w:r w:rsidR="009F0DD7">
        <w:rPr>
          <w:sz w:val="24"/>
          <w:szCs w:val="24"/>
        </w:rPr>
        <w:t xml:space="preserve"> </w:t>
      </w:r>
      <w:r w:rsidRPr="00627B6F">
        <w:rPr>
          <w:sz w:val="24"/>
          <w:szCs w:val="24"/>
        </w:rPr>
        <w:t>af</w:t>
      </w:r>
      <w:r w:rsidR="009F0DD7">
        <w:rPr>
          <w:sz w:val="24"/>
          <w:szCs w:val="24"/>
        </w:rPr>
        <w:t xml:space="preserve"> </w:t>
      </w:r>
      <w:r w:rsidRPr="00627B6F">
        <w:rPr>
          <w:sz w:val="24"/>
          <w:szCs w:val="24"/>
        </w:rPr>
        <w:t>kanyle, f.eks. intravenøst kateter eller blodprøve,</w:t>
      </w:r>
    </w:p>
    <w:p w14:paraId="1563D3E5" w14:textId="77777777" w:rsidR="00627B6F" w:rsidRPr="00627B6F" w:rsidRDefault="00627B6F" w:rsidP="009F0DD7">
      <w:pPr>
        <w:numPr>
          <w:ilvl w:val="0"/>
          <w:numId w:val="6"/>
        </w:numPr>
        <w:tabs>
          <w:tab w:val="left" w:pos="851"/>
        </w:tabs>
        <w:ind w:left="1134" w:hanging="283"/>
        <w:rPr>
          <w:sz w:val="24"/>
          <w:szCs w:val="24"/>
        </w:rPr>
      </w:pPr>
      <w:r w:rsidRPr="00627B6F">
        <w:rPr>
          <w:sz w:val="24"/>
          <w:szCs w:val="24"/>
        </w:rPr>
        <w:t>Overfladekirurgi</w:t>
      </w:r>
    </w:p>
    <w:p w14:paraId="31C4C6CB" w14:textId="77777777" w:rsidR="00627B6F" w:rsidRPr="00627B6F" w:rsidRDefault="00627B6F" w:rsidP="00627B6F">
      <w:pPr>
        <w:tabs>
          <w:tab w:val="left" w:pos="851"/>
        </w:tabs>
        <w:ind w:left="851"/>
        <w:rPr>
          <w:sz w:val="24"/>
          <w:szCs w:val="24"/>
        </w:rPr>
      </w:pPr>
      <w:r w:rsidRPr="00627B6F">
        <w:rPr>
          <w:sz w:val="24"/>
          <w:szCs w:val="24"/>
        </w:rPr>
        <w:t>hos voksne og pædiatrisk population.</w:t>
      </w:r>
    </w:p>
    <w:p w14:paraId="650B21FA" w14:textId="77777777" w:rsidR="009260DE" w:rsidRPr="00C84483" w:rsidRDefault="009260DE" w:rsidP="009260DE">
      <w:pPr>
        <w:tabs>
          <w:tab w:val="left" w:pos="851"/>
        </w:tabs>
        <w:ind w:left="851"/>
        <w:rPr>
          <w:sz w:val="24"/>
          <w:szCs w:val="24"/>
        </w:rPr>
      </w:pPr>
    </w:p>
    <w:p w14:paraId="7723518D"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20FC9758" w14:textId="77777777" w:rsidR="009F0DD7" w:rsidRPr="009F0DD7" w:rsidRDefault="009F0DD7" w:rsidP="009F0DD7">
      <w:pPr>
        <w:tabs>
          <w:tab w:val="left" w:pos="851"/>
        </w:tabs>
        <w:ind w:left="851"/>
        <w:rPr>
          <w:sz w:val="24"/>
          <w:szCs w:val="24"/>
        </w:rPr>
      </w:pPr>
    </w:p>
    <w:p w14:paraId="1546CE08" w14:textId="77777777" w:rsidR="009F0DD7" w:rsidRPr="004E481C" w:rsidRDefault="009F0DD7" w:rsidP="009F0DD7">
      <w:pPr>
        <w:tabs>
          <w:tab w:val="left" w:pos="851"/>
        </w:tabs>
        <w:ind w:left="851"/>
        <w:rPr>
          <w:b/>
          <w:sz w:val="24"/>
          <w:szCs w:val="24"/>
        </w:rPr>
      </w:pPr>
      <w:r w:rsidRPr="004E481C">
        <w:rPr>
          <w:b/>
          <w:sz w:val="24"/>
          <w:szCs w:val="24"/>
        </w:rPr>
        <w:t>Dosering</w:t>
      </w:r>
    </w:p>
    <w:p w14:paraId="585AD22F" w14:textId="77777777" w:rsidR="00593143" w:rsidRDefault="00593143" w:rsidP="009F0DD7">
      <w:pPr>
        <w:tabs>
          <w:tab w:val="left" w:pos="851"/>
        </w:tabs>
        <w:ind w:left="851"/>
        <w:rPr>
          <w:bCs/>
          <w:i/>
          <w:iCs/>
          <w:sz w:val="24"/>
          <w:szCs w:val="24"/>
        </w:rPr>
      </w:pPr>
    </w:p>
    <w:p w14:paraId="2F3E47A4" w14:textId="77777777" w:rsidR="009F0DD7" w:rsidRPr="004E481C" w:rsidRDefault="009F0DD7" w:rsidP="009F0DD7">
      <w:pPr>
        <w:tabs>
          <w:tab w:val="left" w:pos="851"/>
        </w:tabs>
        <w:ind w:left="851"/>
        <w:rPr>
          <w:bCs/>
          <w:iCs/>
          <w:sz w:val="24"/>
          <w:szCs w:val="24"/>
          <w:u w:val="single"/>
        </w:rPr>
      </w:pPr>
      <w:r w:rsidRPr="004E481C">
        <w:rPr>
          <w:bCs/>
          <w:iCs/>
          <w:sz w:val="24"/>
          <w:szCs w:val="24"/>
          <w:u w:val="single"/>
        </w:rPr>
        <w:t>Voksne og unge</w:t>
      </w:r>
    </w:p>
    <w:p w14:paraId="034F2E02" w14:textId="77777777" w:rsidR="009F0DD7" w:rsidRPr="009F0DD7" w:rsidRDefault="009F0DD7" w:rsidP="009F0DD7">
      <w:pPr>
        <w:tabs>
          <w:tab w:val="left" w:pos="851"/>
        </w:tabs>
        <w:ind w:left="851"/>
        <w:rPr>
          <w:sz w:val="24"/>
          <w:szCs w:val="24"/>
        </w:rPr>
      </w:pPr>
      <w:r w:rsidRPr="009F0DD7">
        <w:rPr>
          <w:sz w:val="24"/>
          <w:szCs w:val="24"/>
        </w:rPr>
        <w:t xml:space="preserve">Detaljerne vedrørende dosering og applikationstid for de enkelte indikationer eller procedurer er anført i tabel 1 og 2. </w:t>
      </w:r>
    </w:p>
    <w:p w14:paraId="0FA4A486" w14:textId="77777777" w:rsidR="009F0DD7" w:rsidRPr="009F0DD7" w:rsidRDefault="009F0DD7" w:rsidP="009F0DD7">
      <w:pPr>
        <w:tabs>
          <w:tab w:val="left" w:pos="851"/>
        </w:tabs>
        <w:ind w:left="851"/>
        <w:rPr>
          <w:sz w:val="24"/>
          <w:szCs w:val="24"/>
        </w:rPr>
      </w:pPr>
      <w:r w:rsidRPr="009F0DD7">
        <w:rPr>
          <w:sz w:val="24"/>
          <w:szCs w:val="24"/>
        </w:rPr>
        <w:lastRenderedPageBreak/>
        <w:t>For yderligere information om den korrekte anvendelse af lægemidlet ved sådanne procedurer, se under Administration.</w:t>
      </w:r>
    </w:p>
    <w:p w14:paraId="3A485916" w14:textId="77777777" w:rsidR="009F0DD7" w:rsidRPr="009F0DD7" w:rsidRDefault="009F0DD7" w:rsidP="009F0DD7">
      <w:pPr>
        <w:tabs>
          <w:tab w:val="left" w:pos="851"/>
        </w:tabs>
        <w:ind w:left="851"/>
        <w:rPr>
          <w:b/>
          <w:sz w:val="24"/>
          <w:szCs w:val="24"/>
        </w:rPr>
      </w:pPr>
    </w:p>
    <w:p w14:paraId="048E7883" w14:textId="77777777" w:rsidR="009F0DD7" w:rsidRPr="009F0DD7" w:rsidRDefault="009F0DD7" w:rsidP="009F0DD7">
      <w:pPr>
        <w:tabs>
          <w:tab w:val="left" w:pos="851"/>
        </w:tabs>
        <w:ind w:left="851"/>
        <w:rPr>
          <w:b/>
          <w:sz w:val="24"/>
          <w:szCs w:val="24"/>
        </w:rPr>
      </w:pPr>
      <w:r w:rsidRPr="009F0DD7">
        <w:rPr>
          <w:b/>
          <w:sz w:val="24"/>
          <w:szCs w:val="24"/>
        </w:rPr>
        <w:t>Tabel 1 - Voksne og unge på 12 år og derover</w:t>
      </w:r>
    </w:p>
    <w:tbl>
      <w:tblPr>
        <w:tblW w:w="4493" w:type="pct"/>
        <w:tblInd w:w="843" w:type="dxa"/>
        <w:tblCellMar>
          <w:left w:w="0" w:type="dxa"/>
          <w:right w:w="0" w:type="dxa"/>
        </w:tblCellMar>
        <w:tblLook w:val="01E0" w:firstRow="1" w:lastRow="1" w:firstColumn="1" w:lastColumn="1" w:noHBand="0" w:noVBand="0"/>
      </w:tblPr>
      <w:tblGrid>
        <w:gridCol w:w="4847"/>
        <w:gridCol w:w="3799"/>
      </w:tblGrid>
      <w:tr w:rsidR="009F0DD7" w:rsidRPr="009F0DD7" w14:paraId="103D537A" w14:textId="77777777" w:rsidTr="00593143">
        <w:tc>
          <w:tcPr>
            <w:tcW w:w="2803" w:type="pct"/>
            <w:tcBorders>
              <w:top w:val="single" w:sz="6" w:space="0" w:color="000000"/>
              <w:left w:val="single" w:sz="6" w:space="0" w:color="000000"/>
              <w:bottom w:val="single" w:sz="6" w:space="0" w:color="000000"/>
              <w:right w:val="single" w:sz="6" w:space="0" w:color="000000"/>
            </w:tcBorders>
            <w:hideMark/>
          </w:tcPr>
          <w:p w14:paraId="68B1F30F" w14:textId="77777777" w:rsidR="009F0DD7" w:rsidRPr="009F0DD7" w:rsidRDefault="009F0DD7" w:rsidP="00593143">
            <w:pPr>
              <w:ind w:left="143"/>
              <w:rPr>
                <w:b/>
                <w:sz w:val="24"/>
                <w:szCs w:val="24"/>
              </w:rPr>
            </w:pPr>
            <w:r w:rsidRPr="009F0DD7">
              <w:rPr>
                <w:b/>
                <w:sz w:val="24"/>
                <w:szCs w:val="24"/>
              </w:rPr>
              <w:t>Indikation/Procedure</w:t>
            </w:r>
          </w:p>
        </w:tc>
        <w:tc>
          <w:tcPr>
            <w:tcW w:w="2197" w:type="pct"/>
            <w:tcBorders>
              <w:top w:val="single" w:sz="6" w:space="0" w:color="000000"/>
              <w:left w:val="single" w:sz="6" w:space="0" w:color="000000"/>
              <w:bottom w:val="single" w:sz="6" w:space="0" w:color="000000"/>
              <w:right w:val="single" w:sz="6" w:space="0" w:color="000000"/>
            </w:tcBorders>
            <w:hideMark/>
          </w:tcPr>
          <w:p w14:paraId="0DC66C81" w14:textId="77777777" w:rsidR="009F0DD7" w:rsidRPr="009F0DD7" w:rsidRDefault="009F0DD7" w:rsidP="00593143">
            <w:pPr>
              <w:ind w:left="112"/>
              <w:rPr>
                <w:b/>
                <w:sz w:val="24"/>
                <w:szCs w:val="24"/>
              </w:rPr>
            </w:pPr>
            <w:r w:rsidRPr="009F0DD7">
              <w:rPr>
                <w:b/>
                <w:sz w:val="24"/>
                <w:szCs w:val="24"/>
              </w:rPr>
              <w:t>Dosering og applikationstid</w:t>
            </w:r>
          </w:p>
        </w:tc>
      </w:tr>
      <w:tr w:rsidR="009F0DD7" w:rsidRPr="009F0DD7" w14:paraId="06AFD243" w14:textId="77777777" w:rsidTr="00593143">
        <w:tc>
          <w:tcPr>
            <w:tcW w:w="2803" w:type="pct"/>
            <w:tcBorders>
              <w:top w:val="single" w:sz="6" w:space="0" w:color="000000"/>
              <w:left w:val="single" w:sz="6" w:space="0" w:color="000000"/>
              <w:bottom w:val="single" w:sz="6" w:space="0" w:color="000000"/>
              <w:right w:val="single" w:sz="6" w:space="0" w:color="000000"/>
            </w:tcBorders>
            <w:hideMark/>
          </w:tcPr>
          <w:p w14:paraId="1BB83528" w14:textId="77777777" w:rsidR="009F0DD7" w:rsidRPr="009F0DD7" w:rsidRDefault="009F0DD7" w:rsidP="00593143">
            <w:pPr>
              <w:ind w:left="143"/>
              <w:rPr>
                <w:b/>
                <w:sz w:val="24"/>
                <w:szCs w:val="24"/>
                <w:u w:val="single"/>
              </w:rPr>
            </w:pPr>
            <w:r w:rsidRPr="009F0DD7">
              <w:rPr>
                <w:b/>
                <w:sz w:val="24"/>
                <w:szCs w:val="24"/>
                <w:u w:val="single"/>
              </w:rPr>
              <w:t>Hud</w:t>
            </w:r>
          </w:p>
        </w:tc>
        <w:tc>
          <w:tcPr>
            <w:tcW w:w="2197" w:type="pct"/>
            <w:tcBorders>
              <w:top w:val="single" w:sz="6" w:space="0" w:color="000000"/>
              <w:left w:val="single" w:sz="6" w:space="0" w:color="000000"/>
              <w:bottom w:val="single" w:sz="6" w:space="0" w:color="000000"/>
              <w:right w:val="single" w:sz="6" w:space="0" w:color="000000"/>
            </w:tcBorders>
          </w:tcPr>
          <w:p w14:paraId="04DBFE1A" w14:textId="77777777" w:rsidR="009F0DD7" w:rsidRPr="009F0DD7" w:rsidRDefault="009F0DD7" w:rsidP="00593143">
            <w:pPr>
              <w:ind w:left="112"/>
              <w:rPr>
                <w:b/>
                <w:sz w:val="24"/>
                <w:szCs w:val="24"/>
              </w:rPr>
            </w:pPr>
          </w:p>
        </w:tc>
      </w:tr>
      <w:tr w:rsidR="009F0DD7" w:rsidRPr="009F0DD7" w14:paraId="7CE803F0" w14:textId="77777777" w:rsidTr="00593143">
        <w:tc>
          <w:tcPr>
            <w:tcW w:w="2803" w:type="pct"/>
            <w:tcBorders>
              <w:top w:val="single" w:sz="6" w:space="0" w:color="000000"/>
              <w:left w:val="single" w:sz="6" w:space="0" w:color="000000"/>
              <w:bottom w:val="single" w:sz="6" w:space="0" w:color="000000"/>
              <w:right w:val="single" w:sz="6" w:space="0" w:color="000000"/>
            </w:tcBorders>
            <w:hideMark/>
          </w:tcPr>
          <w:p w14:paraId="22220B44" w14:textId="77777777" w:rsidR="009F0DD7" w:rsidRPr="009F0DD7" w:rsidRDefault="009F0DD7" w:rsidP="00593143">
            <w:pPr>
              <w:ind w:left="143"/>
              <w:rPr>
                <w:sz w:val="24"/>
                <w:szCs w:val="24"/>
              </w:rPr>
            </w:pPr>
            <w:r w:rsidRPr="009F0DD7">
              <w:rPr>
                <w:sz w:val="24"/>
                <w:szCs w:val="24"/>
              </w:rPr>
              <w:t>Mindre indgreb, f.eks. indstik af kanyler og kirurgisk behandling af lokaliserede læsioner.</w:t>
            </w:r>
          </w:p>
        </w:tc>
        <w:tc>
          <w:tcPr>
            <w:tcW w:w="2197" w:type="pct"/>
            <w:tcBorders>
              <w:top w:val="single" w:sz="6" w:space="0" w:color="000000"/>
              <w:left w:val="single" w:sz="6" w:space="0" w:color="000000"/>
              <w:bottom w:val="single" w:sz="6" w:space="0" w:color="000000"/>
              <w:right w:val="single" w:sz="6" w:space="0" w:color="000000"/>
            </w:tcBorders>
            <w:hideMark/>
          </w:tcPr>
          <w:p w14:paraId="0F16E8A7" w14:textId="77777777" w:rsidR="009F0DD7" w:rsidRPr="009F0DD7" w:rsidRDefault="009F0DD7" w:rsidP="00593143">
            <w:pPr>
              <w:ind w:left="112"/>
              <w:rPr>
                <w:sz w:val="24"/>
                <w:szCs w:val="24"/>
              </w:rPr>
            </w:pPr>
            <w:r w:rsidRPr="009F0DD7">
              <w:rPr>
                <w:bCs/>
                <w:iCs/>
                <w:sz w:val="24"/>
                <w:szCs w:val="24"/>
              </w:rPr>
              <w:t>1 eller flere plastre påsættes det/de udvalgte hudområde(r) i 1-5 timer</w:t>
            </w:r>
            <w:r w:rsidRPr="009F0DD7">
              <w:rPr>
                <w:sz w:val="24"/>
                <w:szCs w:val="24"/>
                <w:vertAlign w:val="superscript"/>
              </w:rPr>
              <w:t>1)</w:t>
            </w:r>
            <w:r w:rsidRPr="009F0DD7">
              <w:rPr>
                <w:bCs/>
                <w:iCs/>
                <w:sz w:val="24"/>
                <w:szCs w:val="24"/>
              </w:rPr>
              <w:t>.</w:t>
            </w:r>
          </w:p>
        </w:tc>
      </w:tr>
    </w:tbl>
    <w:p w14:paraId="6BEC1402" w14:textId="77777777" w:rsidR="009F0DD7" w:rsidRPr="009F0DD7" w:rsidRDefault="009F0DD7" w:rsidP="009F0DD7">
      <w:pPr>
        <w:tabs>
          <w:tab w:val="left" w:pos="851"/>
        </w:tabs>
        <w:ind w:left="851"/>
        <w:rPr>
          <w:sz w:val="24"/>
          <w:szCs w:val="24"/>
        </w:rPr>
      </w:pPr>
      <w:r w:rsidRPr="009F0DD7">
        <w:rPr>
          <w:sz w:val="24"/>
          <w:szCs w:val="24"/>
        </w:rPr>
        <w:t>1) Efter længere applikationstid nedsættes anæstesivirkningen.</w:t>
      </w:r>
    </w:p>
    <w:p w14:paraId="5AC87A73" w14:textId="77777777" w:rsidR="009F0DD7" w:rsidRPr="009F0DD7" w:rsidRDefault="009F0DD7" w:rsidP="009F0DD7">
      <w:pPr>
        <w:tabs>
          <w:tab w:val="left" w:pos="851"/>
        </w:tabs>
        <w:ind w:left="851"/>
        <w:rPr>
          <w:bCs/>
          <w:iCs/>
          <w:sz w:val="24"/>
          <w:szCs w:val="24"/>
        </w:rPr>
      </w:pPr>
    </w:p>
    <w:p w14:paraId="580E7301" w14:textId="77777777" w:rsidR="009F0DD7" w:rsidRPr="004E481C" w:rsidRDefault="009F0DD7" w:rsidP="009F0DD7">
      <w:pPr>
        <w:tabs>
          <w:tab w:val="left" w:pos="851"/>
        </w:tabs>
        <w:ind w:left="851"/>
        <w:rPr>
          <w:bCs/>
          <w:iCs/>
          <w:sz w:val="24"/>
          <w:szCs w:val="24"/>
          <w:u w:val="single"/>
        </w:rPr>
      </w:pPr>
      <w:r w:rsidRPr="004E481C">
        <w:rPr>
          <w:bCs/>
          <w:iCs/>
          <w:sz w:val="24"/>
          <w:szCs w:val="24"/>
          <w:u w:val="single"/>
        </w:rPr>
        <w:t>Pædiatrisk population</w:t>
      </w:r>
    </w:p>
    <w:p w14:paraId="3D5ED66A" w14:textId="77777777" w:rsidR="009F0DD7" w:rsidRPr="009F0DD7" w:rsidRDefault="009F0DD7" w:rsidP="009F0DD7">
      <w:pPr>
        <w:tabs>
          <w:tab w:val="left" w:pos="851"/>
        </w:tabs>
        <w:ind w:left="851"/>
        <w:rPr>
          <w:sz w:val="24"/>
          <w:szCs w:val="24"/>
        </w:rPr>
      </w:pPr>
    </w:p>
    <w:p w14:paraId="7A546D4E" w14:textId="77777777" w:rsidR="009F0DD7" w:rsidRPr="009F0DD7" w:rsidRDefault="009F0DD7" w:rsidP="009F0DD7">
      <w:pPr>
        <w:tabs>
          <w:tab w:val="left" w:pos="851"/>
        </w:tabs>
        <w:ind w:left="851"/>
        <w:rPr>
          <w:b/>
          <w:sz w:val="24"/>
          <w:szCs w:val="24"/>
        </w:rPr>
      </w:pPr>
      <w:r w:rsidRPr="009F0DD7">
        <w:rPr>
          <w:b/>
          <w:sz w:val="24"/>
          <w:szCs w:val="24"/>
        </w:rPr>
        <w:t>Tabel 2 – Pædiatriske patienter 0-11 år</w:t>
      </w:r>
    </w:p>
    <w:tbl>
      <w:tblPr>
        <w:tblW w:w="4493" w:type="pct"/>
        <w:tblInd w:w="843" w:type="dxa"/>
        <w:tblCellMar>
          <w:left w:w="0" w:type="dxa"/>
          <w:right w:w="0" w:type="dxa"/>
        </w:tblCellMar>
        <w:tblLook w:val="01E0" w:firstRow="1" w:lastRow="1" w:firstColumn="1" w:lastColumn="1" w:noHBand="0" w:noVBand="0"/>
      </w:tblPr>
      <w:tblGrid>
        <w:gridCol w:w="2860"/>
        <w:gridCol w:w="2526"/>
        <w:gridCol w:w="3260"/>
      </w:tblGrid>
      <w:tr w:rsidR="009F0DD7" w:rsidRPr="009F0DD7" w14:paraId="4AD39E27" w14:textId="77777777" w:rsidTr="004E481C">
        <w:tc>
          <w:tcPr>
            <w:tcW w:w="1654" w:type="pct"/>
            <w:tcBorders>
              <w:top w:val="single" w:sz="6" w:space="0" w:color="000000"/>
              <w:left w:val="single" w:sz="6" w:space="0" w:color="000000"/>
              <w:bottom w:val="single" w:sz="6" w:space="0" w:color="000000"/>
              <w:right w:val="single" w:sz="6" w:space="0" w:color="000000"/>
            </w:tcBorders>
            <w:hideMark/>
          </w:tcPr>
          <w:p w14:paraId="13F25082" w14:textId="77777777" w:rsidR="009F0DD7" w:rsidRPr="009F0DD7" w:rsidRDefault="009F0DD7" w:rsidP="004E481C">
            <w:pPr>
              <w:ind w:left="132"/>
              <w:rPr>
                <w:b/>
                <w:sz w:val="24"/>
                <w:szCs w:val="24"/>
              </w:rPr>
            </w:pPr>
            <w:r w:rsidRPr="009F0DD7">
              <w:rPr>
                <w:b/>
                <w:sz w:val="24"/>
                <w:szCs w:val="24"/>
              </w:rPr>
              <w:t>Alder</w:t>
            </w:r>
          </w:p>
        </w:tc>
        <w:tc>
          <w:tcPr>
            <w:tcW w:w="1461" w:type="pct"/>
            <w:tcBorders>
              <w:top w:val="single" w:sz="6" w:space="0" w:color="000000"/>
              <w:left w:val="single" w:sz="6" w:space="0" w:color="000000"/>
              <w:bottom w:val="single" w:sz="6" w:space="0" w:color="000000"/>
              <w:right w:val="single" w:sz="6" w:space="0" w:color="000000"/>
            </w:tcBorders>
            <w:hideMark/>
          </w:tcPr>
          <w:p w14:paraId="520758C7" w14:textId="77777777" w:rsidR="009F0DD7" w:rsidRPr="009F0DD7" w:rsidRDefault="009F0DD7" w:rsidP="004E481C">
            <w:pPr>
              <w:ind w:left="107"/>
              <w:rPr>
                <w:b/>
                <w:sz w:val="24"/>
                <w:szCs w:val="24"/>
              </w:rPr>
            </w:pPr>
            <w:r w:rsidRPr="009F0DD7">
              <w:rPr>
                <w:b/>
                <w:sz w:val="24"/>
                <w:szCs w:val="24"/>
              </w:rPr>
              <w:t>Procedure</w:t>
            </w:r>
          </w:p>
        </w:tc>
        <w:tc>
          <w:tcPr>
            <w:tcW w:w="1886" w:type="pct"/>
            <w:tcBorders>
              <w:top w:val="single" w:sz="6" w:space="0" w:color="000000"/>
              <w:left w:val="single" w:sz="6" w:space="0" w:color="000000"/>
              <w:bottom w:val="single" w:sz="6" w:space="0" w:color="000000"/>
              <w:right w:val="single" w:sz="6" w:space="0" w:color="000000"/>
            </w:tcBorders>
            <w:hideMark/>
          </w:tcPr>
          <w:p w14:paraId="7EE5A40E" w14:textId="77777777" w:rsidR="009F0DD7" w:rsidRPr="009F0DD7" w:rsidRDefault="009F0DD7" w:rsidP="004E481C">
            <w:pPr>
              <w:ind w:left="84"/>
              <w:rPr>
                <w:sz w:val="24"/>
                <w:szCs w:val="24"/>
              </w:rPr>
            </w:pPr>
            <w:r w:rsidRPr="009F0DD7">
              <w:rPr>
                <w:b/>
                <w:sz w:val="24"/>
                <w:szCs w:val="24"/>
              </w:rPr>
              <w:t>Dosering og påføringstid</w:t>
            </w:r>
          </w:p>
        </w:tc>
      </w:tr>
      <w:tr w:rsidR="009F0DD7" w:rsidRPr="009F0DD7" w14:paraId="687FEDC6" w14:textId="77777777" w:rsidTr="004E481C">
        <w:tc>
          <w:tcPr>
            <w:tcW w:w="1654" w:type="pct"/>
            <w:tcBorders>
              <w:top w:val="single" w:sz="6" w:space="0" w:color="000000"/>
              <w:left w:val="single" w:sz="6" w:space="0" w:color="000000"/>
              <w:bottom w:val="single" w:sz="6" w:space="0" w:color="000000"/>
              <w:right w:val="single" w:sz="6" w:space="0" w:color="000000"/>
            </w:tcBorders>
          </w:tcPr>
          <w:p w14:paraId="33671BC1" w14:textId="77777777" w:rsidR="009F0DD7" w:rsidRPr="009F0DD7" w:rsidRDefault="009F0DD7" w:rsidP="004E481C">
            <w:pPr>
              <w:ind w:left="132"/>
              <w:rPr>
                <w:sz w:val="24"/>
                <w:szCs w:val="24"/>
              </w:rPr>
            </w:pPr>
          </w:p>
        </w:tc>
        <w:tc>
          <w:tcPr>
            <w:tcW w:w="1461" w:type="pct"/>
            <w:tcBorders>
              <w:top w:val="single" w:sz="6" w:space="0" w:color="000000"/>
              <w:left w:val="single" w:sz="6" w:space="0" w:color="000000"/>
              <w:bottom w:val="single" w:sz="6" w:space="0" w:color="000000"/>
              <w:right w:val="single" w:sz="6" w:space="0" w:color="000000"/>
            </w:tcBorders>
            <w:hideMark/>
          </w:tcPr>
          <w:p w14:paraId="15A08FEF" w14:textId="77777777" w:rsidR="009F0DD7" w:rsidRPr="009F0DD7" w:rsidRDefault="009F0DD7" w:rsidP="004E481C">
            <w:pPr>
              <w:ind w:left="107"/>
              <w:rPr>
                <w:sz w:val="24"/>
                <w:szCs w:val="24"/>
              </w:rPr>
            </w:pPr>
            <w:r w:rsidRPr="009F0DD7">
              <w:rPr>
                <w:sz w:val="24"/>
                <w:szCs w:val="24"/>
              </w:rPr>
              <w:t>Mindre indgreb, f.eks. indstik af kanyler og kirurgisk behandling af afgrænsede læsioner.</w:t>
            </w:r>
          </w:p>
        </w:tc>
        <w:tc>
          <w:tcPr>
            <w:tcW w:w="1886" w:type="pct"/>
            <w:tcBorders>
              <w:top w:val="single" w:sz="6" w:space="0" w:color="000000"/>
              <w:left w:val="single" w:sz="6" w:space="0" w:color="000000"/>
              <w:bottom w:val="single" w:sz="6" w:space="0" w:color="000000"/>
              <w:right w:val="single" w:sz="6" w:space="0" w:color="000000"/>
            </w:tcBorders>
            <w:hideMark/>
          </w:tcPr>
          <w:p w14:paraId="4BBE8EFA" w14:textId="314DE79C" w:rsidR="009F0DD7" w:rsidRPr="009F0DD7" w:rsidRDefault="009F0DD7" w:rsidP="004E481C">
            <w:pPr>
              <w:ind w:left="84"/>
              <w:rPr>
                <w:sz w:val="24"/>
                <w:szCs w:val="24"/>
              </w:rPr>
            </w:pPr>
            <w:r w:rsidRPr="009F0DD7">
              <w:rPr>
                <w:sz w:val="24"/>
                <w:szCs w:val="24"/>
              </w:rPr>
              <w:t xml:space="preserve">1 eller flere plastre i </w:t>
            </w:r>
            <w:r w:rsidR="00A835A6">
              <w:rPr>
                <w:sz w:val="24"/>
                <w:szCs w:val="24"/>
              </w:rPr>
              <w:t>en</w:t>
            </w:r>
            <w:r w:rsidRPr="009F0DD7">
              <w:rPr>
                <w:sz w:val="24"/>
                <w:szCs w:val="24"/>
              </w:rPr>
              <w:t xml:space="preserve"> time (se yderligere oplysninger nedenfor). </w:t>
            </w:r>
          </w:p>
        </w:tc>
      </w:tr>
      <w:tr w:rsidR="009F0DD7" w:rsidRPr="009F0DD7" w14:paraId="5DDD89B9" w14:textId="77777777" w:rsidTr="004E481C">
        <w:tc>
          <w:tcPr>
            <w:tcW w:w="1654" w:type="pct"/>
            <w:tcBorders>
              <w:top w:val="single" w:sz="6" w:space="0" w:color="000000"/>
              <w:left w:val="single" w:sz="6" w:space="0" w:color="000000"/>
              <w:bottom w:val="single" w:sz="6" w:space="0" w:color="000000"/>
              <w:right w:val="single" w:sz="6" w:space="0" w:color="000000"/>
            </w:tcBorders>
            <w:hideMark/>
          </w:tcPr>
          <w:p w14:paraId="0ED1C6C9" w14:textId="77777777" w:rsidR="009F0DD7" w:rsidRPr="009F0DD7" w:rsidRDefault="009F0DD7" w:rsidP="004E481C">
            <w:pPr>
              <w:ind w:left="132"/>
              <w:rPr>
                <w:sz w:val="24"/>
                <w:szCs w:val="24"/>
              </w:rPr>
            </w:pPr>
            <w:r w:rsidRPr="009F0DD7">
              <w:rPr>
                <w:sz w:val="24"/>
                <w:szCs w:val="24"/>
              </w:rPr>
              <w:t>Nyfødte og spædbørn i alderen 0-2 måneder</w:t>
            </w:r>
            <w:r w:rsidRPr="009F0DD7">
              <w:rPr>
                <w:sz w:val="24"/>
                <w:szCs w:val="24"/>
                <w:vertAlign w:val="superscript"/>
              </w:rPr>
              <w:t>1)2)3)7)</w:t>
            </w:r>
          </w:p>
        </w:tc>
        <w:tc>
          <w:tcPr>
            <w:tcW w:w="1461" w:type="pct"/>
            <w:tcBorders>
              <w:top w:val="single" w:sz="6" w:space="0" w:color="000000"/>
              <w:left w:val="single" w:sz="6" w:space="0" w:color="000000"/>
              <w:bottom w:val="single" w:sz="6" w:space="0" w:color="000000"/>
              <w:right w:val="single" w:sz="6" w:space="0" w:color="000000"/>
            </w:tcBorders>
          </w:tcPr>
          <w:p w14:paraId="20C3B82E" w14:textId="77777777" w:rsidR="009F0DD7" w:rsidRPr="009F0DD7" w:rsidRDefault="009F0DD7" w:rsidP="004E481C">
            <w:pPr>
              <w:ind w:left="107"/>
              <w:rPr>
                <w:sz w:val="24"/>
                <w:szCs w:val="24"/>
              </w:rPr>
            </w:pPr>
          </w:p>
        </w:tc>
        <w:tc>
          <w:tcPr>
            <w:tcW w:w="1886" w:type="pct"/>
            <w:tcBorders>
              <w:top w:val="single" w:sz="6" w:space="0" w:color="000000"/>
              <w:left w:val="single" w:sz="6" w:space="0" w:color="000000"/>
              <w:bottom w:val="single" w:sz="6" w:space="0" w:color="000000"/>
              <w:right w:val="single" w:sz="6" w:space="0" w:color="000000"/>
            </w:tcBorders>
            <w:hideMark/>
          </w:tcPr>
          <w:p w14:paraId="0F7D882B" w14:textId="6B21FE2E" w:rsidR="009F0DD7" w:rsidRPr="009F0DD7" w:rsidRDefault="009F0DD7" w:rsidP="004E481C">
            <w:pPr>
              <w:ind w:left="84"/>
              <w:rPr>
                <w:sz w:val="24"/>
                <w:szCs w:val="24"/>
              </w:rPr>
            </w:pPr>
            <w:r w:rsidRPr="009F0DD7">
              <w:rPr>
                <w:sz w:val="24"/>
                <w:szCs w:val="24"/>
              </w:rPr>
              <w:t xml:space="preserve">Ikke mere end 1 plaster i </w:t>
            </w:r>
            <w:r w:rsidR="00A835A6">
              <w:rPr>
                <w:sz w:val="24"/>
                <w:szCs w:val="24"/>
              </w:rPr>
              <w:t>en</w:t>
            </w:r>
            <w:r w:rsidRPr="009F0DD7">
              <w:rPr>
                <w:sz w:val="24"/>
                <w:szCs w:val="24"/>
              </w:rPr>
              <w:t xml:space="preserve"> time.</w:t>
            </w:r>
            <w:r w:rsidRPr="009F0DD7">
              <w:rPr>
                <w:sz w:val="24"/>
                <w:szCs w:val="24"/>
                <w:vertAlign w:val="superscript"/>
              </w:rPr>
              <w:t>4)</w:t>
            </w:r>
          </w:p>
        </w:tc>
      </w:tr>
      <w:tr w:rsidR="009F0DD7" w:rsidRPr="009F0DD7" w14:paraId="4353B394" w14:textId="77777777" w:rsidTr="004E481C">
        <w:tc>
          <w:tcPr>
            <w:tcW w:w="1654" w:type="pct"/>
            <w:tcBorders>
              <w:top w:val="single" w:sz="6" w:space="0" w:color="000000"/>
              <w:left w:val="single" w:sz="6" w:space="0" w:color="000000"/>
              <w:bottom w:val="single" w:sz="6" w:space="0" w:color="000000"/>
              <w:right w:val="single" w:sz="6" w:space="0" w:color="000000"/>
            </w:tcBorders>
            <w:hideMark/>
          </w:tcPr>
          <w:p w14:paraId="16F96F94" w14:textId="77777777" w:rsidR="009F0DD7" w:rsidRPr="009F0DD7" w:rsidRDefault="009F0DD7" w:rsidP="004E481C">
            <w:pPr>
              <w:ind w:left="132"/>
              <w:rPr>
                <w:sz w:val="24"/>
                <w:szCs w:val="24"/>
              </w:rPr>
            </w:pPr>
            <w:r w:rsidRPr="009F0DD7">
              <w:rPr>
                <w:sz w:val="24"/>
                <w:szCs w:val="24"/>
              </w:rPr>
              <w:t>Spædbørn i alderen 3-11 måneder</w:t>
            </w:r>
            <w:r w:rsidRPr="009F0DD7">
              <w:rPr>
                <w:sz w:val="24"/>
                <w:szCs w:val="24"/>
                <w:vertAlign w:val="superscript"/>
              </w:rPr>
              <w:t xml:space="preserve"> 1)2)7)</w:t>
            </w:r>
          </w:p>
        </w:tc>
        <w:tc>
          <w:tcPr>
            <w:tcW w:w="1461" w:type="pct"/>
            <w:tcBorders>
              <w:top w:val="single" w:sz="6" w:space="0" w:color="000000"/>
              <w:left w:val="single" w:sz="6" w:space="0" w:color="000000"/>
              <w:bottom w:val="single" w:sz="6" w:space="0" w:color="000000"/>
              <w:right w:val="single" w:sz="6" w:space="0" w:color="000000"/>
            </w:tcBorders>
          </w:tcPr>
          <w:p w14:paraId="7A3A2D6B" w14:textId="77777777" w:rsidR="009F0DD7" w:rsidRPr="009F0DD7" w:rsidRDefault="009F0DD7" w:rsidP="004E481C">
            <w:pPr>
              <w:ind w:left="107"/>
              <w:rPr>
                <w:sz w:val="24"/>
                <w:szCs w:val="24"/>
              </w:rPr>
            </w:pPr>
          </w:p>
        </w:tc>
        <w:tc>
          <w:tcPr>
            <w:tcW w:w="1886" w:type="pct"/>
            <w:tcBorders>
              <w:top w:val="single" w:sz="6" w:space="0" w:color="000000"/>
              <w:left w:val="single" w:sz="6" w:space="0" w:color="000000"/>
              <w:bottom w:val="single" w:sz="6" w:space="0" w:color="000000"/>
              <w:right w:val="single" w:sz="6" w:space="0" w:color="000000"/>
            </w:tcBorders>
            <w:hideMark/>
          </w:tcPr>
          <w:p w14:paraId="24ED6BF7" w14:textId="1D1F08B1" w:rsidR="009F0DD7" w:rsidRPr="009F0DD7" w:rsidRDefault="009F0DD7" w:rsidP="004E481C">
            <w:pPr>
              <w:ind w:left="84"/>
              <w:rPr>
                <w:sz w:val="24"/>
                <w:szCs w:val="24"/>
              </w:rPr>
            </w:pPr>
            <w:r w:rsidRPr="009F0DD7">
              <w:rPr>
                <w:sz w:val="24"/>
                <w:szCs w:val="24"/>
              </w:rPr>
              <w:t xml:space="preserve">Op til 2 plastre i </w:t>
            </w:r>
            <w:r w:rsidR="00A835A6">
              <w:rPr>
                <w:sz w:val="24"/>
                <w:szCs w:val="24"/>
              </w:rPr>
              <w:t>en</w:t>
            </w:r>
            <w:r w:rsidRPr="009F0DD7">
              <w:rPr>
                <w:sz w:val="24"/>
                <w:szCs w:val="24"/>
              </w:rPr>
              <w:t xml:space="preserve"> time</w:t>
            </w:r>
            <w:r w:rsidRPr="009F0DD7">
              <w:rPr>
                <w:sz w:val="24"/>
                <w:szCs w:val="24"/>
                <w:vertAlign w:val="superscript"/>
              </w:rPr>
              <w:t>5)</w:t>
            </w:r>
          </w:p>
        </w:tc>
      </w:tr>
      <w:tr w:rsidR="009F0DD7" w:rsidRPr="009F0DD7" w14:paraId="386DEB7C" w14:textId="77777777" w:rsidTr="004E481C">
        <w:tc>
          <w:tcPr>
            <w:tcW w:w="1654" w:type="pct"/>
            <w:tcBorders>
              <w:top w:val="single" w:sz="6" w:space="0" w:color="000000"/>
              <w:left w:val="single" w:sz="6" w:space="0" w:color="000000"/>
              <w:bottom w:val="single" w:sz="6" w:space="0" w:color="000000"/>
              <w:right w:val="single" w:sz="6" w:space="0" w:color="000000"/>
            </w:tcBorders>
            <w:hideMark/>
          </w:tcPr>
          <w:p w14:paraId="7D1D0E3A" w14:textId="77777777" w:rsidR="009F0DD7" w:rsidRPr="009F0DD7" w:rsidRDefault="009F0DD7" w:rsidP="004E481C">
            <w:pPr>
              <w:ind w:left="132"/>
              <w:rPr>
                <w:sz w:val="24"/>
                <w:szCs w:val="24"/>
              </w:rPr>
            </w:pPr>
            <w:r w:rsidRPr="009F0DD7">
              <w:rPr>
                <w:sz w:val="24"/>
                <w:szCs w:val="24"/>
              </w:rPr>
              <w:t>Småbørn og børn i alderen 1-5 år</w:t>
            </w:r>
          </w:p>
        </w:tc>
        <w:tc>
          <w:tcPr>
            <w:tcW w:w="1461" w:type="pct"/>
            <w:tcBorders>
              <w:top w:val="single" w:sz="6" w:space="0" w:color="000000"/>
              <w:left w:val="single" w:sz="6" w:space="0" w:color="000000"/>
              <w:bottom w:val="single" w:sz="6" w:space="0" w:color="000000"/>
              <w:right w:val="single" w:sz="6" w:space="0" w:color="000000"/>
            </w:tcBorders>
          </w:tcPr>
          <w:p w14:paraId="5EB7C2A0" w14:textId="77777777" w:rsidR="009F0DD7" w:rsidRPr="009F0DD7" w:rsidRDefault="009F0DD7" w:rsidP="004E481C">
            <w:pPr>
              <w:ind w:left="107"/>
              <w:rPr>
                <w:sz w:val="24"/>
                <w:szCs w:val="24"/>
              </w:rPr>
            </w:pPr>
          </w:p>
        </w:tc>
        <w:tc>
          <w:tcPr>
            <w:tcW w:w="1886" w:type="pct"/>
            <w:tcBorders>
              <w:top w:val="single" w:sz="6" w:space="0" w:color="000000"/>
              <w:left w:val="single" w:sz="6" w:space="0" w:color="000000"/>
              <w:bottom w:val="single" w:sz="6" w:space="0" w:color="000000"/>
              <w:right w:val="single" w:sz="6" w:space="0" w:color="000000"/>
            </w:tcBorders>
            <w:hideMark/>
          </w:tcPr>
          <w:p w14:paraId="4AB26232" w14:textId="77777777" w:rsidR="009F0DD7" w:rsidRPr="009F0DD7" w:rsidRDefault="009F0DD7" w:rsidP="004E481C">
            <w:pPr>
              <w:ind w:left="84"/>
              <w:rPr>
                <w:sz w:val="24"/>
                <w:szCs w:val="24"/>
              </w:rPr>
            </w:pPr>
            <w:r w:rsidRPr="009F0DD7">
              <w:rPr>
                <w:sz w:val="24"/>
                <w:szCs w:val="24"/>
              </w:rPr>
              <w:t>Op til 10 plastre i 1-5 timer</w:t>
            </w:r>
            <w:r w:rsidRPr="009F0DD7">
              <w:rPr>
                <w:sz w:val="24"/>
                <w:szCs w:val="24"/>
                <w:vertAlign w:val="superscript"/>
              </w:rPr>
              <w:t>6)</w:t>
            </w:r>
            <w:r w:rsidRPr="009F0DD7">
              <w:rPr>
                <w:sz w:val="24"/>
                <w:szCs w:val="24"/>
              </w:rPr>
              <w:t xml:space="preserve"> </w:t>
            </w:r>
          </w:p>
        </w:tc>
      </w:tr>
      <w:tr w:rsidR="009F0DD7" w:rsidRPr="009F0DD7" w14:paraId="0671D728" w14:textId="77777777" w:rsidTr="004E481C">
        <w:tc>
          <w:tcPr>
            <w:tcW w:w="1654" w:type="pct"/>
            <w:tcBorders>
              <w:top w:val="single" w:sz="6" w:space="0" w:color="000000"/>
              <w:left w:val="single" w:sz="6" w:space="0" w:color="000000"/>
              <w:bottom w:val="single" w:sz="6" w:space="0" w:color="000000"/>
              <w:right w:val="single" w:sz="6" w:space="0" w:color="000000"/>
            </w:tcBorders>
            <w:hideMark/>
          </w:tcPr>
          <w:p w14:paraId="6BEFCD49" w14:textId="77777777" w:rsidR="009F0DD7" w:rsidRPr="009F0DD7" w:rsidRDefault="009F0DD7" w:rsidP="004E481C">
            <w:pPr>
              <w:ind w:left="132"/>
              <w:rPr>
                <w:sz w:val="24"/>
                <w:szCs w:val="24"/>
              </w:rPr>
            </w:pPr>
            <w:r w:rsidRPr="009F0DD7">
              <w:rPr>
                <w:sz w:val="24"/>
                <w:szCs w:val="24"/>
              </w:rPr>
              <w:t>Børn i alderen 6-11 år</w:t>
            </w:r>
          </w:p>
        </w:tc>
        <w:tc>
          <w:tcPr>
            <w:tcW w:w="1461" w:type="pct"/>
            <w:tcBorders>
              <w:top w:val="single" w:sz="6" w:space="0" w:color="000000"/>
              <w:left w:val="single" w:sz="6" w:space="0" w:color="000000"/>
              <w:bottom w:val="single" w:sz="6" w:space="0" w:color="000000"/>
              <w:right w:val="single" w:sz="6" w:space="0" w:color="000000"/>
            </w:tcBorders>
          </w:tcPr>
          <w:p w14:paraId="69A3502B" w14:textId="77777777" w:rsidR="009F0DD7" w:rsidRPr="009F0DD7" w:rsidRDefault="009F0DD7" w:rsidP="004E481C">
            <w:pPr>
              <w:ind w:left="107"/>
              <w:rPr>
                <w:sz w:val="24"/>
                <w:szCs w:val="24"/>
              </w:rPr>
            </w:pPr>
          </w:p>
        </w:tc>
        <w:tc>
          <w:tcPr>
            <w:tcW w:w="1886" w:type="pct"/>
            <w:tcBorders>
              <w:top w:val="single" w:sz="6" w:space="0" w:color="000000"/>
              <w:left w:val="single" w:sz="6" w:space="0" w:color="000000"/>
              <w:bottom w:val="single" w:sz="6" w:space="0" w:color="000000"/>
              <w:right w:val="single" w:sz="6" w:space="0" w:color="000000"/>
            </w:tcBorders>
            <w:hideMark/>
          </w:tcPr>
          <w:p w14:paraId="39477C21" w14:textId="77777777" w:rsidR="009F0DD7" w:rsidRPr="009F0DD7" w:rsidRDefault="009F0DD7" w:rsidP="004E481C">
            <w:pPr>
              <w:ind w:left="84"/>
              <w:rPr>
                <w:sz w:val="24"/>
                <w:szCs w:val="24"/>
              </w:rPr>
            </w:pPr>
            <w:r w:rsidRPr="009F0DD7">
              <w:rPr>
                <w:sz w:val="24"/>
                <w:szCs w:val="24"/>
              </w:rPr>
              <w:t>Op til 20 plastre i 1-5 timer</w:t>
            </w:r>
            <w:r w:rsidRPr="009F0DD7">
              <w:rPr>
                <w:sz w:val="24"/>
                <w:szCs w:val="24"/>
                <w:vertAlign w:val="superscript"/>
              </w:rPr>
              <w:t>6)</w:t>
            </w:r>
            <w:r w:rsidRPr="009F0DD7">
              <w:rPr>
                <w:sz w:val="24"/>
                <w:szCs w:val="24"/>
              </w:rPr>
              <w:t xml:space="preserve"> </w:t>
            </w:r>
          </w:p>
        </w:tc>
      </w:tr>
      <w:tr w:rsidR="009F0DD7" w:rsidRPr="009F0DD7" w14:paraId="39F43C75" w14:textId="77777777" w:rsidTr="004E481C">
        <w:tc>
          <w:tcPr>
            <w:tcW w:w="1654" w:type="pct"/>
            <w:tcBorders>
              <w:top w:val="single" w:sz="6" w:space="0" w:color="000000"/>
              <w:left w:val="single" w:sz="6" w:space="0" w:color="000000"/>
              <w:bottom w:val="single" w:sz="6" w:space="0" w:color="000000"/>
              <w:right w:val="single" w:sz="6" w:space="0" w:color="000000"/>
            </w:tcBorders>
            <w:hideMark/>
          </w:tcPr>
          <w:p w14:paraId="5857D2DA" w14:textId="77777777" w:rsidR="009F0DD7" w:rsidRPr="009F0DD7" w:rsidRDefault="009F0DD7" w:rsidP="004E481C">
            <w:pPr>
              <w:ind w:left="132"/>
              <w:rPr>
                <w:sz w:val="24"/>
                <w:szCs w:val="24"/>
              </w:rPr>
            </w:pPr>
            <w:r w:rsidRPr="009F0DD7">
              <w:rPr>
                <w:sz w:val="24"/>
                <w:szCs w:val="24"/>
              </w:rPr>
              <w:t>Pædiatriske patienter med atopisk dermatitis</w:t>
            </w:r>
          </w:p>
        </w:tc>
        <w:tc>
          <w:tcPr>
            <w:tcW w:w="1461" w:type="pct"/>
            <w:tcBorders>
              <w:top w:val="single" w:sz="6" w:space="0" w:color="000000"/>
              <w:left w:val="single" w:sz="6" w:space="0" w:color="000000"/>
              <w:bottom w:val="single" w:sz="6" w:space="0" w:color="000000"/>
              <w:right w:val="single" w:sz="6" w:space="0" w:color="000000"/>
            </w:tcBorders>
            <w:hideMark/>
          </w:tcPr>
          <w:p w14:paraId="3C40CD50" w14:textId="77777777" w:rsidR="009F0DD7" w:rsidRPr="009F0DD7" w:rsidRDefault="009F0DD7" w:rsidP="004E481C">
            <w:pPr>
              <w:ind w:left="107"/>
              <w:rPr>
                <w:sz w:val="24"/>
                <w:szCs w:val="24"/>
              </w:rPr>
            </w:pPr>
            <w:r w:rsidRPr="009F0DD7">
              <w:rPr>
                <w:sz w:val="24"/>
                <w:szCs w:val="24"/>
              </w:rPr>
              <w:t>Inden fjernelse af molluskler</w:t>
            </w:r>
          </w:p>
        </w:tc>
        <w:tc>
          <w:tcPr>
            <w:tcW w:w="1886" w:type="pct"/>
            <w:tcBorders>
              <w:top w:val="single" w:sz="6" w:space="0" w:color="000000"/>
              <w:left w:val="single" w:sz="6" w:space="0" w:color="000000"/>
              <w:bottom w:val="single" w:sz="6" w:space="0" w:color="000000"/>
              <w:right w:val="single" w:sz="6" w:space="0" w:color="000000"/>
            </w:tcBorders>
            <w:hideMark/>
          </w:tcPr>
          <w:p w14:paraId="1D1140EB" w14:textId="77777777" w:rsidR="009F0DD7" w:rsidRPr="009F0DD7" w:rsidRDefault="009F0DD7" w:rsidP="004E481C">
            <w:pPr>
              <w:ind w:left="84"/>
              <w:rPr>
                <w:sz w:val="24"/>
                <w:szCs w:val="24"/>
              </w:rPr>
            </w:pPr>
            <w:r w:rsidRPr="009F0DD7">
              <w:rPr>
                <w:sz w:val="24"/>
                <w:szCs w:val="24"/>
              </w:rPr>
              <w:t>Applikationstid: 30 minutter</w:t>
            </w:r>
          </w:p>
        </w:tc>
      </w:tr>
    </w:tbl>
    <w:p w14:paraId="69C01A1C" w14:textId="77777777" w:rsidR="009F0DD7" w:rsidRPr="004E481C" w:rsidRDefault="009F0DD7" w:rsidP="004E481C">
      <w:pPr>
        <w:tabs>
          <w:tab w:val="left" w:pos="1134"/>
        </w:tabs>
        <w:ind w:left="1134" w:hanging="283"/>
        <w:rPr>
          <w:sz w:val="20"/>
        </w:rPr>
      </w:pPr>
      <w:r w:rsidRPr="004E481C">
        <w:rPr>
          <w:sz w:val="20"/>
          <w:vertAlign w:val="superscript"/>
        </w:rPr>
        <w:t>1)</w:t>
      </w:r>
      <w:r w:rsidRPr="004E481C">
        <w:rPr>
          <w:sz w:val="20"/>
          <w:vertAlign w:val="superscript"/>
        </w:rPr>
        <w:tab/>
      </w:r>
      <w:r w:rsidRPr="004E481C">
        <w:rPr>
          <w:sz w:val="20"/>
        </w:rPr>
        <w:t>Hos nyfødte og spædbørn under 3 måneder bør der kun gives en enkelt dosis i løbet af en 24-timers periode. For børn i alderen 3 måneder og derover bør der maksimalt gives 2 doser med mindst 12 timers mellemrum i løbet af et døgn, se pkt. 4.4 og 4.8.</w:t>
      </w:r>
    </w:p>
    <w:p w14:paraId="09B69A90" w14:textId="77777777" w:rsidR="009F0DD7" w:rsidRPr="004E481C" w:rsidRDefault="009F0DD7" w:rsidP="004E481C">
      <w:pPr>
        <w:tabs>
          <w:tab w:val="left" w:pos="1134"/>
        </w:tabs>
        <w:ind w:left="1134" w:hanging="283"/>
        <w:rPr>
          <w:sz w:val="20"/>
        </w:rPr>
      </w:pPr>
      <w:r w:rsidRPr="004E481C">
        <w:rPr>
          <w:sz w:val="20"/>
          <w:vertAlign w:val="superscript"/>
        </w:rPr>
        <w:t>2)</w:t>
      </w:r>
      <w:r w:rsidRPr="004E481C">
        <w:rPr>
          <w:sz w:val="20"/>
          <w:vertAlign w:val="superscript"/>
        </w:rPr>
        <w:tab/>
      </w:r>
      <w:r w:rsidRPr="004E481C">
        <w:rPr>
          <w:sz w:val="20"/>
        </w:rPr>
        <w:t>På grund af sikkerhedsvurderinger bør lidocain/prilocain ikke anvendes hos spædbørn under 12 måneder, der får behandling med methæmoglobin-inducerende midler, se pkt. 4.4 og 4.8.</w:t>
      </w:r>
    </w:p>
    <w:p w14:paraId="3D54397D" w14:textId="77777777" w:rsidR="009F0DD7" w:rsidRPr="004E481C" w:rsidRDefault="009F0DD7" w:rsidP="004E481C">
      <w:pPr>
        <w:tabs>
          <w:tab w:val="left" w:pos="1134"/>
        </w:tabs>
        <w:ind w:left="1134" w:hanging="283"/>
        <w:rPr>
          <w:sz w:val="20"/>
          <w:vertAlign w:val="superscript"/>
        </w:rPr>
      </w:pPr>
      <w:r w:rsidRPr="004E481C">
        <w:rPr>
          <w:sz w:val="20"/>
          <w:vertAlign w:val="superscript"/>
        </w:rPr>
        <w:t>3)</w:t>
      </w:r>
      <w:r w:rsidRPr="004E481C">
        <w:rPr>
          <w:sz w:val="20"/>
          <w:vertAlign w:val="superscript"/>
        </w:rPr>
        <w:tab/>
      </w:r>
      <w:r w:rsidRPr="004E481C">
        <w:rPr>
          <w:sz w:val="20"/>
        </w:rPr>
        <w:t>På grund af sikkerhedsvurderinger bør lidocain/prilocain ikke anvendes hos præmature spædbørn født før 37. svangerskabsuge, se pkt. 4.4.</w:t>
      </w:r>
    </w:p>
    <w:p w14:paraId="632E4C92" w14:textId="77777777" w:rsidR="009F0DD7" w:rsidRPr="004E481C" w:rsidRDefault="009F0DD7" w:rsidP="004E481C">
      <w:pPr>
        <w:tabs>
          <w:tab w:val="left" w:pos="1134"/>
        </w:tabs>
        <w:ind w:left="1134" w:hanging="283"/>
        <w:rPr>
          <w:sz w:val="20"/>
        </w:rPr>
      </w:pPr>
      <w:r w:rsidRPr="004E481C">
        <w:rPr>
          <w:sz w:val="20"/>
          <w:vertAlign w:val="superscript"/>
        </w:rPr>
        <w:t>4)</w:t>
      </w:r>
      <w:r w:rsidRPr="004E481C">
        <w:rPr>
          <w:sz w:val="20"/>
          <w:vertAlign w:val="superscript"/>
        </w:rPr>
        <w:tab/>
      </w:r>
      <w:r w:rsidRPr="004E481C">
        <w:rPr>
          <w:sz w:val="20"/>
        </w:rPr>
        <w:t xml:space="preserve">Applikationtid &gt; 1 time er ikke dokumenteret. </w:t>
      </w:r>
    </w:p>
    <w:p w14:paraId="023C66EB" w14:textId="77777777" w:rsidR="009F0DD7" w:rsidRPr="004E481C" w:rsidRDefault="009F0DD7" w:rsidP="004E481C">
      <w:pPr>
        <w:tabs>
          <w:tab w:val="left" w:pos="1134"/>
        </w:tabs>
        <w:ind w:left="1134" w:hanging="283"/>
        <w:rPr>
          <w:sz w:val="20"/>
        </w:rPr>
      </w:pPr>
      <w:r w:rsidRPr="004E481C">
        <w:rPr>
          <w:sz w:val="20"/>
          <w:vertAlign w:val="superscript"/>
        </w:rPr>
        <w:t>5)</w:t>
      </w:r>
      <w:r w:rsidRPr="004E481C">
        <w:rPr>
          <w:sz w:val="20"/>
          <w:vertAlign w:val="superscript"/>
        </w:rPr>
        <w:tab/>
      </w:r>
      <w:r w:rsidRPr="004E481C">
        <w:rPr>
          <w:sz w:val="20"/>
        </w:rPr>
        <w:t>Der er ikke set klinisk signifikant stigning i methæmoglobinniveauet efter en applikationstid på op til 4 timer på 16 cm</w:t>
      </w:r>
      <w:r w:rsidRPr="004E481C">
        <w:rPr>
          <w:sz w:val="20"/>
          <w:vertAlign w:val="superscript"/>
        </w:rPr>
        <w:t>2</w:t>
      </w:r>
      <w:r w:rsidRPr="004E481C">
        <w:rPr>
          <w:sz w:val="20"/>
        </w:rPr>
        <w:t xml:space="preserve"> med 2 g lidocain/prilocain creme.</w:t>
      </w:r>
    </w:p>
    <w:p w14:paraId="6244EBBC" w14:textId="77777777" w:rsidR="009F0DD7" w:rsidRPr="004E481C" w:rsidRDefault="009F0DD7" w:rsidP="004E481C">
      <w:pPr>
        <w:tabs>
          <w:tab w:val="left" w:pos="1134"/>
        </w:tabs>
        <w:ind w:left="1134" w:hanging="283"/>
        <w:rPr>
          <w:sz w:val="20"/>
        </w:rPr>
      </w:pPr>
      <w:r w:rsidRPr="004E481C">
        <w:rPr>
          <w:sz w:val="20"/>
          <w:vertAlign w:val="superscript"/>
        </w:rPr>
        <w:t>6)</w:t>
      </w:r>
      <w:r w:rsidRPr="004E481C">
        <w:rPr>
          <w:sz w:val="20"/>
          <w:vertAlign w:val="superscript"/>
        </w:rPr>
        <w:tab/>
      </w:r>
      <w:r w:rsidRPr="004E481C">
        <w:rPr>
          <w:sz w:val="20"/>
        </w:rPr>
        <w:t>Efter længere applikationstid nedsættes anæstesieffekten.</w:t>
      </w:r>
    </w:p>
    <w:p w14:paraId="09146524" w14:textId="77777777" w:rsidR="009F0DD7" w:rsidRPr="004E481C" w:rsidRDefault="009F0DD7" w:rsidP="004E481C">
      <w:pPr>
        <w:tabs>
          <w:tab w:val="left" w:pos="1134"/>
        </w:tabs>
        <w:ind w:left="1134" w:hanging="283"/>
        <w:rPr>
          <w:sz w:val="20"/>
        </w:rPr>
      </w:pPr>
      <w:r w:rsidRPr="004E481C">
        <w:rPr>
          <w:sz w:val="20"/>
          <w:vertAlign w:val="superscript"/>
        </w:rPr>
        <w:t>7)</w:t>
      </w:r>
      <w:r w:rsidRPr="004E481C">
        <w:rPr>
          <w:sz w:val="20"/>
        </w:rPr>
        <w:tab/>
        <w:t>Plastrets størrelse gør det mindre egnet til brug på visse dele af kroppen hos nyfødte og spædbørn</w:t>
      </w:r>
    </w:p>
    <w:p w14:paraId="6E78D863" w14:textId="77777777" w:rsidR="009F0DD7" w:rsidRPr="009F0DD7" w:rsidRDefault="009F0DD7" w:rsidP="009F0DD7">
      <w:pPr>
        <w:tabs>
          <w:tab w:val="left" w:pos="851"/>
        </w:tabs>
        <w:ind w:left="851"/>
        <w:rPr>
          <w:sz w:val="24"/>
          <w:szCs w:val="24"/>
        </w:rPr>
      </w:pPr>
    </w:p>
    <w:p w14:paraId="2D1244A7" w14:textId="77777777" w:rsidR="009F0DD7" w:rsidRPr="00357A90" w:rsidRDefault="009F0DD7" w:rsidP="009F0DD7">
      <w:pPr>
        <w:tabs>
          <w:tab w:val="left" w:pos="851"/>
        </w:tabs>
        <w:ind w:left="851"/>
        <w:rPr>
          <w:bCs/>
          <w:iCs/>
          <w:sz w:val="24"/>
          <w:szCs w:val="24"/>
          <w:u w:val="single"/>
        </w:rPr>
      </w:pPr>
      <w:r w:rsidRPr="00357A90">
        <w:rPr>
          <w:bCs/>
          <w:iCs/>
          <w:sz w:val="24"/>
          <w:szCs w:val="24"/>
          <w:u w:val="single"/>
        </w:rPr>
        <w:t xml:space="preserve">Ældre </w:t>
      </w:r>
    </w:p>
    <w:p w14:paraId="30E089B8" w14:textId="77777777" w:rsidR="009F0DD7" w:rsidRPr="009F0DD7" w:rsidRDefault="009F0DD7" w:rsidP="009F0DD7">
      <w:pPr>
        <w:tabs>
          <w:tab w:val="left" w:pos="851"/>
        </w:tabs>
        <w:ind w:left="851"/>
        <w:rPr>
          <w:sz w:val="24"/>
          <w:szCs w:val="24"/>
        </w:rPr>
      </w:pPr>
      <w:r w:rsidRPr="009F0DD7">
        <w:rPr>
          <w:sz w:val="24"/>
          <w:szCs w:val="24"/>
        </w:rPr>
        <w:t>Det er ikke nødvendigt at reducere dosis hos ældre patienter (se pkt. 5.1 og 5.2).</w:t>
      </w:r>
    </w:p>
    <w:p w14:paraId="31102386" w14:textId="77777777" w:rsidR="009F0DD7" w:rsidRPr="009F0DD7" w:rsidRDefault="009F0DD7" w:rsidP="009F0DD7">
      <w:pPr>
        <w:tabs>
          <w:tab w:val="left" w:pos="851"/>
        </w:tabs>
        <w:ind w:left="851"/>
        <w:rPr>
          <w:sz w:val="24"/>
          <w:szCs w:val="24"/>
        </w:rPr>
      </w:pPr>
    </w:p>
    <w:p w14:paraId="532F90B0" w14:textId="77777777" w:rsidR="009F0DD7" w:rsidRPr="00357A90" w:rsidRDefault="009F0DD7" w:rsidP="009F0DD7">
      <w:pPr>
        <w:tabs>
          <w:tab w:val="left" w:pos="851"/>
        </w:tabs>
        <w:ind w:left="851"/>
        <w:rPr>
          <w:bCs/>
          <w:iCs/>
          <w:sz w:val="24"/>
          <w:szCs w:val="24"/>
          <w:u w:val="single"/>
        </w:rPr>
      </w:pPr>
      <w:r w:rsidRPr="00357A90">
        <w:rPr>
          <w:bCs/>
          <w:iCs/>
          <w:sz w:val="24"/>
          <w:szCs w:val="24"/>
          <w:u w:val="single"/>
        </w:rPr>
        <w:t>Nedsat leverfunktion</w:t>
      </w:r>
    </w:p>
    <w:p w14:paraId="62CE94F0" w14:textId="77777777" w:rsidR="009F0DD7" w:rsidRPr="009F0DD7" w:rsidRDefault="009F0DD7" w:rsidP="009F0DD7">
      <w:pPr>
        <w:tabs>
          <w:tab w:val="left" w:pos="851"/>
        </w:tabs>
        <w:ind w:left="851"/>
        <w:rPr>
          <w:sz w:val="24"/>
          <w:szCs w:val="24"/>
        </w:rPr>
      </w:pPr>
      <w:r w:rsidRPr="009F0DD7">
        <w:rPr>
          <w:sz w:val="24"/>
          <w:szCs w:val="24"/>
        </w:rPr>
        <w:t>Det er ikke nødvendigt at reducere en enkelt dosis hos patienter med nedsat leverfunktion (se pkt. 5.2).</w:t>
      </w:r>
    </w:p>
    <w:p w14:paraId="2A34B5B2" w14:textId="77777777" w:rsidR="009F0DD7" w:rsidRPr="009F0DD7" w:rsidRDefault="009F0DD7" w:rsidP="009F0DD7">
      <w:pPr>
        <w:tabs>
          <w:tab w:val="left" w:pos="851"/>
        </w:tabs>
        <w:ind w:left="851"/>
        <w:rPr>
          <w:sz w:val="24"/>
          <w:szCs w:val="24"/>
        </w:rPr>
      </w:pPr>
    </w:p>
    <w:p w14:paraId="432B46D4" w14:textId="77777777" w:rsidR="009F0DD7" w:rsidRPr="00357A90" w:rsidRDefault="009F0DD7" w:rsidP="009F0DD7">
      <w:pPr>
        <w:tabs>
          <w:tab w:val="left" w:pos="851"/>
        </w:tabs>
        <w:ind w:left="851"/>
        <w:rPr>
          <w:bCs/>
          <w:iCs/>
          <w:sz w:val="24"/>
          <w:szCs w:val="24"/>
          <w:u w:val="single"/>
        </w:rPr>
      </w:pPr>
      <w:r w:rsidRPr="00357A90">
        <w:rPr>
          <w:bCs/>
          <w:iCs/>
          <w:sz w:val="24"/>
          <w:szCs w:val="24"/>
          <w:u w:val="single"/>
        </w:rPr>
        <w:t>Nedsat nyrefunktion</w:t>
      </w:r>
    </w:p>
    <w:p w14:paraId="6E4912B2" w14:textId="77777777" w:rsidR="009F0DD7" w:rsidRPr="009F0DD7" w:rsidRDefault="009F0DD7" w:rsidP="009F0DD7">
      <w:pPr>
        <w:tabs>
          <w:tab w:val="left" w:pos="851"/>
        </w:tabs>
        <w:ind w:left="851"/>
        <w:rPr>
          <w:sz w:val="24"/>
          <w:szCs w:val="24"/>
        </w:rPr>
      </w:pPr>
      <w:r w:rsidRPr="009F0DD7">
        <w:rPr>
          <w:sz w:val="24"/>
          <w:szCs w:val="24"/>
        </w:rPr>
        <w:t>Det er ikke nødvendigt at reducere dosis hos patienter med nedsat nyrefunktion.</w:t>
      </w:r>
    </w:p>
    <w:p w14:paraId="045F3526" w14:textId="77777777" w:rsidR="009F0DD7" w:rsidRPr="009F0DD7" w:rsidRDefault="009F0DD7" w:rsidP="009F0DD7">
      <w:pPr>
        <w:tabs>
          <w:tab w:val="left" w:pos="851"/>
        </w:tabs>
        <w:ind w:left="851"/>
        <w:rPr>
          <w:sz w:val="24"/>
          <w:szCs w:val="24"/>
        </w:rPr>
      </w:pPr>
    </w:p>
    <w:p w14:paraId="5386974B" w14:textId="77777777" w:rsidR="009F0DD7" w:rsidRPr="00546373" w:rsidRDefault="009F0DD7" w:rsidP="009F0DD7">
      <w:pPr>
        <w:tabs>
          <w:tab w:val="left" w:pos="851"/>
        </w:tabs>
        <w:ind w:left="851"/>
        <w:rPr>
          <w:b/>
          <w:sz w:val="24"/>
          <w:szCs w:val="24"/>
        </w:rPr>
      </w:pPr>
      <w:r w:rsidRPr="00546373">
        <w:rPr>
          <w:b/>
          <w:sz w:val="24"/>
          <w:szCs w:val="24"/>
        </w:rPr>
        <w:t xml:space="preserve">Administration </w:t>
      </w:r>
    </w:p>
    <w:p w14:paraId="6D6703B1" w14:textId="77777777" w:rsidR="009F0DD7" w:rsidRPr="009F0DD7" w:rsidRDefault="009F0DD7" w:rsidP="009F0DD7">
      <w:pPr>
        <w:tabs>
          <w:tab w:val="left" w:pos="851"/>
        </w:tabs>
        <w:ind w:left="851"/>
        <w:rPr>
          <w:sz w:val="24"/>
          <w:szCs w:val="24"/>
        </w:rPr>
      </w:pPr>
      <w:r w:rsidRPr="009F0DD7">
        <w:rPr>
          <w:sz w:val="24"/>
          <w:szCs w:val="24"/>
        </w:rPr>
        <w:t>Til kutan anvendelse.</w:t>
      </w:r>
    </w:p>
    <w:p w14:paraId="24058946" w14:textId="77777777" w:rsidR="009F0DD7" w:rsidRPr="009F0DD7" w:rsidRDefault="009F0DD7" w:rsidP="009F0DD7">
      <w:pPr>
        <w:tabs>
          <w:tab w:val="left" w:pos="851"/>
        </w:tabs>
        <w:ind w:left="851"/>
        <w:rPr>
          <w:sz w:val="24"/>
          <w:szCs w:val="24"/>
        </w:rPr>
      </w:pPr>
    </w:p>
    <w:p w14:paraId="03701288" w14:textId="77777777" w:rsidR="009F0DD7" w:rsidRPr="009F0DD7" w:rsidRDefault="009F0DD7" w:rsidP="009F0DD7">
      <w:pPr>
        <w:tabs>
          <w:tab w:val="left" w:pos="851"/>
        </w:tabs>
        <w:ind w:left="851"/>
        <w:rPr>
          <w:sz w:val="24"/>
          <w:szCs w:val="24"/>
        </w:rPr>
      </w:pPr>
      <w:r w:rsidRPr="009F0DD7">
        <w:rPr>
          <w:sz w:val="24"/>
          <w:szCs w:val="24"/>
        </w:rPr>
        <w:lastRenderedPageBreak/>
        <w:t xml:space="preserve">Det område, der skal bedøves, skal være rent og tørt. </w:t>
      </w:r>
    </w:p>
    <w:p w14:paraId="7D83A58C" w14:textId="77777777" w:rsidR="009F0DD7" w:rsidRPr="009F0DD7" w:rsidRDefault="009F0DD7" w:rsidP="009F0DD7">
      <w:pPr>
        <w:tabs>
          <w:tab w:val="left" w:pos="851"/>
        </w:tabs>
        <w:ind w:left="851"/>
        <w:rPr>
          <w:sz w:val="24"/>
          <w:szCs w:val="24"/>
        </w:rPr>
      </w:pPr>
      <w:r w:rsidRPr="009F0DD7">
        <w:rPr>
          <w:sz w:val="24"/>
          <w:szCs w:val="24"/>
        </w:rPr>
        <w:t>Eventuelle hår i området fjernes om nødvendigt før applikation.</w:t>
      </w:r>
    </w:p>
    <w:p w14:paraId="3E72EA44" w14:textId="77777777" w:rsidR="009F0DD7" w:rsidRPr="009F0DD7" w:rsidRDefault="009F0DD7" w:rsidP="009F0DD7">
      <w:pPr>
        <w:tabs>
          <w:tab w:val="left" w:pos="851"/>
        </w:tabs>
        <w:ind w:left="851"/>
        <w:rPr>
          <w:sz w:val="24"/>
          <w:szCs w:val="24"/>
        </w:rPr>
      </w:pPr>
      <w:r w:rsidRPr="009F0DD7">
        <w:rPr>
          <w:sz w:val="24"/>
          <w:szCs w:val="24"/>
        </w:rPr>
        <w:t>Det medicinske plaster åbnes ved at tage fat i fligen i aluminium i hjørnet.</w:t>
      </w:r>
    </w:p>
    <w:p w14:paraId="5991F6A9" w14:textId="77777777" w:rsidR="009F0DD7" w:rsidRPr="009F0DD7" w:rsidRDefault="009F0DD7" w:rsidP="009F0DD7">
      <w:pPr>
        <w:tabs>
          <w:tab w:val="left" w:pos="851"/>
        </w:tabs>
        <w:ind w:left="851"/>
        <w:rPr>
          <w:sz w:val="24"/>
          <w:szCs w:val="24"/>
        </w:rPr>
      </w:pPr>
      <w:r w:rsidRPr="009F0DD7">
        <w:rPr>
          <w:sz w:val="24"/>
          <w:szCs w:val="24"/>
        </w:rPr>
        <w:t>Det medicinske plaster sættes på, således at den hvide skive dækker det område, der skal bedøves.</w:t>
      </w:r>
    </w:p>
    <w:p w14:paraId="4FB0A7EE" w14:textId="77777777" w:rsidR="009F0DD7" w:rsidRPr="009F0DD7" w:rsidRDefault="009F0DD7" w:rsidP="009F0DD7">
      <w:pPr>
        <w:tabs>
          <w:tab w:val="left" w:pos="851"/>
        </w:tabs>
        <w:ind w:left="851"/>
        <w:rPr>
          <w:sz w:val="24"/>
          <w:szCs w:val="24"/>
        </w:rPr>
      </w:pPr>
      <w:r w:rsidRPr="009F0DD7">
        <w:rPr>
          <w:sz w:val="24"/>
          <w:szCs w:val="24"/>
        </w:rPr>
        <w:t xml:space="preserve">Når den beskyttende bagside er fjernet og det medicinske plaster er ført på huden, trykkes det medicinske plasters kanter godt ned. </w:t>
      </w:r>
    </w:p>
    <w:p w14:paraId="47273CF0" w14:textId="77777777" w:rsidR="009F0DD7" w:rsidRPr="009F0DD7" w:rsidRDefault="009F0DD7" w:rsidP="009F0DD7">
      <w:pPr>
        <w:tabs>
          <w:tab w:val="left" w:pos="851"/>
        </w:tabs>
        <w:ind w:left="851"/>
        <w:rPr>
          <w:sz w:val="24"/>
          <w:szCs w:val="24"/>
        </w:rPr>
      </w:pPr>
      <w:r w:rsidRPr="009F0DD7">
        <w:rPr>
          <w:sz w:val="24"/>
          <w:szCs w:val="24"/>
        </w:rPr>
        <w:t>Man må ikke trykke midt på det medicinske plaster, da dette kan medføre, at Lidocain/Pri</w:t>
      </w:r>
      <w:r w:rsidR="005F35FE">
        <w:rPr>
          <w:sz w:val="24"/>
          <w:szCs w:val="24"/>
        </w:rPr>
        <w:t>-</w:t>
      </w:r>
      <w:r w:rsidRPr="009F0DD7">
        <w:rPr>
          <w:sz w:val="24"/>
          <w:szCs w:val="24"/>
        </w:rPr>
        <w:t>locain-emulsionen slipper ud under klæbeplasteret og reducerer vedhæftning.</w:t>
      </w:r>
    </w:p>
    <w:p w14:paraId="4759971B" w14:textId="77777777" w:rsidR="009F0DD7" w:rsidRPr="009F0DD7" w:rsidRDefault="009F0DD7" w:rsidP="009F0DD7">
      <w:pPr>
        <w:tabs>
          <w:tab w:val="left" w:pos="851"/>
        </w:tabs>
        <w:ind w:left="851"/>
        <w:rPr>
          <w:sz w:val="24"/>
          <w:szCs w:val="24"/>
        </w:rPr>
      </w:pPr>
      <w:r w:rsidRPr="009F0DD7">
        <w:rPr>
          <w:sz w:val="24"/>
          <w:szCs w:val="24"/>
        </w:rPr>
        <w:t>Tidspunktet for påføring noteres direkte på selve det medicinske plaster. Det medicinske plaster bør blive siddende i mindst 1 time før en procedure hos voksne og børn på over 3 måneder.</w:t>
      </w:r>
    </w:p>
    <w:p w14:paraId="5306D16E" w14:textId="77777777" w:rsidR="009F0DD7" w:rsidRPr="009F0DD7" w:rsidRDefault="009F0DD7" w:rsidP="009F0DD7">
      <w:pPr>
        <w:tabs>
          <w:tab w:val="left" w:pos="851"/>
        </w:tabs>
        <w:ind w:left="851"/>
        <w:rPr>
          <w:sz w:val="24"/>
          <w:szCs w:val="24"/>
        </w:rPr>
      </w:pPr>
      <w:r w:rsidRPr="009F0DD7">
        <w:rPr>
          <w:sz w:val="24"/>
          <w:szCs w:val="24"/>
        </w:rPr>
        <w:t>Hos spædbørn i alderen mellem 0 og 2 måneder er den maksimale applikationstid 1 time på et område på højst 10 cm</w:t>
      </w:r>
      <w:r w:rsidRPr="009F0DD7">
        <w:rPr>
          <w:sz w:val="24"/>
          <w:szCs w:val="24"/>
          <w:vertAlign w:val="superscript"/>
        </w:rPr>
        <w:t>2</w:t>
      </w:r>
      <w:r w:rsidRPr="009F0DD7">
        <w:rPr>
          <w:sz w:val="24"/>
          <w:szCs w:val="24"/>
        </w:rPr>
        <w:t>.</w:t>
      </w:r>
    </w:p>
    <w:p w14:paraId="479D5502" w14:textId="77777777" w:rsidR="009F0DD7" w:rsidRPr="009F0DD7" w:rsidRDefault="009F0DD7" w:rsidP="009F0DD7">
      <w:pPr>
        <w:tabs>
          <w:tab w:val="left" w:pos="851"/>
        </w:tabs>
        <w:ind w:left="851"/>
        <w:rPr>
          <w:sz w:val="24"/>
          <w:szCs w:val="24"/>
        </w:rPr>
      </w:pPr>
      <w:r w:rsidRPr="009F0DD7">
        <w:rPr>
          <w:sz w:val="24"/>
          <w:szCs w:val="24"/>
        </w:rPr>
        <w:t>Det medicinske plaster må ikke klippes over eller deles i mindre stykker.</w:t>
      </w:r>
    </w:p>
    <w:p w14:paraId="79D304B7" w14:textId="77777777" w:rsidR="009260DE" w:rsidRPr="00C84483" w:rsidRDefault="009260DE" w:rsidP="009260DE">
      <w:pPr>
        <w:tabs>
          <w:tab w:val="left" w:pos="851"/>
        </w:tabs>
        <w:ind w:left="851"/>
        <w:rPr>
          <w:sz w:val="24"/>
          <w:szCs w:val="24"/>
        </w:rPr>
      </w:pPr>
    </w:p>
    <w:p w14:paraId="2F68DC43"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4D6D2E0" w14:textId="77777777" w:rsidR="0036123D" w:rsidRPr="0036123D" w:rsidRDefault="0036123D" w:rsidP="0036123D">
      <w:pPr>
        <w:tabs>
          <w:tab w:val="left" w:pos="851"/>
        </w:tabs>
        <w:ind w:left="851"/>
        <w:rPr>
          <w:sz w:val="24"/>
          <w:szCs w:val="24"/>
        </w:rPr>
      </w:pPr>
      <w:r w:rsidRPr="0036123D">
        <w:rPr>
          <w:sz w:val="24"/>
          <w:szCs w:val="24"/>
        </w:rPr>
        <w:t>Overfølsomhed over for lidocain og/eller prilocain eller lokalanæstetika af amidtypen eller over for et eller flere af hjælpestofferne anført i pkt. 6.1.</w:t>
      </w:r>
    </w:p>
    <w:p w14:paraId="2064C1BB" w14:textId="77777777" w:rsidR="009260DE" w:rsidRPr="00C84483" w:rsidRDefault="009260DE" w:rsidP="009260DE">
      <w:pPr>
        <w:tabs>
          <w:tab w:val="left" w:pos="851"/>
        </w:tabs>
        <w:ind w:left="851"/>
        <w:rPr>
          <w:sz w:val="24"/>
          <w:szCs w:val="24"/>
        </w:rPr>
      </w:pPr>
    </w:p>
    <w:p w14:paraId="5468DB0E"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5A883CC" w14:textId="77777777" w:rsidR="0036123D" w:rsidRPr="0036123D" w:rsidRDefault="0036123D" w:rsidP="0036123D">
      <w:pPr>
        <w:tabs>
          <w:tab w:val="left" w:pos="851"/>
        </w:tabs>
        <w:ind w:left="851"/>
        <w:rPr>
          <w:sz w:val="24"/>
          <w:szCs w:val="24"/>
        </w:rPr>
      </w:pPr>
      <w:r w:rsidRPr="0036123D">
        <w:rPr>
          <w:sz w:val="24"/>
          <w:szCs w:val="24"/>
        </w:rPr>
        <w:t>Patienter med glukose-6-phosphatdehydrogenasemangel eller med arvelig eller idiopatisk methæmoglobinæmi er mere følsomme for tegn på methæmoglobinæmi induceret af den aktive substans. Hos patienter med glucose-6-phosphatdehydrogenasemangel er antidoten methylthioniniumchlorid (methylenblåt) ikke effektiv til reduktion af methæmoglobin og kan i sig selv ilte hæmoglobin. Methylthioniniumchlorid kan derfor ikke anvendes som antidot.</w:t>
      </w:r>
    </w:p>
    <w:p w14:paraId="3CD50F89" w14:textId="77777777" w:rsidR="0036123D" w:rsidRPr="0036123D" w:rsidRDefault="0036123D" w:rsidP="0036123D">
      <w:pPr>
        <w:tabs>
          <w:tab w:val="left" w:pos="851"/>
        </w:tabs>
        <w:ind w:left="851"/>
        <w:rPr>
          <w:sz w:val="24"/>
          <w:szCs w:val="24"/>
        </w:rPr>
      </w:pPr>
    </w:p>
    <w:p w14:paraId="54C1E039" w14:textId="77777777" w:rsidR="0036123D" w:rsidRPr="0036123D" w:rsidRDefault="0036123D" w:rsidP="0036123D">
      <w:pPr>
        <w:tabs>
          <w:tab w:val="left" w:pos="851"/>
        </w:tabs>
        <w:ind w:left="851"/>
        <w:rPr>
          <w:sz w:val="24"/>
          <w:szCs w:val="24"/>
        </w:rPr>
      </w:pPr>
      <w:r w:rsidRPr="0036123D">
        <w:rPr>
          <w:sz w:val="24"/>
          <w:szCs w:val="24"/>
        </w:rPr>
        <w:t>Da der er utilstrækkelige data vedrørende absorption, bør lidocain/prilocain plastre ikke appliceres på åbne sår.</w:t>
      </w:r>
    </w:p>
    <w:p w14:paraId="2CC3C24D" w14:textId="77777777" w:rsidR="0036123D" w:rsidRPr="0036123D" w:rsidRDefault="0036123D" w:rsidP="0036123D">
      <w:pPr>
        <w:tabs>
          <w:tab w:val="left" w:pos="851"/>
        </w:tabs>
        <w:ind w:left="851"/>
        <w:rPr>
          <w:sz w:val="24"/>
          <w:szCs w:val="24"/>
        </w:rPr>
      </w:pPr>
    </w:p>
    <w:p w14:paraId="6D01C469" w14:textId="77777777" w:rsidR="0036123D" w:rsidRPr="0036123D" w:rsidRDefault="0036123D" w:rsidP="0036123D">
      <w:pPr>
        <w:tabs>
          <w:tab w:val="left" w:pos="851"/>
        </w:tabs>
        <w:ind w:left="851"/>
        <w:rPr>
          <w:sz w:val="24"/>
          <w:szCs w:val="24"/>
        </w:rPr>
      </w:pPr>
      <w:r w:rsidRPr="0036123D">
        <w:rPr>
          <w:sz w:val="24"/>
          <w:szCs w:val="24"/>
        </w:rPr>
        <w:t>Der skal udvises forsigtighed ved anvendelse af lidocain/prilocain hos patienter med atopisk dermatit. En kortere applikationstid på 15-30 minutter kan være tilstrækkelig (se pkt. 5.1). Applikationstider over 30 minutter hos patienter med atopisk dermatit kan resultere i en øget forekomst af lokale vaskulære reaktioner, især rødme på administrations</w:t>
      </w:r>
      <w:r w:rsidRPr="0036123D">
        <w:rPr>
          <w:sz w:val="24"/>
          <w:szCs w:val="24"/>
        </w:rPr>
        <w:softHyphen/>
        <w:t>stedet og i visse tilfælde petekkier og purpura (se pkt. 4.8). Det anbefales at påføre plastret 30 minutter inden fjernelse af molluskler hos børn med atopisk dermatit.</w:t>
      </w:r>
    </w:p>
    <w:p w14:paraId="77D8D213" w14:textId="77777777" w:rsidR="0036123D" w:rsidRPr="0036123D" w:rsidRDefault="0036123D" w:rsidP="0036123D">
      <w:pPr>
        <w:tabs>
          <w:tab w:val="left" w:pos="851"/>
        </w:tabs>
        <w:ind w:left="851"/>
        <w:rPr>
          <w:sz w:val="24"/>
          <w:szCs w:val="24"/>
        </w:rPr>
      </w:pPr>
    </w:p>
    <w:p w14:paraId="54000C53" w14:textId="77777777" w:rsidR="0036123D" w:rsidRPr="0036123D" w:rsidRDefault="0036123D" w:rsidP="0036123D">
      <w:pPr>
        <w:tabs>
          <w:tab w:val="left" w:pos="851"/>
        </w:tabs>
        <w:ind w:left="851"/>
        <w:rPr>
          <w:sz w:val="24"/>
          <w:szCs w:val="24"/>
        </w:rPr>
      </w:pPr>
      <w:r w:rsidRPr="0036123D">
        <w:rPr>
          <w:sz w:val="24"/>
          <w:szCs w:val="24"/>
          <w:lang w:val="nb-NO"/>
        </w:rPr>
        <w:t xml:space="preserve">Ved påføring i øjenregionen skal </w:t>
      </w:r>
      <w:r w:rsidRPr="0036123D">
        <w:rPr>
          <w:sz w:val="24"/>
          <w:szCs w:val="24"/>
        </w:rPr>
        <w:t>Lidocain/prilocain anvendes med særlig forsigtighed, da det kan medføre øjenirritation. Desuden kan tab af beskyttende reflekser resultere i hornhindeirritation og potentiel abrasion. Hvis plastret kommer i kontakt med øjnene, skal øjnene omgående skylles med vand eller natriumchloridopløsning og beskyttes, indtil følelsen vender tilbage.</w:t>
      </w:r>
    </w:p>
    <w:p w14:paraId="20E5BBDF" w14:textId="77777777" w:rsidR="0036123D" w:rsidRPr="0036123D" w:rsidRDefault="0036123D" w:rsidP="0036123D">
      <w:pPr>
        <w:tabs>
          <w:tab w:val="left" w:pos="851"/>
        </w:tabs>
        <w:ind w:left="851"/>
        <w:rPr>
          <w:sz w:val="24"/>
          <w:szCs w:val="24"/>
        </w:rPr>
      </w:pPr>
    </w:p>
    <w:p w14:paraId="28652D2F" w14:textId="77777777" w:rsidR="0036123D" w:rsidRPr="0036123D" w:rsidRDefault="0036123D" w:rsidP="0036123D">
      <w:pPr>
        <w:tabs>
          <w:tab w:val="left" w:pos="851"/>
        </w:tabs>
        <w:ind w:left="851"/>
        <w:rPr>
          <w:sz w:val="24"/>
          <w:szCs w:val="24"/>
        </w:rPr>
      </w:pPr>
      <w:r w:rsidRPr="0036123D">
        <w:rPr>
          <w:sz w:val="24"/>
          <w:szCs w:val="24"/>
        </w:rPr>
        <w:t>Lidocain og prilocain har bakteriedræbende og antivirale egenskaber i koncentrationer over 0,5-2 %. Derfor skal resultaterne af intrakutane injektioner af levende vacciner overvåges, selvom et klinisk studie tyder på, at immuniseringsresponset (bedømt ud fra lokal hævelse) ikke påvirkes, når lidocain/prilocain anvendes inden BCG vaccinationer.</w:t>
      </w:r>
    </w:p>
    <w:p w14:paraId="4C832F60" w14:textId="77777777" w:rsidR="0036123D" w:rsidRPr="0036123D" w:rsidRDefault="0036123D" w:rsidP="0036123D">
      <w:pPr>
        <w:tabs>
          <w:tab w:val="left" w:pos="851"/>
        </w:tabs>
        <w:ind w:left="851"/>
        <w:rPr>
          <w:sz w:val="24"/>
          <w:szCs w:val="24"/>
        </w:rPr>
      </w:pPr>
    </w:p>
    <w:p w14:paraId="5FBD64C4" w14:textId="77777777" w:rsidR="0036123D" w:rsidRPr="0036123D" w:rsidRDefault="0036123D" w:rsidP="0036123D">
      <w:pPr>
        <w:tabs>
          <w:tab w:val="left" w:pos="851"/>
        </w:tabs>
        <w:ind w:left="851"/>
        <w:rPr>
          <w:sz w:val="24"/>
          <w:szCs w:val="24"/>
        </w:rPr>
      </w:pPr>
      <w:r w:rsidRPr="0036123D">
        <w:rPr>
          <w:sz w:val="24"/>
          <w:szCs w:val="24"/>
        </w:rPr>
        <w:t>Plasteret indeholder ricinusolie, polyoxyleret, hydrogeneret, som kan forårsage hudreaktioner.</w:t>
      </w:r>
    </w:p>
    <w:p w14:paraId="7FCFACCF" w14:textId="77777777" w:rsidR="0036123D" w:rsidRPr="0036123D" w:rsidRDefault="0036123D" w:rsidP="0036123D">
      <w:pPr>
        <w:tabs>
          <w:tab w:val="left" w:pos="851"/>
        </w:tabs>
        <w:ind w:left="851"/>
        <w:rPr>
          <w:sz w:val="24"/>
          <w:szCs w:val="24"/>
        </w:rPr>
      </w:pPr>
    </w:p>
    <w:p w14:paraId="5D2579D5" w14:textId="77777777" w:rsidR="0036123D" w:rsidRPr="0036123D" w:rsidRDefault="0036123D" w:rsidP="0036123D">
      <w:pPr>
        <w:tabs>
          <w:tab w:val="left" w:pos="851"/>
        </w:tabs>
        <w:ind w:left="851"/>
        <w:rPr>
          <w:i/>
          <w:sz w:val="24"/>
          <w:szCs w:val="24"/>
        </w:rPr>
      </w:pPr>
      <w:r w:rsidRPr="0036123D">
        <w:rPr>
          <w:sz w:val="24"/>
          <w:szCs w:val="24"/>
          <w:u w:val="single"/>
        </w:rPr>
        <w:t>Pædiatrisk population</w:t>
      </w:r>
    </w:p>
    <w:p w14:paraId="01BFCB4E" w14:textId="77777777" w:rsidR="0036123D" w:rsidRPr="0036123D" w:rsidRDefault="0036123D" w:rsidP="0036123D">
      <w:pPr>
        <w:tabs>
          <w:tab w:val="left" w:pos="851"/>
        </w:tabs>
        <w:ind w:left="851"/>
        <w:rPr>
          <w:sz w:val="24"/>
          <w:szCs w:val="24"/>
        </w:rPr>
      </w:pPr>
      <w:r w:rsidRPr="0036123D">
        <w:rPr>
          <w:sz w:val="24"/>
          <w:szCs w:val="24"/>
        </w:rPr>
        <w:t>Det har ikke være muligt at påvise effekt af lidocain/prilocain i forbindelse med hælstik hos nyfødte.</w:t>
      </w:r>
    </w:p>
    <w:p w14:paraId="35E72A88" w14:textId="77777777" w:rsidR="0036123D" w:rsidRPr="0036123D" w:rsidRDefault="0036123D" w:rsidP="0036123D">
      <w:pPr>
        <w:tabs>
          <w:tab w:val="left" w:pos="851"/>
        </w:tabs>
        <w:ind w:left="851"/>
        <w:rPr>
          <w:sz w:val="24"/>
          <w:szCs w:val="24"/>
        </w:rPr>
      </w:pPr>
    </w:p>
    <w:p w14:paraId="005769EC" w14:textId="77777777" w:rsidR="0036123D" w:rsidRPr="0036123D" w:rsidRDefault="0036123D" w:rsidP="0036123D">
      <w:pPr>
        <w:tabs>
          <w:tab w:val="left" w:pos="851"/>
        </w:tabs>
        <w:ind w:left="851"/>
        <w:rPr>
          <w:sz w:val="24"/>
          <w:szCs w:val="24"/>
        </w:rPr>
      </w:pPr>
      <w:r w:rsidRPr="0036123D">
        <w:rPr>
          <w:sz w:val="24"/>
          <w:szCs w:val="24"/>
        </w:rPr>
        <w:t>Hos nyfødte/spædbørn under 3 måneder ses der ofte en forbigående ikke klinisk signifikant stigning i methæmoglobinniveauerne i op til 12 timer efter applikation af lidocain/prilocain inden for den anbefalede dosering.</w:t>
      </w:r>
    </w:p>
    <w:p w14:paraId="348723EE" w14:textId="77777777" w:rsidR="0036123D" w:rsidRPr="0036123D" w:rsidRDefault="0036123D" w:rsidP="0036123D">
      <w:pPr>
        <w:tabs>
          <w:tab w:val="left" w:pos="851"/>
        </w:tabs>
        <w:ind w:left="851"/>
        <w:rPr>
          <w:sz w:val="24"/>
          <w:szCs w:val="24"/>
        </w:rPr>
      </w:pPr>
    </w:p>
    <w:p w14:paraId="3F7A26D9" w14:textId="77777777" w:rsidR="0036123D" w:rsidRPr="0036123D" w:rsidRDefault="0036123D" w:rsidP="0036123D">
      <w:pPr>
        <w:tabs>
          <w:tab w:val="left" w:pos="851"/>
        </w:tabs>
        <w:ind w:left="851"/>
        <w:rPr>
          <w:sz w:val="24"/>
          <w:szCs w:val="24"/>
        </w:rPr>
      </w:pPr>
      <w:r w:rsidRPr="0036123D">
        <w:rPr>
          <w:sz w:val="24"/>
          <w:szCs w:val="24"/>
        </w:rPr>
        <w:t xml:space="preserve">Hvis den anbefalede dosis overskrides, skal patienten monitoreres for systemiske bivirkninger sekundært til methæmoglobinæmi (se pkt. 4.2, 4.8 og 4.9). </w:t>
      </w:r>
    </w:p>
    <w:p w14:paraId="4C311C56" w14:textId="77777777" w:rsidR="0036123D" w:rsidRPr="0036123D" w:rsidRDefault="0036123D" w:rsidP="0036123D">
      <w:pPr>
        <w:tabs>
          <w:tab w:val="left" w:pos="851"/>
        </w:tabs>
        <w:ind w:left="851"/>
        <w:rPr>
          <w:sz w:val="24"/>
          <w:szCs w:val="24"/>
        </w:rPr>
      </w:pPr>
    </w:p>
    <w:p w14:paraId="1318F05A" w14:textId="77777777" w:rsidR="0036123D" w:rsidRPr="0036123D" w:rsidRDefault="0036123D" w:rsidP="0036123D">
      <w:pPr>
        <w:tabs>
          <w:tab w:val="left" w:pos="851"/>
        </w:tabs>
        <w:ind w:left="851"/>
        <w:rPr>
          <w:sz w:val="24"/>
          <w:szCs w:val="24"/>
        </w:rPr>
      </w:pPr>
      <w:r w:rsidRPr="0036123D">
        <w:rPr>
          <w:sz w:val="24"/>
          <w:szCs w:val="24"/>
        </w:rPr>
        <w:t xml:space="preserve">Lidocain/Prilocain bør ikke anvendes: </w:t>
      </w:r>
    </w:p>
    <w:p w14:paraId="3EC96FC2" w14:textId="77777777" w:rsidR="0036123D" w:rsidRPr="0036123D" w:rsidRDefault="0036123D" w:rsidP="004A6B6B">
      <w:pPr>
        <w:numPr>
          <w:ilvl w:val="0"/>
          <w:numId w:val="6"/>
        </w:numPr>
        <w:tabs>
          <w:tab w:val="left" w:pos="1134"/>
        </w:tabs>
        <w:ind w:left="1134" w:hanging="283"/>
        <w:rPr>
          <w:sz w:val="24"/>
          <w:szCs w:val="24"/>
        </w:rPr>
      </w:pPr>
      <w:r w:rsidRPr="0036123D">
        <w:rPr>
          <w:sz w:val="24"/>
          <w:szCs w:val="24"/>
        </w:rPr>
        <w:t xml:space="preserve">hos nyfødte/spædbørn under 12 måneder, der samtidig får behandling med methæmoglobininducerende midler, </w:t>
      </w:r>
    </w:p>
    <w:p w14:paraId="50D12EC1" w14:textId="77777777" w:rsidR="0036123D" w:rsidRPr="0036123D" w:rsidRDefault="0036123D" w:rsidP="004A6B6B">
      <w:pPr>
        <w:numPr>
          <w:ilvl w:val="0"/>
          <w:numId w:val="6"/>
        </w:numPr>
        <w:tabs>
          <w:tab w:val="left" w:pos="1134"/>
        </w:tabs>
        <w:ind w:left="1134" w:hanging="283"/>
        <w:rPr>
          <w:sz w:val="24"/>
          <w:szCs w:val="24"/>
        </w:rPr>
      </w:pPr>
      <w:r w:rsidRPr="0036123D">
        <w:rPr>
          <w:sz w:val="24"/>
          <w:szCs w:val="24"/>
        </w:rPr>
        <w:t>hos for tidligt fødte spædbørn med en gestationsalder under 37 uger, da der vil være en risiko for udvikling af forhøjet methæmoglobinniveau.</w:t>
      </w:r>
    </w:p>
    <w:p w14:paraId="03FB94AF" w14:textId="77777777" w:rsidR="009260DE" w:rsidRPr="00C84483" w:rsidRDefault="009260DE" w:rsidP="009260DE">
      <w:pPr>
        <w:tabs>
          <w:tab w:val="left" w:pos="851"/>
        </w:tabs>
        <w:ind w:left="851"/>
        <w:rPr>
          <w:sz w:val="24"/>
          <w:szCs w:val="24"/>
        </w:rPr>
      </w:pPr>
    </w:p>
    <w:p w14:paraId="6583A6A2"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69C8360" w14:textId="77777777" w:rsidR="00D9353B" w:rsidRPr="00D9353B" w:rsidRDefault="00D9353B" w:rsidP="00D9353B">
      <w:pPr>
        <w:tabs>
          <w:tab w:val="left" w:pos="851"/>
        </w:tabs>
        <w:ind w:left="851"/>
        <w:rPr>
          <w:sz w:val="24"/>
          <w:szCs w:val="24"/>
        </w:rPr>
      </w:pPr>
      <w:bookmarkStart w:id="0" w:name="_Hlk45648732"/>
      <w:r w:rsidRPr="00D9353B">
        <w:rPr>
          <w:sz w:val="24"/>
          <w:szCs w:val="24"/>
        </w:rPr>
        <w:t>Prilocain i høje doser kan forårsage et forhøjet methæmoglobinniveau især i forbindelse med methæmoglobininducerende stoffer (f.eks. sulfonamider nitrofurantoin, phenytoin, phenobarbital). Listen kan ikke betragtes som værende fuldstændig.</w:t>
      </w:r>
    </w:p>
    <w:p w14:paraId="3D68AA47" w14:textId="77777777" w:rsidR="00D9353B" w:rsidRPr="00D9353B" w:rsidRDefault="00D9353B" w:rsidP="00D9353B">
      <w:pPr>
        <w:tabs>
          <w:tab w:val="left" w:pos="851"/>
        </w:tabs>
        <w:ind w:left="851"/>
        <w:rPr>
          <w:sz w:val="24"/>
          <w:szCs w:val="24"/>
        </w:rPr>
      </w:pPr>
    </w:p>
    <w:p w14:paraId="73594CAB" w14:textId="77777777" w:rsidR="00D9353B" w:rsidRPr="00D9353B" w:rsidRDefault="00D9353B" w:rsidP="00D9353B">
      <w:pPr>
        <w:tabs>
          <w:tab w:val="left" w:pos="851"/>
        </w:tabs>
        <w:ind w:left="851"/>
        <w:rPr>
          <w:sz w:val="24"/>
          <w:szCs w:val="24"/>
        </w:rPr>
      </w:pPr>
      <w:r w:rsidRPr="00D9353B">
        <w:rPr>
          <w:sz w:val="24"/>
          <w:szCs w:val="24"/>
        </w:rPr>
        <w:t xml:space="preserve">Ved brug af høje doser af lidocain/prilocain skal der tages højde for risikoen for yderligere systemisk toksicitet hos patienter, der får andre lokalanæstetika eller lægemidler, der er strukturelt beslægtet med lokalanæstetika, idet de toksiske virkninger er additive. </w:t>
      </w:r>
    </w:p>
    <w:p w14:paraId="43DF2505" w14:textId="77777777" w:rsidR="00D9353B" w:rsidRPr="00D9353B" w:rsidRDefault="00D9353B" w:rsidP="00D9353B">
      <w:pPr>
        <w:tabs>
          <w:tab w:val="left" w:pos="851"/>
        </w:tabs>
        <w:ind w:left="851"/>
        <w:rPr>
          <w:sz w:val="24"/>
          <w:szCs w:val="24"/>
        </w:rPr>
      </w:pPr>
    </w:p>
    <w:p w14:paraId="629C160B" w14:textId="77777777" w:rsidR="00D9353B" w:rsidRPr="00D9353B" w:rsidRDefault="00D9353B" w:rsidP="00D9353B">
      <w:pPr>
        <w:tabs>
          <w:tab w:val="left" w:pos="851"/>
        </w:tabs>
        <w:ind w:left="851"/>
        <w:rPr>
          <w:sz w:val="24"/>
          <w:szCs w:val="24"/>
        </w:rPr>
      </w:pPr>
      <w:r w:rsidRPr="00D9353B">
        <w:rPr>
          <w:sz w:val="24"/>
          <w:szCs w:val="24"/>
        </w:rPr>
        <w:t>Lægemidler, som reducerer clearance af lidocain (f.eks. cimetidin eller betablokkere), kan forårsage potentielle toksiske plasmakoncentrationer, når lidocain anvendes gentagne gange i høje doser over et langt tidsinterval. Sådanne interaktioner bør derfor ikke have nogen klinisk betydning efter kortvarig behandling med lidocain (f.eks. lidocain/prilocain plaster) ved de anbefalede doser.</w:t>
      </w:r>
    </w:p>
    <w:p w14:paraId="19068D0C" w14:textId="77777777" w:rsidR="00D9353B" w:rsidRPr="00D9353B" w:rsidRDefault="00D9353B" w:rsidP="00D9353B">
      <w:pPr>
        <w:tabs>
          <w:tab w:val="left" w:pos="851"/>
        </w:tabs>
        <w:ind w:left="851"/>
        <w:rPr>
          <w:sz w:val="24"/>
          <w:szCs w:val="24"/>
        </w:rPr>
      </w:pPr>
    </w:p>
    <w:p w14:paraId="2B5DD22A" w14:textId="77777777" w:rsidR="00D9353B" w:rsidRPr="00D9353B" w:rsidRDefault="00D9353B" w:rsidP="00D9353B">
      <w:pPr>
        <w:tabs>
          <w:tab w:val="left" w:pos="851"/>
        </w:tabs>
        <w:ind w:left="851"/>
        <w:rPr>
          <w:sz w:val="24"/>
          <w:szCs w:val="24"/>
          <w:u w:val="single"/>
        </w:rPr>
      </w:pPr>
      <w:r w:rsidRPr="00D9353B">
        <w:rPr>
          <w:sz w:val="24"/>
          <w:szCs w:val="24"/>
          <w:u w:val="single"/>
        </w:rPr>
        <w:t>Pædiatrisk population</w:t>
      </w:r>
    </w:p>
    <w:p w14:paraId="49544FB4" w14:textId="77777777" w:rsidR="00D9353B" w:rsidRPr="00D9353B" w:rsidRDefault="00D9353B" w:rsidP="00D9353B">
      <w:pPr>
        <w:tabs>
          <w:tab w:val="left" w:pos="851"/>
        </w:tabs>
        <w:ind w:left="851"/>
        <w:rPr>
          <w:sz w:val="24"/>
          <w:szCs w:val="24"/>
        </w:rPr>
      </w:pPr>
      <w:r w:rsidRPr="00D9353B">
        <w:rPr>
          <w:sz w:val="24"/>
          <w:szCs w:val="24"/>
        </w:rPr>
        <w:t>Der er ikke udført specifikke interaktionsstudier hos børn. Interaktionerne er sandsynligvis de samme som for voksne.</w:t>
      </w:r>
      <w:bookmarkEnd w:id="0"/>
    </w:p>
    <w:p w14:paraId="428279F1" w14:textId="77777777" w:rsidR="009260DE" w:rsidRPr="00C84483" w:rsidRDefault="009260DE" w:rsidP="009260DE">
      <w:pPr>
        <w:tabs>
          <w:tab w:val="left" w:pos="851"/>
        </w:tabs>
        <w:ind w:left="851"/>
        <w:rPr>
          <w:sz w:val="24"/>
          <w:szCs w:val="24"/>
        </w:rPr>
      </w:pPr>
    </w:p>
    <w:p w14:paraId="228CEC51"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1352AA22" w14:textId="77777777" w:rsidR="00F3306F" w:rsidRPr="00F3306F" w:rsidRDefault="00F3306F" w:rsidP="00F3306F">
      <w:pPr>
        <w:tabs>
          <w:tab w:val="left" w:pos="851"/>
        </w:tabs>
        <w:ind w:left="851"/>
        <w:rPr>
          <w:sz w:val="24"/>
          <w:szCs w:val="24"/>
        </w:rPr>
      </w:pPr>
    </w:p>
    <w:p w14:paraId="6555917F" w14:textId="77777777" w:rsidR="00F3306F" w:rsidRPr="00F3306F" w:rsidRDefault="00F3306F" w:rsidP="00F3306F">
      <w:pPr>
        <w:tabs>
          <w:tab w:val="left" w:pos="851"/>
        </w:tabs>
        <w:ind w:left="851"/>
        <w:rPr>
          <w:sz w:val="24"/>
          <w:szCs w:val="24"/>
        </w:rPr>
      </w:pPr>
      <w:r w:rsidRPr="00F3306F">
        <w:rPr>
          <w:sz w:val="24"/>
          <w:szCs w:val="24"/>
          <w:u w:val="single"/>
        </w:rPr>
        <w:t>Graviditet</w:t>
      </w:r>
    </w:p>
    <w:p w14:paraId="1EBBA95A" w14:textId="77777777" w:rsidR="00F3306F" w:rsidRPr="00F3306F" w:rsidRDefault="00F3306F" w:rsidP="00F3306F">
      <w:pPr>
        <w:tabs>
          <w:tab w:val="left" w:pos="851"/>
        </w:tabs>
        <w:ind w:left="851"/>
        <w:rPr>
          <w:sz w:val="24"/>
          <w:szCs w:val="24"/>
        </w:rPr>
      </w:pPr>
      <w:r w:rsidRPr="00F3306F">
        <w:rPr>
          <w:sz w:val="24"/>
          <w:szCs w:val="24"/>
        </w:rPr>
        <w:t>Selv om lokal applikation kun er forbundet med lav systemisk absorption, skal lidocain/prilocain anvendes med forsigtighed hos gravide kvinder, da der ikke er tilstrækkelige data vedrørende brug af lidocain/prilocain hos gravide kvinder. Dyrestudier viser imidlertid ingen direkte eller indirekte negative virkninger på graviditet, embryo/føtal udvikling, fødsel eller postnatal udvikling. Reproduktionstoksicitet har været påvist ved subkutan/intramuskulær administration af høje lidocain- eller prilocaindoser, som overstiger eksponeringen efter lokal applikation meget (se pkt. 5.3).</w:t>
      </w:r>
    </w:p>
    <w:p w14:paraId="205CB0F9" w14:textId="77777777" w:rsidR="00F3306F" w:rsidRPr="00F3306F" w:rsidRDefault="00F3306F" w:rsidP="00F3306F">
      <w:pPr>
        <w:tabs>
          <w:tab w:val="left" w:pos="851"/>
        </w:tabs>
        <w:ind w:left="851"/>
        <w:rPr>
          <w:sz w:val="24"/>
          <w:szCs w:val="24"/>
        </w:rPr>
      </w:pPr>
    </w:p>
    <w:p w14:paraId="1EFDFAAE" w14:textId="77777777" w:rsidR="00F3306F" w:rsidRPr="00F3306F" w:rsidRDefault="00F3306F" w:rsidP="00F3306F">
      <w:pPr>
        <w:tabs>
          <w:tab w:val="left" w:pos="851"/>
        </w:tabs>
        <w:ind w:left="851"/>
        <w:rPr>
          <w:sz w:val="24"/>
          <w:szCs w:val="24"/>
        </w:rPr>
      </w:pPr>
      <w:r w:rsidRPr="00F3306F">
        <w:rPr>
          <w:sz w:val="24"/>
          <w:szCs w:val="24"/>
        </w:rPr>
        <w:t xml:space="preserve">Lidocain og prilocain krydser placentabarrieren og kan blive absorberet af føtale væv. Det er fornuftigt at formode, at lidocain og prilocain er blevet brugt af et stort antal gravide kvinder og kvinder i den fertile alder. Ingen specifikke forstyrrelser af </w:t>
      </w:r>
      <w:r w:rsidRPr="00F3306F">
        <w:rPr>
          <w:sz w:val="24"/>
          <w:szCs w:val="24"/>
        </w:rPr>
        <w:lastRenderedPageBreak/>
        <w:t>forplantningsprocessen er rapporteret til dags dato (f.eks. en øget hyppighed af misdannelser eller andre direkte eller indirekte skadelige effekter på fosteret).</w:t>
      </w:r>
    </w:p>
    <w:p w14:paraId="10869DDC" w14:textId="77777777" w:rsidR="00F3306F" w:rsidRPr="00F3306F" w:rsidRDefault="00F3306F" w:rsidP="00F3306F">
      <w:pPr>
        <w:tabs>
          <w:tab w:val="left" w:pos="851"/>
        </w:tabs>
        <w:ind w:left="851"/>
        <w:rPr>
          <w:sz w:val="24"/>
          <w:szCs w:val="24"/>
        </w:rPr>
      </w:pPr>
    </w:p>
    <w:p w14:paraId="1762C0B0" w14:textId="77777777" w:rsidR="00F3306F" w:rsidRPr="00F3306F" w:rsidRDefault="00F3306F" w:rsidP="00F3306F">
      <w:pPr>
        <w:tabs>
          <w:tab w:val="left" w:pos="851"/>
        </w:tabs>
        <w:ind w:left="851"/>
        <w:rPr>
          <w:sz w:val="24"/>
          <w:szCs w:val="24"/>
          <w:u w:val="single"/>
        </w:rPr>
      </w:pPr>
      <w:r w:rsidRPr="00F3306F">
        <w:rPr>
          <w:sz w:val="24"/>
          <w:szCs w:val="24"/>
          <w:u w:val="single"/>
        </w:rPr>
        <w:t>Amning</w:t>
      </w:r>
    </w:p>
    <w:p w14:paraId="4286E984" w14:textId="77777777" w:rsidR="00F3306F" w:rsidRPr="00F3306F" w:rsidRDefault="00F3306F" w:rsidP="00F3306F">
      <w:pPr>
        <w:tabs>
          <w:tab w:val="left" w:pos="851"/>
        </w:tabs>
        <w:ind w:left="851"/>
        <w:rPr>
          <w:sz w:val="24"/>
          <w:szCs w:val="24"/>
        </w:rPr>
      </w:pPr>
      <w:r w:rsidRPr="00F3306F">
        <w:rPr>
          <w:sz w:val="24"/>
          <w:szCs w:val="24"/>
        </w:rPr>
        <w:t>Lidocain, og højst sandsynligt også prilocain, udskilles i human mælk, men i så små mængder, at der generelt ikke er nogen risiko for, at barnet bliver påvirket ved terapeutiske dosisniveauer. Lidocain/prilocain kan anvendes i ammeperioden ved klinisk behov..</w:t>
      </w:r>
    </w:p>
    <w:p w14:paraId="4CB95507" w14:textId="77777777" w:rsidR="00F3306F" w:rsidRPr="00F3306F" w:rsidRDefault="00F3306F" w:rsidP="00F3306F">
      <w:pPr>
        <w:tabs>
          <w:tab w:val="left" w:pos="851"/>
        </w:tabs>
        <w:ind w:left="851"/>
        <w:rPr>
          <w:sz w:val="24"/>
          <w:szCs w:val="24"/>
        </w:rPr>
      </w:pPr>
    </w:p>
    <w:p w14:paraId="7CFFD2D8" w14:textId="77777777" w:rsidR="00F3306F" w:rsidRPr="00F3306F" w:rsidRDefault="00F3306F" w:rsidP="00F3306F">
      <w:pPr>
        <w:tabs>
          <w:tab w:val="left" w:pos="851"/>
        </w:tabs>
        <w:ind w:left="851"/>
        <w:rPr>
          <w:sz w:val="24"/>
          <w:szCs w:val="24"/>
        </w:rPr>
      </w:pPr>
      <w:r w:rsidRPr="00F3306F">
        <w:rPr>
          <w:sz w:val="24"/>
          <w:szCs w:val="24"/>
          <w:u w:val="single"/>
        </w:rPr>
        <w:t>Fertilitet</w:t>
      </w:r>
    </w:p>
    <w:p w14:paraId="7D48987C" w14:textId="77777777" w:rsidR="00F3306F" w:rsidRPr="00F3306F" w:rsidRDefault="00F3306F" w:rsidP="00F3306F">
      <w:pPr>
        <w:tabs>
          <w:tab w:val="left" w:pos="851"/>
        </w:tabs>
        <w:ind w:left="851"/>
        <w:rPr>
          <w:sz w:val="24"/>
          <w:szCs w:val="24"/>
        </w:rPr>
      </w:pPr>
      <w:r w:rsidRPr="00F3306F">
        <w:rPr>
          <w:sz w:val="24"/>
          <w:szCs w:val="24"/>
        </w:rPr>
        <w:t xml:space="preserve">Dyrestudier har ikke vist nedsat fertilitet hos han- og hunrotter (se pkt. 5.3). </w:t>
      </w:r>
    </w:p>
    <w:p w14:paraId="650EBC2A" w14:textId="77777777" w:rsidR="009260DE" w:rsidRPr="00C84483" w:rsidRDefault="009260DE" w:rsidP="009260DE">
      <w:pPr>
        <w:tabs>
          <w:tab w:val="left" w:pos="851"/>
        </w:tabs>
        <w:ind w:left="851"/>
        <w:rPr>
          <w:sz w:val="24"/>
          <w:szCs w:val="24"/>
        </w:rPr>
      </w:pPr>
    </w:p>
    <w:p w14:paraId="01557F7D"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480884EC" w14:textId="77777777" w:rsidR="00111BC5" w:rsidRPr="00111BC5" w:rsidRDefault="00111BC5" w:rsidP="00111BC5">
      <w:pPr>
        <w:tabs>
          <w:tab w:val="left" w:pos="851"/>
        </w:tabs>
        <w:ind w:left="851"/>
        <w:rPr>
          <w:sz w:val="24"/>
          <w:szCs w:val="24"/>
        </w:rPr>
      </w:pPr>
      <w:r w:rsidRPr="00111BC5">
        <w:rPr>
          <w:sz w:val="24"/>
          <w:szCs w:val="24"/>
        </w:rPr>
        <w:t>Ikke mærkning.</w:t>
      </w:r>
    </w:p>
    <w:p w14:paraId="09E03984" w14:textId="77777777" w:rsidR="00111BC5" w:rsidRPr="00111BC5" w:rsidRDefault="00111BC5" w:rsidP="00111BC5">
      <w:pPr>
        <w:tabs>
          <w:tab w:val="left" w:pos="851"/>
        </w:tabs>
        <w:ind w:left="851"/>
        <w:rPr>
          <w:sz w:val="24"/>
          <w:szCs w:val="24"/>
        </w:rPr>
      </w:pPr>
      <w:r w:rsidRPr="00111BC5">
        <w:rPr>
          <w:sz w:val="24"/>
          <w:szCs w:val="24"/>
        </w:rPr>
        <w:t>Lidocain/prilocain påvirker ikke eller kun i ubetydelig grad evnen til at føre motorkøretøj eller betjene maskiner.</w:t>
      </w:r>
    </w:p>
    <w:p w14:paraId="7A0B2B7B" w14:textId="77777777" w:rsidR="009260DE" w:rsidRPr="00C84483" w:rsidRDefault="009260DE" w:rsidP="009260DE">
      <w:pPr>
        <w:tabs>
          <w:tab w:val="left" w:pos="851"/>
        </w:tabs>
        <w:ind w:left="851"/>
        <w:rPr>
          <w:sz w:val="24"/>
          <w:szCs w:val="24"/>
        </w:rPr>
      </w:pPr>
    </w:p>
    <w:p w14:paraId="1990062C"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5497C75" w14:textId="77777777" w:rsidR="00807FBF" w:rsidRDefault="00807FBF" w:rsidP="00352D27">
      <w:pPr>
        <w:pStyle w:val="Sidehoved"/>
        <w:tabs>
          <w:tab w:val="left" w:pos="851"/>
        </w:tabs>
        <w:ind w:left="851"/>
        <w:rPr>
          <w:iCs/>
          <w:szCs w:val="24"/>
          <w:u w:val="single"/>
        </w:rPr>
      </w:pPr>
    </w:p>
    <w:p w14:paraId="2F38705E" w14:textId="77777777" w:rsidR="00352D27" w:rsidRPr="00352D27" w:rsidRDefault="00352D27" w:rsidP="00352D27">
      <w:pPr>
        <w:pStyle w:val="Sidehoved"/>
        <w:tabs>
          <w:tab w:val="left" w:pos="851"/>
        </w:tabs>
        <w:ind w:left="851"/>
        <w:rPr>
          <w:b/>
          <w:iCs/>
          <w:szCs w:val="24"/>
          <w:u w:val="single"/>
        </w:rPr>
      </w:pPr>
      <w:r w:rsidRPr="00352D27">
        <w:rPr>
          <w:iCs/>
          <w:szCs w:val="24"/>
          <w:u w:val="single"/>
        </w:rPr>
        <w:t>Sammendrag af sikkerhedsprofilen</w:t>
      </w:r>
    </w:p>
    <w:p w14:paraId="233B9427" w14:textId="77777777" w:rsidR="00352D27" w:rsidRPr="00352D27" w:rsidRDefault="00352D27" w:rsidP="00352D27">
      <w:pPr>
        <w:pStyle w:val="Sidehoved"/>
        <w:tabs>
          <w:tab w:val="left" w:pos="851"/>
        </w:tabs>
        <w:ind w:left="851"/>
        <w:rPr>
          <w:szCs w:val="24"/>
        </w:rPr>
      </w:pPr>
      <w:r w:rsidRPr="00352D27">
        <w:rPr>
          <w:szCs w:val="24"/>
        </w:rPr>
        <w:t xml:space="preserve">De hyppigst observerede bivirkninger er relateret til virkninger på administrationsstedet (forbigående lokale reaktioner på administrationsstedet), som er indberettet med hyppigheden almindelig.  </w:t>
      </w:r>
    </w:p>
    <w:p w14:paraId="3FAF5304" w14:textId="77777777" w:rsidR="00352D27" w:rsidRPr="00352D27" w:rsidRDefault="00352D27" w:rsidP="00352D27">
      <w:pPr>
        <w:pStyle w:val="Sidehoved"/>
        <w:tabs>
          <w:tab w:val="left" w:pos="851"/>
        </w:tabs>
        <w:ind w:left="851"/>
        <w:rPr>
          <w:szCs w:val="24"/>
        </w:rPr>
      </w:pPr>
    </w:p>
    <w:p w14:paraId="441098CB" w14:textId="77777777" w:rsidR="00352D27" w:rsidRPr="00352D27" w:rsidRDefault="00352D27" w:rsidP="00352D27">
      <w:pPr>
        <w:pStyle w:val="Sidehoved"/>
        <w:tabs>
          <w:tab w:val="left" w:pos="851"/>
        </w:tabs>
        <w:ind w:left="851"/>
        <w:rPr>
          <w:b/>
          <w:iCs/>
          <w:szCs w:val="24"/>
          <w:u w:val="single"/>
        </w:rPr>
      </w:pPr>
      <w:r w:rsidRPr="00352D27">
        <w:rPr>
          <w:iCs/>
          <w:szCs w:val="24"/>
          <w:u w:val="single"/>
        </w:rPr>
        <w:t>Tabeloversigt over bivirkninger</w:t>
      </w:r>
    </w:p>
    <w:p w14:paraId="4BC28381" w14:textId="77777777" w:rsidR="00352D27" w:rsidRPr="00352D27" w:rsidRDefault="00352D27" w:rsidP="00352D27">
      <w:pPr>
        <w:pStyle w:val="Sidehoved"/>
        <w:tabs>
          <w:tab w:val="left" w:pos="851"/>
        </w:tabs>
        <w:ind w:left="851"/>
        <w:rPr>
          <w:szCs w:val="24"/>
        </w:rPr>
      </w:pPr>
      <w:r w:rsidRPr="00352D27">
        <w:rPr>
          <w:szCs w:val="24"/>
        </w:rPr>
        <w:t>Forekomsten af bivirkninger, der er forbundet med behandling med lidocain/prilocain, er angivet i nedenstående tabel. Tabellen er baseret på bivirkninger, der er indrapporteret under kliniske forsøg og/eller efter markedsføringen. Bivirkningshyppigheden er angivet sammen med MedDRA systemorganklasse og foretrukne term.</w:t>
      </w:r>
    </w:p>
    <w:p w14:paraId="003BCAF4" w14:textId="77777777" w:rsidR="00352D27" w:rsidRPr="00352D27" w:rsidRDefault="00352D27" w:rsidP="00352D27">
      <w:pPr>
        <w:pStyle w:val="Sidehoved"/>
        <w:tabs>
          <w:tab w:val="left" w:pos="851"/>
        </w:tabs>
        <w:ind w:left="851"/>
        <w:rPr>
          <w:szCs w:val="24"/>
        </w:rPr>
      </w:pPr>
    </w:p>
    <w:p w14:paraId="10E59303" w14:textId="77777777" w:rsidR="00352D27" w:rsidRPr="00352D27" w:rsidRDefault="00352D27" w:rsidP="00352D27">
      <w:pPr>
        <w:pStyle w:val="Sidehoved"/>
        <w:tabs>
          <w:tab w:val="left" w:pos="851"/>
        </w:tabs>
        <w:ind w:left="851"/>
        <w:rPr>
          <w:szCs w:val="24"/>
        </w:rPr>
      </w:pPr>
      <w:r w:rsidRPr="00352D27">
        <w:rPr>
          <w:szCs w:val="24"/>
        </w:rPr>
        <w:t>Inden for hver systemorganklasse er bivirkningerne angivet efter følgende hyppigheds</w:t>
      </w:r>
      <w:r w:rsidRPr="00352D27">
        <w:rPr>
          <w:szCs w:val="24"/>
        </w:rPr>
        <w:softHyphen/>
        <w:t xml:space="preserve">kategorier: </w:t>
      </w:r>
      <w:r w:rsidR="00807FBF">
        <w:rPr>
          <w:szCs w:val="24"/>
        </w:rPr>
        <w:t>M</w:t>
      </w:r>
      <w:r w:rsidRPr="00352D27">
        <w:rPr>
          <w:szCs w:val="24"/>
        </w:rPr>
        <w:t xml:space="preserve">eget almindelig (≥1/10), almindelig (≥1/100 til &lt;1/10), ikke almindelig (≥1/1.000 til &lt;1/100), sjælden (≥1/10.000 til &lt;1/1.000), meget sjælden (&lt;1/10.000). Inden for hver hyppighedsgruppe er bivirkningerne angivet efter faldende alvorlighedsgrad </w:t>
      </w:r>
    </w:p>
    <w:p w14:paraId="52459F8D" w14:textId="77777777" w:rsidR="00352D27" w:rsidRPr="00352D27" w:rsidRDefault="00352D27" w:rsidP="00352D27">
      <w:pPr>
        <w:pStyle w:val="Sidehoved"/>
        <w:tabs>
          <w:tab w:val="left" w:pos="851"/>
        </w:tabs>
        <w:ind w:left="851"/>
        <w:rPr>
          <w:szCs w:val="24"/>
        </w:rPr>
      </w:pPr>
    </w:p>
    <w:p w14:paraId="5406B4AD" w14:textId="77777777" w:rsidR="00352D27" w:rsidRPr="00352D27" w:rsidRDefault="00352D27" w:rsidP="00352D27">
      <w:pPr>
        <w:pStyle w:val="Sidehoved"/>
        <w:tabs>
          <w:tab w:val="left" w:pos="851"/>
        </w:tabs>
        <w:ind w:left="851"/>
        <w:rPr>
          <w:b/>
          <w:szCs w:val="24"/>
        </w:rPr>
      </w:pPr>
      <w:r w:rsidRPr="00352D27">
        <w:rPr>
          <w:b/>
          <w:szCs w:val="24"/>
        </w:rPr>
        <w:t>Tabel 3 – Bivirkninger</w:t>
      </w:r>
    </w:p>
    <w:tbl>
      <w:tblPr>
        <w:tblW w:w="4788" w:type="pct"/>
        <w:tblInd w:w="843" w:type="dxa"/>
        <w:tblLayout w:type="fixed"/>
        <w:tblCellMar>
          <w:left w:w="0" w:type="dxa"/>
          <w:right w:w="0" w:type="dxa"/>
        </w:tblCellMar>
        <w:tblLook w:val="01E0" w:firstRow="1" w:lastRow="1" w:firstColumn="1" w:lastColumn="1" w:noHBand="0" w:noVBand="0"/>
      </w:tblPr>
      <w:tblGrid>
        <w:gridCol w:w="2551"/>
        <w:gridCol w:w="2195"/>
        <w:gridCol w:w="2058"/>
        <w:gridCol w:w="2410"/>
      </w:tblGrid>
      <w:tr w:rsidR="00352D27" w:rsidRPr="00352D27" w14:paraId="6FADA3A0" w14:textId="77777777" w:rsidTr="00807FBF">
        <w:trPr>
          <w:trHeight w:val="68"/>
        </w:trPr>
        <w:tc>
          <w:tcPr>
            <w:tcW w:w="1384" w:type="pct"/>
            <w:tcBorders>
              <w:top w:val="single" w:sz="6" w:space="0" w:color="000000"/>
              <w:left w:val="single" w:sz="6" w:space="0" w:color="000000"/>
              <w:bottom w:val="single" w:sz="6" w:space="0" w:color="000000"/>
              <w:right w:val="single" w:sz="6" w:space="0" w:color="000000"/>
            </w:tcBorders>
            <w:hideMark/>
          </w:tcPr>
          <w:p w14:paraId="204E35B4" w14:textId="77777777" w:rsidR="00352D27" w:rsidRPr="00352D27" w:rsidRDefault="00352D27" w:rsidP="00250D17">
            <w:pPr>
              <w:pStyle w:val="Sidehoved"/>
              <w:ind w:left="143"/>
              <w:rPr>
                <w:b/>
                <w:szCs w:val="24"/>
              </w:rPr>
            </w:pPr>
            <w:r w:rsidRPr="00352D27">
              <w:rPr>
                <w:b/>
                <w:szCs w:val="24"/>
              </w:rPr>
              <w:t>Systemorganklasse</w:t>
            </w:r>
          </w:p>
        </w:tc>
        <w:tc>
          <w:tcPr>
            <w:tcW w:w="1191" w:type="pct"/>
            <w:tcBorders>
              <w:top w:val="single" w:sz="6" w:space="0" w:color="000000"/>
              <w:left w:val="single" w:sz="6" w:space="0" w:color="000000"/>
              <w:bottom w:val="single" w:sz="6" w:space="0" w:color="000000"/>
              <w:right w:val="single" w:sz="6" w:space="0" w:color="000000"/>
            </w:tcBorders>
            <w:hideMark/>
          </w:tcPr>
          <w:p w14:paraId="736F0098" w14:textId="77777777" w:rsidR="00352D27" w:rsidRPr="00352D27" w:rsidRDefault="00352D27" w:rsidP="00807FBF">
            <w:pPr>
              <w:pStyle w:val="Sidehoved"/>
              <w:ind w:left="144"/>
              <w:rPr>
                <w:b/>
                <w:szCs w:val="24"/>
              </w:rPr>
            </w:pPr>
            <w:r w:rsidRPr="00352D27">
              <w:rPr>
                <w:b/>
                <w:szCs w:val="24"/>
              </w:rPr>
              <w:t>Almindelig</w:t>
            </w:r>
          </w:p>
        </w:tc>
        <w:tc>
          <w:tcPr>
            <w:tcW w:w="1117" w:type="pct"/>
            <w:tcBorders>
              <w:top w:val="single" w:sz="6" w:space="0" w:color="000000"/>
              <w:left w:val="single" w:sz="6" w:space="0" w:color="000000"/>
              <w:bottom w:val="single" w:sz="6" w:space="0" w:color="000000"/>
              <w:right w:val="single" w:sz="6" w:space="0" w:color="000000"/>
            </w:tcBorders>
            <w:hideMark/>
          </w:tcPr>
          <w:p w14:paraId="0476CEFE" w14:textId="77777777" w:rsidR="00352D27" w:rsidRPr="00352D27" w:rsidRDefault="00352D27" w:rsidP="00250D17">
            <w:pPr>
              <w:pStyle w:val="Sidehoved"/>
              <w:ind w:left="70"/>
              <w:rPr>
                <w:b/>
                <w:szCs w:val="24"/>
              </w:rPr>
            </w:pPr>
            <w:r w:rsidRPr="00352D27">
              <w:rPr>
                <w:b/>
                <w:szCs w:val="24"/>
              </w:rPr>
              <w:t>Ikke almindelig</w:t>
            </w:r>
          </w:p>
        </w:tc>
        <w:tc>
          <w:tcPr>
            <w:tcW w:w="1308" w:type="pct"/>
            <w:tcBorders>
              <w:top w:val="single" w:sz="6" w:space="0" w:color="000000"/>
              <w:left w:val="single" w:sz="6" w:space="0" w:color="000000"/>
              <w:bottom w:val="single" w:sz="6" w:space="0" w:color="000000"/>
              <w:right w:val="single" w:sz="6" w:space="0" w:color="000000"/>
            </w:tcBorders>
            <w:hideMark/>
          </w:tcPr>
          <w:p w14:paraId="5CEF9ED8" w14:textId="77777777" w:rsidR="00352D27" w:rsidRPr="00352D27" w:rsidRDefault="00352D27" w:rsidP="00250D17">
            <w:pPr>
              <w:pStyle w:val="Sidehoved"/>
              <w:ind w:left="137"/>
              <w:rPr>
                <w:b/>
                <w:szCs w:val="24"/>
              </w:rPr>
            </w:pPr>
            <w:r w:rsidRPr="00352D27">
              <w:rPr>
                <w:b/>
                <w:szCs w:val="24"/>
              </w:rPr>
              <w:t>Sjælden</w:t>
            </w:r>
          </w:p>
        </w:tc>
      </w:tr>
      <w:tr w:rsidR="00352D27" w:rsidRPr="00352D27" w14:paraId="6FFDB076" w14:textId="77777777" w:rsidTr="00807FBF">
        <w:tc>
          <w:tcPr>
            <w:tcW w:w="1384" w:type="pct"/>
            <w:tcBorders>
              <w:top w:val="single" w:sz="6" w:space="0" w:color="000000"/>
              <w:left w:val="single" w:sz="6" w:space="0" w:color="000000"/>
              <w:bottom w:val="single" w:sz="6" w:space="0" w:color="000000"/>
              <w:right w:val="single" w:sz="6" w:space="0" w:color="000000"/>
            </w:tcBorders>
            <w:hideMark/>
          </w:tcPr>
          <w:p w14:paraId="736B2530" w14:textId="77777777" w:rsidR="00352D27" w:rsidRPr="00352D27" w:rsidRDefault="00352D27" w:rsidP="00250D17">
            <w:pPr>
              <w:pStyle w:val="Sidehoved"/>
              <w:ind w:left="143"/>
              <w:rPr>
                <w:szCs w:val="24"/>
              </w:rPr>
            </w:pPr>
            <w:r w:rsidRPr="00352D27">
              <w:rPr>
                <w:szCs w:val="24"/>
              </w:rPr>
              <w:t>Blod og lymfesystem</w:t>
            </w:r>
          </w:p>
        </w:tc>
        <w:tc>
          <w:tcPr>
            <w:tcW w:w="1191" w:type="pct"/>
            <w:tcBorders>
              <w:top w:val="single" w:sz="6" w:space="0" w:color="000000"/>
              <w:left w:val="single" w:sz="6" w:space="0" w:color="000000"/>
              <w:bottom w:val="single" w:sz="6" w:space="0" w:color="000000"/>
              <w:right w:val="single" w:sz="6" w:space="0" w:color="000000"/>
            </w:tcBorders>
          </w:tcPr>
          <w:p w14:paraId="707E8A36" w14:textId="77777777" w:rsidR="00352D27" w:rsidRPr="00352D27" w:rsidRDefault="00352D27" w:rsidP="00807FBF">
            <w:pPr>
              <w:pStyle w:val="Sidehoved"/>
              <w:ind w:left="144"/>
              <w:rPr>
                <w:szCs w:val="24"/>
              </w:rPr>
            </w:pPr>
          </w:p>
        </w:tc>
        <w:tc>
          <w:tcPr>
            <w:tcW w:w="1117" w:type="pct"/>
            <w:tcBorders>
              <w:top w:val="single" w:sz="6" w:space="0" w:color="000000"/>
              <w:left w:val="single" w:sz="6" w:space="0" w:color="000000"/>
              <w:bottom w:val="single" w:sz="6" w:space="0" w:color="000000"/>
              <w:right w:val="single" w:sz="6" w:space="0" w:color="000000"/>
            </w:tcBorders>
          </w:tcPr>
          <w:p w14:paraId="4189297C" w14:textId="77777777" w:rsidR="00352D27" w:rsidRPr="00352D27" w:rsidRDefault="00352D27" w:rsidP="00250D17">
            <w:pPr>
              <w:pStyle w:val="Sidehoved"/>
              <w:ind w:left="70"/>
              <w:rPr>
                <w:szCs w:val="24"/>
              </w:rPr>
            </w:pPr>
          </w:p>
        </w:tc>
        <w:tc>
          <w:tcPr>
            <w:tcW w:w="1308" w:type="pct"/>
            <w:tcBorders>
              <w:top w:val="single" w:sz="6" w:space="0" w:color="000000"/>
              <w:left w:val="single" w:sz="6" w:space="0" w:color="000000"/>
              <w:bottom w:val="single" w:sz="6" w:space="0" w:color="000000"/>
              <w:right w:val="single" w:sz="6" w:space="0" w:color="000000"/>
            </w:tcBorders>
            <w:hideMark/>
          </w:tcPr>
          <w:p w14:paraId="46095B3B" w14:textId="77777777" w:rsidR="00352D27" w:rsidRPr="00352D27" w:rsidRDefault="00352D27" w:rsidP="00250D17">
            <w:pPr>
              <w:pStyle w:val="Sidehoved"/>
              <w:ind w:left="137"/>
              <w:rPr>
                <w:szCs w:val="24"/>
              </w:rPr>
            </w:pPr>
            <w:r w:rsidRPr="00352D27">
              <w:rPr>
                <w:szCs w:val="24"/>
              </w:rPr>
              <w:t>Methæmoglobinæmi</w:t>
            </w:r>
          </w:p>
        </w:tc>
      </w:tr>
      <w:tr w:rsidR="00352D27" w:rsidRPr="00352D27" w14:paraId="1F57F2A5" w14:textId="77777777" w:rsidTr="00807FBF">
        <w:tc>
          <w:tcPr>
            <w:tcW w:w="1384" w:type="pct"/>
            <w:tcBorders>
              <w:top w:val="single" w:sz="6" w:space="0" w:color="000000"/>
              <w:left w:val="single" w:sz="6" w:space="0" w:color="000000"/>
              <w:bottom w:val="single" w:sz="6" w:space="0" w:color="000000"/>
              <w:right w:val="single" w:sz="6" w:space="0" w:color="000000"/>
            </w:tcBorders>
            <w:hideMark/>
          </w:tcPr>
          <w:p w14:paraId="72678A63" w14:textId="77777777" w:rsidR="00352D27" w:rsidRPr="00352D27" w:rsidRDefault="00352D27" w:rsidP="00250D17">
            <w:pPr>
              <w:pStyle w:val="Sidehoved"/>
              <w:ind w:left="143"/>
              <w:rPr>
                <w:szCs w:val="24"/>
              </w:rPr>
            </w:pPr>
            <w:r w:rsidRPr="00352D27">
              <w:rPr>
                <w:szCs w:val="24"/>
              </w:rPr>
              <w:t>Immunsystem</w:t>
            </w:r>
          </w:p>
        </w:tc>
        <w:tc>
          <w:tcPr>
            <w:tcW w:w="1191" w:type="pct"/>
            <w:tcBorders>
              <w:top w:val="single" w:sz="6" w:space="0" w:color="000000"/>
              <w:left w:val="single" w:sz="6" w:space="0" w:color="000000"/>
              <w:bottom w:val="single" w:sz="6" w:space="0" w:color="000000"/>
              <w:right w:val="single" w:sz="6" w:space="0" w:color="000000"/>
            </w:tcBorders>
          </w:tcPr>
          <w:p w14:paraId="0934EAFC" w14:textId="77777777" w:rsidR="00352D27" w:rsidRPr="00352D27" w:rsidRDefault="00352D27" w:rsidP="00807FBF">
            <w:pPr>
              <w:pStyle w:val="Sidehoved"/>
              <w:ind w:left="144"/>
              <w:rPr>
                <w:szCs w:val="24"/>
              </w:rPr>
            </w:pPr>
          </w:p>
        </w:tc>
        <w:tc>
          <w:tcPr>
            <w:tcW w:w="1117" w:type="pct"/>
            <w:tcBorders>
              <w:top w:val="single" w:sz="6" w:space="0" w:color="000000"/>
              <w:left w:val="single" w:sz="6" w:space="0" w:color="000000"/>
              <w:bottom w:val="single" w:sz="6" w:space="0" w:color="000000"/>
              <w:right w:val="single" w:sz="6" w:space="0" w:color="000000"/>
            </w:tcBorders>
          </w:tcPr>
          <w:p w14:paraId="4E277221" w14:textId="77777777" w:rsidR="00352D27" w:rsidRPr="00352D27" w:rsidRDefault="00352D27" w:rsidP="00250D17">
            <w:pPr>
              <w:pStyle w:val="Sidehoved"/>
              <w:ind w:left="70"/>
              <w:rPr>
                <w:szCs w:val="24"/>
              </w:rPr>
            </w:pPr>
          </w:p>
        </w:tc>
        <w:tc>
          <w:tcPr>
            <w:tcW w:w="1308" w:type="pct"/>
            <w:tcBorders>
              <w:top w:val="single" w:sz="6" w:space="0" w:color="000000"/>
              <w:left w:val="single" w:sz="6" w:space="0" w:color="000000"/>
              <w:bottom w:val="single" w:sz="6" w:space="0" w:color="000000"/>
              <w:right w:val="single" w:sz="6" w:space="0" w:color="000000"/>
            </w:tcBorders>
            <w:hideMark/>
          </w:tcPr>
          <w:p w14:paraId="5A5238C0" w14:textId="77777777" w:rsidR="00352D27" w:rsidRPr="00352D27" w:rsidRDefault="00352D27" w:rsidP="00250D17">
            <w:pPr>
              <w:pStyle w:val="Sidehoved"/>
              <w:ind w:left="137"/>
              <w:rPr>
                <w:szCs w:val="24"/>
              </w:rPr>
            </w:pPr>
            <w:r w:rsidRPr="00352D27">
              <w:rPr>
                <w:szCs w:val="24"/>
              </w:rPr>
              <w:t>Overfølsomhed</w:t>
            </w:r>
          </w:p>
        </w:tc>
      </w:tr>
      <w:tr w:rsidR="00352D27" w:rsidRPr="00352D27" w14:paraId="70E3D00B" w14:textId="77777777" w:rsidTr="00807FBF">
        <w:tc>
          <w:tcPr>
            <w:tcW w:w="1384" w:type="pct"/>
            <w:tcBorders>
              <w:top w:val="single" w:sz="6" w:space="0" w:color="000000"/>
              <w:left w:val="single" w:sz="6" w:space="0" w:color="000000"/>
              <w:bottom w:val="single" w:sz="6" w:space="0" w:color="000000"/>
              <w:right w:val="single" w:sz="6" w:space="0" w:color="000000"/>
            </w:tcBorders>
            <w:hideMark/>
          </w:tcPr>
          <w:p w14:paraId="0C047611" w14:textId="77777777" w:rsidR="00352D27" w:rsidRPr="00352D27" w:rsidRDefault="00352D27" w:rsidP="00250D17">
            <w:pPr>
              <w:pStyle w:val="Sidehoved"/>
              <w:ind w:left="143"/>
              <w:rPr>
                <w:szCs w:val="24"/>
              </w:rPr>
            </w:pPr>
            <w:r w:rsidRPr="00352D27">
              <w:rPr>
                <w:szCs w:val="24"/>
              </w:rPr>
              <w:t>Øjne</w:t>
            </w:r>
          </w:p>
        </w:tc>
        <w:tc>
          <w:tcPr>
            <w:tcW w:w="1191" w:type="pct"/>
            <w:tcBorders>
              <w:top w:val="single" w:sz="6" w:space="0" w:color="000000"/>
              <w:left w:val="single" w:sz="6" w:space="0" w:color="000000"/>
              <w:bottom w:val="single" w:sz="6" w:space="0" w:color="000000"/>
              <w:right w:val="single" w:sz="6" w:space="0" w:color="000000"/>
            </w:tcBorders>
          </w:tcPr>
          <w:p w14:paraId="223220A7" w14:textId="77777777" w:rsidR="00352D27" w:rsidRPr="00352D27" w:rsidRDefault="00352D27" w:rsidP="00807FBF">
            <w:pPr>
              <w:pStyle w:val="Sidehoved"/>
              <w:ind w:left="144"/>
              <w:rPr>
                <w:szCs w:val="24"/>
              </w:rPr>
            </w:pPr>
          </w:p>
        </w:tc>
        <w:tc>
          <w:tcPr>
            <w:tcW w:w="1117" w:type="pct"/>
            <w:tcBorders>
              <w:top w:val="single" w:sz="6" w:space="0" w:color="000000"/>
              <w:left w:val="single" w:sz="6" w:space="0" w:color="000000"/>
              <w:bottom w:val="single" w:sz="6" w:space="0" w:color="000000"/>
              <w:right w:val="single" w:sz="6" w:space="0" w:color="000000"/>
            </w:tcBorders>
          </w:tcPr>
          <w:p w14:paraId="781B5C2A" w14:textId="77777777" w:rsidR="00352D27" w:rsidRPr="00352D27" w:rsidRDefault="00352D27" w:rsidP="00250D17">
            <w:pPr>
              <w:pStyle w:val="Sidehoved"/>
              <w:ind w:left="70"/>
              <w:rPr>
                <w:szCs w:val="24"/>
              </w:rPr>
            </w:pPr>
          </w:p>
        </w:tc>
        <w:tc>
          <w:tcPr>
            <w:tcW w:w="1308" w:type="pct"/>
            <w:tcBorders>
              <w:top w:val="single" w:sz="6" w:space="0" w:color="000000"/>
              <w:left w:val="single" w:sz="6" w:space="0" w:color="000000"/>
              <w:bottom w:val="single" w:sz="6" w:space="0" w:color="000000"/>
              <w:right w:val="single" w:sz="6" w:space="0" w:color="000000"/>
            </w:tcBorders>
            <w:hideMark/>
          </w:tcPr>
          <w:p w14:paraId="4CABAB9F" w14:textId="77777777" w:rsidR="00352D27" w:rsidRPr="00352D27" w:rsidRDefault="00352D27" w:rsidP="00250D17">
            <w:pPr>
              <w:pStyle w:val="Sidehoved"/>
              <w:ind w:left="137"/>
              <w:rPr>
                <w:szCs w:val="24"/>
              </w:rPr>
            </w:pPr>
            <w:r w:rsidRPr="00352D27">
              <w:rPr>
                <w:szCs w:val="24"/>
              </w:rPr>
              <w:t>Hornhindeirritation</w:t>
            </w:r>
          </w:p>
        </w:tc>
      </w:tr>
      <w:tr w:rsidR="00352D27" w:rsidRPr="00352D27" w14:paraId="45D3E750" w14:textId="77777777" w:rsidTr="00807FBF">
        <w:tc>
          <w:tcPr>
            <w:tcW w:w="1384" w:type="pct"/>
            <w:tcBorders>
              <w:top w:val="single" w:sz="6" w:space="0" w:color="000000"/>
              <w:left w:val="single" w:sz="6" w:space="0" w:color="000000"/>
              <w:bottom w:val="single" w:sz="6" w:space="0" w:color="000000"/>
              <w:right w:val="single" w:sz="6" w:space="0" w:color="000000"/>
            </w:tcBorders>
            <w:hideMark/>
          </w:tcPr>
          <w:p w14:paraId="6EB13BAA" w14:textId="77777777" w:rsidR="00352D27" w:rsidRPr="00352D27" w:rsidRDefault="00352D27" w:rsidP="00250D17">
            <w:pPr>
              <w:pStyle w:val="Sidehoved"/>
              <w:ind w:left="143"/>
              <w:rPr>
                <w:szCs w:val="24"/>
              </w:rPr>
            </w:pPr>
            <w:r w:rsidRPr="00352D27">
              <w:rPr>
                <w:szCs w:val="24"/>
              </w:rPr>
              <w:t>Hud og subkutane væv</w:t>
            </w:r>
          </w:p>
        </w:tc>
        <w:tc>
          <w:tcPr>
            <w:tcW w:w="1191" w:type="pct"/>
            <w:tcBorders>
              <w:top w:val="single" w:sz="6" w:space="0" w:color="000000"/>
              <w:left w:val="single" w:sz="6" w:space="0" w:color="000000"/>
              <w:bottom w:val="single" w:sz="6" w:space="0" w:color="000000"/>
              <w:right w:val="single" w:sz="6" w:space="0" w:color="000000"/>
            </w:tcBorders>
          </w:tcPr>
          <w:p w14:paraId="204AEAC3" w14:textId="77777777" w:rsidR="00352D27" w:rsidRPr="00352D27" w:rsidRDefault="00352D27" w:rsidP="00807FBF">
            <w:pPr>
              <w:pStyle w:val="Sidehoved"/>
              <w:ind w:left="144"/>
              <w:rPr>
                <w:szCs w:val="24"/>
              </w:rPr>
            </w:pPr>
          </w:p>
        </w:tc>
        <w:tc>
          <w:tcPr>
            <w:tcW w:w="1117" w:type="pct"/>
            <w:tcBorders>
              <w:top w:val="single" w:sz="6" w:space="0" w:color="000000"/>
              <w:left w:val="single" w:sz="6" w:space="0" w:color="000000"/>
              <w:bottom w:val="single" w:sz="6" w:space="0" w:color="000000"/>
              <w:right w:val="single" w:sz="6" w:space="0" w:color="000000"/>
            </w:tcBorders>
          </w:tcPr>
          <w:p w14:paraId="751CF402" w14:textId="77777777" w:rsidR="00352D27" w:rsidRPr="00352D27" w:rsidRDefault="00352D27" w:rsidP="00250D17">
            <w:pPr>
              <w:pStyle w:val="Sidehoved"/>
              <w:ind w:left="70"/>
              <w:rPr>
                <w:szCs w:val="24"/>
              </w:rPr>
            </w:pPr>
          </w:p>
        </w:tc>
        <w:tc>
          <w:tcPr>
            <w:tcW w:w="1308" w:type="pct"/>
            <w:tcBorders>
              <w:top w:val="single" w:sz="6" w:space="0" w:color="000000"/>
              <w:left w:val="single" w:sz="6" w:space="0" w:color="000000"/>
              <w:bottom w:val="single" w:sz="6" w:space="0" w:color="000000"/>
              <w:right w:val="single" w:sz="6" w:space="0" w:color="000000"/>
            </w:tcBorders>
            <w:hideMark/>
          </w:tcPr>
          <w:p w14:paraId="72C9E144" w14:textId="77777777" w:rsidR="00352D27" w:rsidRPr="00352D27" w:rsidRDefault="00352D27" w:rsidP="00250D17">
            <w:pPr>
              <w:pStyle w:val="Sidehoved"/>
              <w:ind w:left="137"/>
              <w:rPr>
                <w:szCs w:val="24"/>
              </w:rPr>
            </w:pPr>
            <w:r w:rsidRPr="00352D27">
              <w:rPr>
                <w:szCs w:val="24"/>
              </w:rPr>
              <w:t>Purpura, Petekkier (særligt efter længere applikationstider hos børn med atopisk dermatit eller mollusca contagiosa)</w:t>
            </w:r>
          </w:p>
        </w:tc>
      </w:tr>
      <w:tr w:rsidR="00352D27" w:rsidRPr="00352D27" w14:paraId="25CB5B3B" w14:textId="77777777" w:rsidTr="00807FBF">
        <w:tc>
          <w:tcPr>
            <w:tcW w:w="1384" w:type="pct"/>
            <w:tcBorders>
              <w:top w:val="single" w:sz="6" w:space="0" w:color="000000"/>
              <w:left w:val="single" w:sz="6" w:space="0" w:color="000000"/>
              <w:bottom w:val="single" w:sz="6" w:space="0" w:color="000000"/>
              <w:right w:val="single" w:sz="6" w:space="0" w:color="000000"/>
            </w:tcBorders>
            <w:hideMark/>
          </w:tcPr>
          <w:p w14:paraId="6D5DBA68" w14:textId="77777777" w:rsidR="00352D27" w:rsidRPr="00352D27" w:rsidRDefault="00352D27" w:rsidP="00250D17">
            <w:pPr>
              <w:pStyle w:val="Sidehoved"/>
              <w:ind w:left="143"/>
              <w:rPr>
                <w:szCs w:val="24"/>
              </w:rPr>
            </w:pPr>
            <w:r w:rsidRPr="00352D27">
              <w:rPr>
                <w:szCs w:val="24"/>
              </w:rPr>
              <w:t>Almene symptomer og reaktioner på administrationsstedet</w:t>
            </w:r>
          </w:p>
        </w:tc>
        <w:tc>
          <w:tcPr>
            <w:tcW w:w="1191" w:type="pct"/>
            <w:tcBorders>
              <w:top w:val="single" w:sz="6" w:space="0" w:color="000000"/>
              <w:left w:val="single" w:sz="6" w:space="0" w:color="000000"/>
              <w:bottom w:val="single" w:sz="6" w:space="0" w:color="000000"/>
              <w:right w:val="single" w:sz="6" w:space="0" w:color="000000"/>
            </w:tcBorders>
            <w:hideMark/>
          </w:tcPr>
          <w:p w14:paraId="3FC51986" w14:textId="77777777" w:rsidR="00352D27" w:rsidRPr="00352D27" w:rsidRDefault="00352D27" w:rsidP="00807FBF">
            <w:pPr>
              <w:pStyle w:val="Sidehoved"/>
              <w:ind w:left="144"/>
              <w:rPr>
                <w:szCs w:val="24"/>
              </w:rPr>
            </w:pPr>
            <w:r w:rsidRPr="00352D27">
              <w:rPr>
                <w:szCs w:val="24"/>
              </w:rPr>
              <w:t>Erythema på applikationsstedet</w:t>
            </w:r>
          </w:p>
          <w:p w14:paraId="0770F955" w14:textId="77777777" w:rsidR="00352D27" w:rsidRPr="00352D27" w:rsidRDefault="00352D27" w:rsidP="00807FBF">
            <w:pPr>
              <w:pStyle w:val="Sidehoved"/>
              <w:ind w:left="144"/>
              <w:rPr>
                <w:szCs w:val="24"/>
              </w:rPr>
            </w:pPr>
            <w:r w:rsidRPr="00352D27">
              <w:rPr>
                <w:szCs w:val="24"/>
              </w:rPr>
              <w:t>Ødem på applikationsstedet</w:t>
            </w:r>
          </w:p>
          <w:p w14:paraId="1419E894" w14:textId="77777777" w:rsidR="00352D27" w:rsidRPr="00352D27" w:rsidRDefault="00352D27" w:rsidP="00807FBF">
            <w:pPr>
              <w:pStyle w:val="Sidehoved"/>
              <w:ind w:left="144"/>
              <w:rPr>
                <w:szCs w:val="24"/>
              </w:rPr>
            </w:pPr>
            <w:r w:rsidRPr="00352D27">
              <w:rPr>
                <w:szCs w:val="24"/>
              </w:rPr>
              <w:t>Bleghed på applikationsstedet</w:t>
            </w:r>
          </w:p>
        </w:tc>
        <w:tc>
          <w:tcPr>
            <w:tcW w:w="1117" w:type="pct"/>
            <w:tcBorders>
              <w:top w:val="single" w:sz="6" w:space="0" w:color="000000"/>
              <w:left w:val="single" w:sz="6" w:space="0" w:color="000000"/>
              <w:bottom w:val="single" w:sz="6" w:space="0" w:color="000000"/>
              <w:right w:val="single" w:sz="6" w:space="0" w:color="000000"/>
            </w:tcBorders>
            <w:hideMark/>
          </w:tcPr>
          <w:p w14:paraId="40FC402B" w14:textId="77777777" w:rsidR="00352D27" w:rsidRPr="00352D27" w:rsidRDefault="00352D27" w:rsidP="00250D17">
            <w:pPr>
              <w:pStyle w:val="Sidehoved"/>
              <w:ind w:left="70"/>
              <w:rPr>
                <w:szCs w:val="24"/>
              </w:rPr>
            </w:pPr>
            <w:r w:rsidRPr="00352D27">
              <w:rPr>
                <w:szCs w:val="24"/>
              </w:rPr>
              <w:t xml:space="preserve">Brændende fornemmelse </w:t>
            </w:r>
          </w:p>
          <w:p w14:paraId="283699A0" w14:textId="77777777" w:rsidR="00352D27" w:rsidRPr="00352D27" w:rsidRDefault="00352D27" w:rsidP="00250D17">
            <w:pPr>
              <w:pStyle w:val="Sidehoved"/>
              <w:ind w:left="70"/>
              <w:rPr>
                <w:szCs w:val="24"/>
              </w:rPr>
            </w:pPr>
            <w:r w:rsidRPr="00352D27">
              <w:rPr>
                <w:szCs w:val="24"/>
              </w:rPr>
              <w:t>Pruritus på applikationsstedet</w:t>
            </w:r>
          </w:p>
          <w:p w14:paraId="51B04718" w14:textId="77777777" w:rsidR="00352D27" w:rsidRPr="00352D27" w:rsidRDefault="00352D27" w:rsidP="00250D17">
            <w:pPr>
              <w:pStyle w:val="Sidehoved"/>
              <w:ind w:left="70"/>
              <w:rPr>
                <w:szCs w:val="24"/>
              </w:rPr>
            </w:pPr>
            <w:r w:rsidRPr="00352D27">
              <w:rPr>
                <w:szCs w:val="24"/>
              </w:rPr>
              <w:t>Varme på applikationsstedet</w:t>
            </w:r>
          </w:p>
        </w:tc>
        <w:tc>
          <w:tcPr>
            <w:tcW w:w="1308" w:type="pct"/>
            <w:tcBorders>
              <w:top w:val="single" w:sz="6" w:space="0" w:color="000000"/>
              <w:left w:val="single" w:sz="6" w:space="0" w:color="000000"/>
              <w:bottom w:val="single" w:sz="6" w:space="0" w:color="000000"/>
              <w:right w:val="single" w:sz="6" w:space="0" w:color="000000"/>
            </w:tcBorders>
          </w:tcPr>
          <w:p w14:paraId="72A457DB" w14:textId="77777777" w:rsidR="00352D27" w:rsidRPr="00352D27" w:rsidRDefault="00352D27" w:rsidP="00250D17">
            <w:pPr>
              <w:pStyle w:val="Sidehoved"/>
              <w:ind w:left="137"/>
              <w:rPr>
                <w:szCs w:val="24"/>
              </w:rPr>
            </w:pPr>
          </w:p>
        </w:tc>
      </w:tr>
    </w:tbl>
    <w:p w14:paraId="0577A4DA" w14:textId="77777777" w:rsidR="00352D27" w:rsidRPr="00352D27" w:rsidRDefault="00352D27" w:rsidP="00352D27">
      <w:pPr>
        <w:pStyle w:val="Sidehoved"/>
        <w:tabs>
          <w:tab w:val="left" w:pos="851"/>
        </w:tabs>
        <w:ind w:left="851"/>
        <w:rPr>
          <w:szCs w:val="24"/>
        </w:rPr>
      </w:pPr>
    </w:p>
    <w:p w14:paraId="59FBFE6F" w14:textId="77777777" w:rsidR="00352D27" w:rsidRPr="00352D27" w:rsidRDefault="00352D27" w:rsidP="00352D27">
      <w:pPr>
        <w:pStyle w:val="Sidehoved"/>
        <w:tabs>
          <w:tab w:val="left" w:pos="851"/>
        </w:tabs>
        <w:ind w:left="851"/>
        <w:rPr>
          <w:i/>
          <w:szCs w:val="24"/>
        </w:rPr>
      </w:pPr>
      <w:r w:rsidRPr="00352D27">
        <w:rPr>
          <w:szCs w:val="24"/>
          <w:u w:val="single"/>
        </w:rPr>
        <w:t>Pædiatrisk population</w:t>
      </w:r>
    </w:p>
    <w:p w14:paraId="335CCDDA" w14:textId="77777777" w:rsidR="00352D27" w:rsidRPr="00352D27" w:rsidRDefault="00352D27" w:rsidP="00352D27">
      <w:pPr>
        <w:pStyle w:val="Sidehoved"/>
        <w:tabs>
          <w:tab w:val="left" w:pos="851"/>
        </w:tabs>
        <w:ind w:left="851"/>
        <w:rPr>
          <w:szCs w:val="24"/>
        </w:rPr>
      </w:pPr>
      <w:r w:rsidRPr="00352D27">
        <w:rPr>
          <w:szCs w:val="24"/>
        </w:rPr>
        <w:t>Hyppigheden, typen og sværhedsgraden af bivirkninger er sammenlignelige i den pædiatriske og den voksne gruppe, med undtagelse af methæmoglobinæmi, der ses hyppigere hos nyfødte og spædbørn i alderen 0 til 12 måneder, ofte i forbindelse med overdosering (se pkt. 4.9).</w:t>
      </w:r>
    </w:p>
    <w:p w14:paraId="0A5202C2" w14:textId="77777777" w:rsidR="00352D27" w:rsidRPr="00352D27" w:rsidRDefault="00352D27" w:rsidP="00352D27">
      <w:pPr>
        <w:pStyle w:val="Sidehoved"/>
        <w:tabs>
          <w:tab w:val="left" w:pos="851"/>
        </w:tabs>
        <w:ind w:left="851"/>
        <w:rPr>
          <w:szCs w:val="24"/>
        </w:rPr>
      </w:pPr>
    </w:p>
    <w:p w14:paraId="074088CC" w14:textId="77777777" w:rsidR="00352D27" w:rsidRPr="00352D27" w:rsidRDefault="00352D27" w:rsidP="00352D27">
      <w:pPr>
        <w:pStyle w:val="Sidehoved"/>
        <w:tabs>
          <w:tab w:val="left" w:pos="851"/>
        </w:tabs>
        <w:ind w:left="851"/>
        <w:rPr>
          <w:szCs w:val="24"/>
          <w:u w:val="single"/>
        </w:rPr>
      </w:pPr>
      <w:r w:rsidRPr="00352D27">
        <w:rPr>
          <w:szCs w:val="24"/>
          <w:u w:val="single"/>
        </w:rPr>
        <w:t>Indberetning af formodede bivirkninger</w:t>
      </w:r>
    </w:p>
    <w:p w14:paraId="51CCB60D" w14:textId="77777777" w:rsidR="00352D27" w:rsidRPr="00352D27" w:rsidRDefault="00352D27" w:rsidP="00352D27">
      <w:pPr>
        <w:pStyle w:val="Sidehoved"/>
        <w:tabs>
          <w:tab w:val="left" w:pos="851"/>
        </w:tabs>
        <w:ind w:left="851"/>
        <w:rPr>
          <w:szCs w:val="24"/>
        </w:rPr>
      </w:pPr>
      <w:r w:rsidRPr="00352D27">
        <w:rPr>
          <w:szCs w:val="24"/>
        </w:rPr>
        <w:t xml:space="preserve">Når lægemidlet er godkendt, er indberetning af formodede bivirkninger vigtig. Det muliggør løbende overvågning af benefit/risk-forholdet for lægemidlet. </w:t>
      </w:r>
      <w:r w:rsidR="00807FBF">
        <w:rPr>
          <w:szCs w:val="24"/>
        </w:rPr>
        <w:t>Sundhedspersoner</w:t>
      </w:r>
      <w:r w:rsidRPr="00352D27">
        <w:rPr>
          <w:szCs w:val="24"/>
        </w:rPr>
        <w:t xml:space="preserve"> anmodes om at indberette alle formodede bivirkninger via:</w:t>
      </w:r>
    </w:p>
    <w:p w14:paraId="3570F68D" w14:textId="77777777" w:rsidR="00352D27" w:rsidRPr="00352D27" w:rsidRDefault="00352D27" w:rsidP="00352D27">
      <w:pPr>
        <w:pStyle w:val="Sidehoved"/>
        <w:tabs>
          <w:tab w:val="left" w:pos="851"/>
        </w:tabs>
        <w:ind w:left="851"/>
        <w:rPr>
          <w:szCs w:val="24"/>
        </w:rPr>
      </w:pPr>
    </w:p>
    <w:p w14:paraId="49AF534B" w14:textId="77777777" w:rsidR="00352D27" w:rsidRPr="00352D27" w:rsidRDefault="00352D27" w:rsidP="00352D27">
      <w:pPr>
        <w:pStyle w:val="Sidehoved"/>
        <w:tabs>
          <w:tab w:val="left" w:pos="851"/>
        </w:tabs>
        <w:ind w:left="851"/>
        <w:rPr>
          <w:szCs w:val="24"/>
        </w:rPr>
      </w:pPr>
      <w:r w:rsidRPr="00352D27">
        <w:rPr>
          <w:szCs w:val="24"/>
        </w:rPr>
        <w:t>Lægemiddelstyrelsen</w:t>
      </w:r>
    </w:p>
    <w:p w14:paraId="661B3671" w14:textId="77777777" w:rsidR="00352D27" w:rsidRPr="00352D27" w:rsidRDefault="00352D27" w:rsidP="00352D27">
      <w:pPr>
        <w:pStyle w:val="Sidehoved"/>
        <w:tabs>
          <w:tab w:val="left" w:pos="851"/>
        </w:tabs>
        <w:ind w:left="851"/>
        <w:rPr>
          <w:szCs w:val="24"/>
        </w:rPr>
      </w:pPr>
      <w:r w:rsidRPr="00352D27">
        <w:rPr>
          <w:szCs w:val="24"/>
        </w:rPr>
        <w:t>Axel Heides Gade 1</w:t>
      </w:r>
    </w:p>
    <w:p w14:paraId="3D0470DB" w14:textId="77777777" w:rsidR="00352D27" w:rsidRPr="00352D27" w:rsidRDefault="00352D27" w:rsidP="00352D27">
      <w:pPr>
        <w:pStyle w:val="Sidehoved"/>
        <w:tabs>
          <w:tab w:val="left" w:pos="851"/>
        </w:tabs>
        <w:ind w:left="851"/>
        <w:rPr>
          <w:szCs w:val="24"/>
        </w:rPr>
      </w:pPr>
      <w:r w:rsidRPr="00352D27">
        <w:rPr>
          <w:szCs w:val="24"/>
        </w:rPr>
        <w:t>DK-2300 København S</w:t>
      </w:r>
    </w:p>
    <w:p w14:paraId="6E6A594C" w14:textId="77777777" w:rsidR="00352D27" w:rsidRPr="008B5CD7" w:rsidRDefault="00352D27" w:rsidP="00352D27">
      <w:pPr>
        <w:pStyle w:val="Sidehoved"/>
        <w:tabs>
          <w:tab w:val="left" w:pos="851"/>
        </w:tabs>
        <w:ind w:left="851"/>
        <w:rPr>
          <w:szCs w:val="24"/>
        </w:rPr>
      </w:pPr>
      <w:r w:rsidRPr="008B5CD7">
        <w:rPr>
          <w:szCs w:val="24"/>
        </w:rPr>
        <w:t>Websted: www.meldenbivirkning.dk</w:t>
      </w:r>
    </w:p>
    <w:p w14:paraId="00F0AD5A" w14:textId="77777777" w:rsidR="009260DE" w:rsidRPr="008B5CD7" w:rsidRDefault="009260DE" w:rsidP="009260DE">
      <w:pPr>
        <w:pStyle w:val="Sidehoved"/>
        <w:tabs>
          <w:tab w:val="left" w:pos="851"/>
        </w:tabs>
        <w:ind w:left="851"/>
        <w:rPr>
          <w:szCs w:val="24"/>
        </w:rPr>
      </w:pPr>
    </w:p>
    <w:p w14:paraId="2C37092C"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5667AEA8" w14:textId="77777777" w:rsidR="008B5CD7" w:rsidRPr="008B5CD7" w:rsidRDefault="008B5CD7" w:rsidP="008B5CD7">
      <w:pPr>
        <w:tabs>
          <w:tab w:val="left" w:pos="851"/>
        </w:tabs>
        <w:ind w:left="851"/>
        <w:rPr>
          <w:sz w:val="24"/>
          <w:szCs w:val="24"/>
        </w:rPr>
      </w:pPr>
      <w:r w:rsidRPr="008B5CD7">
        <w:rPr>
          <w:sz w:val="24"/>
          <w:szCs w:val="24"/>
        </w:rPr>
        <w:t>Der er rapporteret om sjældne tilfælde af klinisk signifikant methæmoglobinæmi.</w:t>
      </w:r>
    </w:p>
    <w:p w14:paraId="62A447EC" w14:textId="77777777" w:rsidR="008B5CD7" w:rsidRPr="008B5CD7" w:rsidRDefault="008B5CD7" w:rsidP="008B5CD7">
      <w:pPr>
        <w:tabs>
          <w:tab w:val="left" w:pos="851"/>
        </w:tabs>
        <w:ind w:left="851"/>
        <w:rPr>
          <w:sz w:val="24"/>
          <w:szCs w:val="24"/>
        </w:rPr>
      </w:pPr>
    </w:p>
    <w:p w14:paraId="536805A5" w14:textId="77777777" w:rsidR="008B5CD7" w:rsidRPr="008B5CD7" w:rsidRDefault="008B5CD7" w:rsidP="008B5CD7">
      <w:pPr>
        <w:tabs>
          <w:tab w:val="left" w:pos="851"/>
        </w:tabs>
        <w:ind w:left="851"/>
        <w:rPr>
          <w:sz w:val="24"/>
          <w:szCs w:val="24"/>
        </w:rPr>
      </w:pPr>
      <w:r w:rsidRPr="008B5CD7">
        <w:rPr>
          <w:sz w:val="24"/>
          <w:szCs w:val="24"/>
        </w:rPr>
        <w:t>Prilocain i høje doser kan forårsage en stigning i methæmoglobinniveauet, især hos følsomme patienter (pkt. 4.4), ved for hyppig dosering hos nyfødte og spædbørn under 12 måneder (pkt. 4.2) og i forbindelse med methæmoglobin-inducerende lægemidler (f.eks. sulfonamider, nitrofurantoin, phenytoin, phenobarbital). Der skal tages højde for, at pulsoximeterværdier kan overestimere den reelle iltmætning i tilfælde af øget methæmoglobinfraktion. Ved mistanke om methæmoglobinæmi kan det derfor være mere nyttigt at monitorere iltmætningen ved co-oximetri.</w:t>
      </w:r>
    </w:p>
    <w:p w14:paraId="58AD6DC5" w14:textId="77777777" w:rsidR="008B5CD7" w:rsidRPr="008B5CD7" w:rsidRDefault="008B5CD7" w:rsidP="008B5CD7">
      <w:pPr>
        <w:tabs>
          <w:tab w:val="left" w:pos="851"/>
        </w:tabs>
        <w:ind w:left="851"/>
        <w:rPr>
          <w:sz w:val="24"/>
          <w:szCs w:val="24"/>
        </w:rPr>
      </w:pPr>
    </w:p>
    <w:p w14:paraId="10590ED0" w14:textId="77777777" w:rsidR="008B5CD7" w:rsidRPr="008B5CD7" w:rsidRDefault="008B5CD7" w:rsidP="008B5CD7">
      <w:pPr>
        <w:tabs>
          <w:tab w:val="left" w:pos="851"/>
        </w:tabs>
        <w:ind w:left="851"/>
        <w:rPr>
          <w:sz w:val="24"/>
          <w:szCs w:val="24"/>
        </w:rPr>
      </w:pPr>
      <w:r w:rsidRPr="008B5CD7">
        <w:rPr>
          <w:sz w:val="24"/>
          <w:szCs w:val="24"/>
        </w:rPr>
        <w:t>Klinisk signifikant methæmoglobinæmi skal behandles med langsom intravenøs injektion af methylthioniniumchlorid (se pkt. 4.4).</w:t>
      </w:r>
    </w:p>
    <w:p w14:paraId="4399F8C9" w14:textId="77777777" w:rsidR="008B5CD7" w:rsidRPr="008B5CD7" w:rsidRDefault="008B5CD7" w:rsidP="008B5CD7">
      <w:pPr>
        <w:tabs>
          <w:tab w:val="left" w:pos="851"/>
        </w:tabs>
        <w:ind w:left="851"/>
        <w:rPr>
          <w:sz w:val="24"/>
          <w:szCs w:val="24"/>
        </w:rPr>
      </w:pPr>
    </w:p>
    <w:p w14:paraId="04EA0BD8" w14:textId="77777777" w:rsidR="008B5CD7" w:rsidRPr="008B5CD7" w:rsidRDefault="008B5CD7" w:rsidP="008B5CD7">
      <w:pPr>
        <w:tabs>
          <w:tab w:val="left" w:pos="851"/>
        </w:tabs>
        <w:ind w:left="851"/>
        <w:rPr>
          <w:sz w:val="24"/>
          <w:szCs w:val="24"/>
        </w:rPr>
      </w:pPr>
      <w:r w:rsidRPr="008B5CD7">
        <w:rPr>
          <w:sz w:val="24"/>
          <w:szCs w:val="24"/>
        </w:rPr>
        <w:t xml:space="preserve">Skulle der opstå andre symptomer på systemisk toksicitet, forventes tegnene at være af samme natur som dem, der optræder efter administration af lokalanæstetika via andre administrationsveje. Toksicitet af lokalanæstetika viser sig ved symptomer på excitation af nervesystemet og i alvorlige tilfælde CNS-depression og kardiovaskulær depression. </w:t>
      </w:r>
    </w:p>
    <w:p w14:paraId="21D50243" w14:textId="77777777" w:rsidR="008B5CD7" w:rsidRPr="008B5CD7" w:rsidRDefault="008B5CD7" w:rsidP="008B5CD7">
      <w:pPr>
        <w:tabs>
          <w:tab w:val="left" w:pos="851"/>
        </w:tabs>
        <w:ind w:left="851"/>
        <w:rPr>
          <w:sz w:val="24"/>
          <w:szCs w:val="24"/>
        </w:rPr>
      </w:pPr>
    </w:p>
    <w:p w14:paraId="03C47EF0" w14:textId="77777777" w:rsidR="008B5CD7" w:rsidRPr="008B5CD7" w:rsidRDefault="008B5CD7" w:rsidP="008B5CD7">
      <w:pPr>
        <w:tabs>
          <w:tab w:val="left" w:pos="851"/>
        </w:tabs>
        <w:ind w:left="851"/>
        <w:rPr>
          <w:sz w:val="24"/>
          <w:szCs w:val="24"/>
        </w:rPr>
      </w:pPr>
      <w:r w:rsidRPr="008B5CD7">
        <w:rPr>
          <w:sz w:val="24"/>
          <w:szCs w:val="24"/>
        </w:rPr>
        <w:t>Alvorlige neurologiske symptomer (krampeanfald, CNS-depression) skal behandles symptomatisk ved respiratorisk støtte og administration af antikonvulsiva. Kredsløbssymptomer behandles i overensstemmelse med anbefalingerne for genoplivning.</w:t>
      </w:r>
    </w:p>
    <w:p w14:paraId="24467250" w14:textId="77777777" w:rsidR="008B5CD7" w:rsidRPr="008B5CD7" w:rsidRDefault="008B5CD7" w:rsidP="008B5CD7">
      <w:pPr>
        <w:tabs>
          <w:tab w:val="left" w:pos="851"/>
        </w:tabs>
        <w:ind w:left="851"/>
        <w:rPr>
          <w:sz w:val="24"/>
          <w:szCs w:val="24"/>
        </w:rPr>
      </w:pPr>
    </w:p>
    <w:p w14:paraId="3D9C3896" w14:textId="77777777" w:rsidR="008B5CD7" w:rsidRPr="008B5CD7" w:rsidRDefault="008B5CD7" w:rsidP="008B5CD7">
      <w:pPr>
        <w:tabs>
          <w:tab w:val="left" w:pos="851"/>
        </w:tabs>
        <w:ind w:left="851"/>
        <w:rPr>
          <w:sz w:val="24"/>
          <w:szCs w:val="24"/>
        </w:rPr>
      </w:pPr>
      <w:r w:rsidRPr="008B5CD7">
        <w:rPr>
          <w:sz w:val="24"/>
          <w:szCs w:val="24"/>
        </w:rPr>
        <w:t>Da absorptionshastigheden fra intakt hud er langsom, skal patienter, der udviser tegn på toksicitet, holdes under observation i adskillige timer efter førstehjælpsbehandling.</w:t>
      </w:r>
    </w:p>
    <w:p w14:paraId="2D339DF2" w14:textId="77777777" w:rsidR="009260DE" w:rsidRPr="00C84483" w:rsidRDefault="009260DE" w:rsidP="009260DE">
      <w:pPr>
        <w:tabs>
          <w:tab w:val="left" w:pos="851"/>
        </w:tabs>
        <w:ind w:left="851"/>
        <w:rPr>
          <w:sz w:val="24"/>
          <w:szCs w:val="24"/>
        </w:rPr>
      </w:pPr>
    </w:p>
    <w:p w14:paraId="303F2362"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013D319C" w14:textId="77777777" w:rsidR="009260DE" w:rsidRPr="00C84483" w:rsidRDefault="008B5CD7" w:rsidP="009260DE">
      <w:pPr>
        <w:tabs>
          <w:tab w:val="left" w:pos="851"/>
        </w:tabs>
        <w:ind w:left="851"/>
        <w:rPr>
          <w:sz w:val="24"/>
          <w:szCs w:val="24"/>
        </w:rPr>
      </w:pPr>
      <w:r>
        <w:rPr>
          <w:sz w:val="24"/>
          <w:szCs w:val="24"/>
        </w:rPr>
        <w:t>HF</w:t>
      </w:r>
    </w:p>
    <w:p w14:paraId="23A4DA55" w14:textId="77777777" w:rsidR="009260DE" w:rsidRPr="00C84483" w:rsidRDefault="009260DE" w:rsidP="009260DE">
      <w:pPr>
        <w:tabs>
          <w:tab w:val="left" w:pos="851"/>
        </w:tabs>
        <w:ind w:left="851"/>
        <w:rPr>
          <w:sz w:val="24"/>
          <w:szCs w:val="24"/>
        </w:rPr>
      </w:pPr>
    </w:p>
    <w:p w14:paraId="0658AC40" w14:textId="77777777" w:rsidR="009260DE" w:rsidRPr="00C84483" w:rsidRDefault="009260DE" w:rsidP="009260DE">
      <w:pPr>
        <w:tabs>
          <w:tab w:val="left" w:pos="851"/>
        </w:tabs>
        <w:ind w:left="851"/>
        <w:rPr>
          <w:sz w:val="24"/>
          <w:szCs w:val="24"/>
        </w:rPr>
      </w:pPr>
    </w:p>
    <w:p w14:paraId="12D4C92A"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8360B0B" w14:textId="77777777" w:rsidR="009260DE" w:rsidRPr="00C84483" w:rsidRDefault="009260DE" w:rsidP="009260DE">
      <w:pPr>
        <w:tabs>
          <w:tab w:val="left" w:pos="851"/>
        </w:tabs>
        <w:ind w:left="851"/>
        <w:rPr>
          <w:sz w:val="24"/>
          <w:szCs w:val="24"/>
        </w:rPr>
      </w:pPr>
    </w:p>
    <w:p w14:paraId="1C52585D" w14:textId="77777777"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1E149BD3" w14:textId="77777777" w:rsidR="007F4334" w:rsidRPr="007F4334" w:rsidRDefault="007F4334" w:rsidP="007F4334">
      <w:pPr>
        <w:tabs>
          <w:tab w:val="left" w:pos="851"/>
        </w:tabs>
        <w:ind w:left="851"/>
        <w:rPr>
          <w:sz w:val="24"/>
          <w:szCs w:val="24"/>
        </w:rPr>
      </w:pPr>
      <w:r w:rsidRPr="007F4334">
        <w:rPr>
          <w:sz w:val="24"/>
          <w:szCs w:val="24"/>
        </w:rPr>
        <w:t>ATC-kode: N 01 BB 20. Lokalanæstetika, amider.</w:t>
      </w:r>
    </w:p>
    <w:p w14:paraId="17AABA0B" w14:textId="77777777" w:rsidR="009260DE" w:rsidRPr="00C84483" w:rsidRDefault="009260DE" w:rsidP="009260DE">
      <w:pPr>
        <w:tabs>
          <w:tab w:val="left" w:pos="851"/>
        </w:tabs>
        <w:ind w:left="851"/>
        <w:rPr>
          <w:sz w:val="24"/>
          <w:szCs w:val="24"/>
        </w:rPr>
      </w:pPr>
    </w:p>
    <w:p w14:paraId="0BB005AA"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AD5F56D" w14:textId="77777777" w:rsidR="007F4334" w:rsidRPr="007F4334" w:rsidRDefault="007F4334" w:rsidP="007F4334">
      <w:pPr>
        <w:tabs>
          <w:tab w:val="left" w:pos="851"/>
        </w:tabs>
        <w:ind w:left="851"/>
        <w:rPr>
          <w:sz w:val="24"/>
          <w:szCs w:val="24"/>
        </w:rPr>
      </w:pPr>
    </w:p>
    <w:p w14:paraId="7D3554A9" w14:textId="77777777" w:rsidR="007F4334" w:rsidRPr="007F4334" w:rsidRDefault="007F4334" w:rsidP="007F4334">
      <w:pPr>
        <w:tabs>
          <w:tab w:val="left" w:pos="851"/>
        </w:tabs>
        <w:ind w:left="851"/>
        <w:rPr>
          <w:sz w:val="24"/>
          <w:szCs w:val="24"/>
        </w:rPr>
      </w:pPr>
      <w:r w:rsidRPr="007F4334">
        <w:rPr>
          <w:sz w:val="24"/>
          <w:szCs w:val="24"/>
          <w:u w:val="single"/>
        </w:rPr>
        <w:t>Virkningsmekanisme</w:t>
      </w:r>
    </w:p>
    <w:p w14:paraId="01FDDBF2" w14:textId="77777777" w:rsidR="007F4334" w:rsidRPr="007F4334" w:rsidRDefault="007F4334" w:rsidP="007F4334">
      <w:pPr>
        <w:tabs>
          <w:tab w:val="left" w:pos="851"/>
        </w:tabs>
        <w:ind w:left="851"/>
        <w:rPr>
          <w:sz w:val="24"/>
          <w:szCs w:val="24"/>
        </w:rPr>
      </w:pPr>
      <w:r w:rsidRPr="007F4334">
        <w:rPr>
          <w:sz w:val="24"/>
          <w:szCs w:val="24"/>
        </w:rPr>
        <w:t xml:space="preserve">Lidocain/prilocain fremkalder dermal anæstesi via frigivelse af lidocain og prilocain til de epidermale og dermale hudlag og tæt på de dermale smertereceptorer og nerveender. </w:t>
      </w:r>
    </w:p>
    <w:p w14:paraId="02EB92D5" w14:textId="77777777" w:rsidR="007F4334" w:rsidRPr="007F4334" w:rsidRDefault="007F4334" w:rsidP="007F4334">
      <w:pPr>
        <w:tabs>
          <w:tab w:val="left" w:pos="851"/>
        </w:tabs>
        <w:ind w:left="851"/>
        <w:rPr>
          <w:sz w:val="24"/>
          <w:szCs w:val="24"/>
        </w:rPr>
      </w:pPr>
      <w:r w:rsidRPr="007F4334">
        <w:rPr>
          <w:sz w:val="24"/>
          <w:szCs w:val="24"/>
        </w:rPr>
        <w:t xml:space="preserve">Lidocain og prilocain er lokalanæstetika af amidtypen. Begge stoffer stabiliserer neuronale membraner ved at hæmme de ionstrømme, som er nødvendige for initiering og overledning af impulser, hvorved de fremkalder lokal anæstesi. Anæstesikvaliteten afhænger af applikationstid og dosis. </w:t>
      </w:r>
    </w:p>
    <w:p w14:paraId="226CA689" w14:textId="77777777" w:rsidR="007F4334" w:rsidRPr="007F4334" w:rsidRDefault="007F4334" w:rsidP="007F4334">
      <w:pPr>
        <w:tabs>
          <w:tab w:val="left" w:pos="851"/>
        </w:tabs>
        <w:ind w:left="851"/>
        <w:rPr>
          <w:sz w:val="24"/>
          <w:szCs w:val="24"/>
        </w:rPr>
      </w:pPr>
    </w:p>
    <w:p w14:paraId="3D3DA63D" w14:textId="77777777" w:rsidR="007F4334" w:rsidRPr="007F4334" w:rsidRDefault="007F4334" w:rsidP="007F4334">
      <w:pPr>
        <w:tabs>
          <w:tab w:val="left" w:pos="851"/>
        </w:tabs>
        <w:ind w:left="851"/>
        <w:rPr>
          <w:b/>
          <w:sz w:val="24"/>
          <w:szCs w:val="24"/>
        </w:rPr>
      </w:pPr>
      <w:r w:rsidRPr="007F4334">
        <w:rPr>
          <w:b/>
          <w:sz w:val="24"/>
          <w:szCs w:val="24"/>
        </w:rPr>
        <w:t>Hud</w:t>
      </w:r>
    </w:p>
    <w:p w14:paraId="011F4782" w14:textId="77777777" w:rsidR="007F4334" w:rsidRPr="007F4334" w:rsidRDefault="007F4334" w:rsidP="007F4334">
      <w:pPr>
        <w:tabs>
          <w:tab w:val="left" w:pos="851"/>
        </w:tabs>
        <w:ind w:left="851"/>
        <w:rPr>
          <w:sz w:val="24"/>
          <w:szCs w:val="24"/>
        </w:rPr>
      </w:pPr>
      <w:r w:rsidRPr="007F4334">
        <w:rPr>
          <w:sz w:val="24"/>
          <w:szCs w:val="24"/>
        </w:rPr>
        <w:t>Lidocain/prilocain plaster appliceres på intakt hud. Det kræver 1 til 2 timer at opnå pålidelig anæstesi af intakt hud, afhængigt af proceduren. Den lokalanæstetiske virkning øges med længere applikationstider fra 1 til 2 timer for de fleste kropsdele med undtagelse af huden i ansigtet. I panden og på kinderne nås den maksimale lokalanæstetiske virkning efter 30-60 minutter, idet huden er tynd, og der er en høj blodgennemstrømning i vævet. Anæstesivarigheden efter en applikationstid på 1 til 2 timer er mindst 2 timer efter fjernelse af forbindingen, undtagen i ansigtet, hvor varigheden er kortere. Lidocain/prilocain har samme effekt og fremkalder anæstesi efter samme tidsrum på lyst og mørkt pigmenteret hud (hudtype I til VI).</w:t>
      </w:r>
    </w:p>
    <w:p w14:paraId="2806F56F" w14:textId="77777777" w:rsidR="007F4334" w:rsidRPr="007F4334" w:rsidRDefault="007F4334" w:rsidP="007F4334">
      <w:pPr>
        <w:tabs>
          <w:tab w:val="left" w:pos="851"/>
        </w:tabs>
        <w:ind w:left="851"/>
        <w:rPr>
          <w:sz w:val="24"/>
          <w:szCs w:val="24"/>
        </w:rPr>
      </w:pPr>
    </w:p>
    <w:p w14:paraId="2E026770" w14:textId="77777777" w:rsidR="007F4334" w:rsidRPr="007F4334" w:rsidRDefault="007F4334" w:rsidP="007F4334">
      <w:pPr>
        <w:tabs>
          <w:tab w:val="left" w:pos="851"/>
        </w:tabs>
        <w:ind w:left="851"/>
        <w:rPr>
          <w:sz w:val="24"/>
          <w:szCs w:val="24"/>
        </w:rPr>
      </w:pPr>
      <w:r w:rsidRPr="007F4334">
        <w:rPr>
          <w:sz w:val="24"/>
          <w:szCs w:val="24"/>
        </w:rPr>
        <w:t>I kliniske studier med lidocain/prilocain på intakt hud blev der ikke set nogen forskelle i sikkerheden eller virkningen (herunder tid til indsættelse af anæstesi) hos geriatriske patienter (i alderen 65 til 96 år) og yngre patienter.</w:t>
      </w:r>
    </w:p>
    <w:p w14:paraId="2D46F6F0" w14:textId="77777777" w:rsidR="007F4334" w:rsidRPr="007F4334" w:rsidRDefault="007F4334" w:rsidP="007F4334">
      <w:pPr>
        <w:tabs>
          <w:tab w:val="left" w:pos="851"/>
        </w:tabs>
        <w:ind w:left="851"/>
        <w:rPr>
          <w:sz w:val="24"/>
          <w:szCs w:val="24"/>
        </w:rPr>
      </w:pPr>
    </w:p>
    <w:p w14:paraId="167C1CB6" w14:textId="77777777" w:rsidR="007F4334" w:rsidRPr="007F4334" w:rsidRDefault="007F4334" w:rsidP="007F4334">
      <w:pPr>
        <w:tabs>
          <w:tab w:val="left" w:pos="851"/>
        </w:tabs>
        <w:ind w:left="851"/>
        <w:rPr>
          <w:sz w:val="24"/>
          <w:szCs w:val="24"/>
        </w:rPr>
      </w:pPr>
      <w:r w:rsidRPr="007F4334">
        <w:rPr>
          <w:sz w:val="24"/>
          <w:szCs w:val="24"/>
        </w:rPr>
        <w:t xml:space="preserve">Lidocain/prilocain fremkalder et bifasisk vaskulært respons, der omfatter indledende vasokonstriktion efterfulgt af vasodilatation på administrationsstedet (se pkt. 4.8). Uafhængigt af det vaskulære respons letter lidocain/prilocain kanyleproceduren sammenlignet med placebo. </w:t>
      </w:r>
    </w:p>
    <w:p w14:paraId="326620D6" w14:textId="77777777" w:rsidR="007F4334" w:rsidRPr="007F4334" w:rsidRDefault="007F4334" w:rsidP="007F4334">
      <w:pPr>
        <w:tabs>
          <w:tab w:val="left" w:pos="851"/>
        </w:tabs>
        <w:ind w:left="851"/>
        <w:rPr>
          <w:sz w:val="24"/>
          <w:szCs w:val="24"/>
        </w:rPr>
      </w:pPr>
    </w:p>
    <w:p w14:paraId="1306821B" w14:textId="77777777" w:rsidR="007F4334" w:rsidRPr="007F4334" w:rsidRDefault="007F4334" w:rsidP="007F4334">
      <w:pPr>
        <w:tabs>
          <w:tab w:val="left" w:pos="851"/>
        </w:tabs>
        <w:ind w:left="851"/>
        <w:rPr>
          <w:sz w:val="24"/>
          <w:szCs w:val="24"/>
        </w:rPr>
      </w:pPr>
      <w:r w:rsidRPr="007F4334">
        <w:rPr>
          <w:sz w:val="24"/>
          <w:szCs w:val="24"/>
        </w:rPr>
        <w:t>Hos patienter med atopisk dermatit indtrådte der en lignende, men kortere vaskulær reaktion med forekomst af erytem efter 30-60 minutter, hvilket tyder på hurtigere absorption via huden (se pkt. 4.4). Lidocain/prilocain kan forårsage en forbigående fortykkelse af huden. Dette skyldes til dels hydrering af huden under plastret. Fortykkelsen aftager i løbet af 15 minutters luftning.</w:t>
      </w:r>
    </w:p>
    <w:p w14:paraId="7BBA0528" w14:textId="77777777" w:rsidR="007F4334" w:rsidRPr="007F4334" w:rsidRDefault="007F4334" w:rsidP="007F4334">
      <w:pPr>
        <w:tabs>
          <w:tab w:val="left" w:pos="851"/>
        </w:tabs>
        <w:ind w:left="851"/>
        <w:rPr>
          <w:sz w:val="24"/>
          <w:szCs w:val="24"/>
        </w:rPr>
      </w:pPr>
    </w:p>
    <w:p w14:paraId="2A64D2B2" w14:textId="77777777" w:rsidR="007F4334" w:rsidRPr="007F4334" w:rsidRDefault="007F4334" w:rsidP="007F4334">
      <w:pPr>
        <w:tabs>
          <w:tab w:val="left" w:pos="851"/>
        </w:tabs>
        <w:ind w:left="851"/>
        <w:rPr>
          <w:sz w:val="24"/>
          <w:szCs w:val="24"/>
        </w:rPr>
      </w:pPr>
      <w:r w:rsidRPr="007F4334">
        <w:rPr>
          <w:sz w:val="24"/>
          <w:szCs w:val="24"/>
        </w:rPr>
        <w:t xml:space="preserve">Dybden af kutan anæstesi øges i takt med applikationstiden. Hos 90 % af patienterne er anæstesien tilstrækkelig til udtagelse af en biopsi (4 mm i diameter) i en dybde på 2 mm 60 minutter efter applikation af lidocain/prilocain og i en dybde på 3 mm efter 120 minutter. </w:t>
      </w:r>
    </w:p>
    <w:p w14:paraId="78F3BBF8" w14:textId="77777777" w:rsidR="007F4334" w:rsidRPr="007F4334" w:rsidRDefault="007F4334" w:rsidP="007F4334">
      <w:pPr>
        <w:tabs>
          <w:tab w:val="left" w:pos="851"/>
        </w:tabs>
        <w:ind w:left="851"/>
        <w:rPr>
          <w:sz w:val="24"/>
          <w:szCs w:val="24"/>
        </w:rPr>
      </w:pPr>
    </w:p>
    <w:p w14:paraId="397F19F9" w14:textId="77777777" w:rsidR="007F4334" w:rsidRPr="007F4334" w:rsidRDefault="007F4334" w:rsidP="007F4334">
      <w:pPr>
        <w:tabs>
          <w:tab w:val="left" w:pos="851"/>
        </w:tabs>
        <w:ind w:left="851"/>
        <w:rPr>
          <w:bCs/>
          <w:iCs/>
          <w:sz w:val="24"/>
          <w:szCs w:val="24"/>
        </w:rPr>
      </w:pPr>
      <w:r w:rsidRPr="007F4334">
        <w:rPr>
          <w:bCs/>
          <w:iCs/>
          <w:sz w:val="24"/>
          <w:szCs w:val="24"/>
          <w:u w:val="single"/>
        </w:rPr>
        <w:t>Pædiatrisk population</w:t>
      </w:r>
    </w:p>
    <w:p w14:paraId="5C14291E" w14:textId="77777777" w:rsidR="007F4334" w:rsidRPr="007F4334" w:rsidRDefault="007F4334" w:rsidP="007F4334">
      <w:pPr>
        <w:tabs>
          <w:tab w:val="left" w:pos="851"/>
        </w:tabs>
        <w:ind w:left="851"/>
        <w:rPr>
          <w:sz w:val="24"/>
          <w:szCs w:val="24"/>
        </w:rPr>
      </w:pPr>
      <w:r w:rsidRPr="007F4334">
        <w:rPr>
          <w:sz w:val="24"/>
          <w:szCs w:val="24"/>
        </w:rPr>
        <w:t xml:space="preserve">Kliniske studier med mere end 2.300 pædiatriske patienter i alle aldersgrupper har vist virkning mod kanylesmerter (venepunktur, indlæggelse af kanyle, subkutan og intramuskulær vaccination, lumbalpunktur), laserbehandling af vaskulære læsioner og curettage af molluscum contagiosum. Lidocain/prilocain nedsatte smerter fra både kanyleindstik og ved injektion af vacciner. Den smertestillende virkning tiltog efter fra 15 til 90 minutters applikationstid på normal hud, men ved vaskulære læsioner var der ingen fordel ved 90 minutters applikationstid i forhold til 60 minutters. Der sås ingen fordele ved lidocain/prilocain versus placebo for flydende nitrogenkryoterapi af almindelige vorter. </w:t>
      </w:r>
    </w:p>
    <w:p w14:paraId="0C7A3E91" w14:textId="77777777" w:rsidR="007F4334" w:rsidRPr="007F4334" w:rsidRDefault="007F4334" w:rsidP="007F4334">
      <w:pPr>
        <w:tabs>
          <w:tab w:val="left" w:pos="851"/>
        </w:tabs>
        <w:ind w:left="851"/>
        <w:rPr>
          <w:sz w:val="24"/>
          <w:szCs w:val="24"/>
        </w:rPr>
      </w:pPr>
    </w:p>
    <w:p w14:paraId="48BEEBE9" w14:textId="77777777" w:rsidR="007F4334" w:rsidRPr="007F4334" w:rsidRDefault="007F4334" w:rsidP="007F4334">
      <w:pPr>
        <w:tabs>
          <w:tab w:val="left" w:pos="851"/>
        </w:tabs>
        <w:ind w:left="851"/>
        <w:rPr>
          <w:sz w:val="24"/>
          <w:szCs w:val="24"/>
        </w:rPr>
      </w:pPr>
      <w:r w:rsidRPr="007F4334">
        <w:rPr>
          <w:sz w:val="24"/>
          <w:szCs w:val="24"/>
        </w:rPr>
        <w:lastRenderedPageBreak/>
        <w:t>Data fra elleve kliniske studier med nyfødte og spædbørn viste, at maksimale methæmoglobinkoncentrationer indtræder cirka 8 timer efter epikutan administration af lidocain/prilocain, at de ikke er klinisk signifikante ved brug af anbefalede doser, og at de normaliseres i løbet af 12-13 timer. Methæmoglobindannelse er relateret til den kumulative mængde af perkutant absorberet prilocain og kan derfor øges ved længere applikationstid af lidocain/prilocain.</w:t>
      </w:r>
    </w:p>
    <w:p w14:paraId="5F6D1C10" w14:textId="77777777" w:rsidR="007F4334" w:rsidRPr="007F4334" w:rsidRDefault="007F4334" w:rsidP="007F4334">
      <w:pPr>
        <w:tabs>
          <w:tab w:val="left" w:pos="851"/>
        </w:tabs>
        <w:ind w:left="851"/>
        <w:rPr>
          <w:sz w:val="24"/>
          <w:szCs w:val="24"/>
        </w:rPr>
      </w:pPr>
    </w:p>
    <w:p w14:paraId="77DA8A85" w14:textId="77777777" w:rsidR="007F4334" w:rsidRPr="007F4334" w:rsidRDefault="007F4334" w:rsidP="007F4334">
      <w:pPr>
        <w:tabs>
          <w:tab w:val="left" w:pos="851"/>
        </w:tabs>
        <w:ind w:left="851"/>
        <w:rPr>
          <w:sz w:val="24"/>
          <w:szCs w:val="24"/>
        </w:rPr>
      </w:pPr>
      <w:r w:rsidRPr="007F4334">
        <w:rPr>
          <w:sz w:val="24"/>
          <w:szCs w:val="24"/>
        </w:rPr>
        <w:t>Anvendelse af lidocain/prilocain inden MFR-vaccine eller intramuskulær difteri-pertussis-tetanus-inaktiveret poliovirus-Hæmophilus influenzae type b</w:t>
      </w:r>
      <w:r w:rsidRPr="007F4334">
        <w:rPr>
          <w:sz w:val="24"/>
          <w:szCs w:val="24"/>
        </w:rPr>
        <w:noBreakHyphen/>
        <w:t>vaccine eller hepatitis B-vaccine havde ingen indvirkning på de gennemsnitlige antistoftitre eller serokonversionshastigheden eller på andelen af patienter, der opnåede beskyttende eller positive antistoftitre efter immuniseringen sammenlignet med placebobehandlede patienter.</w:t>
      </w:r>
    </w:p>
    <w:p w14:paraId="1601020F" w14:textId="77777777" w:rsidR="007F4334" w:rsidRPr="007F4334" w:rsidRDefault="007F4334" w:rsidP="007F4334">
      <w:pPr>
        <w:tabs>
          <w:tab w:val="left" w:pos="851"/>
        </w:tabs>
        <w:ind w:left="851"/>
        <w:rPr>
          <w:iCs/>
          <w:sz w:val="24"/>
          <w:szCs w:val="24"/>
        </w:rPr>
      </w:pPr>
    </w:p>
    <w:p w14:paraId="3FB8C919"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2F07A125" w14:textId="77777777" w:rsidR="00941E14" w:rsidRPr="00941E14" w:rsidRDefault="00941E14" w:rsidP="00941E14">
      <w:pPr>
        <w:tabs>
          <w:tab w:val="left" w:pos="851"/>
        </w:tabs>
        <w:ind w:left="851"/>
        <w:rPr>
          <w:iCs/>
          <w:sz w:val="24"/>
          <w:szCs w:val="24"/>
        </w:rPr>
      </w:pPr>
    </w:p>
    <w:p w14:paraId="52BDD2D8" w14:textId="77777777" w:rsidR="00941E14" w:rsidRPr="00941E14" w:rsidRDefault="00941E14" w:rsidP="00941E14">
      <w:pPr>
        <w:tabs>
          <w:tab w:val="left" w:pos="851"/>
        </w:tabs>
        <w:ind w:left="851"/>
        <w:rPr>
          <w:sz w:val="24"/>
          <w:szCs w:val="24"/>
          <w:u w:val="single"/>
        </w:rPr>
      </w:pPr>
      <w:r w:rsidRPr="00941E14">
        <w:rPr>
          <w:sz w:val="24"/>
          <w:szCs w:val="24"/>
          <w:u w:val="single"/>
        </w:rPr>
        <w:t>Absorption, fordeling, biotransformation og elimination</w:t>
      </w:r>
    </w:p>
    <w:p w14:paraId="574E9078" w14:textId="523E6D89" w:rsidR="00941E14" w:rsidRPr="00941E14" w:rsidRDefault="00941E14" w:rsidP="00941E14">
      <w:pPr>
        <w:tabs>
          <w:tab w:val="left" w:pos="851"/>
        </w:tabs>
        <w:ind w:left="851"/>
        <w:rPr>
          <w:sz w:val="24"/>
          <w:szCs w:val="24"/>
        </w:rPr>
      </w:pPr>
      <w:r w:rsidRPr="00941E14">
        <w:rPr>
          <w:sz w:val="24"/>
          <w:szCs w:val="24"/>
        </w:rPr>
        <w:t>Den systemiske absorption af lidocain og prilocain fra lidocain/prilocain plastre afhænger af dosis, applikationsområde og applikationstid. Yderligere faktorer omfatter hudens tykkelse (der er forskellig på forskellige områder af kroppen), andre tilstande, såsom hudsygdomme, og barbering. Efter behandling med lidocain/prilocain er plasmakoncentrationen af prilocain 20-60 % lavere end plasmakoncentrationen af lidocain, hvilket skyldes et større fordelingsvolumen og hurtigere clearance. Den vigtigste eliminationsvej for lidocain og prilocain er hepatisk metabolisme, og metabolitterne udskilles via nyrerne. Metaboliserings- og eliminationshastigheden af lokalanæstesi</w:t>
      </w:r>
      <w:r w:rsidR="00C92F91">
        <w:rPr>
          <w:sz w:val="24"/>
          <w:szCs w:val="24"/>
        </w:rPr>
        <w:softHyphen/>
      </w:r>
      <w:r w:rsidRPr="00941E14">
        <w:rPr>
          <w:sz w:val="24"/>
          <w:szCs w:val="24"/>
        </w:rPr>
        <w:t>midlerne efter topikal administration af lidocain/prilocain er dog styret af absorptions</w:t>
      </w:r>
      <w:r w:rsidR="00C92F91">
        <w:rPr>
          <w:sz w:val="24"/>
          <w:szCs w:val="24"/>
        </w:rPr>
        <w:softHyphen/>
      </w:r>
      <w:r w:rsidRPr="00941E14">
        <w:rPr>
          <w:sz w:val="24"/>
          <w:szCs w:val="24"/>
        </w:rPr>
        <w:t xml:space="preserve">hastigheden. Derfor har et fald i clearance, f.eks. hos patienter med svært nedsat leverfunktion, begrænset indflydelse på de systemiske plasmakoncentrationer efter en enkelt lidocain/prilocain-dosis og efter gentagne enkeltdoser </w:t>
      </w:r>
      <w:r w:rsidR="00A835A6">
        <w:rPr>
          <w:sz w:val="24"/>
          <w:szCs w:val="24"/>
        </w:rPr>
        <w:t>en</w:t>
      </w:r>
      <w:r w:rsidRPr="00941E14">
        <w:rPr>
          <w:sz w:val="24"/>
          <w:szCs w:val="24"/>
        </w:rPr>
        <w:t xml:space="preserve"> gang </w:t>
      </w:r>
      <w:r w:rsidR="00A835A6">
        <w:rPr>
          <w:sz w:val="24"/>
          <w:szCs w:val="24"/>
        </w:rPr>
        <w:t>daglig</w:t>
      </w:r>
      <w:r w:rsidRPr="00941E14">
        <w:rPr>
          <w:sz w:val="24"/>
          <w:szCs w:val="24"/>
        </w:rPr>
        <w:t xml:space="preserve"> i kort tid (op til 10 dage). </w:t>
      </w:r>
    </w:p>
    <w:p w14:paraId="7C0929ED" w14:textId="77777777" w:rsidR="00941E14" w:rsidRPr="00941E14" w:rsidRDefault="00941E14" w:rsidP="00941E14">
      <w:pPr>
        <w:tabs>
          <w:tab w:val="left" w:pos="851"/>
        </w:tabs>
        <w:ind w:left="851"/>
        <w:rPr>
          <w:sz w:val="24"/>
          <w:szCs w:val="24"/>
        </w:rPr>
      </w:pPr>
    </w:p>
    <w:p w14:paraId="069A5D3E" w14:textId="77777777" w:rsidR="00941E14" w:rsidRPr="00941E14" w:rsidRDefault="00941E14" w:rsidP="00941E14">
      <w:pPr>
        <w:tabs>
          <w:tab w:val="left" w:pos="851"/>
        </w:tabs>
        <w:ind w:left="851"/>
        <w:rPr>
          <w:sz w:val="24"/>
          <w:szCs w:val="24"/>
        </w:rPr>
      </w:pPr>
      <w:r w:rsidRPr="00941E14">
        <w:rPr>
          <w:sz w:val="24"/>
          <w:szCs w:val="24"/>
        </w:rPr>
        <w:t>Symptomer på toksicitet bliver tydeligere ved stigende plasmakoncentrationer fra 5 til 10 μg/ml af de enkelte aktive stoffer. Det bør forventes, at toksiciteten af lidocain og prilocain er additiv.</w:t>
      </w:r>
    </w:p>
    <w:p w14:paraId="6AF7B59D" w14:textId="77777777" w:rsidR="00941E14" w:rsidRPr="00941E14" w:rsidRDefault="00941E14" w:rsidP="00941E14">
      <w:pPr>
        <w:tabs>
          <w:tab w:val="left" w:pos="851"/>
        </w:tabs>
        <w:ind w:left="851"/>
        <w:rPr>
          <w:sz w:val="24"/>
          <w:szCs w:val="24"/>
        </w:rPr>
      </w:pPr>
    </w:p>
    <w:p w14:paraId="3BFF3AAD" w14:textId="77777777" w:rsidR="00941E14" w:rsidRPr="00941E14" w:rsidRDefault="00941E14" w:rsidP="00941E14">
      <w:pPr>
        <w:tabs>
          <w:tab w:val="left" w:pos="851"/>
        </w:tabs>
        <w:ind w:left="851"/>
        <w:rPr>
          <w:b/>
          <w:sz w:val="24"/>
          <w:szCs w:val="24"/>
        </w:rPr>
      </w:pPr>
      <w:r w:rsidRPr="00941E14">
        <w:rPr>
          <w:b/>
          <w:sz w:val="24"/>
          <w:szCs w:val="24"/>
        </w:rPr>
        <w:t>Intakt hud</w:t>
      </w:r>
    </w:p>
    <w:p w14:paraId="497AD564" w14:textId="77777777" w:rsidR="00941E14" w:rsidRPr="00941E14" w:rsidRDefault="00941E14" w:rsidP="00941E14">
      <w:pPr>
        <w:tabs>
          <w:tab w:val="left" w:pos="851"/>
        </w:tabs>
        <w:ind w:left="851"/>
        <w:rPr>
          <w:sz w:val="24"/>
          <w:szCs w:val="24"/>
        </w:rPr>
      </w:pPr>
      <w:r w:rsidRPr="00941E14">
        <w:rPr>
          <w:sz w:val="24"/>
          <w:szCs w:val="24"/>
        </w:rPr>
        <w:t xml:space="preserve">De tilgængelige farmakokinetiske data gælder for applikation af lidocain/prilocain creme 5 % på intakt hud. </w:t>
      </w:r>
    </w:p>
    <w:p w14:paraId="08592F4E" w14:textId="77777777" w:rsidR="00941E14" w:rsidRPr="00941E14" w:rsidRDefault="00941E14" w:rsidP="00941E14">
      <w:pPr>
        <w:tabs>
          <w:tab w:val="left" w:pos="851"/>
        </w:tabs>
        <w:ind w:left="851"/>
        <w:rPr>
          <w:sz w:val="24"/>
          <w:szCs w:val="24"/>
        </w:rPr>
      </w:pPr>
    </w:p>
    <w:p w14:paraId="60786BDF" w14:textId="77777777" w:rsidR="00941E14" w:rsidRPr="00941E14" w:rsidRDefault="00941E14" w:rsidP="00941E14">
      <w:pPr>
        <w:tabs>
          <w:tab w:val="left" w:pos="851"/>
        </w:tabs>
        <w:ind w:left="851"/>
        <w:rPr>
          <w:sz w:val="24"/>
          <w:szCs w:val="24"/>
        </w:rPr>
      </w:pPr>
      <w:r w:rsidRPr="00941E14">
        <w:rPr>
          <w:sz w:val="24"/>
          <w:szCs w:val="24"/>
        </w:rPr>
        <w:t>Efter administration på låret hos voksne (60 g creme/400 cm</w:t>
      </w:r>
      <w:r w:rsidRPr="00941E14">
        <w:rPr>
          <w:sz w:val="24"/>
          <w:szCs w:val="24"/>
          <w:vertAlign w:val="superscript"/>
        </w:rPr>
        <w:t>2</w:t>
      </w:r>
      <w:r w:rsidRPr="00941E14">
        <w:rPr>
          <w:sz w:val="24"/>
          <w:szCs w:val="24"/>
        </w:rPr>
        <w:t xml:space="preserve"> i 3 timer) var absorptionsgraden cirka 5 % for lidocain og prilocain. De maksimale plasmakoncentrationer (gennemsnitligt 0,12 og 0,07 μg/ml) blev nået cirka 2-6 timer efter administration.</w:t>
      </w:r>
    </w:p>
    <w:p w14:paraId="06CF2E1F" w14:textId="433845AA" w:rsidR="00941E14" w:rsidRPr="00941E14" w:rsidRDefault="00941E14" w:rsidP="00941E14">
      <w:pPr>
        <w:tabs>
          <w:tab w:val="left" w:pos="851"/>
        </w:tabs>
        <w:ind w:left="851"/>
        <w:rPr>
          <w:sz w:val="24"/>
          <w:szCs w:val="24"/>
        </w:rPr>
      </w:pPr>
      <w:r w:rsidRPr="00941E14">
        <w:rPr>
          <w:sz w:val="24"/>
          <w:szCs w:val="24"/>
        </w:rPr>
        <w:t>Den systemiske absorptionsgrad var cirka 10 % efter påføring i ansigtet (10 g/100 cm</w:t>
      </w:r>
      <w:r w:rsidRPr="00941E14">
        <w:rPr>
          <w:sz w:val="24"/>
          <w:szCs w:val="24"/>
          <w:vertAlign w:val="superscript"/>
        </w:rPr>
        <w:t>2</w:t>
      </w:r>
      <w:r w:rsidRPr="00941E14">
        <w:rPr>
          <w:sz w:val="24"/>
          <w:szCs w:val="24"/>
        </w:rPr>
        <w:t xml:space="preserve"> i 2 timer). De maksimale plasmakoncentrationer (gennemsnitligt 0,16 og 0,06 μg/ml) blev nået efter cirka 1,5-3 timer.</w:t>
      </w:r>
    </w:p>
    <w:p w14:paraId="55290226" w14:textId="2E6FB24F" w:rsidR="00C92F91" w:rsidRDefault="00C92F91">
      <w:pPr>
        <w:rPr>
          <w:sz w:val="24"/>
          <w:szCs w:val="24"/>
        </w:rPr>
      </w:pPr>
      <w:r>
        <w:rPr>
          <w:sz w:val="24"/>
          <w:szCs w:val="24"/>
        </w:rPr>
        <w:br w:type="page"/>
      </w:r>
    </w:p>
    <w:p w14:paraId="0E185A3E" w14:textId="77777777" w:rsidR="00941E14" w:rsidRPr="00941E14" w:rsidRDefault="00941E14" w:rsidP="00941E14">
      <w:pPr>
        <w:tabs>
          <w:tab w:val="left" w:pos="851"/>
        </w:tabs>
        <w:ind w:left="851"/>
        <w:rPr>
          <w:sz w:val="24"/>
          <w:szCs w:val="24"/>
        </w:rPr>
      </w:pPr>
    </w:p>
    <w:p w14:paraId="21445010" w14:textId="77777777" w:rsidR="00941E14" w:rsidRPr="00941E14" w:rsidRDefault="00941E14" w:rsidP="00941E14">
      <w:pPr>
        <w:tabs>
          <w:tab w:val="left" w:pos="851"/>
        </w:tabs>
        <w:ind w:left="851"/>
        <w:rPr>
          <w:sz w:val="24"/>
          <w:szCs w:val="24"/>
          <w:u w:val="single"/>
        </w:rPr>
      </w:pPr>
      <w:r w:rsidRPr="00941E14">
        <w:rPr>
          <w:sz w:val="24"/>
          <w:szCs w:val="24"/>
          <w:u w:val="single"/>
        </w:rPr>
        <w:t>Særlige populationer</w:t>
      </w:r>
    </w:p>
    <w:p w14:paraId="782494DC" w14:textId="77777777" w:rsidR="00C92F91" w:rsidRDefault="00C92F91" w:rsidP="00941E14">
      <w:pPr>
        <w:tabs>
          <w:tab w:val="left" w:pos="851"/>
        </w:tabs>
        <w:ind w:left="851"/>
        <w:rPr>
          <w:i/>
          <w:sz w:val="24"/>
          <w:szCs w:val="24"/>
          <w:u w:val="single"/>
        </w:rPr>
      </w:pPr>
    </w:p>
    <w:p w14:paraId="54C02AA3" w14:textId="60D57634" w:rsidR="00941E14" w:rsidRPr="00C92F91" w:rsidRDefault="00941E14" w:rsidP="00941E14">
      <w:pPr>
        <w:tabs>
          <w:tab w:val="left" w:pos="851"/>
        </w:tabs>
        <w:ind w:left="851"/>
        <w:rPr>
          <w:i/>
          <w:sz w:val="24"/>
          <w:szCs w:val="24"/>
        </w:rPr>
      </w:pPr>
      <w:r w:rsidRPr="00C92F91">
        <w:rPr>
          <w:i/>
          <w:sz w:val="24"/>
          <w:szCs w:val="24"/>
        </w:rPr>
        <w:t>Ældre</w:t>
      </w:r>
    </w:p>
    <w:p w14:paraId="6B308B39" w14:textId="77777777" w:rsidR="00941E14" w:rsidRPr="00941E14" w:rsidRDefault="00941E14" w:rsidP="00941E14">
      <w:pPr>
        <w:tabs>
          <w:tab w:val="left" w:pos="851"/>
        </w:tabs>
        <w:ind w:left="851"/>
        <w:rPr>
          <w:sz w:val="24"/>
          <w:szCs w:val="24"/>
        </w:rPr>
      </w:pPr>
      <w:r w:rsidRPr="00941E14">
        <w:rPr>
          <w:sz w:val="24"/>
          <w:szCs w:val="24"/>
        </w:rPr>
        <w:t xml:space="preserve">Efter applikation af lidocain/prilocain på intakt hud er plasmakoncentrationerne af lidocain og prilocain meget lave og et godt stykke under de potentielt toksiske niveauer hos både geriatriske og ikke-geriatriske patienter. </w:t>
      </w:r>
    </w:p>
    <w:p w14:paraId="405A0C02" w14:textId="6B00F7FC" w:rsidR="00941E14" w:rsidRPr="00941E14" w:rsidRDefault="00941E14" w:rsidP="00941E14">
      <w:pPr>
        <w:tabs>
          <w:tab w:val="left" w:pos="851"/>
        </w:tabs>
        <w:ind w:left="851"/>
        <w:rPr>
          <w:sz w:val="24"/>
          <w:szCs w:val="24"/>
        </w:rPr>
      </w:pPr>
      <w:r w:rsidRPr="00941E14">
        <w:rPr>
          <w:sz w:val="24"/>
          <w:szCs w:val="24"/>
        </w:rPr>
        <w:t xml:space="preserve">Efter gentaget applikation af lidocain/prilocain </w:t>
      </w:r>
      <w:r w:rsidR="00A835A6">
        <w:rPr>
          <w:sz w:val="24"/>
          <w:szCs w:val="24"/>
        </w:rPr>
        <w:t>daglig</w:t>
      </w:r>
      <w:r w:rsidRPr="00941E14">
        <w:rPr>
          <w:sz w:val="24"/>
          <w:szCs w:val="24"/>
        </w:rPr>
        <w:t xml:space="preserve"> i 10 fortløbende dage afhænger den maksimale plasmakoncentration ikke af patientens alder, men er betydeligt (p&lt;0,01) forbundet med størrelsen på det anvendte område.</w:t>
      </w:r>
    </w:p>
    <w:p w14:paraId="598B7DC5" w14:textId="77777777" w:rsidR="00941E14" w:rsidRPr="00941E14" w:rsidRDefault="00941E14" w:rsidP="00941E14">
      <w:pPr>
        <w:tabs>
          <w:tab w:val="left" w:pos="851"/>
        </w:tabs>
        <w:ind w:left="851"/>
        <w:rPr>
          <w:sz w:val="24"/>
          <w:szCs w:val="24"/>
        </w:rPr>
      </w:pPr>
    </w:p>
    <w:p w14:paraId="5764CEA0" w14:textId="77777777" w:rsidR="00941E14" w:rsidRPr="00C92F91" w:rsidRDefault="00941E14" w:rsidP="00941E14">
      <w:pPr>
        <w:tabs>
          <w:tab w:val="left" w:pos="851"/>
        </w:tabs>
        <w:ind w:left="851"/>
        <w:rPr>
          <w:i/>
          <w:sz w:val="24"/>
          <w:szCs w:val="24"/>
        </w:rPr>
      </w:pPr>
      <w:r w:rsidRPr="00C92F91">
        <w:rPr>
          <w:i/>
          <w:sz w:val="24"/>
          <w:szCs w:val="24"/>
        </w:rPr>
        <w:t>Pædiatrisk population</w:t>
      </w:r>
    </w:p>
    <w:p w14:paraId="5157A4B8" w14:textId="77777777" w:rsidR="00941E14" w:rsidRPr="00941E14" w:rsidRDefault="00941E14" w:rsidP="00941E14">
      <w:pPr>
        <w:tabs>
          <w:tab w:val="left" w:pos="851"/>
        </w:tabs>
        <w:ind w:left="851"/>
        <w:rPr>
          <w:sz w:val="24"/>
          <w:szCs w:val="24"/>
        </w:rPr>
      </w:pPr>
      <w:r w:rsidRPr="00941E14">
        <w:rPr>
          <w:sz w:val="24"/>
          <w:szCs w:val="24"/>
        </w:rPr>
        <w:t>De maksimale plasmakoncentrationer af lidocain og prilocain efter applikation af lidocain/prilocain hos pædiatriske patienter i forskellige aldersgrupper var ligeledes under de potentielt toksiske niveauer, jf. tabel 4.</w:t>
      </w:r>
    </w:p>
    <w:p w14:paraId="2A570375" w14:textId="77777777" w:rsidR="00941E14" w:rsidRPr="00941E14" w:rsidRDefault="00941E14" w:rsidP="00941E14">
      <w:pPr>
        <w:tabs>
          <w:tab w:val="left" w:pos="851"/>
        </w:tabs>
        <w:ind w:left="851"/>
        <w:rPr>
          <w:sz w:val="24"/>
          <w:szCs w:val="24"/>
        </w:rPr>
      </w:pPr>
    </w:p>
    <w:p w14:paraId="672C6675" w14:textId="77777777" w:rsidR="00941E14" w:rsidRPr="00941E14" w:rsidRDefault="00941E14" w:rsidP="00941E14">
      <w:pPr>
        <w:tabs>
          <w:tab w:val="left" w:pos="851"/>
        </w:tabs>
        <w:ind w:left="851"/>
        <w:rPr>
          <w:b/>
          <w:bCs/>
          <w:sz w:val="24"/>
          <w:szCs w:val="24"/>
        </w:rPr>
      </w:pPr>
      <w:r w:rsidRPr="00941E14">
        <w:rPr>
          <w:b/>
          <w:sz w:val="24"/>
          <w:szCs w:val="24"/>
        </w:rPr>
        <w:t xml:space="preserve">Tabel 4 - Plasmakoncentrationer af lidocain og prilocain hos pædiatriske </w:t>
      </w:r>
      <w:r w:rsidRPr="00941E14">
        <w:rPr>
          <w:b/>
          <w:bCs/>
          <w:sz w:val="24"/>
          <w:szCs w:val="24"/>
        </w:rPr>
        <w:t xml:space="preserve">patienter i alderen fra 0 måneder til 8 år </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5"/>
        <w:gridCol w:w="1984"/>
        <w:gridCol w:w="1418"/>
        <w:gridCol w:w="1275"/>
      </w:tblGrid>
      <w:tr w:rsidR="00941E14" w:rsidRPr="00941E14" w14:paraId="64101AC9" w14:textId="77777777" w:rsidTr="008125E2">
        <w:tc>
          <w:tcPr>
            <w:tcW w:w="1559" w:type="dxa"/>
            <w:tcBorders>
              <w:top w:val="single" w:sz="4" w:space="0" w:color="auto"/>
              <w:left w:val="single" w:sz="4" w:space="0" w:color="auto"/>
              <w:bottom w:val="single" w:sz="4" w:space="0" w:color="auto"/>
              <w:right w:val="single" w:sz="4" w:space="0" w:color="auto"/>
            </w:tcBorders>
            <w:vAlign w:val="center"/>
            <w:hideMark/>
          </w:tcPr>
          <w:p w14:paraId="2D63973B" w14:textId="77777777" w:rsidR="00941E14" w:rsidRPr="00941E14" w:rsidRDefault="00941E14" w:rsidP="00941E14">
            <w:pPr>
              <w:ind w:left="33"/>
              <w:rPr>
                <w:b/>
                <w:sz w:val="24"/>
                <w:szCs w:val="24"/>
              </w:rPr>
            </w:pPr>
            <w:r w:rsidRPr="00941E14">
              <w:rPr>
                <w:b/>
                <w:sz w:val="24"/>
                <w:szCs w:val="24"/>
              </w:rPr>
              <w:t>Alder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AD8E85" w14:textId="77777777" w:rsidR="00941E14" w:rsidRPr="00941E14" w:rsidRDefault="00941E14" w:rsidP="00941E14">
            <w:pPr>
              <w:ind w:left="32"/>
              <w:rPr>
                <w:b/>
                <w:sz w:val="24"/>
                <w:szCs w:val="24"/>
              </w:rPr>
            </w:pPr>
            <w:r w:rsidRPr="00941E14">
              <w:rPr>
                <w:b/>
                <w:sz w:val="24"/>
                <w:szCs w:val="24"/>
              </w:rPr>
              <w:t>Appliceret mængde creme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D416738" w14:textId="77777777" w:rsidR="00941E14" w:rsidRPr="00941E14" w:rsidRDefault="00941E14" w:rsidP="008125E2">
            <w:pPr>
              <w:ind w:left="35"/>
              <w:rPr>
                <w:b/>
                <w:sz w:val="24"/>
                <w:szCs w:val="24"/>
              </w:rPr>
            </w:pPr>
            <w:r w:rsidRPr="00941E14">
              <w:rPr>
                <w:b/>
                <w:sz w:val="24"/>
                <w:szCs w:val="24"/>
              </w:rPr>
              <w:t>Cremens applikationstid på huden</w:t>
            </w:r>
          </w:p>
        </w:tc>
        <w:tc>
          <w:tcPr>
            <w:tcW w:w="2693" w:type="dxa"/>
            <w:gridSpan w:val="2"/>
            <w:tcBorders>
              <w:top w:val="single" w:sz="4" w:space="0" w:color="auto"/>
              <w:left w:val="single" w:sz="4" w:space="0" w:color="auto"/>
              <w:bottom w:val="single" w:sz="4" w:space="0" w:color="auto"/>
              <w:right w:val="single" w:sz="4" w:space="0" w:color="auto"/>
            </w:tcBorders>
            <w:hideMark/>
          </w:tcPr>
          <w:p w14:paraId="5121C68E" w14:textId="77777777" w:rsidR="00941E14" w:rsidRPr="00941E14" w:rsidRDefault="00941E14" w:rsidP="008125E2">
            <w:pPr>
              <w:rPr>
                <w:b/>
                <w:sz w:val="24"/>
                <w:szCs w:val="24"/>
                <w:lang w:val="fr-FR"/>
              </w:rPr>
            </w:pPr>
            <w:r w:rsidRPr="00941E14">
              <w:rPr>
                <w:b/>
                <w:sz w:val="24"/>
                <w:szCs w:val="24"/>
                <w:lang w:val="fr-FR"/>
              </w:rPr>
              <w:t>Plasmakoncentration [ng/ml]</w:t>
            </w:r>
          </w:p>
          <w:p w14:paraId="17CB0F21" w14:textId="77777777" w:rsidR="00941E14" w:rsidRPr="00941E14" w:rsidRDefault="00941E14" w:rsidP="008125E2">
            <w:pPr>
              <w:rPr>
                <w:b/>
                <w:sz w:val="24"/>
                <w:szCs w:val="24"/>
                <w:lang w:val="fr-FR"/>
              </w:rPr>
            </w:pPr>
            <w:r w:rsidRPr="00941E14">
              <w:rPr>
                <w:b/>
                <w:sz w:val="24"/>
                <w:szCs w:val="24"/>
                <w:lang w:val="fr-FR"/>
              </w:rPr>
              <w:t>Lidocain        Prilocain</w:t>
            </w:r>
          </w:p>
        </w:tc>
      </w:tr>
      <w:tr w:rsidR="00941E14" w:rsidRPr="00941E14" w14:paraId="769C77A5" w14:textId="77777777" w:rsidTr="008125E2">
        <w:tc>
          <w:tcPr>
            <w:tcW w:w="1559" w:type="dxa"/>
            <w:tcBorders>
              <w:top w:val="single" w:sz="4" w:space="0" w:color="auto"/>
              <w:left w:val="single" w:sz="4" w:space="0" w:color="auto"/>
              <w:bottom w:val="single" w:sz="4" w:space="0" w:color="auto"/>
              <w:right w:val="single" w:sz="4" w:space="0" w:color="auto"/>
            </w:tcBorders>
            <w:hideMark/>
          </w:tcPr>
          <w:p w14:paraId="58E07AE4" w14:textId="77777777" w:rsidR="00941E14" w:rsidRPr="00941E14" w:rsidRDefault="00941E14" w:rsidP="00941E14">
            <w:pPr>
              <w:ind w:left="33"/>
              <w:rPr>
                <w:sz w:val="24"/>
                <w:szCs w:val="24"/>
              </w:rPr>
            </w:pPr>
            <w:r w:rsidRPr="00941E14">
              <w:rPr>
                <w:sz w:val="24"/>
                <w:szCs w:val="24"/>
              </w:rPr>
              <w:t>0-3 måneder</w:t>
            </w:r>
          </w:p>
        </w:tc>
        <w:tc>
          <w:tcPr>
            <w:tcW w:w="1985" w:type="dxa"/>
            <w:tcBorders>
              <w:top w:val="single" w:sz="4" w:space="0" w:color="auto"/>
              <w:left w:val="single" w:sz="4" w:space="0" w:color="auto"/>
              <w:bottom w:val="single" w:sz="4" w:space="0" w:color="auto"/>
              <w:right w:val="single" w:sz="4" w:space="0" w:color="auto"/>
            </w:tcBorders>
            <w:hideMark/>
          </w:tcPr>
          <w:p w14:paraId="36D76FEB" w14:textId="77777777" w:rsidR="00941E14" w:rsidRPr="00941E14" w:rsidRDefault="00941E14" w:rsidP="00941E14">
            <w:pPr>
              <w:ind w:left="32"/>
              <w:rPr>
                <w:sz w:val="24"/>
                <w:szCs w:val="24"/>
              </w:rPr>
            </w:pPr>
            <w:r w:rsidRPr="00941E14">
              <w:rPr>
                <w:sz w:val="24"/>
                <w:szCs w:val="24"/>
              </w:rPr>
              <w:t>1 g/10 cm²</w:t>
            </w:r>
          </w:p>
        </w:tc>
        <w:tc>
          <w:tcPr>
            <w:tcW w:w="1984" w:type="dxa"/>
            <w:tcBorders>
              <w:top w:val="single" w:sz="4" w:space="0" w:color="auto"/>
              <w:left w:val="single" w:sz="4" w:space="0" w:color="auto"/>
              <w:bottom w:val="single" w:sz="4" w:space="0" w:color="auto"/>
              <w:right w:val="single" w:sz="4" w:space="0" w:color="auto"/>
            </w:tcBorders>
            <w:hideMark/>
          </w:tcPr>
          <w:p w14:paraId="01ED6437" w14:textId="77777777" w:rsidR="00941E14" w:rsidRPr="00941E14" w:rsidRDefault="00941E14" w:rsidP="008125E2">
            <w:pPr>
              <w:ind w:left="35"/>
              <w:rPr>
                <w:sz w:val="24"/>
                <w:szCs w:val="24"/>
              </w:rPr>
            </w:pPr>
            <w:r w:rsidRPr="00941E14">
              <w:rPr>
                <w:sz w:val="24"/>
                <w:szCs w:val="24"/>
              </w:rPr>
              <w:t>1 time</w:t>
            </w:r>
          </w:p>
        </w:tc>
        <w:tc>
          <w:tcPr>
            <w:tcW w:w="1418" w:type="dxa"/>
            <w:tcBorders>
              <w:top w:val="single" w:sz="4" w:space="0" w:color="auto"/>
              <w:left w:val="single" w:sz="4" w:space="0" w:color="auto"/>
              <w:bottom w:val="nil"/>
              <w:right w:val="nil"/>
            </w:tcBorders>
            <w:hideMark/>
          </w:tcPr>
          <w:p w14:paraId="0B2A3D4B" w14:textId="77777777" w:rsidR="00941E14" w:rsidRPr="00941E14" w:rsidRDefault="00941E14" w:rsidP="008125E2">
            <w:pPr>
              <w:rPr>
                <w:sz w:val="24"/>
                <w:szCs w:val="24"/>
              </w:rPr>
            </w:pPr>
            <w:r w:rsidRPr="00941E14">
              <w:rPr>
                <w:sz w:val="24"/>
                <w:szCs w:val="24"/>
              </w:rPr>
              <w:t>135</w:t>
            </w:r>
          </w:p>
        </w:tc>
        <w:tc>
          <w:tcPr>
            <w:tcW w:w="1275" w:type="dxa"/>
            <w:tcBorders>
              <w:top w:val="single" w:sz="4" w:space="0" w:color="auto"/>
              <w:left w:val="nil"/>
              <w:bottom w:val="nil"/>
              <w:right w:val="single" w:sz="4" w:space="0" w:color="auto"/>
            </w:tcBorders>
            <w:hideMark/>
          </w:tcPr>
          <w:p w14:paraId="6E7E1946" w14:textId="77777777" w:rsidR="00941E14" w:rsidRPr="00941E14" w:rsidRDefault="00941E14" w:rsidP="008125E2">
            <w:pPr>
              <w:rPr>
                <w:sz w:val="24"/>
                <w:szCs w:val="24"/>
              </w:rPr>
            </w:pPr>
            <w:r w:rsidRPr="00941E14">
              <w:rPr>
                <w:sz w:val="24"/>
                <w:szCs w:val="24"/>
              </w:rPr>
              <w:t>107</w:t>
            </w:r>
          </w:p>
        </w:tc>
      </w:tr>
      <w:tr w:rsidR="00941E14" w:rsidRPr="00941E14" w14:paraId="1F4DA5B9" w14:textId="77777777" w:rsidTr="008125E2">
        <w:tc>
          <w:tcPr>
            <w:tcW w:w="1559" w:type="dxa"/>
            <w:tcBorders>
              <w:top w:val="single" w:sz="4" w:space="0" w:color="auto"/>
              <w:left w:val="single" w:sz="4" w:space="0" w:color="auto"/>
              <w:bottom w:val="single" w:sz="4" w:space="0" w:color="auto"/>
              <w:right w:val="single" w:sz="4" w:space="0" w:color="auto"/>
            </w:tcBorders>
            <w:hideMark/>
          </w:tcPr>
          <w:p w14:paraId="6BA6F524" w14:textId="77777777" w:rsidR="00941E14" w:rsidRPr="00941E14" w:rsidRDefault="00941E14" w:rsidP="00941E14">
            <w:pPr>
              <w:ind w:left="33"/>
              <w:rPr>
                <w:sz w:val="24"/>
                <w:szCs w:val="24"/>
              </w:rPr>
            </w:pPr>
            <w:r w:rsidRPr="00941E14">
              <w:rPr>
                <w:sz w:val="24"/>
                <w:szCs w:val="24"/>
              </w:rPr>
              <w:t>3-12 måneder</w:t>
            </w:r>
          </w:p>
        </w:tc>
        <w:tc>
          <w:tcPr>
            <w:tcW w:w="1985" w:type="dxa"/>
            <w:tcBorders>
              <w:top w:val="single" w:sz="4" w:space="0" w:color="auto"/>
              <w:left w:val="single" w:sz="4" w:space="0" w:color="auto"/>
              <w:bottom w:val="single" w:sz="4" w:space="0" w:color="auto"/>
              <w:right w:val="single" w:sz="4" w:space="0" w:color="auto"/>
            </w:tcBorders>
            <w:hideMark/>
          </w:tcPr>
          <w:p w14:paraId="7F175E2F" w14:textId="77777777" w:rsidR="00941E14" w:rsidRPr="00941E14" w:rsidRDefault="00941E14" w:rsidP="00941E14">
            <w:pPr>
              <w:ind w:left="32"/>
              <w:rPr>
                <w:sz w:val="24"/>
                <w:szCs w:val="24"/>
              </w:rPr>
            </w:pPr>
            <w:r w:rsidRPr="00941E14">
              <w:rPr>
                <w:sz w:val="24"/>
                <w:szCs w:val="24"/>
              </w:rPr>
              <w:t>2 g/16 cm²</w:t>
            </w:r>
          </w:p>
        </w:tc>
        <w:tc>
          <w:tcPr>
            <w:tcW w:w="1984" w:type="dxa"/>
            <w:tcBorders>
              <w:top w:val="single" w:sz="4" w:space="0" w:color="auto"/>
              <w:left w:val="single" w:sz="4" w:space="0" w:color="auto"/>
              <w:bottom w:val="single" w:sz="4" w:space="0" w:color="auto"/>
              <w:right w:val="single" w:sz="4" w:space="0" w:color="auto"/>
            </w:tcBorders>
            <w:hideMark/>
          </w:tcPr>
          <w:p w14:paraId="3E8537DF" w14:textId="77777777" w:rsidR="00941E14" w:rsidRPr="00941E14" w:rsidRDefault="00941E14" w:rsidP="008125E2">
            <w:pPr>
              <w:ind w:left="35"/>
              <w:rPr>
                <w:sz w:val="24"/>
                <w:szCs w:val="24"/>
              </w:rPr>
            </w:pPr>
            <w:r w:rsidRPr="00941E14">
              <w:rPr>
                <w:sz w:val="24"/>
                <w:szCs w:val="24"/>
              </w:rPr>
              <w:t>4 timer</w:t>
            </w:r>
          </w:p>
        </w:tc>
        <w:tc>
          <w:tcPr>
            <w:tcW w:w="1418" w:type="dxa"/>
            <w:tcBorders>
              <w:top w:val="nil"/>
              <w:left w:val="single" w:sz="4" w:space="0" w:color="auto"/>
              <w:bottom w:val="nil"/>
              <w:right w:val="nil"/>
            </w:tcBorders>
            <w:hideMark/>
          </w:tcPr>
          <w:p w14:paraId="17BD3729" w14:textId="77777777" w:rsidR="00941E14" w:rsidRPr="00941E14" w:rsidRDefault="00941E14" w:rsidP="008125E2">
            <w:pPr>
              <w:rPr>
                <w:sz w:val="24"/>
                <w:szCs w:val="24"/>
              </w:rPr>
            </w:pPr>
            <w:r w:rsidRPr="00941E14">
              <w:rPr>
                <w:sz w:val="24"/>
                <w:szCs w:val="24"/>
              </w:rPr>
              <w:t>155</w:t>
            </w:r>
          </w:p>
        </w:tc>
        <w:tc>
          <w:tcPr>
            <w:tcW w:w="1275" w:type="dxa"/>
            <w:tcBorders>
              <w:top w:val="nil"/>
              <w:left w:val="nil"/>
              <w:bottom w:val="nil"/>
              <w:right w:val="single" w:sz="4" w:space="0" w:color="auto"/>
            </w:tcBorders>
            <w:hideMark/>
          </w:tcPr>
          <w:p w14:paraId="50F9EEDE" w14:textId="77777777" w:rsidR="00941E14" w:rsidRPr="00941E14" w:rsidRDefault="00941E14" w:rsidP="008125E2">
            <w:pPr>
              <w:rPr>
                <w:sz w:val="24"/>
                <w:szCs w:val="24"/>
              </w:rPr>
            </w:pPr>
            <w:r w:rsidRPr="00941E14">
              <w:rPr>
                <w:sz w:val="24"/>
                <w:szCs w:val="24"/>
              </w:rPr>
              <w:t>131</w:t>
            </w:r>
          </w:p>
        </w:tc>
      </w:tr>
      <w:tr w:rsidR="00941E14" w:rsidRPr="00941E14" w14:paraId="6EFD6F23" w14:textId="77777777" w:rsidTr="008125E2">
        <w:tc>
          <w:tcPr>
            <w:tcW w:w="1559" w:type="dxa"/>
            <w:tcBorders>
              <w:top w:val="single" w:sz="4" w:space="0" w:color="auto"/>
              <w:left w:val="single" w:sz="4" w:space="0" w:color="auto"/>
              <w:bottom w:val="single" w:sz="4" w:space="0" w:color="auto"/>
              <w:right w:val="single" w:sz="4" w:space="0" w:color="auto"/>
            </w:tcBorders>
            <w:hideMark/>
          </w:tcPr>
          <w:p w14:paraId="00DB7357" w14:textId="77777777" w:rsidR="00941E14" w:rsidRPr="00941E14" w:rsidRDefault="00941E14" w:rsidP="00941E14">
            <w:pPr>
              <w:ind w:left="33"/>
              <w:rPr>
                <w:sz w:val="24"/>
                <w:szCs w:val="24"/>
              </w:rPr>
            </w:pPr>
            <w:r w:rsidRPr="00941E14">
              <w:rPr>
                <w:sz w:val="24"/>
                <w:szCs w:val="24"/>
              </w:rPr>
              <w:t>2-3 år</w:t>
            </w:r>
          </w:p>
        </w:tc>
        <w:tc>
          <w:tcPr>
            <w:tcW w:w="1985" w:type="dxa"/>
            <w:tcBorders>
              <w:top w:val="single" w:sz="4" w:space="0" w:color="auto"/>
              <w:left w:val="single" w:sz="4" w:space="0" w:color="auto"/>
              <w:bottom w:val="single" w:sz="4" w:space="0" w:color="auto"/>
              <w:right w:val="single" w:sz="4" w:space="0" w:color="auto"/>
            </w:tcBorders>
            <w:hideMark/>
          </w:tcPr>
          <w:p w14:paraId="7DE48EDE" w14:textId="77777777" w:rsidR="00941E14" w:rsidRPr="00941E14" w:rsidRDefault="00941E14" w:rsidP="00941E14">
            <w:pPr>
              <w:ind w:left="32"/>
              <w:rPr>
                <w:sz w:val="24"/>
                <w:szCs w:val="24"/>
              </w:rPr>
            </w:pPr>
            <w:r w:rsidRPr="00941E14">
              <w:rPr>
                <w:sz w:val="24"/>
                <w:szCs w:val="24"/>
              </w:rPr>
              <w:t>10 g/100 cm²</w:t>
            </w:r>
          </w:p>
        </w:tc>
        <w:tc>
          <w:tcPr>
            <w:tcW w:w="1984" w:type="dxa"/>
            <w:tcBorders>
              <w:top w:val="single" w:sz="4" w:space="0" w:color="auto"/>
              <w:left w:val="single" w:sz="4" w:space="0" w:color="auto"/>
              <w:bottom w:val="single" w:sz="4" w:space="0" w:color="auto"/>
              <w:right w:val="single" w:sz="4" w:space="0" w:color="auto"/>
            </w:tcBorders>
            <w:hideMark/>
          </w:tcPr>
          <w:p w14:paraId="4449D8AE" w14:textId="77777777" w:rsidR="00941E14" w:rsidRPr="00941E14" w:rsidRDefault="00941E14" w:rsidP="008125E2">
            <w:pPr>
              <w:ind w:left="35"/>
              <w:rPr>
                <w:sz w:val="24"/>
                <w:szCs w:val="24"/>
              </w:rPr>
            </w:pPr>
            <w:r w:rsidRPr="00941E14">
              <w:rPr>
                <w:sz w:val="24"/>
                <w:szCs w:val="24"/>
              </w:rPr>
              <w:t>2 timer</w:t>
            </w:r>
          </w:p>
        </w:tc>
        <w:tc>
          <w:tcPr>
            <w:tcW w:w="1418" w:type="dxa"/>
            <w:tcBorders>
              <w:top w:val="nil"/>
              <w:left w:val="single" w:sz="4" w:space="0" w:color="auto"/>
              <w:bottom w:val="nil"/>
              <w:right w:val="nil"/>
            </w:tcBorders>
            <w:hideMark/>
          </w:tcPr>
          <w:p w14:paraId="600A5E28" w14:textId="77777777" w:rsidR="00941E14" w:rsidRPr="00941E14" w:rsidRDefault="00941E14" w:rsidP="008125E2">
            <w:pPr>
              <w:rPr>
                <w:sz w:val="24"/>
                <w:szCs w:val="24"/>
              </w:rPr>
            </w:pPr>
            <w:r w:rsidRPr="00941E14">
              <w:rPr>
                <w:sz w:val="24"/>
                <w:szCs w:val="24"/>
              </w:rPr>
              <w:t>315</w:t>
            </w:r>
          </w:p>
        </w:tc>
        <w:tc>
          <w:tcPr>
            <w:tcW w:w="1275" w:type="dxa"/>
            <w:tcBorders>
              <w:top w:val="nil"/>
              <w:left w:val="nil"/>
              <w:bottom w:val="nil"/>
              <w:right w:val="single" w:sz="4" w:space="0" w:color="auto"/>
            </w:tcBorders>
            <w:hideMark/>
          </w:tcPr>
          <w:p w14:paraId="08CB014C" w14:textId="77777777" w:rsidR="00941E14" w:rsidRPr="00941E14" w:rsidRDefault="00941E14" w:rsidP="008125E2">
            <w:pPr>
              <w:rPr>
                <w:sz w:val="24"/>
                <w:szCs w:val="24"/>
              </w:rPr>
            </w:pPr>
            <w:r w:rsidRPr="00941E14">
              <w:rPr>
                <w:sz w:val="24"/>
                <w:szCs w:val="24"/>
              </w:rPr>
              <w:t>215</w:t>
            </w:r>
          </w:p>
        </w:tc>
      </w:tr>
      <w:tr w:rsidR="00941E14" w:rsidRPr="00941E14" w14:paraId="0CF9B434" w14:textId="77777777" w:rsidTr="008125E2">
        <w:tc>
          <w:tcPr>
            <w:tcW w:w="1559" w:type="dxa"/>
            <w:tcBorders>
              <w:top w:val="single" w:sz="4" w:space="0" w:color="auto"/>
              <w:left w:val="single" w:sz="4" w:space="0" w:color="auto"/>
              <w:bottom w:val="single" w:sz="4" w:space="0" w:color="auto"/>
              <w:right w:val="single" w:sz="4" w:space="0" w:color="auto"/>
            </w:tcBorders>
            <w:hideMark/>
          </w:tcPr>
          <w:p w14:paraId="0B9D8A34" w14:textId="77777777" w:rsidR="00941E14" w:rsidRPr="00941E14" w:rsidRDefault="00941E14" w:rsidP="00941E14">
            <w:pPr>
              <w:ind w:left="33"/>
              <w:rPr>
                <w:sz w:val="24"/>
                <w:szCs w:val="24"/>
              </w:rPr>
            </w:pPr>
            <w:r w:rsidRPr="00941E14">
              <w:rPr>
                <w:sz w:val="24"/>
                <w:szCs w:val="24"/>
              </w:rPr>
              <w:t>6-8 år</w:t>
            </w:r>
          </w:p>
        </w:tc>
        <w:tc>
          <w:tcPr>
            <w:tcW w:w="1985" w:type="dxa"/>
            <w:tcBorders>
              <w:top w:val="single" w:sz="4" w:space="0" w:color="auto"/>
              <w:left w:val="single" w:sz="4" w:space="0" w:color="auto"/>
              <w:bottom w:val="single" w:sz="4" w:space="0" w:color="auto"/>
              <w:right w:val="single" w:sz="4" w:space="0" w:color="auto"/>
            </w:tcBorders>
            <w:hideMark/>
          </w:tcPr>
          <w:p w14:paraId="35CBA35D" w14:textId="77777777" w:rsidR="00941E14" w:rsidRPr="00941E14" w:rsidRDefault="00941E14" w:rsidP="00941E14">
            <w:pPr>
              <w:ind w:left="32"/>
              <w:rPr>
                <w:sz w:val="24"/>
                <w:szCs w:val="24"/>
              </w:rPr>
            </w:pPr>
            <w:r w:rsidRPr="00941E14">
              <w:rPr>
                <w:sz w:val="24"/>
                <w:szCs w:val="24"/>
              </w:rPr>
              <w:t>10-16 g/100-160 cm² (1 g/10 cm²)</w:t>
            </w:r>
          </w:p>
        </w:tc>
        <w:tc>
          <w:tcPr>
            <w:tcW w:w="1984" w:type="dxa"/>
            <w:tcBorders>
              <w:top w:val="single" w:sz="4" w:space="0" w:color="auto"/>
              <w:left w:val="single" w:sz="4" w:space="0" w:color="auto"/>
              <w:bottom w:val="single" w:sz="4" w:space="0" w:color="auto"/>
              <w:right w:val="single" w:sz="4" w:space="0" w:color="auto"/>
            </w:tcBorders>
            <w:hideMark/>
          </w:tcPr>
          <w:p w14:paraId="604702A5" w14:textId="77777777" w:rsidR="00941E14" w:rsidRPr="00941E14" w:rsidRDefault="00941E14" w:rsidP="008125E2">
            <w:pPr>
              <w:ind w:left="35"/>
              <w:rPr>
                <w:sz w:val="24"/>
                <w:szCs w:val="24"/>
              </w:rPr>
            </w:pPr>
            <w:r w:rsidRPr="00941E14">
              <w:rPr>
                <w:sz w:val="24"/>
                <w:szCs w:val="24"/>
              </w:rPr>
              <w:t>2 timer</w:t>
            </w:r>
          </w:p>
        </w:tc>
        <w:tc>
          <w:tcPr>
            <w:tcW w:w="1418" w:type="dxa"/>
            <w:tcBorders>
              <w:top w:val="nil"/>
              <w:left w:val="single" w:sz="4" w:space="0" w:color="auto"/>
              <w:bottom w:val="single" w:sz="4" w:space="0" w:color="auto"/>
              <w:right w:val="nil"/>
            </w:tcBorders>
            <w:hideMark/>
          </w:tcPr>
          <w:p w14:paraId="1F3D684F" w14:textId="77777777" w:rsidR="00941E14" w:rsidRPr="00941E14" w:rsidRDefault="00941E14" w:rsidP="008125E2">
            <w:pPr>
              <w:rPr>
                <w:sz w:val="24"/>
                <w:szCs w:val="24"/>
              </w:rPr>
            </w:pPr>
            <w:r w:rsidRPr="00941E14">
              <w:rPr>
                <w:sz w:val="24"/>
                <w:szCs w:val="24"/>
              </w:rPr>
              <w:t>299</w:t>
            </w:r>
          </w:p>
        </w:tc>
        <w:tc>
          <w:tcPr>
            <w:tcW w:w="1275" w:type="dxa"/>
            <w:tcBorders>
              <w:top w:val="nil"/>
              <w:left w:val="nil"/>
              <w:bottom w:val="single" w:sz="4" w:space="0" w:color="auto"/>
              <w:right w:val="single" w:sz="4" w:space="0" w:color="auto"/>
            </w:tcBorders>
            <w:hideMark/>
          </w:tcPr>
          <w:p w14:paraId="11D7558D" w14:textId="77777777" w:rsidR="00941E14" w:rsidRPr="00941E14" w:rsidRDefault="00941E14" w:rsidP="008125E2">
            <w:pPr>
              <w:rPr>
                <w:sz w:val="24"/>
                <w:szCs w:val="24"/>
              </w:rPr>
            </w:pPr>
            <w:r w:rsidRPr="00941E14">
              <w:rPr>
                <w:sz w:val="24"/>
                <w:szCs w:val="24"/>
              </w:rPr>
              <w:t>110</w:t>
            </w:r>
          </w:p>
        </w:tc>
      </w:tr>
    </w:tbl>
    <w:p w14:paraId="6282E849" w14:textId="77777777" w:rsidR="00941E14" w:rsidRPr="00941E14" w:rsidRDefault="00941E14" w:rsidP="00941E14">
      <w:pPr>
        <w:tabs>
          <w:tab w:val="left" w:pos="851"/>
        </w:tabs>
        <w:ind w:left="851"/>
        <w:rPr>
          <w:iCs/>
          <w:sz w:val="24"/>
          <w:szCs w:val="24"/>
        </w:rPr>
      </w:pPr>
    </w:p>
    <w:p w14:paraId="5316179A"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11945C0B" w14:textId="77777777" w:rsidR="006C2D5E" w:rsidRPr="006C2D5E" w:rsidRDefault="006C2D5E" w:rsidP="006C2D5E">
      <w:pPr>
        <w:tabs>
          <w:tab w:val="left" w:pos="851"/>
        </w:tabs>
        <w:ind w:left="851"/>
        <w:rPr>
          <w:sz w:val="24"/>
          <w:szCs w:val="24"/>
        </w:rPr>
      </w:pPr>
      <w:r w:rsidRPr="006C2D5E">
        <w:rPr>
          <w:sz w:val="24"/>
          <w:szCs w:val="24"/>
        </w:rPr>
        <w:t xml:space="preserve">Efter brug af høje doser af enten lidocain eller prilocain alene eller i kombination i dyreforsøg bestod den observerede toksicitet af virkninger på centralnervesystemet og det kardiovaskulære system. </w:t>
      </w:r>
    </w:p>
    <w:p w14:paraId="039BD775" w14:textId="77777777" w:rsidR="006C2D5E" w:rsidRPr="006C2D5E" w:rsidRDefault="006C2D5E" w:rsidP="006C2D5E">
      <w:pPr>
        <w:tabs>
          <w:tab w:val="left" w:pos="851"/>
        </w:tabs>
        <w:ind w:left="851"/>
        <w:rPr>
          <w:sz w:val="24"/>
          <w:szCs w:val="24"/>
        </w:rPr>
      </w:pPr>
    </w:p>
    <w:p w14:paraId="0CA56598" w14:textId="77777777" w:rsidR="006C2D5E" w:rsidRPr="006C2D5E" w:rsidRDefault="006C2D5E" w:rsidP="006C2D5E">
      <w:pPr>
        <w:tabs>
          <w:tab w:val="left" w:pos="851"/>
        </w:tabs>
        <w:ind w:left="851"/>
        <w:rPr>
          <w:sz w:val="24"/>
          <w:szCs w:val="24"/>
        </w:rPr>
      </w:pPr>
      <w:r w:rsidRPr="006C2D5E">
        <w:rPr>
          <w:sz w:val="24"/>
          <w:szCs w:val="24"/>
        </w:rPr>
        <w:t xml:space="preserve">Når lidocain og prilocain blev kombineret blev der kun set additive virkninger ingen tegn på synergi eller uventet toksicitet. </w:t>
      </w:r>
    </w:p>
    <w:p w14:paraId="403733A3" w14:textId="77777777" w:rsidR="006C2D5E" w:rsidRPr="006C2D5E" w:rsidRDefault="006C2D5E" w:rsidP="006C2D5E">
      <w:pPr>
        <w:tabs>
          <w:tab w:val="left" w:pos="851"/>
        </w:tabs>
        <w:ind w:left="851"/>
        <w:rPr>
          <w:sz w:val="24"/>
          <w:szCs w:val="24"/>
        </w:rPr>
      </w:pPr>
    </w:p>
    <w:p w14:paraId="20C4CFA1" w14:textId="77777777" w:rsidR="006C2D5E" w:rsidRPr="006C2D5E" w:rsidRDefault="006C2D5E" w:rsidP="006C2D5E">
      <w:pPr>
        <w:tabs>
          <w:tab w:val="left" w:pos="851"/>
        </w:tabs>
        <w:ind w:left="851"/>
        <w:rPr>
          <w:sz w:val="24"/>
          <w:szCs w:val="24"/>
        </w:rPr>
      </w:pPr>
      <w:r w:rsidRPr="006C2D5E">
        <w:rPr>
          <w:sz w:val="24"/>
          <w:szCs w:val="24"/>
        </w:rPr>
        <w:t xml:space="preserve">Begge aktive stoffer blev påvist at have lav oral akut toksicitet, hvilket giver en god sikkerhedsmargen i tilfælde af at lidocain/prilocain uforsætligt bliver indtaget gennem munden. </w:t>
      </w:r>
    </w:p>
    <w:p w14:paraId="395E1E0B" w14:textId="77777777" w:rsidR="006C2D5E" w:rsidRPr="006C2D5E" w:rsidRDefault="006C2D5E" w:rsidP="006C2D5E">
      <w:pPr>
        <w:tabs>
          <w:tab w:val="left" w:pos="851"/>
        </w:tabs>
        <w:ind w:left="851"/>
        <w:rPr>
          <w:sz w:val="24"/>
          <w:szCs w:val="24"/>
        </w:rPr>
      </w:pPr>
    </w:p>
    <w:p w14:paraId="6AB35B91" w14:textId="77777777" w:rsidR="006C2D5E" w:rsidRPr="006C2D5E" w:rsidRDefault="006C2D5E" w:rsidP="006C2D5E">
      <w:pPr>
        <w:tabs>
          <w:tab w:val="left" w:pos="851"/>
        </w:tabs>
        <w:ind w:left="851"/>
        <w:rPr>
          <w:sz w:val="24"/>
          <w:szCs w:val="24"/>
        </w:rPr>
      </w:pPr>
      <w:r w:rsidRPr="006C2D5E">
        <w:rPr>
          <w:sz w:val="24"/>
          <w:szCs w:val="24"/>
        </w:rPr>
        <w:t>I reproduktions-toksicitetsstudier blev der set embryotoksiske eller føtotoksiske virkninger af lidocain ved doser på 25 mg/kg subkutant hos kaniner, og af prilocain ved doser fra 100 mg/kg intramuskulært hos rotter. Den postnatale udvikling hos afkommet af rotter påvirkes ikke ved lidocaindoser under det maternelle toksiske interval. Der er ikke set nedsat fertilitet hos han- og hunrotter som følge af lidocain eller prilocain. Lidocain passerer placentamembranen ved simpel diffusion. Forholdet mellem den embryoføtale dosis og den maternelle plasmakoncentration er 0,4 til 1,3.</w:t>
      </w:r>
    </w:p>
    <w:p w14:paraId="7DCCC621" w14:textId="77777777" w:rsidR="006C2D5E" w:rsidRPr="006C2D5E" w:rsidRDefault="006C2D5E" w:rsidP="006C2D5E">
      <w:pPr>
        <w:tabs>
          <w:tab w:val="left" w:pos="851"/>
        </w:tabs>
        <w:ind w:left="851"/>
        <w:rPr>
          <w:sz w:val="24"/>
          <w:szCs w:val="24"/>
        </w:rPr>
      </w:pPr>
    </w:p>
    <w:p w14:paraId="33D9D4E1" w14:textId="77777777" w:rsidR="006C2D5E" w:rsidRPr="006C2D5E" w:rsidRDefault="006C2D5E" w:rsidP="006C2D5E">
      <w:pPr>
        <w:tabs>
          <w:tab w:val="left" w:pos="851"/>
        </w:tabs>
        <w:ind w:left="851"/>
        <w:rPr>
          <w:sz w:val="24"/>
          <w:szCs w:val="24"/>
        </w:rPr>
      </w:pPr>
      <w:r w:rsidRPr="006C2D5E">
        <w:rPr>
          <w:sz w:val="24"/>
          <w:szCs w:val="24"/>
        </w:rPr>
        <w:t xml:space="preserve">Ingen af lokalanæstesimidlerne udviste mutagent potentiale i in vitro- og in vivo-genotoksicitetstest. Som følge af indikationen og den terapeutiske varighed af disse aktive </w:t>
      </w:r>
      <w:r w:rsidRPr="006C2D5E">
        <w:rPr>
          <w:sz w:val="24"/>
          <w:szCs w:val="24"/>
        </w:rPr>
        <w:lastRenderedPageBreak/>
        <w:t xml:space="preserve">stoffer er der ikke udført karcinogenicitetsstudier hverken med lidocain eller prilocain alene eller i kombination. </w:t>
      </w:r>
    </w:p>
    <w:p w14:paraId="46C87D00" w14:textId="77777777" w:rsidR="006C2D5E" w:rsidRPr="006C2D5E" w:rsidRDefault="006C2D5E" w:rsidP="006C2D5E">
      <w:pPr>
        <w:tabs>
          <w:tab w:val="left" w:pos="851"/>
        </w:tabs>
        <w:ind w:left="851"/>
        <w:rPr>
          <w:sz w:val="24"/>
          <w:szCs w:val="24"/>
        </w:rPr>
      </w:pPr>
    </w:p>
    <w:p w14:paraId="14704ADC" w14:textId="77777777" w:rsidR="006C2D5E" w:rsidRPr="006C2D5E" w:rsidRDefault="006C2D5E" w:rsidP="006C2D5E">
      <w:pPr>
        <w:tabs>
          <w:tab w:val="left" w:pos="851"/>
        </w:tabs>
        <w:ind w:left="851"/>
        <w:rPr>
          <w:sz w:val="24"/>
          <w:szCs w:val="24"/>
        </w:rPr>
      </w:pPr>
      <w:r w:rsidRPr="006C2D5E">
        <w:rPr>
          <w:sz w:val="24"/>
          <w:szCs w:val="24"/>
        </w:rPr>
        <w:t>Lidocainmetabolitten 2,6-dimethylanilin og prilocainmetabolitten, o-toluidin, viste evidens for genotoksisk aktivitet. Disse metabolitter er påvist at have karcinogent potentiale i prækliniske toksikologistudier, der evaluerede kronisk eksponering. Risikovurderinger, der sammenligner den beregnede maksimale eksponering hos mennesker ved intermitterende brug af lidocain og prilocain med de eksponeringer, der blev brugt i prækliniske studier, viser en bred sikkerhedsmargen for klinisk brug.</w:t>
      </w:r>
    </w:p>
    <w:p w14:paraId="32F495F1" w14:textId="77777777" w:rsidR="006C2D5E" w:rsidRPr="006C2D5E" w:rsidRDefault="006C2D5E" w:rsidP="006C2D5E">
      <w:pPr>
        <w:tabs>
          <w:tab w:val="left" w:pos="851"/>
        </w:tabs>
        <w:ind w:left="851"/>
        <w:rPr>
          <w:sz w:val="24"/>
          <w:szCs w:val="24"/>
        </w:rPr>
      </w:pPr>
    </w:p>
    <w:p w14:paraId="6C2904FB" w14:textId="77777777" w:rsidR="006C2D5E" w:rsidRPr="006C2D5E" w:rsidRDefault="006C2D5E" w:rsidP="006C2D5E">
      <w:pPr>
        <w:tabs>
          <w:tab w:val="left" w:pos="851"/>
        </w:tabs>
        <w:ind w:left="851"/>
        <w:rPr>
          <w:sz w:val="24"/>
          <w:szCs w:val="24"/>
        </w:rPr>
      </w:pPr>
      <w:r w:rsidRPr="006C2D5E">
        <w:rPr>
          <w:sz w:val="24"/>
          <w:szCs w:val="24"/>
        </w:rPr>
        <w:t>Studier af lokal tolerance, hvor der blev anvendt en blanding af lidocain og prilocain i forholdet 1:1 (w/w) som emulsion, creme eller gel, viste, at disse formuleringer er veltolererede på intakt og beskadiget hud og slimhinder.</w:t>
      </w:r>
    </w:p>
    <w:p w14:paraId="7CB1077E" w14:textId="77777777" w:rsidR="006C2D5E" w:rsidRPr="006C2D5E" w:rsidRDefault="006C2D5E" w:rsidP="006C2D5E">
      <w:pPr>
        <w:tabs>
          <w:tab w:val="left" w:pos="851"/>
        </w:tabs>
        <w:ind w:left="851"/>
        <w:rPr>
          <w:sz w:val="24"/>
          <w:szCs w:val="24"/>
        </w:rPr>
      </w:pPr>
    </w:p>
    <w:p w14:paraId="2E7965C9" w14:textId="496141B6" w:rsidR="006C2D5E" w:rsidRPr="006C2D5E" w:rsidRDefault="006C2D5E" w:rsidP="006C2D5E">
      <w:pPr>
        <w:tabs>
          <w:tab w:val="left" w:pos="851"/>
        </w:tabs>
        <w:ind w:left="851"/>
        <w:rPr>
          <w:sz w:val="24"/>
          <w:szCs w:val="24"/>
        </w:rPr>
      </w:pPr>
      <w:r w:rsidRPr="006C2D5E">
        <w:rPr>
          <w:sz w:val="24"/>
          <w:szCs w:val="24"/>
        </w:rPr>
        <w:t>Der blev set en markant irritativ reaktion efter en enkelt okulær administration af 50 mg/g lidocain+prilocain 1:1 (w/w) emulsion i et dyrestudie. Dette er den samme koncentration af lokalanæstesimidlerne og en tilsvarende formulering som lidokain/prilokain plastre. Den okulære reaktion kan have været påvirket af den høje pH i emulsionsformuleringen (cirka 9), men skyldes formodentligt også delvist det irritative potentiale ved lokalanæstetika i sig selv.</w:t>
      </w:r>
    </w:p>
    <w:p w14:paraId="024290FD" w14:textId="77777777" w:rsidR="006C2D5E" w:rsidRPr="006C2D5E" w:rsidRDefault="006C2D5E" w:rsidP="006C2D5E">
      <w:pPr>
        <w:tabs>
          <w:tab w:val="left" w:pos="851"/>
        </w:tabs>
        <w:ind w:left="851"/>
        <w:rPr>
          <w:sz w:val="24"/>
          <w:szCs w:val="24"/>
        </w:rPr>
      </w:pPr>
    </w:p>
    <w:p w14:paraId="4EC0D988" w14:textId="77777777" w:rsidR="006C2D5E" w:rsidRPr="006C2D5E" w:rsidRDefault="006C2D5E" w:rsidP="006C2D5E">
      <w:pPr>
        <w:tabs>
          <w:tab w:val="left" w:pos="851"/>
        </w:tabs>
        <w:ind w:left="851"/>
        <w:rPr>
          <w:sz w:val="24"/>
          <w:szCs w:val="24"/>
        </w:rPr>
      </w:pPr>
      <w:r w:rsidRPr="006C2D5E">
        <w:rPr>
          <w:sz w:val="24"/>
          <w:szCs w:val="24"/>
        </w:rPr>
        <w:t>Prækliniske studier med klæbematerialet i plastrene førte ikke til anmærkninger.</w:t>
      </w:r>
    </w:p>
    <w:p w14:paraId="576602E9" w14:textId="77777777" w:rsidR="009260DE" w:rsidRDefault="009260DE" w:rsidP="009260DE">
      <w:pPr>
        <w:tabs>
          <w:tab w:val="left" w:pos="851"/>
        </w:tabs>
        <w:ind w:left="851"/>
        <w:rPr>
          <w:sz w:val="24"/>
          <w:szCs w:val="24"/>
        </w:rPr>
      </w:pPr>
    </w:p>
    <w:p w14:paraId="7F8A8094" w14:textId="77777777" w:rsidR="0023148F" w:rsidRPr="00C84483" w:rsidRDefault="0023148F" w:rsidP="009260DE">
      <w:pPr>
        <w:tabs>
          <w:tab w:val="left" w:pos="851"/>
        </w:tabs>
        <w:ind w:left="851"/>
        <w:rPr>
          <w:sz w:val="24"/>
          <w:szCs w:val="24"/>
        </w:rPr>
      </w:pPr>
    </w:p>
    <w:p w14:paraId="7F73A918"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32AFD53" w14:textId="77777777" w:rsidR="009260DE" w:rsidRPr="00BA09F1" w:rsidRDefault="009260DE" w:rsidP="009260DE">
      <w:pPr>
        <w:tabs>
          <w:tab w:val="left" w:pos="851"/>
        </w:tabs>
        <w:ind w:left="851"/>
        <w:rPr>
          <w:sz w:val="24"/>
          <w:szCs w:val="24"/>
        </w:rPr>
      </w:pPr>
    </w:p>
    <w:p w14:paraId="73451983"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3CF0B7EB" w14:textId="77777777" w:rsidR="0023148F" w:rsidRDefault="0023148F" w:rsidP="0023148F">
      <w:pPr>
        <w:tabs>
          <w:tab w:val="left" w:pos="851"/>
        </w:tabs>
        <w:ind w:left="851"/>
        <w:rPr>
          <w:sz w:val="24"/>
          <w:szCs w:val="24"/>
          <w:u w:val="single"/>
        </w:rPr>
      </w:pPr>
    </w:p>
    <w:p w14:paraId="79CC79A0" w14:textId="77777777" w:rsidR="0023148F" w:rsidRPr="0023148F" w:rsidRDefault="0023148F" w:rsidP="0023148F">
      <w:pPr>
        <w:tabs>
          <w:tab w:val="left" w:pos="851"/>
        </w:tabs>
        <w:ind w:left="851"/>
        <w:rPr>
          <w:sz w:val="24"/>
          <w:szCs w:val="24"/>
          <w:u w:val="single"/>
        </w:rPr>
      </w:pPr>
      <w:r w:rsidRPr="0023148F">
        <w:rPr>
          <w:sz w:val="24"/>
          <w:szCs w:val="24"/>
          <w:u w:val="single"/>
        </w:rPr>
        <w:t>Hjælpestoffer i emulsionen</w:t>
      </w:r>
    </w:p>
    <w:p w14:paraId="3462E55D" w14:textId="77777777" w:rsidR="0023148F" w:rsidRPr="0023148F" w:rsidRDefault="0023148F" w:rsidP="0023148F">
      <w:pPr>
        <w:tabs>
          <w:tab w:val="left" w:pos="851"/>
        </w:tabs>
        <w:ind w:left="851"/>
        <w:rPr>
          <w:sz w:val="24"/>
          <w:szCs w:val="24"/>
        </w:rPr>
      </w:pPr>
      <w:r w:rsidRPr="0023148F">
        <w:rPr>
          <w:sz w:val="24"/>
          <w:szCs w:val="24"/>
        </w:rPr>
        <w:t>Ricinusolie, polyoxyleret, hydrogeneret</w:t>
      </w:r>
    </w:p>
    <w:p w14:paraId="5105EC89" w14:textId="77777777" w:rsidR="0023148F" w:rsidRPr="0023148F" w:rsidRDefault="0023148F" w:rsidP="0023148F">
      <w:pPr>
        <w:tabs>
          <w:tab w:val="left" w:pos="851"/>
        </w:tabs>
        <w:ind w:left="851"/>
        <w:rPr>
          <w:sz w:val="24"/>
          <w:szCs w:val="24"/>
        </w:rPr>
      </w:pPr>
      <w:r w:rsidRPr="0023148F">
        <w:rPr>
          <w:sz w:val="24"/>
          <w:szCs w:val="24"/>
        </w:rPr>
        <w:t>Carbomer</w:t>
      </w:r>
    </w:p>
    <w:p w14:paraId="6B50361C" w14:textId="77777777" w:rsidR="0023148F" w:rsidRPr="0023148F" w:rsidRDefault="0023148F" w:rsidP="0023148F">
      <w:pPr>
        <w:tabs>
          <w:tab w:val="left" w:pos="851"/>
        </w:tabs>
        <w:ind w:left="851"/>
        <w:rPr>
          <w:sz w:val="24"/>
          <w:szCs w:val="24"/>
        </w:rPr>
      </w:pPr>
      <w:r w:rsidRPr="0023148F">
        <w:rPr>
          <w:sz w:val="24"/>
          <w:szCs w:val="24"/>
        </w:rPr>
        <w:t>Natriumhydroxid</w:t>
      </w:r>
    </w:p>
    <w:p w14:paraId="7F38B10D" w14:textId="77777777" w:rsidR="0023148F" w:rsidRPr="0023148F" w:rsidRDefault="0023148F" w:rsidP="0023148F">
      <w:pPr>
        <w:tabs>
          <w:tab w:val="left" w:pos="851"/>
        </w:tabs>
        <w:ind w:left="851"/>
        <w:rPr>
          <w:sz w:val="24"/>
          <w:szCs w:val="24"/>
        </w:rPr>
      </w:pPr>
      <w:r w:rsidRPr="0023148F">
        <w:rPr>
          <w:sz w:val="24"/>
          <w:szCs w:val="24"/>
        </w:rPr>
        <w:t>Vand, renset</w:t>
      </w:r>
    </w:p>
    <w:p w14:paraId="3CED3AAE" w14:textId="77777777" w:rsidR="0023148F" w:rsidRPr="0023148F" w:rsidRDefault="0023148F" w:rsidP="0023148F">
      <w:pPr>
        <w:tabs>
          <w:tab w:val="left" w:pos="851"/>
        </w:tabs>
        <w:ind w:left="851"/>
        <w:rPr>
          <w:sz w:val="24"/>
          <w:szCs w:val="24"/>
          <w:u w:val="single"/>
        </w:rPr>
      </w:pPr>
    </w:p>
    <w:p w14:paraId="73F101E5" w14:textId="77777777" w:rsidR="0023148F" w:rsidRPr="0023148F" w:rsidRDefault="0023148F" w:rsidP="0023148F">
      <w:pPr>
        <w:tabs>
          <w:tab w:val="left" w:pos="851"/>
        </w:tabs>
        <w:ind w:left="851"/>
        <w:rPr>
          <w:sz w:val="24"/>
          <w:szCs w:val="24"/>
        </w:rPr>
      </w:pPr>
      <w:r w:rsidRPr="0023148F">
        <w:rPr>
          <w:sz w:val="24"/>
          <w:szCs w:val="24"/>
          <w:u w:val="single"/>
        </w:rPr>
        <w:t>Plasteret, der sættes på huden, består af</w:t>
      </w:r>
    </w:p>
    <w:p w14:paraId="7FE2A27A" w14:textId="77777777" w:rsidR="0023148F" w:rsidRPr="0023148F" w:rsidRDefault="0023148F" w:rsidP="0023148F">
      <w:pPr>
        <w:tabs>
          <w:tab w:val="left" w:pos="851"/>
        </w:tabs>
        <w:ind w:left="851"/>
        <w:rPr>
          <w:sz w:val="24"/>
          <w:szCs w:val="24"/>
        </w:rPr>
      </w:pPr>
      <w:r w:rsidRPr="0023148F">
        <w:rPr>
          <w:sz w:val="24"/>
          <w:szCs w:val="24"/>
        </w:rPr>
        <w:t>Absorberende disk (cellulose)</w:t>
      </w:r>
      <w:r w:rsidR="004E1056">
        <w:rPr>
          <w:sz w:val="24"/>
          <w:szCs w:val="24"/>
        </w:rPr>
        <w:t>.</w:t>
      </w:r>
    </w:p>
    <w:p w14:paraId="34801EED" w14:textId="77777777" w:rsidR="0023148F" w:rsidRPr="0023148F" w:rsidRDefault="0023148F" w:rsidP="0023148F">
      <w:pPr>
        <w:tabs>
          <w:tab w:val="left" w:pos="851"/>
        </w:tabs>
        <w:ind w:left="851"/>
        <w:rPr>
          <w:sz w:val="24"/>
          <w:szCs w:val="24"/>
        </w:rPr>
      </w:pPr>
      <w:r w:rsidRPr="0023148F">
        <w:rPr>
          <w:sz w:val="24"/>
          <w:szCs w:val="24"/>
        </w:rPr>
        <w:t>Lamineret folie på bagsiden af plasteret (aluminium folie med plastik film)</w:t>
      </w:r>
      <w:r w:rsidR="004E1056">
        <w:rPr>
          <w:sz w:val="24"/>
          <w:szCs w:val="24"/>
        </w:rPr>
        <w:t>.</w:t>
      </w:r>
    </w:p>
    <w:p w14:paraId="322F46A3" w14:textId="77777777" w:rsidR="0023148F" w:rsidRPr="0023148F" w:rsidRDefault="0023148F" w:rsidP="0023148F">
      <w:pPr>
        <w:tabs>
          <w:tab w:val="left" w:pos="851"/>
        </w:tabs>
        <w:ind w:left="851"/>
        <w:rPr>
          <w:sz w:val="24"/>
          <w:szCs w:val="24"/>
        </w:rPr>
      </w:pPr>
      <w:r w:rsidRPr="0023148F">
        <w:rPr>
          <w:sz w:val="24"/>
          <w:szCs w:val="24"/>
        </w:rPr>
        <w:t>Klæbende skumtape (polyethylen overtrukket med en acrylat adhæsion)</w:t>
      </w:r>
      <w:r w:rsidR="004E1056">
        <w:rPr>
          <w:sz w:val="24"/>
          <w:szCs w:val="24"/>
        </w:rPr>
        <w:t>.</w:t>
      </w:r>
    </w:p>
    <w:p w14:paraId="5AB59B34" w14:textId="77777777" w:rsidR="009260DE" w:rsidRPr="00C84483" w:rsidRDefault="009260DE" w:rsidP="009260DE">
      <w:pPr>
        <w:tabs>
          <w:tab w:val="left" w:pos="851"/>
        </w:tabs>
        <w:ind w:left="851"/>
        <w:rPr>
          <w:sz w:val="24"/>
          <w:szCs w:val="24"/>
        </w:rPr>
      </w:pPr>
    </w:p>
    <w:p w14:paraId="040FF861"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73B85696" w14:textId="77777777" w:rsidR="009260DE" w:rsidRPr="00C84483" w:rsidRDefault="004E1056" w:rsidP="009260DE">
      <w:pPr>
        <w:tabs>
          <w:tab w:val="left" w:pos="851"/>
        </w:tabs>
        <w:ind w:left="851"/>
        <w:rPr>
          <w:sz w:val="24"/>
          <w:szCs w:val="24"/>
        </w:rPr>
      </w:pPr>
      <w:r>
        <w:rPr>
          <w:sz w:val="24"/>
          <w:szCs w:val="24"/>
        </w:rPr>
        <w:t>Ikke relevant.</w:t>
      </w:r>
    </w:p>
    <w:p w14:paraId="01DE9EEC" w14:textId="77777777" w:rsidR="009260DE" w:rsidRPr="00C84483" w:rsidRDefault="009260DE" w:rsidP="009260DE">
      <w:pPr>
        <w:tabs>
          <w:tab w:val="left" w:pos="851"/>
        </w:tabs>
        <w:ind w:left="851"/>
        <w:rPr>
          <w:sz w:val="24"/>
          <w:szCs w:val="24"/>
        </w:rPr>
      </w:pPr>
    </w:p>
    <w:p w14:paraId="548382E6"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5441901E" w14:textId="77777777" w:rsidR="009260DE" w:rsidRPr="00C84483" w:rsidRDefault="009260DE" w:rsidP="009260DE">
      <w:pPr>
        <w:tabs>
          <w:tab w:val="left" w:pos="851"/>
        </w:tabs>
        <w:ind w:left="851" w:hanging="851"/>
        <w:rPr>
          <w:sz w:val="24"/>
          <w:szCs w:val="24"/>
        </w:rPr>
      </w:pPr>
      <w:r w:rsidRPr="00C84483">
        <w:rPr>
          <w:sz w:val="24"/>
          <w:szCs w:val="24"/>
        </w:rPr>
        <w:tab/>
      </w:r>
      <w:r w:rsidR="004E1056">
        <w:rPr>
          <w:sz w:val="24"/>
          <w:szCs w:val="24"/>
        </w:rPr>
        <w:t>2 år.</w:t>
      </w:r>
    </w:p>
    <w:p w14:paraId="7242A237" w14:textId="77777777" w:rsidR="009260DE" w:rsidRPr="00C84483" w:rsidRDefault="009260DE" w:rsidP="009260DE">
      <w:pPr>
        <w:tabs>
          <w:tab w:val="left" w:pos="851"/>
        </w:tabs>
        <w:ind w:left="851"/>
        <w:rPr>
          <w:sz w:val="24"/>
          <w:szCs w:val="24"/>
        </w:rPr>
      </w:pPr>
    </w:p>
    <w:p w14:paraId="01561796"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ED395DB" w14:textId="77777777" w:rsidR="004E1056" w:rsidRPr="004E1056" w:rsidRDefault="004E1056" w:rsidP="004E1056">
      <w:pPr>
        <w:tabs>
          <w:tab w:val="left" w:pos="851"/>
        </w:tabs>
        <w:ind w:left="851"/>
        <w:rPr>
          <w:sz w:val="24"/>
          <w:szCs w:val="24"/>
        </w:rPr>
      </w:pPr>
      <w:r w:rsidRPr="004E1056">
        <w:rPr>
          <w:sz w:val="24"/>
          <w:szCs w:val="24"/>
        </w:rPr>
        <w:t>Må ikke opbevares ved over 25</w:t>
      </w:r>
      <w:r>
        <w:rPr>
          <w:sz w:val="24"/>
          <w:szCs w:val="24"/>
        </w:rPr>
        <w:t xml:space="preserve"> </w:t>
      </w:r>
      <w:r w:rsidRPr="004E1056">
        <w:rPr>
          <w:sz w:val="24"/>
          <w:szCs w:val="24"/>
        </w:rPr>
        <w:t>°C.</w:t>
      </w:r>
    </w:p>
    <w:p w14:paraId="7628CD85" w14:textId="77777777" w:rsidR="004E1056" w:rsidRPr="004E1056" w:rsidRDefault="004E1056" w:rsidP="004E1056">
      <w:pPr>
        <w:tabs>
          <w:tab w:val="left" w:pos="851"/>
        </w:tabs>
        <w:ind w:left="851"/>
        <w:rPr>
          <w:sz w:val="24"/>
          <w:szCs w:val="24"/>
        </w:rPr>
      </w:pPr>
      <w:r w:rsidRPr="004E1056">
        <w:rPr>
          <w:sz w:val="24"/>
          <w:szCs w:val="24"/>
        </w:rPr>
        <w:t xml:space="preserve">Må ikke opbevares i køleskab. </w:t>
      </w:r>
    </w:p>
    <w:p w14:paraId="16616041" w14:textId="77777777" w:rsidR="004E1056" w:rsidRPr="004E1056" w:rsidRDefault="004E1056" w:rsidP="004E1056">
      <w:pPr>
        <w:tabs>
          <w:tab w:val="left" w:pos="851"/>
        </w:tabs>
        <w:ind w:left="851"/>
        <w:rPr>
          <w:sz w:val="24"/>
          <w:szCs w:val="24"/>
        </w:rPr>
      </w:pPr>
      <w:r w:rsidRPr="004E1056">
        <w:rPr>
          <w:sz w:val="24"/>
          <w:szCs w:val="24"/>
        </w:rPr>
        <w:t>Må ikke fryses.</w:t>
      </w:r>
    </w:p>
    <w:p w14:paraId="30B657AF" w14:textId="574AB252" w:rsidR="00C92F91" w:rsidRDefault="00C92F91">
      <w:pPr>
        <w:rPr>
          <w:sz w:val="24"/>
          <w:szCs w:val="24"/>
        </w:rPr>
      </w:pPr>
      <w:r>
        <w:rPr>
          <w:sz w:val="24"/>
          <w:szCs w:val="24"/>
        </w:rPr>
        <w:br w:type="page"/>
      </w:r>
    </w:p>
    <w:p w14:paraId="67A7DDA9" w14:textId="77777777" w:rsidR="009260DE" w:rsidRPr="00C84483" w:rsidRDefault="009260DE" w:rsidP="009260DE">
      <w:pPr>
        <w:tabs>
          <w:tab w:val="left" w:pos="851"/>
        </w:tabs>
        <w:ind w:left="851"/>
        <w:rPr>
          <w:sz w:val="24"/>
          <w:szCs w:val="24"/>
        </w:rPr>
      </w:pPr>
    </w:p>
    <w:p w14:paraId="5E4EA5A5"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0A359950" w14:textId="77777777" w:rsidR="00DE2263" w:rsidRDefault="004E1056" w:rsidP="004E1056">
      <w:pPr>
        <w:tabs>
          <w:tab w:val="left" w:pos="851"/>
        </w:tabs>
        <w:ind w:left="851"/>
        <w:rPr>
          <w:sz w:val="24"/>
          <w:szCs w:val="24"/>
        </w:rPr>
      </w:pPr>
      <w:r w:rsidRPr="004E1056">
        <w:rPr>
          <w:sz w:val="24"/>
          <w:szCs w:val="24"/>
        </w:rPr>
        <w:t>Det medicinske klæbeplaster består af en okklusiv forbinding, som indeholder 1 g emulsion og en beskyttende foring.</w:t>
      </w:r>
    </w:p>
    <w:p w14:paraId="45475AE5" w14:textId="77777777" w:rsidR="004E1056" w:rsidRDefault="004E1056" w:rsidP="004E1056">
      <w:pPr>
        <w:tabs>
          <w:tab w:val="left" w:pos="851"/>
        </w:tabs>
        <w:ind w:left="851"/>
        <w:rPr>
          <w:sz w:val="24"/>
          <w:szCs w:val="24"/>
        </w:rPr>
      </w:pPr>
      <w:r w:rsidRPr="004E1056">
        <w:rPr>
          <w:sz w:val="24"/>
          <w:szCs w:val="24"/>
        </w:rPr>
        <w:t>Delen med forbinding består af en bagside i aluminium/plastik, en absorberende celluloseskive som indeholder lokalanæstetikaene, og en cirkelformet polyethylen-ring med klæbende skum coatet med akrylatlim.</w:t>
      </w:r>
    </w:p>
    <w:p w14:paraId="5D76CBF2" w14:textId="77777777" w:rsidR="00DE2263" w:rsidRPr="004E1056" w:rsidRDefault="00DE2263" w:rsidP="004E1056">
      <w:pPr>
        <w:tabs>
          <w:tab w:val="left" w:pos="851"/>
        </w:tabs>
        <w:ind w:left="851"/>
        <w:rPr>
          <w:sz w:val="24"/>
          <w:szCs w:val="24"/>
        </w:rPr>
      </w:pPr>
    </w:p>
    <w:p w14:paraId="317AEB11" w14:textId="77777777" w:rsidR="004E1056" w:rsidRPr="004E1056" w:rsidRDefault="004E1056" w:rsidP="004E1056">
      <w:pPr>
        <w:tabs>
          <w:tab w:val="left" w:pos="851"/>
        </w:tabs>
        <w:ind w:left="851"/>
        <w:rPr>
          <w:sz w:val="24"/>
          <w:szCs w:val="24"/>
        </w:rPr>
      </w:pPr>
      <w:r w:rsidRPr="004E1056">
        <w:rPr>
          <w:sz w:val="24"/>
          <w:szCs w:val="24"/>
        </w:rPr>
        <w:t xml:space="preserve">Pakningsstørrelser: Papæsker med 1, 2, 3 </w:t>
      </w:r>
      <w:r w:rsidR="00DE2263">
        <w:rPr>
          <w:sz w:val="24"/>
          <w:szCs w:val="24"/>
        </w:rPr>
        <w:t>og</w:t>
      </w:r>
      <w:r w:rsidRPr="004E1056">
        <w:rPr>
          <w:sz w:val="24"/>
          <w:szCs w:val="24"/>
        </w:rPr>
        <w:t xml:space="preserve"> 20 plastre.</w:t>
      </w:r>
    </w:p>
    <w:p w14:paraId="5398B115" w14:textId="77777777" w:rsidR="004E1056" w:rsidRPr="004E1056" w:rsidRDefault="004E1056" w:rsidP="004E1056">
      <w:pPr>
        <w:tabs>
          <w:tab w:val="left" w:pos="851"/>
        </w:tabs>
        <w:ind w:left="851"/>
        <w:rPr>
          <w:sz w:val="24"/>
          <w:szCs w:val="24"/>
        </w:rPr>
      </w:pPr>
      <w:r w:rsidRPr="004E1056">
        <w:rPr>
          <w:sz w:val="24"/>
          <w:szCs w:val="24"/>
        </w:rPr>
        <w:t>Ikke alle pakningsstørrelser er nødvendigvis markedsført.</w:t>
      </w:r>
    </w:p>
    <w:p w14:paraId="23CE5E87" w14:textId="77777777" w:rsidR="009260DE" w:rsidRPr="00C84483" w:rsidRDefault="009260DE" w:rsidP="009260DE">
      <w:pPr>
        <w:tabs>
          <w:tab w:val="left" w:pos="851"/>
        </w:tabs>
        <w:ind w:left="851"/>
        <w:rPr>
          <w:sz w:val="24"/>
          <w:szCs w:val="24"/>
        </w:rPr>
      </w:pPr>
    </w:p>
    <w:p w14:paraId="3F0D2A19"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7714DEBD" w14:textId="77777777" w:rsidR="00DE2263" w:rsidRPr="00DE2263" w:rsidRDefault="00DE2263" w:rsidP="00DE2263">
      <w:pPr>
        <w:tabs>
          <w:tab w:val="left" w:pos="851"/>
        </w:tabs>
        <w:ind w:left="851"/>
        <w:jc w:val="both"/>
        <w:rPr>
          <w:sz w:val="24"/>
          <w:szCs w:val="24"/>
        </w:rPr>
      </w:pPr>
      <w:r w:rsidRPr="00DE2263">
        <w:rPr>
          <w:sz w:val="24"/>
          <w:szCs w:val="24"/>
        </w:rPr>
        <w:t>Det medicinske plasters administrationsmetode er beskrevet nærmere i pkt. 4.2.</w:t>
      </w:r>
    </w:p>
    <w:p w14:paraId="76B1FACF" w14:textId="77777777" w:rsidR="00DE2263" w:rsidRDefault="00DE2263" w:rsidP="00DE2263">
      <w:pPr>
        <w:tabs>
          <w:tab w:val="left" w:pos="851"/>
        </w:tabs>
        <w:ind w:left="851"/>
        <w:jc w:val="both"/>
        <w:rPr>
          <w:sz w:val="24"/>
          <w:szCs w:val="24"/>
        </w:rPr>
      </w:pPr>
    </w:p>
    <w:p w14:paraId="24EFC4AC" w14:textId="77777777" w:rsidR="00DE2263" w:rsidRPr="00DE2263" w:rsidRDefault="00DE2263" w:rsidP="00DE2263">
      <w:pPr>
        <w:tabs>
          <w:tab w:val="left" w:pos="851"/>
        </w:tabs>
        <w:ind w:left="851"/>
        <w:jc w:val="both"/>
        <w:rPr>
          <w:sz w:val="24"/>
          <w:szCs w:val="24"/>
        </w:rPr>
      </w:pPr>
      <w:r w:rsidRPr="00DE2263">
        <w:rPr>
          <w:sz w:val="24"/>
          <w:szCs w:val="24"/>
        </w:rPr>
        <w:t>Ikke anvendt lægemiddel samt affald heraf skal bortskaffes i henhold til lokale retningslinjer.</w:t>
      </w:r>
    </w:p>
    <w:p w14:paraId="1D58BC80" w14:textId="77777777" w:rsidR="009260DE" w:rsidRPr="00C84483" w:rsidRDefault="009260DE" w:rsidP="009260DE">
      <w:pPr>
        <w:tabs>
          <w:tab w:val="left" w:pos="851"/>
        </w:tabs>
        <w:ind w:left="851"/>
        <w:jc w:val="both"/>
        <w:rPr>
          <w:sz w:val="24"/>
          <w:szCs w:val="24"/>
        </w:rPr>
      </w:pPr>
    </w:p>
    <w:p w14:paraId="70442EF2"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2C9FFD1" w14:textId="77777777" w:rsidR="00DE2263" w:rsidRPr="00DE2263" w:rsidRDefault="00DE2263" w:rsidP="00DE2263">
      <w:pPr>
        <w:tabs>
          <w:tab w:val="left" w:pos="851"/>
        </w:tabs>
        <w:ind w:left="851"/>
        <w:rPr>
          <w:sz w:val="24"/>
          <w:szCs w:val="24"/>
          <w:lang w:val="fr-FR"/>
        </w:rPr>
      </w:pPr>
      <w:r w:rsidRPr="00DE2263">
        <w:rPr>
          <w:sz w:val="24"/>
          <w:szCs w:val="24"/>
          <w:lang w:val="fr-FR"/>
        </w:rPr>
        <w:t>INTERNATIONAL DRUG DEVELOPMENT</w:t>
      </w:r>
    </w:p>
    <w:p w14:paraId="1A6798D2" w14:textId="77777777" w:rsidR="00DE2263" w:rsidRPr="00DE2263" w:rsidRDefault="00DE2263" w:rsidP="00DE2263">
      <w:pPr>
        <w:tabs>
          <w:tab w:val="left" w:pos="851"/>
        </w:tabs>
        <w:ind w:left="851"/>
        <w:rPr>
          <w:sz w:val="24"/>
          <w:szCs w:val="24"/>
          <w:lang w:val="fr-FR"/>
        </w:rPr>
      </w:pPr>
      <w:r w:rsidRPr="00DE2263">
        <w:rPr>
          <w:sz w:val="24"/>
          <w:szCs w:val="24"/>
          <w:lang w:val="fr-FR"/>
        </w:rPr>
        <w:t xml:space="preserve">104 </w:t>
      </w:r>
      <w:r w:rsidR="00F5459E">
        <w:rPr>
          <w:sz w:val="24"/>
          <w:szCs w:val="24"/>
          <w:lang w:val="fr-FR"/>
        </w:rPr>
        <w:t>B</w:t>
      </w:r>
      <w:r w:rsidRPr="00DE2263">
        <w:rPr>
          <w:sz w:val="24"/>
          <w:szCs w:val="24"/>
          <w:lang w:val="fr-FR"/>
        </w:rPr>
        <w:t xml:space="preserve">oulevard </w:t>
      </w:r>
      <w:r w:rsidR="00F5459E">
        <w:rPr>
          <w:sz w:val="24"/>
          <w:szCs w:val="24"/>
          <w:lang w:val="fr-FR"/>
        </w:rPr>
        <w:t>A</w:t>
      </w:r>
      <w:r w:rsidRPr="00DE2263">
        <w:rPr>
          <w:sz w:val="24"/>
          <w:szCs w:val="24"/>
          <w:lang w:val="fr-FR"/>
        </w:rPr>
        <w:t>uguste Blanqui</w:t>
      </w:r>
    </w:p>
    <w:p w14:paraId="135E63FF" w14:textId="77777777" w:rsidR="00DE2263" w:rsidRPr="00DE2263" w:rsidRDefault="00DE2263" w:rsidP="00DE2263">
      <w:pPr>
        <w:tabs>
          <w:tab w:val="left" w:pos="851"/>
        </w:tabs>
        <w:ind w:left="851"/>
        <w:rPr>
          <w:sz w:val="24"/>
          <w:szCs w:val="24"/>
        </w:rPr>
      </w:pPr>
      <w:r w:rsidRPr="00DE2263">
        <w:rPr>
          <w:sz w:val="24"/>
          <w:szCs w:val="24"/>
        </w:rPr>
        <w:t>75013 Paris</w:t>
      </w:r>
    </w:p>
    <w:p w14:paraId="272EDE7E" w14:textId="77777777" w:rsidR="00DE2263" w:rsidRPr="00DE2263" w:rsidRDefault="00DE2263" w:rsidP="00DE2263">
      <w:pPr>
        <w:tabs>
          <w:tab w:val="left" w:pos="851"/>
        </w:tabs>
        <w:ind w:left="851"/>
        <w:rPr>
          <w:sz w:val="24"/>
          <w:szCs w:val="24"/>
        </w:rPr>
      </w:pPr>
      <w:r w:rsidRPr="00DE2263">
        <w:rPr>
          <w:sz w:val="24"/>
          <w:szCs w:val="24"/>
        </w:rPr>
        <w:t>Frankrig</w:t>
      </w:r>
    </w:p>
    <w:p w14:paraId="4C1A4BBC" w14:textId="77777777" w:rsidR="009260DE" w:rsidRPr="00C84483" w:rsidRDefault="009260DE" w:rsidP="009260DE">
      <w:pPr>
        <w:tabs>
          <w:tab w:val="left" w:pos="851"/>
        </w:tabs>
        <w:ind w:left="851"/>
        <w:rPr>
          <w:sz w:val="24"/>
          <w:szCs w:val="24"/>
        </w:rPr>
      </w:pPr>
    </w:p>
    <w:p w14:paraId="27D83B79"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2D6E5212" w14:textId="77777777" w:rsidR="009260DE" w:rsidRPr="00C84483" w:rsidRDefault="00F5459E" w:rsidP="009260DE">
      <w:pPr>
        <w:tabs>
          <w:tab w:val="left" w:pos="851"/>
        </w:tabs>
        <w:ind w:left="851"/>
        <w:rPr>
          <w:sz w:val="24"/>
          <w:szCs w:val="24"/>
        </w:rPr>
      </w:pPr>
      <w:r>
        <w:rPr>
          <w:sz w:val="24"/>
          <w:szCs w:val="24"/>
        </w:rPr>
        <w:t>62229</w:t>
      </w:r>
    </w:p>
    <w:p w14:paraId="7C4F5075" w14:textId="77777777" w:rsidR="009260DE" w:rsidRPr="00C84483" w:rsidRDefault="009260DE" w:rsidP="009260DE">
      <w:pPr>
        <w:tabs>
          <w:tab w:val="left" w:pos="851"/>
        </w:tabs>
        <w:ind w:left="851"/>
        <w:jc w:val="both"/>
        <w:rPr>
          <w:sz w:val="24"/>
          <w:szCs w:val="24"/>
        </w:rPr>
      </w:pPr>
    </w:p>
    <w:p w14:paraId="09CE8321"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2894EBF" w14:textId="430E9BA1" w:rsidR="009260DE" w:rsidRPr="00C84483" w:rsidRDefault="009E7E19" w:rsidP="009260DE">
      <w:pPr>
        <w:tabs>
          <w:tab w:val="left" w:pos="851"/>
        </w:tabs>
        <w:ind w:left="851"/>
        <w:rPr>
          <w:sz w:val="24"/>
          <w:szCs w:val="24"/>
        </w:rPr>
      </w:pPr>
      <w:r>
        <w:rPr>
          <w:sz w:val="24"/>
          <w:szCs w:val="24"/>
        </w:rPr>
        <w:t>1</w:t>
      </w:r>
      <w:r w:rsidR="00D00E10">
        <w:rPr>
          <w:sz w:val="24"/>
          <w:szCs w:val="24"/>
        </w:rPr>
        <w:t>6</w:t>
      </w:r>
      <w:bookmarkStart w:id="1" w:name="_GoBack"/>
      <w:bookmarkEnd w:id="1"/>
      <w:r>
        <w:rPr>
          <w:sz w:val="24"/>
          <w:szCs w:val="24"/>
        </w:rPr>
        <w:t>. juli 2020</w:t>
      </w:r>
    </w:p>
    <w:p w14:paraId="789ED358" w14:textId="77777777" w:rsidR="009260DE" w:rsidRPr="00C84483" w:rsidRDefault="009260DE" w:rsidP="009260DE">
      <w:pPr>
        <w:tabs>
          <w:tab w:val="left" w:pos="851"/>
        </w:tabs>
        <w:ind w:left="851"/>
        <w:rPr>
          <w:sz w:val="24"/>
          <w:szCs w:val="24"/>
        </w:rPr>
      </w:pPr>
    </w:p>
    <w:p w14:paraId="001ECEA2"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38E9D37A" w14:textId="77777777" w:rsidR="009260DE" w:rsidRPr="00C84483" w:rsidRDefault="00F5459E"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E4A62" w14:textId="77777777" w:rsidR="00DF7CFC" w:rsidRDefault="00DF7CFC">
      <w:r>
        <w:separator/>
      </w:r>
    </w:p>
  </w:endnote>
  <w:endnote w:type="continuationSeparator" w:id="0">
    <w:p w14:paraId="3B8267CC" w14:textId="77777777" w:rsidR="00DF7CFC" w:rsidRDefault="00DF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9252" w14:textId="77777777" w:rsidR="000259B9" w:rsidRDefault="000259B9">
    <w:pPr>
      <w:pStyle w:val="Sidefod"/>
      <w:pBdr>
        <w:bottom w:val="single" w:sz="6" w:space="1" w:color="auto"/>
      </w:pBdr>
    </w:pPr>
  </w:p>
  <w:p w14:paraId="5C2A2037" w14:textId="77777777" w:rsidR="000259B9" w:rsidRDefault="000259B9" w:rsidP="00C42586">
    <w:pPr>
      <w:pStyle w:val="Sidefod"/>
      <w:tabs>
        <w:tab w:val="clear" w:pos="4819"/>
        <w:tab w:val="left" w:pos="8505"/>
      </w:tabs>
      <w:rPr>
        <w:i/>
        <w:sz w:val="18"/>
        <w:szCs w:val="18"/>
      </w:rPr>
    </w:pPr>
  </w:p>
  <w:p w14:paraId="5722C24F"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46373">
      <w:rPr>
        <w:i/>
        <w:noProof/>
        <w:sz w:val="18"/>
        <w:szCs w:val="18"/>
      </w:rPr>
      <w:t>Lidocain-Prilocain IDD, medicinsk plaster 25+25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5D049" w14:textId="77777777" w:rsidR="00DF7CFC" w:rsidRDefault="00DF7CFC">
      <w:r>
        <w:separator/>
      </w:r>
    </w:p>
  </w:footnote>
  <w:footnote w:type="continuationSeparator" w:id="0">
    <w:p w14:paraId="75605A8A" w14:textId="77777777" w:rsidR="00DF7CFC" w:rsidRDefault="00DF7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8231E7B"/>
    <w:multiLevelType w:val="hybridMultilevel"/>
    <w:tmpl w:val="BBB6E546"/>
    <w:lvl w:ilvl="0" w:tplc="FFFFFFFF">
      <w:start w:val="1"/>
      <w:numFmt w:val="bullet"/>
      <w:lvlText w:val=""/>
      <w:lvlJc w:val="left"/>
      <w:pPr>
        <w:ind w:left="774" w:hanging="360"/>
      </w:pPr>
      <w:rPr>
        <w:rFonts w:ascii="Symbol" w:hAnsi="Symbol" w:hint="default"/>
      </w:rPr>
    </w:lvl>
    <w:lvl w:ilvl="1" w:tplc="FFFFFFFF">
      <w:start w:val="1"/>
      <w:numFmt w:val="bullet"/>
      <w:lvlText w:val="o"/>
      <w:lvlJc w:val="left"/>
      <w:pPr>
        <w:ind w:left="1494" w:hanging="360"/>
      </w:pPr>
      <w:rPr>
        <w:rFonts w:ascii="Courier New" w:hAnsi="Courier New" w:cs="Courier New" w:hint="default"/>
      </w:rPr>
    </w:lvl>
    <w:lvl w:ilvl="2" w:tplc="FFFFFFFF">
      <w:start w:val="1"/>
      <w:numFmt w:val="bullet"/>
      <w:lvlText w:val=""/>
      <w:lvlJc w:val="left"/>
      <w:pPr>
        <w:ind w:left="2214" w:hanging="360"/>
      </w:pPr>
      <w:rPr>
        <w:rFonts w:ascii="Wingdings" w:hAnsi="Wingdings" w:hint="default"/>
      </w:rPr>
    </w:lvl>
    <w:lvl w:ilvl="3" w:tplc="FFFFFFFF">
      <w:start w:val="1"/>
      <w:numFmt w:val="bullet"/>
      <w:lvlText w:val=""/>
      <w:lvlJc w:val="left"/>
      <w:pPr>
        <w:ind w:left="2934" w:hanging="360"/>
      </w:pPr>
      <w:rPr>
        <w:rFonts w:ascii="Symbol" w:hAnsi="Symbol" w:hint="default"/>
      </w:rPr>
    </w:lvl>
    <w:lvl w:ilvl="4" w:tplc="FFFFFFFF">
      <w:start w:val="1"/>
      <w:numFmt w:val="bullet"/>
      <w:lvlText w:val="o"/>
      <w:lvlJc w:val="left"/>
      <w:pPr>
        <w:ind w:left="3654" w:hanging="360"/>
      </w:pPr>
      <w:rPr>
        <w:rFonts w:ascii="Courier New" w:hAnsi="Courier New" w:cs="Courier New" w:hint="default"/>
      </w:rPr>
    </w:lvl>
    <w:lvl w:ilvl="5" w:tplc="FFFFFFFF">
      <w:start w:val="1"/>
      <w:numFmt w:val="bullet"/>
      <w:lvlText w:val=""/>
      <w:lvlJc w:val="left"/>
      <w:pPr>
        <w:ind w:left="4374" w:hanging="360"/>
      </w:pPr>
      <w:rPr>
        <w:rFonts w:ascii="Wingdings" w:hAnsi="Wingdings" w:hint="default"/>
      </w:rPr>
    </w:lvl>
    <w:lvl w:ilvl="6" w:tplc="FFFFFFFF">
      <w:start w:val="1"/>
      <w:numFmt w:val="bullet"/>
      <w:lvlText w:val=""/>
      <w:lvlJc w:val="left"/>
      <w:pPr>
        <w:ind w:left="5094" w:hanging="360"/>
      </w:pPr>
      <w:rPr>
        <w:rFonts w:ascii="Symbol" w:hAnsi="Symbol" w:hint="default"/>
      </w:rPr>
    </w:lvl>
    <w:lvl w:ilvl="7" w:tplc="FFFFFFFF">
      <w:start w:val="1"/>
      <w:numFmt w:val="bullet"/>
      <w:lvlText w:val="o"/>
      <w:lvlJc w:val="left"/>
      <w:pPr>
        <w:ind w:left="5814" w:hanging="360"/>
      </w:pPr>
      <w:rPr>
        <w:rFonts w:ascii="Courier New" w:hAnsi="Courier New" w:cs="Courier New" w:hint="default"/>
      </w:rPr>
    </w:lvl>
    <w:lvl w:ilvl="8" w:tplc="FFFFFFFF">
      <w:start w:val="1"/>
      <w:numFmt w:val="bullet"/>
      <w:lvlText w:val=""/>
      <w:lvlJc w:val="left"/>
      <w:pPr>
        <w:ind w:left="6534"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FF72F71"/>
    <w:multiLevelType w:val="hybridMultilevel"/>
    <w:tmpl w:val="811EECA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FC"/>
    <w:rsid w:val="000259B9"/>
    <w:rsid w:val="00041491"/>
    <w:rsid w:val="00050D16"/>
    <w:rsid w:val="00074F2A"/>
    <w:rsid w:val="000A1CA8"/>
    <w:rsid w:val="000A466B"/>
    <w:rsid w:val="000B058C"/>
    <w:rsid w:val="000E4EE6"/>
    <w:rsid w:val="00111BC5"/>
    <w:rsid w:val="001454E2"/>
    <w:rsid w:val="00206CE8"/>
    <w:rsid w:val="0021526C"/>
    <w:rsid w:val="0023148F"/>
    <w:rsid w:val="00250D17"/>
    <w:rsid w:val="00264BC1"/>
    <w:rsid w:val="00283A2B"/>
    <w:rsid w:val="002B30AD"/>
    <w:rsid w:val="002C2C01"/>
    <w:rsid w:val="00352D27"/>
    <w:rsid w:val="00357A90"/>
    <w:rsid w:val="0036123D"/>
    <w:rsid w:val="003A29AE"/>
    <w:rsid w:val="003A32D7"/>
    <w:rsid w:val="003B4074"/>
    <w:rsid w:val="003C769A"/>
    <w:rsid w:val="003F1838"/>
    <w:rsid w:val="0045746C"/>
    <w:rsid w:val="0049104B"/>
    <w:rsid w:val="004A6B6B"/>
    <w:rsid w:val="004E1056"/>
    <w:rsid w:val="004E3B12"/>
    <w:rsid w:val="004E481C"/>
    <w:rsid w:val="00532310"/>
    <w:rsid w:val="00546373"/>
    <w:rsid w:val="00565F0F"/>
    <w:rsid w:val="00593143"/>
    <w:rsid w:val="00594A86"/>
    <w:rsid w:val="00596D86"/>
    <w:rsid w:val="005F35FE"/>
    <w:rsid w:val="00611AB8"/>
    <w:rsid w:val="00627B6F"/>
    <w:rsid w:val="00637F5A"/>
    <w:rsid w:val="006560B1"/>
    <w:rsid w:val="006756DD"/>
    <w:rsid w:val="006C2D5E"/>
    <w:rsid w:val="00737275"/>
    <w:rsid w:val="00740EEC"/>
    <w:rsid w:val="0078011A"/>
    <w:rsid w:val="00782AF4"/>
    <w:rsid w:val="00790EE7"/>
    <w:rsid w:val="007B1E77"/>
    <w:rsid w:val="007B6649"/>
    <w:rsid w:val="007F4334"/>
    <w:rsid w:val="00807FBF"/>
    <w:rsid w:val="008125E2"/>
    <w:rsid w:val="0082576E"/>
    <w:rsid w:val="008B5CD7"/>
    <w:rsid w:val="008F5D0B"/>
    <w:rsid w:val="00907F75"/>
    <w:rsid w:val="009260DE"/>
    <w:rsid w:val="0093258A"/>
    <w:rsid w:val="00941E14"/>
    <w:rsid w:val="009C7BA3"/>
    <w:rsid w:val="009D1F5A"/>
    <w:rsid w:val="009E7E19"/>
    <w:rsid w:val="009F0DD7"/>
    <w:rsid w:val="00A5384F"/>
    <w:rsid w:val="00A835A6"/>
    <w:rsid w:val="00B003BF"/>
    <w:rsid w:val="00B373D7"/>
    <w:rsid w:val="00B45249"/>
    <w:rsid w:val="00C36276"/>
    <w:rsid w:val="00C42586"/>
    <w:rsid w:val="00C60CCD"/>
    <w:rsid w:val="00C84483"/>
    <w:rsid w:val="00C92F91"/>
    <w:rsid w:val="00C95551"/>
    <w:rsid w:val="00CB20D7"/>
    <w:rsid w:val="00D00E10"/>
    <w:rsid w:val="00D020B0"/>
    <w:rsid w:val="00D11748"/>
    <w:rsid w:val="00D366CF"/>
    <w:rsid w:val="00D9353B"/>
    <w:rsid w:val="00DE2263"/>
    <w:rsid w:val="00DF7CFC"/>
    <w:rsid w:val="00E108AA"/>
    <w:rsid w:val="00E3749A"/>
    <w:rsid w:val="00E7437F"/>
    <w:rsid w:val="00E865B8"/>
    <w:rsid w:val="00EC0B9B"/>
    <w:rsid w:val="00ED5254"/>
    <w:rsid w:val="00ED5E9F"/>
    <w:rsid w:val="00F3306F"/>
    <w:rsid w:val="00F5459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6CE4F"/>
  <w15:chartTrackingRefBased/>
  <w15:docId w15:val="{82096BAC-7A59-4761-9F71-4D51668B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52D27"/>
    <w:rPr>
      <w:color w:val="0563C1" w:themeColor="hyperlink"/>
      <w:u w:val="single"/>
    </w:rPr>
  </w:style>
  <w:style w:type="character" w:styleId="Ulstomtale">
    <w:name w:val="Unresolved Mention"/>
    <w:basedOn w:val="Standardskrifttypeiafsnit"/>
    <w:uiPriority w:val="99"/>
    <w:semiHidden/>
    <w:unhideWhenUsed/>
    <w:rsid w:val="00352D27"/>
    <w:rPr>
      <w:color w:val="605E5C"/>
      <w:shd w:val="clear" w:color="auto" w:fill="E1DFDD"/>
    </w:rPr>
  </w:style>
  <w:style w:type="paragraph" w:styleId="Listeafsnit">
    <w:name w:val="List Paragraph"/>
    <w:basedOn w:val="Normal"/>
    <w:uiPriority w:val="34"/>
    <w:qFormat/>
    <w:rsid w:val="00231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786">
      <w:bodyDiv w:val="1"/>
      <w:marLeft w:val="0"/>
      <w:marRight w:val="0"/>
      <w:marTop w:val="0"/>
      <w:marBottom w:val="0"/>
      <w:divBdr>
        <w:top w:val="none" w:sz="0" w:space="0" w:color="auto"/>
        <w:left w:val="none" w:sz="0" w:space="0" w:color="auto"/>
        <w:bottom w:val="none" w:sz="0" w:space="0" w:color="auto"/>
        <w:right w:val="none" w:sz="0" w:space="0" w:color="auto"/>
      </w:divBdr>
    </w:div>
    <w:div w:id="48265653">
      <w:bodyDiv w:val="1"/>
      <w:marLeft w:val="0"/>
      <w:marRight w:val="0"/>
      <w:marTop w:val="0"/>
      <w:marBottom w:val="0"/>
      <w:divBdr>
        <w:top w:val="none" w:sz="0" w:space="0" w:color="auto"/>
        <w:left w:val="none" w:sz="0" w:space="0" w:color="auto"/>
        <w:bottom w:val="none" w:sz="0" w:space="0" w:color="auto"/>
        <w:right w:val="none" w:sz="0" w:space="0" w:color="auto"/>
      </w:divBdr>
    </w:div>
    <w:div w:id="132257207">
      <w:bodyDiv w:val="1"/>
      <w:marLeft w:val="0"/>
      <w:marRight w:val="0"/>
      <w:marTop w:val="0"/>
      <w:marBottom w:val="0"/>
      <w:divBdr>
        <w:top w:val="none" w:sz="0" w:space="0" w:color="auto"/>
        <w:left w:val="none" w:sz="0" w:space="0" w:color="auto"/>
        <w:bottom w:val="none" w:sz="0" w:space="0" w:color="auto"/>
        <w:right w:val="none" w:sz="0" w:space="0" w:color="auto"/>
      </w:divBdr>
    </w:div>
    <w:div w:id="16097640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4974635">
      <w:bodyDiv w:val="1"/>
      <w:marLeft w:val="0"/>
      <w:marRight w:val="0"/>
      <w:marTop w:val="0"/>
      <w:marBottom w:val="0"/>
      <w:divBdr>
        <w:top w:val="none" w:sz="0" w:space="0" w:color="auto"/>
        <w:left w:val="none" w:sz="0" w:space="0" w:color="auto"/>
        <w:bottom w:val="none" w:sz="0" w:space="0" w:color="auto"/>
        <w:right w:val="none" w:sz="0" w:space="0" w:color="auto"/>
      </w:divBdr>
    </w:div>
    <w:div w:id="353003092">
      <w:bodyDiv w:val="1"/>
      <w:marLeft w:val="0"/>
      <w:marRight w:val="0"/>
      <w:marTop w:val="0"/>
      <w:marBottom w:val="0"/>
      <w:divBdr>
        <w:top w:val="none" w:sz="0" w:space="0" w:color="auto"/>
        <w:left w:val="none" w:sz="0" w:space="0" w:color="auto"/>
        <w:bottom w:val="none" w:sz="0" w:space="0" w:color="auto"/>
        <w:right w:val="none" w:sz="0" w:space="0" w:color="auto"/>
      </w:divBdr>
    </w:div>
    <w:div w:id="361320081">
      <w:bodyDiv w:val="1"/>
      <w:marLeft w:val="0"/>
      <w:marRight w:val="0"/>
      <w:marTop w:val="0"/>
      <w:marBottom w:val="0"/>
      <w:divBdr>
        <w:top w:val="none" w:sz="0" w:space="0" w:color="auto"/>
        <w:left w:val="none" w:sz="0" w:space="0" w:color="auto"/>
        <w:bottom w:val="none" w:sz="0" w:space="0" w:color="auto"/>
        <w:right w:val="none" w:sz="0" w:space="0" w:color="auto"/>
      </w:divBdr>
    </w:div>
    <w:div w:id="370151690">
      <w:bodyDiv w:val="1"/>
      <w:marLeft w:val="0"/>
      <w:marRight w:val="0"/>
      <w:marTop w:val="0"/>
      <w:marBottom w:val="0"/>
      <w:divBdr>
        <w:top w:val="none" w:sz="0" w:space="0" w:color="auto"/>
        <w:left w:val="none" w:sz="0" w:space="0" w:color="auto"/>
        <w:bottom w:val="none" w:sz="0" w:space="0" w:color="auto"/>
        <w:right w:val="none" w:sz="0" w:space="0" w:color="auto"/>
      </w:divBdr>
    </w:div>
    <w:div w:id="417866811">
      <w:bodyDiv w:val="1"/>
      <w:marLeft w:val="0"/>
      <w:marRight w:val="0"/>
      <w:marTop w:val="0"/>
      <w:marBottom w:val="0"/>
      <w:divBdr>
        <w:top w:val="none" w:sz="0" w:space="0" w:color="auto"/>
        <w:left w:val="none" w:sz="0" w:space="0" w:color="auto"/>
        <w:bottom w:val="none" w:sz="0" w:space="0" w:color="auto"/>
        <w:right w:val="none" w:sz="0" w:space="0" w:color="auto"/>
      </w:divBdr>
    </w:div>
    <w:div w:id="428550176">
      <w:bodyDiv w:val="1"/>
      <w:marLeft w:val="0"/>
      <w:marRight w:val="0"/>
      <w:marTop w:val="0"/>
      <w:marBottom w:val="0"/>
      <w:divBdr>
        <w:top w:val="none" w:sz="0" w:space="0" w:color="auto"/>
        <w:left w:val="none" w:sz="0" w:space="0" w:color="auto"/>
        <w:bottom w:val="none" w:sz="0" w:space="0" w:color="auto"/>
        <w:right w:val="none" w:sz="0" w:space="0" w:color="auto"/>
      </w:divBdr>
    </w:div>
    <w:div w:id="441189829">
      <w:bodyDiv w:val="1"/>
      <w:marLeft w:val="0"/>
      <w:marRight w:val="0"/>
      <w:marTop w:val="0"/>
      <w:marBottom w:val="0"/>
      <w:divBdr>
        <w:top w:val="none" w:sz="0" w:space="0" w:color="auto"/>
        <w:left w:val="none" w:sz="0" w:space="0" w:color="auto"/>
        <w:bottom w:val="none" w:sz="0" w:space="0" w:color="auto"/>
        <w:right w:val="none" w:sz="0" w:space="0" w:color="auto"/>
      </w:divBdr>
    </w:div>
    <w:div w:id="466709101">
      <w:bodyDiv w:val="1"/>
      <w:marLeft w:val="0"/>
      <w:marRight w:val="0"/>
      <w:marTop w:val="0"/>
      <w:marBottom w:val="0"/>
      <w:divBdr>
        <w:top w:val="none" w:sz="0" w:space="0" w:color="auto"/>
        <w:left w:val="none" w:sz="0" w:space="0" w:color="auto"/>
        <w:bottom w:val="none" w:sz="0" w:space="0" w:color="auto"/>
        <w:right w:val="none" w:sz="0" w:space="0" w:color="auto"/>
      </w:divBdr>
    </w:div>
    <w:div w:id="732657318">
      <w:bodyDiv w:val="1"/>
      <w:marLeft w:val="0"/>
      <w:marRight w:val="0"/>
      <w:marTop w:val="0"/>
      <w:marBottom w:val="0"/>
      <w:divBdr>
        <w:top w:val="none" w:sz="0" w:space="0" w:color="auto"/>
        <w:left w:val="none" w:sz="0" w:space="0" w:color="auto"/>
        <w:bottom w:val="none" w:sz="0" w:space="0" w:color="auto"/>
        <w:right w:val="none" w:sz="0" w:space="0" w:color="auto"/>
      </w:divBdr>
    </w:div>
    <w:div w:id="780226895">
      <w:bodyDiv w:val="1"/>
      <w:marLeft w:val="0"/>
      <w:marRight w:val="0"/>
      <w:marTop w:val="0"/>
      <w:marBottom w:val="0"/>
      <w:divBdr>
        <w:top w:val="none" w:sz="0" w:space="0" w:color="auto"/>
        <w:left w:val="none" w:sz="0" w:space="0" w:color="auto"/>
        <w:bottom w:val="none" w:sz="0" w:space="0" w:color="auto"/>
        <w:right w:val="none" w:sz="0" w:space="0" w:color="auto"/>
      </w:divBdr>
    </w:div>
    <w:div w:id="874389472">
      <w:bodyDiv w:val="1"/>
      <w:marLeft w:val="0"/>
      <w:marRight w:val="0"/>
      <w:marTop w:val="0"/>
      <w:marBottom w:val="0"/>
      <w:divBdr>
        <w:top w:val="none" w:sz="0" w:space="0" w:color="auto"/>
        <w:left w:val="none" w:sz="0" w:space="0" w:color="auto"/>
        <w:bottom w:val="none" w:sz="0" w:space="0" w:color="auto"/>
        <w:right w:val="none" w:sz="0" w:space="0" w:color="auto"/>
      </w:divBdr>
    </w:div>
    <w:div w:id="949820957">
      <w:bodyDiv w:val="1"/>
      <w:marLeft w:val="0"/>
      <w:marRight w:val="0"/>
      <w:marTop w:val="0"/>
      <w:marBottom w:val="0"/>
      <w:divBdr>
        <w:top w:val="none" w:sz="0" w:space="0" w:color="auto"/>
        <w:left w:val="none" w:sz="0" w:space="0" w:color="auto"/>
        <w:bottom w:val="none" w:sz="0" w:space="0" w:color="auto"/>
        <w:right w:val="none" w:sz="0" w:space="0" w:color="auto"/>
      </w:divBdr>
    </w:div>
    <w:div w:id="953562130">
      <w:bodyDiv w:val="1"/>
      <w:marLeft w:val="0"/>
      <w:marRight w:val="0"/>
      <w:marTop w:val="0"/>
      <w:marBottom w:val="0"/>
      <w:divBdr>
        <w:top w:val="none" w:sz="0" w:space="0" w:color="auto"/>
        <w:left w:val="none" w:sz="0" w:space="0" w:color="auto"/>
        <w:bottom w:val="none" w:sz="0" w:space="0" w:color="auto"/>
        <w:right w:val="none" w:sz="0" w:space="0" w:color="auto"/>
      </w:divBdr>
    </w:div>
    <w:div w:id="965310619">
      <w:bodyDiv w:val="1"/>
      <w:marLeft w:val="0"/>
      <w:marRight w:val="0"/>
      <w:marTop w:val="0"/>
      <w:marBottom w:val="0"/>
      <w:divBdr>
        <w:top w:val="none" w:sz="0" w:space="0" w:color="auto"/>
        <w:left w:val="none" w:sz="0" w:space="0" w:color="auto"/>
        <w:bottom w:val="none" w:sz="0" w:space="0" w:color="auto"/>
        <w:right w:val="none" w:sz="0" w:space="0" w:color="auto"/>
      </w:divBdr>
    </w:div>
    <w:div w:id="1014111118">
      <w:bodyDiv w:val="1"/>
      <w:marLeft w:val="0"/>
      <w:marRight w:val="0"/>
      <w:marTop w:val="0"/>
      <w:marBottom w:val="0"/>
      <w:divBdr>
        <w:top w:val="none" w:sz="0" w:space="0" w:color="auto"/>
        <w:left w:val="none" w:sz="0" w:space="0" w:color="auto"/>
        <w:bottom w:val="none" w:sz="0" w:space="0" w:color="auto"/>
        <w:right w:val="none" w:sz="0" w:space="0" w:color="auto"/>
      </w:divBdr>
    </w:div>
    <w:div w:id="1015881848">
      <w:bodyDiv w:val="1"/>
      <w:marLeft w:val="0"/>
      <w:marRight w:val="0"/>
      <w:marTop w:val="0"/>
      <w:marBottom w:val="0"/>
      <w:divBdr>
        <w:top w:val="none" w:sz="0" w:space="0" w:color="auto"/>
        <w:left w:val="none" w:sz="0" w:space="0" w:color="auto"/>
        <w:bottom w:val="none" w:sz="0" w:space="0" w:color="auto"/>
        <w:right w:val="none" w:sz="0" w:space="0" w:color="auto"/>
      </w:divBdr>
    </w:div>
    <w:div w:id="1031884823">
      <w:bodyDiv w:val="1"/>
      <w:marLeft w:val="0"/>
      <w:marRight w:val="0"/>
      <w:marTop w:val="0"/>
      <w:marBottom w:val="0"/>
      <w:divBdr>
        <w:top w:val="none" w:sz="0" w:space="0" w:color="auto"/>
        <w:left w:val="none" w:sz="0" w:space="0" w:color="auto"/>
        <w:bottom w:val="none" w:sz="0" w:space="0" w:color="auto"/>
        <w:right w:val="none" w:sz="0" w:space="0" w:color="auto"/>
      </w:divBdr>
    </w:div>
    <w:div w:id="1037660956">
      <w:bodyDiv w:val="1"/>
      <w:marLeft w:val="0"/>
      <w:marRight w:val="0"/>
      <w:marTop w:val="0"/>
      <w:marBottom w:val="0"/>
      <w:divBdr>
        <w:top w:val="none" w:sz="0" w:space="0" w:color="auto"/>
        <w:left w:val="none" w:sz="0" w:space="0" w:color="auto"/>
        <w:bottom w:val="none" w:sz="0" w:space="0" w:color="auto"/>
        <w:right w:val="none" w:sz="0" w:space="0" w:color="auto"/>
      </w:divBdr>
    </w:div>
    <w:div w:id="1076169016">
      <w:bodyDiv w:val="1"/>
      <w:marLeft w:val="0"/>
      <w:marRight w:val="0"/>
      <w:marTop w:val="0"/>
      <w:marBottom w:val="0"/>
      <w:divBdr>
        <w:top w:val="none" w:sz="0" w:space="0" w:color="auto"/>
        <w:left w:val="none" w:sz="0" w:space="0" w:color="auto"/>
        <w:bottom w:val="none" w:sz="0" w:space="0" w:color="auto"/>
        <w:right w:val="none" w:sz="0" w:space="0" w:color="auto"/>
      </w:divBdr>
    </w:div>
    <w:div w:id="1158761797">
      <w:bodyDiv w:val="1"/>
      <w:marLeft w:val="0"/>
      <w:marRight w:val="0"/>
      <w:marTop w:val="0"/>
      <w:marBottom w:val="0"/>
      <w:divBdr>
        <w:top w:val="none" w:sz="0" w:space="0" w:color="auto"/>
        <w:left w:val="none" w:sz="0" w:space="0" w:color="auto"/>
        <w:bottom w:val="none" w:sz="0" w:space="0" w:color="auto"/>
        <w:right w:val="none" w:sz="0" w:space="0" w:color="auto"/>
      </w:divBdr>
    </w:div>
    <w:div w:id="1202670088">
      <w:bodyDiv w:val="1"/>
      <w:marLeft w:val="0"/>
      <w:marRight w:val="0"/>
      <w:marTop w:val="0"/>
      <w:marBottom w:val="0"/>
      <w:divBdr>
        <w:top w:val="none" w:sz="0" w:space="0" w:color="auto"/>
        <w:left w:val="none" w:sz="0" w:space="0" w:color="auto"/>
        <w:bottom w:val="none" w:sz="0" w:space="0" w:color="auto"/>
        <w:right w:val="none" w:sz="0" w:space="0" w:color="auto"/>
      </w:divBdr>
    </w:div>
    <w:div w:id="1257832961">
      <w:bodyDiv w:val="1"/>
      <w:marLeft w:val="0"/>
      <w:marRight w:val="0"/>
      <w:marTop w:val="0"/>
      <w:marBottom w:val="0"/>
      <w:divBdr>
        <w:top w:val="none" w:sz="0" w:space="0" w:color="auto"/>
        <w:left w:val="none" w:sz="0" w:space="0" w:color="auto"/>
        <w:bottom w:val="none" w:sz="0" w:space="0" w:color="auto"/>
        <w:right w:val="none" w:sz="0" w:space="0" w:color="auto"/>
      </w:divBdr>
    </w:div>
    <w:div w:id="1278367007">
      <w:bodyDiv w:val="1"/>
      <w:marLeft w:val="0"/>
      <w:marRight w:val="0"/>
      <w:marTop w:val="0"/>
      <w:marBottom w:val="0"/>
      <w:divBdr>
        <w:top w:val="none" w:sz="0" w:space="0" w:color="auto"/>
        <w:left w:val="none" w:sz="0" w:space="0" w:color="auto"/>
        <w:bottom w:val="none" w:sz="0" w:space="0" w:color="auto"/>
        <w:right w:val="none" w:sz="0" w:space="0" w:color="auto"/>
      </w:divBdr>
    </w:div>
    <w:div w:id="1404793260">
      <w:bodyDiv w:val="1"/>
      <w:marLeft w:val="0"/>
      <w:marRight w:val="0"/>
      <w:marTop w:val="0"/>
      <w:marBottom w:val="0"/>
      <w:divBdr>
        <w:top w:val="none" w:sz="0" w:space="0" w:color="auto"/>
        <w:left w:val="none" w:sz="0" w:space="0" w:color="auto"/>
        <w:bottom w:val="none" w:sz="0" w:space="0" w:color="auto"/>
        <w:right w:val="none" w:sz="0" w:space="0" w:color="auto"/>
      </w:divBdr>
    </w:div>
    <w:div w:id="1422490312">
      <w:bodyDiv w:val="1"/>
      <w:marLeft w:val="0"/>
      <w:marRight w:val="0"/>
      <w:marTop w:val="0"/>
      <w:marBottom w:val="0"/>
      <w:divBdr>
        <w:top w:val="none" w:sz="0" w:space="0" w:color="auto"/>
        <w:left w:val="none" w:sz="0" w:space="0" w:color="auto"/>
        <w:bottom w:val="none" w:sz="0" w:space="0" w:color="auto"/>
        <w:right w:val="none" w:sz="0" w:space="0" w:color="auto"/>
      </w:divBdr>
    </w:div>
    <w:div w:id="1652757884">
      <w:bodyDiv w:val="1"/>
      <w:marLeft w:val="0"/>
      <w:marRight w:val="0"/>
      <w:marTop w:val="0"/>
      <w:marBottom w:val="0"/>
      <w:divBdr>
        <w:top w:val="none" w:sz="0" w:space="0" w:color="auto"/>
        <w:left w:val="none" w:sz="0" w:space="0" w:color="auto"/>
        <w:bottom w:val="none" w:sz="0" w:space="0" w:color="auto"/>
        <w:right w:val="none" w:sz="0" w:space="0" w:color="auto"/>
      </w:divBdr>
    </w:div>
    <w:div w:id="1653096966">
      <w:bodyDiv w:val="1"/>
      <w:marLeft w:val="0"/>
      <w:marRight w:val="0"/>
      <w:marTop w:val="0"/>
      <w:marBottom w:val="0"/>
      <w:divBdr>
        <w:top w:val="none" w:sz="0" w:space="0" w:color="auto"/>
        <w:left w:val="none" w:sz="0" w:space="0" w:color="auto"/>
        <w:bottom w:val="none" w:sz="0" w:space="0" w:color="auto"/>
        <w:right w:val="none" w:sz="0" w:space="0" w:color="auto"/>
      </w:divBdr>
    </w:div>
    <w:div w:id="1668366390">
      <w:bodyDiv w:val="1"/>
      <w:marLeft w:val="0"/>
      <w:marRight w:val="0"/>
      <w:marTop w:val="0"/>
      <w:marBottom w:val="0"/>
      <w:divBdr>
        <w:top w:val="none" w:sz="0" w:space="0" w:color="auto"/>
        <w:left w:val="none" w:sz="0" w:space="0" w:color="auto"/>
        <w:bottom w:val="none" w:sz="0" w:space="0" w:color="auto"/>
        <w:right w:val="none" w:sz="0" w:space="0" w:color="auto"/>
      </w:divBdr>
    </w:div>
    <w:div w:id="1682773801">
      <w:bodyDiv w:val="1"/>
      <w:marLeft w:val="0"/>
      <w:marRight w:val="0"/>
      <w:marTop w:val="0"/>
      <w:marBottom w:val="0"/>
      <w:divBdr>
        <w:top w:val="none" w:sz="0" w:space="0" w:color="auto"/>
        <w:left w:val="none" w:sz="0" w:space="0" w:color="auto"/>
        <w:bottom w:val="none" w:sz="0" w:space="0" w:color="auto"/>
        <w:right w:val="none" w:sz="0" w:space="0" w:color="auto"/>
      </w:divBdr>
    </w:div>
    <w:div w:id="1726486647">
      <w:bodyDiv w:val="1"/>
      <w:marLeft w:val="0"/>
      <w:marRight w:val="0"/>
      <w:marTop w:val="0"/>
      <w:marBottom w:val="0"/>
      <w:divBdr>
        <w:top w:val="none" w:sz="0" w:space="0" w:color="auto"/>
        <w:left w:val="none" w:sz="0" w:space="0" w:color="auto"/>
        <w:bottom w:val="none" w:sz="0" w:space="0" w:color="auto"/>
        <w:right w:val="none" w:sz="0" w:space="0" w:color="auto"/>
      </w:divBdr>
    </w:div>
    <w:div w:id="1749960413">
      <w:bodyDiv w:val="1"/>
      <w:marLeft w:val="0"/>
      <w:marRight w:val="0"/>
      <w:marTop w:val="0"/>
      <w:marBottom w:val="0"/>
      <w:divBdr>
        <w:top w:val="none" w:sz="0" w:space="0" w:color="auto"/>
        <w:left w:val="none" w:sz="0" w:space="0" w:color="auto"/>
        <w:bottom w:val="none" w:sz="0" w:space="0" w:color="auto"/>
        <w:right w:val="none" w:sz="0" w:space="0" w:color="auto"/>
      </w:divBdr>
    </w:div>
    <w:div w:id="1804882478">
      <w:bodyDiv w:val="1"/>
      <w:marLeft w:val="0"/>
      <w:marRight w:val="0"/>
      <w:marTop w:val="0"/>
      <w:marBottom w:val="0"/>
      <w:divBdr>
        <w:top w:val="none" w:sz="0" w:space="0" w:color="auto"/>
        <w:left w:val="none" w:sz="0" w:space="0" w:color="auto"/>
        <w:bottom w:val="none" w:sz="0" w:space="0" w:color="auto"/>
        <w:right w:val="none" w:sz="0" w:space="0" w:color="auto"/>
      </w:divBdr>
    </w:div>
    <w:div w:id="1885174396">
      <w:bodyDiv w:val="1"/>
      <w:marLeft w:val="0"/>
      <w:marRight w:val="0"/>
      <w:marTop w:val="0"/>
      <w:marBottom w:val="0"/>
      <w:divBdr>
        <w:top w:val="none" w:sz="0" w:space="0" w:color="auto"/>
        <w:left w:val="none" w:sz="0" w:space="0" w:color="auto"/>
        <w:bottom w:val="none" w:sz="0" w:space="0" w:color="auto"/>
        <w:right w:val="none" w:sz="0" w:space="0" w:color="auto"/>
      </w:divBdr>
    </w:div>
    <w:div w:id="1905406824">
      <w:bodyDiv w:val="1"/>
      <w:marLeft w:val="0"/>
      <w:marRight w:val="0"/>
      <w:marTop w:val="0"/>
      <w:marBottom w:val="0"/>
      <w:divBdr>
        <w:top w:val="none" w:sz="0" w:space="0" w:color="auto"/>
        <w:left w:val="none" w:sz="0" w:space="0" w:color="auto"/>
        <w:bottom w:val="none" w:sz="0" w:space="0" w:color="auto"/>
        <w:right w:val="none" w:sz="0" w:space="0" w:color="auto"/>
      </w:divBdr>
    </w:div>
    <w:div w:id="20200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33</TotalTime>
  <Pages>11</Pages>
  <Words>3346</Words>
  <Characters>21801</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2019020267 mt</dc:description>
  <cp:lastModifiedBy>Hanne Thy Iversen</cp:lastModifiedBy>
  <cp:revision>15</cp:revision>
  <cp:lastPrinted>2012-08-22T08:53:00Z</cp:lastPrinted>
  <dcterms:created xsi:type="dcterms:W3CDTF">2020-07-14T17:37:00Z</dcterms:created>
  <dcterms:modified xsi:type="dcterms:W3CDTF">2020-07-16T11:42:00Z</dcterms:modified>
</cp:coreProperties>
</file>