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D0478" w14:textId="77777777" w:rsidR="003E17D3" w:rsidRPr="004365A2" w:rsidRDefault="003E17D3" w:rsidP="003E17D3">
      <w:pPr>
        <w:rPr>
          <w:sz w:val="24"/>
          <w:szCs w:val="24"/>
        </w:rPr>
      </w:pPr>
      <w:r w:rsidRPr="004365A2">
        <w:rPr>
          <w:noProof/>
          <w:sz w:val="24"/>
          <w:szCs w:val="24"/>
          <w:lang w:eastAsia="da-DK"/>
        </w:rPr>
        <w:drawing>
          <wp:anchor distT="0" distB="0" distL="114300" distR="114300" simplePos="0" relativeHeight="251659264" behindDoc="0" locked="0" layoutInCell="1" allowOverlap="1" wp14:anchorId="0E87B516" wp14:editId="073ABED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Pr="004365A2">
        <w:rPr>
          <w:sz w:val="24"/>
          <w:szCs w:val="24"/>
        </w:rPr>
        <w:br w:type="textWrapping" w:clear="all"/>
      </w:r>
    </w:p>
    <w:p w14:paraId="72F13A12" w14:textId="77777777" w:rsidR="003E17D3" w:rsidRPr="004365A2" w:rsidRDefault="003E17D3" w:rsidP="003E17D3">
      <w:pPr>
        <w:pStyle w:val="Titel"/>
        <w:tabs>
          <w:tab w:val="right" w:pos="9356"/>
        </w:tabs>
        <w:jc w:val="left"/>
        <w:rPr>
          <w:b w:val="0"/>
          <w:szCs w:val="24"/>
          <w:lang w:eastAsia="en-US"/>
        </w:rPr>
      </w:pPr>
    </w:p>
    <w:p w14:paraId="2B4DB382" w14:textId="771CE1B8" w:rsidR="003E17D3" w:rsidRPr="004365A2" w:rsidRDefault="003E17D3" w:rsidP="003E17D3">
      <w:pPr>
        <w:pStyle w:val="Titel"/>
        <w:tabs>
          <w:tab w:val="right" w:pos="9356"/>
        </w:tabs>
        <w:jc w:val="left"/>
        <w:rPr>
          <w:b w:val="0"/>
          <w:szCs w:val="24"/>
          <w:lang w:eastAsia="en-US"/>
        </w:rPr>
      </w:pPr>
      <w:r w:rsidRPr="004365A2">
        <w:rPr>
          <w:b w:val="0"/>
          <w:szCs w:val="24"/>
          <w:lang w:eastAsia="en-US"/>
        </w:rPr>
        <w:tab/>
      </w:r>
      <w:r w:rsidR="0009126D">
        <w:rPr>
          <w:szCs w:val="24"/>
        </w:rPr>
        <w:t>3</w:t>
      </w:r>
      <w:r w:rsidR="006E493B">
        <w:rPr>
          <w:szCs w:val="24"/>
        </w:rPr>
        <w:t>. juli 2026</w:t>
      </w:r>
    </w:p>
    <w:p w14:paraId="5EEC5C83" w14:textId="77777777" w:rsidR="003E17D3" w:rsidRPr="004365A2" w:rsidRDefault="003E17D3" w:rsidP="003E17D3">
      <w:pPr>
        <w:pStyle w:val="Titel"/>
        <w:jc w:val="left"/>
        <w:rPr>
          <w:b w:val="0"/>
          <w:szCs w:val="24"/>
        </w:rPr>
      </w:pPr>
    </w:p>
    <w:p w14:paraId="2CA60913" w14:textId="77777777" w:rsidR="003E17D3" w:rsidRPr="004365A2" w:rsidRDefault="003E17D3" w:rsidP="003E17D3">
      <w:pPr>
        <w:pStyle w:val="Titel"/>
        <w:jc w:val="left"/>
        <w:rPr>
          <w:b w:val="0"/>
          <w:szCs w:val="24"/>
        </w:rPr>
      </w:pPr>
    </w:p>
    <w:p w14:paraId="78B6DE90" w14:textId="77777777" w:rsidR="003E17D3" w:rsidRPr="004365A2" w:rsidRDefault="003E17D3" w:rsidP="003E17D3">
      <w:pPr>
        <w:jc w:val="center"/>
        <w:rPr>
          <w:b/>
          <w:sz w:val="24"/>
          <w:szCs w:val="24"/>
        </w:rPr>
      </w:pPr>
      <w:r w:rsidRPr="004365A2">
        <w:rPr>
          <w:b/>
          <w:sz w:val="24"/>
          <w:szCs w:val="24"/>
        </w:rPr>
        <w:t>PRODUKTRESUMÉ</w:t>
      </w:r>
    </w:p>
    <w:p w14:paraId="1A853127" w14:textId="77777777" w:rsidR="003E17D3" w:rsidRPr="004365A2" w:rsidRDefault="003E17D3" w:rsidP="003E17D3">
      <w:pPr>
        <w:jc w:val="center"/>
        <w:rPr>
          <w:b/>
          <w:sz w:val="24"/>
          <w:szCs w:val="24"/>
        </w:rPr>
      </w:pPr>
    </w:p>
    <w:p w14:paraId="02BB5BF2" w14:textId="77777777" w:rsidR="003E17D3" w:rsidRPr="004365A2" w:rsidRDefault="003E17D3" w:rsidP="003E17D3">
      <w:pPr>
        <w:jc w:val="center"/>
        <w:rPr>
          <w:b/>
          <w:sz w:val="24"/>
          <w:szCs w:val="24"/>
        </w:rPr>
      </w:pPr>
      <w:r w:rsidRPr="004365A2">
        <w:rPr>
          <w:b/>
          <w:sz w:val="24"/>
          <w:szCs w:val="24"/>
        </w:rPr>
        <w:t>for</w:t>
      </w:r>
    </w:p>
    <w:p w14:paraId="68C2FDEC" w14:textId="77777777" w:rsidR="003E17D3" w:rsidRPr="004365A2" w:rsidRDefault="003E17D3" w:rsidP="003E17D3">
      <w:pPr>
        <w:jc w:val="center"/>
        <w:rPr>
          <w:b/>
          <w:sz w:val="24"/>
          <w:szCs w:val="24"/>
        </w:rPr>
      </w:pPr>
    </w:p>
    <w:p w14:paraId="1B942A9E" w14:textId="205B32F5" w:rsidR="003E17D3" w:rsidRPr="004365A2" w:rsidRDefault="003E17D3" w:rsidP="003E17D3">
      <w:pPr>
        <w:jc w:val="center"/>
        <w:rPr>
          <w:b/>
          <w:sz w:val="24"/>
          <w:szCs w:val="24"/>
        </w:rPr>
      </w:pPr>
      <w:r w:rsidRPr="004365A2">
        <w:rPr>
          <w:b/>
          <w:sz w:val="24"/>
          <w:szCs w:val="24"/>
        </w:rPr>
        <w:t>Lidoposterin, rektalsalve</w:t>
      </w:r>
      <w:r w:rsidR="006E493B">
        <w:rPr>
          <w:b/>
          <w:sz w:val="24"/>
          <w:szCs w:val="24"/>
        </w:rPr>
        <w:t xml:space="preserve"> (Epione)</w:t>
      </w:r>
    </w:p>
    <w:p w14:paraId="1E33BEC0" w14:textId="77777777" w:rsidR="003E17D3" w:rsidRPr="004365A2" w:rsidRDefault="003E17D3" w:rsidP="003E17D3">
      <w:pPr>
        <w:jc w:val="both"/>
        <w:rPr>
          <w:sz w:val="24"/>
          <w:szCs w:val="24"/>
        </w:rPr>
      </w:pPr>
    </w:p>
    <w:p w14:paraId="42298CF0" w14:textId="77777777" w:rsidR="004365A2" w:rsidRPr="004365A2" w:rsidRDefault="004365A2" w:rsidP="004365A2">
      <w:pPr>
        <w:jc w:val="both"/>
        <w:rPr>
          <w:sz w:val="24"/>
          <w:szCs w:val="24"/>
        </w:rPr>
      </w:pPr>
    </w:p>
    <w:p w14:paraId="4F10AE13" w14:textId="77777777" w:rsidR="004365A2" w:rsidRPr="004365A2" w:rsidRDefault="004365A2" w:rsidP="004365A2">
      <w:pPr>
        <w:jc w:val="both"/>
        <w:rPr>
          <w:sz w:val="24"/>
          <w:szCs w:val="24"/>
        </w:rPr>
      </w:pPr>
    </w:p>
    <w:p w14:paraId="4DF2F567" w14:textId="77777777" w:rsidR="004365A2" w:rsidRPr="004365A2" w:rsidRDefault="004365A2" w:rsidP="004365A2">
      <w:pPr>
        <w:tabs>
          <w:tab w:val="left" w:pos="851"/>
        </w:tabs>
        <w:ind w:left="851" w:hanging="851"/>
        <w:rPr>
          <w:b/>
          <w:sz w:val="24"/>
          <w:szCs w:val="24"/>
        </w:rPr>
      </w:pPr>
      <w:r w:rsidRPr="004365A2">
        <w:rPr>
          <w:b/>
          <w:sz w:val="24"/>
          <w:szCs w:val="24"/>
        </w:rPr>
        <w:t>0.</w:t>
      </w:r>
      <w:r w:rsidRPr="004365A2">
        <w:rPr>
          <w:b/>
          <w:sz w:val="24"/>
          <w:szCs w:val="24"/>
        </w:rPr>
        <w:tab/>
        <w:t>D.SP.NR.</w:t>
      </w:r>
    </w:p>
    <w:p w14:paraId="7CBD5CD6" w14:textId="77777777" w:rsidR="004365A2" w:rsidRPr="004365A2" w:rsidRDefault="004365A2" w:rsidP="004365A2">
      <w:pPr>
        <w:tabs>
          <w:tab w:val="left" w:pos="851"/>
        </w:tabs>
        <w:ind w:left="851"/>
        <w:rPr>
          <w:sz w:val="24"/>
          <w:szCs w:val="24"/>
        </w:rPr>
      </w:pPr>
      <w:r w:rsidRPr="004365A2">
        <w:rPr>
          <w:sz w:val="24"/>
          <w:szCs w:val="24"/>
        </w:rPr>
        <w:t>31717</w:t>
      </w:r>
    </w:p>
    <w:p w14:paraId="079F7794" w14:textId="77777777" w:rsidR="004365A2" w:rsidRPr="004365A2" w:rsidRDefault="004365A2" w:rsidP="004365A2">
      <w:pPr>
        <w:tabs>
          <w:tab w:val="left" w:pos="851"/>
        </w:tabs>
        <w:ind w:left="851"/>
        <w:rPr>
          <w:sz w:val="24"/>
          <w:szCs w:val="24"/>
        </w:rPr>
      </w:pPr>
    </w:p>
    <w:p w14:paraId="0BBB29BB" w14:textId="77777777" w:rsidR="004365A2" w:rsidRPr="004365A2" w:rsidRDefault="004365A2" w:rsidP="004365A2">
      <w:pPr>
        <w:tabs>
          <w:tab w:val="left" w:pos="851"/>
        </w:tabs>
        <w:ind w:left="851" w:hanging="851"/>
        <w:rPr>
          <w:b/>
          <w:sz w:val="24"/>
          <w:szCs w:val="24"/>
        </w:rPr>
      </w:pPr>
      <w:r w:rsidRPr="004365A2">
        <w:rPr>
          <w:b/>
          <w:sz w:val="24"/>
          <w:szCs w:val="24"/>
        </w:rPr>
        <w:t>1.</w:t>
      </w:r>
      <w:r w:rsidRPr="004365A2">
        <w:rPr>
          <w:b/>
          <w:sz w:val="24"/>
          <w:szCs w:val="24"/>
        </w:rPr>
        <w:tab/>
        <w:t>LÆGEMIDLETS NAVN</w:t>
      </w:r>
    </w:p>
    <w:p w14:paraId="263CB0EB" w14:textId="77777777" w:rsidR="004365A2" w:rsidRPr="004365A2" w:rsidRDefault="004365A2" w:rsidP="004365A2">
      <w:pPr>
        <w:tabs>
          <w:tab w:val="left" w:pos="851"/>
        </w:tabs>
        <w:ind w:left="851"/>
        <w:rPr>
          <w:sz w:val="24"/>
          <w:szCs w:val="24"/>
        </w:rPr>
      </w:pPr>
      <w:r w:rsidRPr="004365A2">
        <w:rPr>
          <w:sz w:val="24"/>
          <w:szCs w:val="24"/>
        </w:rPr>
        <w:t>Lidoposterin</w:t>
      </w:r>
    </w:p>
    <w:p w14:paraId="015BF3E1" w14:textId="77777777" w:rsidR="004365A2" w:rsidRPr="004365A2" w:rsidRDefault="004365A2" w:rsidP="004365A2">
      <w:pPr>
        <w:tabs>
          <w:tab w:val="left" w:pos="851"/>
        </w:tabs>
        <w:ind w:left="851"/>
        <w:rPr>
          <w:sz w:val="24"/>
          <w:szCs w:val="24"/>
        </w:rPr>
      </w:pPr>
    </w:p>
    <w:p w14:paraId="3FA79D4F" w14:textId="77777777" w:rsidR="004365A2" w:rsidRPr="004365A2" w:rsidRDefault="004365A2" w:rsidP="004365A2">
      <w:pPr>
        <w:tabs>
          <w:tab w:val="left" w:pos="851"/>
        </w:tabs>
        <w:ind w:left="851" w:hanging="851"/>
        <w:rPr>
          <w:b/>
          <w:sz w:val="24"/>
          <w:szCs w:val="24"/>
        </w:rPr>
      </w:pPr>
      <w:r w:rsidRPr="004365A2">
        <w:rPr>
          <w:b/>
          <w:sz w:val="24"/>
          <w:szCs w:val="24"/>
        </w:rPr>
        <w:t>2.</w:t>
      </w:r>
      <w:r w:rsidRPr="004365A2">
        <w:rPr>
          <w:b/>
          <w:sz w:val="24"/>
          <w:szCs w:val="24"/>
        </w:rPr>
        <w:tab/>
        <w:t>KVALITATIV OG KVANTITATIV SAMMENSÆTNING</w:t>
      </w:r>
    </w:p>
    <w:p w14:paraId="1C4ABDBD" w14:textId="77777777" w:rsidR="004365A2" w:rsidRPr="004365A2" w:rsidRDefault="004365A2" w:rsidP="004365A2">
      <w:pPr>
        <w:ind w:left="851"/>
        <w:rPr>
          <w:sz w:val="24"/>
          <w:szCs w:val="24"/>
        </w:rPr>
      </w:pPr>
      <w:r w:rsidRPr="004365A2">
        <w:rPr>
          <w:sz w:val="24"/>
          <w:szCs w:val="24"/>
        </w:rPr>
        <w:t>1 g salve indeholder 50 mg lidocain.</w:t>
      </w:r>
    </w:p>
    <w:p w14:paraId="7A5DB906" w14:textId="77777777" w:rsidR="004365A2" w:rsidRPr="004365A2" w:rsidRDefault="004365A2" w:rsidP="004365A2">
      <w:pPr>
        <w:ind w:left="851"/>
        <w:rPr>
          <w:sz w:val="24"/>
          <w:szCs w:val="24"/>
        </w:rPr>
      </w:pPr>
    </w:p>
    <w:p w14:paraId="78901250" w14:textId="77777777" w:rsidR="004365A2" w:rsidRPr="004365A2" w:rsidRDefault="004365A2" w:rsidP="004365A2">
      <w:pPr>
        <w:ind w:left="851"/>
        <w:rPr>
          <w:sz w:val="24"/>
          <w:szCs w:val="24"/>
        </w:rPr>
      </w:pPr>
      <w:r w:rsidRPr="004365A2">
        <w:rPr>
          <w:sz w:val="24"/>
          <w:szCs w:val="24"/>
        </w:rPr>
        <w:t>Hjælpestof, som behandleren skal være opmærksom på: Cetylalkohol (se pkt. 4.4).</w:t>
      </w:r>
    </w:p>
    <w:p w14:paraId="4A1B8012" w14:textId="77777777" w:rsidR="004365A2" w:rsidRPr="004365A2" w:rsidRDefault="004365A2" w:rsidP="004365A2">
      <w:pPr>
        <w:ind w:left="851"/>
        <w:rPr>
          <w:sz w:val="24"/>
          <w:szCs w:val="24"/>
        </w:rPr>
      </w:pPr>
      <w:r w:rsidRPr="004365A2">
        <w:rPr>
          <w:sz w:val="24"/>
          <w:szCs w:val="24"/>
        </w:rPr>
        <w:t>Alle hjælpestoffer er anført under pkt. 6.1.</w:t>
      </w:r>
    </w:p>
    <w:p w14:paraId="1C0D19DE" w14:textId="77777777" w:rsidR="004365A2" w:rsidRPr="004365A2" w:rsidRDefault="004365A2" w:rsidP="004365A2">
      <w:pPr>
        <w:tabs>
          <w:tab w:val="left" w:pos="851"/>
        </w:tabs>
        <w:ind w:left="851"/>
        <w:rPr>
          <w:sz w:val="24"/>
          <w:szCs w:val="24"/>
        </w:rPr>
      </w:pPr>
    </w:p>
    <w:p w14:paraId="3DA61FA2" w14:textId="77777777" w:rsidR="004365A2" w:rsidRPr="004365A2" w:rsidRDefault="004365A2" w:rsidP="004365A2">
      <w:pPr>
        <w:tabs>
          <w:tab w:val="left" w:pos="851"/>
        </w:tabs>
        <w:ind w:left="851" w:hanging="851"/>
        <w:rPr>
          <w:b/>
          <w:sz w:val="24"/>
          <w:szCs w:val="24"/>
        </w:rPr>
      </w:pPr>
      <w:r w:rsidRPr="004365A2">
        <w:rPr>
          <w:b/>
          <w:sz w:val="24"/>
          <w:szCs w:val="24"/>
        </w:rPr>
        <w:t>3.</w:t>
      </w:r>
      <w:r w:rsidRPr="004365A2">
        <w:rPr>
          <w:b/>
          <w:sz w:val="24"/>
          <w:szCs w:val="24"/>
        </w:rPr>
        <w:tab/>
        <w:t>LÆGEMIDDELFORM</w:t>
      </w:r>
    </w:p>
    <w:p w14:paraId="2918565B" w14:textId="63BE2BA6" w:rsidR="004365A2" w:rsidRPr="004365A2" w:rsidRDefault="004365A2" w:rsidP="004365A2">
      <w:pPr>
        <w:tabs>
          <w:tab w:val="left" w:pos="-720"/>
        </w:tabs>
        <w:suppressAutoHyphens/>
        <w:ind w:left="851"/>
        <w:rPr>
          <w:sz w:val="24"/>
          <w:szCs w:val="24"/>
        </w:rPr>
      </w:pPr>
      <w:r w:rsidRPr="004365A2">
        <w:rPr>
          <w:sz w:val="24"/>
          <w:szCs w:val="24"/>
        </w:rPr>
        <w:t>Rektalsalve</w:t>
      </w:r>
      <w:r w:rsidR="006E493B">
        <w:rPr>
          <w:sz w:val="24"/>
          <w:szCs w:val="24"/>
        </w:rPr>
        <w:t xml:space="preserve"> (Epione)</w:t>
      </w:r>
    </w:p>
    <w:p w14:paraId="25B5A5FF" w14:textId="77777777" w:rsidR="004365A2" w:rsidRPr="004365A2" w:rsidRDefault="004365A2" w:rsidP="004365A2">
      <w:pPr>
        <w:ind w:left="851"/>
        <w:rPr>
          <w:sz w:val="24"/>
          <w:szCs w:val="24"/>
        </w:rPr>
      </w:pPr>
    </w:p>
    <w:p w14:paraId="48242985" w14:textId="77777777" w:rsidR="004365A2" w:rsidRPr="004365A2" w:rsidRDefault="004365A2" w:rsidP="004365A2">
      <w:pPr>
        <w:tabs>
          <w:tab w:val="left" w:pos="851"/>
        </w:tabs>
        <w:ind w:left="851"/>
        <w:rPr>
          <w:sz w:val="24"/>
          <w:szCs w:val="24"/>
        </w:rPr>
      </w:pPr>
    </w:p>
    <w:p w14:paraId="2E59B686" w14:textId="77777777" w:rsidR="004365A2" w:rsidRPr="004365A2" w:rsidRDefault="004365A2" w:rsidP="004365A2">
      <w:pPr>
        <w:tabs>
          <w:tab w:val="left" w:pos="851"/>
        </w:tabs>
        <w:ind w:left="851" w:hanging="851"/>
        <w:rPr>
          <w:b/>
          <w:sz w:val="24"/>
          <w:szCs w:val="24"/>
        </w:rPr>
      </w:pPr>
      <w:r w:rsidRPr="004365A2">
        <w:rPr>
          <w:b/>
          <w:sz w:val="24"/>
          <w:szCs w:val="24"/>
        </w:rPr>
        <w:t>4.</w:t>
      </w:r>
      <w:r w:rsidRPr="004365A2">
        <w:rPr>
          <w:b/>
          <w:sz w:val="24"/>
          <w:szCs w:val="24"/>
        </w:rPr>
        <w:tab/>
        <w:t>KLINISKE OPLYSNINGER</w:t>
      </w:r>
    </w:p>
    <w:p w14:paraId="42BBF90A" w14:textId="77777777" w:rsidR="004365A2" w:rsidRPr="004365A2" w:rsidRDefault="004365A2" w:rsidP="004365A2">
      <w:pPr>
        <w:tabs>
          <w:tab w:val="left" w:pos="851"/>
        </w:tabs>
        <w:ind w:left="851"/>
        <w:rPr>
          <w:b/>
          <w:sz w:val="24"/>
          <w:szCs w:val="24"/>
        </w:rPr>
      </w:pPr>
    </w:p>
    <w:p w14:paraId="404DBD9D" w14:textId="77777777" w:rsidR="004365A2" w:rsidRPr="004365A2" w:rsidRDefault="004365A2" w:rsidP="004365A2">
      <w:pPr>
        <w:tabs>
          <w:tab w:val="left" w:pos="851"/>
        </w:tabs>
        <w:ind w:left="851" w:hanging="851"/>
        <w:rPr>
          <w:b/>
          <w:sz w:val="24"/>
          <w:szCs w:val="24"/>
          <w:u w:val="single"/>
        </w:rPr>
      </w:pPr>
      <w:r w:rsidRPr="004365A2">
        <w:rPr>
          <w:b/>
          <w:sz w:val="24"/>
          <w:szCs w:val="24"/>
        </w:rPr>
        <w:t>4.1</w:t>
      </w:r>
      <w:r w:rsidRPr="004365A2">
        <w:rPr>
          <w:b/>
          <w:sz w:val="24"/>
          <w:szCs w:val="24"/>
        </w:rPr>
        <w:tab/>
        <w:t>Terapeutiske indikationer</w:t>
      </w:r>
    </w:p>
    <w:p w14:paraId="017006BB" w14:textId="77777777" w:rsidR="004365A2" w:rsidRPr="004365A2" w:rsidRDefault="004365A2" w:rsidP="004365A2">
      <w:pPr>
        <w:ind w:left="851"/>
        <w:rPr>
          <w:sz w:val="24"/>
          <w:szCs w:val="24"/>
        </w:rPr>
      </w:pPr>
      <w:r w:rsidRPr="004365A2">
        <w:rPr>
          <w:sz w:val="24"/>
          <w:szCs w:val="24"/>
        </w:rPr>
        <w:t>Symptombehandling hos voksne med kløe eller smerter i analområdet, f.eks. hæmoroider.</w:t>
      </w:r>
    </w:p>
    <w:p w14:paraId="41BEED7B" w14:textId="77777777" w:rsidR="004365A2" w:rsidRPr="004365A2" w:rsidRDefault="004365A2" w:rsidP="004365A2">
      <w:pPr>
        <w:tabs>
          <w:tab w:val="left" w:pos="851"/>
        </w:tabs>
        <w:ind w:left="851"/>
        <w:rPr>
          <w:sz w:val="24"/>
          <w:szCs w:val="24"/>
        </w:rPr>
      </w:pPr>
    </w:p>
    <w:p w14:paraId="54A94E57" w14:textId="77777777" w:rsidR="004365A2" w:rsidRPr="004365A2" w:rsidRDefault="004365A2" w:rsidP="004365A2">
      <w:pPr>
        <w:tabs>
          <w:tab w:val="left" w:pos="851"/>
        </w:tabs>
        <w:ind w:left="851" w:hanging="851"/>
        <w:rPr>
          <w:b/>
          <w:sz w:val="24"/>
          <w:szCs w:val="24"/>
        </w:rPr>
      </w:pPr>
      <w:r w:rsidRPr="004365A2">
        <w:rPr>
          <w:b/>
          <w:sz w:val="24"/>
          <w:szCs w:val="24"/>
        </w:rPr>
        <w:t>4.2</w:t>
      </w:r>
      <w:r w:rsidRPr="004365A2">
        <w:rPr>
          <w:b/>
          <w:sz w:val="24"/>
          <w:szCs w:val="24"/>
        </w:rPr>
        <w:tab/>
        <w:t>Dosering og indgivelsesmåde</w:t>
      </w:r>
    </w:p>
    <w:p w14:paraId="7E2F4FEB" w14:textId="77777777" w:rsidR="004365A2" w:rsidRPr="004365A2" w:rsidRDefault="004365A2" w:rsidP="004365A2">
      <w:pPr>
        <w:ind w:left="851"/>
        <w:rPr>
          <w:sz w:val="24"/>
          <w:szCs w:val="24"/>
        </w:rPr>
      </w:pPr>
    </w:p>
    <w:p w14:paraId="7819F549" w14:textId="77777777" w:rsidR="004365A2" w:rsidRPr="004365A2" w:rsidRDefault="004365A2" w:rsidP="004365A2">
      <w:pPr>
        <w:keepNext/>
        <w:ind w:left="851"/>
        <w:rPr>
          <w:sz w:val="24"/>
          <w:szCs w:val="24"/>
          <w:u w:val="single"/>
        </w:rPr>
      </w:pPr>
      <w:r w:rsidRPr="004365A2">
        <w:rPr>
          <w:sz w:val="24"/>
          <w:szCs w:val="24"/>
          <w:u w:val="single"/>
        </w:rPr>
        <w:t>Dosering</w:t>
      </w:r>
    </w:p>
    <w:p w14:paraId="16E3E8BC" w14:textId="77777777" w:rsidR="004365A2" w:rsidRPr="004365A2" w:rsidRDefault="004365A2" w:rsidP="004365A2">
      <w:pPr>
        <w:ind w:left="851"/>
        <w:rPr>
          <w:sz w:val="24"/>
          <w:szCs w:val="24"/>
        </w:rPr>
      </w:pPr>
      <w:r w:rsidRPr="004365A2">
        <w:rPr>
          <w:sz w:val="24"/>
          <w:szCs w:val="24"/>
        </w:rPr>
        <w:t>I starten appliceres salven 2-3 gange daglig, derefter to gange daglig. Mængden af salve afhænger af størrelsen på de områder af hud og slimhinder, der skal behandles. Den maksimale dosis på 2,5 g salve (125 mg lidocain) pr. applicering må ikke overskrides. Det svarer til 9 cm salve eller en mængde, der svarer til størrelsen på en vindrue.</w:t>
      </w:r>
    </w:p>
    <w:p w14:paraId="40642779" w14:textId="77777777" w:rsidR="004365A2" w:rsidRPr="004365A2" w:rsidRDefault="004365A2" w:rsidP="004365A2">
      <w:pPr>
        <w:ind w:left="851"/>
        <w:rPr>
          <w:sz w:val="24"/>
          <w:szCs w:val="24"/>
        </w:rPr>
      </w:pPr>
    </w:p>
    <w:p w14:paraId="5D4B291E" w14:textId="77777777" w:rsidR="004365A2" w:rsidRPr="004365A2" w:rsidRDefault="004365A2" w:rsidP="004365A2">
      <w:pPr>
        <w:ind w:left="851"/>
        <w:rPr>
          <w:sz w:val="24"/>
          <w:szCs w:val="24"/>
        </w:rPr>
      </w:pPr>
      <w:r w:rsidRPr="004365A2">
        <w:rPr>
          <w:sz w:val="24"/>
          <w:szCs w:val="24"/>
        </w:rPr>
        <w:t>Hvis symptomerne ikke er lindret efter 7 dage, bør patienten kontakte lægen.</w:t>
      </w:r>
    </w:p>
    <w:p w14:paraId="27754DC6" w14:textId="77777777" w:rsidR="004365A2" w:rsidRPr="004365A2" w:rsidRDefault="004365A2" w:rsidP="004365A2">
      <w:pPr>
        <w:ind w:left="851"/>
        <w:rPr>
          <w:sz w:val="24"/>
          <w:szCs w:val="24"/>
        </w:rPr>
      </w:pPr>
    </w:p>
    <w:p w14:paraId="5A3571A8" w14:textId="77777777" w:rsidR="004365A2" w:rsidRPr="004365A2" w:rsidRDefault="004365A2" w:rsidP="004365A2">
      <w:pPr>
        <w:keepNext/>
        <w:ind w:left="851"/>
        <w:rPr>
          <w:sz w:val="24"/>
          <w:szCs w:val="24"/>
        </w:rPr>
      </w:pPr>
      <w:r w:rsidRPr="004365A2">
        <w:rPr>
          <w:i/>
          <w:iCs/>
          <w:sz w:val="24"/>
          <w:szCs w:val="24"/>
        </w:rPr>
        <w:t>Pædiatrisk population</w:t>
      </w:r>
    </w:p>
    <w:p w14:paraId="4F5613DF" w14:textId="77777777" w:rsidR="004365A2" w:rsidRPr="004365A2" w:rsidRDefault="004365A2" w:rsidP="004365A2">
      <w:pPr>
        <w:tabs>
          <w:tab w:val="left" w:pos="851"/>
        </w:tabs>
        <w:ind w:left="851"/>
        <w:rPr>
          <w:sz w:val="24"/>
          <w:szCs w:val="24"/>
        </w:rPr>
      </w:pPr>
      <w:r w:rsidRPr="004365A2">
        <w:rPr>
          <w:sz w:val="24"/>
          <w:szCs w:val="24"/>
        </w:rPr>
        <w:t>Lidoposterins sikkerhed og virkning hos børn i alderen 18 år er endnu ikke klarlagt.</w:t>
      </w:r>
    </w:p>
    <w:p w14:paraId="344523AF" w14:textId="77777777" w:rsidR="004365A2" w:rsidRPr="004365A2" w:rsidRDefault="004365A2" w:rsidP="004365A2">
      <w:pPr>
        <w:ind w:left="851"/>
        <w:rPr>
          <w:sz w:val="24"/>
          <w:szCs w:val="24"/>
        </w:rPr>
      </w:pPr>
      <w:r w:rsidRPr="004365A2">
        <w:rPr>
          <w:sz w:val="24"/>
          <w:szCs w:val="24"/>
        </w:rPr>
        <w:t xml:space="preserve">Der foreligger ingen data. </w:t>
      </w:r>
    </w:p>
    <w:p w14:paraId="5B76C9F6" w14:textId="77777777" w:rsidR="004365A2" w:rsidRPr="004365A2" w:rsidRDefault="004365A2" w:rsidP="004365A2">
      <w:pPr>
        <w:ind w:left="851"/>
        <w:rPr>
          <w:sz w:val="24"/>
          <w:szCs w:val="24"/>
        </w:rPr>
      </w:pPr>
    </w:p>
    <w:p w14:paraId="772ED6F4" w14:textId="77777777" w:rsidR="004365A2" w:rsidRPr="004365A2" w:rsidRDefault="004365A2" w:rsidP="004365A2">
      <w:pPr>
        <w:keepNext/>
        <w:ind w:left="851"/>
        <w:rPr>
          <w:sz w:val="24"/>
          <w:szCs w:val="24"/>
          <w:u w:val="single"/>
        </w:rPr>
      </w:pPr>
      <w:r w:rsidRPr="004365A2">
        <w:rPr>
          <w:sz w:val="24"/>
          <w:szCs w:val="24"/>
          <w:u w:val="single"/>
        </w:rPr>
        <w:t xml:space="preserve">Særlige </w:t>
      </w:r>
      <w:r w:rsidRPr="004365A2">
        <w:rPr>
          <w:sz w:val="24"/>
          <w:szCs w:val="24"/>
        </w:rPr>
        <w:t>populationer</w:t>
      </w:r>
    </w:p>
    <w:p w14:paraId="5AF940C1" w14:textId="77777777" w:rsidR="004365A2" w:rsidRPr="004365A2" w:rsidRDefault="004365A2" w:rsidP="004365A2">
      <w:pPr>
        <w:ind w:left="851"/>
        <w:rPr>
          <w:i/>
          <w:iCs/>
          <w:sz w:val="24"/>
          <w:szCs w:val="24"/>
        </w:rPr>
      </w:pPr>
    </w:p>
    <w:p w14:paraId="27361E88" w14:textId="77777777" w:rsidR="004365A2" w:rsidRPr="004365A2" w:rsidRDefault="004365A2" w:rsidP="004365A2">
      <w:pPr>
        <w:ind w:left="851"/>
        <w:rPr>
          <w:i/>
          <w:iCs/>
          <w:sz w:val="24"/>
          <w:szCs w:val="24"/>
        </w:rPr>
      </w:pPr>
      <w:r w:rsidRPr="004365A2">
        <w:rPr>
          <w:i/>
          <w:iCs/>
          <w:sz w:val="24"/>
          <w:szCs w:val="24"/>
        </w:rPr>
        <w:t xml:space="preserve">Ældre </w:t>
      </w:r>
    </w:p>
    <w:p w14:paraId="623E08E4" w14:textId="77777777" w:rsidR="004365A2" w:rsidRPr="004365A2" w:rsidRDefault="004365A2" w:rsidP="004365A2">
      <w:pPr>
        <w:ind w:left="851"/>
        <w:rPr>
          <w:sz w:val="24"/>
          <w:szCs w:val="24"/>
        </w:rPr>
      </w:pPr>
      <w:r w:rsidRPr="004365A2">
        <w:rPr>
          <w:sz w:val="24"/>
          <w:szCs w:val="24"/>
        </w:rPr>
        <w:t>Der er utilstrækkelige data om Lidoposterins virkning og sikkerhed hos patienter i alderen 65 år og op. Dosisjusteringer er ikke nødvendige hos ældre.</w:t>
      </w:r>
    </w:p>
    <w:p w14:paraId="00E80998" w14:textId="77777777" w:rsidR="004365A2" w:rsidRPr="004365A2" w:rsidRDefault="004365A2" w:rsidP="004365A2">
      <w:pPr>
        <w:ind w:left="851"/>
        <w:rPr>
          <w:sz w:val="24"/>
          <w:szCs w:val="24"/>
        </w:rPr>
      </w:pPr>
    </w:p>
    <w:p w14:paraId="60C4BBDF" w14:textId="77777777" w:rsidR="004365A2" w:rsidRPr="004365A2" w:rsidRDefault="004365A2" w:rsidP="004365A2">
      <w:pPr>
        <w:ind w:left="851"/>
        <w:rPr>
          <w:i/>
          <w:iCs/>
          <w:sz w:val="24"/>
          <w:szCs w:val="24"/>
        </w:rPr>
      </w:pPr>
      <w:r w:rsidRPr="004365A2">
        <w:rPr>
          <w:i/>
          <w:iCs/>
          <w:sz w:val="24"/>
          <w:szCs w:val="24"/>
        </w:rPr>
        <w:t>Patienter med nedsat nyrefunktion</w:t>
      </w:r>
    </w:p>
    <w:p w14:paraId="766847EE" w14:textId="77777777" w:rsidR="004365A2" w:rsidRPr="004365A2" w:rsidRDefault="004365A2" w:rsidP="004365A2">
      <w:pPr>
        <w:ind w:left="851"/>
        <w:rPr>
          <w:sz w:val="24"/>
          <w:szCs w:val="24"/>
        </w:rPr>
      </w:pPr>
      <w:r w:rsidRPr="004365A2">
        <w:rPr>
          <w:sz w:val="24"/>
          <w:szCs w:val="24"/>
        </w:rPr>
        <w:t>Der er ikke udført kliniske studier hos patienter med nedsat nyrefunktion.</w:t>
      </w:r>
    </w:p>
    <w:p w14:paraId="199C6CAD" w14:textId="77777777" w:rsidR="004365A2" w:rsidRPr="004365A2" w:rsidRDefault="004365A2" w:rsidP="004365A2">
      <w:pPr>
        <w:ind w:left="851"/>
        <w:rPr>
          <w:sz w:val="24"/>
          <w:szCs w:val="24"/>
        </w:rPr>
      </w:pPr>
      <w:r w:rsidRPr="004365A2">
        <w:rPr>
          <w:sz w:val="24"/>
          <w:szCs w:val="24"/>
        </w:rPr>
        <w:t>På grund af påføringsvejen og den meget lave systemiske koncentration er dosisjustering ikke påkrævet.</w:t>
      </w:r>
    </w:p>
    <w:p w14:paraId="2101DC07" w14:textId="77777777" w:rsidR="004365A2" w:rsidRPr="004365A2" w:rsidRDefault="004365A2" w:rsidP="004365A2">
      <w:pPr>
        <w:ind w:left="851"/>
        <w:rPr>
          <w:sz w:val="24"/>
          <w:szCs w:val="24"/>
        </w:rPr>
      </w:pPr>
      <w:r w:rsidRPr="004365A2">
        <w:rPr>
          <w:sz w:val="24"/>
          <w:szCs w:val="24"/>
        </w:rPr>
        <w:t>Forsigtighed er påkrævet hos patienter med alvorligt nedsat nyrefunktion (se pkt. 4.4).</w:t>
      </w:r>
    </w:p>
    <w:p w14:paraId="5F62AE57" w14:textId="77777777" w:rsidR="004365A2" w:rsidRPr="004365A2" w:rsidRDefault="004365A2" w:rsidP="004365A2">
      <w:pPr>
        <w:ind w:left="851"/>
        <w:rPr>
          <w:sz w:val="24"/>
          <w:szCs w:val="24"/>
        </w:rPr>
      </w:pPr>
    </w:p>
    <w:p w14:paraId="67C7297A" w14:textId="77777777" w:rsidR="004365A2" w:rsidRPr="004365A2" w:rsidRDefault="004365A2" w:rsidP="004365A2">
      <w:pPr>
        <w:ind w:left="851"/>
        <w:rPr>
          <w:i/>
          <w:iCs/>
          <w:sz w:val="24"/>
          <w:szCs w:val="24"/>
        </w:rPr>
      </w:pPr>
      <w:r w:rsidRPr="004365A2">
        <w:rPr>
          <w:i/>
          <w:iCs/>
          <w:sz w:val="24"/>
          <w:szCs w:val="24"/>
        </w:rPr>
        <w:t>Patienter med nedsat leverfunktion</w:t>
      </w:r>
    </w:p>
    <w:p w14:paraId="5E8F2069" w14:textId="77777777" w:rsidR="004365A2" w:rsidRPr="004365A2" w:rsidRDefault="004365A2" w:rsidP="004365A2">
      <w:pPr>
        <w:ind w:left="851"/>
        <w:rPr>
          <w:sz w:val="24"/>
          <w:szCs w:val="24"/>
        </w:rPr>
      </w:pPr>
      <w:r w:rsidRPr="004365A2">
        <w:rPr>
          <w:sz w:val="24"/>
          <w:szCs w:val="24"/>
        </w:rPr>
        <w:t xml:space="preserve">Der er ikke udført kliniske studier hos patienter med nedsat leverfunktion. </w:t>
      </w:r>
    </w:p>
    <w:p w14:paraId="33DB35FC" w14:textId="77777777" w:rsidR="004365A2" w:rsidRPr="004365A2" w:rsidRDefault="004365A2" w:rsidP="004365A2">
      <w:pPr>
        <w:ind w:left="851"/>
        <w:rPr>
          <w:sz w:val="24"/>
          <w:szCs w:val="24"/>
        </w:rPr>
      </w:pPr>
      <w:r w:rsidRPr="004365A2">
        <w:rPr>
          <w:sz w:val="24"/>
          <w:szCs w:val="24"/>
        </w:rPr>
        <w:t>På grund af påføringsvejen og den meget lave systemiske koncentration er dosisjustering ikke påkrævet.</w:t>
      </w:r>
    </w:p>
    <w:p w14:paraId="7BB2D637" w14:textId="77777777" w:rsidR="004365A2" w:rsidRPr="004365A2" w:rsidRDefault="004365A2" w:rsidP="004365A2">
      <w:pPr>
        <w:ind w:left="851"/>
        <w:rPr>
          <w:sz w:val="24"/>
          <w:szCs w:val="24"/>
        </w:rPr>
      </w:pPr>
      <w:r w:rsidRPr="004365A2">
        <w:rPr>
          <w:sz w:val="24"/>
          <w:szCs w:val="24"/>
        </w:rPr>
        <w:t>Forsigtighed er påkrævet hos patienter med alvorligt nedsat leverfunktion (se pkt. 4.4).</w:t>
      </w:r>
    </w:p>
    <w:p w14:paraId="16D0FBBC" w14:textId="77777777" w:rsidR="004365A2" w:rsidRPr="004365A2" w:rsidRDefault="004365A2" w:rsidP="004365A2">
      <w:pPr>
        <w:ind w:left="851"/>
        <w:rPr>
          <w:sz w:val="24"/>
          <w:szCs w:val="24"/>
        </w:rPr>
      </w:pPr>
    </w:p>
    <w:p w14:paraId="6A562998" w14:textId="77777777" w:rsidR="004365A2" w:rsidRPr="004365A2" w:rsidRDefault="004365A2" w:rsidP="004365A2">
      <w:pPr>
        <w:keepNext/>
        <w:ind w:left="851"/>
        <w:rPr>
          <w:sz w:val="24"/>
          <w:szCs w:val="24"/>
          <w:u w:val="single"/>
        </w:rPr>
      </w:pPr>
      <w:r w:rsidRPr="004365A2">
        <w:rPr>
          <w:sz w:val="24"/>
          <w:szCs w:val="24"/>
          <w:u w:val="single"/>
        </w:rPr>
        <w:t>Administration</w:t>
      </w:r>
    </w:p>
    <w:p w14:paraId="0686A54F" w14:textId="77777777" w:rsidR="004365A2" w:rsidRPr="004365A2" w:rsidRDefault="004365A2" w:rsidP="004365A2">
      <w:pPr>
        <w:ind w:left="851"/>
        <w:rPr>
          <w:sz w:val="24"/>
          <w:szCs w:val="24"/>
        </w:rPr>
      </w:pPr>
      <w:r w:rsidRPr="004365A2">
        <w:rPr>
          <w:sz w:val="24"/>
          <w:szCs w:val="24"/>
        </w:rPr>
        <w:t>Salven appliceres morgen og aften, især før (omkring 30 minutter) og efter defækation, på de områder af hud og slimhinder, som kræver behandling. Den påsmøres grundigt med en finger. Analområdet skal rengøres grundigt før brug.</w:t>
      </w:r>
    </w:p>
    <w:p w14:paraId="76806930" w14:textId="77777777" w:rsidR="004365A2" w:rsidRPr="004365A2" w:rsidRDefault="004365A2" w:rsidP="004365A2">
      <w:pPr>
        <w:ind w:left="851"/>
        <w:rPr>
          <w:sz w:val="24"/>
          <w:szCs w:val="24"/>
        </w:rPr>
      </w:pPr>
    </w:p>
    <w:p w14:paraId="37505E0F" w14:textId="77777777" w:rsidR="004365A2" w:rsidRPr="004365A2" w:rsidRDefault="004365A2" w:rsidP="004365A2">
      <w:pPr>
        <w:ind w:left="851"/>
        <w:rPr>
          <w:sz w:val="24"/>
          <w:szCs w:val="24"/>
        </w:rPr>
      </w:pPr>
      <w:r w:rsidRPr="004365A2">
        <w:rPr>
          <w:sz w:val="24"/>
          <w:szCs w:val="24"/>
        </w:rPr>
        <w:t>Pakningen indeholder en applikator med sideåbninger til applicering i analkanalen. Salven kan appliceres direkte på det berørte område, når symptomerne opstår, ved hjælp af applikatoren.</w:t>
      </w:r>
    </w:p>
    <w:p w14:paraId="21353699" w14:textId="77777777" w:rsidR="004365A2" w:rsidRPr="004365A2" w:rsidRDefault="004365A2" w:rsidP="004365A2">
      <w:pPr>
        <w:ind w:left="851"/>
        <w:rPr>
          <w:sz w:val="24"/>
          <w:szCs w:val="24"/>
        </w:rPr>
      </w:pPr>
      <w:r w:rsidRPr="004365A2">
        <w:rPr>
          <w:sz w:val="24"/>
          <w:szCs w:val="24"/>
        </w:rPr>
        <w:t>For at undgå potentiel kontaminering af salven, når applikatoren anvendes i analkanalen, skal applikatoren rengøres efter brug ved at klemme salven ud gennem sideåbningerne og aftørre overfladen med et stykke absorberende papir.</w:t>
      </w:r>
    </w:p>
    <w:p w14:paraId="117C5A8F" w14:textId="77777777" w:rsidR="004365A2" w:rsidRPr="004365A2" w:rsidRDefault="004365A2" w:rsidP="004365A2">
      <w:pPr>
        <w:ind w:left="851"/>
        <w:rPr>
          <w:sz w:val="24"/>
          <w:szCs w:val="24"/>
        </w:rPr>
      </w:pPr>
      <w:r w:rsidRPr="004365A2">
        <w:rPr>
          <w:sz w:val="24"/>
          <w:szCs w:val="24"/>
        </w:rPr>
        <w:t>Hvis salven ikke anvendes i længere tid, skal applikatoren skrues af og rengøres med lunkent vand.</w:t>
      </w:r>
    </w:p>
    <w:p w14:paraId="6AAAE4A8" w14:textId="77777777" w:rsidR="004365A2" w:rsidRPr="004365A2" w:rsidRDefault="004365A2" w:rsidP="004365A2">
      <w:pPr>
        <w:tabs>
          <w:tab w:val="left" w:pos="851"/>
        </w:tabs>
        <w:ind w:left="851"/>
        <w:rPr>
          <w:sz w:val="24"/>
          <w:szCs w:val="24"/>
        </w:rPr>
      </w:pPr>
    </w:p>
    <w:p w14:paraId="3912F086" w14:textId="77777777" w:rsidR="004365A2" w:rsidRPr="004365A2" w:rsidRDefault="004365A2" w:rsidP="004365A2">
      <w:pPr>
        <w:tabs>
          <w:tab w:val="left" w:pos="851"/>
        </w:tabs>
        <w:ind w:left="851" w:hanging="851"/>
        <w:rPr>
          <w:b/>
          <w:sz w:val="24"/>
          <w:szCs w:val="24"/>
        </w:rPr>
      </w:pPr>
      <w:r w:rsidRPr="004365A2">
        <w:rPr>
          <w:b/>
          <w:sz w:val="24"/>
          <w:szCs w:val="24"/>
        </w:rPr>
        <w:t>4.3</w:t>
      </w:r>
      <w:r w:rsidRPr="004365A2">
        <w:rPr>
          <w:b/>
          <w:sz w:val="24"/>
          <w:szCs w:val="24"/>
        </w:rPr>
        <w:tab/>
        <w:t>Kontraindikationer</w:t>
      </w:r>
    </w:p>
    <w:p w14:paraId="26A2294F" w14:textId="77777777" w:rsidR="004365A2" w:rsidRPr="004365A2" w:rsidRDefault="004365A2" w:rsidP="004365A2">
      <w:pPr>
        <w:ind w:left="851"/>
        <w:rPr>
          <w:sz w:val="24"/>
          <w:szCs w:val="24"/>
        </w:rPr>
      </w:pPr>
      <w:r w:rsidRPr="004365A2">
        <w:rPr>
          <w:sz w:val="24"/>
          <w:szCs w:val="24"/>
        </w:rPr>
        <w:t>Overfølsomhed over for det aktive stof eller over for et eller flere af hjælpestofferne anført i pkt. 6.1.</w:t>
      </w:r>
    </w:p>
    <w:p w14:paraId="3617935E" w14:textId="77777777" w:rsidR="004365A2" w:rsidRPr="004365A2" w:rsidRDefault="004365A2" w:rsidP="004365A2">
      <w:pPr>
        <w:tabs>
          <w:tab w:val="left" w:pos="851"/>
        </w:tabs>
        <w:ind w:left="851"/>
        <w:rPr>
          <w:sz w:val="24"/>
          <w:szCs w:val="24"/>
        </w:rPr>
      </w:pPr>
    </w:p>
    <w:p w14:paraId="417D448E" w14:textId="77777777" w:rsidR="004365A2" w:rsidRPr="004365A2" w:rsidRDefault="004365A2" w:rsidP="004365A2">
      <w:pPr>
        <w:tabs>
          <w:tab w:val="left" w:pos="851"/>
        </w:tabs>
        <w:ind w:left="851" w:hanging="851"/>
        <w:rPr>
          <w:b/>
          <w:sz w:val="24"/>
          <w:szCs w:val="24"/>
        </w:rPr>
      </w:pPr>
      <w:r w:rsidRPr="004365A2">
        <w:rPr>
          <w:b/>
          <w:sz w:val="24"/>
          <w:szCs w:val="24"/>
        </w:rPr>
        <w:t>4.4</w:t>
      </w:r>
      <w:r w:rsidRPr="004365A2">
        <w:rPr>
          <w:b/>
          <w:sz w:val="24"/>
          <w:szCs w:val="24"/>
        </w:rPr>
        <w:tab/>
        <w:t>Særlige advarsler og forsigtighedsregler vedrørende brugen</w:t>
      </w:r>
    </w:p>
    <w:p w14:paraId="7DBBD965" w14:textId="77777777" w:rsidR="004365A2" w:rsidRPr="004365A2" w:rsidRDefault="004365A2" w:rsidP="004365A2">
      <w:pPr>
        <w:ind w:left="851"/>
        <w:rPr>
          <w:sz w:val="24"/>
          <w:szCs w:val="24"/>
        </w:rPr>
      </w:pPr>
      <w:r w:rsidRPr="004365A2">
        <w:rPr>
          <w:sz w:val="24"/>
          <w:szCs w:val="24"/>
        </w:rPr>
        <w:t>Ved de anbefalede doser og behandlingsintervaller betragtes systemiske virkninger af lidocain som usandsynlige. Da den systemiske tilgængelighed med rektal applicering er relativt høj, kan overdosering af Lidoposterin eller korte intervaller mellem doserne resultere i høje plasmaniveauer af lidocain og alvorlige bivirkninger som f.eks. virkninger på centralnervesystemet (se pkt. 4.9). Patienterne skal instrueres i at følge den anbefalede dosering nøje.</w:t>
      </w:r>
    </w:p>
    <w:p w14:paraId="2A8FE16B" w14:textId="77777777" w:rsidR="004365A2" w:rsidRPr="004365A2" w:rsidRDefault="004365A2" w:rsidP="004365A2">
      <w:pPr>
        <w:ind w:left="851"/>
        <w:rPr>
          <w:sz w:val="24"/>
          <w:szCs w:val="24"/>
        </w:rPr>
      </w:pPr>
      <w:r w:rsidRPr="004365A2">
        <w:rPr>
          <w:sz w:val="24"/>
          <w:szCs w:val="24"/>
        </w:rPr>
        <w:t>Lidocain skal anvendes med forsigtighed hos patienter, der får anden lokalbedøvelse, da de toksiske effekter er additive.</w:t>
      </w:r>
    </w:p>
    <w:p w14:paraId="6CC784BC" w14:textId="77777777" w:rsidR="004365A2" w:rsidRPr="004365A2" w:rsidRDefault="004365A2" w:rsidP="004365A2">
      <w:pPr>
        <w:ind w:left="851"/>
        <w:rPr>
          <w:sz w:val="24"/>
          <w:szCs w:val="24"/>
        </w:rPr>
      </w:pPr>
    </w:p>
    <w:p w14:paraId="3D3C0959" w14:textId="77777777" w:rsidR="004365A2" w:rsidRPr="004365A2" w:rsidRDefault="004365A2" w:rsidP="004365A2">
      <w:pPr>
        <w:ind w:left="851"/>
        <w:rPr>
          <w:sz w:val="24"/>
          <w:szCs w:val="24"/>
        </w:rPr>
      </w:pPr>
      <w:r w:rsidRPr="004365A2">
        <w:rPr>
          <w:sz w:val="24"/>
          <w:szCs w:val="24"/>
        </w:rPr>
        <w:t>Lægemidlet må ikke anvendes i tilfælde af rektal blødning.</w:t>
      </w:r>
    </w:p>
    <w:p w14:paraId="433F6849" w14:textId="77777777" w:rsidR="004365A2" w:rsidRPr="004365A2" w:rsidRDefault="004365A2" w:rsidP="004365A2">
      <w:pPr>
        <w:ind w:left="851"/>
        <w:rPr>
          <w:sz w:val="24"/>
          <w:szCs w:val="24"/>
        </w:rPr>
      </w:pPr>
      <w:r w:rsidRPr="004365A2">
        <w:rPr>
          <w:sz w:val="24"/>
          <w:szCs w:val="24"/>
        </w:rPr>
        <w:t>Behandlingen skal seponeres og en læge kontaktes, hvis der forekommer blødning under behandling.</w:t>
      </w:r>
    </w:p>
    <w:p w14:paraId="729080E6" w14:textId="77777777" w:rsidR="004365A2" w:rsidRPr="004365A2" w:rsidRDefault="004365A2" w:rsidP="004365A2">
      <w:pPr>
        <w:ind w:left="851"/>
        <w:rPr>
          <w:sz w:val="24"/>
          <w:szCs w:val="24"/>
        </w:rPr>
      </w:pPr>
    </w:p>
    <w:p w14:paraId="2CADE33A" w14:textId="77777777" w:rsidR="004365A2" w:rsidRPr="004365A2" w:rsidRDefault="004365A2" w:rsidP="004365A2">
      <w:pPr>
        <w:ind w:left="851"/>
        <w:rPr>
          <w:sz w:val="24"/>
          <w:szCs w:val="24"/>
        </w:rPr>
      </w:pPr>
      <w:r w:rsidRPr="004365A2">
        <w:rPr>
          <w:sz w:val="24"/>
          <w:szCs w:val="24"/>
        </w:rPr>
        <w:lastRenderedPageBreak/>
        <w:t>I tilfælde af en anorektal infektion bør lidocain kun anvendes efter initiering af relevant behandling for ikke at maskere symptomerne.</w:t>
      </w:r>
    </w:p>
    <w:p w14:paraId="25F302A9" w14:textId="77777777" w:rsidR="004365A2" w:rsidRPr="004365A2" w:rsidRDefault="004365A2" w:rsidP="004365A2">
      <w:pPr>
        <w:ind w:left="851"/>
        <w:rPr>
          <w:sz w:val="24"/>
          <w:szCs w:val="24"/>
        </w:rPr>
      </w:pPr>
    </w:p>
    <w:p w14:paraId="76B9D805" w14:textId="77777777" w:rsidR="004365A2" w:rsidRPr="004365A2" w:rsidRDefault="004365A2" w:rsidP="004365A2">
      <w:pPr>
        <w:ind w:left="851"/>
        <w:rPr>
          <w:sz w:val="24"/>
          <w:szCs w:val="24"/>
        </w:rPr>
      </w:pPr>
      <w:r w:rsidRPr="004365A2">
        <w:rPr>
          <w:sz w:val="24"/>
          <w:szCs w:val="24"/>
        </w:rPr>
        <w:t>Patienter med hjerte-, svær lever- eller nyredysfunktion bør udvise forsigtighed ved brug af Lidoposterin og bør konsultere en læge, hvis der er tegn på mulige toksiske virkninger.</w:t>
      </w:r>
    </w:p>
    <w:p w14:paraId="52A134B9" w14:textId="77777777" w:rsidR="004365A2" w:rsidRPr="004365A2" w:rsidRDefault="004365A2" w:rsidP="004365A2">
      <w:pPr>
        <w:ind w:left="851"/>
        <w:rPr>
          <w:sz w:val="24"/>
          <w:szCs w:val="24"/>
        </w:rPr>
      </w:pPr>
    </w:p>
    <w:p w14:paraId="0D706F42" w14:textId="77777777" w:rsidR="004365A2" w:rsidRPr="004365A2" w:rsidRDefault="004365A2" w:rsidP="004365A2">
      <w:pPr>
        <w:ind w:left="851"/>
        <w:rPr>
          <w:sz w:val="24"/>
          <w:szCs w:val="24"/>
        </w:rPr>
      </w:pPr>
      <w:r w:rsidRPr="004365A2">
        <w:rPr>
          <w:sz w:val="24"/>
          <w:szCs w:val="24"/>
        </w:rPr>
        <w:t>Patienter, som er i behandling med klasse III-antiarytmika (f.eks. amiodaron), skal monitoreres omhyggeligt, og EKG-monitorering bør overvejes, da effekterne på hjertet kan være additive.</w:t>
      </w:r>
    </w:p>
    <w:p w14:paraId="2D68E67C" w14:textId="77777777" w:rsidR="004365A2" w:rsidRPr="004365A2" w:rsidRDefault="004365A2" w:rsidP="004365A2">
      <w:pPr>
        <w:ind w:left="851"/>
        <w:rPr>
          <w:sz w:val="24"/>
          <w:szCs w:val="24"/>
        </w:rPr>
      </w:pPr>
    </w:p>
    <w:p w14:paraId="2C5EDCAB" w14:textId="77777777" w:rsidR="004365A2" w:rsidRPr="004365A2" w:rsidRDefault="004365A2" w:rsidP="004365A2">
      <w:pPr>
        <w:ind w:left="851"/>
        <w:rPr>
          <w:sz w:val="24"/>
          <w:szCs w:val="24"/>
        </w:rPr>
      </w:pPr>
      <w:r w:rsidRPr="004365A2">
        <w:rPr>
          <w:sz w:val="24"/>
          <w:szCs w:val="24"/>
        </w:rPr>
        <w:t>Lokal irritation kan undertiden henføres til overfølsomhed over for lidocain, og behandlingen bør da seponeres.</w:t>
      </w:r>
    </w:p>
    <w:p w14:paraId="4E4459BF" w14:textId="77777777" w:rsidR="004365A2" w:rsidRPr="004365A2" w:rsidRDefault="004365A2" w:rsidP="004365A2">
      <w:pPr>
        <w:ind w:left="851"/>
        <w:rPr>
          <w:sz w:val="24"/>
          <w:szCs w:val="24"/>
        </w:rPr>
      </w:pPr>
    </w:p>
    <w:p w14:paraId="2F33D51F" w14:textId="77777777" w:rsidR="004365A2" w:rsidRPr="004365A2" w:rsidRDefault="004365A2" w:rsidP="004365A2">
      <w:pPr>
        <w:ind w:left="851"/>
        <w:rPr>
          <w:sz w:val="24"/>
          <w:szCs w:val="24"/>
        </w:rPr>
      </w:pPr>
      <w:r w:rsidRPr="004365A2">
        <w:rPr>
          <w:sz w:val="24"/>
          <w:szCs w:val="24"/>
        </w:rPr>
        <w:t xml:space="preserve">En af lidocains metabolitter, 2,6-xylidin, er vist at være genotoksisk og karcinogen hos rotter (se pkt. 5.3). Sekundære metabolitter er vist at være mutagene. Den kliniske betydning af disse fund er ukendt. </w:t>
      </w:r>
    </w:p>
    <w:p w14:paraId="7283CCD7" w14:textId="77777777" w:rsidR="004365A2" w:rsidRPr="004365A2" w:rsidRDefault="004365A2" w:rsidP="004365A2">
      <w:pPr>
        <w:ind w:left="851"/>
        <w:rPr>
          <w:sz w:val="24"/>
          <w:szCs w:val="24"/>
        </w:rPr>
      </w:pPr>
      <w:r w:rsidRPr="004365A2">
        <w:rPr>
          <w:sz w:val="24"/>
          <w:szCs w:val="24"/>
        </w:rPr>
        <w:t>Derfor er langvarig behandling med Lidoposterin kun berettiget, hvis der er terapeutiske fordele for patienten (se pkt. 4.2).</w:t>
      </w:r>
    </w:p>
    <w:p w14:paraId="4556585B" w14:textId="77777777" w:rsidR="004365A2" w:rsidRPr="004365A2" w:rsidRDefault="004365A2" w:rsidP="004365A2">
      <w:pPr>
        <w:ind w:left="851"/>
        <w:rPr>
          <w:sz w:val="24"/>
          <w:szCs w:val="24"/>
        </w:rPr>
      </w:pPr>
    </w:p>
    <w:p w14:paraId="1C886577" w14:textId="77777777" w:rsidR="004365A2" w:rsidRPr="004365A2" w:rsidRDefault="004365A2" w:rsidP="004365A2">
      <w:pPr>
        <w:ind w:left="851"/>
        <w:rPr>
          <w:sz w:val="24"/>
          <w:szCs w:val="24"/>
        </w:rPr>
      </w:pPr>
      <w:r w:rsidRPr="004365A2">
        <w:rPr>
          <w:sz w:val="24"/>
          <w:szCs w:val="24"/>
        </w:rPr>
        <w:t>Cetylalkohol kan give lokalt hududslæt (f.eks. kontakteksem).</w:t>
      </w:r>
    </w:p>
    <w:p w14:paraId="37A947DE" w14:textId="77777777" w:rsidR="004365A2" w:rsidRPr="004365A2" w:rsidRDefault="004365A2" w:rsidP="004365A2">
      <w:pPr>
        <w:rPr>
          <w:sz w:val="24"/>
          <w:szCs w:val="24"/>
        </w:rPr>
      </w:pPr>
    </w:p>
    <w:p w14:paraId="7436EDFB" w14:textId="77777777" w:rsidR="004365A2" w:rsidRPr="004365A2" w:rsidRDefault="004365A2" w:rsidP="004365A2">
      <w:pPr>
        <w:tabs>
          <w:tab w:val="left" w:pos="851"/>
        </w:tabs>
        <w:ind w:left="851" w:hanging="851"/>
        <w:rPr>
          <w:b/>
          <w:sz w:val="24"/>
          <w:szCs w:val="24"/>
        </w:rPr>
      </w:pPr>
      <w:r w:rsidRPr="004365A2">
        <w:rPr>
          <w:b/>
          <w:sz w:val="24"/>
          <w:szCs w:val="24"/>
        </w:rPr>
        <w:t>4.5</w:t>
      </w:r>
      <w:r w:rsidRPr="004365A2">
        <w:rPr>
          <w:b/>
          <w:sz w:val="24"/>
          <w:szCs w:val="24"/>
        </w:rPr>
        <w:tab/>
        <w:t>Interaktion med andre lægemidler og andre former for interaktion</w:t>
      </w:r>
    </w:p>
    <w:p w14:paraId="7A54AA52" w14:textId="77777777" w:rsidR="004365A2" w:rsidRPr="004365A2" w:rsidRDefault="004365A2" w:rsidP="004365A2">
      <w:pPr>
        <w:ind w:left="851"/>
        <w:rPr>
          <w:sz w:val="24"/>
          <w:szCs w:val="24"/>
        </w:rPr>
      </w:pPr>
      <w:r w:rsidRPr="004365A2">
        <w:rPr>
          <w:sz w:val="24"/>
          <w:szCs w:val="24"/>
        </w:rPr>
        <w:t>Lidocain skal anvendes med forsigtighed sammen med dental injektionsanalgesi og andre lokalanalgetika og stoffer, der er strukturelt beslægtet med lokalanalgetika af amidtypen, f.eks. klasse IB-antiarytmika, da de toksiske effekter er additive.</w:t>
      </w:r>
    </w:p>
    <w:p w14:paraId="1D16FA9C" w14:textId="77777777" w:rsidR="004365A2" w:rsidRPr="004365A2" w:rsidRDefault="004365A2" w:rsidP="004365A2">
      <w:pPr>
        <w:ind w:left="851"/>
        <w:rPr>
          <w:sz w:val="24"/>
          <w:szCs w:val="24"/>
        </w:rPr>
      </w:pPr>
      <w:r w:rsidRPr="004365A2">
        <w:rPr>
          <w:sz w:val="24"/>
          <w:szCs w:val="24"/>
        </w:rPr>
        <w:t>Der er ikke udført nogen interaktionsstudier med lokalanalgetika og klasse III-antiarytmika, men der bør udvises forsigtighed (se pkt. 4.4).</w:t>
      </w:r>
    </w:p>
    <w:p w14:paraId="1598FF07" w14:textId="77777777" w:rsidR="004365A2" w:rsidRPr="004365A2" w:rsidRDefault="004365A2" w:rsidP="004365A2">
      <w:pPr>
        <w:ind w:left="851"/>
        <w:rPr>
          <w:sz w:val="24"/>
          <w:szCs w:val="24"/>
        </w:rPr>
      </w:pPr>
      <w:r w:rsidRPr="004365A2">
        <w:rPr>
          <w:sz w:val="24"/>
          <w:szCs w:val="24"/>
        </w:rPr>
        <w:t>Lægemidler, som hæmmer lidocains metabolisme (f.eks. cimetidin og betablokkere), kan forårsage potentielt toksiske plasmakoncentrationer, når lidocain administreres gentagne gange ved høje doser over lang tid. Disse interaktioner er ikke klinisk relevante efter kortvarig behandling med lidocain ved de anbefalede doser.</w:t>
      </w:r>
    </w:p>
    <w:p w14:paraId="297C668B" w14:textId="77777777" w:rsidR="004365A2" w:rsidRPr="004365A2" w:rsidRDefault="004365A2" w:rsidP="004365A2">
      <w:pPr>
        <w:tabs>
          <w:tab w:val="left" w:pos="851"/>
        </w:tabs>
        <w:ind w:left="851"/>
        <w:rPr>
          <w:sz w:val="24"/>
          <w:szCs w:val="24"/>
        </w:rPr>
      </w:pPr>
    </w:p>
    <w:p w14:paraId="2476A269" w14:textId="77777777" w:rsidR="004365A2" w:rsidRPr="004365A2" w:rsidRDefault="004365A2" w:rsidP="004365A2">
      <w:pPr>
        <w:tabs>
          <w:tab w:val="left" w:pos="851"/>
        </w:tabs>
        <w:ind w:left="851" w:hanging="851"/>
        <w:rPr>
          <w:b/>
          <w:sz w:val="24"/>
          <w:szCs w:val="24"/>
        </w:rPr>
      </w:pPr>
      <w:r w:rsidRPr="004365A2">
        <w:rPr>
          <w:b/>
          <w:sz w:val="24"/>
          <w:szCs w:val="24"/>
        </w:rPr>
        <w:t>4.6</w:t>
      </w:r>
      <w:r w:rsidRPr="004365A2">
        <w:rPr>
          <w:b/>
          <w:sz w:val="24"/>
          <w:szCs w:val="24"/>
        </w:rPr>
        <w:tab/>
        <w:t>Fertilitet, graviditet og amning</w:t>
      </w:r>
    </w:p>
    <w:p w14:paraId="76416DA8" w14:textId="77777777" w:rsidR="004365A2" w:rsidRPr="004365A2" w:rsidRDefault="004365A2" w:rsidP="004365A2">
      <w:pPr>
        <w:ind w:left="851"/>
        <w:rPr>
          <w:sz w:val="24"/>
          <w:szCs w:val="24"/>
          <w:u w:val="single"/>
        </w:rPr>
      </w:pPr>
    </w:p>
    <w:p w14:paraId="4718CC3A" w14:textId="77777777" w:rsidR="004365A2" w:rsidRPr="004365A2" w:rsidRDefault="004365A2" w:rsidP="004365A2">
      <w:pPr>
        <w:keepNext/>
        <w:ind w:left="851"/>
        <w:rPr>
          <w:sz w:val="24"/>
          <w:szCs w:val="24"/>
          <w:u w:val="single"/>
        </w:rPr>
      </w:pPr>
      <w:r w:rsidRPr="004365A2">
        <w:rPr>
          <w:sz w:val="24"/>
          <w:szCs w:val="24"/>
          <w:u w:val="single"/>
        </w:rPr>
        <w:t>Graviditet</w:t>
      </w:r>
    </w:p>
    <w:p w14:paraId="1D5FB333" w14:textId="77777777" w:rsidR="004365A2" w:rsidRPr="004365A2" w:rsidRDefault="004365A2" w:rsidP="004365A2">
      <w:pPr>
        <w:ind w:left="851"/>
        <w:rPr>
          <w:sz w:val="24"/>
          <w:szCs w:val="24"/>
        </w:rPr>
      </w:pPr>
      <w:r w:rsidRPr="004365A2">
        <w:rPr>
          <w:sz w:val="24"/>
          <w:szCs w:val="24"/>
        </w:rPr>
        <w:t>Der er ingen eller utilstrækkelige data fra anvendelse af Lidoposterin til gravide kvinder. Dyreforsøg har ikke påvist teratogent potentiale ved lidocain (se pkt. 5.3). Lidocain krydser placenta.</w:t>
      </w:r>
    </w:p>
    <w:p w14:paraId="7B6A751B" w14:textId="77777777" w:rsidR="004365A2" w:rsidRPr="004365A2" w:rsidRDefault="004365A2" w:rsidP="004365A2">
      <w:pPr>
        <w:ind w:left="851"/>
        <w:rPr>
          <w:sz w:val="24"/>
          <w:szCs w:val="24"/>
        </w:rPr>
      </w:pPr>
      <w:r w:rsidRPr="004365A2">
        <w:rPr>
          <w:sz w:val="24"/>
          <w:szCs w:val="24"/>
        </w:rPr>
        <w:t>Risikoen for mennesker er ikke kendt. Lidoposterin må derfor kun anvendes på tvingende indikation under graviditet.</w:t>
      </w:r>
    </w:p>
    <w:p w14:paraId="3E1B74E2" w14:textId="77777777" w:rsidR="004365A2" w:rsidRPr="004365A2" w:rsidRDefault="004365A2" w:rsidP="004365A2">
      <w:pPr>
        <w:ind w:left="851"/>
        <w:rPr>
          <w:sz w:val="24"/>
          <w:szCs w:val="24"/>
        </w:rPr>
      </w:pPr>
    </w:p>
    <w:p w14:paraId="3E5FE77B" w14:textId="77777777" w:rsidR="004365A2" w:rsidRPr="004365A2" w:rsidRDefault="004365A2" w:rsidP="004365A2">
      <w:pPr>
        <w:keepNext/>
        <w:ind w:left="851"/>
        <w:rPr>
          <w:sz w:val="24"/>
          <w:szCs w:val="24"/>
          <w:u w:val="single"/>
        </w:rPr>
      </w:pPr>
      <w:r w:rsidRPr="004365A2">
        <w:rPr>
          <w:sz w:val="24"/>
          <w:szCs w:val="24"/>
          <w:u w:val="single"/>
        </w:rPr>
        <w:t>Amning</w:t>
      </w:r>
    </w:p>
    <w:p w14:paraId="00402A50" w14:textId="77777777" w:rsidR="004365A2" w:rsidRPr="004365A2" w:rsidRDefault="004365A2" w:rsidP="004365A2">
      <w:pPr>
        <w:ind w:left="851"/>
        <w:rPr>
          <w:sz w:val="24"/>
          <w:szCs w:val="24"/>
        </w:rPr>
      </w:pPr>
      <w:r w:rsidRPr="004365A2">
        <w:rPr>
          <w:sz w:val="24"/>
          <w:szCs w:val="24"/>
        </w:rPr>
        <w:t>Lidocain udskilles i brystmælk. Der er imidlertid ikke udført studier med anvendelse af Lidoposterin til ammende kvinder. Da lidocain metaboliseres relativt hurtigt og mere eller mindre fuldstændigt i leveren, forventes det, at der kun udskilles meget lave niveauer af lidocain i human mælk.</w:t>
      </w:r>
    </w:p>
    <w:p w14:paraId="38A3DD42" w14:textId="77777777" w:rsidR="004365A2" w:rsidRPr="004365A2" w:rsidRDefault="004365A2" w:rsidP="004365A2">
      <w:pPr>
        <w:ind w:left="851"/>
        <w:rPr>
          <w:sz w:val="24"/>
          <w:szCs w:val="24"/>
        </w:rPr>
      </w:pPr>
      <w:r w:rsidRPr="004365A2">
        <w:rPr>
          <w:sz w:val="24"/>
          <w:szCs w:val="24"/>
        </w:rPr>
        <w:t>Når Lidoposterin anvendes som anvist, forventes ingen virkninger på ammede nyfødte/spædbørn.</w:t>
      </w:r>
    </w:p>
    <w:p w14:paraId="016C0E8A" w14:textId="77777777" w:rsidR="004365A2" w:rsidRPr="004365A2" w:rsidRDefault="004365A2" w:rsidP="004365A2">
      <w:pPr>
        <w:ind w:left="851"/>
        <w:rPr>
          <w:sz w:val="24"/>
          <w:szCs w:val="24"/>
        </w:rPr>
      </w:pPr>
      <w:r w:rsidRPr="004365A2">
        <w:rPr>
          <w:sz w:val="24"/>
          <w:szCs w:val="24"/>
        </w:rPr>
        <w:t>Lidoposterin kan anvendes under amning.</w:t>
      </w:r>
    </w:p>
    <w:p w14:paraId="297672AA" w14:textId="77777777" w:rsidR="004365A2" w:rsidRPr="004365A2" w:rsidRDefault="004365A2" w:rsidP="004365A2">
      <w:pPr>
        <w:ind w:left="851"/>
        <w:rPr>
          <w:sz w:val="24"/>
          <w:szCs w:val="24"/>
        </w:rPr>
      </w:pPr>
    </w:p>
    <w:p w14:paraId="4019B5E1" w14:textId="77777777" w:rsidR="004365A2" w:rsidRPr="004365A2" w:rsidRDefault="004365A2" w:rsidP="004365A2">
      <w:pPr>
        <w:keepNext/>
        <w:ind w:left="851"/>
        <w:rPr>
          <w:sz w:val="24"/>
          <w:szCs w:val="24"/>
          <w:u w:val="single"/>
        </w:rPr>
      </w:pPr>
      <w:r w:rsidRPr="004365A2">
        <w:rPr>
          <w:sz w:val="24"/>
          <w:szCs w:val="24"/>
          <w:u w:val="single"/>
        </w:rPr>
        <w:lastRenderedPageBreak/>
        <w:t>Fertilitet</w:t>
      </w:r>
    </w:p>
    <w:p w14:paraId="35636114" w14:textId="77777777" w:rsidR="004365A2" w:rsidRPr="004365A2" w:rsidRDefault="004365A2" w:rsidP="004365A2">
      <w:pPr>
        <w:ind w:left="851"/>
        <w:rPr>
          <w:sz w:val="24"/>
          <w:szCs w:val="24"/>
        </w:rPr>
      </w:pPr>
      <w:r w:rsidRPr="004365A2">
        <w:rPr>
          <w:sz w:val="24"/>
          <w:szCs w:val="24"/>
        </w:rPr>
        <w:t>Der foreligger ingen kliniske fertilitetsdata vedrørende lidocain. Dyreforsøg har ikke vist indvirkning på hunners fertilitet (se pkt. 5.3).</w:t>
      </w:r>
    </w:p>
    <w:p w14:paraId="40900073" w14:textId="77777777" w:rsidR="004365A2" w:rsidRPr="004365A2" w:rsidRDefault="004365A2" w:rsidP="004365A2">
      <w:pPr>
        <w:tabs>
          <w:tab w:val="left" w:pos="851"/>
        </w:tabs>
        <w:ind w:left="851"/>
        <w:rPr>
          <w:sz w:val="24"/>
          <w:szCs w:val="24"/>
        </w:rPr>
      </w:pPr>
    </w:p>
    <w:p w14:paraId="6F6E20DA" w14:textId="77777777" w:rsidR="004365A2" w:rsidRPr="004365A2" w:rsidRDefault="004365A2" w:rsidP="004365A2">
      <w:pPr>
        <w:tabs>
          <w:tab w:val="left" w:pos="851"/>
        </w:tabs>
        <w:ind w:left="851" w:hanging="851"/>
        <w:rPr>
          <w:b/>
          <w:sz w:val="24"/>
          <w:szCs w:val="24"/>
        </w:rPr>
      </w:pPr>
      <w:r w:rsidRPr="004365A2">
        <w:rPr>
          <w:b/>
          <w:sz w:val="24"/>
          <w:szCs w:val="24"/>
        </w:rPr>
        <w:t>4.7</w:t>
      </w:r>
      <w:r w:rsidRPr="004365A2">
        <w:rPr>
          <w:b/>
          <w:sz w:val="24"/>
          <w:szCs w:val="24"/>
        </w:rPr>
        <w:tab/>
        <w:t>Virkning på evnen til at føre motorkøretøj og betjene maskiner</w:t>
      </w:r>
    </w:p>
    <w:p w14:paraId="6EEF4CAB" w14:textId="77777777" w:rsidR="004365A2" w:rsidRPr="004365A2" w:rsidRDefault="004365A2" w:rsidP="004365A2">
      <w:pPr>
        <w:tabs>
          <w:tab w:val="left" w:pos="851"/>
        </w:tabs>
        <w:ind w:left="851"/>
        <w:rPr>
          <w:sz w:val="24"/>
          <w:szCs w:val="24"/>
        </w:rPr>
      </w:pPr>
      <w:r w:rsidRPr="004365A2">
        <w:rPr>
          <w:sz w:val="24"/>
          <w:szCs w:val="24"/>
        </w:rPr>
        <w:t>Lidoposterin påvirker ikke eller kun i ubetydelig grad evnen til at føre motorkøretøj og betjene maskiner.</w:t>
      </w:r>
    </w:p>
    <w:p w14:paraId="6D5D3787" w14:textId="77777777" w:rsidR="004365A2" w:rsidRPr="004365A2" w:rsidRDefault="004365A2" w:rsidP="004365A2">
      <w:pPr>
        <w:tabs>
          <w:tab w:val="left" w:pos="851"/>
        </w:tabs>
        <w:ind w:left="851"/>
        <w:rPr>
          <w:sz w:val="24"/>
          <w:szCs w:val="24"/>
        </w:rPr>
      </w:pPr>
    </w:p>
    <w:p w14:paraId="2C28162D" w14:textId="77777777" w:rsidR="004365A2" w:rsidRPr="004365A2" w:rsidRDefault="004365A2" w:rsidP="004365A2">
      <w:pPr>
        <w:tabs>
          <w:tab w:val="left" w:pos="851"/>
        </w:tabs>
        <w:ind w:left="851" w:hanging="851"/>
        <w:rPr>
          <w:b/>
          <w:sz w:val="24"/>
          <w:szCs w:val="24"/>
        </w:rPr>
      </w:pPr>
      <w:r w:rsidRPr="004365A2">
        <w:rPr>
          <w:b/>
          <w:sz w:val="24"/>
          <w:szCs w:val="24"/>
        </w:rPr>
        <w:t>4.8</w:t>
      </w:r>
      <w:r w:rsidRPr="004365A2">
        <w:rPr>
          <w:b/>
          <w:sz w:val="24"/>
          <w:szCs w:val="24"/>
        </w:rPr>
        <w:tab/>
        <w:t>Bivirkninger</w:t>
      </w:r>
    </w:p>
    <w:p w14:paraId="18E797FD" w14:textId="77777777" w:rsidR="004365A2" w:rsidRPr="004365A2" w:rsidRDefault="004365A2" w:rsidP="004365A2">
      <w:pPr>
        <w:ind w:left="851"/>
        <w:rPr>
          <w:sz w:val="24"/>
          <w:szCs w:val="24"/>
        </w:rPr>
      </w:pPr>
    </w:p>
    <w:tbl>
      <w:tblPr>
        <w:tblStyle w:val="Tabel-Gitter"/>
        <w:tblW w:w="9918" w:type="dxa"/>
        <w:tblInd w:w="562" w:type="dxa"/>
        <w:tblLayout w:type="fixed"/>
        <w:tblLook w:val="04A0" w:firstRow="1" w:lastRow="0" w:firstColumn="1" w:lastColumn="0" w:noHBand="0" w:noVBand="1"/>
      </w:tblPr>
      <w:tblGrid>
        <w:gridCol w:w="2405"/>
        <w:gridCol w:w="2122"/>
        <w:gridCol w:w="1559"/>
        <w:gridCol w:w="1417"/>
        <w:gridCol w:w="2415"/>
      </w:tblGrid>
      <w:tr w:rsidR="004365A2" w:rsidRPr="004365A2" w14:paraId="1559B6A5" w14:textId="77777777" w:rsidTr="004365A2">
        <w:tc>
          <w:tcPr>
            <w:tcW w:w="2405" w:type="dxa"/>
          </w:tcPr>
          <w:p w14:paraId="07BE7E02" w14:textId="77777777" w:rsidR="004365A2" w:rsidRPr="004365A2" w:rsidRDefault="004365A2" w:rsidP="00427230">
            <w:pPr>
              <w:ind w:left="29"/>
              <w:rPr>
                <w:b/>
                <w:sz w:val="24"/>
                <w:szCs w:val="24"/>
                <w:lang w:val="da-DK"/>
              </w:rPr>
            </w:pPr>
            <w:r w:rsidRPr="004365A2">
              <w:rPr>
                <w:b/>
                <w:bCs/>
                <w:sz w:val="24"/>
                <w:szCs w:val="24"/>
                <w:lang w:val="da-DK"/>
              </w:rPr>
              <w:t>Systemorgan</w:t>
            </w:r>
            <w:r w:rsidRPr="004365A2">
              <w:rPr>
                <w:b/>
                <w:bCs/>
                <w:sz w:val="24"/>
                <w:szCs w:val="24"/>
                <w:lang w:val="da-DK"/>
              </w:rPr>
              <w:softHyphen/>
              <w:t>klasse</w:t>
            </w:r>
          </w:p>
        </w:tc>
        <w:tc>
          <w:tcPr>
            <w:tcW w:w="2122" w:type="dxa"/>
          </w:tcPr>
          <w:p w14:paraId="31F4D5F0" w14:textId="77777777" w:rsidR="004365A2" w:rsidRPr="004365A2" w:rsidRDefault="004365A2" w:rsidP="00427230">
            <w:pPr>
              <w:ind w:left="21"/>
              <w:rPr>
                <w:sz w:val="24"/>
                <w:szCs w:val="24"/>
                <w:lang w:val="da-DK"/>
              </w:rPr>
            </w:pPr>
            <w:r w:rsidRPr="004365A2">
              <w:rPr>
                <w:b/>
                <w:bCs/>
                <w:sz w:val="24"/>
                <w:szCs w:val="24"/>
                <w:lang w:val="da-DK"/>
              </w:rPr>
              <w:t>Meget almindelig</w:t>
            </w:r>
            <w:r w:rsidRPr="004365A2">
              <w:rPr>
                <w:b/>
                <w:bCs/>
                <w:sz w:val="24"/>
                <w:szCs w:val="24"/>
                <w:lang w:val="da-DK"/>
              </w:rPr>
              <w:br/>
            </w:r>
            <w:r w:rsidRPr="004365A2">
              <w:rPr>
                <w:sz w:val="24"/>
                <w:szCs w:val="24"/>
                <w:lang w:val="da-DK"/>
              </w:rPr>
              <w:t>(≥ 1/10)</w:t>
            </w:r>
          </w:p>
        </w:tc>
        <w:tc>
          <w:tcPr>
            <w:tcW w:w="1559" w:type="dxa"/>
          </w:tcPr>
          <w:p w14:paraId="18C02F68" w14:textId="77777777" w:rsidR="004365A2" w:rsidRPr="004365A2" w:rsidRDefault="004365A2" w:rsidP="00427230">
            <w:pPr>
              <w:ind w:left="31"/>
              <w:rPr>
                <w:sz w:val="24"/>
                <w:szCs w:val="24"/>
                <w:lang w:val="da-DK"/>
              </w:rPr>
            </w:pPr>
            <w:r w:rsidRPr="004365A2">
              <w:rPr>
                <w:b/>
                <w:bCs/>
                <w:sz w:val="24"/>
                <w:szCs w:val="24"/>
                <w:lang w:val="da-DK"/>
              </w:rPr>
              <w:t>Almindelig</w:t>
            </w:r>
            <w:r w:rsidRPr="004365A2">
              <w:rPr>
                <w:sz w:val="24"/>
                <w:szCs w:val="24"/>
                <w:lang w:val="da-DK"/>
              </w:rPr>
              <w:br/>
              <w:t>(≥ 1/100 til &lt; 1/10)</w:t>
            </w:r>
          </w:p>
        </w:tc>
        <w:tc>
          <w:tcPr>
            <w:tcW w:w="1417" w:type="dxa"/>
          </w:tcPr>
          <w:p w14:paraId="1FE76CBE" w14:textId="77777777" w:rsidR="004365A2" w:rsidRPr="004365A2" w:rsidRDefault="004365A2" w:rsidP="00427230">
            <w:pPr>
              <w:rPr>
                <w:sz w:val="24"/>
                <w:szCs w:val="24"/>
                <w:lang w:val="da-DK"/>
              </w:rPr>
            </w:pPr>
            <w:r w:rsidRPr="004365A2">
              <w:rPr>
                <w:b/>
                <w:bCs/>
                <w:sz w:val="24"/>
                <w:szCs w:val="24"/>
                <w:lang w:val="da-DK"/>
              </w:rPr>
              <w:t>Ikke almindelig</w:t>
            </w:r>
            <w:r w:rsidRPr="004365A2">
              <w:rPr>
                <w:sz w:val="24"/>
                <w:szCs w:val="24"/>
                <w:lang w:val="da-DK"/>
              </w:rPr>
              <w:br/>
              <w:t>(≥ 1/1.000 til &lt;1/100)</w:t>
            </w:r>
          </w:p>
        </w:tc>
        <w:tc>
          <w:tcPr>
            <w:tcW w:w="2415" w:type="dxa"/>
          </w:tcPr>
          <w:p w14:paraId="0C438533" w14:textId="77777777" w:rsidR="004365A2" w:rsidRPr="004365A2" w:rsidRDefault="004365A2" w:rsidP="00427230">
            <w:pPr>
              <w:ind w:left="76" w:right="-96"/>
              <w:rPr>
                <w:b/>
                <w:sz w:val="24"/>
                <w:szCs w:val="24"/>
                <w:lang w:val="da-DK"/>
              </w:rPr>
            </w:pPr>
            <w:r w:rsidRPr="004365A2">
              <w:rPr>
                <w:b/>
                <w:bCs/>
                <w:sz w:val="24"/>
                <w:szCs w:val="24"/>
                <w:lang w:val="da-DK"/>
              </w:rPr>
              <w:t>Ikke kendt</w:t>
            </w:r>
            <w:r w:rsidRPr="004365A2">
              <w:rPr>
                <w:b/>
                <w:bCs/>
                <w:sz w:val="24"/>
                <w:szCs w:val="24"/>
                <w:lang w:val="da-DK"/>
              </w:rPr>
              <w:br/>
            </w:r>
            <w:r w:rsidRPr="004365A2">
              <w:rPr>
                <w:sz w:val="24"/>
                <w:szCs w:val="24"/>
                <w:lang w:val="da-DK"/>
              </w:rPr>
              <w:t>(kan ikke estimeres ud fra forhåndenværende data)</w:t>
            </w:r>
          </w:p>
        </w:tc>
      </w:tr>
      <w:tr w:rsidR="004365A2" w:rsidRPr="004365A2" w14:paraId="352DD553" w14:textId="77777777" w:rsidTr="004365A2">
        <w:tc>
          <w:tcPr>
            <w:tcW w:w="2405" w:type="dxa"/>
          </w:tcPr>
          <w:p w14:paraId="2DC08580" w14:textId="77777777" w:rsidR="004365A2" w:rsidRPr="004365A2" w:rsidRDefault="004365A2" w:rsidP="00427230">
            <w:pPr>
              <w:ind w:left="29"/>
              <w:rPr>
                <w:i/>
                <w:sz w:val="24"/>
                <w:szCs w:val="24"/>
                <w:lang w:val="da-DK"/>
              </w:rPr>
            </w:pPr>
            <w:r w:rsidRPr="004365A2">
              <w:rPr>
                <w:i/>
                <w:iCs/>
                <w:sz w:val="24"/>
                <w:szCs w:val="24"/>
                <w:lang w:val="da-DK"/>
              </w:rPr>
              <w:t>Immunsystemet</w:t>
            </w:r>
          </w:p>
        </w:tc>
        <w:tc>
          <w:tcPr>
            <w:tcW w:w="2122" w:type="dxa"/>
          </w:tcPr>
          <w:p w14:paraId="4DCE43C2" w14:textId="77777777" w:rsidR="004365A2" w:rsidRPr="004365A2" w:rsidRDefault="004365A2" w:rsidP="00427230">
            <w:pPr>
              <w:ind w:left="21"/>
              <w:rPr>
                <w:sz w:val="24"/>
                <w:szCs w:val="24"/>
                <w:lang w:val="da-DK"/>
              </w:rPr>
            </w:pPr>
          </w:p>
        </w:tc>
        <w:tc>
          <w:tcPr>
            <w:tcW w:w="1559" w:type="dxa"/>
          </w:tcPr>
          <w:p w14:paraId="7D0A5585" w14:textId="77777777" w:rsidR="004365A2" w:rsidRPr="004365A2" w:rsidRDefault="004365A2" w:rsidP="00427230">
            <w:pPr>
              <w:ind w:left="31"/>
              <w:rPr>
                <w:sz w:val="24"/>
                <w:szCs w:val="24"/>
                <w:lang w:val="da-DK"/>
              </w:rPr>
            </w:pPr>
          </w:p>
        </w:tc>
        <w:tc>
          <w:tcPr>
            <w:tcW w:w="1417" w:type="dxa"/>
          </w:tcPr>
          <w:p w14:paraId="107FCCAD" w14:textId="77777777" w:rsidR="004365A2" w:rsidRPr="004365A2" w:rsidRDefault="004365A2" w:rsidP="00427230">
            <w:pPr>
              <w:rPr>
                <w:sz w:val="24"/>
                <w:szCs w:val="24"/>
                <w:lang w:val="da-DK"/>
              </w:rPr>
            </w:pPr>
          </w:p>
        </w:tc>
        <w:tc>
          <w:tcPr>
            <w:tcW w:w="2415" w:type="dxa"/>
          </w:tcPr>
          <w:p w14:paraId="11DBB7FB" w14:textId="77777777" w:rsidR="004365A2" w:rsidRPr="004365A2" w:rsidRDefault="004365A2" w:rsidP="00427230">
            <w:pPr>
              <w:ind w:left="76"/>
              <w:rPr>
                <w:sz w:val="24"/>
                <w:szCs w:val="24"/>
                <w:lang w:val="da-DK"/>
              </w:rPr>
            </w:pPr>
            <w:r w:rsidRPr="004365A2">
              <w:rPr>
                <w:sz w:val="24"/>
                <w:szCs w:val="24"/>
                <w:lang w:val="da-DK"/>
              </w:rPr>
              <w:t>allergiske reaktioner, i de mest alvorlige tilfælde anafylaktisk shock</w:t>
            </w:r>
          </w:p>
        </w:tc>
      </w:tr>
      <w:tr w:rsidR="004365A2" w:rsidRPr="004365A2" w14:paraId="13070FC1" w14:textId="77777777" w:rsidTr="004365A2">
        <w:tc>
          <w:tcPr>
            <w:tcW w:w="2405" w:type="dxa"/>
          </w:tcPr>
          <w:p w14:paraId="3A5DB362" w14:textId="77777777" w:rsidR="004365A2" w:rsidRPr="004365A2" w:rsidRDefault="004365A2" w:rsidP="00427230">
            <w:pPr>
              <w:ind w:left="29"/>
              <w:rPr>
                <w:i/>
                <w:sz w:val="24"/>
                <w:szCs w:val="24"/>
                <w:lang w:val="da-DK"/>
              </w:rPr>
            </w:pPr>
            <w:r w:rsidRPr="004365A2">
              <w:rPr>
                <w:i/>
                <w:iCs/>
                <w:sz w:val="24"/>
                <w:szCs w:val="24"/>
                <w:lang w:val="da-DK"/>
              </w:rPr>
              <w:t>Mave-tarm-kanalen</w:t>
            </w:r>
          </w:p>
        </w:tc>
        <w:tc>
          <w:tcPr>
            <w:tcW w:w="2122" w:type="dxa"/>
          </w:tcPr>
          <w:p w14:paraId="37B79576" w14:textId="77777777" w:rsidR="004365A2" w:rsidRPr="004365A2" w:rsidRDefault="004365A2" w:rsidP="00427230">
            <w:pPr>
              <w:ind w:left="21"/>
              <w:rPr>
                <w:sz w:val="24"/>
                <w:szCs w:val="24"/>
                <w:lang w:val="da-DK"/>
              </w:rPr>
            </w:pPr>
          </w:p>
        </w:tc>
        <w:tc>
          <w:tcPr>
            <w:tcW w:w="1559" w:type="dxa"/>
          </w:tcPr>
          <w:p w14:paraId="18EDA80F" w14:textId="77777777" w:rsidR="004365A2" w:rsidRPr="004365A2" w:rsidRDefault="004365A2" w:rsidP="00427230">
            <w:pPr>
              <w:ind w:left="31"/>
              <w:rPr>
                <w:sz w:val="24"/>
                <w:szCs w:val="24"/>
                <w:lang w:val="da-DK"/>
              </w:rPr>
            </w:pPr>
            <w:r w:rsidRPr="004365A2">
              <w:rPr>
                <w:sz w:val="24"/>
                <w:szCs w:val="24"/>
                <w:lang w:val="da-DK"/>
              </w:rPr>
              <w:t>diarré</w:t>
            </w:r>
          </w:p>
        </w:tc>
        <w:tc>
          <w:tcPr>
            <w:tcW w:w="1417" w:type="dxa"/>
          </w:tcPr>
          <w:p w14:paraId="70551945" w14:textId="77777777" w:rsidR="004365A2" w:rsidRPr="004365A2" w:rsidRDefault="004365A2" w:rsidP="00427230">
            <w:pPr>
              <w:rPr>
                <w:sz w:val="24"/>
                <w:szCs w:val="24"/>
                <w:lang w:val="da-DK"/>
              </w:rPr>
            </w:pPr>
          </w:p>
        </w:tc>
        <w:tc>
          <w:tcPr>
            <w:tcW w:w="2415" w:type="dxa"/>
          </w:tcPr>
          <w:p w14:paraId="0BB75365" w14:textId="77777777" w:rsidR="004365A2" w:rsidRPr="004365A2" w:rsidRDefault="004365A2" w:rsidP="00427230">
            <w:pPr>
              <w:ind w:left="76"/>
              <w:rPr>
                <w:sz w:val="24"/>
                <w:szCs w:val="24"/>
                <w:lang w:val="da-DK"/>
              </w:rPr>
            </w:pPr>
          </w:p>
        </w:tc>
      </w:tr>
      <w:tr w:rsidR="004365A2" w:rsidRPr="004365A2" w14:paraId="3CA5D7C0" w14:textId="77777777" w:rsidTr="004365A2">
        <w:tc>
          <w:tcPr>
            <w:tcW w:w="2405" w:type="dxa"/>
          </w:tcPr>
          <w:p w14:paraId="10F40C39" w14:textId="77777777" w:rsidR="004365A2" w:rsidRPr="004365A2" w:rsidRDefault="004365A2" w:rsidP="00427230">
            <w:pPr>
              <w:ind w:left="29"/>
              <w:rPr>
                <w:i/>
                <w:sz w:val="24"/>
                <w:szCs w:val="24"/>
                <w:lang w:val="da-DK"/>
              </w:rPr>
            </w:pPr>
            <w:r w:rsidRPr="004365A2">
              <w:rPr>
                <w:i/>
                <w:iCs/>
                <w:sz w:val="24"/>
                <w:szCs w:val="24"/>
                <w:lang w:val="da-DK"/>
              </w:rPr>
              <w:t>Almene symptomer og reaktioner på administrationsstedet</w:t>
            </w:r>
          </w:p>
        </w:tc>
        <w:tc>
          <w:tcPr>
            <w:tcW w:w="2122" w:type="dxa"/>
          </w:tcPr>
          <w:p w14:paraId="7D85A784" w14:textId="77777777" w:rsidR="004365A2" w:rsidRPr="004365A2" w:rsidRDefault="004365A2" w:rsidP="00427230">
            <w:pPr>
              <w:ind w:left="21"/>
              <w:rPr>
                <w:sz w:val="24"/>
                <w:szCs w:val="24"/>
                <w:lang w:val="da-DK"/>
              </w:rPr>
            </w:pPr>
            <w:r w:rsidRPr="004365A2">
              <w:rPr>
                <w:sz w:val="24"/>
                <w:szCs w:val="24"/>
                <w:lang w:val="da-DK"/>
              </w:rPr>
              <w:t>lokale overfølsomheds</w:t>
            </w:r>
            <w:r w:rsidRPr="004365A2">
              <w:rPr>
                <w:sz w:val="24"/>
                <w:szCs w:val="24"/>
                <w:lang w:val="da-DK"/>
              </w:rPr>
              <w:softHyphen/>
              <w:t>reaktioner (f.eks. kløe, brændende fornemmelse)</w:t>
            </w:r>
          </w:p>
        </w:tc>
        <w:tc>
          <w:tcPr>
            <w:tcW w:w="1559" w:type="dxa"/>
          </w:tcPr>
          <w:p w14:paraId="0B7877BB" w14:textId="77777777" w:rsidR="004365A2" w:rsidRPr="004365A2" w:rsidRDefault="004365A2" w:rsidP="00427230">
            <w:pPr>
              <w:ind w:left="31"/>
              <w:rPr>
                <w:sz w:val="24"/>
                <w:szCs w:val="24"/>
                <w:lang w:val="da-DK"/>
              </w:rPr>
            </w:pPr>
          </w:p>
        </w:tc>
        <w:tc>
          <w:tcPr>
            <w:tcW w:w="1417" w:type="dxa"/>
          </w:tcPr>
          <w:p w14:paraId="2795EF51" w14:textId="77777777" w:rsidR="004365A2" w:rsidRPr="004365A2" w:rsidRDefault="004365A2" w:rsidP="00427230">
            <w:pPr>
              <w:rPr>
                <w:sz w:val="24"/>
                <w:szCs w:val="24"/>
                <w:lang w:val="da-DK"/>
              </w:rPr>
            </w:pPr>
            <w:r w:rsidRPr="004365A2">
              <w:rPr>
                <w:sz w:val="24"/>
                <w:szCs w:val="24"/>
                <w:lang w:val="da-DK"/>
              </w:rPr>
              <w:t>Anorektal ubehag (fx svage smerter), rødme (perianalt erytem)</w:t>
            </w:r>
          </w:p>
        </w:tc>
        <w:tc>
          <w:tcPr>
            <w:tcW w:w="2415" w:type="dxa"/>
          </w:tcPr>
          <w:p w14:paraId="3E0ABA9C" w14:textId="77777777" w:rsidR="004365A2" w:rsidRPr="004365A2" w:rsidRDefault="004365A2" w:rsidP="00427230">
            <w:pPr>
              <w:ind w:left="76"/>
              <w:rPr>
                <w:sz w:val="24"/>
                <w:szCs w:val="24"/>
                <w:lang w:val="da-DK"/>
              </w:rPr>
            </w:pPr>
          </w:p>
        </w:tc>
      </w:tr>
    </w:tbl>
    <w:p w14:paraId="4152BBDD" w14:textId="77777777" w:rsidR="004365A2" w:rsidRPr="004365A2" w:rsidRDefault="004365A2" w:rsidP="004365A2">
      <w:pPr>
        <w:ind w:left="851"/>
        <w:rPr>
          <w:sz w:val="24"/>
          <w:szCs w:val="24"/>
        </w:rPr>
      </w:pPr>
    </w:p>
    <w:p w14:paraId="77BC25FC" w14:textId="77777777" w:rsidR="006E493B" w:rsidRPr="008F49E1" w:rsidRDefault="006E493B" w:rsidP="002A1420">
      <w:pPr>
        <w:autoSpaceDE w:val="0"/>
        <w:autoSpaceDN w:val="0"/>
        <w:ind w:left="851"/>
        <w:rPr>
          <w:sz w:val="24"/>
          <w:szCs w:val="24"/>
          <w:u w:val="single"/>
          <w:lang w:eastAsia="da-DK"/>
        </w:rPr>
      </w:pPr>
      <w:r w:rsidRPr="008F49E1">
        <w:rPr>
          <w:sz w:val="24"/>
          <w:szCs w:val="24"/>
          <w:u w:val="single"/>
          <w:lang w:eastAsia="da-DK"/>
        </w:rPr>
        <w:t>Indberetning af formodede bivirkninger</w:t>
      </w:r>
    </w:p>
    <w:p w14:paraId="080A29AA" w14:textId="77777777" w:rsidR="006E493B" w:rsidRPr="008F49E1" w:rsidRDefault="006E493B" w:rsidP="002A1420">
      <w:pPr>
        <w:ind w:left="851"/>
        <w:rPr>
          <w:sz w:val="24"/>
          <w:szCs w:val="24"/>
          <w:lang w:eastAsia="da-DK"/>
        </w:rPr>
      </w:pPr>
      <w:r w:rsidRPr="008F49E1">
        <w:rPr>
          <w:sz w:val="24"/>
          <w:szCs w:val="24"/>
          <w:lang w:eastAsia="da-DK"/>
        </w:rPr>
        <w:t xml:space="preserve">Når lægemidlet er godkendt, er indberetning af formodede bivirkninger vigtig. Det muliggør løbende overvågning af benefit/risk-forholdet for lægemidlet. </w:t>
      </w:r>
      <w:r>
        <w:rPr>
          <w:sz w:val="24"/>
          <w:szCs w:val="24"/>
          <w:lang w:eastAsia="da-DK"/>
        </w:rPr>
        <w:t>Sundhedspersoner</w:t>
      </w:r>
      <w:r w:rsidRPr="008F49E1">
        <w:rPr>
          <w:sz w:val="24"/>
          <w:szCs w:val="24"/>
          <w:lang w:eastAsia="da-DK"/>
        </w:rPr>
        <w:t xml:space="preserve"> anmodes om at indberette alle formodede bivirkninger via:</w:t>
      </w:r>
    </w:p>
    <w:p w14:paraId="08ED0EA4" w14:textId="77777777" w:rsidR="006E493B" w:rsidRPr="008F49E1" w:rsidRDefault="006E493B" w:rsidP="002A1420">
      <w:pPr>
        <w:ind w:left="851"/>
        <w:rPr>
          <w:sz w:val="24"/>
          <w:szCs w:val="24"/>
          <w:lang w:eastAsia="da-DK"/>
        </w:rPr>
      </w:pPr>
    </w:p>
    <w:p w14:paraId="09575FAE" w14:textId="77777777" w:rsidR="006E493B" w:rsidRPr="007A276A" w:rsidRDefault="006E493B" w:rsidP="002A1420">
      <w:pPr>
        <w:ind w:left="851"/>
        <w:rPr>
          <w:sz w:val="24"/>
          <w:szCs w:val="24"/>
          <w:lang w:eastAsia="da-DK"/>
        </w:rPr>
      </w:pPr>
      <w:r w:rsidRPr="007A276A">
        <w:rPr>
          <w:sz w:val="24"/>
          <w:szCs w:val="24"/>
          <w:lang w:eastAsia="da-DK"/>
        </w:rPr>
        <w:t>Lægemiddelstyrelsen</w:t>
      </w:r>
    </w:p>
    <w:p w14:paraId="77FE4F3A" w14:textId="77777777" w:rsidR="006E493B" w:rsidRPr="007A276A" w:rsidRDefault="006E493B" w:rsidP="002A1420">
      <w:pPr>
        <w:ind w:left="851"/>
        <w:rPr>
          <w:sz w:val="24"/>
          <w:szCs w:val="24"/>
          <w:lang w:eastAsia="da-DK"/>
        </w:rPr>
      </w:pPr>
      <w:r w:rsidRPr="007A276A">
        <w:rPr>
          <w:sz w:val="24"/>
          <w:szCs w:val="24"/>
          <w:lang w:eastAsia="da-DK"/>
        </w:rPr>
        <w:t>Axel Heides Gade 1</w:t>
      </w:r>
    </w:p>
    <w:p w14:paraId="72326D09" w14:textId="77777777" w:rsidR="006E493B" w:rsidRPr="007A276A" w:rsidRDefault="006E493B" w:rsidP="002A1420">
      <w:pPr>
        <w:ind w:left="851"/>
        <w:rPr>
          <w:sz w:val="24"/>
          <w:szCs w:val="24"/>
          <w:lang w:eastAsia="da-DK"/>
        </w:rPr>
      </w:pPr>
      <w:r w:rsidRPr="007A276A">
        <w:rPr>
          <w:sz w:val="24"/>
          <w:szCs w:val="24"/>
          <w:lang w:eastAsia="da-DK"/>
        </w:rPr>
        <w:t>DK-2300 København S</w:t>
      </w:r>
    </w:p>
    <w:p w14:paraId="138DF3F9" w14:textId="77777777" w:rsidR="006E493B" w:rsidRPr="006E493B" w:rsidRDefault="006E493B" w:rsidP="002A1420">
      <w:pPr>
        <w:ind w:left="851"/>
        <w:rPr>
          <w:sz w:val="24"/>
          <w:szCs w:val="24"/>
          <w:lang w:eastAsia="da-DK"/>
        </w:rPr>
      </w:pPr>
      <w:r w:rsidRPr="006E493B">
        <w:rPr>
          <w:sz w:val="24"/>
          <w:szCs w:val="24"/>
          <w:lang w:eastAsia="da-DK"/>
        </w:rPr>
        <w:t xml:space="preserve">Websted: </w:t>
      </w:r>
      <w:r w:rsidRPr="006E493B">
        <w:rPr>
          <w:sz w:val="24"/>
          <w:lang w:eastAsia="da-DK"/>
        </w:rPr>
        <w:t>www.meldenbivirkning.dk</w:t>
      </w:r>
    </w:p>
    <w:p w14:paraId="047231D9" w14:textId="77777777" w:rsidR="004365A2" w:rsidRPr="004365A2" w:rsidRDefault="004365A2" w:rsidP="004365A2">
      <w:pPr>
        <w:ind w:left="851"/>
        <w:rPr>
          <w:sz w:val="24"/>
          <w:szCs w:val="24"/>
        </w:rPr>
      </w:pPr>
    </w:p>
    <w:p w14:paraId="2BEEFCB1" w14:textId="77777777" w:rsidR="004365A2" w:rsidRPr="004365A2" w:rsidRDefault="004365A2" w:rsidP="004365A2">
      <w:pPr>
        <w:tabs>
          <w:tab w:val="left" w:pos="851"/>
        </w:tabs>
        <w:ind w:left="851" w:hanging="851"/>
        <w:rPr>
          <w:b/>
          <w:sz w:val="24"/>
          <w:szCs w:val="24"/>
        </w:rPr>
      </w:pPr>
      <w:r w:rsidRPr="004365A2">
        <w:rPr>
          <w:b/>
          <w:sz w:val="24"/>
          <w:szCs w:val="24"/>
        </w:rPr>
        <w:t>4.9</w:t>
      </w:r>
      <w:r w:rsidRPr="004365A2">
        <w:rPr>
          <w:b/>
          <w:sz w:val="24"/>
          <w:szCs w:val="24"/>
        </w:rPr>
        <w:tab/>
        <w:t>Overdosering</w:t>
      </w:r>
    </w:p>
    <w:p w14:paraId="0A60E83F" w14:textId="77777777" w:rsidR="004365A2" w:rsidRPr="004365A2" w:rsidRDefault="004365A2" w:rsidP="004365A2">
      <w:pPr>
        <w:ind w:left="851"/>
        <w:rPr>
          <w:sz w:val="24"/>
          <w:szCs w:val="24"/>
        </w:rPr>
      </w:pPr>
      <w:r w:rsidRPr="004365A2">
        <w:rPr>
          <w:sz w:val="24"/>
          <w:szCs w:val="24"/>
        </w:rPr>
        <w:t>Uønskede virkninger af samme type, som forekommer i tilfælde af en absolut overdosis af parenteralt administreret lidocain, kan forekomme i tilfælde af overdosering af Lidoposterin. Ved de anbefalede doser er systemisk toksicitet imidlertid meget usandsynlig. I tilfælde af nogen form for toksicitet forventes symptomatologien at være den samme som efter anden lokalanalgesibehandling, f.eks. excitatoriske CNS-symptomer og i alvorlige tilfælde CNS-depression og myokardiedepression.</w:t>
      </w:r>
    </w:p>
    <w:p w14:paraId="42BA797A" w14:textId="77777777" w:rsidR="004365A2" w:rsidRPr="004365A2" w:rsidRDefault="004365A2" w:rsidP="004365A2">
      <w:pPr>
        <w:ind w:left="851"/>
        <w:rPr>
          <w:sz w:val="24"/>
          <w:szCs w:val="24"/>
        </w:rPr>
      </w:pPr>
    </w:p>
    <w:p w14:paraId="06D306D4" w14:textId="77777777" w:rsidR="004365A2" w:rsidRPr="004365A2" w:rsidRDefault="004365A2" w:rsidP="004365A2">
      <w:pPr>
        <w:ind w:left="851"/>
        <w:rPr>
          <w:sz w:val="24"/>
          <w:szCs w:val="24"/>
        </w:rPr>
      </w:pPr>
      <w:r w:rsidRPr="004365A2">
        <w:rPr>
          <w:sz w:val="24"/>
          <w:szCs w:val="24"/>
        </w:rPr>
        <w:t>Utilsigtet overdosering, hvor små børn ved en fejl har indtaget salve oralt, kan medføre gastrointestinal toksicitet (abdominalsmerter, kvalme), og der skal da monitoreres for tegn på systemisk toksicitet.</w:t>
      </w:r>
    </w:p>
    <w:p w14:paraId="68B9ADC2" w14:textId="77777777" w:rsidR="004365A2" w:rsidRPr="004365A2" w:rsidRDefault="004365A2" w:rsidP="004365A2">
      <w:pPr>
        <w:ind w:left="851"/>
        <w:rPr>
          <w:sz w:val="24"/>
          <w:szCs w:val="24"/>
        </w:rPr>
      </w:pPr>
    </w:p>
    <w:p w14:paraId="364BD4E7" w14:textId="77777777" w:rsidR="004365A2" w:rsidRPr="004365A2" w:rsidRDefault="004365A2" w:rsidP="004365A2">
      <w:pPr>
        <w:keepNext/>
        <w:ind w:left="851"/>
        <w:rPr>
          <w:sz w:val="24"/>
          <w:szCs w:val="24"/>
          <w:u w:val="single"/>
        </w:rPr>
      </w:pPr>
      <w:r w:rsidRPr="004365A2">
        <w:rPr>
          <w:iCs/>
          <w:sz w:val="24"/>
          <w:szCs w:val="24"/>
          <w:u w:val="single"/>
        </w:rPr>
        <w:lastRenderedPageBreak/>
        <w:t>Systemiske symptomer på overdosering af lidocain</w:t>
      </w:r>
    </w:p>
    <w:p w14:paraId="16336B33" w14:textId="77777777" w:rsidR="004365A2" w:rsidRPr="004365A2" w:rsidRDefault="004365A2" w:rsidP="004365A2">
      <w:pPr>
        <w:ind w:left="851"/>
        <w:rPr>
          <w:sz w:val="24"/>
          <w:szCs w:val="24"/>
        </w:rPr>
      </w:pPr>
      <w:r w:rsidRPr="004365A2">
        <w:rPr>
          <w:sz w:val="24"/>
          <w:szCs w:val="24"/>
        </w:rPr>
        <w:t>Sløret syn, svimmelhed, kvalme, tremor, bradykardi og hypotension, og ved svær overdosering, asystoli, apnø, krampeanfald, koma, hjertestop, respirationsstop og død.</w:t>
      </w:r>
    </w:p>
    <w:p w14:paraId="4DA44FBB" w14:textId="77777777" w:rsidR="004365A2" w:rsidRPr="004365A2" w:rsidRDefault="004365A2" w:rsidP="004365A2">
      <w:pPr>
        <w:ind w:left="851"/>
        <w:rPr>
          <w:sz w:val="24"/>
          <w:szCs w:val="24"/>
        </w:rPr>
      </w:pPr>
    </w:p>
    <w:p w14:paraId="3393885C" w14:textId="77777777" w:rsidR="004365A2" w:rsidRPr="004365A2" w:rsidRDefault="004365A2" w:rsidP="004365A2">
      <w:pPr>
        <w:ind w:left="851"/>
        <w:rPr>
          <w:sz w:val="24"/>
          <w:szCs w:val="24"/>
          <w:u w:val="single"/>
        </w:rPr>
      </w:pPr>
      <w:r w:rsidRPr="004365A2">
        <w:rPr>
          <w:iCs/>
          <w:sz w:val="24"/>
          <w:szCs w:val="24"/>
          <w:u w:val="single"/>
        </w:rPr>
        <w:t>Behandling af toksicitet</w:t>
      </w:r>
    </w:p>
    <w:p w14:paraId="3DE2F994" w14:textId="77777777" w:rsidR="004365A2" w:rsidRPr="004365A2" w:rsidRDefault="004365A2" w:rsidP="004365A2">
      <w:pPr>
        <w:ind w:left="851"/>
        <w:rPr>
          <w:sz w:val="24"/>
          <w:szCs w:val="24"/>
        </w:rPr>
      </w:pPr>
      <w:r w:rsidRPr="004365A2">
        <w:rPr>
          <w:sz w:val="24"/>
          <w:szCs w:val="24"/>
        </w:rPr>
        <w:t>Behandling af en overdosis omfatter tæt monitorering af vitale funktioner, understøttende behandling, herunder administration af ilt, og symptombehandling af centrale og kardiovaskulære symptomer, f.eks. med korttidsvirkende barbiturater, beta-sympatomimetika, atropin. I tilfælde af kredsløbsstop skal hjerte-lunge-redning initieres omgående. Det er vigtigt at opretholde god iltadministration, vejrtrækning og cirkulation og at behandle acidose.</w:t>
      </w:r>
    </w:p>
    <w:p w14:paraId="478D7988" w14:textId="77777777" w:rsidR="004365A2" w:rsidRPr="004365A2" w:rsidRDefault="004365A2" w:rsidP="004365A2">
      <w:pPr>
        <w:ind w:left="851"/>
        <w:rPr>
          <w:sz w:val="24"/>
          <w:szCs w:val="24"/>
        </w:rPr>
      </w:pPr>
    </w:p>
    <w:p w14:paraId="197C3D49" w14:textId="77777777" w:rsidR="004365A2" w:rsidRPr="004365A2" w:rsidRDefault="004365A2" w:rsidP="004365A2">
      <w:pPr>
        <w:ind w:left="851"/>
        <w:rPr>
          <w:sz w:val="24"/>
          <w:szCs w:val="24"/>
        </w:rPr>
      </w:pPr>
      <w:r w:rsidRPr="004365A2">
        <w:rPr>
          <w:sz w:val="24"/>
          <w:szCs w:val="24"/>
        </w:rPr>
        <w:t>Der er ingen specifik antidot mod lidocain.</w:t>
      </w:r>
    </w:p>
    <w:p w14:paraId="4E47DC0E" w14:textId="77777777" w:rsidR="004365A2" w:rsidRPr="004365A2" w:rsidRDefault="004365A2" w:rsidP="004365A2">
      <w:pPr>
        <w:tabs>
          <w:tab w:val="left" w:pos="851"/>
        </w:tabs>
        <w:ind w:left="851"/>
        <w:rPr>
          <w:sz w:val="24"/>
          <w:szCs w:val="24"/>
        </w:rPr>
      </w:pPr>
    </w:p>
    <w:p w14:paraId="35D1EA51" w14:textId="77777777" w:rsidR="004365A2" w:rsidRPr="004365A2" w:rsidRDefault="004365A2" w:rsidP="004365A2">
      <w:pPr>
        <w:tabs>
          <w:tab w:val="left" w:pos="851"/>
        </w:tabs>
        <w:ind w:left="851" w:hanging="851"/>
        <w:rPr>
          <w:b/>
          <w:sz w:val="24"/>
          <w:szCs w:val="24"/>
        </w:rPr>
      </w:pPr>
      <w:r w:rsidRPr="004365A2">
        <w:rPr>
          <w:b/>
          <w:sz w:val="24"/>
          <w:szCs w:val="24"/>
        </w:rPr>
        <w:t>4.10</w:t>
      </w:r>
      <w:r w:rsidRPr="004365A2">
        <w:rPr>
          <w:b/>
          <w:sz w:val="24"/>
          <w:szCs w:val="24"/>
        </w:rPr>
        <w:tab/>
        <w:t>Udlevering</w:t>
      </w:r>
    </w:p>
    <w:p w14:paraId="5116E81C" w14:textId="77777777" w:rsidR="004365A2" w:rsidRPr="004365A2" w:rsidRDefault="004365A2" w:rsidP="004365A2">
      <w:pPr>
        <w:tabs>
          <w:tab w:val="left" w:pos="851"/>
        </w:tabs>
        <w:ind w:left="851"/>
        <w:rPr>
          <w:sz w:val="24"/>
          <w:szCs w:val="24"/>
        </w:rPr>
      </w:pPr>
      <w:r w:rsidRPr="004365A2">
        <w:rPr>
          <w:sz w:val="24"/>
          <w:szCs w:val="24"/>
        </w:rPr>
        <w:t>HA</w:t>
      </w:r>
    </w:p>
    <w:p w14:paraId="76D36D55" w14:textId="77777777" w:rsidR="004365A2" w:rsidRPr="004365A2" w:rsidRDefault="004365A2" w:rsidP="004365A2">
      <w:pPr>
        <w:tabs>
          <w:tab w:val="left" w:pos="851"/>
        </w:tabs>
        <w:ind w:left="851"/>
        <w:rPr>
          <w:sz w:val="24"/>
          <w:szCs w:val="24"/>
        </w:rPr>
      </w:pPr>
    </w:p>
    <w:p w14:paraId="28165D0D" w14:textId="77777777" w:rsidR="004365A2" w:rsidRPr="004365A2" w:rsidRDefault="004365A2" w:rsidP="004365A2">
      <w:pPr>
        <w:tabs>
          <w:tab w:val="left" w:pos="851"/>
        </w:tabs>
        <w:ind w:left="851"/>
        <w:rPr>
          <w:sz w:val="24"/>
          <w:szCs w:val="24"/>
        </w:rPr>
      </w:pPr>
    </w:p>
    <w:p w14:paraId="7CFC8945" w14:textId="77777777" w:rsidR="004365A2" w:rsidRPr="004365A2" w:rsidRDefault="004365A2" w:rsidP="004365A2">
      <w:pPr>
        <w:tabs>
          <w:tab w:val="left" w:pos="851"/>
        </w:tabs>
        <w:ind w:left="851" w:hanging="851"/>
        <w:rPr>
          <w:b/>
          <w:sz w:val="24"/>
          <w:szCs w:val="24"/>
        </w:rPr>
      </w:pPr>
      <w:r w:rsidRPr="004365A2">
        <w:rPr>
          <w:b/>
          <w:sz w:val="24"/>
          <w:szCs w:val="24"/>
        </w:rPr>
        <w:t>5.</w:t>
      </w:r>
      <w:r w:rsidRPr="004365A2">
        <w:rPr>
          <w:b/>
          <w:sz w:val="24"/>
          <w:szCs w:val="24"/>
        </w:rPr>
        <w:tab/>
        <w:t>FARMAKOLOGISKE EGENSKABER</w:t>
      </w:r>
    </w:p>
    <w:p w14:paraId="7F2B1C31" w14:textId="77777777" w:rsidR="004365A2" w:rsidRPr="004365A2" w:rsidRDefault="004365A2" w:rsidP="004365A2">
      <w:pPr>
        <w:tabs>
          <w:tab w:val="left" w:pos="851"/>
        </w:tabs>
        <w:ind w:left="851"/>
        <w:rPr>
          <w:sz w:val="24"/>
          <w:szCs w:val="24"/>
        </w:rPr>
      </w:pPr>
    </w:p>
    <w:p w14:paraId="33E57505" w14:textId="77777777" w:rsidR="004365A2" w:rsidRPr="004365A2" w:rsidRDefault="004365A2" w:rsidP="004365A2">
      <w:pPr>
        <w:tabs>
          <w:tab w:val="num" w:pos="851"/>
        </w:tabs>
        <w:ind w:left="851" w:hanging="851"/>
        <w:rPr>
          <w:b/>
          <w:sz w:val="24"/>
          <w:szCs w:val="24"/>
        </w:rPr>
      </w:pPr>
      <w:r w:rsidRPr="004365A2">
        <w:rPr>
          <w:b/>
          <w:sz w:val="24"/>
          <w:szCs w:val="24"/>
        </w:rPr>
        <w:t>5.1</w:t>
      </w:r>
      <w:r w:rsidRPr="004365A2">
        <w:rPr>
          <w:b/>
          <w:sz w:val="24"/>
          <w:szCs w:val="24"/>
        </w:rPr>
        <w:tab/>
        <w:t>Farmakodynamiske egenskaber</w:t>
      </w:r>
    </w:p>
    <w:p w14:paraId="04C705FB" w14:textId="77777777" w:rsidR="004365A2" w:rsidRPr="004365A2" w:rsidRDefault="004365A2" w:rsidP="004365A2">
      <w:pPr>
        <w:tabs>
          <w:tab w:val="left" w:pos="851"/>
        </w:tabs>
        <w:ind w:left="851"/>
        <w:rPr>
          <w:sz w:val="24"/>
          <w:szCs w:val="24"/>
        </w:rPr>
      </w:pPr>
      <w:r w:rsidRPr="004365A2">
        <w:rPr>
          <w:sz w:val="24"/>
          <w:szCs w:val="24"/>
        </w:rPr>
        <w:t>Farmakoterapeutisk klassifikation: Midler til behandling af hæmorider og analfissurer til lokalt brug, lokalanæstetika, ATC-kode: C 05 AD 01.</w:t>
      </w:r>
    </w:p>
    <w:p w14:paraId="623D1465" w14:textId="77777777" w:rsidR="004365A2" w:rsidRPr="004365A2" w:rsidRDefault="004365A2" w:rsidP="004365A2">
      <w:pPr>
        <w:tabs>
          <w:tab w:val="left" w:pos="851"/>
        </w:tabs>
        <w:ind w:left="851"/>
        <w:rPr>
          <w:sz w:val="24"/>
          <w:szCs w:val="24"/>
        </w:rPr>
      </w:pPr>
    </w:p>
    <w:p w14:paraId="5C4458F5" w14:textId="77777777" w:rsidR="004365A2" w:rsidRPr="004365A2" w:rsidRDefault="004365A2" w:rsidP="004365A2">
      <w:pPr>
        <w:suppressAutoHyphens/>
        <w:ind w:left="851"/>
        <w:rPr>
          <w:sz w:val="24"/>
          <w:szCs w:val="24"/>
        </w:rPr>
      </w:pPr>
    </w:p>
    <w:p w14:paraId="451588EB" w14:textId="77777777" w:rsidR="004365A2" w:rsidRPr="004365A2" w:rsidRDefault="004365A2" w:rsidP="004365A2">
      <w:pPr>
        <w:suppressAutoHyphens/>
        <w:ind w:left="851"/>
        <w:rPr>
          <w:sz w:val="24"/>
          <w:szCs w:val="24"/>
        </w:rPr>
      </w:pPr>
      <w:r w:rsidRPr="004365A2">
        <w:rPr>
          <w:bCs/>
          <w:sz w:val="24"/>
          <w:szCs w:val="24"/>
          <w:u w:val="single"/>
        </w:rPr>
        <w:t>Virkningsmekanisme</w:t>
      </w:r>
      <w:r w:rsidRPr="004365A2">
        <w:rPr>
          <w:sz w:val="24"/>
          <w:szCs w:val="24"/>
        </w:rPr>
        <w:t xml:space="preserve"> </w:t>
      </w:r>
    </w:p>
    <w:p w14:paraId="66327802" w14:textId="77777777" w:rsidR="004365A2" w:rsidRPr="004365A2" w:rsidRDefault="004365A2" w:rsidP="004365A2">
      <w:pPr>
        <w:suppressAutoHyphens/>
        <w:ind w:left="851"/>
        <w:rPr>
          <w:sz w:val="24"/>
          <w:szCs w:val="24"/>
        </w:rPr>
      </w:pPr>
      <w:r w:rsidRPr="004365A2">
        <w:rPr>
          <w:sz w:val="24"/>
          <w:szCs w:val="24"/>
        </w:rPr>
        <w:t xml:space="preserve">Lidocain er et lokalanalgetikum af amidtypen og forhindrer forekomst og transmission af nerveimpulser. Den underliggende virkningsmekanisme er reversibel blokade af natriumkanalerne i de perifere nerveceller under impulstransmission. </w:t>
      </w:r>
    </w:p>
    <w:p w14:paraId="3932E05C" w14:textId="77777777" w:rsidR="004365A2" w:rsidRPr="004365A2" w:rsidRDefault="004365A2" w:rsidP="004365A2">
      <w:pPr>
        <w:suppressAutoHyphens/>
        <w:ind w:left="851"/>
        <w:rPr>
          <w:sz w:val="24"/>
          <w:szCs w:val="24"/>
        </w:rPr>
      </w:pPr>
    </w:p>
    <w:p w14:paraId="6FD5F805" w14:textId="77777777" w:rsidR="004365A2" w:rsidRPr="004365A2" w:rsidRDefault="004365A2" w:rsidP="004365A2">
      <w:pPr>
        <w:suppressAutoHyphens/>
        <w:ind w:left="851"/>
        <w:rPr>
          <w:sz w:val="24"/>
          <w:szCs w:val="24"/>
        </w:rPr>
      </w:pPr>
      <w:r w:rsidRPr="004365A2">
        <w:rPr>
          <w:bCs/>
          <w:sz w:val="24"/>
          <w:szCs w:val="24"/>
          <w:u w:val="single"/>
        </w:rPr>
        <w:t>Farmakodynamisk virkning</w:t>
      </w:r>
      <w:r w:rsidRPr="004365A2">
        <w:rPr>
          <w:sz w:val="24"/>
          <w:szCs w:val="24"/>
        </w:rPr>
        <w:t xml:space="preserve"> </w:t>
      </w:r>
    </w:p>
    <w:p w14:paraId="7E98C668" w14:textId="77777777" w:rsidR="004365A2" w:rsidRPr="004365A2" w:rsidRDefault="004365A2" w:rsidP="004365A2">
      <w:pPr>
        <w:suppressAutoHyphens/>
        <w:ind w:left="851"/>
        <w:rPr>
          <w:sz w:val="24"/>
          <w:szCs w:val="24"/>
        </w:rPr>
      </w:pPr>
      <w:r w:rsidRPr="004365A2">
        <w:rPr>
          <w:sz w:val="24"/>
          <w:szCs w:val="24"/>
        </w:rPr>
        <w:t>Virkningen indtræder inden for få minutter og varer i flere timer. Kontakttiden bestemmer varigheden af medicinens effekt.</w:t>
      </w:r>
    </w:p>
    <w:p w14:paraId="460087E1" w14:textId="77777777" w:rsidR="004365A2" w:rsidRPr="004365A2" w:rsidRDefault="004365A2" w:rsidP="004365A2">
      <w:pPr>
        <w:suppressAutoHyphens/>
        <w:ind w:left="851"/>
        <w:rPr>
          <w:sz w:val="24"/>
          <w:szCs w:val="24"/>
        </w:rPr>
      </w:pPr>
    </w:p>
    <w:p w14:paraId="1D69A592" w14:textId="77777777" w:rsidR="004365A2" w:rsidRPr="004365A2" w:rsidRDefault="004365A2" w:rsidP="004365A2">
      <w:pPr>
        <w:suppressAutoHyphens/>
        <w:ind w:left="851"/>
        <w:rPr>
          <w:sz w:val="24"/>
          <w:szCs w:val="24"/>
        </w:rPr>
      </w:pPr>
      <w:r w:rsidRPr="004365A2">
        <w:rPr>
          <w:sz w:val="24"/>
          <w:szCs w:val="24"/>
        </w:rPr>
        <w:t>Ved at hæmme excitabiliteten af de smertereceptoriske og sensoriske nerveender begrænser lidocain følsomheden over for smerter lokalt og reducerer den reversibelt. Dette gælder også for kulde-, varme-, berørings- og trykfølsomhed, selvom graden kan variere meget hos den enkelte. Det er årsagen til den topikale anvendelse mod sårsmerter og kløe.</w:t>
      </w:r>
    </w:p>
    <w:p w14:paraId="79019BEA" w14:textId="77777777" w:rsidR="004365A2" w:rsidRPr="004365A2" w:rsidRDefault="004365A2" w:rsidP="004365A2">
      <w:pPr>
        <w:tabs>
          <w:tab w:val="left" w:pos="851"/>
        </w:tabs>
        <w:ind w:left="851"/>
        <w:rPr>
          <w:sz w:val="24"/>
          <w:szCs w:val="24"/>
        </w:rPr>
      </w:pPr>
    </w:p>
    <w:p w14:paraId="4DC763F5" w14:textId="77777777" w:rsidR="004365A2" w:rsidRPr="004365A2" w:rsidRDefault="004365A2" w:rsidP="004365A2">
      <w:pPr>
        <w:tabs>
          <w:tab w:val="left" w:pos="851"/>
        </w:tabs>
        <w:ind w:left="851" w:hanging="851"/>
        <w:rPr>
          <w:b/>
          <w:sz w:val="24"/>
          <w:szCs w:val="24"/>
        </w:rPr>
      </w:pPr>
      <w:r w:rsidRPr="004365A2">
        <w:rPr>
          <w:b/>
          <w:sz w:val="24"/>
          <w:szCs w:val="24"/>
        </w:rPr>
        <w:t>5.2</w:t>
      </w:r>
      <w:r w:rsidRPr="004365A2">
        <w:rPr>
          <w:b/>
          <w:sz w:val="24"/>
          <w:szCs w:val="24"/>
        </w:rPr>
        <w:tab/>
        <w:t>Farmakokinetiske egenskaber</w:t>
      </w:r>
    </w:p>
    <w:p w14:paraId="755282E5" w14:textId="77777777" w:rsidR="004365A2" w:rsidRPr="004365A2" w:rsidRDefault="004365A2" w:rsidP="004365A2">
      <w:pPr>
        <w:suppressAutoHyphens/>
        <w:ind w:left="851"/>
        <w:rPr>
          <w:sz w:val="24"/>
          <w:szCs w:val="24"/>
        </w:rPr>
      </w:pPr>
    </w:p>
    <w:p w14:paraId="797483AC" w14:textId="77777777" w:rsidR="004365A2" w:rsidRPr="004365A2" w:rsidRDefault="004365A2" w:rsidP="004365A2">
      <w:pPr>
        <w:ind w:left="851"/>
        <w:rPr>
          <w:sz w:val="24"/>
          <w:szCs w:val="24"/>
          <w:u w:val="single"/>
        </w:rPr>
      </w:pPr>
      <w:r w:rsidRPr="004365A2">
        <w:rPr>
          <w:sz w:val="24"/>
          <w:szCs w:val="24"/>
          <w:u w:val="single"/>
        </w:rPr>
        <w:t>Absorption</w:t>
      </w:r>
    </w:p>
    <w:p w14:paraId="05EC60B0" w14:textId="77777777" w:rsidR="004365A2" w:rsidRPr="004365A2" w:rsidRDefault="004365A2" w:rsidP="004365A2">
      <w:pPr>
        <w:suppressAutoHyphens/>
        <w:ind w:left="851"/>
        <w:rPr>
          <w:sz w:val="24"/>
          <w:szCs w:val="24"/>
        </w:rPr>
      </w:pPr>
      <w:r w:rsidRPr="004365A2">
        <w:rPr>
          <w:sz w:val="24"/>
          <w:szCs w:val="24"/>
        </w:rPr>
        <w:t>Lidocains biotilgængelighed er ca. 50-70 % efter rektal administration. Systemisk virksomme niveauer nås sjældent efter rektal administration.</w:t>
      </w:r>
    </w:p>
    <w:p w14:paraId="5845F583" w14:textId="77777777" w:rsidR="004365A2" w:rsidRPr="004365A2" w:rsidRDefault="004365A2" w:rsidP="004365A2">
      <w:pPr>
        <w:suppressAutoHyphens/>
        <w:ind w:left="851"/>
        <w:rPr>
          <w:sz w:val="24"/>
          <w:szCs w:val="24"/>
        </w:rPr>
      </w:pPr>
    </w:p>
    <w:p w14:paraId="0EE87790" w14:textId="77777777" w:rsidR="004365A2" w:rsidRPr="004365A2" w:rsidRDefault="004365A2" w:rsidP="004365A2">
      <w:pPr>
        <w:suppressAutoHyphens/>
        <w:ind w:left="851"/>
        <w:rPr>
          <w:sz w:val="24"/>
          <w:szCs w:val="24"/>
        </w:rPr>
      </w:pPr>
      <w:r w:rsidRPr="004365A2">
        <w:rPr>
          <w:sz w:val="24"/>
          <w:szCs w:val="24"/>
        </w:rPr>
        <w:t>Efter gentagen administration af Lidoposterin (tre gange daglig i tre dage) i det anale område blev de maksimale plasmakoncentrationer på ca. 150 ng/ml nået, hvilket er under systemisk effektive niveauer. C</w:t>
      </w:r>
      <w:r w:rsidRPr="004365A2">
        <w:rPr>
          <w:sz w:val="24"/>
          <w:szCs w:val="24"/>
          <w:vertAlign w:val="subscript"/>
        </w:rPr>
        <w:t>max</w:t>
      </w:r>
      <w:r w:rsidRPr="004365A2">
        <w:rPr>
          <w:sz w:val="24"/>
          <w:szCs w:val="24"/>
        </w:rPr>
        <w:t xml:space="preserve"> blev opnået efter ca. 2 timer.</w:t>
      </w:r>
    </w:p>
    <w:p w14:paraId="073F820B" w14:textId="77777777" w:rsidR="004365A2" w:rsidRPr="004365A2" w:rsidRDefault="004365A2" w:rsidP="004365A2">
      <w:pPr>
        <w:suppressAutoHyphens/>
        <w:ind w:left="851"/>
        <w:rPr>
          <w:sz w:val="24"/>
          <w:szCs w:val="24"/>
        </w:rPr>
      </w:pPr>
    </w:p>
    <w:p w14:paraId="2A6C9259" w14:textId="77777777" w:rsidR="004365A2" w:rsidRPr="004365A2" w:rsidRDefault="004365A2" w:rsidP="004365A2">
      <w:pPr>
        <w:keepNext/>
        <w:ind w:left="851"/>
        <w:rPr>
          <w:sz w:val="24"/>
          <w:szCs w:val="24"/>
          <w:u w:val="single"/>
        </w:rPr>
      </w:pPr>
      <w:r w:rsidRPr="004365A2">
        <w:rPr>
          <w:sz w:val="24"/>
          <w:szCs w:val="24"/>
          <w:u w:val="single"/>
        </w:rPr>
        <w:lastRenderedPageBreak/>
        <w:t>Fordeling</w:t>
      </w:r>
    </w:p>
    <w:p w14:paraId="22373C92" w14:textId="77777777" w:rsidR="004365A2" w:rsidRPr="004365A2" w:rsidRDefault="004365A2" w:rsidP="004365A2">
      <w:pPr>
        <w:suppressAutoHyphens/>
        <w:ind w:left="851"/>
        <w:rPr>
          <w:sz w:val="24"/>
          <w:szCs w:val="24"/>
        </w:rPr>
      </w:pPr>
      <w:r w:rsidRPr="004365A2">
        <w:rPr>
          <w:sz w:val="24"/>
          <w:szCs w:val="24"/>
        </w:rPr>
        <w:t>Lidocain binder ca. 70 % til plasmaproteiner, herunder alfa-1-acid-glykoprotein (AAG). Lidocain passerer placenta- og blod-hjerne-barrieren.</w:t>
      </w:r>
    </w:p>
    <w:p w14:paraId="3C1B7785" w14:textId="77777777" w:rsidR="004365A2" w:rsidRPr="004365A2" w:rsidRDefault="004365A2" w:rsidP="004365A2">
      <w:pPr>
        <w:suppressAutoHyphens/>
        <w:ind w:left="851"/>
        <w:rPr>
          <w:sz w:val="24"/>
          <w:szCs w:val="24"/>
        </w:rPr>
      </w:pPr>
    </w:p>
    <w:p w14:paraId="04C4F1ED" w14:textId="77777777" w:rsidR="004365A2" w:rsidRPr="004365A2" w:rsidRDefault="004365A2" w:rsidP="004365A2">
      <w:pPr>
        <w:ind w:left="851"/>
        <w:rPr>
          <w:sz w:val="24"/>
          <w:szCs w:val="24"/>
          <w:u w:val="single"/>
        </w:rPr>
      </w:pPr>
      <w:r w:rsidRPr="004365A2">
        <w:rPr>
          <w:sz w:val="24"/>
          <w:szCs w:val="24"/>
          <w:u w:val="single"/>
        </w:rPr>
        <w:t>Biotransformation</w:t>
      </w:r>
    </w:p>
    <w:p w14:paraId="1281C4F3" w14:textId="77777777" w:rsidR="004365A2" w:rsidRPr="004365A2" w:rsidRDefault="004365A2" w:rsidP="004365A2">
      <w:pPr>
        <w:suppressAutoHyphens/>
        <w:ind w:left="851"/>
        <w:rPr>
          <w:sz w:val="24"/>
          <w:szCs w:val="24"/>
        </w:rPr>
      </w:pPr>
      <w:r w:rsidRPr="004365A2">
        <w:rPr>
          <w:sz w:val="24"/>
          <w:szCs w:val="24"/>
        </w:rPr>
        <w:t>Lidocain gennemgår omfattende metabolisering i leveren. Dealkylering til monoethylglycinexylidid (MEGX) medieres af både CYP1A2 og CYP3A4. MEGX metaboliseres til 2,6-dimethylanilin og glycinexylidid (GX). MEGX har en konvulsiv aktivitet svarende til lidocains, mens GX slet ikke har nogen konvulsiv aktivitet. MEGX synes at forekomme i plasmakoncentrationer svarende til moderstoffets.</w:t>
      </w:r>
    </w:p>
    <w:p w14:paraId="176D6C6E" w14:textId="77777777" w:rsidR="004365A2" w:rsidRPr="004365A2" w:rsidRDefault="004365A2" w:rsidP="004365A2">
      <w:pPr>
        <w:suppressAutoHyphens/>
        <w:ind w:left="851"/>
        <w:rPr>
          <w:sz w:val="24"/>
          <w:szCs w:val="24"/>
        </w:rPr>
      </w:pPr>
    </w:p>
    <w:p w14:paraId="5BE57CBE" w14:textId="77777777" w:rsidR="004365A2" w:rsidRPr="004365A2" w:rsidRDefault="004365A2" w:rsidP="004365A2">
      <w:pPr>
        <w:ind w:left="851"/>
        <w:rPr>
          <w:sz w:val="24"/>
          <w:szCs w:val="24"/>
          <w:u w:val="single"/>
        </w:rPr>
      </w:pPr>
      <w:r w:rsidRPr="004365A2">
        <w:rPr>
          <w:sz w:val="24"/>
          <w:szCs w:val="24"/>
          <w:u w:val="single"/>
        </w:rPr>
        <w:t>Elimination</w:t>
      </w:r>
    </w:p>
    <w:p w14:paraId="0DEF7B7D" w14:textId="77777777" w:rsidR="004365A2" w:rsidRPr="004365A2" w:rsidRDefault="004365A2" w:rsidP="004365A2">
      <w:pPr>
        <w:suppressAutoHyphens/>
        <w:ind w:left="851"/>
        <w:rPr>
          <w:sz w:val="24"/>
          <w:szCs w:val="24"/>
        </w:rPr>
      </w:pPr>
      <w:r w:rsidRPr="004365A2">
        <w:rPr>
          <w:sz w:val="24"/>
          <w:szCs w:val="24"/>
        </w:rPr>
        <w:t>Lidocain udskilles hovedsageligt som metabolitter i urinen. Ca. 10 % udskilles uændret i urinen. Halveringstiden efter rektal administration er ca. 2-3 timer. Nedsat clearance af lidocain er påvist hos patienter med hjertesvigt, alkoholinduceret leversygdom og kronisk eller viral hepatitis.</w:t>
      </w:r>
    </w:p>
    <w:p w14:paraId="3761248E" w14:textId="77777777" w:rsidR="004365A2" w:rsidRPr="004365A2" w:rsidRDefault="004365A2" w:rsidP="004365A2">
      <w:pPr>
        <w:tabs>
          <w:tab w:val="left" w:pos="851"/>
        </w:tabs>
        <w:ind w:left="851"/>
        <w:rPr>
          <w:sz w:val="24"/>
          <w:szCs w:val="24"/>
        </w:rPr>
      </w:pPr>
    </w:p>
    <w:p w14:paraId="24C433A1" w14:textId="77777777" w:rsidR="004365A2" w:rsidRPr="004365A2" w:rsidRDefault="004365A2" w:rsidP="004365A2">
      <w:pPr>
        <w:keepNext/>
        <w:tabs>
          <w:tab w:val="left" w:pos="851"/>
        </w:tabs>
        <w:ind w:left="851" w:hanging="851"/>
        <w:rPr>
          <w:b/>
          <w:sz w:val="24"/>
          <w:szCs w:val="24"/>
        </w:rPr>
      </w:pPr>
      <w:r w:rsidRPr="004365A2">
        <w:rPr>
          <w:b/>
          <w:sz w:val="24"/>
          <w:szCs w:val="24"/>
        </w:rPr>
        <w:t>5.3</w:t>
      </w:r>
      <w:r w:rsidRPr="004365A2">
        <w:rPr>
          <w:b/>
          <w:sz w:val="24"/>
          <w:szCs w:val="24"/>
        </w:rPr>
        <w:tab/>
        <w:t>Non-kliniske sikkerhedsdata</w:t>
      </w:r>
    </w:p>
    <w:p w14:paraId="15FD6B60" w14:textId="77777777" w:rsidR="004365A2" w:rsidRPr="004365A2" w:rsidRDefault="004365A2" w:rsidP="004365A2">
      <w:pPr>
        <w:ind w:left="851"/>
        <w:rPr>
          <w:sz w:val="24"/>
          <w:szCs w:val="24"/>
        </w:rPr>
      </w:pPr>
      <w:r w:rsidRPr="004365A2">
        <w:rPr>
          <w:sz w:val="24"/>
          <w:szCs w:val="24"/>
        </w:rPr>
        <w:t>Studier af lidocains lokale toksicitet i forskellige dyrearter har ikke påvist tegn på irreversibel vævsskade.</w:t>
      </w:r>
    </w:p>
    <w:p w14:paraId="360D0B15" w14:textId="77777777" w:rsidR="004365A2" w:rsidRPr="004365A2" w:rsidRDefault="004365A2" w:rsidP="004365A2">
      <w:pPr>
        <w:ind w:left="851"/>
        <w:rPr>
          <w:sz w:val="24"/>
          <w:szCs w:val="24"/>
        </w:rPr>
      </w:pPr>
    </w:p>
    <w:p w14:paraId="2D6EE9DD" w14:textId="77777777" w:rsidR="004365A2" w:rsidRPr="004365A2" w:rsidRDefault="004365A2" w:rsidP="004365A2">
      <w:pPr>
        <w:ind w:left="851"/>
        <w:rPr>
          <w:sz w:val="24"/>
          <w:szCs w:val="24"/>
        </w:rPr>
      </w:pPr>
      <w:r w:rsidRPr="004365A2">
        <w:rPr>
          <w:sz w:val="24"/>
          <w:szCs w:val="24"/>
        </w:rPr>
        <w:t>Der er ikke observeret teratogene virkninger i studier af fosterudvikling hos rotter og kaniner, som fik doser af lidocain under organudviklingen. Der sås embryotoksicitet hos kaniner ved doser, som var toksiske for moderen.</w:t>
      </w:r>
    </w:p>
    <w:p w14:paraId="130E96D5" w14:textId="77777777" w:rsidR="004365A2" w:rsidRPr="004365A2" w:rsidRDefault="004365A2" w:rsidP="004365A2">
      <w:pPr>
        <w:ind w:left="851"/>
        <w:rPr>
          <w:sz w:val="24"/>
          <w:szCs w:val="24"/>
        </w:rPr>
      </w:pPr>
      <w:r w:rsidRPr="004365A2">
        <w:rPr>
          <w:sz w:val="24"/>
          <w:szCs w:val="24"/>
        </w:rPr>
        <w:t>Rotteforsøg viste ingen effekter af lidocain med hensyn til hunners fertilitet.</w:t>
      </w:r>
    </w:p>
    <w:p w14:paraId="31BD3129" w14:textId="77777777" w:rsidR="004365A2" w:rsidRPr="004365A2" w:rsidRDefault="004365A2" w:rsidP="004365A2">
      <w:pPr>
        <w:ind w:left="851"/>
        <w:rPr>
          <w:sz w:val="24"/>
          <w:szCs w:val="24"/>
        </w:rPr>
      </w:pPr>
      <w:r w:rsidRPr="004365A2">
        <w:rPr>
          <w:sz w:val="24"/>
          <w:szCs w:val="24"/>
        </w:rPr>
        <w:t>Dyreforsøg er ufuldstændige med hensyn til fertilitet hos hanner, parturition og udvikling efter parturition.</w:t>
      </w:r>
    </w:p>
    <w:p w14:paraId="4213CC2F" w14:textId="77777777" w:rsidR="004365A2" w:rsidRPr="004365A2" w:rsidRDefault="004365A2" w:rsidP="004365A2">
      <w:pPr>
        <w:ind w:left="851"/>
        <w:rPr>
          <w:sz w:val="24"/>
          <w:szCs w:val="24"/>
        </w:rPr>
      </w:pPr>
    </w:p>
    <w:p w14:paraId="0C8CFC32" w14:textId="77777777" w:rsidR="004365A2" w:rsidRPr="004365A2" w:rsidRDefault="004365A2" w:rsidP="004365A2">
      <w:pPr>
        <w:ind w:left="851"/>
        <w:rPr>
          <w:sz w:val="24"/>
          <w:szCs w:val="24"/>
        </w:rPr>
      </w:pPr>
      <w:r w:rsidRPr="004365A2">
        <w:rPr>
          <w:sz w:val="24"/>
          <w:szCs w:val="24"/>
        </w:rPr>
        <w:t xml:space="preserve">Genotoksicitetsstudier for lidocain var negative. Lidocainmetabolitten, 2,6-xylidin, har genotoksisk potentiale </w:t>
      </w:r>
      <w:r w:rsidRPr="004365A2">
        <w:rPr>
          <w:i/>
          <w:iCs/>
          <w:sz w:val="24"/>
          <w:szCs w:val="24"/>
        </w:rPr>
        <w:t>in vitro</w:t>
      </w:r>
      <w:r w:rsidRPr="004365A2">
        <w:rPr>
          <w:sz w:val="24"/>
          <w:szCs w:val="24"/>
        </w:rPr>
        <w:t>.</w:t>
      </w:r>
    </w:p>
    <w:p w14:paraId="17B3CAD4" w14:textId="77777777" w:rsidR="004365A2" w:rsidRPr="004365A2" w:rsidRDefault="004365A2" w:rsidP="004365A2">
      <w:pPr>
        <w:ind w:left="851"/>
        <w:rPr>
          <w:sz w:val="24"/>
          <w:szCs w:val="24"/>
        </w:rPr>
      </w:pPr>
    </w:p>
    <w:p w14:paraId="6778F77D" w14:textId="77777777" w:rsidR="004365A2" w:rsidRPr="004365A2" w:rsidRDefault="004365A2" w:rsidP="004365A2">
      <w:pPr>
        <w:ind w:left="851"/>
        <w:rPr>
          <w:sz w:val="24"/>
          <w:szCs w:val="24"/>
        </w:rPr>
      </w:pPr>
      <w:r w:rsidRPr="004365A2">
        <w:rPr>
          <w:sz w:val="24"/>
          <w:szCs w:val="24"/>
        </w:rPr>
        <w:t>Der er ikke udført karcinogenicitetsstudier af lidocain. Studier udført på metabolitten 2,6-xylidin iblandet foderet hos han- og hunrotter resulterede i behandlingsrelateret cytotoksicitet og hyperplasi af det olfaktoriske epitel i næsen, og der blev observeret karcinom og adenom i næsekaviteten. Der blev også fundet tumorigene forandringer i lever og subcutis. Da risikoen for mennesker er uklar, bør langvarig behandling med høje doser lidocain undgås.</w:t>
      </w:r>
    </w:p>
    <w:p w14:paraId="26BB5366" w14:textId="77777777" w:rsidR="004365A2" w:rsidRPr="004365A2" w:rsidRDefault="004365A2" w:rsidP="004365A2">
      <w:pPr>
        <w:tabs>
          <w:tab w:val="left" w:pos="851"/>
        </w:tabs>
        <w:ind w:left="851"/>
        <w:rPr>
          <w:sz w:val="24"/>
          <w:szCs w:val="24"/>
        </w:rPr>
      </w:pPr>
    </w:p>
    <w:p w14:paraId="7B7B337D" w14:textId="77777777" w:rsidR="004365A2" w:rsidRPr="004365A2" w:rsidRDefault="004365A2" w:rsidP="004365A2">
      <w:pPr>
        <w:tabs>
          <w:tab w:val="left" w:pos="851"/>
        </w:tabs>
        <w:ind w:left="851"/>
        <w:rPr>
          <w:sz w:val="24"/>
          <w:szCs w:val="24"/>
        </w:rPr>
      </w:pPr>
    </w:p>
    <w:p w14:paraId="40732E88" w14:textId="77777777" w:rsidR="004365A2" w:rsidRPr="004365A2" w:rsidRDefault="004365A2" w:rsidP="004365A2">
      <w:pPr>
        <w:tabs>
          <w:tab w:val="left" w:pos="851"/>
        </w:tabs>
        <w:ind w:left="851" w:hanging="851"/>
        <w:rPr>
          <w:b/>
          <w:sz w:val="24"/>
          <w:szCs w:val="24"/>
        </w:rPr>
      </w:pPr>
      <w:r w:rsidRPr="004365A2">
        <w:rPr>
          <w:b/>
          <w:sz w:val="24"/>
          <w:szCs w:val="24"/>
        </w:rPr>
        <w:t>6.</w:t>
      </w:r>
      <w:r w:rsidRPr="004365A2">
        <w:rPr>
          <w:b/>
          <w:sz w:val="24"/>
          <w:szCs w:val="24"/>
        </w:rPr>
        <w:tab/>
        <w:t>FARMACEUTISKE OPLYSNINGER</w:t>
      </w:r>
    </w:p>
    <w:p w14:paraId="1DCCF572" w14:textId="77777777" w:rsidR="004365A2" w:rsidRPr="004365A2" w:rsidRDefault="004365A2" w:rsidP="004365A2">
      <w:pPr>
        <w:tabs>
          <w:tab w:val="left" w:pos="851"/>
        </w:tabs>
        <w:ind w:left="851"/>
        <w:rPr>
          <w:sz w:val="24"/>
          <w:szCs w:val="24"/>
        </w:rPr>
      </w:pPr>
    </w:p>
    <w:p w14:paraId="5AF0C851" w14:textId="77777777" w:rsidR="004365A2" w:rsidRPr="004365A2" w:rsidRDefault="004365A2" w:rsidP="004365A2">
      <w:pPr>
        <w:tabs>
          <w:tab w:val="left" w:pos="851"/>
        </w:tabs>
        <w:ind w:left="851" w:hanging="851"/>
        <w:rPr>
          <w:b/>
          <w:sz w:val="24"/>
          <w:szCs w:val="24"/>
        </w:rPr>
      </w:pPr>
      <w:r w:rsidRPr="004365A2">
        <w:rPr>
          <w:b/>
          <w:sz w:val="24"/>
          <w:szCs w:val="24"/>
        </w:rPr>
        <w:t>6.1</w:t>
      </w:r>
      <w:r w:rsidRPr="004365A2">
        <w:rPr>
          <w:b/>
          <w:sz w:val="24"/>
          <w:szCs w:val="24"/>
        </w:rPr>
        <w:tab/>
        <w:t>Hjælpestoffer</w:t>
      </w:r>
    </w:p>
    <w:p w14:paraId="6241A437" w14:textId="77777777" w:rsidR="004365A2" w:rsidRPr="004365A2" w:rsidRDefault="004365A2" w:rsidP="004365A2">
      <w:pPr>
        <w:ind w:left="851"/>
        <w:rPr>
          <w:sz w:val="24"/>
          <w:szCs w:val="24"/>
        </w:rPr>
      </w:pPr>
      <w:r w:rsidRPr="004365A2">
        <w:rPr>
          <w:sz w:val="24"/>
          <w:szCs w:val="24"/>
        </w:rPr>
        <w:t>Cetylalkohol</w:t>
      </w:r>
    </w:p>
    <w:p w14:paraId="0B45B530" w14:textId="77777777" w:rsidR="004365A2" w:rsidRPr="004365A2" w:rsidRDefault="004365A2" w:rsidP="004365A2">
      <w:pPr>
        <w:ind w:left="851"/>
        <w:rPr>
          <w:sz w:val="24"/>
          <w:szCs w:val="24"/>
        </w:rPr>
      </w:pPr>
      <w:r w:rsidRPr="004365A2">
        <w:rPr>
          <w:sz w:val="24"/>
          <w:szCs w:val="24"/>
        </w:rPr>
        <w:t>Macrogol</w:t>
      </w:r>
    </w:p>
    <w:p w14:paraId="0C44B8CC" w14:textId="77777777" w:rsidR="004365A2" w:rsidRPr="004365A2" w:rsidRDefault="004365A2" w:rsidP="004365A2">
      <w:pPr>
        <w:ind w:left="851"/>
        <w:rPr>
          <w:sz w:val="24"/>
          <w:szCs w:val="24"/>
        </w:rPr>
      </w:pPr>
      <w:r w:rsidRPr="004365A2">
        <w:rPr>
          <w:sz w:val="24"/>
          <w:szCs w:val="24"/>
        </w:rPr>
        <w:t>Renset vand</w:t>
      </w:r>
    </w:p>
    <w:p w14:paraId="43723317" w14:textId="77777777" w:rsidR="004365A2" w:rsidRPr="004365A2" w:rsidRDefault="004365A2" w:rsidP="004365A2">
      <w:pPr>
        <w:tabs>
          <w:tab w:val="left" w:pos="851"/>
        </w:tabs>
        <w:ind w:left="851"/>
        <w:rPr>
          <w:sz w:val="24"/>
          <w:szCs w:val="24"/>
        </w:rPr>
      </w:pPr>
    </w:p>
    <w:p w14:paraId="0F1ED00D" w14:textId="77777777" w:rsidR="004365A2" w:rsidRPr="004365A2" w:rsidRDefault="004365A2" w:rsidP="004365A2">
      <w:pPr>
        <w:keepNext/>
        <w:tabs>
          <w:tab w:val="left" w:pos="851"/>
        </w:tabs>
        <w:ind w:left="851" w:hanging="851"/>
        <w:rPr>
          <w:b/>
          <w:sz w:val="24"/>
          <w:szCs w:val="24"/>
        </w:rPr>
      </w:pPr>
      <w:r w:rsidRPr="004365A2">
        <w:rPr>
          <w:b/>
          <w:sz w:val="24"/>
          <w:szCs w:val="24"/>
        </w:rPr>
        <w:t>6.2</w:t>
      </w:r>
      <w:r w:rsidRPr="004365A2">
        <w:rPr>
          <w:b/>
          <w:sz w:val="24"/>
          <w:szCs w:val="24"/>
        </w:rPr>
        <w:tab/>
        <w:t>Uforligeligheder</w:t>
      </w:r>
    </w:p>
    <w:p w14:paraId="2C203C45" w14:textId="77777777" w:rsidR="004365A2" w:rsidRPr="004365A2" w:rsidRDefault="004365A2" w:rsidP="004365A2">
      <w:pPr>
        <w:tabs>
          <w:tab w:val="left" w:pos="851"/>
        </w:tabs>
        <w:ind w:left="851"/>
        <w:rPr>
          <w:sz w:val="24"/>
          <w:szCs w:val="24"/>
        </w:rPr>
      </w:pPr>
      <w:r w:rsidRPr="004365A2">
        <w:rPr>
          <w:sz w:val="24"/>
          <w:szCs w:val="24"/>
        </w:rPr>
        <w:t>Ikke relevant.</w:t>
      </w:r>
    </w:p>
    <w:p w14:paraId="6BB4E9B9" w14:textId="77777777" w:rsidR="004365A2" w:rsidRPr="004365A2" w:rsidRDefault="004365A2" w:rsidP="004365A2">
      <w:pPr>
        <w:tabs>
          <w:tab w:val="left" w:pos="851"/>
        </w:tabs>
        <w:ind w:left="851"/>
        <w:rPr>
          <w:sz w:val="24"/>
          <w:szCs w:val="24"/>
        </w:rPr>
      </w:pPr>
    </w:p>
    <w:p w14:paraId="16774310" w14:textId="77777777" w:rsidR="004365A2" w:rsidRPr="004365A2" w:rsidRDefault="004365A2" w:rsidP="004365A2">
      <w:pPr>
        <w:tabs>
          <w:tab w:val="left" w:pos="851"/>
        </w:tabs>
        <w:ind w:left="851" w:hanging="851"/>
        <w:rPr>
          <w:b/>
          <w:sz w:val="24"/>
          <w:szCs w:val="24"/>
        </w:rPr>
      </w:pPr>
      <w:r w:rsidRPr="004365A2">
        <w:rPr>
          <w:b/>
          <w:sz w:val="24"/>
          <w:szCs w:val="24"/>
        </w:rPr>
        <w:t>6.3</w:t>
      </w:r>
      <w:r w:rsidRPr="004365A2">
        <w:rPr>
          <w:b/>
          <w:sz w:val="24"/>
          <w:szCs w:val="24"/>
        </w:rPr>
        <w:tab/>
        <w:t>Opbevaringstid</w:t>
      </w:r>
    </w:p>
    <w:p w14:paraId="7854832B" w14:textId="77777777" w:rsidR="004365A2" w:rsidRPr="004365A2" w:rsidRDefault="004365A2" w:rsidP="006E493B">
      <w:pPr>
        <w:tabs>
          <w:tab w:val="left" w:pos="851"/>
        </w:tabs>
        <w:ind w:left="851"/>
        <w:rPr>
          <w:sz w:val="24"/>
          <w:szCs w:val="24"/>
        </w:rPr>
      </w:pPr>
      <w:r w:rsidRPr="004365A2">
        <w:rPr>
          <w:sz w:val="24"/>
          <w:szCs w:val="24"/>
        </w:rPr>
        <w:t>3 år.</w:t>
      </w:r>
    </w:p>
    <w:p w14:paraId="5D38F7F7" w14:textId="77777777" w:rsidR="004365A2" w:rsidRPr="004365A2" w:rsidRDefault="004365A2" w:rsidP="004365A2">
      <w:pPr>
        <w:tabs>
          <w:tab w:val="left" w:pos="851"/>
        </w:tabs>
        <w:ind w:left="851"/>
        <w:rPr>
          <w:sz w:val="24"/>
          <w:szCs w:val="24"/>
        </w:rPr>
      </w:pPr>
    </w:p>
    <w:p w14:paraId="6D8D9592" w14:textId="77777777" w:rsidR="004365A2" w:rsidRPr="004365A2" w:rsidRDefault="004365A2" w:rsidP="004365A2">
      <w:pPr>
        <w:tabs>
          <w:tab w:val="left" w:pos="851"/>
        </w:tabs>
        <w:ind w:left="851"/>
        <w:rPr>
          <w:sz w:val="24"/>
          <w:szCs w:val="24"/>
        </w:rPr>
      </w:pPr>
      <w:r w:rsidRPr="004365A2">
        <w:rPr>
          <w:sz w:val="24"/>
          <w:szCs w:val="24"/>
        </w:rPr>
        <w:t>Efter anbrud: 6 måneder.</w:t>
      </w:r>
    </w:p>
    <w:p w14:paraId="6BAFEFE2" w14:textId="77777777" w:rsidR="004365A2" w:rsidRPr="004365A2" w:rsidRDefault="004365A2" w:rsidP="004365A2">
      <w:pPr>
        <w:tabs>
          <w:tab w:val="left" w:pos="851"/>
        </w:tabs>
        <w:ind w:left="851"/>
        <w:rPr>
          <w:sz w:val="24"/>
          <w:szCs w:val="24"/>
        </w:rPr>
      </w:pPr>
    </w:p>
    <w:p w14:paraId="57929607" w14:textId="77777777" w:rsidR="004365A2" w:rsidRPr="004365A2" w:rsidRDefault="004365A2" w:rsidP="004365A2">
      <w:pPr>
        <w:tabs>
          <w:tab w:val="left" w:pos="851"/>
        </w:tabs>
        <w:ind w:left="851" w:hanging="851"/>
        <w:rPr>
          <w:b/>
          <w:sz w:val="24"/>
          <w:szCs w:val="24"/>
        </w:rPr>
      </w:pPr>
      <w:r w:rsidRPr="004365A2">
        <w:rPr>
          <w:b/>
          <w:sz w:val="24"/>
          <w:szCs w:val="24"/>
        </w:rPr>
        <w:t>6.4</w:t>
      </w:r>
      <w:r w:rsidRPr="004365A2">
        <w:rPr>
          <w:b/>
          <w:sz w:val="24"/>
          <w:szCs w:val="24"/>
        </w:rPr>
        <w:tab/>
        <w:t>Særlige opbevaringsforhold</w:t>
      </w:r>
    </w:p>
    <w:p w14:paraId="2A46FCB0" w14:textId="77777777" w:rsidR="006E493B" w:rsidRPr="006E493B" w:rsidRDefault="006E493B" w:rsidP="006E493B">
      <w:pPr>
        <w:tabs>
          <w:tab w:val="left" w:pos="851"/>
        </w:tabs>
        <w:ind w:left="851"/>
        <w:rPr>
          <w:sz w:val="24"/>
          <w:szCs w:val="24"/>
        </w:rPr>
      </w:pPr>
      <w:r w:rsidRPr="006E493B">
        <w:rPr>
          <w:sz w:val="24"/>
          <w:szCs w:val="24"/>
        </w:rPr>
        <w:t>Må ikke opbevares ved temperaturer over 25 °C.</w:t>
      </w:r>
    </w:p>
    <w:p w14:paraId="0058B5F9" w14:textId="77777777" w:rsidR="006E493B" w:rsidRPr="006E493B" w:rsidRDefault="006E493B" w:rsidP="006E493B">
      <w:pPr>
        <w:tabs>
          <w:tab w:val="left" w:pos="851"/>
        </w:tabs>
        <w:ind w:left="851"/>
        <w:rPr>
          <w:sz w:val="24"/>
          <w:szCs w:val="24"/>
        </w:rPr>
      </w:pPr>
    </w:p>
    <w:p w14:paraId="6649B040" w14:textId="77777777" w:rsidR="006E493B" w:rsidRPr="006E493B" w:rsidRDefault="006E493B" w:rsidP="006E493B">
      <w:pPr>
        <w:tabs>
          <w:tab w:val="left" w:pos="851"/>
        </w:tabs>
        <w:ind w:left="851"/>
        <w:rPr>
          <w:sz w:val="24"/>
          <w:szCs w:val="24"/>
        </w:rPr>
      </w:pPr>
      <w:r w:rsidRPr="006E493B">
        <w:rPr>
          <w:sz w:val="24"/>
          <w:szCs w:val="24"/>
        </w:rPr>
        <w:t>Salven opbevares ved rumtemperatur (18 °C op til højst 25 °C) for at sikre nem applicering.</w:t>
      </w:r>
    </w:p>
    <w:p w14:paraId="5BC78744" w14:textId="77777777" w:rsidR="004365A2" w:rsidRPr="004365A2" w:rsidRDefault="004365A2" w:rsidP="004365A2">
      <w:pPr>
        <w:tabs>
          <w:tab w:val="left" w:pos="851"/>
        </w:tabs>
        <w:ind w:left="851"/>
        <w:rPr>
          <w:sz w:val="24"/>
          <w:szCs w:val="24"/>
        </w:rPr>
      </w:pPr>
    </w:p>
    <w:p w14:paraId="109D17A5" w14:textId="77777777" w:rsidR="004365A2" w:rsidRPr="004365A2" w:rsidRDefault="004365A2" w:rsidP="004365A2">
      <w:pPr>
        <w:tabs>
          <w:tab w:val="left" w:pos="851"/>
        </w:tabs>
        <w:ind w:left="851" w:hanging="851"/>
        <w:rPr>
          <w:b/>
          <w:sz w:val="24"/>
          <w:szCs w:val="24"/>
        </w:rPr>
      </w:pPr>
      <w:r w:rsidRPr="004365A2">
        <w:rPr>
          <w:b/>
          <w:sz w:val="24"/>
          <w:szCs w:val="24"/>
        </w:rPr>
        <w:t>6.5</w:t>
      </w:r>
      <w:r w:rsidRPr="004365A2">
        <w:rPr>
          <w:b/>
          <w:sz w:val="24"/>
          <w:szCs w:val="24"/>
        </w:rPr>
        <w:tab/>
        <w:t>Emballagetyper og pakningsstørrelser</w:t>
      </w:r>
    </w:p>
    <w:p w14:paraId="638AB5F5" w14:textId="70BDCCAD" w:rsidR="004365A2" w:rsidRDefault="006E493B" w:rsidP="004365A2">
      <w:pPr>
        <w:tabs>
          <w:tab w:val="left" w:pos="851"/>
        </w:tabs>
        <w:ind w:left="851"/>
        <w:rPr>
          <w:sz w:val="24"/>
          <w:szCs w:val="24"/>
        </w:rPr>
      </w:pPr>
      <w:r w:rsidRPr="006E493B">
        <w:rPr>
          <w:sz w:val="24"/>
          <w:szCs w:val="24"/>
        </w:rPr>
        <w:t xml:space="preserve">Aluminiumstube med skruelåg og </w:t>
      </w:r>
      <w:bookmarkStart w:id="0" w:name="_Hlk233799576"/>
      <w:r w:rsidRPr="006E493B">
        <w:rPr>
          <w:sz w:val="24"/>
          <w:szCs w:val="24"/>
        </w:rPr>
        <w:t>applikator</w:t>
      </w:r>
      <w:bookmarkEnd w:id="0"/>
      <w:r>
        <w:rPr>
          <w:sz w:val="24"/>
          <w:szCs w:val="24"/>
        </w:rPr>
        <w:t>.</w:t>
      </w:r>
    </w:p>
    <w:p w14:paraId="175B50F9" w14:textId="77777777" w:rsidR="006E493B" w:rsidRPr="004365A2" w:rsidRDefault="006E493B" w:rsidP="004365A2">
      <w:pPr>
        <w:tabs>
          <w:tab w:val="left" w:pos="851"/>
        </w:tabs>
        <w:ind w:left="851"/>
        <w:rPr>
          <w:sz w:val="24"/>
          <w:szCs w:val="24"/>
        </w:rPr>
      </w:pPr>
    </w:p>
    <w:p w14:paraId="5B736759" w14:textId="77777777" w:rsidR="004365A2" w:rsidRPr="004365A2" w:rsidRDefault="004365A2" w:rsidP="004365A2">
      <w:pPr>
        <w:tabs>
          <w:tab w:val="left" w:pos="851"/>
        </w:tabs>
        <w:ind w:left="851" w:hanging="851"/>
        <w:rPr>
          <w:b/>
          <w:sz w:val="24"/>
          <w:szCs w:val="24"/>
        </w:rPr>
      </w:pPr>
      <w:r w:rsidRPr="004365A2">
        <w:rPr>
          <w:b/>
          <w:sz w:val="24"/>
          <w:szCs w:val="24"/>
        </w:rPr>
        <w:t>6.6</w:t>
      </w:r>
      <w:r w:rsidRPr="004365A2">
        <w:rPr>
          <w:b/>
          <w:sz w:val="24"/>
          <w:szCs w:val="24"/>
        </w:rPr>
        <w:tab/>
        <w:t>Regler for destruktion og anden håndtering</w:t>
      </w:r>
    </w:p>
    <w:p w14:paraId="75509805" w14:textId="77777777" w:rsidR="004365A2" w:rsidRPr="004365A2" w:rsidRDefault="004365A2" w:rsidP="004365A2">
      <w:pPr>
        <w:ind w:left="851"/>
        <w:rPr>
          <w:sz w:val="24"/>
          <w:szCs w:val="24"/>
        </w:rPr>
      </w:pPr>
      <w:r w:rsidRPr="004365A2">
        <w:rPr>
          <w:sz w:val="24"/>
          <w:szCs w:val="24"/>
        </w:rPr>
        <w:t>Ikke anvendt lægemiddel samt affald heraf skal bortskaffes i henhold til lokale retningslinjer.</w:t>
      </w:r>
    </w:p>
    <w:p w14:paraId="2FE4FE17" w14:textId="77777777" w:rsidR="004365A2" w:rsidRPr="004365A2" w:rsidRDefault="004365A2" w:rsidP="004365A2">
      <w:pPr>
        <w:tabs>
          <w:tab w:val="left" w:pos="851"/>
        </w:tabs>
        <w:ind w:left="851"/>
        <w:jc w:val="both"/>
        <w:rPr>
          <w:sz w:val="24"/>
          <w:szCs w:val="24"/>
        </w:rPr>
      </w:pPr>
    </w:p>
    <w:p w14:paraId="7EF47F02" w14:textId="77777777" w:rsidR="004365A2" w:rsidRPr="004365A2" w:rsidRDefault="004365A2" w:rsidP="004365A2">
      <w:pPr>
        <w:tabs>
          <w:tab w:val="left" w:pos="851"/>
        </w:tabs>
        <w:ind w:left="851" w:hanging="851"/>
        <w:rPr>
          <w:b/>
          <w:sz w:val="24"/>
          <w:szCs w:val="24"/>
        </w:rPr>
      </w:pPr>
      <w:r w:rsidRPr="004365A2">
        <w:rPr>
          <w:b/>
          <w:sz w:val="24"/>
          <w:szCs w:val="24"/>
        </w:rPr>
        <w:t>7.</w:t>
      </w:r>
      <w:r w:rsidRPr="004365A2">
        <w:rPr>
          <w:b/>
          <w:sz w:val="24"/>
          <w:szCs w:val="24"/>
        </w:rPr>
        <w:tab/>
        <w:t>INDEHAVER AF MARKEDSFØRINGSTILLADELSEN</w:t>
      </w:r>
    </w:p>
    <w:p w14:paraId="3B22D70C" w14:textId="4E1DC241" w:rsidR="006E493B" w:rsidRPr="00AD4E58" w:rsidRDefault="006E493B" w:rsidP="006E493B">
      <w:pPr>
        <w:ind w:left="851"/>
        <w:rPr>
          <w:sz w:val="24"/>
          <w:szCs w:val="24"/>
          <w:lang w:eastAsia="da-DK"/>
        </w:rPr>
      </w:pPr>
      <w:r w:rsidRPr="00AD4E58">
        <w:rPr>
          <w:sz w:val="24"/>
          <w:szCs w:val="24"/>
          <w:lang w:eastAsia="da-DK"/>
        </w:rPr>
        <w:t>Epione Medicine ApS</w:t>
      </w:r>
    </w:p>
    <w:p w14:paraId="42A0C2C6" w14:textId="77777777" w:rsidR="006E493B" w:rsidRPr="00AD4E58" w:rsidRDefault="006E493B" w:rsidP="006E493B">
      <w:pPr>
        <w:ind w:left="851"/>
        <w:rPr>
          <w:sz w:val="24"/>
          <w:szCs w:val="24"/>
          <w:lang w:eastAsia="da-DK"/>
        </w:rPr>
      </w:pPr>
      <w:r w:rsidRPr="00AD4E58">
        <w:rPr>
          <w:sz w:val="24"/>
          <w:szCs w:val="24"/>
          <w:lang w:eastAsia="da-DK"/>
        </w:rPr>
        <w:t>Kanalholmen 14L</w:t>
      </w:r>
    </w:p>
    <w:p w14:paraId="2C5CF07C" w14:textId="77777777" w:rsidR="006E493B" w:rsidRPr="00AD4E58" w:rsidRDefault="006E493B" w:rsidP="006E493B">
      <w:pPr>
        <w:ind w:left="851"/>
        <w:rPr>
          <w:sz w:val="24"/>
          <w:szCs w:val="24"/>
          <w:lang w:eastAsia="da-DK"/>
        </w:rPr>
      </w:pPr>
      <w:r w:rsidRPr="00AD4E58">
        <w:rPr>
          <w:sz w:val="24"/>
          <w:szCs w:val="24"/>
          <w:lang w:eastAsia="da-DK"/>
        </w:rPr>
        <w:t xml:space="preserve">2650 Hvidovre </w:t>
      </w:r>
    </w:p>
    <w:p w14:paraId="048294A0" w14:textId="77777777" w:rsidR="006E493B" w:rsidRPr="00AD4E58" w:rsidRDefault="006E493B" w:rsidP="006E493B">
      <w:pPr>
        <w:ind w:left="851"/>
        <w:rPr>
          <w:sz w:val="24"/>
          <w:szCs w:val="24"/>
          <w:lang w:eastAsia="da-DK"/>
        </w:rPr>
      </w:pPr>
      <w:r w:rsidRPr="00AD4E58">
        <w:rPr>
          <w:sz w:val="24"/>
          <w:szCs w:val="24"/>
          <w:lang w:eastAsia="da-DK"/>
        </w:rPr>
        <w:t xml:space="preserve">Danmark </w:t>
      </w:r>
    </w:p>
    <w:p w14:paraId="208C6DDB" w14:textId="77777777" w:rsidR="006E493B" w:rsidRDefault="006E493B"/>
    <w:p w14:paraId="77C73CD5" w14:textId="77777777" w:rsidR="004365A2" w:rsidRPr="004365A2" w:rsidRDefault="004365A2" w:rsidP="004365A2">
      <w:pPr>
        <w:tabs>
          <w:tab w:val="left" w:pos="851"/>
        </w:tabs>
        <w:ind w:left="851"/>
        <w:rPr>
          <w:sz w:val="24"/>
          <w:szCs w:val="24"/>
        </w:rPr>
      </w:pPr>
    </w:p>
    <w:p w14:paraId="3175BDBA" w14:textId="77777777" w:rsidR="004365A2" w:rsidRPr="004365A2" w:rsidRDefault="004365A2" w:rsidP="004365A2">
      <w:pPr>
        <w:tabs>
          <w:tab w:val="left" w:pos="851"/>
        </w:tabs>
        <w:ind w:left="851" w:hanging="851"/>
        <w:rPr>
          <w:b/>
          <w:sz w:val="24"/>
          <w:szCs w:val="24"/>
        </w:rPr>
      </w:pPr>
      <w:r w:rsidRPr="004365A2">
        <w:rPr>
          <w:b/>
          <w:sz w:val="24"/>
          <w:szCs w:val="24"/>
        </w:rPr>
        <w:t>8.</w:t>
      </w:r>
      <w:r w:rsidRPr="004365A2">
        <w:rPr>
          <w:b/>
          <w:sz w:val="24"/>
          <w:szCs w:val="24"/>
        </w:rPr>
        <w:tab/>
        <w:t>MARKEDSFØRINGSTILLADELSESNUMMER (NUMRE)</w:t>
      </w:r>
    </w:p>
    <w:p w14:paraId="0CFC5646" w14:textId="03D850D6" w:rsidR="004365A2" w:rsidRPr="004365A2" w:rsidRDefault="006E493B" w:rsidP="004365A2">
      <w:pPr>
        <w:tabs>
          <w:tab w:val="left" w:pos="851"/>
        </w:tabs>
        <w:ind w:left="851"/>
        <w:rPr>
          <w:sz w:val="24"/>
          <w:szCs w:val="24"/>
        </w:rPr>
      </w:pPr>
      <w:r>
        <w:rPr>
          <w:sz w:val="24"/>
          <w:szCs w:val="24"/>
        </w:rPr>
        <w:t>76023</w:t>
      </w:r>
    </w:p>
    <w:p w14:paraId="47867CC4" w14:textId="77777777" w:rsidR="004365A2" w:rsidRPr="004365A2" w:rsidRDefault="004365A2" w:rsidP="004365A2">
      <w:pPr>
        <w:tabs>
          <w:tab w:val="left" w:pos="851"/>
        </w:tabs>
        <w:ind w:left="851"/>
        <w:jc w:val="both"/>
        <w:rPr>
          <w:sz w:val="24"/>
          <w:szCs w:val="24"/>
        </w:rPr>
      </w:pPr>
    </w:p>
    <w:p w14:paraId="0D6D5408" w14:textId="77777777" w:rsidR="004365A2" w:rsidRPr="004365A2" w:rsidRDefault="004365A2" w:rsidP="004365A2">
      <w:pPr>
        <w:tabs>
          <w:tab w:val="left" w:pos="851"/>
        </w:tabs>
        <w:ind w:left="851" w:hanging="851"/>
        <w:rPr>
          <w:b/>
          <w:sz w:val="24"/>
          <w:szCs w:val="24"/>
        </w:rPr>
      </w:pPr>
      <w:r w:rsidRPr="004365A2">
        <w:rPr>
          <w:b/>
          <w:sz w:val="24"/>
          <w:szCs w:val="24"/>
        </w:rPr>
        <w:t>9.</w:t>
      </w:r>
      <w:r w:rsidRPr="004365A2">
        <w:rPr>
          <w:b/>
          <w:sz w:val="24"/>
          <w:szCs w:val="24"/>
        </w:rPr>
        <w:tab/>
        <w:t>DATO FOR FØRSTE MARKEDSFØRINGSTILLADELSE</w:t>
      </w:r>
    </w:p>
    <w:p w14:paraId="363D6ECE" w14:textId="3376648E" w:rsidR="004365A2" w:rsidRPr="004365A2" w:rsidRDefault="0009126D" w:rsidP="004365A2">
      <w:pPr>
        <w:tabs>
          <w:tab w:val="left" w:pos="851"/>
        </w:tabs>
        <w:ind w:left="851"/>
        <w:rPr>
          <w:sz w:val="24"/>
          <w:szCs w:val="24"/>
        </w:rPr>
      </w:pPr>
      <w:r>
        <w:rPr>
          <w:sz w:val="24"/>
          <w:szCs w:val="24"/>
        </w:rPr>
        <w:t>3</w:t>
      </w:r>
      <w:r w:rsidR="006E493B">
        <w:rPr>
          <w:sz w:val="24"/>
          <w:szCs w:val="24"/>
        </w:rPr>
        <w:t>. juli 2026</w:t>
      </w:r>
    </w:p>
    <w:p w14:paraId="6DD09BA4" w14:textId="77777777" w:rsidR="004365A2" w:rsidRPr="004365A2" w:rsidRDefault="004365A2" w:rsidP="004365A2">
      <w:pPr>
        <w:tabs>
          <w:tab w:val="left" w:pos="851"/>
        </w:tabs>
        <w:ind w:left="851"/>
        <w:rPr>
          <w:sz w:val="24"/>
          <w:szCs w:val="24"/>
        </w:rPr>
      </w:pPr>
    </w:p>
    <w:p w14:paraId="76EFD55E" w14:textId="77777777" w:rsidR="004365A2" w:rsidRPr="004365A2" w:rsidRDefault="004365A2" w:rsidP="004365A2">
      <w:pPr>
        <w:tabs>
          <w:tab w:val="left" w:pos="851"/>
        </w:tabs>
        <w:ind w:left="851" w:hanging="851"/>
        <w:rPr>
          <w:b/>
          <w:sz w:val="24"/>
          <w:szCs w:val="24"/>
        </w:rPr>
      </w:pPr>
      <w:r w:rsidRPr="004365A2">
        <w:rPr>
          <w:b/>
          <w:sz w:val="24"/>
          <w:szCs w:val="24"/>
        </w:rPr>
        <w:t>10.</w:t>
      </w:r>
      <w:r w:rsidRPr="004365A2">
        <w:rPr>
          <w:b/>
          <w:sz w:val="24"/>
          <w:szCs w:val="24"/>
        </w:rPr>
        <w:tab/>
        <w:t>DATO FOR ÆNDRING AF TEKSTEN</w:t>
      </w:r>
    </w:p>
    <w:p w14:paraId="5297398D" w14:textId="7C14975E" w:rsidR="009260DE" w:rsidRPr="004365A2" w:rsidRDefault="006E493B" w:rsidP="004365A2">
      <w:pPr>
        <w:tabs>
          <w:tab w:val="left" w:pos="851"/>
        </w:tabs>
        <w:jc w:val="both"/>
        <w:rPr>
          <w:sz w:val="24"/>
          <w:szCs w:val="24"/>
        </w:rPr>
      </w:pPr>
      <w:r>
        <w:rPr>
          <w:sz w:val="24"/>
          <w:szCs w:val="24"/>
        </w:rPr>
        <w:tab/>
        <w:t>-</w:t>
      </w:r>
    </w:p>
    <w:sectPr w:rsidR="009260DE" w:rsidRPr="004365A2"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20C5" w14:textId="77777777" w:rsidR="003E17D3" w:rsidRDefault="003E17D3">
      <w:r>
        <w:separator/>
      </w:r>
    </w:p>
  </w:endnote>
  <w:endnote w:type="continuationSeparator" w:id="0">
    <w:p w14:paraId="2E859340" w14:textId="77777777" w:rsidR="003E17D3" w:rsidRDefault="003E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2AD9" w14:textId="77777777" w:rsidR="000259B9" w:rsidRDefault="000259B9">
    <w:pPr>
      <w:pStyle w:val="Sidefod"/>
      <w:pBdr>
        <w:bottom w:val="single" w:sz="6" w:space="1" w:color="auto"/>
      </w:pBdr>
    </w:pPr>
  </w:p>
  <w:p w14:paraId="7BFC7582" w14:textId="77777777" w:rsidR="000259B9" w:rsidRDefault="000259B9" w:rsidP="00C42586">
    <w:pPr>
      <w:pStyle w:val="Sidefod"/>
      <w:tabs>
        <w:tab w:val="clear" w:pos="4819"/>
        <w:tab w:val="left" w:pos="8505"/>
      </w:tabs>
      <w:rPr>
        <w:i/>
        <w:sz w:val="18"/>
        <w:szCs w:val="18"/>
      </w:rPr>
    </w:pPr>
  </w:p>
  <w:p w14:paraId="1F3502A6" w14:textId="372F8FA5" w:rsidR="000259B9" w:rsidRPr="00B373D7" w:rsidRDefault="00F634F1" w:rsidP="00C42586">
    <w:pPr>
      <w:pStyle w:val="Sidefod"/>
      <w:tabs>
        <w:tab w:val="clear" w:pos="4819"/>
        <w:tab w:val="left" w:pos="8505"/>
      </w:tabs>
      <w:rPr>
        <w:i/>
        <w:sz w:val="18"/>
        <w:szCs w:val="18"/>
      </w:rPr>
    </w:pPr>
    <w:r w:rsidRPr="00F634F1">
      <w:rPr>
        <w:i/>
        <w:sz w:val="18"/>
        <w:szCs w:val="18"/>
      </w:rPr>
      <w:t>Lidoposterin</w:t>
    </w:r>
    <w:r w:rsidR="004D73EE">
      <w:rPr>
        <w:i/>
        <w:sz w:val="18"/>
        <w:szCs w:val="18"/>
      </w:rPr>
      <w:t xml:space="preserve"> (Epione)</w:t>
    </w:r>
    <w:r w:rsidRPr="00F634F1">
      <w:rPr>
        <w:i/>
        <w:sz w:val="18"/>
        <w:szCs w:val="18"/>
      </w:rPr>
      <w:t>, rektalsalve 50 mg-g</w:t>
    </w:r>
    <w:r w:rsidR="000259B9" w:rsidRPr="00B373D7">
      <w:rPr>
        <w:i/>
        <w:sz w:val="18"/>
        <w:szCs w:val="18"/>
      </w:rPr>
      <w:tab/>
      <w:t xml:space="preserve">Side </w:t>
    </w:r>
    <w:r w:rsidR="00782AF4" w:rsidRPr="00B373D7">
      <w:rPr>
        <w:rStyle w:val="Sidetal"/>
        <w:i/>
        <w:sz w:val="18"/>
        <w:szCs w:val="18"/>
      </w:rPr>
      <w:fldChar w:fldCharType="begin"/>
    </w:r>
    <w:r w:rsidR="000259B9" w:rsidRPr="00B373D7">
      <w:rPr>
        <w:rStyle w:val="Sidetal"/>
        <w:i/>
        <w:sz w:val="18"/>
        <w:szCs w:val="18"/>
      </w:rPr>
      <w:instrText xml:space="preserve"> PAGE </w:instrText>
    </w:r>
    <w:r w:rsidR="00782AF4" w:rsidRPr="00B373D7">
      <w:rPr>
        <w:rStyle w:val="Sidetal"/>
        <w:i/>
        <w:sz w:val="18"/>
        <w:szCs w:val="18"/>
      </w:rPr>
      <w:fldChar w:fldCharType="separate"/>
    </w:r>
    <w:r w:rsidR="00C60CCD">
      <w:rPr>
        <w:rStyle w:val="Sidetal"/>
        <w:i/>
        <w:noProof/>
        <w:sz w:val="18"/>
        <w:szCs w:val="18"/>
      </w:rPr>
      <w:t>3</w:t>
    </w:r>
    <w:r w:rsidR="00782AF4" w:rsidRPr="00B373D7">
      <w:rPr>
        <w:rStyle w:val="Sidetal"/>
        <w:i/>
        <w:sz w:val="18"/>
        <w:szCs w:val="18"/>
      </w:rPr>
      <w:fldChar w:fldCharType="end"/>
    </w:r>
    <w:r w:rsidR="000259B9" w:rsidRPr="00B373D7">
      <w:rPr>
        <w:rStyle w:val="Sidetal"/>
        <w:i/>
        <w:sz w:val="18"/>
        <w:szCs w:val="18"/>
      </w:rPr>
      <w:t xml:space="preserve"> af </w:t>
    </w:r>
    <w:r w:rsidR="00782AF4" w:rsidRPr="00B373D7">
      <w:rPr>
        <w:rStyle w:val="Sidetal"/>
        <w:i/>
        <w:sz w:val="18"/>
        <w:szCs w:val="18"/>
      </w:rPr>
      <w:fldChar w:fldCharType="begin"/>
    </w:r>
    <w:r w:rsidR="000259B9" w:rsidRPr="00B373D7">
      <w:rPr>
        <w:rStyle w:val="Sidetal"/>
        <w:i/>
        <w:sz w:val="18"/>
        <w:szCs w:val="18"/>
      </w:rPr>
      <w:instrText xml:space="preserve"> NUMPAGES </w:instrText>
    </w:r>
    <w:r w:rsidR="00782AF4" w:rsidRPr="00B373D7">
      <w:rPr>
        <w:rStyle w:val="Sidetal"/>
        <w:i/>
        <w:sz w:val="18"/>
        <w:szCs w:val="18"/>
      </w:rPr>
      <w:fldChar w:fldCharType="separate"/>
    </w:r>
    <w:r w:rsidR="00C60CCD">
      <w:rPr>
        <w:rStyle w:val="Sidetal"/>
        <w:i/>
        <w:noProof/>
        <w:sz w:val="18"/>
        <w:szCs w:val="18"/>
      </w:rPr>
      <w:t>3</w:t>
    </w:r>
    <w:r w:rsidR="00782AF4"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9297F" w14:textId="77777777" w:rsidR="003E17D3" w:rsidRDefault="003E17D3">
      <w:r>
        <w:separator/>
      </w:r>
    </w:p>
  </w:footnote>
  <w:footnote w:type="continuationSeparator" w:id="0">
    <w:p w14:paraId="23EC166C" w14:textId="77777777" w:rsidR="003E17D3" w:rsidRDefault="003E1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5743635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456775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380647">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597776">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35436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3"/>
    <w:rsid w:val="000259B9"/>
    <w:rsid w:val="00041491"/>
    <w:rsid w:val="00050D16"/>
    <w:rsid w:val="00074F2A"/>
    <w:rsid w:val="0009126D"/>
    <w:rsid w:val="000A1CA8"/>
    <w:rsid w:val="000A466B"/>
    <w:rsid w:val="000B058C"/>
    <w:rsid w:val="000E4EE6"/>
    <w:rsid w:val="00104FFE"/>
    <w:rsid w:val="001454E2"/>
    <w:rsid w:val="00197CBF"/>
    <w:rsid w:val="00206CE8"/>
    <w:rsid w:val="0021526C"/>
    <w:rsid w:val="00283A2B"/>
    <w:rsid w:val="002B30AD"/>
    <w:rsid w:val="002C2C01"/>
    <w:rsid w:val="003A29AE"/>
    <w:rsid w:val="003A32D7"/>
    <w:rsid w:val="003B4074"/>
    <w:rsid w:val="003C769A"/>
    <w:rsid w:val="003E17D3"/>
    <w:rsid w:val="003F1838"/>
    <w:rsid w:val="004365A2"/>
    <w:rsid w:val="0045746C"/>
    <w:rsid w:val="0049104B"/>
    <w:rsid w:val="004D2F8C"/>
    <w:rsid w:val="004D73EE"/>
    <w:rsid w:val="004E3B12"/>
    <w:rsid w:val="00532310"/>
    <w:rsid w:val="00560ECC"/>
    <w:rsid w:val="00565F0F"/>
    <w:rsid w:val="00594A86"/>
    <w:rsid w:val="00596D86"/>
    <w:rsid w:val="005F392F"/>
    <w:rsid w:val="00637F5A"/>
    <w:rsid w:val="006560B1"/>
    <w:rsid w:val="00665D7C"/>
    <w:rsid w:val="006756DD"/>
    <w:rsid w:val="006E493B"/>
    <w:rsid w:val="00737275"/>
    <w:rsid w:val="00740EEC"/>
    <w:rsid w:val="0078011A"/>
    <w:rsid w:val="00782AF4"/>
    <w:rsid w:val="00790EE7"/>
    <w:rsid w:val="007B6649"/>
    <w:rsid w:val="008027E6"/>
    <w:rsid w:val="0081546F"/>
    <w:rsid w:val="0082576E"/>
    <w:rsid w:val="00907F75"/>
    <w:rsid w:val="009260DE"/>
    <w:rsid w:val="0093258A"/>
    <w:rsid w:val="009502E4"/>
    <w:rsid w:val="009C7BA3"/>
    <w:rsid w:val="009D1F5A"/>
    <w:rsid w:val="00A15132"/>
    <w:rsid w:val="00A17D57"/>
    <w:rsid w:val="00B003BF"/>
    <w:rsid w:val="00B373D7"/>
    <w:rsid w:val="00C36276"/>
    <w:rsid w:val="00C42586"/>
    <w:rsid w:val="00C60CCD"/>
    <w:rsid w:val="00C84483"/>
    <w:rsid w:val="00C95551"/>
    <w:rsid w:val="00CB20D7"/>
    <w:rsid w:val="00CC0B13"/>
    <w:rsid w:val="00D020B0"/>
    <w:rsid w:val="00D0211E"/>
    <w:rsid w:val="00D11748"/>
    <w:rsid w:val="00D22131"/>
    <w:rsid w:val="00D366CF"/>
    <w:rsid w:val="00DB503D"/>
    <w:rsid w:val="00E108AA"/>
    <w:rsid w:val="00E31812"/>
    <w:rsid w:val="00E3749A"/>
    <w:rsid w:val="00E7437F"/>
    <w:rsid w:val="00E865B8"/>
    <w:rsid w:val="00EC0B9B"/>
    <w:rsid w:val="00ED5E9F"/>
    <w:rsid w:val="00F50891"/>
    <w:rsid w:val="00F634F1"/>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51A89"/>
  <w15:chartTrackingRefBased/>
  <w15:docId w15:val="{0CF8DC71-3C9C-40FB-B967-819DC075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2E4"/>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39"/>
    <w:rsid w:val="003E17D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1726</Words>
  <Characters>11338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Sværke Hansen</dc:creator>
  <cp:keywords/>
  <dc:description>2026040928 - Nyt PI SPC</dc:description>
  <cp:lastModifiedBy>Camilla Sværke Hansen</cp:lastModifiedBy>
  <cp:revision>7</cp:revision>
  <cp:lastPrinted>2012-08-22T08:53:00Z</cp:lastPrinted>
  <dcterms:created xsi:type="dcterms:W3CDTF">2025-01-29T08:13:00Z</dcterms:created>
  <dcterms:modified xsi:type="dcterms:W3CDTF">2026-07-03T10:01:00Z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