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8F4A1"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3094D081" wp14:editId="580FA54D">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50DDAFC9" w14:textId="77777777" w:rsidR="009260DE" w:rsidRPr="00C84483" w:rsidRDefault="009260DE" w:rsidP="009260DE">
      <w:pPr>
        <w:pStyle w:val="Titel"/>
        <w:tabs>
          <w:tab w:val="right" w:pos="9356"/>
        </w:tabs>
        <w:jc w:val="left"/>
        <w:rPr>
          <w:b w:val="0"/>
          <w:szCs w:val="24"/>
          <w:lang w:eastAsia="en-US"/>
        </w:rPr>
      </w:pPr>
    </w:p>
    <w:p w14:paraId="63AD900D" w14:textId="6046251F"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9E576F">
        <w:rPr>
          <w:szCs w:val="24"/>
        </w:rPr>
        <w:t>2. september 2026</w:t>
      </w:r>
    </w:p>
    <w:p w14:paraId="147C415B" w14:textId="77777777" w:rsidR="009260DE" w:rsidRPr="00C84483" w:rsidRDefault="009260DE" w:rsidP="009260DE">
      <w:pPr>
        <w:pStyle w:val="Titel"/>
        <w:tabs>
          <w:tab w:val="left" w:pos="8222"/>
        </w:tabs>
        <w:jc w:val="left"/>
        <w:rPr>
          <w:b w:val="0"/>
          <w:szCs w:val="24"/>
        </w:rPr>
      </w:pPr>
    </w:p>
    <w:p w14:paraId="7DE3F27B" w14:textId="77777777" w:rsidR="009260DE" w:rsidRPr="00C84483" w:rsidRDefault="009260DE" w:rsidP="009260DE">
      <w:pPr>
        <w:pStyle w:val="Titel"/>
        <w:jc w:val="left"/>
        <w:rPr>
          <w:b w:val="0"/>
          <w:szCs w:val="24"/>
        </w:rPr>
      </w:pPr>
    </w:p>
    <w:p w14:paraId="2CDA6241" w14:textId="77777777" w:rsidR="009260DE" w:rsidRPr="00C84483" w:rsidRDefault="009260DE" w:rsidP="009260DE">
      <w:pPr>
        <w:pStyle w:val="Titel"/>
        <w:jc w:val="left"/>
        <w:rPr>
          <w:b w:val="0"/>
          <w:szCs w:val="24"/>
        </w:rPr>
      </w:pPr>
    </w:p>
    <w:p w14:paraId="50F81DF8" w14:textId="77777777" w:rsidR="009260DE" w:rsidRPr="00C84483" w:rsidRDefault="009260DE" w:rsidP="009260DE">
      <w:pPr>
        <w:jc w:val="center"/>
        <w:rPr>
          <w:b/>
          <w:sz w:val="24"/>
          <w:szCs w:val="24"/>
        </w:rPr>
      </w:pPr>
      <w:r w:rsidRPr="00C84483">
        <w:rPr>
          <w:b/>
          <w:sz w:val="24"/>
          <w:szCs w:val="24"/>
        </w:rPr>
        <w:t>PRODUKTRESUMÉ</w:t>
      </w:r>
    </w:p>
    <w:p w14:paraId="59A2A270" w14:textId="77777777" w:rsidR="009260DE" w:rsidRPr="00C84483" w:rsidRDefault="009260DE" w:rsidP="009260DE">
      <w:pPr>
        <w:jc w:val="center"/>
        <w:rPr>
          <w:b/>
          <w:sz w:val="24"/>
          <w:szCs w:val="24"/>
        </w:rPr>
      </w:pPr>
    </w:p>
    <w:p w14:paraId="4F3E7961" w14:textId="77777777" w:rsidR="009260DE" w:rsidRDefault="009260DE" w:rsidP="009260DE">
      <w:pPr>
        <w:jc w:val="center"/>
        <w:rPr>
          <w:b/>
          <w:sz w:val="24"/>
          <w:szCs w:val="24"/>
        </w:rPr>
      </w:pPr>
      <w:r w:rsidRPr="00C84483">
        <w:rPr>
          <w:b/>
          <w:sz w:val="24"/>
          <w:szCs w:val="24"/>
        </w:rPr>
        <w:t>for</w:t>
      </w:r>
    </w:p>
    <w:p w14:paraId="2AC35E26" w14:textId="77777777" w:rsidR="000B058C" w:rsidRPr="00C84483" w:rsidRDefault="000B058C" w:rsidP="009260DE">
      <w:pPr>
        <w:jc w:val="center"/>
        <w:rPr>
          <w:b/>
          <w:sz w:val="24"/>
          <w:szCs w:val="24"/>
        </w:rPr>
      </w:pPr>
    </w:p>
    <w:p w14:paraId="23FF9E77" w14:textId="07DEE86F" w:rsidR="009260DE" w:rsidRPr="00C84483" w:rsidRDefault="00C75025" w:rsidP="009260DE">
      <w:pPr>
        <w:jc w:val="center"/>
        <w:rPr>
          <w:b/>
          <w:sz w:val="24"/>
          <w:szCs w:val="24"/>
        </w:rPr>
      </w:pPr>
      <w:r>
        <w:rPr>
          <w:b/>
          <w:sz w:val="24"/>
          <w:szCs w:val="24"/>
        </w:rPr>
        <w:t>Liopent, tabletter</w:t>
      </w:r>
    </w:p>
    <w:p w14:paraId="206EF9B9" w14:textId="77777777" w:rsidR="009260DE" w:rsidRPr="00C84483" w:rsidRDefault="009260DE" w:rsidP="009260DE">
      <w:pPr>
        <w:jc w:val="both"/>
        <w:rPr>
          <w:sz w:val="24"/>
          <w:szCs w:val="24"/>
        </w:rPr>
      </w:pPr>
    </w:p>
    <w:p w14:paraId="5C6EF46A" w14:textId="77777777" w:rsidR="009260DE" w:rsidRPr="00C84483" w:rsidRDefault="009260DE" w:rsidP="009260DE">
      <w:pPr>
        <w:jc w:val="both"/>
        <w:rPr>
          <w:sz w:val="24"/>
          <w:szCs w:val="24"/>
        </w:rPr>
      </w:pPr>
    </w:p>
    <w:p w14:paraId="27A367EB" w14:textId="77777777" w:rsidR="009260DE" w:rsidRPr="00C84483" w:rsidRDefault="009260DE" w:rsidP="009260DE">
      <w:pPr>
        <w:tabs>
          <w:tab w:val="left" w:pos="851"/>
        </w:tabs>
        <w:ind w:left="851" w:hanging="851"/>
        <w:rPr>
          <w:b/>
          <w:sz w:val="24"/>
          <w:szCs w:val="24"/>
        </w:rPr>
      </w:pPr>
      <w:r w:rsidRPr="00C84483">
        <w:rPr>
          <w:b/>
          <w:sz w:val="24"/>
          <w:szCs w:val="24"/>
        </w:rPr>
        <w:t>0.</w:t>
      </w:r>
      <w:r w:rsidRPr="00C84483">
        <w:rPr>
          <w:b/>
          <w:sz w:val="24"/>
          <w:szCs w:val="24"/>
        </w:rPr>
        <w:tab/>
        <w:t>D.SP.NR.</w:t>
      </w:r>
    </w:p>
    <w:p w14:paraId="42D65AF1" w14:textId="04D73D2B" w:rsidR="009260DE" w:rsidRPr="00C84483" w:rsidRDefault="00C75025" w:rsidP="009260DE">
      <w:pPr>
        <w:tabs>
          <w:tab w:val="left" w:pos="851"/>
        </w:tabs>
        <w:ind w:left="851"/>
        <w:rPr>
          <w:sz w:val="24"/>
          <w:szCs w:val="24"/>
        </w:rPr>
      </w:pPr>
      <w:r>
        <w:rPr>
          <w:sz w:val="24"/>
          <w:szCs w:val="24"/>
        </w:rPr>
        <w:t>34152</w:t>
      </w:r>
    </w:p>
    <w:p w14:paraId="346BAEB6" w14:textId="77777777" w:rsidR="009260DE" w:rsidRPr="00C84483" w:rsidRDefault="009260DE" w:rsidP="009260DE">
      <w:pPr>
        <w:tabs>
          <w:tab w:val="left" w:pos="851"/>
        </w:tabs>
        <w:ind w:left="851"/>
        <w:rPr>
          <w:sz w:val="24"/>
          <w:szCs w:val="24"/>
        </w:rPr>
      </w:pPr>
    </w:p>
    <w:p w14:paraId="221A49D2"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658EBEA0" w14:textId="5B98E0FA" w:rsidR="009260DE" w:rsidRPr="00C84483" w:rsidRDefault="00C75025" w:rsidP="009260DE">
      <w:pPr>
        <w:tabs>
          <w:tab w:val="left" w:pos="851"/>
        </w:tabs>
        <w:ind w:left="851"/>
        <w:rPr>
          <w:sz w:val="24"/>
          <w:szCs w:val="24"/>
        </w:rPr>
      </w:pPr>
      <w:r>
        <w:rPr>
          <w:sz w:val="24"/>
          <w:szCs w:val="24"/>
        </w:rPr>
        <w:t>Liopent</w:t>
      </w:r>
    </w:p>
    <w:p w14:paraId="3033E8F3" w14:textId="77777777" w:rsidR="009260DE" w:rsidRPr="00C84483" w:rsidRDefault="009260DE" w:rsidP="009260DE">
      <w:pPr>
        <w:tabs>
          <w:tab w:val="left" w:pos="851"/>
        </w:tabs>
        <w:ind w:left="851"/>
        <w:rPr>
          <w:sz w:val="24"/>
          <w:szCs w:val="24"/>
        </w:rPr>
      </w:pPr>
    </w:p>
    <w:p w14:paraId="527C9089"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2E2971F0" w14:textId="77777777" w:rsidR="00CA227D" w:rsidRPr="00CA227D" w:rsidRDefault="00CA227D" w:rsidP="00CA227D">
      <w:pPr>
        <w:tabs>
          <w:tab w:val="left" w:pos="851"/>
        </w:tabs>
        <w:ind w:left="851"/>
        <w:rPr>
          <w:sz w:val="24"/>
          <w:szCs w:val="24"/>
        </w:rPr>
      </w:pPr>
      <w:r w:rsidRPr="00CA227D">
        <w:rPr>
          <w:sz w:val="24"/>
          <w:szCs w:val="24"/>
        </w:rPr>
        <w:t>Hver tablet indeholder 5,2 mikrogram liothyroninnatrium svarende til 5 mikrogram liothyronin. Alle hjælpestoffer er anført under pkt. 6.1.</w:t>
      </w:r>
    </w:p>
    <w:p w14:paraId="17AD1DFB" w14:textId="77777777" w:rsidR="009260DE" w:rsidRPr="00C84483" w:rsidRDefault="009260DE" w:rsidP="009260DE">
      <w:pPr>
        <w:tabs>
          <w:tab w:val="left" w:pos="851"/>
        </w:tabs>
        <w:ind w:left="851"/>
        <w:rPr>
          <w:sz w:val="24"/>
          <w:szCs w:val="24"/>
        </w:rPr>
      </w:pPr>
    </w:p>
    <w:p w14:paraId="6763E426"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2CC1E980" w14:textId="219B0505" w:rsidR="00CA227D" w:rsidRPr="00CA227D" w:rsidRDefault="00CA227D" w:rsidP="00CA227D">
      <w:pPr>
        <w:tabs>
          <w:tab w:val="left" w:pos="851"/>
        </w:tabs>
        <w:ind w:left="851"/>
        <w:rPr>
          <w:sz w:val="24"/>
          <w:szCs w:val="24"/>
        </w:rPr>
      </w:pPr>
      <w:r w:rsidRPr="00CA227D">
        <w:rPr>
          <w:sz w:val="24"/>
          <w:szCs w:val="24"/>
        </w:rPr>
        <w:t>Tabletter</w:t>
      </w:r>
    </w:p>
    <w:p w14:paraId="2627AACB" w14:textId="77777777" w:rsidR="00CA227D" w:rsidRPr="00CA227D" w:rsidRDefault="00CA227D" w:rsidP="00CA227D">
      <w:pPr>
        <w:tabs>
          <w:tab w:val="left" w:pos="851"/>
        </w:tabs>
        <w:ind w:left="851"/>
        <w:rPr>
          <w:sz w:val="24"/>
          <w:szCs w:val="24"/>
        </w:rPr>
      </w:pPr>
    </w:p>
    <w:p w14:paraId="5ACFF8AC" w14:textId="1D79C190" w:rsidR="00CA227D" w:rsidRPr="00CA227D" w:rsidRDefault="00CA227D" w:rsidP="00CA227D">
      <w:pPr>
        <w:tabs>
          <w:tab w:val="left" w:pos="851"/>
        </w:tabs>
        <w:ind w:left="851"/>
        <w:rPr>
          <w:sz w:val="24"/>
          <w:szCs w:val="24"/>
        </w:rPr>
      </w:pPr>
      <w:r w:rsidRPr="00CA227D">
        <w:rPr>
          <w:sz w:val="24"/>
          <w:szCs w:val="24"/>
        </w:rPr>
        <w:t xml:space="preserve">Hvide til råhvide, </w:t>
      </w:r>
      <w:r>
        <w:rPr>
          <w:sz w:val="24"/>
          <w:szCs w:val="24"/>
        </w:rPr>
        <w:t>ikke-</w:t>
      </w:r>
      <w:r w:rsidRPr="00CA227D">
        <w:rPr>
          <w:sz w:val="24"/>
          <w:szCs w:val="24"/>
        </w:rPr>
        <w:t>overtrukne, runde tabletter med en diameter på 6,35 mm.</w:t>
      </w:r>
    </w:p>
    <w:p w14:paraId="7783D0E6" w14:textId="77777777" w:rsidR="00CA227D" w:rsidRPr="00CA227D" w:rsidRDefault="00CA227D" w:rsidP="00CA227D">
      <w:pPr>
        <w:tabs>
          <w:tab w:val="left" w:pos="851"/>
        </w:tabs>
        <w:ind w:left="851"/>
        <w:rPr>
          <w:sz w:val="24"/>
          <w:szCs w:val="24"/>
        </w:rPr>
      </w:pPr>
    </w:p>
    <w:p w14:paraId="16F1EF68" w14:textId="77777777" w:rsidR="00CA227D" w:rsidRPr="00CA227D" w:rsidRDefault="00CA227D" w:rsidP="00CA227D">
      <w:pPr>
        <w:tabs>
          <w:tab w:val="left" w:pos="851"/>
        </w:tabs>
        <w:ind w:left="851"/>
        <w:rPr>
          <w:sz w:val="24"/>
          <w:szCs w:val="24"/>
        </w:rPr>
      </w:pPr>
      <w:r w:rsidRPr="00CA227D">
        <w:rPr>
          <w:sz w:val="24"/>
          <w:szCs w:val="24"/>
        </w:rPr>
        <w:t>Liopent 5 mikrogram tabletter er præget med ”Σ/76” på den ene side og er uden prægning på den anden side.</w:t>
      </w:r>
    </w:p>
    <w:p w14:paraId="3B852042" w14:textId="77777777" w:rsidR="009260DE" w:rsidRPr="00C84483" w:rsidRDefault="009260DE" w:rsidP="009260DE">
      <w:pPr>
        <w:tabs>
          <w:tab w:val="left" w:pos="851"/>
        </w:tabs>
        <w:ind w:left="851"/>
        <w:rPr>
          <w:sz w:val="24"/>
          <w:szCs w:val="24"/>
        </w:rPr>
      </w:pPr>
    </w:p>
    <w:p w14:paraId="7D33605C" w14:textId="77777777" w:rsidR="009260DE" w:rsidRPr="00C84483" w:rsidRDefault="009260DE" w:rsidP="009260DE">
      <w:pPr>
        <w:tabs>
          <w:tab w:val="left" w:pos="851"/>
        </w:tabs>
        <w:ind w:left="851"/>
        <w:rPr>
          <w:sz w:val="24"/>
          <w:szCs w:val="24"/>
        </w:rPr>
      </w:pPr>
    </w:p>
    <w:p w14:paraId="3704A834"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48B59341" w14:textId="77777777" w:rsidR="009260DE" w:rsidRPr="00C84483" w:rsidRDefault="009260DE" w:rsidP="009260DE">
      <w:pPr>
        <w:tabs>
          <w:tab w:val="left" w:pos="851"/>
        </w:tabs>
        <w:ind w:left="851"/>
        <w:rPr>
          <w:b/>
          <w:sz w:val="24"/>
          <w:szCs w:val="24"/>
        </w:rPr>
      </w:pPr>
    </w:p>
    <w:p w14:paraId="78DEFF93"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6FCF2525" w14:textId="77777777" w:rsidR="00CA227D" w:rsidRPr="00CA227D" w:rsidRDefault="00CA227D" w:rsidP="00CA227D">
      <w:pPr>
        <w:tabs>
          <w:tab w:val="left" w:pos="851"/>
        </w:tabs>
        <w:ind w:left="851"/>
        <w:rPr>
          <w:sz w:val="24"/>
          <w:szCs w:val="24"/>
        </w:rPr>
      </w:pPr>
      <w:r w:rsidRPr="00CA227D">
        <w:rPr>
          <w:sz w:val="24"/>
          <w:szCs w:val="24"/>
        </w:rPr>
        <w:t>Behandling af hypothyreose, hvor supplerende behandling med levothyroxin vurderes at være hensigtsmæssig.</w:t>
      </w:r>
    </w:p>
    <w:p w14:paraId="71722E62" w14:textId="77777777" w:rsidR="009260DE" w:rsidRPr="00C84483" w:rsidRDefault="009260DE" w:rsidP="009260DE">
      <w:pPr>
        <w:tabs>
          <w:tab w:val="left" w:pos="851"/>
        </w:tabs>
        <w:ind w:left="851"/>
        <w:rPr>
          <w:sz w:val="24"/>
          <w:szCs w:val="24"/>
        </w:rPr>
      </w:pPr>
    </w:p>
    <w:p w14:paraId="446A66C7"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7A662461" w14:textId="77777777" w:rsidR="00CA227D" w:rsidRPr="009E576F" w:rsidRDefault="00CA227D" w:rsidP="00CA227D">
      <w:pPr>
        <w:tabs>
          <w:tab w:val="left" w:pos="851"/>
        </w:tabs>
        <w:ind w:left="851"/>
        <w:rPr>
          <w:b/>
          <w:sz w:val="24"/>
          <w:szCs w:val="24"/>
        </w:rPr>
      </w:pPr>
    </w:p>
    <w:p w14:paraId="3B8E8910" w14:textId="77777777" w:rsidR="00CA227D" w:rsidRPr="00CA227D" w:rsidRDefault="00CA227D" w:rsidP="00CA227D">
      <w:pPr>
        <w:tabs>
          <w:tab w:val="left" w:pos="851"/>
        </w:tabs>
        <w:ind w:left="851"/>
        <w:rPr>
          <w:sz w:val="24"/>
          <w:szCs w:val="24"/>
          <w:u w:val="single"/>
        </w:rPr>
      </w:pPr>
      <w:r w:rsidRPr="00CA227D">
        <w:rPr>
          <w:sz w:val="24"/>
          <w:szCs w:val="24"/>
          <w:u w:val="single"/>
        </w:rPr>
        <w:t>Dosering</w:t>
      </w:r>
    </w:p>
    <w:p w14:paraId="662CECF9" w14:textId="77777777" w:rsidR="00CA227D" w:rsidRPr="00CA227D" w:rsidRDefault="00CA227D" w:rsidP="00CA227D">
      <w:pPr>
        <w:tabs>
          <w:tab w:val="left" w:pos="851"/>
        </w:tabs>
        <w:ind w:left="851"/>
        <w:rPr>
          <w:sz w:val="24"/>
          <w:szCs w:val="24"/>
          <w:u w:val="single"/>
        </w:rPr>
      </w:pPr>
    </w:p>
    <w:p w14:paraId="648BF534" w14:textId="0DF9962F" w:rsidR="00CA227D" w:rsidRPr="00CA227D" w:rsidRDefault="00CA227D" w:rsidP="00CA227D">
      <w:pPr>
        <w:tabs>
          <w:tab w:val="left" w:pos="851"/>
        </w:tabs>
        <w:ind w:left="851"/>
        <w:rPr>
          <w:i/>
          <w:sz w:val="24"/>
          <w:szCs w:val="24"/>
        </w:rPr>
      </w:pPr>
      <w:r w:rsidRPr="00CA227D">
        <w:rPr>
          <w:i/>
          <w:sz w:val="24"/>
          <w:szCs w:val="24"/>
        </w:rPr>
        <w:t>Voksne</w:t>
      </w:r>
    </w:p>
    <w:p w14:paraId="1822CACA" w14:textId="77777777" w:rsidR="00CA227D" w:rsidRPr="00CA227D" w:rsidRDefault="00CA227D" w:rsidP="00CA227D">
      <w:pPr>
        <w:tabs>
          <w:tab w:val="left" w:pos="851"/>
        </w:tabs>
        <w:ind w:left="851"/>
        <w:rPr>
          <w:sz w:val="24"/>
          <w:szCs w:val="24"/>
        </w:rPr>
      </w:pPr>
      <w:r w:rsidRPr="00CA227D">
        <w:rPr>
          <w:sz w:val="24"/>
          <w:szCs w:val="24"/>
        </w:rPr>
        <w:t xml:space="preserve">Doseringen af Liopent skal fastsættes individuelt under hensyntagen til patientens aktuelle dosis af levothyroxin, det kliniske respons og resultaterne af thyroideafunktionstests. Et fysiologisk dosisforhold mellem levothyroxin og liothyronin på ca. 13:1 til 20:1 baseret på </w:t>
      </w:r>
      <w:r w:rsidRPr="00CA227D">
        <w:rPr>
          <w:sz w:val="24"/>
          <w:szCs w:val="24"/>
        </w:rPr>
        <w:lastRenderedPageBreak/>
        <w:t>vægt anbefales. Behandlingen skal indledes med en lav dosis, f.eks. 5 mikrogram dagligt, efterfulgt af gradvis dosistitrering.</w:t>
      </w:r>
    </w:p>
    <w:p w14:paraId="09CA7370" w14:textId="77777777" w:rsidR="00CA227D" w:rsidRPr="00CA227D" w:rsidRDefault="00CA227D" w:rsidP="00CA227D">
      <w:pPr>
        <w:tabs>
          <w:tab w:val="left" w:pos="851"/>
        </w:tabs>
        <w:ind w:left="851"/>
        <w:rPr>
          <w:sz w:val="24"/>
          <w:szCs w:val="24"/>
        </w:rPr>
      </w:pPr>
    </w:p>
    <w:p w14:paraId="36BB512D" w14:textId="77777777" w:rsidR="00CA227D" w:rsidRPr="00CA227D" w:rsidRDefault="00CA227D" w:rsidP="00CA227D">
      <w:pPr>
        <w:tabs>
          <w:tab w:val="left" w:pos="851"/>
        </w:tabs>
        <w:ind w:left="851"/>
        <w:rPr>
          <w:sz w:val="24"/>
          <w:szCs w:val="24"/>
        </w:rPr>
      </w:pPr>
      <w:r w:rsidRPr="00CA227D">
        <w:rPr>
          <w:sz w:val="24"/>
          <w:szCs w:val="24"/>
        </w:rPr>
        <w:t>Når behandling med liothyronin indledes, skal levothyroxindosis revurderes og, hvor det er relevant, reduceres for at undgå en for høj samlet eksponering for thyroideahormon. Thyroideafunktionen skal monitoreres med henblik på at holde serum</w:t>
      </w:r>
      <w:r w:rsidRPr="00CA227D">
        <w:rPr>
          <w:sz w:val="24"/>
          <w:szCs w:val="24"/>
        </w:rPr>
        <w:noBreakHyphen/>
        <w:t>TSH inden for referenceområdet. Patienterne skal monitoreres for symptomer og tegn på hyperthyreose, kardiovaskulære bivirkninger og andre bivirkninger.</w:t>
      </w:r>
    </w:p>
    <w:p w14:paraId="4B25FBBF" w14:textId="77777777" w:rsidR="00CA227D" w:rsidRPr="00CA227D" w:rsidRDefault="00CA227D" w:rsidP="00CA227D">
      <w:pPr>
        <w:tabs>
          <w:tab w:val="left" w:pos="851"/>
        </w:tabs>
        <w:ind w:left="851"/>
        <w:rPr>
          <w:sz w:val="24"/>
          <w:szCs w:val="24"/>
        </w:rPr>
      </w:pPr>
    </w:p>
    <w:p w14:paraId="0B37A468" w14:textId="77777777" w:rsidR="00CA227D" w:rsidRPr="00CA227D" w:rsidRDefault="00CA227D" w:rsidP="00CA227D">
      <w:pPr>
        <w:tabs>
          <w:tab w:val="left" w:pos="851"/>
        </w:tabs>
        <w:ind w:left="851"/>
        <w:rPr>
          <w:sz w:val="24"/>
          <w:szCs w:val="24"/>
        </w:rPr>
      </w:pPr>
      <w:r w:rsidRPr="00CA227D">
        <w:rPr>
          <w:sz w:val="24"/>
          <w:szCs w:val="24"/>
        </w:rPr>
        <w:t xml:space="preserve">Den daglige dosis liothyronin bør så vidt muligt fordeles på to doser. </w:t>
      </w:r>
    </w:p>
    <w:p w14:paraId="70AAF156" w14:textId="77777777" w:rsidR="00CA227D" w:rsidRPr="00CA227D" w:rsidRDefault="00CA227D" w:rsidP="00CA227D">
      <w:pPr>
        <w:tabs>
          <w:tab w:val="left" w:pos="851"/>
        </w:tabs>
        <w:ind w:left="851"/>
        <w:rPr>
          <w:sz w:val="24"/>
          <w:szCs w:val="24"/>
        </w:rPr>
      </w:pPr>
    </w:p>
    <w:p w14:paraId="414ADA8B" w14:textId="0564E857" w:rsidR="00CA227D" w:rsidRPr="00CA227D" w:rsidRDefault="00CA227D" w:rsidP="00CA227D">
      <w:pPr>
        <w:tabs>
          <w:tab w:val="left" w:pos="851"/>
        </w:tabs>
        <w:ind w:left="851"/>
        <w:rPr>
          <w:i/>
          <w:sz w:val="24"/>
          <w:szCs w:val="24"/>
        </w:rPr>
      </w:pPr>
      <w:r w:rsidRPr="00CA227D">
        <w:rPr>
          <w:i/>
          <w:sz w:val="24"/>
          <w:szCs w:val="24"/>
        </w:rPr>
        <w:t>Børn</w:t>
      </w:r>
    </w:p>
    <w:p w14:paraId="6FAED3F8" w14:textId="77777777" w:rsidR="00CA227D" w:rsidRPr="00CA227D" w:rsidRDefault="00CA227D" w:rsidP="00CA227D">
      <w:pPr>
        <w:tabs>
          <w:tab w:val="left" w:pos="851"/>
        </w:tabs>
        <w:ind w:left="851"/>
        <w:rPr>
          <w:sz w:val="24"/>
          <w:szCs w:val="24"/>
        </w:rPr>
      </w:pPr>
      <w:r w:rsidRPr="00CA227D">
        <w:rPr>
          <w:sz w:val="24"/>
          <w:szCs w:val="24"/>
        </w:rPr>
        <w:t>Liothyronin anbefales ikke til rutinemæssig behandling af hypothyreose hos børn og unge. Der foreligger begrænsede data om anvendelse af liothyronin som supplerende behandling til levothyroxin hos pædiatriske patienter. Hvis en specialist vurderer, at behandling er klinisk nødvendig, skal dosis fastsættes individuelt på baggrund af det kliniske respons og resultaterne af thyroideafunktionstestene under hensyntagen til den samtidige levothyroxindosis. Der skal anvendes en lav startdosis efterfulgt af gradvis titrering.</w:t>
      </w:r>
    </w:p>
    <w:p w14:paraId="2106CA41" w14:textId="77777777" w:rsidR="00CA227D" w:rsidRPr="00CA227D" w:rsidRDefault="00CA227D" w:rsidP="00CA227D">
      <w:pPr>
        <w:tabs>
          <w:tab w:val="left" w:pos="851"/>
        </w:tabs>
        <w:ind w:left="851"/>
        <w:rPr>
          <w:sz w:val="24"/>
          <w:szCs w:val="24"/>
        </w:rPr>
      </w:pPr>
    </w:p>
    <w:p w14:paraId="728FFBB1" w14:textId="17FFB38E" w:rsidR="00CA227D" w:rsidRPr="00CA227D" w:rsidRDefault="00CA227D" w:rsidP="00CA227D">
      <w:pPr>
        <w:tabs>
          <w:tab w:val="left" w:pos="851"/>
        </w:tabs>
        <w:ind w:left="851"/>
        <w:rPr>
          <w:i/>
          <w:sz w:val="24"/>
          <w:szCs w:val="24"/>
        </w:rPr>
      </w:pPr>
      <w:r w:rsidRPr="00CA227D">
        <w:rPr>
          <w:i/>
          <w:sz w:val="24"/>
          <w:szCs w:val="24"/>
        </w:rPr>
        <w:t>Ældre</w:t>
      </w:r>
    </w:p>
    <w:p w14:paraId="18B7A8EB" w14:textId="77777777" w:rsidR="00CA227D" w:rsidRPr="00CA227D" w:rsidRDefault="00CA227D" w:rsidP="00CA227D">
      <w:pPr>
        <w:tabs>
          <w:tab w:val="left" w:pos="851"/>
        </w:tabs>
        <w:ind w:left="851"/>
        <w:rPr>
          <w:sz w:val="24"/>
          <w:szCs w:val="24"/>
        </w:rPr>
      </w:pPr>
      <w:r w:rsidRPr="00CA227D">
        <w:rPr>
          <w:sz w:val="24"/>
          <w:szCs w:val="24"/>
        </w:rPr>
        <w:t xml:space="preserve">Hos ældre patienter skal behandlingen indledes med en lav dosis én gang dagligt og kun øges gradvist, hvis det er klinisk nødvendigt, baseret på det kliniske respons og resultaterne af thyroideafunktionstestene. Patienten skal monitoreres for kardiale bivirkninger, herunder atrieflimren. </w:t>
      </w:r>
    </w:p>
    <w:p w14:paraId="58D7FD56" w14:textId="77777777" w:rsidR="00CA227D" w:rsidRPr="00CA227D" w:rsidRDefault="00CA227D" w:rsidP="00CA227D">
      <w:pPr>
        <w:tabs>
          <w:tab w:val="left" w:pos="851"/>
        </w:tabs>
        <w:ind w:left="851"/>
        <w:rPr>
          <w:sz w:val="24"/>
          <w:szCs w:val="24"/>
        </w:rPr>
      </w:pPr>
    </w:p>
    <w:p w14:paraId="711EAE65" w14:textId="77777777" w:rsidR="00CA227D" w:rsidRPr="00CA227D" w:rsidRDefault="00CA227D" w:rsidP="00CA227D">
      <w:pPr>
        <w:tabs>
          <w:tab w:val="left" w:pos="851"/>
        </w:tabs>
        <w:ind w:left="851"/>
        <w:rPr>
          <w:sz w:val="24"/>
          <w:szCs w:val="24"/>
        </w:rPr>
      </w:pPr>
      <w:r w:rsidRPr="00CA227D">
        <w:rPr>
          <w:sz w:val="24"/>
          <w:szCs w:val="24"/>
          <w:u w:val="single"/>
        </w:rPr>
        <w:t>Administration</w:t>
      </w:r>
      <w:r w:rsidRPr="00CA227D">
        <w:rPr>
          <w:sz w:val="24"/>
          <w:szCs w:val="24"/>
        </w:rPr>
        <w:t xml:space="preserve"> </w:t>
      </w:r>
    </w:p>
    <w:p w14:paraId="6AB55E4C" w14:textId="77777777" w:rsidR="00CA227D" w:rsidRPr="00CA227D" w:rsidRDefault="00CA227D" w:rsidP="00CA227D">
      <w:pPr>
        <w:tabs>
          <w:tab w:val="left" w:pos="851"/>
        </w:tabs>
        <w:ind w:left="851"/>
        <w:rPr>
          <w:sz w:val="24"/>
          <w:szCs w:val="24"/>
        </w:rPr>
      </w:pPr>
      <w:r w:rsidRPr="00CA227D">
        <w:rPr>
          <w:sz w:val="24"/>
          <w:szCs w:val="24"/>
        </w:rPr>
        <w:t>Kun til oral anvendelse. Tabletten har ingen delekærv og kan ikke deles i lige store doser. Ved behov for lavere doser skal alternative formuleringer overvejes.</w:t>
      </w:r>
    </w:p>
    <w:p w14:paraId="2ECCF232" w14:textId="77777777" w:rsidR="009260DE" w:rsidRPr="00C84483" w:rsidRDefault="009260DE" w:rsidP="009260DE">
      <w:pPr>
        <w:tabs>
          <w:tab w:val="left" w:pos="851"/>
        </w:tabs>
        <w:ind w:left="851"/>
        <w:rPr>
          <w:sz w:val="24"/>
          <w:szCs w:val="24"/>
        </w:rPr>
      </w:pPr>
    </w:p>
    <w:p w14:paraId="07743B43"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65147E05" w14:textId="77777777" w:rsidR="00C83484" w:rsidRPr="00C83484" w:rsidRDefault="00C83484" w:rsidP="00C83484">
      <w:pPr>
        <w:numPr>
          <w:ilvl w:val="0"/>
          <w:numId w:val="6"/>
        </w:numPr>
        <w:tabs>
          <w:tab w:val="left" w:pos="851"/>
        </w:tabs>
        <w:ind w:left="1134" w:hanging="283"/>
        <w:rPr>
          <w:sz w:val="24"/>
          <w:szCs w:val="24"/>
        </w:rPr>
      </w:pPr>
      <w:r w:rsidRPr="00C83484">
        <w:rPr>
          <w:sz w:val="24"/>
          <w:szCs w:val="24"/>
        </w:rPr>
        <w:t xml:space="preserve">Overfølsomhed over for det aktive stof eller over for et eller flere af hjælpestofferne anført i pkt. 6.1. </w:t>
      </w:r>
    </w:p>
    <w:p w14:paraId="5E337C6D" w14:textId="77777777" w:rsidR="00C83484" w:rsidRPr="00C83484" w:rsidRDefault="00C83484" w:rsidP="00C83484">
      <w:pPr>
        <w:numPr>
          <w:ilvl w:val="0"/>
          <w:numId w:val="6"/>
        </w:numPr>
        <w:tabs>
          <w:tab w:val="left" w:pos="851"/>
        </w:tabs>
        <w:ind w:left="1134" w:hanging="283"/>
        <w:rPr>
          <w:sz w:val="24"/>
          <w:szCs w:val="24"/>
        </w:rPr>
      </w:pPr>
      <w:r w:rsidRPr="00C83484">
        <w:rPr>
          <w:sz w:val="24"/>
          <w:szCs w:val="24"/>
        </w:rPr>
        <w:t>Tyreotoksikose.</w:t>
      </w:r>
    </w:p>
    <w:p w14:paraId="7839500A" w14:textId="77777777" w:rsidR="00C83484" w:rsidRPr="00C83484" w:rsidRDefault="00C83484" w:rsidP="00C83484">
      <w:pPr>
        <w:numPr>
          <w:ilvl w:val="0"/>
          <w:numId w:val="6"/>
        </w:numPr>
        <w:tabs>
          <w:tab w:val="left" w:pos="851"/>
        </w:tabs>
        <w:ind w:left="1134" w:hanging="283"/>
        <w:rPr>
          <w:sz w:val="24"/>
          <w:szCs w:val="24"/>
        </w:rPr>
      </w:pPr>
      <w:r w:rsidRPr="00C83484">
        <w:rPr>
          <w:sz w:val="24"/>
          <w:szCs w:val="24"/>
        </w:rPr>
        <w:t>Patienter med kardiovaskulær sygdom, herunder anstrengelsesudløst angina.</w:t>
      </w:r>
    </w:p>
    <w:p w14:paraId="49C085CB" w14:textId="77777777" w:rsidR="00C83484" w:rsidRPr="00C83484" w:rsidRDefault="00C83484" w:rsidP="00C83484">
      <w:pPr>
        <w:numPr>
          <w:ilvl w:val="0"/>
          <w:numId w:val="6"/>
        </w:numPr>
        <w:tabs>
          <w:tab w:val="left" w:pos="851"/>
        </w:tabs>
        <w:ind w:left="1134" w:hanging="283"/>
        <w:rPr>
          <w:sz w:val="24"/>
          <w:szCs w:val="24"/>
        </w:rPr>
      </w:pPr>
      <w:r w:rsidRPr="00C83484">
        <w:rPr>
          <w:sz w:val="24"/>
          <w:szCs w:val="24"/>
        </w:rPr>
        <w:t>Ubehandlet binyrebarkinsufficiens.</w:t>
      </w:r>
    </w:p>
    <w:p w14:paraId="79D9A7D1" w14:textId="77777777" w:rsidR="00C83484" w:rsidRPr="00C83484" w:rsidRDefault="00C83484" w:rsidP="00C83484">
      <w:pPr>
        <w:numPr>
          <w:ilvl w:val="0"/>
          <w:numId w:val="6"/>
        </w:numPr>
        <w:tabs>
          <w:tab w:val="left" w:pos="851"/>
        </w:tabs>
        <w:ind w:left="1134" w:hanging="283"/>
        <w:rPr>
          <w:sz w:val="24"/>
          <w:szCs w:val="24"/>
        </w:rPr>
      </w:pPr>
      <w:r w:rsidRPr="00C83484">
        <w:rPr>
          <w:sz w:val="24"/>
          <w:szCs w:val="24"/>
        </w:rPr>
        <w:t>Ubehandlet hypofyseinsufficiens.</w:t>
      </w:r>
    </w:p>
    <w:p w14:paraId="2E07EC6C" w14:textId="77777777" w:rsidR="00C83484" w:rsidRPr="00C83484" w:rsidRDefault="00C83484" w:rsidP="00C83484">
      <w:pPr>
        <w:numPr>
          <w:ilvl w:val="0"/>
          <w:numId w:val="6"/>
        </w:numPr>
        <w:tabs>
          <w:tab w:val="left" w:pos="851"/>
        </w:tabs>
        <w:ind w:left="1134" w:hanging="283"/>
        <w:rPr>
          <w:sz w:val="24"/>
          <w:szCs w:val="24"/>
        </w:rPr>
      </w:pPr>
      <w:r w:rsidRPr="00C83484">
        <w:rPr>
          <w:sz w:val="24"/>
          <w:szCs w:val="24"/>
        </w:rPr>
        <w:t>Graviditet samt kvinder, som forsøger at blive gravide.</w:t>
      </w:r>
    </w:p>
    <w:p w14:paraId="03D4E281" w14:textId="77777777" w:rsidR="009260DE" w:rsidRPr="00C84483" w:rsidRDefault="009260DE" w:rsidP="009260DE">
      <w:pPr>
        <w:tabs>
          <w:tab w:val="left" w:pos="851"/>
        </w:tabs>
        <w:ind w:left="851"/>
        <w:rPr>
          <w:sz w:val="24"/>
          <w:szCs w:val="24"/>
        </w:rPr>
      </w:pPr>
    </w:p>
    <w:p w14:paraId="19021B60"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6C340CF8" w14:textId="77777777" w:rsidR="00C83484" w:rsidRPr="00C83484" w:rsidRDefault="00C83484" w:rsidP="00C83484">
      <w:pPr>
        <w:tabs>
          <w:tab w:val="left" w:pos="851"/>
        </w:tabs>
        <w:ind w:left="851"/>
        <w:rPr>
          <w:sz w:val="24"/>
          <w:szCs w:val="24"/>
        </w:rPr>
      </w:pPr>
      <w:r w:rsidRPr="00C83484">
        <w:rPr>
          <w:sz w:val="24"/>
          <w:szCs w:val="24"/>
        </w:rPr>
        <w:t>Ved svær og langvarig hypothyreose kan binyrebarkfunktionen være nedsat. Ved opstart af substitutionsbehandling med thyroideahormon øges stofskiftet hurtigere end binyrebarkaktiviteten, hvilket kan udløse binyrebarkinsufficiens og nødvendiggøre supplerende behandling med binyrebarkhormoner.</w:t>
      </w:r>
    </w:p>
    <w:p w14:paraId="23E269C0" w14:textId="77777777" w:rsidR="00C83484" w:rsidRPr="00C83484" w:rsidRDefault="00C83484" w:rsidP="00C83484">
      <w:pPr>
        <w:tabs>
          <w:tab w:val="left" w:pos="851"/>
        </w:tabs>
        <w:ind w:left="851"/>
        <w:rPr>
          <w:sz w:val="24"/>
          <w:szCs w:val="24"/>
        </w:rPr>
      </w:pPr>
    </w:p>
    <w:p w14:paraId="3FFFB4B4" w14:textId="77777777" w:rsidR="00C83484" w:rsidRPr="00C83484" w:rsidRDefault="00C83484" w:rsidP="00C83484">
      <w:pPr>
        <w:tabs>
          <w:tab w:val="left" w:pos="851"/>
        </w:tabs>
        <w:ind w:left="851"/>
        <w:rPr>
          <w:sz w:val="24"/>
          <w:szCs w:val="24"/>
        </w:rPr>
      </w:pPr>
      <w:bookmarkStart w:id="0" w:name="Liopent_treatment_may_result_in_an_incre"/>
      <w:bookmarkEnd w:id="0"/>
      <w:r w:rsidRPr="00C83484">
        <w:rPr>
          <w:sz w:val="24"/>
          <w:szCs w:val="24"/>
        </w:rPr>
        <w:t>Behandling med Liopent kan medføre et øget behov for insulin eller antidiabetika. Der skal udvises forsigtighed hos patienter med diabetes mellitus eller diabetes insipidus.</w:t>
      </w:r>
    </w:p>
    <w:p w14:paraId="4FC441F2" w14:textId="77777777" w:rsidR="00C83484" w:rsidRPr="00C83484" w:rsidRDefault="00C83484" w:rsidP="00C83484">
      <w:pPr>
        <w:tabs>
          <w:tab w:val="left" w:pos="851"/>
        </w:tabs>
        <w:ind w:left="851"/>
        <w:rPr>
          <w:sz w:val="24"/>
          <w:szCs w:val="24"/>
        </w:rPr>
      </w:pPr>
    </w:p>
    <w:p w14:paraId="3722B19D" w14:textId="77777777" w:rsidR="00C83484" w:rsidRPr="00C83484" w:rsidRDefault="00C83484" w:rsidP="00C83484">
      <w:pPr>
        <w:tabs>
          <w:tab w:val="left" w:pos="851"/>
        </w:tabs>
        <w:ind w:left="851"/>
        <w:rPr>
          <w:sz w:val="24"/>
          <w:szCs w:val="24"/>
        </w:rPr>
      </w:pPr>
      <w:bookmarkStart w:id="1" w:name="In_myxoedema,_care_must_be_taken_to_avoi"/>
      <w:bookmarkStart w:id="2" w:name="If_metabolism_increases_too_rapidly_(cau"/>
      <w:bookmarkEnd w:id="1"/>
      <w:bookmarkEnd w:id="2"/>
      <w:r w:rsidRPr="00C83484">
        <w:rPr>
          <w:sz w:val="24"/>
          <w:szCs w:val="24"/>
        </w:rPr>
        <w:t>Hvis stofskiftet øges for hurtigt (med diarré, nervøsitet, takykardi, søvnløshed, tremor og undertiden anginasmerter ved latent myokardieiskæmi til følge), skal dosis reduceres, eller behandlingen seponeres i 1</w:t>
      </w:r>
      <w:r w:rsidRPr="00C83484">
        <w:rPr>
          <w:sz w:val="24"/>
          <w:szCs w:val="24"/>
        </w:rPr>
        <w:noBreakHyphen/>
        <w:t>2 dage og derefter genoptages ved en lavere dosis.</w:t>
      </w:r>
    </w:p>
    <w:p w14:paraId="49049F90" w14:textId="77777777" w:rsidR="00C83484" w:rsidRPr="00C83484" w:rsidRDefault="00C83484" w:rsidP="00C83484">
      <w:pPr>
        <w:tabs>
          <w:tab w:val="left" w:pos="851"/>
        </w:tabs>
        <w:ind w:left="851"/>
        <w:rPr>
          <w:sz w:val="24"/>
          <w:szCs w:val="24"/>
        </w:rPr>
      </w:pPr>
    </w:p>
    <w:p w14:paraId="516A34BF" w14:textId="77777777" w:rsidR="00C83484" w:rsidRPr="00C83484" w:rsidRDefault="00C83484" w:rsidP="00C83484">
      <w:pPr>
        <w:tabs>
          <w:tab w:val="left" w:pos="851"/>
        </w:tabs>
        <w:ind w:left="851"/>
        <w:rPr>
          <w:sz w:val="24"/>
          <w:szCs w:val="24"/>
        </w:rPr>
      </w:pPr>
      <w:bookmarkStart w:id="3" w:name="TSH_levels_should_be_monitored_during_tr"/>
      <w:bookmarkEnd w:id="3"/>
      <w:r w:rsidRPr="00C83484">
        <w:rPr>
          <w:sz w:val="24"/>
          <w:szCs w:val="24"/>
        </w:rPr>
        <w:lastRenderedPageBreak/>
        <w:t>TSH</w:t>
      </w:r>
      <w:r w:rsidRPr="00C83484">
        <w:rPr>
          <w:sz w:val="24"/>
          <w:szCs w:val="24"/>
        </w:rPr>
        <w:noBreakHyphen/>
        <w:t>niveauet skal monitoreres under behandlingen for at reducere risikoen for over- eller underbehandling. Risiciene ved overbehandling omfatter atrieflimren, osteoporose og knoglebrud.</w:t>
      </w:r>
    </w:p>
    <w:p w14:paraId="727670A1" w14:textId="77777777" w:rsidR="00C83484" w:rsidRPr="00C83484" w:rsidRDefault="00C83484" w:rsidP="00C83484">
      <w:pPr>
        <w:tabs>
          <w:tab w:val="left" w:pos="851"/>
        </w:tabs>
        <w:ind w:left="851"/>
        <w:rPr>
          <w:sz w:val="24"/>
          <w:szCs w:val="24"/>
        </w:rPr>
      </w:pPr>
    </w:p>
    <w:p w14:paraId="44CBCA3F" w14:textId="7B6C2833" w:rsidR="00C83484" w:rsidRPr="00C83484" w:rsidRDefault="00C83484" w:rsidP="00C83484">
      <w:pPr>
        <w:tabs>
          <w:tab w:val="left" w:pos="851"/>
        </w:tabs>
        <w:ind w:left="851"/>
        <w:rPr>
          <w:sz w:val="24"/>
          <w:szCs w:val="24"/>
          <w:u w:val="single"/>
        </w:rPr>
      </w:pPr>
      <w:r w:rsidRPr="00C83484">
        <w:rPr>
          <w:sz w:val="24"/>
          <w:szCs w:val="24"/>
          <w:u w:val="single"/>
        </w:rPr>
        <w:t>Interferens med laboratorieprøver</w:t>
      </w:r>
    </w:p>
    <w:p w14:paraId="7058621E" w14:textId="77777777" w:rsidR="00C83484" w:rsidRPr="00C83484" w:rsidRDefault="00C83484" w:rsidP="00C83484">
      <w:pPr>
        <w:tabs>
          <w:tab w:val="left" w:pos="851"/>
        </w:tabs>
        <w:ind w:left="851"/>
        <w:rPr>
          <w:sz w:val="24"/>
          <w:szCs w:val="24"/>
        </w:rPr>
      </w:pPr>
      <w:r w:rsidRPr="00C83484">
        <w:rPr>
          <w:sz w:val="24"/>
          <w:szCs w:val="24"/>
        </w:rPr>
        <w:t xml:space="preserve">Biotin kan interferere med immunanalyser af thyroidea, der er baseret på interaktion mellem biotin og streptavidin, hvilket fører til enten falsk lave eller falsk høje prøveresultater. Risikoen for interferens stiger med højere doser biotin. </w:t>
      </w:r>
    </w:p>
    <w:p w14:paraId="09B90F83" w14:textId="77777777" w:rsidR="00C83484" w:rsidRPr="00C83484" w:rsidRDefault="00C83484" w:rsidP="00C83484">
      <w:pPr>
        <w:tabs>
          <w:tab w:val="left" w:pos="851"/>
        </w:tabs>
        <w:ind w:left="851"/>
        <w:rPr>
          <w:sz w:val="24"/>
          <w:szCs w:val="24"/>
        </w:rPr>
      </w:pPr>
    </w:p>
    <w:p w14:paraId="1B94DCC0" w14:textId="77777777" w:rsidR="00C83484" w:rsidRPr="00C83484" w:rsidRDefault="00C83484" w:rsidP="00C83484">
      <w:pPr>
        <w:tabs>
          <w:tab w:val="left" w:pos="851"/>
        </w:tabs>
        <w:ind w:left="851"/>
        <w:rPr>
          <w:sz w:val="24"/>
          <w:szCs w:val="24"/>
        </w:rPr>
      </w:pPr>
      <w:r w:rsidRPr="00C83484">
        <w:rPr>
          <w:sz w:val="24"/>
          <w:szCs w:val="24"/>
        </w:rPr>
        <w:t xml:space="preserve">Ved fortolkningen af resultater af laboratorieprøver skal der tages hensyn til eventuel interferens med biotin, navnlig hvis der observeres manglende sammenhæng med den kliniske præsentation. </w:t>
      </w:r>
    </w:p>
    <w:p w14:paraId="38E56228" w14:textId="77777777" w:rsidR="00C83484" w:rsidRPr="00C83484" w:rsidRDefault="00C83484" w:rsidP="00C83484">
      <w:pPr>
        <w:tabs>
          <w:tab w:val="left" w:pos="851"/>
        </w:tabs>
        <w:ind w:left="851"/>
        <w:rPr>
          <w:sz w:val="24"/>
          <w:szCs w:val="24"/>
        </w:rPr>
      </w:pPr>
    </w:p>
    <w:p w14:paraId="52F3590B" w14:textId="77777777" w:rsidR="00C83484" w:rsidRPr="00C83484" w:rsidRDefault="00C83484" w:rsidP="00C83484">
      <w:pPr>
        <w:tabs>
          <w:tab w:val="left" w:pos="851"/>
        </w:tabs>
        <w:ind w:left="851"/>
        <w:rPr>
          <w:sz w:val="24"/>
          <w:szCs w:val="24"/>
        </w:rPr>
      </w:pPr>
      <w:r w:rsidRPr="00C83484">
        <w:rPr>
          <w:sz w:val="24"/>
          <w:szCs w:val="24"/>
        </w:rPr>
        <w:t>For patienter, der tager biotinholdige produkter, bør laboratoriepersonalet informeres, når der anmodes om en thyroideaprøve. Alternative prøver, der ikke er følsomme over for interferens med biotin, bør anvendes, hvis de foreligger. (se pkt. 4.5)</w:t>
      </w:r>
    </w:p>
    <w:p w14:paraId="5CABE3E5" w14:textId="77777777" w:rsidR="00C83484" w:rsidRPr="00C83484" w:rsidRDefault="00C83484" w:rsidP="00C83484">
      <w:pPr>
        <w:tabs>
          <w:tab w:val="left" w:pos="851"/>
        </w:tabs>
        <w:ind w:left="851"/>
        <w:rPr>
          <w:sz w:val="24"/>
          <w:szCs w:val="24"/>
        </w:rPr>
      </w:pPr>
    </w:p>
    <w:p w14:paraId="4952AD6B" w14:textId="77777777" w:rsidR="00C83484" w:rsidRPr="00C83484" w:rsidRDefault="00C83484" w:rsidP="00C83484">
      <w:pPr>
        <w:tabs>
          <w:tab w:val="left" w:pos="851"/>
        </w:tabs>
        <w:ind w:left="851"/>
        <w:rPr>
          <w:sz w:val="24"/>
          <w:szCs w:val="24"/>
          <w:u w:val="single"/>
        </w:rPr>
      </w:pPr>
      <w:r w:rsidRPr="00C83484">
        <w:rPr>
          <w:sz w:val="24"/>
          <w:szCs w:val="24"/>
          <w:u w:val="single"/>
        </w:rPr>
        <w:t>Oplysninger om hjælpestoffer</w:t>
      </w:r>
    </w:p>
    <w:p w14:paraId="6F1C8C89" w14:textId="77777777" w:rsidR="00C83484" w:rsidRPr="00C83484" w:rsidRDefault="00C83484" w:rsidP="00C83484">
      <w:pPr>
        <w:tabs>
          <w:tab w:val="left" w:pos="851"/>
        </w:tabs>
        <w:ind w:left="851"/>
        <w:rPr>
          <w:sz w:val="24"/>
          <w:szCs w:val="24"/>
        </w:rPr>
      </w:pPr>
      <w:r w:rsidRPr="00C83484">
        <w:rPr>
          <w:sz w:val="24"/>
          <w:szCs w:val="24"/>
        </w:rPr>
        <w:t>Dette lægemiddel indeholder mindre end 1 mmol (23 mg) natrium pr. tablet, dvs. det er i det væsentlige natriumfrit.</w:t>
      </w:r>
    </w:p>
    <w:p w14:paraId="4E30465A" w14:textId="77777777" w:rsidR="009260DE" w:rsidRPr="00C84483" w:rsidRDefault="009260DE" w:rsidP="009260DE">
      <w:pPr>
        <w:tabs>
          <w:tab w:val="left" w:pos="851"/>
        </w:tabs>
        <w:ind w:left="851"/>
        <w:rPr>
          <w:sz w:val="24"/>
          <w:szCs w:val="24"/>
        </w:rPr>
      </w:pPr>
      <w:bookmarkStart w:id="4" w:name="4.5_Interactions_with_other_medicinal_pr"/>
      <w:bookmarkEnd w:id="4"/>
    </w:p>
    <w:p w14:paraId="2D07BC72"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1A5CD4A7" w14:textId="77777777" w:rsidR="004D4CD3" w:rsidRPr="004D4CD3" w:rsidRDefault="004D4CD3" w:rsidP="004D4CD3">
      <w:pPr>
        <w:tabs>
          <w:tab w:val="left" w:pos="851"/>
        </w:tabs>
        <w:ind w:left="851"/>
        <w:rPr>
          <w:i/>
          <w:sz w:val="24"/>
          <w:szCs w:val="24"/>
        </w:rPr>
      </w:pPr>
    </w:p>
    <w:p w14:paraId="60CE4716" w14:textId="77777777" w:rsidR="004D4CD3" w:rsidRDefault="004D4CD3" w:rsidP="004D4CD3">
      <w:pPr>
        <w:tabs>
          <w:tab w:val="left" w:pos="851"/>
        </w:tabs>
        <w:ind w:left="851"/>
        <w:rPr>
          <w:i/>
          <w:sz w:val="24"/>
          <w:szCs w:val="24"/>
        </w:rPr>
      </w:pPr>
      <w:r w:rsidRPr="004D4CD3">
        <w:rPr>
          <w:i/>
          <w:sz w:val="24"/>
          <w:szCs w:val="24"/>
        </w:rPr>
        <w:t>Amiodaron</w:t>
      </w:r>
    </w:p>
    <w:p w14:paraId="7656D9DD" w14:textId="21F57676" w:rsidR="004D4CD3" w:rsidRPr="004D4CD3" w:rsidRDefault="004D4CD3" w:rsidP="004D4CD3">
      <w:pPr>
        <w:tabs>
          <w:tab w:val="left" w:pos="851"/>
        </w:tabs>
        <w:ind w:left="851"/>
        <w:rPr>
          <w:sz w:val="24"/>
          <w:szCs w:val="24"/>
        </w:rPr>
      </w:pPr>
      <w:r w:rsidRPr="004D4CD3">
        <w:rPr>
          <w:sz w:val="24"/>
          <w:szCs w:val="24"/>
        </w:rPr>
        <w:t>Samtidig administration af amiodaron kan hæmme dejoderingen af thyroxin til trijodthyronin, hvilket kan medføre nedsatte koncentrationer af trijodthyronin og dermed nedsat virkning af thyroxin. Dette skal tages i betragtning ved kombinationsbehandling med thyroxin og trijodthyronin.</w:t>
      </w:r>
    </w:p>
    <w:p w14:paraId="7CF0F342" w14:textId="77777777" w:rsidR="004D4CD3" w:rsidRPr="004D4CD3" w:rsidRDefault="004D4CD3" w:rsidP="004D4CD3">
      <w:pPr>
        <w:tabs>
          <w:tab w:val="left" w:pos="851"/>
        </w:tabs>
        <w:ind w:left="851"/>
        <w:rPr>
          <w:i/>
          <w:sz w:val="24"/>
          <w:szCs w:val="24"/>
        </w:rPr>
      </w:pPr>
    </w:p>
    <w:p w14:paraId="7025F5C0" w14:textId="77777777" w:rsidR="004D4CD3" w:rsidRDefault="004D4CD3" w:rsidP="004D4CD3">
      <w:pPr>
        <w:tabs>
          <w:tab w:val="left" w:pos="851"/>
        </w:tabs>
        <w:ind w:left="851"/>
        <w:rPr>
          <w:i/>
          <w:sz w:val="24"/>
          <w:szCs w:val="24"/>
        </w:rPr>
      </w:pPr>
      <w:r w:rsidRPr="004D4CD3">
        <w:rPr>
          <w:i/>
          <w:sz w:val="24"/>
          <w:szCs w:val="24"/>
        </w:rPr>
        <w:t>Antidiabetika</w:t>
      </w:r>
    </w:p>
    <w:p w14:paraId="42B13478" w14:textId="2DD56F92" w:rsidR="004D4CD3" w:rsidRPr="004D4CD3" w:rsidRDefault="004D4CD3" w:rsidP="004D4CD3">
      <w:pPr>
        <w:tabs>
          <w:tab w:val="left" w:pos="851"/>
        </w:tabs>
        <w:ind w:left="851"/>
        <w:rPr>
          <w:sz w:val="24"/>
          <w:szCs w:val="24"/>
        </w:rPr>
      </w:pPr>
      <w:r w:rsidRPr="004D4CD3">
        <w:rPr>
          <w:sz w:val="24"/>
          <w:szCs w:val="24"/>
        </w:rPr>
        <w:t xml:space="preserve">Liothyronin øger blodglukoseniveauet og kan derved nedsætte virkningen af antidiabetika.  Blodglukoseniveauet skal derfor monitoreres hyppigt ved opstart af behandling med thyroideahormon, og dosis af antidiabetika skal om nødvendigt justeres. </w:t>
      </w:r>
    </w:p>
    <w:p w14:paraId="2336C56C" w14:textId="77777777" w:rsidR="004D4CD3" w:rsidRPr="004D4CD3" w:rsidRDefault="004D4CD3" w:rsidP="004D4CD3">
      <w:pPr>
        <w:tabs>
          <w:tab w:val="left" w:pos="851"/>
        </w:tabs>
        <w:ind w:left="851"/>
        <w:rPr>
          <w:i/>
          <w:sz w:val="24"/>
          <w:szCs w:val="24"/>
        </w:rPr>
      </w:pPr>
    </w:p>
    <w:p w14:paraId="6D4F2571" w14:textId="77777777" w:rsidR="004D4CD3" w:rsidRDefault="004D4CD3" w:rsidP="004D4CD3">
      <w:pPr>
        <w:tabs>
          <w:tab w:val="left" w:pos="851"/>
        </w:tabs>
        <w:ind w:left="851"/>
        <w:rPr>
          <w:i/>
          <w:sz w:val="24"/>
          <w:szCs w:val="24"/>
        </w:rPr>
      </w:pPr>
      <w:r w:rsidRPr="004D4CD3">
        <w:rPr>
          <w:i/>
          <w:sz w:val="24"/>
          <w:szCs w:val="24"/>
        </w:rPr>
        <w:t>Antikoagulantia</w:t>
      </w:r>
    </w:p>
    <w:p w14:paraId="0740944F" w14:textId="183967C8" w:rsidR="004D4CD3" w:rsidRPr="004D4CD3" w:rsidRDefault="004D4CD3" w:rsidP="004D4CD3">
      <w:pPr>
        <w:tabs>
          <w:tab w:val="left" w:pos="851"/>
        </w:tabs>
        <w:ind w:left="851"/>
        <w:rPr>
          <w:sz w:val="24"/>
          <w:szCs w:val="24"/>
        </w:rPr>
      </w:pPr>
      <w:r w:rsidRPr="004D4CD3">
        <w:rPr>
          <w:sz w:val="24"/>
          <w:szCs w:val="24"/>
        </w:rPr>
        <w:t>Behandling med liothyronin kan forstærke virkningen af antikoagulantia.</w:t>
      </w:r>
    </w:p>
    <w:p w14:paraId="53864688" w14:textId="77777777" w:rsidR="004D4CD3" w:rsidRPr="004D4CD3" w:rsidRDefault="004D4CD3" w:rsidP="004D4CD3">
      <w:pPr>
        <w:tabs>
          <w:tab w:val="left" w:pos="851"/>
        </w:tabs>
        <w:ind w:left="851"/>
        <w:rPr>
          <w:i/>
          <w:sz w:val="24"/>
          <w:szCs w:val="24"/>
        </w:rPr>
      </w:pPr>
    </w:p>
    <w:p w14:paraId="05A8D86B" w14:textId="77777777" w:rsidR="004D4CD3" w:rsidRDefault="004D4CD3" w:rsidP="004D4CD3">
      <w:pPr>
        <w:tabs>
          <w:tab w:val="left" w:pos="851"/>
        </w:tabs>
        <w:ind w:left="851"/>
        <w:rPr>
          <w:i/>
          <w:sz w:val="24"/>
          <w:szCs w:val="24"/>
        </w:rPr>
      </w:pPr>
      <w:r w:rsidRPr="004D4CD3">
        <w:rPr>
          <w:i/>
          <w:sz w:val="24"/>
          <w:szCs w:val="24"/>
        </w:rPr>
        <w:t>Hjerteglykosider</w:t>
      </w:r>
    </w:p>
    <w:p w14:paraId="614CB336" w14:textId="131E1F70" w:rsidR="004D4CD3" w:rsidRPr="004D4CD3" w:rsidRDefault="004D4CD3" w:rsidP="004D4CD3">
      <w:pPr>
        <w:tabs>
          <w:tab w:val="left" w:pos="851"/>
        </w:tabs>
        <w:ind w:left="851"/>
        <w:rPr>
          <w:sz w:val="24"/>
          <w:szCs w:val="24"/>
        </w:rPr>
      </w:pPr>
      <w:r w:rsidRPr="004D4CD3">
        <w:rPr>
          <w:sz w:val="24"/>
          <w:szCs w:val="24"/>
        </w:rPr>
        <w:t xml:space="preserve">Ved samtidig administration af liothyronin og hjerteglykosider kan det være nødvendigt at justere dosis af hjerteglykosidet. </w:t>
      </w:r>
    </w:p>
    <w:p w14:paraId="5683F65B" w14:textId="77777777" w:rsidR="004D4CD3" w:rsidRPr="004D4CD3" w:rsidRDefault="004D4CD3" w:rsidP="004D4CD3">
      <w:pPr>
        <w:tabs>
          <w:tab w:val="left" w:pos="851"/>
        </w:tabs>
        <w:ind w:left="851"/>
        <w:rPr>
          <w:i/>
          <w:sz w:val="24"/>
          <w:szCs w:val="24"/>
        </w:rPr>
      </w:pPr>
    </w:p>
    <w:p w14:paraId="47FDC96A" w14:textId="77777777" w:rsidR="004D4CD3" w:rsidRDefault="004D4CD3" w:rsidP="004D4CD3">
      <w:pPr>
        <w:tabs>
          <w:tab w:val="left" w:pos="851"/>
        </w:tabs>
        <w:ind w:left="851"/>
        <w:rPr>
          <w:i/>
          <w:sz w:val="24"/>
          <w:szCs w:val="24"/>
        </w:rPr>
      </w:pPr>
      <w:r w:rsidRPr="004D4CD3">
        <w:rPr>
          <w:i/>
          <w:sz w:val="24"/>
          <w:szCs w:val="24"/>
        </w:rPr>
        <w:t>Colestyramin og colestipol</w:t>
      </w:r>
    </w:p>
    <w:p w14:paraId="1F8EF5CD" w14:textId="26E55BC1" w:rsidR="004D4CD3" w:rsidRPr="004D4CD3" w:rsidRDefault="004D4CD3" w:rsidP="004D4CD3">
      <w:pPr>
        <w:tabs>
          <w:tab w:val="left" w:pos="851"/>
        </w:tabs>
        <w:ind w:left="851"/>
        <w:rPr>
          <w:sz w:val="24"/>
          <w:szCs w:val="24"/>
        </w:rPr>
      </w:pPr>
      <w:r w:rsidRPr="004D4CD3">
        <w:rPr>
          <w:sz w:val="24"/>
          <w:szCs w:val="24"/>
        </w:rPr>
        <w:t>Liothyronin må ikke tages inden for 4 timer før eller efter administration af colestyramin eller colestipol, da begge stoffer nedsætter den gastrointestinale absorption af liothyronin.</w:t>
      </w:r>
    </w:p>
    <w:p w14:paraId="4A786CCC" w14:textId="77777777" w:rsidR="004D4CD3" w:rsidRPr="004D4CD3" w:rsidRDefault="004D4CD3" w:rsidP="004D4CD3">
      <w:pPr>
        <w:tabs>
          <w:tab w:val="left" w:pos="851"/>
        </w:tabs>
        <w:ind w:left="851"/>
        <w:rPr>
          <w:i/>
          <w:sz w:val="24"/>
          <w:szCs w:val="24"/>
        </w:rPr>
      </w:pPr>
    </w:p>
    <w:p w14:paraId="02FEA6F3" w14:textId="77777777" w:rsidR="004D4CD3" w:rsidRDefault="004D4CD3" w:rsidP="004D4CD3">
      <w:pPr>
        <w:tabs>
          <w:tab w:val="left" w:pos="851"/>
        </w:tabs>
        <w:ind w:left="851"/>
        <w:rPr>
          <w:i/>
          <w:sz w:val="24"/>
          <w:szCs w:val="24"/>
        </w:rPr>
      </w:pPr>
      <w:r w:rsidRPr="004D4CD3">
        <w:rPr>
          <w:i/>
          <w:sz w:val="24"/>
          <w:szCs w:val="24"/>
        </w:rPr>
        <w:t>Enzyminducerende lægemidler</w:t>
      </w:r>
    </w:p>
    <w:p w14:paraId="08F2B836" w14:textId="05B4C538" w:rsidR="004D4CD3" w:rsidRPr="004D4CD3" w:rsidRDefault="004D4CD3" w:rsidP="004D4CD3">
      <w:pPr>
        <w:tabs>
          <w:tab w:val="left" w:pos="851"/>
        </w:tabs>
        <w:ind w:left="851"/>
        <w:rPr>
          <w:sz w:val="24"/>
          <w:szCs w:val="24"/>
        </w:rPr>
      </w:pPr>
      <w:r w:rsidRPr="004D4CD3">
        <w:rPr>
          <w:sz w:val="24"/>
          <w:szCs w:val="24"/>
        </w:rPr>
        <w:t>Samtidig administration af enzyminducerende lægemidler såsom antikonvulsiva (carbamazepin og phenytoin), barbiturater eller traditionelle plantelægemidler, der indeholder perikon (</w:t>
      </w:r>
      <w:r w:rsidRPr="004D4CD3">
        <w:rPr>
          <w:i/>
          <w:iCs/>
          <w:sz w:val="24"/>
          <w:szCs w:val="24"/>
        </w:rPr>
        <w:t>Hypericum perforatum</w:t>
      </w:r>
      <w:r w:rsidRPr="004D4CD3">
        <w:rPr>
          <w:sz w:val="24"/>
          <w:szCs w:val="24"/>
        </w:rPr>
        <w:t xml:space="preserve"> L.), kan øge den hepatiske clearance af thyroideahormoner og dermed medføre nedsatte serumkoncentrationer af thyroideahormoner. Patienter, der får substitutionsbehandling med thyroideahormon, kan </w:t>
      </w:r>
      <w:r w:rsidRPr="004D4CD3">
        <w:rPr>
          <w:sz w:val="24"/>
          <w:szCs w:val="24"/>
        </w:rPr>
        <w:lastRenderedPageBreak/>
        <w:t>derfor have behov for en højere dosis thyroideahormon ved samtidig administration af disse lægemidler.</w:t>
      </w:r>
    </w:p>
    <w:p w14:paraId="6291AAE2" w14:textId="77777777" w:rsidR="004D4CD3" w:rsidRPr="004D4CD3" w:rsidRDefault="004D4CD3" w:rsidP="004D4CD3">
      <w:pPr>
        <w:tabs>
          <w:tab w:val="left" w:pos="851"/>
        </w:tabs>
        <w:ind w:left="851"/>
        <w:rPr>
          <w:i/>
          <w:sz w:val="24"/>
          <w:szCs w:val="24"/>
        </w:rPr>
      </w:pPr>
    </w:p>
    <w:p w14:paraId="1928F02A" w14:textId="77777777" w:rsidR="004D4CD3" w:rsidRDefault="004D4CD3" w:rsidP="004D4CD3">
      <w:pPr>
        <w:tabs>
          <w:tab w:val="left" w:pos="851"/>
        </w:tabs>
        <w:ind w:left="851"/>
        <w:rPr>
          <w:i/>
          <w:sz w:val="24"/>
          <w:szCs w:val="24"/>
        </w:rPr>
      </w:pPr>
      <w:r w:rsidRPr="004D4CD3">
        <w:rPr>
          <w:i/>
          <w:sz w:val="24"/>
          <w:szCs w:val="24"/>
        </w:rPr>
        <w:t>Tricykliske antidepressiva</w:t>
      </w:r>
    </w:p>
    <w:p w14:paraId="095593F2" w14:textId="03ACD9B7" w:rsidR="004D4CD3" w:rsidRPr="004D4CD3" w:rsidRDefault="004D4CD3" w:rsidP="004D4CD3">
      <w:pPr>
        <w:tabs>
          <w:tab w:val="left" w:pos="851"/>
        </w:tabs>
        <w:ind w:left="851"/>
        <w:rPr>
          <w:sz w:val="24"/>
          <w:szCs w:val="24"/>
        </w:rPr>
      </w:pPr>
      <w:r w:rsidRPr="004D4CD3">
        <w:rPr>
          <w:sz w:val="24"/>
          <w:szCs w:val="24"/>
        </w:rPr>
        <w:t>Liothyronin øger receptorernes følsomhed over for katekolaminer og kan dermed forstærke virkningen af tricykliske antidepressiva. Som andre thyroideahormoner kan liothyronin forstærke virkningen af amitriptylin og imipramin.</w:t>
      </w:r>
    </w:p>
    <w:p w14:paraId="33195759" w14:textId="77777777" w:rsidR="004D4CD3" w:rsidRPr="004D4CD3" w:rsidRDefault="004D4CD3" w:rsidP="004D4CD3">
      <w:pPr>
        <w:tabs>
          <w:tab w:val="left" w:pos="851"/>
        </w:tabs>
        <w:ind w:left="851"/>
        <w:rPr>
          <w:i/>
          <w:sz w:val="24"/>
          <w:szCs w:val="24"/>
        </w:rPr>
      </w:pPr>
    </w:p>
    <w:p w14:paraId="0E3D061B" w14:textId="77777777" w:rsidR="004D4CD3" w:rsidRDefault="004D4CD3" w:rsidP="004D4CD3">
      <w:pPr>
        <w:tabs>
          <w:tab w:val="left" w:pos="851"/>
        </w:tabs>
        <w:ind w:left="851"/>
        <w:rPr>
          <w:i/>
          <w:sz w:val="24"/>
          <w:szCs w:val="24"/>
        </w:rPr>
      </w:pPr>
      <w:r w:rsidRPr="004D4CD3">
        <w:rPr>
          <w:i/>
          <w:sz w:val="24"/>
          <w:szCs w:val="24"/>
        </w:rPr>
        <w:t>Østrogener og orale kontraceptiva</w:t>
      </w:r>
    </w:p>
    <w:p w14:paraId="6E38C027" w14:textId="62345F68" w:rsidR="004D4CD3" w:rsidRPr="004D4CD3" w:rsidRDefault="004D4CD3" w:rsidP="004D4CD3">
      <w:pPr>
        <w:tabs>
          <w:tab w:val="left" w:pos="851"/>
        </w:tabs>
        <w:ind w:left="851"/>
        <w:rPr>
          <w:sz w:val="24"/>
          <w:szCs w:val="24"/>
        </w:rPr>
      </w:pPr>
      <w:r w:rsidRPr="004D4CD3">
        <w:rPr>
          <w:sz w:val="24"/>
          <w:szCs w:val="24"/>
        </w:rPr>
        <w:t xml:space="preserve">Østrogener kan øge serumkoncentrationen af thyroxinbindende globulin. Kvinder, der anvender østrogenholdige kontraceptiva eller får hormonsubstitutionsbehandling, kan have behov for højere doser thyroideahormon. </w:t>
      </w:r>
    </w:p>
    <w:p w14:paraId="12309BAC" w14:textId="77777777" w:rsidR="004D4CD3" w:rsidRPr="004D4CD3" w:rsidRDefault="004D4CD3" w:rsidP="004D4CD3">
      <w:pPr>
        <w:tabs>
          <w:tab w:val="left" w:pos="851"/>
        </w:tabs>
        <w:ind w:left="851"/>
        <w:rPr>
          <w:i/>
          <w:sz w:val="24"/>
          <w:szCs w:val="24"/>
        </w:rPr>
      </w:pPr>
    </w:p>
    <w:p w14:paraId="0C6F1773" w14:textId="77777777" w:rsidR="004D4CD3" w:rsidRDefault="004D4CD3" w:rsidP="004D4CD3">
      <w:pPr>
        <w:tabs>
          <w:tab w:val="left" w:pos="851"/>
        </w:tabs>
        <w:ind w:left="851"/>
        <w:rPr>
          <w:i/>
          <w:sz w:val="24"/>
          <w:szCs w:val="24"/>
        </w:rPr>
      </w:pPr>
      <w:r w:rsidRPr="004D4CD3">
        <w:rPr>
          <w:i/>
          <w:sz w:val="24"/>
          <w:szCs w:val="24"/>
        </w:rPr>
        <w:t>Interferens med laboratorieundersøgelser</w:t>
      </w:r>
    </w:p>
    <w:p w14:paraId="6DD0C091" w14:textId="0178A56E" w:rsidR="004D4CD3" w:rsidRPr="004D4CD3" w:rsidRDefault="004D4CD3" w:rsidP="004D4CD3">
      <w:pPr>
        <w:tabs>
          <w:tab w:val="left" w:pos="851"/>
        </w:tabs>
        <w:ind w:left="851"/>
        <w:rPr>
          <w:sz w:val="24"/>
          <w:szCs w:val="24"/>
        </w:rPr>
      </w:pPr>
      <w:r w:rsidRPr="004D4CD3">
        <w:rPr>
          <w:sz w:val="24"/>
          <w:szCs w:val="24"/>
        </w:rPr>
        <w:t>En række lægemidler kan påvirke thyroideafunktionstests, hvilket skal tages i betragtning ved monitorering af patienter, der behandles med liothyronin. Biotin kan interferere med immunanalyser af thyroidea, der er baseret på interaktion mellem biotin og streptavidin, hvilket fører til enten falsk lave eller falsk høje prøveresultater (se pkt. 4.4).</w:t>
      </w:r>
    </w:p>
    <w:p w14:paraId="7C786585" w14:textId="77777777" w:rsidR="004D4CD3" w:rsidRPr="004D4CD3" w:rsidRDefault="004D4CD3" w:rsidP="004D4CD3">
      <w:pPr>
        <w:tabs>
          <w:tab w:val="left" w:pos="851"/>
        </w:tabs>
        <w:ind w:left="851"/>
        <w:rPr>
          <w:sz w:val="24"/>
          <w:szCs w:val="24"/>
        </w:rPr>
      </w:pPr>
    </w:p>
    <w:p w14:paraId="35AD8DA6"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0827F37B" w14:textId="77777777" w:rsidR="00CB4A61" w:rsidRPr="00CB4A61" w:rsidRDefault="00CB4A61" w:rsidP="00CB4A61">
      <w:pPr>
        <w:tabs>
          <w:tab w:val="left" w:pos="851"/>
        </w:tabs>
        <w:ind w:left="851"/>
        <w:rPr>
          <w:i/>
          <w:sz w:val="24"/>
          <w:szCs w:val="24"/>
        </w:rPr>
      </w:pPr>
    </w:p>
    <w:p w14:paraId="7FB45F91" w14:textId="77777777" w:rsidR="00CB4A61" w:rsidRPr="00CB4A61" w:rsidRDefault="00CB4A61" w:rsidP="00CB4A61">
      <w:pPr>
        <w:tabs>
          <w:tab w:val="left" w:pos="851"/>
        </w:tabs>
        <w:ind w:left="851"/>
        <w:rPr>
          <w:iCs/>
          <w:sz w:val="24"/>
          <w:szCs w:val="24"/>
          <w:u w:val="single"/>
        </w:rPr>
      </w:pPr>
      <w:r w:rsidRPr="00CB4A61">
        <w:rPr>
          <w:iCs/>
          <w:sz w:val="24"/>
          <w:szCs w:val="24"/>
          <w:u w:val="single"/>
        </w:rPr>
        <w:t>Graviditet</w:t>
      </w:r>
    </w:p>
    <w:p w14:paraId="6B807135" w14:textId="77777777" w:rsidR="00CB4A61" w:rsidRPr="00CB4A61" w:rsidRDefault="00CB4A61" w:rsidP="00CB4A61">
      <w:pPr>
        <w:tabs>
          <w:tab w:val="left" w:pos="851"/>
        </w:tabs>
        <w:ind w:left="851"/>
        <w:rPr>
          <w:sz w:val="24"/>
          <w:szCs w:val="24"/>
        </w:rPr>
      </w:pPr>
      <w:r w:rsidRPr="00CB4A61">
        <w:rPr>
          <w:sz w:val="24"/>
          <w:szCs w:val="24"/>
        </w:rPr>
        <w:t>Liopent er kontraindiceret under graviditet (se pkt. 4.3). Den kliniske erfaring med anvendelse under graviditet er begrænset, og sikkerheden er ikke klarlagt. Liothyronin kan i mindre omfang passere placenta. Anvendelse af liothyronin kan reducere moderens thyroxinkoncentration og medføre hypothyroxinæmi samt påvirke fosterets udvikling negativt. Ved planlagt eller bekræftet graviditet skal behandlingen med Liopent ændres til behandling med thyroxin.</w:t>
      </w:r>
    </w:p>
    <w:p w14:paraId="3983F730" w14:textId="77777777" w:rsidR="00CB4A61" w:rsidRPr="00CB4A61" w:rsidRDefault="00CB4A61" w:rsidP="00CB4A61">
      <w:pPr>
        <w:tabs>
          <w:tab w:val="left" w:pos="851"/>
        </w:tabs>
        <w:ind w:left="851"/>
        <w:rPr>
          <w:sz w:val="24"/>
          <w:szCs w:val="24"/>
        </w:rPr>
      </w:pPr>
    </w:p>
    <w:p w14:paraId="16AECCE0" w14:textId="77777777" w:rsidR="00CB4A61" w:rsidRPr="00CB4A61" w:rsidRDefault="00CB4A61" w:rsidP="00CB4A61">
      <w:pPr>
        <w:tabs>
          <w:tab w:val="left" w:pos="851"/>
        </w:tabs>
        <w:ind w:left="851"/>
        <w:rPr>
          <w:sz w:val="24"/>
          <w:szCs w:val="24"/>
        </w:rPr>
      </w:pPr>
      <w:r w:rsidRPr="00CB4A61">
        <w:rPr>
          <w:sz w:val="24"/>
          <w:szCs w:val="24"/>
        </w:rPr>
        <w:t>Kvinder i den fertile alder skal anvende sikker kontraception under behandlingen.</w:t>
      </w:r>
    </w:p>
    <w:p w14:paraId="4AF65815" w14:textId="77777777" w:rsidR="00CB4A61" w:rsidRPr="00CB4A61" w:rsidRDefault="00CB4A61" w:rsidP="00CB4A61">
      <w:pPr>
        <w:tabs>
          <w:tab w:val="left" w:pos="851"/>
        </w:tabs>
        <w:ind w:left="851"/>
        <w:rPr>
          <w:i/>
          <w:sz w:val="24"/>
          <w:szCs w:val="24"/>
        </w:rPr>
      </w:pPr>
    </w:p>
    <w:p w14:paraId="679E0BFF" w14:textId="77777777" w:rsidR="00CB4A61" w:rsidRPr="00CB4A61" w:rsidRDefault="00CB4A61" w:rsidP="00CB4A61">
      <w:pPr>
        <w:tabs>
          <w:tab w:val="left" w:pos="851"/>
        </w:tabs>
        <w:ind w:left="851"/>
        <w:rPr>
          <w:iCs/>
          <w:sz w:val="24"/>
          <w:szCs w:val="24"/>
          <w:u w:val="single"/>
        </w:rPr>
      </w:pPr>
      <w:r w:rsidRPr="00CB4A61">
        <w:rPr>
          <w:iCs/>
          <w:sz w:val="24"/>
          <w:szCs w:val="24"/>
          <w:u w:val="single"/>
        </w:rPr>
        <w:t>Amning</w:t>
      </w:r>
    </w:p>
    <w:p w14:paraId="5274C822" w14:textId="77777777" w:rsidR="00CB4A61" w:rsidRPr="00CB4A61" w:rsidRDefault="00CB4A61" w:rsidP="00CB4A61">
      <w:pPr>
        <w:tabs>
          <w:tab w:val="left" w:pos="851"/>
        </w:tabs>
        <w:ind w:left="851"/>
        <w:rPr>
          <w:sz w:val="24"/>
          <w:szCs w:val="24"/>
        </w:rPr>
      </w:pPr>
      <w:r w:rsidRPr="00CB4A61">
        <w:rPr>
          <w:sz w:val="24"/>
          <w:szCs w:val="24"/>
        </w:rPr>
        <w:t>Liothyronin udskilles i human mælk i små mængder, men der forventes ingen påvirkning af nyfødte/spædbørn ved terapeutiske doser. Liopent kan anvendes under amning. Liothyronin kan påvirke neonatale screeningsprogrammer.</w:t>
      </w:r>
    </w:p>
    <w:p w14:paraId="652EA880" w14:textId="77777777" w:rsidR="00CB4A61" w:rsidRPr="00CB4A61" w:rsidRDefault="00CB4A61" w:rsidP="00CB4A61">
      <w:pPr>
        <w:tabs>
          <w:tab w:val="left" w:pos="851"/>
        </w:tabs>
        <w:ind w:left="851"/>
        <w:rPr>
          <w:i/>
          <w:sz w:val="24"/>
          <w:szCs w:val="24"/>
        </w:rPr>
      </w:pPr>
    </w:p>
    <w:p w14:paraId="4A0322C5" w14:textId="77777777" w:rsidR="00CB4A61" w:rsidRPr="00CB4A61" w:rsidRDefault="00CB4A61" w:rsidP="00CB4A61">
      <w:pPr>
        <w:tabs>
          <w:tab w:val="left" w:pos="851"/>
        </w:tabs>
        <w:ind w:left="851"/>
        <w:rPr>
          <w:iCs/>
          <w:sz w:val="24"/>
          <w:szCs w:val="24"/>
          <w:u w:val="single"/>
        </w:rPr>
      </w:pPr>
      <w:r w:rsidRPr="00CB4A61">
        <w:rPr>
          <w:iCs/>
          <w:sz w:val="24"/>
          <w:szCs w:val="24"/>
          <w:u w:val="single"/>
        </w:rPr>
        <w:t>Fertilitet</w:t>
      </w:r>
    </w:p>
    <w:p w14:paraId="10DF5D4A" w14:textId="77777777" w:rsidR="00CB4A61" w:rsidRPr="00CB4A61" w:rsidRDefault="00CB4A61" w:rsidP="00CB4A61">
      <w:pPr>
        <w:tabs>
          <w:tab w:val="left" w:pos="851"/>
        </w:tabs>
        <w:ind w:left="851"/>
        <w:rPr>
          <w:sz w:val="24"/>
          <w:szCs w:val="24"/>
        </w:rPr>
      </w:pPr>
      <w:r w:rsidRPr="00CB4A61">
        <w:rPr>
          <w:sz w:val="24"/>
          <w:szCs w:val="24"/>
        </w:rPr>
        <w:t>Der foreligger ingen data om liothyronins indvirkning på fertiliteten hos mennesker eller dyr.</w:t>
      </w:r>
    </w:p>
    <w:p w14:paraId="0AFC0167" w14:textId="77777777" w:rsidR="009260DE" w:rsidRPr="00C84483" w:rsidRDefault="009260DE" w:rsidP="009260DE">
      <w:pPr>
        <w:tabs>
          <w:tab w:val="left" w:pos="851"/>
        </w:tabs>
        <w:ind w:left="851"/>
        <w:rPr>
          <w:sz w:val="24"/>
          <w:szCs w:val="24"/>
        </w:rPr>
      </w:pPr>
    </w:p>
    <w:p w14:paraId="00CE75A2"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706F4311" w14:textId="77777777" w:rsidR="00CB4A61" w:rsidRPr="00CB4A61" w:rsidRDefault="00CB4A61" w:rsidP="00CB4A61">
      <w:pPr>
        <w:tabs>
          <w:tab w:val="left" w:pos="851"/>
        </w:tabs>
        <w:ind w:left="851"/>
        <w:rPr>
          <w:sz w:val="24"/>
          <w:szCs w:val="24"/>
        </w:rPr>
      </w:pPr>
      <w:r w:rsidRPr="00CB4A61">
        <w:rPr>
          <w:sz w:val="24"/>
          <w:szCs w:val="24"/>
        </w:rPr>
        <w:t>Ikke mærkning.</w:t>
      </w:r>
    </w:p>
    <w:p w14:paraId="776CE134" w14:textId="77777777" w:rsidR="00CB4A61" w:rsidRPr="00CB4A61" w:rsidRDefault="00CB4A61" w:rsidP="00CB4A61">
      <w:pPr>
        <w:tabs>
          <w:tab w:val="left" w:pos="851"/>
        </w:tabs>
        <w:ind w:left="851"/>
        <w:rPr>
          <w:sz w:val="24"/>
          <w:szCs w:val="24"/>
        </w:rPr>
      </w:pPr>
      <w:r w:rsidRPr="00CB4A61">
        <w:rPr>
          <w:sz w:val="24"/>
          <w:szCs w:val="24"/>
        </w:rPr>
        <w:t>Liothyronin påvirker ikke eller kun i ubetydelig grad evnen til at føre motorkøretøj og betjene maskiner.</w:t>
      </w:r>
    </w:p>
    <w:p w14:paraId="4D8F5DA8" w14:textId="77777777" w:rsidR="009260DE" w:rsidRPr="00C84483" w:rsidRDefault="009260DE" w:rsidP="009260DE">
      <w:pPr>
        <w:tabs>
          <w:tab w:val="left" w:pos="851"/>
        </w:tabs>
        <w:ind w:left="851"/>
        <w:rPr>
          <w:sz w:val="24"/>
          <w:szCs w:val="24"/>
        </w:rPr>
      </w:pPr>
    </w:p>
    <w:p w14:paraId="1008C2CC"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2AACAEE7" w14:textId="77777777" w:rsidR="00CB4A61" w:rsidRPr="00CB4A61" w:rsidRDefault="00CB4A61" w:rsidP="00CB4A61">
      <w:pPr>
        <w:tabs>
          <w:tab w:val="left" w:pos="851"/>
        </w:tabs>
        <w:ind w:left="851"/>
        <w:rPr>
          <w:sz w:val="24"/>
          <w:szCs w:val="24"/>
        </w:rPr>
      </w:pPr>
      <w:r w:rsidRPr="00CB4A61">
        <w:rPr>
          <w:sz w:val="24"/>
          <w:szCs w:val="24"/>
        </w:rPr>
        <w:t>Bivirkninger under behandling med liothyronin kan være tegn på overdosering. Overdosering kan medføre hyperthyreose, som klinisk kan manifestere sig ved takykardi, nervøsitet, hovedpine, angst, agitation, hyperkinesi og hyperhidrose. Disse symptomer forsvinder få dage efter seponering af behandlingen eller efter en passende dosisreduktion. Der er rapporteret enkelte tilfælde af allergiske hudreaktioner.</w:t>
      </w:r>
    </w:p>
    <w:p w14:paraId="3DBE8CF0" w14:textId="77777777" w:rsidR="00CB4A61" w:rsidRPr="00CB4A61" w:rsidRDefault="00CB4A61" w:rsidP="00CB4A61">
      <w:pPr>
        <w:tabs>
          <w:tab w:val="left" w:pos="851"/>
        </w:tabs>
        <w:ind w:left="851"/>
        <w:rPr>
          <w:sz w:val="24"/>
          <w:szCs w:val="24"/>
        </w:rPr>
      </w:pPr>
    </w:p>
    <w:p w14:paraId="5231B5CB" w14:textId="7829FEEA" w:rsidR="00CB4A61" w:rsidRPr="00CB4A61" w:rsidRDefault="00CB4A61" w:rsidP="00CB4A61">
      <w:pPr>
        <w:tabs>
          <w:tab w:val="left" w:pos="851"/>
        </w:tabs>
        <w:ind w:left="851"/>
        <w:rPr>
          <w:sz w:val="24"/>
          <w:szCs w:val="24"/>
        </w:rPr>
      </w:pPr>
      <w:r w:rsidRPr="00CB4A61">
        <w:rPr>
          <w:sz w:val="24"/>
          <w:szCs w:val="24"/>
        </w:rPr>
        <w:t xml:space="preserve">I nedenstående tabel er bivirkningerne angivet efter systemorganklasse og hyppighedskategori, defineret i henhold til følgende konvention: </w:t>
      </w:r>
      <w:r>
        <w:rPr>
          <w:sz w:val="24"/>
          <w:szCs w:val="24"/>
        </w:rPr>
        <w:t>M</w:t>
      </w:r>
      <w:r w:rsidRPr="00CB4A61">
        <w:rPr>
          <w:sz w:val="24"/>
          <w:szCs w:val="24"/>
        </w:rPr>
        <w:t>eget almindelig (≥ 1/10), almindelig (≥ 1/100 til &lt; 1/10), ikke almindelig (≥ 1/1.000 til &lt; 1/100), sjælden (≥ 1/10.000 til &lt; 1/1.000), meget sjælden (&lt; 1/10.000) eller ikke kendt (kan ikke estimeres ud fra forhåndenværende data).</w:t>
      </w:r>
    </w:p>
    <w:p w14:paraId="58180815" w14:textId="77777777" w:rsidR="00CB4A61" w:rsidRPr="00CB4A61" w:rsidRDefault="00CB4A61" w:rsidP="00CB4A61">
      <w:pPr>
        <w:tabs>
          <w:tab w:val="left" w:pos="851"/>
        </w:tabs>
        <w:ind w:left="851"/>
        <w:rPr>
          <w:sz w:val="24"/>
          <w:szCs w:val="24"/>
        </w:rPr>
      </w:pPr>
    </w:p>
    <w:tbl>
      <w:tblPr>
        <w:tblW w:w="9639" w:type="dxa"/>
        <w:tblInd w:w="-8" w:type="dxa"/>
        <w:tblBorders>
          <w:top w:val="outset" w:sz="6" w:space="0" w:color="606060"/>
          <w:left w:val="outset" w:sz="6" w:space="0" w:color="606060"/>
          <w:bottom w:val="outset" w:sz="6" w:space="0" w:color="606060"/>
          <w:right w:val="outset" w:sz="6" w:space="0" w:color="606060"/>
        </w:tblBorders>
        <w:tblCellMar>
          <w:top w:w="40" w:type="dxa"/>
          <w:left w:w="40" w:type="dxa"/>
          <w:bottom w:w="40" w:type="dxa"/>
          <w:right w:w="40" w:type="dxa"/>
        </w:tblCellMar>
        <w:tblLook w:val="04A0" w:firstRow="1" w:lastRow="0" w:firstColumn="1" w:lastColumn="0" w:noHBand="0" w:noVBand="1"/>
      </w:tblPr>
      <w:tblGrid>
        <w:gridCol w:w="3529"/>
        <w:gridCol w:w="2281"/>
        <w:gridCol w:w="3829"/>
      </w:tblGrid>
      <w:tr w:rsidR="00CB4A61" w:rsidRPr="00CB4A61" w14:paraId="68E8DC89" w14:textId="77777777" w:rsidTr="00CB4A61">
        <w:tc>
          <w:tcPr>
            <w:tcW w:w="1831"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2CFAF794" w14:textId="77777777" w:rsidR="00CB4A61" w:rsidRPr="00CB4A61" w:rsidRDefault="00CB4A61" w:rsidP="00CB4A61">
            <w:pPr>
              <w:tabs>
                <w:tab w:val="left" w:pos="851"/>
              </w:tabs>
              <w:ind w:left="851"/>
              <w:rPr>
                <w:sz w:val="24"/>
                <w:szCs w:val="24"/>
              </w:rPr>
            </w:pPr>
            <w:r w:rsidRPr="00CB4A61">
              <w:rPr>
                <w:b/>
                <w:sz w:val="24"/>
                <w:szCs w:val="24"/>
              </w:rPr>
              <w:t>Systemorganklasse</w:t>
            </w:r>
          </w:p>
        </w:tc>
        <w:tc>
          <w:tcPr>
            <w:tcW w:w="1183"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32F8BC76" w14:textId="77777777" w:rsidR="00CB4A61" w:rsidRPr="00CB4A61" w:rsidRDefault="00CB4A61" w:rsidP="00CB4A61">
            <w:pPr>
              <w:tabs>
                <w:tab w:val="left" w:pos="851"/>
              </w:tabs>
              <w:ind w:left="851"/>
              <w:rPr>
                <w:sz w:val="24"/>
                <w:szCs w:val="24"/>
              </w:rPr>
            </w:pPr>
            <w:r w:rsidRPr="00CB4A61">
              <w:rPr>
                <w:b/>
                <w:sz w:val="24"/>
                <w:szCs w:val="24"/>
              </w:rPr>
              <w:t>Hyppighed</w:t>
            </w:r>
          </w:p>
        </w:tc>
        <w:tc>
          <w:tcPr>
            <w:tcW w:w="1986"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0B62D097" w14:textId="77777777" w:rsidR="00CB4A61" w:rsidRPr="00CB4A61" w:rsidRDefault="00CB4A61" w:rsidP="00CB4A61">
            <w:pPr>
              <w:tabs>
                <w:tab w:val="left" w:pos="851"/>
              </w:tabs>
              <w:ind w:left="851"/>
              <w:rPr>
                <w:sz w:val="24"/>
                <w:szCs w:val="24"/>
              </w:rPr>
            </w:pPr>
            <w:r w:rsidRPr="00CB4A61">
              <w:rPr>
                <w:b/>
                <w:sz w:val="24"/>
                <w:szCs w:val="24"/>
              </w:rPr>
              <w:t>Bivirkninger</w:t>
            </w:r>
          </w:p>
        </w:tc>
      </w:tr>
      <w:tr w:rsidR="00CB4A61" w:rsidRPr="00CB4A61" w14:paraId="761D6CB7" w14:textId="77777777" w:rsidTr="00CB4A61">
        <w:tc>
          <w:tcPr>
            <w:tcW w:w="1831"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48617000" w14:textId="77777777" w:rsidR="00CB4A61" w:rsidRPr="00CB4A61" w:rsidRDefault="00CB4A61" w:rsidP="00CB4A61">
            <w:pPr>
              <w:tabs>
                <w:tab w:val="left" w:pos="851"/>
              </w:tabs>
              <w:ind w:left="851"/>
              <w:rPr>
                <w:sz w:val="24"/>
                <w:szCs w:val="24"/>
              </w:rPr>
            </w:pPr>
            <w:r w:rsidRPr="00CB4A61">
              <w:rPr>
                <w:sz w:val="24"/>
                <w:szCs w:val="24"/>
              </w:rPr>
              <w:t>Hjerte</w:t>
            </w:r>
          </w:p>
        </w:tc>
        <w:tc>
          <w:tcPr>
            <w:tcW w:w="1183"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5D128FFB" w14:textId="77777777" w:rsidR="00CB4A61" w:rsidRPr="00CB4A61" w:rsidRDefault="00CB4A61" w:rsidP="00CB4A61">
            <w:pPr>
              <w:tabs>
                <w:tab w:val="left" w:pos="851"/>
              </w:tabs>
              <w:ind w:left="851"/>
              <w:rPr>
                <w:sz w:val="24"/>
                <w:szCs w:val="24"/>
              </w:rPr>
            </w:pPr>
            <w:r w:rsidRPr="00CB4A61">
              <w:rPr>
                <w:sz w:val="24"/>
                <w:szCs w:val="24"/>
              </w:rPr>
              <w:t>Ikke kendt</w:t>
            </w:r>
          </w:p>
        </w:tc>
        <w:tc>
          <w:tcPr>
            <w:tcW w:w="1986"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2C2A842D" w14:textId="77777777" w:rsidR="00CB4A61" w:rsidRPr="00CB4A61" w:rsidRDefault="00CB4A61" w:rsidP="00CB4A61">
            <w:pPr>
              <w:tabs>
                <w:tab w:val="left" w:pos="851"/>
              </w:tabs>
              <w:ind w:left="851"/>
              <w:rPr>
                <w:sz w:val="24"/>
                <w:szCs w:val="24"/>
              </w:rPr>
            </w:pPr>
            <w:r w:rsidRPr="00CB4A61">
              <w:rPr>
                <w:sz w:val="24"/>
                <w:szCs w:val="24"/>
              </w:rPr>
              <w:t>Angina pectoris, arytmi, palpitationer, takykardi</w:t>
            </w:r>
          </w:p>
        </w:tc>
      </w:tr>
      <w:tr w:rsidR="00CB4A61" w:rsidRPr="00CB4A61" w14:paraId="0C868ED7" w14:textId="77777777" w:rsidTr="00CB4A61">
        <w:tc>
          <w:tcPr>
            <w:tcW w:w="1831"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61E0956D" w14:textId="77777777" w:rsidR="00CB4A61" w:rsidRPr="00CB4A61" w:rsidRDefault="00CB4A61" w:rsidP="00CB4A61">
            <w:pPr>
              <w:tabs>
                <w:tab w:val="left" w:pos="851"/>
              </w:tabs>
              <w:ind w:left="851"/>
              <w:rPr>
                <w:sz w:val="24"/>
                <w:szCs w:val="24"/>
              </w:rPr>
            </w:pPr>
            <w:r w:rsidRPr="00CB4A61">
              <w:rPr>
                <w:sz w:val="24"/>
                <w:szCs w:val="24"/>
              </w:rPr>
              <w:t>Det endokrine system</w:t>
            </w:r>
          </w:p>
        </w:tc>
        <w:tc>
          <w:tcPr>
            <w:tcW w:w="1183"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7FD154A1" w14:textId="77777777" w:rsidR="00CB4A61" w:rsidRPr="00CB4A61" w:rsidRDefault="00CB4A61" w:rsidP="00CB4A61">
            <w:pPr>
              <w:tabs>
                <w:tab w:val="left" w:pos="851"/>
              </w:tabs>
              <w:ind w:left="851"/>
              <w:rPr>
                <w:sz w:val="24"/>
                <w:szCs w:val="24"/>
              </w:rPr>
            </w:pPr>
            <w:r w:rsidRPr="00CB4A61">
              <w:rPr>
                <w:sz w:val="24"/>
                <w:szCs w:val="24"/>
              </w:rPr>
              <w:t>Ikke kendt</w:t>
            </w:r>
          </w:p>
        </w:tc>
        <w:tc>
          <w:tcPr>
            <w:tcW w:w="1986"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1CA8A31F" w14:textId="77777777" w:rsidR="00CB4A61" w:rsidRPr="00CB4A61" w:rsidRDefault="00CB4A61" w:rsidP="00CB4A61">
            <w:pPr>
              <w:tabs>
                <w:tab w:val="left" w:pos="851"/>
              </w:tabs>
              <w:ind w:left="851"/>
              <w:rPr>
                <w:sz w:val="24"/>
                <w:szCs w:val="24"/>
              </w:rPr>
            </w:pPr>
            <w:r w:rsidRPr="00CB4A61">
              <w:rPr>
                <w:sz w:val="24"/>
                <w:szCs w:val="24"/>
              </w:rPr>
              <w:t>Hyperthyreose</w:t>
            </w:r>
          </w:p>
        </w:tc>
      </w:tr>
      <w:tr w:rsidR="00CB4A61" w:rsidRPr="00CB4A61" w14:paraId="3C9A9A92" w14:textId="77777777" w:rsidTr="00CB4A61">
        <w:tc>
          <w:tcPr>
            <w:tcW w:w="1831"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212298E3" w14:textId="77777777" w:rsidR="00CB4A61" w:rsidRPr="00CB4A61" w:rsidRDefault="00CB4A61" w:rsidP="00CB4A61">
            <w:pPr>
              <w:tabs>
                <w:tab w:val="left" w:pos="851"/>
              </w:tabs>
              <w:ind w:left="851"/>
              <w:rPr>
                <w:sz w:val="24"/>
                <w:szCs w:val="24"/>
              </w:rPr>
            </w:pPr>
            <w:r w:rsidRPr="00CB4A61">
              <w:rPr>
                <w:sz w:val="24"/>
                <w:szCs w:val="24"/>
              </w:rPr>
              <w:t>Mave-tarm-kanalen</w:t>
            </w:r>
          </w:p>
        </w:tc>
        <w:tc>
          <w:tcPr>
            <w:tcW w:w="1183"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474FFA95" w14:textId="77777777" w:rsidR="00CB4A61" w:rsidRPr="00CB4A61" w:rsidRDefault="00CB4A61" w:rsidP="00CB4A61">
            <w:pPr>
              <w:tabs>
                <w:tab w:val="left" w:pos="851"/>
              </w:tabs>
              <w:ind w:left="851"/>
              <w:rPr>
                <w:sz w:val="24"/>
                <w:szCs w:val="24"/>
              </w:rPr>
            </w:pPr>
            <w:r w:rsidRPr="00CB4A61">
              <w:rPr>
                <w:sz w:val="24"/>
                <w:szCs w:val="24"/>
              </w:rPr>
              <w:t>Ikke kendt</w:t>
            </w:r>
          </w:p>
        </w:tc>
        <w:tc>
          <w:tcPr>
            <w:tcW w:w="1986"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624CEFDB" w14:textId="77777777" w:rsidR="00CB4A61" w:rsidRPr="00CB4A61" w:rsidRDefault="00CB4A61" w:rsidP="00CB4A61">
            <w:pPr>
              <w:tabs>
                <w:tab w:val="left" w:pos="851"/>
              </w:tabs>
              <w:ind w:left="851"/>
              <w:rPr>
                <w:sz w:val="24"/>
                <w:szCs w:val="24"/>
              </w:rPr>
            </w:pPr>
            <w:r w:rsidRPr="00CB4A61">
              <w:rPr>
                <w:sz w:val="24"/>
                <w:szCs w:val="24"/>
              </w:rPr>
              <w:t>Diarré, opkastning</w:t>
            </w:r>
          </w:p>
        </w:tc>
      </w:tr>
      <w:tr w:rsidR="00CB4A61" w:rsidRPr="00CB4A61" w14:paraId="0F4CDCB8" w14:textId="77777777" w:rsidTr="00CB4A61">
        <w:tc>
          <w:tcPr>
            <w:tcW w:w="1831"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1228B01A" w14:textId="77777777" w:rsidR="00CB4A61" w:rsidRPr="00CB4A61" w:rsidRDefault="00CB4A61" w:rsidP="00CB4A61">
            <w:pPr>
              <w:tabs>
                <w:tab w:val="left" w:pos="851"/>
              </w:tabs>
              <w:ind w:left="851"/>
              <w:rPr>
                <w:sz w:val="24"/>
                <w:szCs w:val="24"/>
              </w:rPr>
            </w:pPr>
            <w:r w:rsidRPr="00CB4A61">
              <w:rPr>
                <w:sz w:val="24"/>
                <w:szCs w:val="24"/>
              </w:rPr>
              <w:t>Almene symptomer og reaktioner på administrationsstedet</w:t>
            </w:r>
          </w:p>
        </w:tc>
        <w:tc>
          <w:tcPr>
            <w:tcW w:w="1183"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3DF89FD9" w14:textId="77777777" w:rsidR="00CB4A61" w:rsidRPr="00CB4A61" w:rsidRDefault="00CB4A61" w:rsidP="00CB4A61">
            <w:pPr>
              <w:tabs>
                <w:tab w:val="left" w:pos="851"/>
              </w:tabs>
              <w:ind w:left="851"/>
              <w:rPr>
                <w:sz w:val="24"/>
                <w:szCs w:val="24"/>
              </w:rPr>
            </w:pPr>
            <w:r w:rsidRPr="00CB4A61">
              <w:rPr>
                <w:sz w:val="24"/>
                <w:szCs w:val="24"/>
              </w:rPr>
              <w:t>Ikke kendt</w:t>
            </w:r>
          </w:p>
        </w:tc>
        <w:tc>
          <w:tcPr>
            <w:tcW w:w="1986"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06192FD6" w14:textId="77777777" w:rsidR="00CB4A61" w:rsidRPr="00CB4A61" w:rsidRDefault="00CB4A61" w:rsidP="00CB4A61">
            <w:pPr>
              <w:tabs>
                <w:tab w:val="left" w:pos="851"/>
              </w:tabs>
              <w:ind w:left="851"/>
              <w:rPr>
                <w:sz w:val="24"/>
                <w:szCs w:val="24"/>
              </w:rPr>
            </w:pPr>
            <w:r w:rsidRPr="00CB4A61">
              <w:rPr>
                <w:sz w:val="24"/>
                <w:szCs w:val="24"/>
              </w:rPr>
              <w:t>Pyreksi, varmeintolerans</w:t>
            </w:r>
          </w:p>
        </w:tc>
      </w:tr>
      <w:tr w:rsidR="00CB4A61" w:rsidRPr="00CB4A61" w14:paraId="79C1D68E" w14:textId="77777777" w:rsidTr="00CB4A61">
        <w:tc>
          <w:tcPr>
            <w:tcW w:w="1831"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12BC2642" w14:textId="77777777" w:rsidR="00CB4A61" w:rsidRPr="00CB4A61" w:rsidRDefault="00CB4A61" w:rsidP="00CB4A61">
            <w:pPr>
              <w:tabs>
                <w:tab w:val="left" w:pos="851"/>
              </w:tabs>
              <w:ind w:left="851"/>
              <w:rPr>
                <w:sz w:val="24"/>
                <w:szCs w:val="24"/>
              </w:rPr>
            </w:pPr>
            <w:r w:rsidRPr="00CB4A61">
              <w:rPr>
                <w:sz w:val="24"/>
                <w:szCs w:val="24"/>
              </w:rPr>
              <w:t>Immunsystemet</w:t>
            </w:r>
          </w:p>
        </w:tc>
        <w:tc>
          <w:tcPr>
            <w:tcW w:w="1183"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57147A48" w14:textId="77777777" w:rsidR="00CB4A61" w:rsidRPr="00CB4A61" w:rsidRDefault="00CB4A61" w:rsidP="00CB4A61">
            <w:pPr>
              <w:tabs>
                <w:tab w:val="left" w:pos="851"/>
              </w:tabs>
              <w:ind w:left="851"/>
              <w:rPr>
                <w:sz w:val="24"/>
                <w:szCs w:val="24"/>
              </w:rPr>
            </w:pPr>
            <w:r w:rsidRPr="00CB4A61">
              <w:rPr>
                <w:sz w:val="24"/>
                <w:szCs w:val="24"/>
              </w:rPr>
              <w:t>Ikke kendt</w:t>
            </w:r>
          </w:p>
        </w:tc>
        <w:tc>
          <w:tcPr>
            <w:tcW w:w="1986"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47A400DC" w14:textId="77777777" w:rsidR="00CB4A61" w:rsidRPr="00CB4A61" w:rsidRDefault="00CB4A61" w:rsidP="00CB4A61">
            <w:pPr>
              <w:tabs>
                <w:tab w:val="left" w:pos="851"/>
              </w:tabs>
              <w:ind w:left="851"/>
              <w:rPr>
                <w:sz w:val="24"/>
                <w:szCs w:val="24"/>
              </w:rPr>
            </w:pPr>
            <w:r w:rsidRPr="00CB4A61">
              <w:rPr>
                <w:sz w:val="24"/>
                <w:szCs w:val="24"/>
              </w:rPr>
              <w:t xml:space="preserve">Overfølsomhed, udslæt, pruritus, ødem </w:t>
            </w:r>
          </w:p>
        </w:tc>
      </w:tr>
      <w:tr w:rsidR="00CB4A61" w:rsidRPr="00CB4A61" w14:paraId="6998AF4B" w14:textId="77777777" w:rsidTr="00CB4A61">
        <w:tc>
          <w:tcPr>
            <w:tcW w:w="1831"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1C50EF3D" w14:textId="77777777" w:rsidR="00CB4A61" w:rsidRPr="00CB4A61" w:rsidRDefault="00CB4A61" w:rsidP="00CB4A61">
            <w:pPr>
              <w:tabs>
                <w:tab w:val="left" w:pos="851"/>
              </w:tabs>
              <w:ind w:left="851"/>
              <w:rPr>
                <w:sz w:val="24"/>
                <w:szCs w:val="24"/>
              </w:rPr>
            </w:pPr>
            <w:r w:rsidRPr="00CB4A61">
              <w:rPr>
                <w:sz w:val="24"/>
                <w:szCs w:val="24"/>
              </w:rPr>
              <w:t xml:space="preserve">Undersøgelser </w:t>
            </w:r>
          </w:p>
        </w:tc>
        <w:tc>
          <w:tcPr>
            <w:tcW w:w="1183"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67F6AF21" w14:textId="77777777" w:rsidR="00CB4A61" w:rsidRPr="00CB4A61" w:rsidRDefault="00CB4A61" w:rsidP="00CB4A61">
            <w:pPr>
              <w:tabs>
                <w:tab w:val="left" w:pos="851"/>
              </w:tabs>
              <w:ind w:left="851"/>
              <w:rPr>
                <w:sz w:val="24"/>
                <w:szCs w:val="24"/>
              </w:rPr>
            </w:pPr>
            <w:r w:rsidRPr="00CB4A61">
              <w:rPr>
                <w:sz w:val="24"/>
                <w:szCs w:val="24"/>
              </w:rPr>
              <w:t>Ikke kendt</w:t>
            </w:r>
          </w:p>
        </w:tc>
        <w:tc>
          <w:tcPr>
            <w:tcW w:w="1986"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7DA97920" w14:textId="77777777" w:rsidR="00CB4A61" w:rsidRPr="00CB4A61" w:rsidRDefault="00CB4A61" w:rsidP="00CB4A61">
            <w:pPr>
              <w:tabs>
                <w:tab w:val="left" w:pos="851"/>
              </w:tabs>
              <w:ind w:left="851"/>
              <w:rPr>
                <w:sz w:val="24"/>
                <w:szCs w:val="24"/>
              </w:rPr>
            </w:pPr>
            <w:r w:rsidRPr="00CB4A61">
              <w:rPr>
                <w:sz w:val="24"/>
                <w:szCs w:val="24"/>
              </w:rPr>
              <w:t>Vægttab</w:t>
            </w:r>
          </w:p>
        </w:tc>
      </w:tr>
      <w:tr w:rsidR="00CB4A61" w:rsidRPr="00CB4A61" w14:paraId="24667BA3" w14:textId="77777777" w:rsidTr="00CB4A61">
        <w:tc>
          <w:tcPr>
            <w:tcW w:w="1831"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2189B507" w14:textId="77777777" w:rsidR="00CB4A61" w:rsidRPr="00CB4A61" w:rsidRDefault="00CB4A61" w:rsidP="00CB4A61">
            <w:pPr>
              <w:tabs>
                <w:tab w:val="left" w:pos="851"/>
              </w:tabs>
              <w:ind w:left="851"/>
              <w:rPr>
                <w:sz w:val="24"/>
                <w:szCs w:val="24"/>
              </w:rPr>
            </w:pPr>
            <w:r w:rsidRPr="00CB4A61">
              <w:rPr>
                <w:sz w:val="24"/>
                <w:szCs w:val="24"/>
              </w:rPr>
              <w:t>Knogler, led, muskler og bindevæv</w:t>
            </w:r>
          </w:p>
        </w:tc>
        <w:tc>
          <w:tcPr>
            <w:tcW w:w="1183"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3AF28CC8" w14:textId="77777777" w:rsidR="00CB4A61" w:rsidRPr="00CB4A61" w:rsidRDefault="00CB4A61" w:rsidP="00CB4A61">
            <w:pPr>
              <w:tabs>
                <w:tab w:val="left" w:pos="851"/>
              </w:tabs>
              <w:ind w:left="851"/>
              <w:rPr>
                <w:sz w:val="24"/>
                <w:szCs w:val="24"/>
              </w:rPr>
            </w:pPr>
            <w:r w:rsidRPr="00CB4A61">
              <w:rPr>
                <w:sz w:val="24"/>
                <w:szCs w:val="24"/>
              </w:rPr>
              <w:t>Ikke kendt</w:t>
            </w:r>
          </w:p>
        </w:tc>
        <w:tc>
          <w:tcPr>
            <w:tcW w:w="1986"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060FBA30" w14:textId="77777777" w:rsidR="00CB4A61" w:rsidRPr="00CB4A61" w:rsidRDefault="00CB4A61" w:rsidP="00CB4A61">
            <w:pPr>
              <w:tabs>
                <w:tab w:val="left" w:pos="851"/>
              </w:tabs>
              <w:ind w:left="851"/>
              <w:rPr>
                <w:sz w:val="24"/>
                <w:szCs w:val="24"/>
              </w:rPr>
            </w:pPr>
            <w:r w:rsidRPr="00CB4A61">
              <w:rPr>
                <w:sz w:val="24"/>
                <w:szCs w:val="24"/>
              </w:rPr>
              <w:t>Muskelspasmer, muskelsvaghed</w:t>
            </w:r>
          </w:p>
        </w:tc>
      </w:tr>
      <w:tr w:rsidR="00CB4A61" w:rsidRPr="00CB4A61" w14:paraId="75A88A0E" w14:textId="77777777" w:rsidTr="00CB4A61">
        <w:tc>
          <w:tcPr>
            <w:tcW w:w="1831"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0AA1D889" w14:textId="77777777" w:rsidR="00CB4A61" w:rsidRPr="00CB4A61" w:rsidRDefault="00CB4A61" w:rsidP="00CB4A61">
            <w:pPr>
              <w:tabs>
                <w:tab w:val="left" w:pos="851"/>
              </w:tabs>
              <w:ind w:left="851"/>
              <w:rPr>
                <w:sz w:val="24"/>
                <w:szCs w:val="24"/>
              </w:rPr>
            </w:pPr>
            <w:r w:rsidRPr="00CB4A61">
              <w:rPr>
                <w:sz w:val="24"/>
                <w:szCs w:val="24"/>
              </w:rPr>
              <w:t>Nervesystemet</w:t>
            </w:r>
          </w:p>
        </w:tc>
        <w:tc>
          <w:tcPr>
            <w:tcW w:w="1183"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7DFCBBB5" w14:textId="77777777" w:rsidR="00CB4A61" w:rsidRPr="00CB4A61" w:rsidRDefault="00CB4A61" w:rsidP="00CB4A61">
            <w:pPr>
              <w:tabs>
                <w:tab w:val="left" w:pos="851"/>
              </w:tabs>
              <w:ind w:left="851"/>
              <w:rPr>
                <w:sz w:val="24"/>
                <w:szCs w:val="24"/>
              </w:rPr>
            </w:pPr>
            <w:r w:rsidRPr="00CB4A61">
              <w:rPr>
                <w:sz w:val="24"/>
                <w:szCs w:val="24"/>
              </w:rPr>
              <w:t>Ikke kendt</w:t>
            </w:r>
          </w:p>
        </w:tc>
        <w:tc>
          <w:tcPr>
            <w:tcW w:w="1986"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63BA1AF1" w14:textId="77777777" w:rsidR="00CB4A61" w:rsidRPr="00CB4A61" w:rsidRDefault="00CB4A61" w:rsidP="00CB4A61">
            <w:pPr>
              <w:tabs>
                <w:tab w:val="left" w:pos="851"/>
              </w:tabs>
              <w:ind w:left="851"/>
              <w:rPr>
                <w:sz w:val="24"/>
                <w:szCs w:val="24"/>
              </w:rPr>
            </w:pPr>
            <w:r w:rsidRPr="00CB4A61">
              <w:rPr>
                <w:sz w:val="24"/>
                <w:szCs w:val="24"/>
              </w:rPr>
              <w:t>Hovedpine, tremor, hyperkinesi</w:t>
            </w:r>
          </w:p>
        </w:tc>
      </w:tr>
      <w:tr w:rsidR="00CB4A61" w:rsidRPr="00CB4A61" w14:paraId="56353627" w14:textId="77777777" w:rsidTr="00CB4A61">
        <w:tc>
          <w:tcPr>
            <w:tcW w:w="1831"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5DC53A9D" w14:textId="77777777" w:rsidR="00CB4A61" w:rsidRPr="00CB4A61" w:rsidRDefault="00CB4A61" w:rsidP="00CB4A61">
            <w:pPr>
              <w:tabs>
                <w:tab w:val="left" w:pos="851"/>
              </w:tabs>
              <w:ind w:left="851"/>
              <w:rPr>
                <w:sz w:val="24"/>
                <w:szCs w:val="24"/>
              </w:rPr>
            </w:pPr>
            <w:r w:rsidRPr="00CB4A61">
              <w:rPr>
                <w:sz w:val="24"/>
                <w:szCs w:val="24"/>
              </w:rPr>
              <w:t>Psykiske forstyrrelser</w:t>
            </w:r>
          </w:p>
        </w:tc>
        <w:tc>
          <w:tcPr>
            <w:tcW w:w="1183"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726678DE" w14:textId="77777777" w:rsidR="00CB4A61" w:rsidRPr="00CB4A61" w:rsidRDefault="00CB4A61" w:rsidP="00CB4A61">
            <w:pPr>
              <w:tabs>
                <w:tab w:val="left" w:pos="851"/>
              </w:tabs>
              <w:ind w:left="851"/>
              <w:rPr>
                <w:sz w:val="24"/>
                <w:szCs w:val="24"/>
              </w:rPr>
            </w:pPr>
            <w:r w:rsidRPr="00CB4A61">
              <w:rPr>
                <w:sz w:val="24"/>
                <w:szCs w:val="24"/>
              </w:rPr>
              <w:t>Ikke kendt</w:t>
            </w:r>
          </w:p>
        </w:tc>
        <w:tc>
          <w:tcPr>
            <w:tcW w:w="1986"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6037C2B3" w14:textId="77777777" w:rsidR="00CB4A61" w:rsidRPr="00CB4A61" w:rsidRDefault="00CB4A61" w:rsidP="00CB4A61">
            <w:pPr>
              <w:tabs>
                <w:tab w:val="left" w:pos="851"/>
              </w:tabs>
              <w:ind w:left="851"/>
              <w:rPr>
                <w:sz w:val="24"/>
                <w:szCs w:val="24"/>
              </w:rPr>
            </w:pPr>
            <w:r w:rsidRPr="00CB4A61">
              <w:rPr>
                <w:sz w:val="24"/>
                <w:szCs w:val="24"/>
              </w:rPr>
              <w:t>Rastløshed, søvnløshed, nervøsitet, angst, agitation</w:t>
            </w:r>
          </w:p>
        </w:tc>
      </w:tr>
      <w:tr w:rsidR="00CB4A61" w:rsidRPr="00CB4A61" w14:paraId="4747FB37" w14:textId="77777777" w:rsidTr="00CB4A61">
        <w:tc>
          <w:tcPr>
            <w:tcW w:w="1831"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526B49F0" w14:textId="77777777" w:rsidR="00CB4A61" w:rsidRPr="00CB4A61" w:rsidRDefault="00CB4A61" w:rsidP="00CB4A61">
            <w:pPr>
              <w:tabs>
                <w:tab w:val="left" w:pos="851"/>
              </w:tabs>
              <w:ind w:left="851"/>
              <w:rPr>
                <w:sz w:val="24"/>
                <w:szCs w:val="24"/>
              </w:rPr>
            </w:pPr>
            <w:r w:rsidRPr="00CB4A61">
              <w:rPr>
                <w:sz w:val="24"/>
                <w:szCs w:val="24"/>
              </w:rPr>
              <w:t>Hud og subkutane væv</w:t>
            </w:r>
          </w:p>
        </w:tc>
        <w:tc>
          <w:tcPr>
            <w:tcW w:w="1183"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790058DF" w14:textId="77777777" w:rsidR="00CB4A61" w:rsidRPr="00CB4A61" w:rsidRDefault="00CB4A61" w:rsidP="00CB4A61">
            <w:pPr>
              <w:tabs>
                <w:tab w:val="left" w:pos="851"/>
              </w:tabs>
              <w:ind w:left="851"/>
              <w:rPr>
                <w:sz w:val="24"/>
                <w:szCs w:val="24"/>
              </w:rPr>
            </w:pPr>
            <w:r w:rsidRPr="00CB4A61">
              <w:rPr>
                <w:sz w:val="24"/>
                <w:szCs w:val="24"/>
              </w:rPr>
              <w:t>Ikke kendt</w:t>
            </w:r>
          </w:p>
        </w:tc>
        <w:tc>
          <w:tcPr>
            <w:tcW w:w="1986"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1D5E574E" w14:textId="77777777" w:rsidR="00CB4A61" w:rsidRPr="00CB4A61" w:rsidRDefault="00CB4A61" w:rsidP="00CB4A61">
            <w:pPr>
              <w:tabs>
                <w:tab w:val="left" w:pos="851"/>
              </w:tabs>
              <w:ind w:left="851"/>
              <w:rPr>
                <w:sz w:val="24"/>
                <w:szCs w:val="24"/>
              </w:rPr>
            </w:pPr>
            <w:r w:rsidRPr="00CB4A61">
              <w:rPr>
                <w:sz w:val="24"/>
                <w:szCs w:val="24"/>
              </w:rPr>
              <w:t>Hyperhidrose</w:t>
            </w:r>
          </w:p>
        </w:tc>
      </w:tr>
      <w:tr w:rsidR="00CB4A61" w:rsidRPr="00CB4A61" w14:paraId="4D78A4CC" w14:textId="77777777" w:rsidTr="00CB4A61">
        <w:tc>
          <w:tcPr>
            <w:tcW w:w="1831"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2F7D4971" w14:textId="77777777" w:rsidR="00CB4A61" w:rsidRPr="00CB4A61" w:rsidRDefault="00CB4A61" w:rsidP="00CB4A61">
            <w:pPr>
              <w:tabs>
                <w:tab w:val="left" w:pos="851"/>
              </w:tabs>
              <w:ind w:left="851"/>
              <w:rPr>
                <w:sz w:val="24"/>
                <w:szCs w:val="24"/>
              </w:rPr>
            </w:pPr>
            <w:r w:rsidRPr="00CB4A61">
              <w:rPr>
                <w:sz w:val="24"/>
                <w:szCs w:val="24"/>
              </w:rPr>
              <w:t>Vaskulære sygdomme</w:t>
            </w:r>
          </w:p>
        </w:tc>
        <w:tc>
          <w:tcPr>
            <w:tcW w:w="1183"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7477536E" w14:textId="77777777" w:rsidR="00CB4A61" w:rsidRPr="00CB4A61" w:rsidRDefault="00CB4A61" w:rsidP="00CB4A61">
            <w:pPr>
              <w:tabs>
                <w:tab w:val="left" w:pos="851"/>
              </w:tabs>
              <w:ind w:left="851"/>
              <w:rPr>
                <w:sz w:val="24"/>
                <w:szCs w:val="24"/>
              </w:rPr>
            </w:pPr>
            <w:r w:rsidRPr="00CB4A61">
              <w:rPr>
                <w:sz w:val="24"/>
                <w:szCs w:val="24"/>
              </w:rPr>
              <w:t>Ikke kendt</w:t>
            </w:r>
          </w:p>
        </w:tc>
        <w:tc>
          <w:tcPr>
            <w:tcW w:w="1986" w:type="pct"/>
            <w:tcBorders>
              <w:top w:val="outset" w:sz="6" w:space="0" w:color="606060"/>
              <w:left w:val="outset" w:sz="6" w:space="0" w:color="606060"/>
              <w:bottom w:val="outset" w:sz="6" w:space="0" w:color="606060"/>
              <w:right w:val="outset" w:sz="6" w:space="0" w:color="606060"/>
            </w:tcBorders>
            <w:tcMar>
              <w:top w:w="30" w:type="dxa"/>
              <w:left w:w="30" w:type="dxa"/>
              <w:bottom w:w="30" w:type="dxa"/>
              <w:right w:w="30" w:type="dxa"/>
            </w:tcMar>
            <w:hideMark/>
          </w:tcPr>
          <w:p w14:paraId="20C8ABEF" w14:textId="77777777" w:rsidR="00CB4A61" w:rsidRPr="00CB4A61" w:rsidRDefault="00CB4A61" w:rsidP="00CB4A61">
            <w:pPr>
              <w:tabs>
                <w:tab w:val="left" w:pos="851"/>
              </w:tabs>
              <w:ind w:left="851"/>
              <w:rPr>
                <w:sz w:val="24"/>
                <w:szCs w:val="24"/>
              </w:rPr>
            </w:pPr>
            <w:r w:rsidRPr="00CB4A61">
              <w:rPr>
                <w:sz w:val="24"/>
                <w:szCs w:val="24"/>
              </w:rPr>
              <w:t>Rødme</w:t>
            </w:r>
          </w:p>
        </w:tc>
      </w:tr>
    </w:tbl>
    <w:p w14:paraId="2857100F" w14:textId="77777777" w:rsidR="00CB4A61" w:rsidRPr="00CB4A61" w:rsidRDefault="00CB4A61" w:rsidP="00CB4A61">
      <w:pPr>
        <w:tabs>
          <w:tab w:val="left" w:pos="851"/>
        </w:tabs>
        <w:ind w:left="851"/>
        <w:rPr>
          <w:sz w:val="24"/>
          <w:szCs w:val="24"/>
          <w:lang w:val="en-GB"/>
        </w:rPr>
      </w:pPr>
    </w:p>
    <w:p w14:paraId="2F0FE325" w14:textId="77777777" w:rsidR="00CB4A61" w:rsidRPr="00CB4A61" w:rsidRDefault="00CB4A61" w:rsidP="00CB4A61">
      <w:pPr>
        <w:tabs>
          <w:tab w:val="left" w:pos="851"/>
        </w:tabs>
        <w:ind w:left="851"/>
        <w:rPr>
          <w:sz w:val="24"/>
          <w:szCs w:val="24"/>
          <w:u w:val="single"/>
        </w:rPr>
      </w:pPr>
      <w:r w:rsidRPr="00CB4A61">
        <w:rPr>
          <w:sz w:val="24"/>
          <w:szCs w:val="24"/>
          <w:u w:val="single"/>
        </w:rPr>
        <w:t>Indberetning af formodede bivirkninger</w:t>
      </w:r>
    </w:p>
    <w:p w14:paraId="0F89D82A" w14:textId="77777777" w:rsidR="00CB4A61" w:rsidRPr="00CB4A61" w:rsidRDefault="00CB4A61" w:rsidP="00CB4A61">
      <w:pPr>
        <w:tabs>
          <w:tab w:val="left" w:pos="851"/>
        </w:tabs>
        <w:ind w:left="851"/>
        <w:rPr>
          <w:sz w:val="24"/>
          <w:szCs w:val="24"/>
        </w:rPr>
      </w:pPr>
      <w:r w:rsidRPr="00CB4A61">
        <w:rPr>
          <w:sz w:val="24"/>
          <w:szCs w:val="24"/>
        </w:rPr>
        <w:t xml:space="preserve">Når lægemidlet er godkendt, er indberetning af formodede bivirkninger vigtig. Det muliggør løbende overvågning af benefit/risk-forholdet for lægemidlet. Sundhedspersoner anmodes om at indberette alle formodede bivirkninger via: </w:t>
      </w:r>
    </w:p>
    <w:p w14:paraId="36366EF1" w14:textId="77777777" w:rsidR="00CB4A61" w:rsidRPr="00CB4A61" w:rsidRDefault="00CB4A61" w:rsidP="00CB4A61">
      <w:pPr>
        <w:tabs>
          <w:tab w:val="left" w:pos="851"/>
        </w:tabs>
        <w:ind w:left="851"/>
        <w:rPr>
          <w:sz w:val="24"/>
          <w:szCs w:val="24"/>
        </w:rPr>
      </w:pPr>
    </w:p>
    <w:p w14:paraId="614AE96B" w14:textId="77777777" w:rsidR="00CB4A61" w:rsidRPr="00CB4A61" w:rsidRDefault="00CB4A61" w:rsidP="00CB4A61">
      <w:pPr>
        <w:tabs>
          <w:tab w:val="left" w:pos="851"/>
        </w:tabs>
        <w:ind w:left="851"/>
        <w:rPr>
          <w:sz w:val="24"/>
          <w:szCs w:val="24"/>
        </w:rPr>
      </w:pPr>
      <w:r w:rsidRPr="00CB4A61">
        <w:rPr>
          <w:sz w:val="24"/>
          <w:szCs w:val="24"/>
        </w:rPr>
        <w:t>Lægemiddelstyrelsen</w:t>
      </w:r>
    </w:p>
    <w:p w14:paraId="11E98DDB" w14:textId="77777777" w:rsidR="00CB4A61" w:rsidRPr="00CB4A61" w:rsidRDefault="00CB4A61" w:rsidP="00CB4A61">
      <w:pPr>
        <w:tabs>
          <w:tab w:val="left" w:pos="851"/>
        </w:tabs>
        <w:ind w:left="851"/>
        <w:rPr>
          <w:sz w:val="24"/>
          <w:szCs w:val="24"/>
        </w:rPr>
      </w:pPr>
      <w:r w:rsidRPr="00CB4A61">
        <w:rPr>
          <w:sz w:val="24"/>
          <w:szCs w:val="24"/>
        </w:rPr>
        <w:t>Axel Heides Gade 1</w:t>
      </w:r>
    </w:p>
    <w:p w14:paraId="47F3D82F" w14:textId="77777777" w:rsidR="00CB4A61" w:rsidRPr="00CB4A61" w:rsidRDefault="00CB4A61" w:rsidP="00CB4A61">
      <w:pPr>
        <w:tabs>
          <w:tab w:val="left" w:pos="851"/>
        </w:tabs>
        <w:ind w:left="851"/>
        <w:rPr>
          <w:sz w:val="24"/>
          <w:szCs w:val="24"/>
        </w:rPr>
      </w:pPr>
      <w:r w:rsidRPr="00CB4A61">
        <w:rPr>
          <w:sz w:val="24"/>
          <w:szCs w:val="24"/>
        </w:rPr>
        <w:t>DK-2300 København S</w:t>
      </w:r>
    </w:p>
    <w:p w14:paraId="70B963CE" w14:textId="79AF2303" w:rsidR="00CB4A61" w:rsidRPr="00CB4A61" w:rsidRDefault="00CB4A61" w:rsidP="00CB4A61">
      <w:pPr>
        <w:tabs>
          <w:tab w:val="left" w:pos="851"/>
        </w:tabs>
        <w:ind w:left="851"/>
        <w:rPr>
          <w:sz w:val="24"/>
          <w:szCs w:val="24"/>
        </w:rPr>
      </w:pPr>
      <w:r w:rsidRPr="00CB4A61">
        <w:rPr>
          <w:sz w:val="24"/>
          <w:szCs w:val="24"/>
        </w:rPr>
        <w:t>Websted: www.meldenbivirkning.dk</w:t>
      </w:r>
    </w:p>
    <w:p w14:paraId="359AA7FB" w14:textId="77777777" w:rsidR="009260DE" w:rsidRPr="00A10294" w:rsidRDefault="009260DE" w:rsidP="00A10294">
      <w:pPr>
        <w:tabs>
          <w:tab w:val="left" w:pos="851"/>
        </w:tabs>
        <w:ind w:left="851"/>
        <w:rPr>
          <w:sz w:val="24"/>
          <w:szCs w:val="24"/>
        </w:rPr>
      </w:pPr>
    </w:p>
    <w:p w14:paraId="092B0C86"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76384044" w14:textId="77777777" w:rsidR="00C874BF" w:rsidRPr="00C874BF" w:rsidRDefault="00C874BF" w:rsidP="00C874BF">
      <w:pPr>
        <w:tabs>
          <w:tab w:val="left" w:pos="851"/>
        </w:tabs>
        <w:ind w:left="851"/>
        <w:rPr>
          <w:sz w:val="24"/>
          <w:szCs w:val="24"/>
        </w:rPr>
      </w:pPr>
      <w:r w:rsidRPr="00C874BF">
        <w:rPr>
          <w:sz w:val="24"/>
          <w:szCs w:val="24"/>
        </w:rPr>
        <w:t>Hvis patienten tilses inden for få timer efter overdoseringen, kan ventrikelskylning eller induktion af opkastning overvejes.</w:t>
      </w:r>
    </w:p>
    <w:p w14:paraId="67066D15" w14:textId="77777777" w:rsidR="00C874BF" w:rsidRPr="00C874BF" w:rsidRDefault="00C874BF" w:rsidP="00C874BF">
      <w:pPr>
        <w:tabs>
          <w:tab w:val="left" w:pos="851"/>
        </w:tabs>
        <w:ind w:left="851"/>
        <w:rPr>
          <w:sz w:val="24"/>
          <w:szCs w:val="24"/>
        </w:rPr>
      </w:pPr>
    </w:p>
    <w:p w14:paraId="7C93AC8C" w14:textId="77777777" w:rsidR="00C874BF" w:rsidRPr="00C874BF" w:rsidRDefault="00C874BF" w:rsidP="00C874BF">
      <w:pPr>
        <w:tabs>
          <w:tab w:val="left" w:pos="851"/>
        </w:tabs>
        <w:ind w:left="851"/>
        <w:rPr>
          <w:sz w:val="24"/>
          <w:szCs w:val="24"/>
        </w:rPr>
      </w:pPr>
      <w:bookmarkStart w:id="5" w:name="There_may_be_exaggeration_of_the_side_ef"/>
      <w:bookmarkEnd w:id="5"/>
      <w:r w:rsidRPr="00C874BF">
        <w:rPr>
          <w:sz w:val="24"/>
          <w:szCs w:val="24"/>
        </w:rPr>
        <w:t>Der kan forekomme en forværring af bivirkningerne samt agitation, konfusion, irritabilitet, hyperaktivitet, hovedpine, svedtendens, mydriasis, takykardi, arytmier, takypnø, pyreksi, øget afføringshyppighed og kramper.</w:t>
      </w:r>
    </w:p>
    <w:p w14:paraId="484F629B" w14:textId="77777777" w:rsidR="00C874BF" w:rsidRPr="00C874BF" w:rsidRDefault="00C874BF" w:rsidP="00C874BF">
      <w:pPr>
        <w:tabs>
          <w:tab w:val="left" w:pos="851"/>
        </w:tabs>
        <w:ind w:left="851"/>
        <w:rPr>
          <w:sz w:val="24"/>
          <w:szCs w:val="24"/>
        </w:rPr>
      </w:pPr>
    </w:p>
    <w:p w14:paraId="2886B5F1" w14:textId="77777777" w:rsidR="00C874BF" w:rsidRPr="00C874BF" w:rsidRDefault="00C874BF" w:rsidP="00C874BF">
      <w:pPr>
        <w:tabs>
          <w:tab w:val="left" w:pos="851"/>
        </w:tabs>
        <w:ind w:left="851"/>
        <w:rPr>
          <w:sz w:val="24"/>
          <w:szCs w:val="24"/>
        </w:rPr>
      </w:pPr>
      <w:r w:rsidRPr="00C874BF">
        <w:rPr>
          <w:sz w:val="24"/>
          <w:szCs w:val="24"/>
        </w:rPr>
        <w:t>Behandlingen er symptomatisk. Hos voksne kan takykardi behandles med 40 mg propranolol hver 6. time.</w:t>
      </w:r>
    </w:p>
    <w:p w14:paraId="4059FAF7" w14:textId="77777777" w:rsidR="009260DE" w:rsidRPr="00C84483" w:rsidRDefault="009260DE" w:rsidP="009260DE">
      <w:pPr>
        <w:tabs>
          <w:tab w:val="left" w:pos="851"/>
        </w:tabs>
        <w:ind w:left="851"/>
        <w:rPr>
          <w:sz w:val="24"/>
          <w:szCs w:val="24"/>
        </w:rPr>
      </w:pPr>
    </w:p>
    <w:p w14:paraId="56FDAB86" w14:textId="77777777" w:rsidR="009260DE" w:rsidRPr="00C84483" w:rsidRDefault="009260DE" w:rsidP="009260DE">
      <w:pPr>
        <w:tabs>
          <w:tab w:val="left" w:pos="851"/>
        </w:tabs>
        <w:ind w:left="851" w:hanging="851"/>
        <w:rPr>
          <w:b/>
          <w:sz w:val="24"/>
          <w:szCs w:val="24"/>
        </w:rPr>
      </w:pPr>
      <w:r w:rsidRPr="00C84483">
        <w:rPr>
          <w:b/>
          <w:sz w:val="24"/>
          <w:szCs w:val="24"/>
        </w:rPr>
        <w:lastRenderedPageBreak/>
        <w:t>4.10</w:t>
      </w:r>
      <w:r w:rsidRPr="00C84483">
        <w:rPr>
          <w:b/>
          <w:sz w:val="24"/>
          <w:szCs w:val="24"/>
        </w:rPr>
        <w:tab/>
        <w:t>Udlevering</w:t>
      </w:r>
    </w:p>
    <w:p w14:paraId="5CAA0CB1" w14:textId="655A217D" w:rsidR="009260DE" w:rsidRPr="00C84483" w:rsidRDefault="00C874BF" w:rsidP="009260DE">
      <w:pPr>
        <w:tabs>
          <w:tab w:val="left" w:pos="851"/>
        </w:tabs>
        <w:ind w:left="851"/>
        <w:rPr>
          <w:sz w:val="24"/>
          <w:szCs w:val="24"/>
        </w:rPr>
      </w:pPr>
      <w:r>
        <w:rPr>
          <w:sz w:val="24"/>
          <w:szCs w:val="24"/>
        </w:rPr>
        <w:t>B</w:t>
      </w:r>
    </w:p>
    <w:p w14:paraId="02B5DA6A" w14:textId="77777777" w:rsidR="009260DE" w:rsidRPr="00C84483" w:rsidRDefault="009260DE" w:rsidP="009260DE">
      <w:pPr>
        <w:tabs>
          <w:tab w:val="left" w:pos="851"/>
        </w:tabs>
        <w:ind w:left="851"/>
        <w:rPr>
          <w:sz w:val="24"/>
          <w:szCs w:val="24"/>
        </w:rPr>
      </w:pPr>
    </w:p>
    <w:p w14:paraId="1588CE81" w14:textId="77777777" w:rsidR="009260DE" w:rsidRPr="00C84483" w:rsidRDefault="009260DE" w:rsidP="009260DE">
      <w:pPr>
        <w:tabs>
          <w:tab w:val="left" w:pos="851"/>
        </w:tabs>
        <w:ind w:left="851"/>
        <w:rPr>
          <w:sz w:val="24"/>
          <w:szCs w:val="24"/>
        </w:rPr>
      </w:pPr>
    </w:p>
    <w:p w14:paraId="3C66F4F8"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54D0B139" w14:textId="77777777" w:rsidR="009260DE" w:rsidRPr="00C84483" w:rsidRDefault="009260DE" w:rsidP="009260DE">
      <w:pPr>
        <w:tabs>
          <w:tab w:val="left" w:pos="851"/>
        </w:tabs>
        <w:ind w:left="851"/>
        <w:rPr>
          <w:sz w:val="24"/>
          <w:szCs w:val="24"/>
        </w:rPr>
      </w:pPr>
    </w:p>
    <w:p w14:paraId="652BBD75"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58E975E7" w14:textId="1626FAE1" w:rsidR="00C874BF" w:rsidRPr="00C874BF" w:rsidRDefault="00C874BF" w:rsidP="00C874BF">
      <w:pPr>
        <w:tabs>
          <w:tab w:val="left" w:pos="851"/>
        </w:tabs>
        <w:ind w:left="851"/>
        <w:rPr>
          <w:sz w:val="24"/>
          <w:szCs w:val="24"/>
        </w:rPr>
      </w:pPr>
      <w:r w:rsidRPr="00C874BF">
        <w:rPr>
          <w:sz w:val="24"/>
          <w:szCs w:val="24"/>
        </w:rPr>
        <w:t>Farmakoterapeutisk klassifikation: Thyreoideahormoner</w:t>
      </w:r>
      <w:r>
        <w:rPr>
          <w:sz w:val="24"/>
          <w:szCs w:val="24"/>
        </w:rPr>
        <w:t xml:space="preserve">, </w:t>
      </w:r>
      <w:r w:rsidRPr="00C874BF">
        <w:rPr>
          <w:sz w:val="24"/>
          <w:szCs w:val="24"/>
        </w:rPr>
        <w:t>liothyronin</w:t>
      </w:r>
      <w:r>
        <w:rPr>
          <w:sz w:val="24"/>
          <w:szCs w:val="24"/>
        </w:rPr>
        <w:t xml:space="preserve">, </w:t>
      </w:r>
      <w:r w:rsidRPr="00C874BF">
        <w:rPr>
          <w:sz w:val="24"/>
          <w:szCs w:val="24"/>
        </w:rPr>
        <w:t xml:space="preserve"> ATC</w:t>
      </w:r>
      <w:r w:rsidRPr="00C874BF">
        <w:rPr>
          <w:sz w:val="24"/>
          <w:szCs w:val="24"/>
        </w:rPr>
        <w:noBreakHyphen/>
        <w:t>kode: H03AA02.</w:t>
      </w:r>
    </w:p>
    <w:p w14:paraId="0F5CFC22" w14:textId="77777777" w:rsidR="00C874BF" w:rsidRPr="00C874BF" w:rsidRDefault="00C874BF" w:rsidP="00C874BF">
      <w:pPr>
        <w:tabs>
          <w:tab w:val="left" w:pos="851"/>
        </w:tabs>
        <w:ind w:left="851"/>
        <w:rPr>
          <w:sz w:val="24"/>
          <w:szCs w:val="24"/>
        </w:rPr>
      </w:pPr>
    </w:p>
    <w:p w14:paraId="7D415653" w14:textId="77777777" w:rsidR="00C874BF" w:rsidRPr="00C874BF" w:rsidRDefault="00C874BF" w:rsidP="00C874BF">
      <w:pPr>
        <w:tabs>
          <w:tab w:val="left" w:pos="851"/>
        </w:tabs>
        <w:ind w:left="851"/>
        <w:rPr>
          <w:sz w:val="24"/>
          <w:szCs w:val="24"/>
        </w:rPr>
      </w:pPr>
      <w:r w:rsidRPr="00C874BF">
        <w:rPr>
          <w:sz w:val="24"/>
          <w:szCs w:val="24"/>
        </w:rPr>
        <w:t>Liopent (liothyroninnatrium) er et naturligt forekommende thyroideahormon. Den biologiske virkning af Liopent svarer kvantitativt til virkningen af thyroxin, men indtræder inden for få timer og ophører inden for 24</w:t>
      </w:r>
      <w:r w:rsidRPr="00C874BF">
        <w:rPr>
          <w:sz w:val="24"/>
          <w:szCs w:val="24"/>
        </w:rPr>
        <w:noBreakHyphen/>
        <w:t>48 timer efter seponering af behandlingen.</w:t>
      </w:r>
    </w:p>
    <w:p w14:paraId="38671469" w14:textId="77777777" w:rsidR="009260DE" w:rsidRPr="00C84483" w:rsidRDefault="009260DE" w:rsidP="009260DE">
      <w:pPr>
        <w:tabs>
          <w:tab w:val="left" w:pos="851"/>
        </w:tabs>
        <w:ind w:left="851"/>
        <w:rPr>
          <w:sz w:val="24"/>
          <w:szCs w:val="24"/>
        </w:rPr>
      </w:pPr>
    </w:p>
    <w:p w14:paraId="6586E393"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1DF9FF3A" w14:textId="77777777" w:rsidR="00947571" w:rsidRPr="00947571" w:rsidRDefault="00947571" w:rsidP="00947571">
      <w:pPr>
        <w:tabs>
          <w:tab w:val="left" w:pos="851"/>
        </w:tabs>
        <w:ind w:left="851"/>
        <w:rPr>
          <w:sz w:val="24"/>
          <w:szCs w:val="24"/>
        </w:rPr>
      </w:pPr>
      <w:r w:rsidRPr="00947571">
        <w:rPr>
          <w:sz w:val="24"/>
          <w:szCs w:val="24"/>
        </w:rPr>
        <w:t>Liothyroninnatrium absorberes næsten fuldstændigt fra mave-tarm-kanalen. Det bindes i mindre grad til plasmaproteiner end thyroxin. Ca. 0,5 % findes i ubundet form.</w:t>
      </w:r>
    </w:p>
    <w:p w14:paraId="1AC11CD4" w14:textId="77777777" w:rsidR="00947571" w:rsidRPr="00947571" w:rsidRDefault="00947571" w:rsidP="00947571">
      <w:pPr>
        <w:tabs>
          <w:tab w:val="left" w:pos="851"/>
        </w:tabs>
        <w:ind w:left="851"/>
        <w:rPr>
          <w:sz w:val="24"/>
          <w:szCs w:val="24"/>
        </w:rPr>
      </w:pPr>
    </w:p>
    <w:p w14:paraId="7D7BB2CD" w14:textId="77777777" w:rsidR="00947571" w:rsidRPr="00947571" w:rsidRDefault="00947571" w:rsidP="00947571">
      <w:pPr>
        <w:tabs>
          <w:tab w:val="left" w:pos="851"/>
        </w:tabs>
        <w:ind w:left="851"/>
        <w:rPr>
          <w:sz w:val="24"/>
          <w:szCs w:val="24"/>
        </w:rPr>
      </w:pPr>
      <w:r w:rsidRPr="00947571">
        <w:rPr>
          <w:sz w:val="24"/>
          <w:szCs w:val="24"/>
        </w:rPr>
        <w:t>Halveringstiden for liothyronin ved euthyreose er 1</w:t>
      </w:r>
      <w:r w:rsidRPr="00947571">
        <w:rPr>
          <w:sz w:val="24"/>
          <w:szCs w:val="24"/>
        </w:rPr>
        <w:noBreakHyphen/>
        <w:t>2 dage. Thyroideahormoner passerer kun i begrænset omfang placenta. Minimale mængder udskilles i modermælken.</w:t>
      </w:r>
    </w:p>
    <w:p w14:paraId="0D874EBF" w14:textId="77777777" w:rsidR="00947571" w:rsidRPr="00947571" w:rsidRDefault="00947571" w:rsidP="00947571">
      <w:pPr>
        <w:tabs>
          <w:tab w:val="left" w:pos="851"/>
        </w:tabs>
        <w:ind w:left="851"/>
        <w:rPr>
          <w:sz w:val="24"/>
          <w:szCs w:val="24"/>
        </w:rPr>
      </w:pPr>
    </w:p>
    <w:p w14:paraId="4CF8777A"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7A0D9058" w14:textId="77777777" w:rsidR="00947571" w:rsidRPr="00947571" w:rsidRDefault="00947571" w:rsidP="00947571">
      <w:pPr>
        <w:tabs>
          <w:tab w:val="left" w:pos="851"/>
        </w:tabs>
        <w:ind w:left="851"/>
        <w:rPr>
          <w:sz w:val="24"/>
          <w:szCs w:val="24"/>
        </w:rPr>
      </w:pPr>
      <w:r w:rsidRPr="00947571">
        <w:rPr>
          <w:sz w:val="24"/>
          <w:szCs w:val="24"/>
        </w:rPr>
        <w:t>Ingen relevante data.</w:t>
      </w:r>
    </w:p>
    <w:p w14:paraId="3F24BFA0" w14:textId="77777777" w:rsidR="009260DE" w:rsidRPr="00C84483" w:rsidRDefault="009260DE" w:rsidP="009260DE">
      <w:pPr>
        <w:tabs>
          <w:tab w:val="left" w:pos="851"/>
        </w:tabs>
        <w:ind w:left="851"/>
        <w:rPr>
          <w:sz w:val="24"/>
          <w:szCs w:val="24"/>
        </w:rPr>
      </w:pPr>
    </w:p>
    <w:p w14:paraId="7FD82221" w14:textId="77777777" w:rsidR="009260DE" w:rsidRPr="00C84483" w:rsidRDefault="009260DE" w:rsidP="009260DE">
      <w:pPr>
        <w:tabs>
          <w:tab w:val="left" w:pos="851"/>
        </w:tabs>
        <w:ind w:left="851"/>
        <w:rPr>
          <w:sz w:val="24"/>
          <w:szCs w:val="24"/>
        </w:rPr>
      </w:pPr>
    </w:p>
    <w:p w14:paraId="21A2575B"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6BFE1233" w14:textId="77777777" w:rsidR="009260DE" w:rsidRPr="00BA09F1" w:rsidRDefault="009260DE" w:rsidP="009260DE">
      <w:pPr>
        <w:tabs>
          <w:tab w:val="left" w:pos="851"/>
        </w:tabs>
        <w:ind w:left="851"/>
        <w:rPr>
          <w:sz w:val="24"/>
          <w:szCs w:val="24"/>
        </w:rPr>
      </w:pPr>
    </w:p>
    <w:p w14:paraId="0D0D2E0F"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55FE08ED" w14:textId="19A28B80" w:rsidR="00947571" w:rsidRPr="00947571" w:rsidRDefault="00947571" w:rsidP="00947571">
      <w:pPr>
        <w:tabs>
          <w:tab w:val="left" w:pos="851"/>
        </w:tabs>
        <w:ind w:left="851"/>
        <w:rPr>
          <w:sz w:val="24"/>
          <w:szCs w:val="24"/>
        </w:rPr>
      </w:pPr>
      <w:r w:rsidRPr="00947571">
        <w:rPr>
          <w:sz w:val="24"/>
          <w:szCs w:val="24"/>
        </w:rPr>
        <w:t xml:space="preserve">Mannitol (E421) </w:t>
      </w:r>
    </w:p>
    <w:p w14:paraId="0DA95D05" w14:textId="77777777" w:rsidR="00947571" w:rsidRPr="00947571" w:rsidRDefault="00947571" w:rsidP="00947571">
      <w:pPr>
        <w:tabs>
          <w:tab w:val="left" w:pos="851"/>
        </w:tabs>
        <w:ind w:left="851"/>
        <w:rPr>
          <w:sz w:val="24"/>
          <w:szCs w:val="24"/>
        </w:rPr>
      </w:pPr>
      <w:r w:rsidRPr="00947571">
        <w:rPr>
          <w:sz w:val="24"/>
          <w:szCs w:val="24"/>
        </w:rPr>
        <w:t>Majsstivelse</w:t>
      </w:r>
    </w:p>
    <w:p w14:paraId="35623207" w14:textId="0BCE7F8D" w:rsidR="00947571" w:rsidRPr="00947571" w:rsidRDefault="00947571" w:rsidP="00947571">
      <w:pPr>
        <w:tabs>
          <w:tab w:val="left" w:pos="851"/>
        </w:tabs>
        <w:ind w:left="851"/>
        <w:rPr>
          <w:sz w:val="24"/>
          <w:szCs w:val="24"/>
        </w:rPr>
      </w:pPr>
      <w:r w:rsidRPr="00947571">
        <w:rPr>
          <w:sz w:val="24"/>
          <w:szCs w:val="24"/>
        </w:rPr>
        <w:t xml:space="preserve">Calciumsulfatdihydrat (E516) </w:t>
      </w:r>
    </w:p>
    <w:p w14:paraId="13260CA3" w14:textId="0BFFF3BB" w:rsidR="00947571" w:rsidRPr="00947571" w:rsidRDefault="00947571" w:rsidP="00947571">
      <w:pPr>
        <w:tabs>
          <w:tab w:val="left" w:pos="851"/>
        </w:tabs>
        <w:ind w:left="851"/>
        <w:rPr>
          <w:sz w:val="24"/>
          <w:szCs w:val="24"/>
        </w:rPr>
      </w:pPr>
      <w:r w:rsidRPr="00947571">
        <w:rPr>
          <w:sz w:val="24"/>
          <w:szCs w:val="24"/>
        </w:rPr>
        <w:t>Gelatine (E441)</w:t>
      </w:r>
    </w:p>
    <w:p w14:paraId="35BF97BE" w14:textId="7536068D" w:rsidR="00947571" w:rsidRPr="00947571" w:rsidRDefault="00947571" w:rsidP="00947571">
      <w:pPr>
        <w:tabs>
          <w:tab w:val="left" w:pos="851"/>
        </w:tabs>
        <w:ind w:left="851"/>
        <w:rPr>
          <w:sz w:val="24"/>
          <w:szCs w:val="24"/>
        </w:rPr>
      </w:pPr>
      <w:r w:rsidRPr="00947571">
        <w:rPr>
          <w:sz w:val="24"/>
          <w:szCs w:val="24"/>
        </w:rPr>
        <w:t xml:space="preserve">Magnesiumstearat (E470b) </w:t>
      </w:r>
    </w:p>
    <w:p w14:paraId="74BF536C" w14:textId="77777777" w:rsidR="009260DE" w:rsidRPr="00C84483" w:rsidRDefault="009260DE" w:rsidP="009260DE">
      <w:pPr>
        <w:tabs>
          <w:tab w:val="left" w:pos="851"/>
        </w:tabs>
        <w:ind w:left="851"/>
        <w:rPr>
          <w:sz w:val="24"/>
          <w:szCs w:val="24"/>
        </w:rPr>
      </w:pPr>
    </w:p>
    <w:p w14:paraId="6AF03F35"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29639F57" w14:textId="77777777" w:rsidR="00947571" w:rsidRPr="00947571" w:rsidRDefault="00947571" w:rsidP="00947571">
      <w:pPr>
        <w:tabs>
          <w:tab w:val="left" w:pos="851"/>
        </w:tabs>
        <w:ind w:left="851"/>
        <w:rPr>
          <w:sz w:val="24"/>
          <w:szCs w:val="24"/>
        </w:rPr>
      </w:pPr>
      <w:r w:rsidRPr="00947571">
        <w:rPr>
          <w:sz w:val="24"/>
          <w:szCs w:val="24"/>
        </w:rPr>
        <w:t>Ikke relevant.</w:t>
      </w:r>
    </w:p>
    <w:p w14:paraId="60A7C0A6" w14:textId="77777777" w:rsidR="009260DE" w:rsidRPr="00C84483" w:rsidRDefault="009260DE" w:rsidP="009260DE">
      <w:pPr>
        <w:tabs>
          <w:tab w:val="left" w:pos="851"/>
        </w:tabs>
        <w:ind w:left="851"/>
        <w:rPr>
          <w:sz w:val="24"/>
          <w:szCs w:val="24"/>
        </w:rPr>
      </w:pPr>
    </w:p>
    <w:p w14:paraId="1E9696B2"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0605C0B6" w14:textId="70C0094F" w:rsidR="00947571" w:rsidRPr="00947571" w:rsidRDefault="00947571" w:rsidP="00947571">
      <w:pPr>
        <w:tabs>
          <w:tab w:val="left" w:pos="851"/>
        </w:tabs>
        <w:ind w:left="851"/>
        <w:rPr>
          <w:sz w:val="24"/>
          <w:szCs w:val="24"/>
        </w:rPr>
      </w:pPr>
      <w:r w:rsidRPr="00947571">
        <w:rPr>
          <w:sz w:val="24"/>
          <w:szCs w:val="24"/>
        </w:rPr>
        <w:t>24 måneder</w:t>
      </w:r>
      <w:r>
        <w:rPr>
          <w:sz w:val="24"/>
          <w:szCs w:val="24"/>
        </w:rPr>
        <w:t>.</w:t>
      </w:r>
    </w:p>
    <w:p w14:paraId="6B8E5D44" w14:textId="77777777" w:rsidR="009260DE" w:rsidRPr="00C84483" w:rsidRDefault="009260DE" w:rsidP="009260DE">
      <w:pPr>
        <w:tabs>
          <w:tab w:val="left" w:pos="851"/>
        </w:tabs>
        <w:ind w:left="851"/>
        <w:rPr>
          <w:sz w:val="24"/>
          <w:szCs w:val="24"/>
        </w:rPr>
      </w:pPr>
    </w:p>
    <w:p w14:paraId="4F9CE394"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538F59E3" w14:textId="77777777" w:rsidR="00947571" w:rsidRPr="00947571" w:rsidRDefault="00947571" w:rsidP="00947571">
      <w:pPr>
        <w:tabs>
          <w:tab w:val="left" w:pos="851"/>
        </w:tabs>
        <w:ind w:left="851"/>
        <w:rPr>
          <w:sz w:val="24"/>
          <w:szCs w:val="24"/>
        </w:rPr>
      </w:pPr>
      <w:r w:rsidRPr="00947571">
        <w:rPr>
          <w:sz w:val="24"/>
          <w:szCs w:val="24"/>
        </w:rPr>
        <w:t xml:space="preserve">Må ikke opbevares ved temperaturer over 25 °C. </w:t>
      </w:r>
    </w:p>
    <w:p w14:paraId="3D783DA5" w14:textId="77777777" w:rsidR="00947571" w:rsidRPr="00947571" w:rsidRDefault="00947571" w:rsidP="00947571">
      <w:pPr>
        <w:tabs>
          <w:tab w:val="left" w:pos="851"/>
        </w:tabs>
        <w:ind w:left="851"/>
        <w:rPr>
          <w:sz w:val="24"/>
          <w:szCs w:val="24"/>
        </w:rPr>
      </w:pPr>
    </w:p>
    <w:p w14:paraId="48E1B729" w14:textId="77777777" w:rsidR="00947571" w:rsidRPr="00947571" w:rsidRDefault="00947571" w:rsidP="00947571">
      <w:pPr>
        <w:tabs>
          <w:tab w:val="left" w:pos="851"/>
        </w:tabs>
        <w:ind w:left="851"/>
        <w:rPr>
          <w:sz w:val="24"/>
          <w:szCs w:val="24"/>
        </w:rPr>
      </w:pPr>
      <w:r w:rsidRPr="00947571">
        <w:rPr>
          <w:sz w:val="24"/>
          <w:szCs w:val="24"/>
        </w:rPr>
        <w:t>Opbevares i den originale beholder for at beskytte mod lys. Opbevares utilgængeligt for børn.</w:t>
      </w:r>
    </w:p>
    <w:p w14:paraId="163C8008" w14:textId="77777777" w:rsidR="00947571" w:rsidRPr="00947571" w:rsidRDefault="00947571" w:rsidP="00947571">
      <w:pPr>
        <w:tabs>
          <w:tab w:val="left" w:pos="851"/>
        </w:tabs>
        <w:ind w:left="851"/>
        <w:rPr>
          <w:sz w:val="24"/>
          <w:szCs w:val="24"/>
        </w:rPr>
      </w:pPr>
    </w:p>
    <w:p w14:paraId="2A08681B" w14:textId="77777777" w:rsidR="00947571" w:rsidRPr="00947571" w:rsidRDefault="00947571" w:rsidP="00947571">
      <w:pPr>
        <w:tabs>
          <w:tab w:val="left" w:pos="851"/>
        </w:tabs>
        <w:ind w:left="851"/>
        <w:rPr>
          <w:sz w:val="24"/>
          <w:szCs w:val="24"/>
        </w:rPr>
      </w:pPr>
      <w:r w:rsidRPr="00947571">
        <w:rPr>
          <w:sz w:val="24"/>
          <w:szCs w:val="24"/>
        </w:rPr>
        <w:t>Tørremidlet skal forblive i beholderen, indtil alle tabletterne er anvendt.</w:t>
      </w:r>
    </w:p>
    <w:p w14:paraId="1F8EAC4D" w14:textId="77777777" w:rsidR="00947571" w:rsidRPr="00947571" w:rsidRDefault="00947571" w:rsidP="00947571">
      <w:pPr>
        <w:tabs>
          <w:tab w:val="left" w:pos="851"/>
        </w:tabs>
        <w:ind w:left="851"/>
        <w:rPr>
          <w:sz w:val="24"/>
          <w:szCs w:val="24"/>
        </w:rPr>
      </w:pPr>
    </w:p>
    <w:p w14:paraId="3F74CD4E" w14:textId="77777777" w:rsidR="00947571" w:rsidRPr="00947571" w:rsidRDefault="00947571" w:rsidP="00947571">
      <w:pPr>
        <w:tabs>
          <w:tab w:val="left" w:pos="851"/>
        </w:tabs>
        <w:ind w:left="851"/>
        <w:rPr>
          <w:sz w:val="24"/>
          <w:szCs w:val="24"/>
        </w:rPr>
      </w:pPr>
      <w:r w:rsidRPr="00947571">
        <w:rPr>
          <w:sz w:val="24"/>
          <w:szCs w:val="24"/>
        </w:rPr>
        <w:t>Tag ikke lægemidlet efter den udløbsdato, der står på beholderen. Udløbsdatoen er den sidste dag i den nævnte måned.</w:t>
      </w:r>
    </w:p>
    <w:p w14:paraId="5AB8A87B" w14:textId="77777777" w:rsidR="009260DE" w:rsidRPr="00C84483" w:rsidRDefault="009260DE" w:rsidP="009260DE">
      <w:pPr>
        <w:tabs>
          <w:tab w:val="left" w:pos="851"/>
        </w:tabs>
        <w:ind w:left="851"/>
        <w:rPr>
          <w:sz w:val="24"/>
          <w:szCs w:val="24"/>
        </w:rPr>
      </w:pPr>
    </w:p>
    <w:p w14:paraId="79246A98" w14:textId="77777777" w:rsidR="009260DE" w:rsidRPr="00C84483" w:rsidRDefault="009260DE" w:rsidP="009260DE">
      <w:pPr>
        <w:tabs>
          <w:tab w:val="left" w:pos="851"/>
        </w:tabs>
        <w:ind w:left="851" w:hanging="851"/>
        <w:rPr>
          <w:b/>
          <w:sz w:val="24"/>
          <w:szCs w:val="24"/>
        </w:rPr>
      </w:pPr>
      <w:r w:rsidRPr="00C84483">
        <w:rPr>
          <w:b/>
          <w:sz w:val="24"/>
          <w:szCs w:val="24"/>
        </w:rPr>
        <w:lastRenderedPageBreak/>
        <w:t>6.5</w:t>
      </w:r>
      <w:r w:rsidRPr="00C84483">
        <w:rPr>
          <w:b/>
          <w:sz w:val="24"/>
          <w:szCs w:val="24"/>
        </w:rPr>
        <w:tab/>
        <w:t>Emballagetype og pakningsstørrelser</w:t>
      </w:r>
    </w:p>
    <w:p w14:paraId="5533E426" w14:textId="71C8C9FB" w:rsidR="00947571" w:rsidRDefault="00947571" w:rsidP="00947571">
      <w:pPr>
        <w:tabs>
          <w:tab w:val="left" w:pos="851"/>
        </w:tabs>
        <w:ind w:left="851"/>
        <w:rPr>
          <w:sz w:val="24"/>
          <w:szCs w:val="24"/>
        </w:rPr>
      </w:pPr>
      <w:r>
        <w:rPr>
          <w:sz w:val="24"/>
          <w:szCs w:val="24"/>
        </w:rPr>
        <w:t>H</w:t>
      </w:r>
      <w:r w:rsidRPr="00947571">
        <w:rPr>
          <w:sz w:val="24"/>
          <w:szCs w:val="24"/>
        </w:rPr>
        <w:t>vid beholder af polyethylen med høj densitet (HDPE). Beholder</w:t>
      </w:r>
      <w:r>
        <w:rPr>
          <w:sz w:val="24"/>
          <w:szCs w:val="24"/>
        </w:rPr>
        <w:t>en</w:t>
      </w:r>
      <w:r w:rsidRPr="00947571">
        <w:rPr>
          <w:sz w:val="24"/>
          <w:szCs w:val="24"/>
        </w:rPr>
        <w:t xml:space="preserve"> indeholder silicagel og renset bomuld og er lukket med et børnesikret låg af polypropylen.</w:t>
      </w:r>
    </w:p>
    <w:p w14:paraId="05A3EB71" w14:textId="77777777" w:rsidR="00947571" w:rsidRDefault="00947571" w:rsidP="00947571">
      <w:pPr>
        <w:tabs>
          <w:tab w:val="left" w:pos="851"/>
        </w:tabs>
        <w:ind w:left="851"/>
        <w:rPr>
          <w:sz w:val="24"/>
          <w:szCs w:val="24"/>
        </w:rPr>
      </w:pPr>
    </w:p>
    <w:p w14:paraId="5D10293B" w14:textId="58D3E338" w:rsidR="00947571" w:rsidRPr="00947571" w:rsidRDefault="00947571" w:rsidP="00947571">
      <w:pPr>
        <w:tabs>
          <w:tab w:val="left" w:pos="851"/>
        </w:tabs>
        <w:ind w:left="851"/>
        <w:rPr>
          <w:sz w:val="24"/>
          <w:szCs w:val="24"/>
        </w:rPr>
      </w:pPr>
      <w:r>
        <w:rPr>
          <w:sz w:val="24"/>
          <w:szCs w:val="24"/>
        </w:rPr>
        <w:t xml:space="preserve">Pakningsstørrelser: </w:t>
      </w:r>
      <w:r w:rsidRPr="00947571">
        <w:rPr>
          <w:sz w:val="24"/>
          <w:szCs w:val="24"/>
        </w:rPr>
        <w:t xml:space="preserve">28 </w:t>
      </w:r>
      <w:r>
        <w:rPr>
          <w:sz w:val="24"/>
          <w:szCs w:val="24"/>
        </w:rPr>
        <w:t>og</w:t>
      </w:r>
      <w:r w:rsidRPr="00947571">
        <w:rPr>
          <w:sz w:val="24"/>
          <w:szCs w:val="24"/>
        </w:rPr>
        <w:t xml:space="preserve"> 112 tabletter</w:t>
      </w:r>
      <w:r>
        <w:rPr>
          <w:sz w:val="24"/>
          <w:szCs w:val="24"/>
        </w:rPr>
        <w:t>.</w:t>
      </w:r>
    </w:p>
    <w:p w14:paraId="500AAC60" w14:textId="77777777" w:rsidR="00947571" w:rsidRPr="00947571" w:rsidRDefault="00947571" w:rsidP="00947571">
      <w:pPr>
        <w:tabs>
          <w:tab w:val="left" w:pos="851"/>
        </w:tabs>
        <w:ind w:left="851"/>
        <w:rPr>
          <w:sz w:val="24"/>
          <w:szCs w:val="24"/>
        </w:rPr>
      </w:pPr>
    </w:p>
    <w:p w14:paraId="4483C6F3" w14:textId="77777777" w:rsidR="00947571" w:rsidRPr="00947571" w:rsidRDefault="00947571" w:rsidP="00947571">
      <w:pPr>
        <w:tabs>
          <w:tab w:val="left" w:pos="851"/>
        </w:tabs>
        <w:ind w:left="851"/>
        <w:rPr>
          <w:sz w:val="24"/>
          <w:szCs w:val="24"/>
        </w:rPr>
      </w:pPr>
      <w:r w:rsidRPr="00947571">
        <w:rPr>
          <w:sz w:val="24"/>
          <w:szCs w:val="24"/>
        </w:rPr>
        <w:t>Ikke alle pakningsstørrelser er nødvendigvis markedsført.</w:t>
      </w:r>
    </w:p>
    <w:p w14:paraId="5C7CA62F" w14:textId="77777777" w:rsidR="009260DE" w:rsidRPr="00C84483" w:rsidRDefault="009260DE" w:rsidP="009260DE">
      <w:pPr>
        <w:tabs>
          <w:tab w:val="left" w:pos="851"/>
        </w:tabs>
        <w:ind w:left="851"/>
        <w:rPr>
          <w:sz w:val="24"/>
          <w:szCs w:val="24"/>
        </w:rPr>
      </w:pPr>
    </w:p>
    <w:p w14:paraId="35004486"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147635BC" w14:textId="77777777" w:rsidR="00947571" w:rsidRPr="00947571" w:rsidRDefault="00947571" w:rsidP="00947571">
      <w:pPr>
        <w:tabs>
          <w:tab w:val="left" w:pos="851"/>
        </w:tabs>
        <w:ind w:left="851"/>
        <w:rPr>
          <w:sz w:val="24"/>
          <w:szCs w:val="24"/>
        </w:rPr>
      </w:pPr>
      <w:r w:rsidRPr="00947571">
        <w:rPr>
          <w:sz w:val="24"/>
          <w:szCs w:val="24"/>
        </w:rPr>
        <w:t>Ikke anvendt lægemiddel samt affald heraf skal bortskaffes i henhold til lokale retningslinjer.</w:t>
      </w:r>
    </w:p>
    <w:p w14:paraId="61CC7CE8" w14:textId="77777777" w:rsidR="009260DE" w:rsidRPr="00C84483" w:rsidRDefault="009260DE" w:rsidP="000730CA">
      <w:pPr>
        <w:tabs>
          <w:tab w:val="left" w:pos="851"/>
        </w:tabs>
        <w:ind w:left="851"/>
        <w:rPr>
          <w:sz w:val="24"/>
          <w:szCs w:val="24"/>
        </w:rPr>
      </w:pPr>
    </w:p>
    <w:p w14:paraId="7CE0A9D1"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760A91DC" w14:textId="77777777" w:rsidR="00947571" w:rsidRPr="00947571" w:rsidRDefault="00947571" w:rsidP="00947571">
      <w:pPr>
        <w:tabs>
          <w:tab w:val="left" w:pos="851"/>
        </w:tabs>
        <w:ind w:left="851"/>
        <w:rPr>
          <w:sz w:val="24"/>
          <w:szCs w:val="24"/>
        </w:rPr>
      </w:pPr>
      <w:r w:rsidRPr="00947571">
        <w:rPr>
          <w:sz w:val="24"/>
          <w:szCs w:val="24"/>
        </w:rPr>
        <w:t>Pharmassist Ltd.</w:t>
      </w:r>
    </w:p>
    <w:p w14:paraId="0E8A959E" w14:textId="77777777" w:rsidR="00947571" w:rsidRPr="009E576F" w:rsidRDefault="00947571" w:rsidP="00947571">
      <w:pPr>
        <w:tabs>
          <w:tab w:val="left" w:pos="851"/>
        </w:tabs>
        <w:ind w:left="851"/>
        <w:rPr>
          <w:sz w:val="24"/>
          <w:szCs w:val="24"/>
        </w:rPr>
      </w:pPr>
      <w:r w:rsidRPr="009E576F">
        <w:rPr>
          <w:sz w:val="24"/>
          <w:szCs w:val="24"/>
        </w:rPr>
        <w:t xml:space="preserve">Anthrakorichon 15  </w:t>
      </w:r>
    </w:p>
    <w:p w14:paraId="3A39B023" w14:textId="5226F9A4" w:rsidR="00947571" w:rsidRPr="00947571" w:rsidRDefault="00947571" w:rsidP="00947571">
      <w:pPr>
        <w:tabs>
          <w:tab w:val="left" w:pos="851"/>
        </w:tabs>
        <w:ind w:left="851"/>
        <w:rPr>
          <w:sz w:val="24"/>
          <w:szCs w:val="24"/>
        </w:rPr>
      </w:pPr>
      <w:r w:rsidRPr="00947571">
        <w:rPr>
          <w:sz w:val="24"/>
          <w:szCs w:val="24"/>
        </w:rPr>
        <w:t>142</w:t>
      </w:r>
      <w:r>
        <w:rPr>
          <w:sz w:val="24"/>
          <w:szCs w:val="24"/>
        </w:rPr>
        <w:t xml:space="preserve"> </w:t>
      </w:r>
      <w:r w:rsidRPr="00947571">
        <w:rPr>
          <w:sz w:val="24"/>
          <w:szCs w:val="24"/>
        </w:rPr>
        <w:t>35 Nea Ionia</w:t>
      </w:r>
    </w:p>
    <w:p w14:paraId="759A8910" w14:textId="2AF5FEB8" w:rsidR="00947571" w:rsidRPr="00947571" w:rsidRDefault="00947571" w:rsidP="00947571">
      <w:pPr>
        <w:tabs>
          <w:tab w:val="left" w:pos="851"/>
        </w:tabs>
        <w:ind w:left="851"/>
        <w:rPr>
          <w:sz w:val="24"/>
          <w:szCs w:val="24"/>
        </w:rPr>
      </w:pPr>
      <w:r w:rsidRPr="00947571">
        <w:rPr>
          <w:sz w:val="24"/>
          <w:szCs w:val="24"/>
        </w:rPr>
        <w:t>Grækenland</w:t>
      </w:r>
    </w:p>
    <w:p w14:paraId="0EDA5ACE" w14:textId="77777777" w:rsidR="009260DE" w:rsidRPr="00947571" w:rsidRDefault="009260DE" w:rsidP="009260DE">
      <w:pPr>
        <w:tabs>
          <w:tab w:val="left" w:pos="851"/>
        </w:tabs>
        <w:ind w:left="851"/>
        <w:rPr>
          <w:sz w:val="24"/>
          <w:szCs w:val="24"/>
        </w:rPr>
      </w:pPr>
    </w:p>
    <w:p w14:paraId="1F068365"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57EB8511" w14:textId="553ADF60" w:rsidR="009260DE" w:rsidRPr="00C84483" w:rsidRDefault="00947571" w:rsidP="009260DE">
      <w:pPr>
        <w:tabs>
          <w:tab w:val="left" w:pos="851"/>
        </w:tabs>
        <w:ind w:left="851"/>
        <w:rPr>
          <w:sz w:val="24"/>
          <w:szCs w:val="24"/>
        </w:rPr>
      </w:pPr>
      <w:r>
        <w:rPr>
          <w:sz w:val="24"/>
          <w:szCs w:val="24"/>
        </w:rPr>
        <w:t>72257</w:t>
      </w:r>
    </w:p>
    <w:p w14:paraId="015CD30B" w14:textId="77777777" w:rsidR="009260DE" w:rsidRPr="00C84483" w:rsidRDefault="009260DE" w:rsidP="009260DE">
      <w:pPr>
        <w:tabs>
          <w:tab w:val="left" w:pos="851"/>
        </w:tabs>
        <w:ind w:left="851"/>
        <w:jc w:val="both"/>
        <w:rPr>
          <w:sz w:val="24"/>
          <w:szCs w:val="24"/>
        </w:rPr>
      </w:pPr>
    </w:p>
    <w:p w14:paraId="6118F5C1"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1598E620" w14:textId="26D59619" w:rsidR="009260DE" w:rsidRPr="00C84483" w:rsidRDefault="009E576F" w:rsidP="009260DE">
      <w:pPr>
        <w:tabs>
          <w:tab w:val="left" w:pos="851"/>
        </w:tabs>
        <w:ind w:left="851"/>
        <w:rPr>
          <w:sz w:val="24"/>
          <w:szCs w:val="24"/>
        </w:rPr>
      </w:pPr>
      <w:r>
        <w:rPr>
          <w:sz w:val="24"/>
          <w:szCs w:val="24"/>
        </w:rPr>
        <w:t>2. september 2026</w:t>
      </w:r>
    </w:p>
    <w:p w14:paraId="25C125FB" w14:textId="77777777" w:rsidR="009260DE" w:rsidRPr="00C84483" w:rsidRDefault="009260DE" w:rsidP="009260DE">
      <w:pPr>
        <w:tabs>
          <w:tab w:val="left" w:pos="851"/>
        </w:tabs>
        <w:ind w:left="851"/>
        <w:rPr>
          <w:sz w:val="24"/>
          <w:szCs w:val="24"/>
        </w:rPr>
      </w:pPr>
    </w:p>
    <w:p w14:paraId="7DDAC52D"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4CCB5BFD" w14:textId="392A66DB" w:rsidR="009260DE" w:rsidRPr="00C84483" w:rsidRDefault="00947571" w:rsidP="009260DE">
      <w:pPr>
        <w:tabs>
          <w:tab w:val="left" w:pos="851"/>
        </w:tabs>
        <w:ind w:left="851"/>
        <w:rPr>
          <w:sz w:val="24"/>
          <w:szCs w:val="24"/>
        </w:rPr>
      </w:pPr>
      <w:r>
        <w:rPr>
          <w:sz w:val="24"/>
          <w:szCs w:val="24"/>
        </w:rPr>
        <w:t>-</w:t>
      </w:r>
    </w:p>
    <w:sectPr w:rsidR="009260DE"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ABC47" w14:textId="77777777" w:rsidR="00C75025" w:rsidRDefault="00C75025">
      <w:r>
        <w:separator/>
      </w:r>
    </w:p>
  </w:endnote>
  <w:endnote w:type="continuationSeparator" w:id="0">
    <w:p w14:paraId="6B5392E4" w14:textId="77777777" w:rsidR="00C75025" w:rsidRDefault="00C75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EBBB1" w14:textId="77777777" w:rsidR="000259B9" w:rsidRDefault="000259B9">
    <w:pPr>
      <w:pStyle w:val="Sidefod"/>
      <w:pBdr>
        <w:bottom w:val="single" w:sz="6" w:space="1" w:color="auto"/>
      </w:pBdr>
    </w:pPr>
  </w:p>
  <w:p w14:paraId="53435CDA" w14:textId="77777777" w:rsidR="000259B9" w:rsidRDefault="000259B9" w:rsidP="00C42586">
    <w:pPr>
      <w:pStyle w:val="Sidefod"/>
      <w:tabs>
        <w:tab w:val="clear" w:pos="4819"/>
        <w:tab w:val="left" w:pos="8505"/>
      </w:tabs>
      <w:rPr>
        <w:i/>
        <w:sz w:val="18"/>
        <w:szCs w:val="18"/>
      </w:rPr>
    </w:pPr>
  </w:p>
  <w:p w14:paraId="5A4E0078" w14:textId="0A843BDF"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CA227D">
      <w:rPr>
        <w:i/>
        <w:noProof/>
        <w:sz w:val="18"/>
        <w:szCs w:val="18"/>
      </w:rPr>
      <w:t>Liopent, tabletter 5 mikrogram</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40FFA" w14:textId="77777777" w:rsidR="00C75025" w:rsidRDefault="00C75025">
      <w:r>
        <w:separator/>
      </w:r>
    </w:p>
  </w:footnote>
  <w:footnote w:type="continuationSeparator" w:id="0">
    <w:p w14:paraId="4DDF0DB6" w14:textId="77777777" w:rsidR="00C75025" w:rsidRDefault="00C750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532532E"/>
    <w:multiLevelType w:val="hybridMultilevel"/>
    <w:tmpl w:val="B554F29E"/>
    <w:lvl w:ilvl="0" w:tplc="42646412">
      <w:numFmt w:val="bullet"/>
      <w:lvlText w:val="•"/>
      <w:lvlJc w:val="left"/>
      <w:pPr>
        <w:ind w:left="1287" w:hanging="360"/>
      </w:pPr>
      <w:rPr>
        <w:lang w:val="en-US" w:eastAsia="en-US" w:bidi="ar-SA"/>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214095600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516595">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71921353">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70809769">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8178936">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65965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025"/>
    <w:rsid w:val="000259B9"/>
    <w:rsid w:val="00041491"/>
    <w:rsid w:val="00050D16"/>
    <w:rsid w:val="000730CA"/>
    <w:rsid w:val="00074F2A"/>
    <w:rsid w:val="000A1CA8"/>
    <w:rsid w:val="000A466B"/>
    <w:rsid w:val="000B058C"/>
    <w:rsid w:val="000D68B0"/>
    <w:rsid w:val="000E4EE6"/>
    <w:rsid w:val="001454E2"/>
    <w:rsid w:val="00206CE8"/>
    <w:rsid w:val="0021526C"/>
    <w:rsid w:val="00283A2B"/>
    <w:rsid w:val="002B30AD"/>
    <w:rsid w:val="002C1EC0"/>
    <w:rsid w:val="002C2C01"/>
    <w:rsid w:val="003A29AE"/>
    <w:rsid w:val="003A32D7"/>
    <w:rsid w:val="003B4074"/>
    <w:rsid w:val="003C769A"/>
    <w:rsid w:val="003D3A90"/>
    <w:rsid w:val="003F1838"/>
    <w:rsid w:val="004251C1"/>
    <w:rsid w:val="0045746C"/>
    <w:rsid w:val="0049104B"/>
    <w:rsid w:val="004D4CD3"/>
    <w:rsid w:val="004E3B12"/>
    <w:rsid w:val="00532310"/>
    <w:rsid w:val="00565F0F"/>
    <w:rsid w:val="00591BF5"/>
    <w:rsid w:val="00594A86"/>
    <w:rsid w:val="00596D86"/>
    <w:rsid w:val="00637F5A"/>
    <w:rsid w:val="00641C65"/>
    <w:rsid w:val="006560B1"/>
    <w:rsid w:val="006756DD"/>
    <w:rsid w:val="0071241E"/>
    <w:rsid w:val="00737275"/>
    <w:rsid w:val="00740EEC"/>
    <w:rsid w:val="0078011A"/>
    <w:rsid w:val="00782AF4"/>
    <w:rsid w:val="00790EE7"/>
    <w:rsid w:val="007B6649"/>
    <w:rsid w:val="0082576E"/>
    <w:rsid w:val="0089346F"/>
    <w:rsid w:val="00907F75"/>
    <w:rsid w:val="009260DE"/>
    <w:rsid w:val="0093258A"/>
    <w:rsid w:val="00947571"/>
    <w:rsid w:val="009C7BA3"/>
    <w:rsid w:val="009D1F5A"/>
    <w:rsid w:val="009E576F"/>
    <w:rsid w:val="00A10294"/>
    <w:rsid w:val="00B003BF"/>
    <w:rsid w:val="00B373D7"/>
    <w:rsid w:val="00B55271"/>
    <w:rsid w:val="00BD7931"/>
    <w:rsid w:val="00BF6243"/>
    <w:rsid w:val="00C36276"/>
    <w:rsid w:val="00C42586"/>
    <w:rsid w:val="00C45F6B"/>
    <w:rsid w:val="00C60CCD"/>
    <w:rsid w:val="00C75025"/>
    <w:rsid w:val="00C83484"/>
    <w:rsid w:val="00C84483"/>
    <w:rsid w:val="00C874BF"/>
    <w:rsid w:val="00C95551"/>
    <w:rsid w:val="00CA227D"/>
    <w:rsid w:val="00CB20D7"/>
    <w:rsid w:val="00CB4A61"/>
    <w:rsid w:val="00CF4767"/>
    <w:rsid w:val="00D020B0"/>
    <w:rsid w:val="00D11748"/>
    <w:rsid w:val="00D237F6"/>
    <w:rsid w:val="00D34D98"/>
    <w:rsid w:val="00D366CF"/>
    <w:rsid w:val="00D93992"/>
    <w:rsid w:val="00E108AA"/>
    <w:rsid w:val="00E3749A"/>
    <w:rsid w:val="00E7437F"/>
    <w:rsid w:val="00E865B8"/>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00E3EF"/>
  <w15:chartTrackingRefBased/>
  <w15:docId w15:val="{DE24CBB3-1D0C-489F-8E13-B497A5445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CB4A61"/>
    <w:rPr>
      <w:color w:val="0563C1" w:themeColor="hyperlink"/>
      <w:u w:val="single"/>
    </w:rPr>
  </w:style>
  <w:style w:type="character" w:styleId="Ulstomtale">
    <w:name w:val="Unresolved Mention"/>
    <w:basedOn w:val="Standardskrifttypeiafsnit"/>
    <w:uiPriority w:val="99"/>
    <w:semiHidden/>
    <w:unhideWhenUsed/>
    <w:rsid w:val="00CB4A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0571">
      <w:bodyDiv w:val="1"/>
      <w:marLeft w:val="0"/>
      <w:marRight w:val="0"/>
      <w:marTop w:val="0"/>
      <w:marBottom w:val="0"/>
      <w:divBdr>
        <w:top w:val="none" w:sz="0" w:space="0" w:color="auto"/>
        <w:left w:val="none" w:sz="0" w:space="0" w:color="auto"/>
        <w:bottom w:val="none" w:sz="0" w:space="0" w:color="auto"/>
        <w:right w:val="none" w:sz="0" w:space="0" w:color="auto"/>
      </w:divBdr>
    </w:div>
    <w:div w:id="36442012">
      <w:bodyDiv w:val="1"/>
      <w:marLeft w:val="0"/>
      <w:marRight w:val="0"/>
      <w:marTop w:val="0"/>
      <w:marBottom w:val="0"/>
      <w:divBdr>
        <w:top w:val="none" w:sz="0" w:space="0" w:color="auto"/>
        <w:left w:val="none" w:sz="0" w:space="0" w:color="auto"/>
        <w:bottom w:val="none" w:sz="0" w:space="0" w:color="auto"/>
        <w:right w:val="none" w:sz="0" w:space="0" w:color="auto"/>
      </w:divBdr>
    </w:div>
    <w:div w:id="120147551">
      <w:bodyDiv w:val="1"/>
      <w:marLeft w:val="0"/>
      <w:marRight w:val="0"/>
      <w:marTop w:val="0"/>
      <w:marBottom w:val="0"/>
      <w:divBdr>
        <w:top w:val="none" w:sz="0" w:space="0" w:color="auto"/>
        <w:left w:val="none" w:sz="0" w:space="0" w:color="auto"/>
        <w:bottom w:val="none" w:sz="0" w:space="0" w:color="auto"/>
        <w:right w:val="none" w:sz="0" w:space="0" w:color="auto"/>
      </w:divBdr>
    </w:div>
    <w:div w:id="137458238">
      <w:bodyDiv w:val="1"/>
      <w:marLeft w:val="0"/>
      <w:marRight w:val="0"/>
      <w:marTop w:val="0"/>
      <w:marBottom w:val="0"/>
      <w:divBdr>
        <w:top w:val="none" w:sz="0" w:space="0" w:color="auto"/>
        <w:left w:val="none" w:sz="0" w:space="0" w:color="auto"/>
        <w:bottom w:val="none" w:sz="0" w:space="0" w:color="auto"/>
        <w:right w:val="none" w:sz="0" w:space="0" w:color="auto"/>
      </w:divBdr>
    </w:div>
    <w:div w:id="158421760">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10117624">
      <w:bodyDiv w:val="1"/>
      <w:marLeft w:val="0"/>
      <w:marRight w:val="0"/>
      <w:marTop w:val="0"/>
      <w:marBottom w:val="0"/>
      <w:divBdr>
        <w:top w:val="none" w:sz="0" w:space="0" w:color="auto"/>
        <w:left w:val="none" w:sz="0" w:space="0" w:color="auto"/>
        <w:bottom w:val="none" w:sz="0" w:space="0" w:color="auto"/>
        <w:right w:val="none" w:sz="0" w:space="0" w:color="auto"/>
      </w:divBdr>
    </w:div>
    <w:div w:id="334650864">
      <w:bodyDiv w:val="1"/>
      <w:marLeft w:val="0"/>
      <w:marRight w:val="0"/>
      <w:marTop w:val="0"/>
      <w:marBottom w:val="0"/>
      <w:divBdr>
        <w:top w:val="none" w:sz="0" w:space="0" w:color="auto"/>
        <w:left w:val="none" w:sz="0" w:space="0" w:color="auto"/>
        <w:bottom w:val="none" w:sz="0" w:space="0" w:color="auto"/>
        <w:right w:val="none" w:sz="0" w:space="0" w:color="auto"/>
      </w:divBdr>
    </w:div>
    <w:div w:id="580456368">
      <w:bodyDiv w:val="1"/>
      <w:marLeft w:val="0"/>
      <w:marRight w:val="0"/>
      <w:marTop w:val="0"/>
      <w:marBottom w:val="0"/>
      <w:divBdr>
        <w:top w:val="none" w:sz="0" w:space="0" w:color="auto"/>
        <w:left w:val="none" w:sz="0" w:space="0" w:color="auto"/>
        <w:bottom w:val="none" w:sz="0" w:space="0" w:color="auto"/>
        <w:right w:val="none" w:sz="0" w:space="0" w:color="auto"/>
      </w:divBdr>
    </w:div>
    <w:div w:id="584151147">
      <w:bodyDiv w:val="1"/>
      <w:marLeft w:val="0"/>
      <w:marRight w:val="0"/>
      <w:marTop w:val="0"/>
      <w:marBottom w:val="0"/>
      <w:divBdr>
        <w:top w:val="none" w:sz="0" w:space="0" w:color="auto"/>
        <w:left w:val="none" w:sz="0" w:space="0" w:color="auto"/>
        <w:bottom w:val="none" w:sz="0" w:space="0" w:color="auto"/>
        <w:right w:val="none" w:sz="0" w:space="0" w:color="auto"/>
      </w:divBdr>
    </w:div>
    <w:div w:id="591665389">
      <w:bodyDiv w:val="1"/>
      <w:marLeft w:val="0"/>
      <w:marRight w:val="0"/>
      <w:marTop w:val="0"/>
      <w:marBottom w:val="0"/>
      <w:divBdr>
        <w:top w:val="none" w:sz="0" w:space="0" w:color="auto"/>
        <w:left w:val="none" w:sz="0" w:space="0" w:color="auto"/>
        <w:bottom w:val="none" w:sz="0" w:space="0" w:color="auto"/>
        <w:right w:val="none" w:sz="0" w:space="0" w:color="auto"/>
      </w:divBdr>
    </w:div>
    <w:div w:id="613707205">
      <w:bodyDiv w:val="1"/>
      <w:marLeft w:val="0"/>
      <w:marRight w:val="0"/>
      <w:marTop w:val="0"/>
      <w:marBottom w:val="0"/>
      <w:divBdr>
        <w:top w:val="none" w:sz="0" w:space="0" w:color="auto"/>
        <w:left w:val="none" w:sz="0" w:space="0" w:color="auto"/>
        <w:bottom w:val="none" w:sz="0" w:space="0" w:color="auto"/>
        <w:right w:val="none" w:sz="0" w:space="0" w:color="auto"/>
      </w:divBdr>
    </w:div>
    <w:div w:id="679435616">
      <w:bodyDiv w:val="1"/>
      <w:marLeft w:val="0"/>
      <w:marRight w:val="0"/>
      <w:marTop w:val="0"/>
      <w:marBottom w:val="0"/>
      <w:divBdr>
        <w:top w:val="none" w:sz="0" w:space="0" w:color="auto"/>
        <w:left w:val="none" w:sz="0" w:space="0" w:color="auto"/>
        <w:bottom w:val="none" w:sz="0" w:space="0" w:color="auto"/>
        <w:right w:val="none" w:sz="0" w:space="0" w:color="auto"/>
      </w:divBdr>
    </w:div>
    <w:div w:id="700861857">
      <w:bodyDiv w:val="1"/>
      <w:marLeft w:val="0"/>
      <w:marRight w:val="0"/>
      <w:marTop w:val="0"/>
      <w:marBottom w:val="0"/>
      <w:divBdr>
        <w:top w:val="none" w:sz="0" w:space="0" w:color="auto"/>
        <w:left w:val="none" w:sz="0" w:space="0" w:color="auto"/>
        <w:bottom w:val="none" w:sz="0" w:space="0" w:color="auto"/>
        <w:right w:val="none" w:sz="0" w:space="0" w:color="auto"/>
      </w:divBdr>
    </w:div>
    <w:div w:id="769551565">
      <w:bodyDiv w:val="1"/>
      <w:marLeft w:val="0"/>
      <w:marRight w:val="0"/>
      <w:marTop w:val="0"/>
      <w:marBottom w:val="0"/>
      <w:divBdr>
        <w:top w:val="none" w:sz="0" w:space="0" w:color="auto"/>
        <w:left w:val="none" w:sz="0" w:space="0" w:color="auto"/>
        <w:bottom w:val="none" w:sz="0" w:space="0" w:color="auto"/>
        <w:right w:val="none" w:sz="0" w:space="0" w:color="auto"/>
      </w:divBdr>
    </w:div>
    <w:div w:id="885144657">
      <w:bodyDiv w:val="1"/>
      <w:marLeft w:val="0"/>
      <w:marRight w:val="0"/>
      <w:marTop w:val="0"/>
      <w:marBottom w:val="0"/>
      <w:divBdr>
        <w:top w:val="none" w:sz="0" w:space="0" w:color="auto"/>
        <w:left w:val="none" w:sz="0" w:space="0" w:color="auto"/>
        <w:bottom w:val="none" w:sz="0" w:space="0" w:color="auto"/>
        <w:right w:val="none" w:sz="0" w:space="0" w:color="auto"/>
      </w:divBdr>
    </w:div>
    <w:div w:id="901406714">
      <w:bodyDiv w:val="1"/>
      <w:marLeft w:val="0"/>
      <w:marRight w:val="0"/>
      <w:marTop w:val="0"/>
      <w:marBottom w:val="0"/>
      <w:divBdr>
        <w:top w:val="none" w:sz="0" w:space="0" w:color="auto"/>
        <w:left w:val="none" w:sz="0" w:space="0" w:color="auto"/>
        <w:bottom w:val="none" w:sz="0" w:space="0" w:color="auto"/>
        <w:right w:val="none" w:sz="0" w:space="0" w:color="auto"/>
      </w:divBdr>
    </w:div>
    <w:div w:id="911886467">
      <w:bodyDiv w:val="1"/>
      <w:marLeft w:val="0"/>
      <w:marRight w:val="0"/>
      <w:marTop w:val="0"/>
      <w:marBottom w:val="0"/>
      <w:divBdr>
        <w:top w:val="none" w:sz="0" w:space="0" w:color="auto"/>
        <w:left w:val="none" w:sz="0" w:space="0" w:color="auto"/>
        <w:bottom w:val="none" w:sz="0" w:space="0" w:color="auto"/>
        <w:right w:val="none" w:sz="0" w:space="0" w:color="auto"/>
      </w:divBdr>
    </w:div>
    <w:div w:id="940256005">
      <w:bodyDiv w:val="1"/>
      <w:marLeft w:val="0"/>
      <w:marRight w:val="0"/>
      <w:marTop w:val="0"/>
      <w:marBottom w:val="0"/>
      <w:divBdr>
        <w:top w:val="none" w:sz="0" w:space="0" w:color="auto"/>
        <w:left w:val="none" w:sz="0" w:space="0" w:color="auto"/>
        <w:bottom w:val="none" w:sz="0" w:space="0" w:color="auto"/>
        <w:right w:val="none" w:sz="0" w:space="0" w:color="auto"/>
      </w:divBdr>
    </w:div>
    <w:div w:id="965547365">
      <w:bodyDiv w:val="1"/>
      <w:marLeft w:val="0"/>
      <w:marRight w:val="0"/>
      <w:marTop w:val="0"/>
      <w:marBottom w:val="0"/>
      <w:divBdr>
        <w:top w:val="none" w:sz="0" w:space="0" w:color="auto"/>
        <w:left w:val="none" w:sz="0" w:space="0" w:color="auto"/>
        <w:bottom w:val="none" w:sz="0" w:space="0" w:color="auto"/>
        <w:right w:val="none" w:sz="0" w:space="0" w:color="auto"/>
      </w:divBdr>
    </w:div>
    <w:div w:id="989870916">
      <w:bodyDiv w:val="1"/>
      <w:marLeft w:val="0"/>
      <w:marRight w:val="0"/>
      <w:marTop w:val="0"/>
      <w:marBottom w:val="0"/>
      <w:divBdr>
        <w:top w:val="none" w:sz="0" w:space="0" w:color="auto"/>
        <w:left w:val="none" w:sz="0" w:space="0" w:color="auto"/>
        <w:bottom w:val="none" w:sz="0" w:space="0" w:color="auto"/>
        <w:right w:val="none" w:sz="0" w:space="0" w:color="auto"/>
      </w:divBdr>
    </w:div>
    <w:div w:id="1023167930">
      <w:bodyDiv w:val="1"/>
      <w:marLeft w:val="0"/>
      <w:marRight w:val="0"/>
      <w:marTop w:val="0"/>
      <w:marBottom w:val="0"/>
      <w:divBdr>
        <w:top w:val="none" w:sz="0" w:space="0" w:color="auto"/>
        <w:left w:val="none" w:sz="0" w:space="0" w:color="auto"/>
        <w:bottom w:val="none" w:sz="0" w:space="0" w:color="auto"/>
        <w:right w:val="none" w:sz="0" w:space="0" w:color="auto"/>
      </w:divBdr>
    </w:div>
    <w:div w:id="1120799712">
      <w:bodyDiv w:val="1"/>
      <w:marLeft w:val="0"/>
      <w:marRight w:val="0"/>
      <w:marTop w:val="0"/>
      <w:marBottom w:val="0"/>
      <w:divBdr>
        <w:top w:val="none" w:sz="0" w:space="0" w:color="auto"/>
        <w:left w:val="none" w:sz="0" w:space="0" w:color="auto"/>
        <w:bottom w:val="none" w:sz="0" w:space="0" w:color="auto"/>
        <w:right w:val="none" w:sz="0" w:space="0" w:color="auto"/>
      </w:divBdr>
    </w:div>
    <w:div w:id="1162503923">
      <w:bodyDiv w:val="1"/>
      <w:marLeft w:val="0"/>
      <w:marRight w:val="0"/>
      <w:marTop w:val="0"/>
      <w:marBottom w:val="0"/>
      <w:divBdr>
        <w:top w:val="none" w:sz="0" w:space="0" w:color="auto"/>
        <w:left w:val="none" w:sz="0" w:space="0" w:color="auto"/>
        <w:bottom w:val="none" w:sz="0" w:space="0" w:color="auto"/>
        <w:right w:val="none" w:sz="0" w:space="0" w:color="auto"/>
      </w:divBdr>
    </w:div>
    <w:div w:id="1171875215">
      <w:bodyDiv w:val="1"/>
      <w:marLeft w:val="0"/>
      <w:marRight w:val="0"/>
      <w:marTop w:val="0"/>
      <w:marBottom w:val="0"/>
      <w:divBdr>
        <w:top w:val="none" w:sz="0" w:space="0" w:color="auto"/>
        <w:left w:val="none" w:sz="0" w:space="0" w:color="auto"/>
        <w:bottom w:val="none" w:sz="0" w:space="0" w:color="auto"/>
        <w:right w:val="none" w:sz="0" w:space="0" w:color="auto"/>
      </w:divBdr>
    </w:div>
    <w:div w:id="1200321915">
      <w:bodyDiv w:val="1"/>
      <w:marLeft w:val="0"/>
      <w:marRight w:val="0"/>
      <w:marTop w:val="0"/>
      <w:marBottom w:val="0"/>
      <w:divBdr>
        <w:top w:val="none" w:sz="0" w:space="0" w:color="auto"/>
        <w:left w:val="none" w:sz="0" w:space="0" w:color="auto"/>
        <w:bottom w:val="none" w:sz="0" w:space="0" w:color="auto"/>
        <w:right w:val="none" w:sz="0" w:space="0" w:color="auto"/>
      </w:divBdr>
    </w:div>
    <w:div w:id="1261110330">
      <w:bodyDiv w:val="1"/>
      <w:marLeft w:val="0"/>
      <w:marRight w:val="0"/>
      <w:marTop w:val="0"/>
      <w:marBottom w:val="0"/>
      <w:divBdr>
        <w:top w:val="none" w:sz="0" w:space="0" w:color="auto"/>
        <w:left w:val="none" w:sz="0" w:space="0" w:color="auto"/>
        <w:bottom w:val="none" w:sz="0" w:space="0" w:color="auto"/>
        <w:right w:val="none" w:sz="0" w:space="0" w:color="auto"/>
      </w:divBdr>
    </w:div>
    <w:div w:id="1277830683">
      <w:bodyDiv w:val="1"/>
      <w:marLeft w:val="0"/>
      <w:marRight w:val="0"/>
      <w:marTop w:val="0"/>
      <w:marBottom w:val="0"/>
      <w:divBdr>
        <w:top w:val="none" w:sz="0" w:space="0" w:color="auto"/>
        <w:left w:val="none" w:sz="0" w:space="0" w:color="auto"/>
        <w:bottom w:val="none" w:sz="0" w:space="0" w:color="auto"/>
        <w:right w:val="none" w:sz="0" w:space="0" w:color="auto"/>
      </w:divBdr>
    </w:div>
    <w:div w:id="1285694125">
      <w:bodyDiv w:val="1"/>
      <w:marLeft w:val="0"/>
      <w:marRight w:val="0"/>
      <w:marTop w:val="0"/>
      <w:marBottom w:val="0"/>
      <w:divBdr>
        <w:top w:val="none" w:sz="0" w:space="0" w:color="auto"/>
        <w:left w:val="none" w:sz="0" w:space="0" w:color="auto"/>
        <w:bottom w:val="none" w:sz="0" w:space="0" w:color="auto"/>
        <w:right w:val="none" w:sz="0" w:space="0" w:color="auto"/>
      </w:divBdr>
    </w:div>
    <w:div w:id="1362053604">
      <w:bodyDiv w:val="1"/>
      <w:marLeft w:val="0"/>
      <w:marRight w:val="0"/>
      <w:marTop w:val="0"/>
      <w:marBottom w:val="0"/>
      <w:divBdr>
        <w:top w:val="none" w:sz="0" w:space="0" w:color="auto"/>
        <w:left w:val="none" w:sz="0" w:space="0" w:color="auto"/>
        <w:bottom w:val="none" w:sz="0" w:space="0" w:color="auto"/>
        <w:right w:val="none" w:sz="0" w:space="0" w:color="auto"/>
      </w:divBdr>
    </w:div>
    <w:div w:id="1371148662">
      <w:bodyDiv w:val="1"/>
      <w:marLeft w:val="0"/>
      <w:marRight w:val="0"/>
      <w:marTop w:val="0"/>
      <w:marBottom w:val="0"/>
      <w:divBdr>
        <w:top w:val="none" w:sz="0" w:space="0" w:color="auto"/>
        <w:left w:val="none" w:sz="0" w:space="0" w:color="auto"/>
        <w:bottom w:val="none" w:sz="0" w:space="0" w:color="auto"/>
        <w:right w:val="none" w:sz="0" w:space="0" w:color="auto"/>
      </w:divBdr>
    </w:div>
    <w:div w:id="1383793771">
      <w:bodyDiv w:val="1"/>
      <w:marLeft w:val="0"/>
      <w:marRight w:val="0"/>
      <w:marTop w:val="0"/>
      <w:marBottom w:val="0"/>
      <w:divBdr>
        <w:top w:val="none" w:sz="0" w:space="0" w:color="auto"/>
        <w:left w:val="none" w:sz="0" w:space="0" w:color="auto"/>
        <w:bottom w:val="none" w:sz="0" w:space="0" w:color="auto"/>
        <w:right w:val="none" w:sz="0" w:space="0" w:color="auto"/>
      </w:divBdr>
    </w:div>
    <w:div w:id="1430659498">
      <w:bodyDiv w:val="1"/>
      <w:marLeft w:val="0"/>
      <w:marRight w:val="0"/>
      <w:marTop w:val="0"/>
      <w:marBottom w:val="0"/>
      <w:divBdr>
        <w:top w:val="none" w:sz="0" w:space="0" w:color="auto"/>
        <w:left w:val="none" w:sz="0" w:space="0" w:color="auto"/>
        <w:bottom w:val="none" w:sz="0" w:space="0" w:color="auto"/>
        <w:right w:val="none" w:sz="0" w:space="0" w:color="auto"/>
      </w:divBdr>
    </w:div>
    <w:div w:id="1454859857">
      <w:bodyDiv w:val="1"/>
      <w:marLeft w:val="0"/>
      <w:marRight w:val="0"/>
      <w:marTop w:val="0"/>
      <w:marBottom w:val="0"/>
      <w:divBdr>
        <w:top w:val="none" w:sz="0" w:space="0" w:color="auto"/>
        <w:left w:val="none" w:sz="0" w:space="0" w:color="auto"/>
        <w:bottom w:val="none" w:sz="0" w:space="0" w:color="auto"/>
        <w:right w:val="none" w:sz="0" w:space="0" w:color="auto"/>
      </w:divBdr>
    </w:div>
    <w:div w:id="1538933892">
      <w:bodyDiv w:val="1"/>
      <w:marLeft w:val="0"/>
      <w:marRight w:val="0"/>
      <w:marTop w:val="0"/>
      <w:marBottom w:val="0"/>
      <w:divBdr>
        <w:top w:val="none" w:sz="0" w:space="0" w:color="auto"/>
        <w:left w:val="none" w:sz="0" w:space="0" w:color="auto"/>
        <w:bottom w:val="none" w:sz="0" w:space="0" w:color="auto"/>
        <w:right w:val="none" w:sz="0" w:space="0" w:color="auto"/>
      </w:divBdr>
    </w:div>
    <w:div w:id="1814063358">
      <w:bodyDiv w:val="1"/>
      <w:marLeft w:val="0"/>
      <w:marRight w:val="0"/>
      <w:marTop w:val="0"/>
      <w:marBottom w:val="0"/>
      <w:divBdr>
        <w:top w:val="none" w:sz="0" w:space="0" w:color="auto"/>
        <w:left w:val="none" w:sz="0" w:space="0" w:color="auto"/>
        <w:bottom w:val="none" w:sz="0" w:space="0" w:color="auto"/>
        <w:right w:val="none" w:sz="0" w:space="0" w:color="auto"/>
      </w:divBdr>
    </w:div>
    <w:div w:id="1814643034">
      <w:bodyDiv w:val="1"/>
      <w:marLeft w:val="0"/>
      <w:marRight w:val="0"/>
      <w:marTop w:val="0"/>
      <w:marBottom w:val="0"/>
      <w:divBdr>
        <w:top w:val="none" w:sz="0" w:space="0" w:color="auto"/>
        <w:left w:val="none" w:sz="0" w:space="0" w:color="auto"/>
        <w:bottom w:val="none" w:sz="0" w:space="0" w:color="auto"/>
        <w:right w:val="none" w:sz="0" w:space="0" w:color="auto"/>
      </w:divBdr>
    </w:div>
    <w:div w:id="1865366858">
      <w:bodyDiv w:val="1"/>
      <w:marLeft w:val="0"/>
      <w:marRight w:val="0"/>
      <w:marTop w:val="0"/>
      <w:marBottom w:val="0"/>
      <w:divBdr>
        <w:top w:val="none" w:sz="0" w:space="0" w:color="auto"/>
        <w:left w:val="none" w:sz="0" w:space="0" w:color="auto"/>
        <w:bottom w:val="none" w:sz="0" w:space="0" w:color="auto"/>
        <w:right w:val="none" w:sz="0" w:space="0" w:color="auto"/>
      </w:divBdr>
    </w:div>
    <w:div w:id="1876497545">
      <w:bodyDiv w:val="1"/>
      <w:marLeft w:val="0"/>
      <w:marRight w:val="0"/>
      <w:marTop w:val="0"/>
      <w:marBottom w:val="0"/>
      <w:divBdr>
        <w:top w:val="none" w:sz="0" w:space="0" w:color="auto"/>
        <w:left w:val="none" w:sz="0" w:space="0" w:color="auto"/>
        <w:bottom w:val="none" w:sz="0" w:space="0" w:color="auto"/>
        <w:right w:val="none" w:sz="0" w:space="0" w:color="auto"/>
      </w:divBdr>
    </w:div>
    <w:div w:id="1942377769">
      <w:bodyDiv w:val="1"/>
      <w:marLeft w:val="0"/>
      <w:marRight w:val="0"/>
      <w:marTop w:val="0"/>
      <w:marBottom w:val="0"/>
      <w:divBdr>
        <w:top w:val="none" w:sz="0" w:space="0" w:color="auto"/>
        <w:left w:val="none" w:sz="0" w:space="0" w:color="auto"/>
        <w:bottom w:val="none" w:sz="0" w:space="0" w:color="auto"/>
        <w:right w:val="none" w:sz="0" w:space="0" w:color="auto"/>
      </w:divBdr>
    </w:div>
    <w:div w:id="1958826538">
      <w:bodyDiv w:val="1"/>
      <w:marLeft w:val="0"/>
      <w:marRight w:val="0"/>
      <w:marTop w:val="0"/>
      <w:marBottom w:val="0"/>
      <w:divBdr>
        <w:top w:val="none" w:sz="0" w:space="0" w:color="auto"/>
        <w:left w:val="none" w:sz="0" w:space="0" w:color="auto"/>
        <w:bottom w:val="none" w:sz="0" w:space="0" w:color="auto"/>
        <w:right w:val="none" w:sz="0" w:space="0" w:color="auto"/>
      </w:divBdr>
    </w:div>
    <w:div w:id="2075928855">
      <w:bodyDiv w:val="1"/>
      <w:marLeft w:val="0"/>
      <w:marRight w:val="0"/>
      <w:marTop w:val="0"/>
      <w:marBottom w:val="0"/>
      <w:divBdr>
        <w:top w:val="none" w:sz="0" w:space="0" w:color="auto"/>
        <w:left w:val="none" w:sz="0" w:space="0" w:color="auto"/>
        <w:bottom w:val="none" w:sz="0" w:space="0" w:color="auto"/>
        <w:right w:val="none" w:sz="0" w:space="0" w:color="auto"/>
      </w:divBdr>
    </w:div>
    <w:div w:id="2082867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14</TotalTime>
  <Pages>7</Pages>
  <Words>1605</Words>
  <Characters>11265</Characters>
  <Application>Microsoft Office Word</Application>
  <DocSecurity>0</DocSecurity>
  <Lines>93</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2024074653 mt</dc:description>
  <cp:lastModifiedBy>Hanne Thy Iversen</cp:lastModifiedBy>
  <cp:revision>7</cp:revision>
  <cp:lastPrinted>2012-08-22T08:53:00Z</cp:lastPrinted>
  <dcterms:created xsi:type="dcterms:W3CDTF">2026-08-31T08:46:00Z</dcterms:created>
  <dcterms:modified xsi:type="dcterms:W3CDTF">2026-09-02T10:45:00Z</dcterms:modified>
</cp:coreProperties>
</file>