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837" w:rsidRPr="002A1856" w:rsidRDefault="00A17837" w:rsidP="00A17837">
      <w:pPr>
        <w:rPr>
          <w:sz w:val="24"/>
          <w:szCs w:val="24"/>
        </w:rPr>
      </w:pPr>
      <w:bookmarkStart w:id="0" w:name="_GoBack"/>
      <w:bookmarkEnd w:id="0"/>
      <w:r w:rsidRPr="002A1856">
        <w:rPr>
          <w:noProof/>
          <w:sz w:val="24"/>
          <w:szCs w:val="24"/>
          <w:lang w:eastAsia="da-DK"/>
        </w:rPr>
        <w:drawing>
          <wp:anchor distT="0" distB="0" distL="114300" distR="114300" simplePos="0" relativeHeight="251659264" behindDoc="0" locked="0" layoutInCell="1" allowOverlap="1" wp14:anchorId="742EC7BF" wp14:editId="41B1E6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A1856">
        <w:rPr>
          <w:sz w:val="24"/>
          <w:szCs w:val="24"/>
        </w:rPr>
        <w:br w:type="textWrapping" w:clear="all"/>
      </w:r>
    </w:p>
    <w:p w:rsidR="00A17837" w:rsidRPr="002A1856" w:rsidRDefault="00A17837" w:rsidP="00A17837">
      <w:pPr>
        <w:pStyle w:val="Titel"/>
        <w:tabs>
          <w:tab w:val="right" w:pos="9356"/>
        </w:tabs>
        <w:jc w:val="left"/>
        <w:rPr>
          <w:szCs w:val="24"/>
          <w:lang w:eastAsia="en-US"/>
        </w:rPr>
      </w:pPr>
      <w:r w:rsidRPr="002A1856">
        <w:rPr>
          <w:b w:val="0"/>
          <w:szCs w:val="24"/>
          <w:lang w:eastAsia="en-US"/>
        </w:rPr>
        <w:tab/>
      </w:r>
      <w:r w:rsidR="002A1856" w:rsidRPr="002A1856">
        <w:rPr>
          <w:szCs w:val="24"/>
          <w:lang w:eastAsia="en-US"/>
        </w:rPr>
        <w:t>3. februar 2025</w:t>
      </w:r>
    </w:p>
    <w:p w:rsidR="00A17837" w:rsidRPr="002A1856" w:rsidRDefault="00A17837" w:rsidP="00A17837">
      <w:pPr>
        <w:pStyle w:val="Titel"/>
        <w:jc w:val="left"/>
        <w:rPr>
          <w:b w:val="0"/>
          <w:szCs w:val="24"/>
        </w:rPr>
      </w:pPr>
    </w:p>
    <w:p w:rsidR="00A17837" w:rsidRPr="002A1856" w:rsidRDefault="00A17837" w:rsidP="00A17837">
      <w:pPr>
        <w:pStyle w:val="Titel"/>
        <w:jc w:val="left"/>
        <w:rPr>
          <w:b w:val="0"/>
          <w:szCs w:val="24"/>
        </w:rPr>
      </w:pPr>
    </w:p>
    <w:p w:rsidR="00A17837" w:rsidRPr="002A1856" w:rsidRDefault="00A17837" w:rsidP="00A17837">
      <w:pPr>
        <w:jc w:val="center"/>
        <w:rPr>
          <w:b/>
          <w:sz w:val="24"/>
          <w:szCs w:val="24"/>
        </w:rPr>
      </w:pPr>
      <w:r w:rsidRPr="002A1856">
        <w:rPr>
          <w:b/>
          <w:sz w:val="24"/>
          <w:szCs w:val="24"/>
        </w:rPr>
        <w:t>PRODUKTRESUMÉ</w:t>
      </w:r>
    </w:p>
    <w:p w:rsidR="00A17837" w:rsidRPr="002A1856" w:rsidRDefault="00A17837" w:rsidP="00A17837">
      <w:pPr>
        <w:jc w:val="center"/>
        <w:rPr>
          <w:b/>
          <w:sz w:val="24"/>
          <w:szCs w:val="24"/>
        </w:rPr>
      </w:pPr>
    </w:p>
    <w:p w:rsidR="00A17837" w:rsidRPr="002A1856" w:rsidRDefault="00A17837" w:rsidP="00A17837">
      <w:pPr>
        <w:tabs>
          <w:tab w:val="left" w:pos="560"/>
          <w:tab w:val="center" w:pos="4819"/>
        </w:tabs>
        <w:rPr>
          <w:b/>
          <w:sz w:val="24"/>
          <w:szCs w:val="24"/>
        </w:rPr>
      </w:pPr>
      <w:r w:rsidRPr="002A1856">
        <w:rPr>
          <w:b/>
          <w:sz w:val="24"/>
          <w:szCs w:val="24"/>
        </w:rPr>
        <w:tab/>
      </w:r>
      <w:r w:rsidRPr="002A1856">
        <w:rPr>
          <w:b/>
          <w:sz w:val="24"/>
          <w:szCs w:val="24"/>
        </w:rPr>
        <w:tab/>
        <w:t>for</w:t>
      </w:r>
    </w:p>
    <w:p w:rsidR="00A17837" w:rsidRPr="002A1856" w:rsidRDefault="00A17837" w:rsidP="00A17837">
      <w:pPr>
        <w:jc w:val="center"/>
        <w:rPr>
          <w:b/>
          <w:sz w:val="24"/>
          <w:szCs w:val="24"/>
        </w:rPr>
      </w:pPr>
    </w:p>
    <w:p w:rsidR="00A17837" w:rsidRPr="002A1856" w:rsidRDefault="00A17837" w:rsidP="00A17837">
      <w:pPr>
        <w:jc w:val="center"/>
        <w:rPr>
          <w:b/>
          <w:sz w:val="24"/>
          <w:szCs w:val="24"/>
        </w:rPr>
      </w:pPr>
      <w:r w:rsidRPr="002A1856">
        <w:rPr>
          <w:b/>
          <w:sz w:val="24"/>
          <w:szCs w:val="24"/>
        </w:rPr>
        <w:t>Lipistad, filmovertrukne tabletter</w:t>
      </w:r>
    </w:p>
    <w:p w:rsidR="00A17837" w:rsidRPr="002A1856" w:rsidRDefault="00A17837" w:rsidP="00A17837">
      <w:pPr>
        <w:jc w:val="both"/>
        <w:rPr>
          <w:sz w:val="24"/>
          <w:szCs w:val="24"/>
        </w:rPr>
      </w:pPr>
    </w:p>
    <w:p w:rsidR="002A1856" w:rsidRPr="002A1856" w:rsidRDefault="002A1856" w:rsidP="002A1856">
      <w:pPr>
        <w:ind w:left="851" w:hanging="851"/>
        <w:jc w:val="both"/>
        <w:rPr>
          <w:sz w:val="24"/>
          <w:szCs w:val="24"/>
        </w:rPr>
      </w:pPr>
    </w:p>
    <w:p w:rsidR="002A1856" w:rsidRPr="002A1856" w:rsidRDefault="002A1856" w:rsidP="002A1856">
      <w:pPr>
        <w:ind w:left="851" w:hanging="851"/>
        <w:rPr>
          <w:b/>
          <w:sz w:val="24"/>
          <w:szCs w:val="24"/>
        </w:rPr>
      </w:pPr>
      <w:r w:rsidRPr="002A1856">
        <w:rPr>
          <w:b/>
          <w:sz w:val="24"/>
          <w:szCs w:val="24"/>
        </w:rPr>
        <w:t>0.</w:t>
      </w:r>
      <w:r w:rsidRPr="002A1856">
        <w:rPr>
          <w:b/>
          <w:sz w:val="24"/>
          <w:szCs w:val="24"/>
        </w:rPr>
        <w:tab/>
        <w:t>D.SP.NR.</w:t>
      </w:r>
    </w:p>
    <w:p w:rsidR="002A1856" w:rsidRPr="002A1856" w:rsidRDefault="002A1856" w:rsidP="002A1856">
      <w:pPr>
        <w:ind w:left="851"/>
        <w:rPr>
          <w:sz w:val="24"/>
          <w:szCs w:val="24"/>
        </w:rPr>
      </w:pPr>
      <w:r w:rsidRPr="002A1856">
        <w:rPr>
          <w:sz w:val="24"/>
          <w:szCs w:val="24"/>
        </w:rPr>
        <w:t>29485</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1.</w:t>
      </w:r>
      <w:r w:rsidRPr="002A1856">
        <w:rPr>
          <w:b/>
          <w:sz w:val="24"/>
          <w:szCs w:val="24"/>
        </w:rPr>
        <w:tab/>
        <w:t>LÆGEMIDLETS NAVN</w:t>
      </w:r>
    </w:p>
    <w:p w:rsidR="002A1856" w:rsidRPr="002A1856" w:rsidRDefault="002A1856" w:rsidP="002A1856">
      <w:pPr>
        <w:ind w:left="851"/>
        <w:rPr>
          <w:sz w:val="24"/>
          <w:szCs w:val="24"/>
        </w:rPr>
      </w:pPr>
      <w:r w:rsidRPr="002A1856">
        <w:rPr>
          <w:sz w:val="24"/>
          <w:szCs w:val="24"/>
        </w:rPr>
        <w:t>Lipistad 10 mg filmovertrukne tabletter</w:t>
      </w:r>
    </w:p>
    <w:p w:rsidR="002A1856" w:rsidRPr="002A1856" w:rsidRDefault="002A1856" w:rsidP="002A1856">
      <w:pPr>
        <w:ind w:left="851"/>
        <w:rPr>
          <w:sz w:val="24"/>
          <w:szCs w:val="24"/>
        </w:rPr>
      </w:pPr>
      <w:r w:rsidRPr="002A1856">
        <w:rPr>
          <w:sz w:val="24"/>
          <w:szCs w:val="24"/>
        </w:rPr>
        <w:t>Lipistad 20 mg filmovertrukne tabletter</w:t>
      </w:r>
    </w:p>
    <w:p w:rsidR="002A1856" w:rsidRPr="002A1856" w:rsidRDefault="002A1856" w:rsidP="002A1856">
      <w:pPr>
        <w:ind w:left="851"/>
        <w:rPr>
          <w:sz w:val="24"/>
          <w:szCs w:val="24"/>
        </w:rPr>
      </w:pPr>
      <w:r w:rsidRPr="002A1856">
        <w:rPr>
          <w:sz w:val="24"/>
          <w:szCs w:val="24"/>
        </w:rPr>
        <w:t>Lipistad 40 mg filmovertrukne tabletter</w:t>
      </w:r>
    </w:p>
    <w:p w:rsidR="002A1856" w:rsidRPr="002A1856" w:rsidRDefault="002A1856" w:rsidP="002A1856">
      <w:pPr>
        <w:ind w:left="851"/>
        <w:rPr>
          <w:sz w:val="24"/>
          <w:szCs w:val="24"/>
        </w:rPr>
      </w:pPr>
      <w:r w:rsidRPr="002A1856">
        <w:rPr>
          <w:sz w:val="24"/>
          <w:szCs w:val="24"/>
        </w:rPr>
        <w:t>Lipistad 80 mg filmovertrukne tabletter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2.</w:t>
      </w:r>
      <w:r w:rsidRPr="002A1856">
        <w:rPr>
          <w:b/>
          <w:sz w:val="24"/>
          <w:szCs w:val="24"/>
        </w:rPr>
        <w:tab/>
        <w:t>KVALITATIV OG KVANTITATIV SAMMENSÆTNING</w:t>
      </w:r>
    </w:p>
    <w:p w:rsidR="002A1856" w:rsidRPr="002A1856" w:rsidRDefault="002A1856" w:rsidP="002A1856">
      <w:pPr>
        <w:ind w:left="851"/>
        <w:rPr>
          <w:b/>
          <w:bCs/>
          <w:sz w:val="24"/>
          <w:szCs w:val="24"/>
        </w:rPr>
      </w:pPr>
      <w:r w:rsidRPr="002A1856">
        <w:rPr>
          <w:b/>
          <w:bCs/>
          <w:sz w:val="24"/>
          <w:szCs w:val="24"/>
        </w:rPr>
        <w:t>Lipistad 10 mg filmovertrukne tabletter</w:t>
      </w:r>
    </w:p>
    <w:p w:rsidR="002A1856" w:rsidRPr="002A1856" w:rsidRDefault="002A1856" w:rsidP="002A1856">
      <w:pPr>
        <w:ind w:left="851"/>
        <w:rPr>
          <w:sz w:val="24"/>
          <w:szCs w:val="24"/>
        </w:rPr>
      </w:pPr>
      <w:r w:rsidRPr="002A1856">
        <w:rPr>
          <w:sz w:val="24"/>
          <w:szCs w:val="24"/>
        </w:rPr>
        <w:t>Hver filmovertrukket tablet indeholder 10 mg atorvastatin (som atorvastatincalcium</w:t>
      </w:r>
      <w:r w:rsidRPr="002A1856">
        <w:rPr>
          <w:sz w:val="24"/>
          <w:szCs w:val="24"/>
        </w:rPr>
        <w:softHyphen/>
        <w:t xml:space="preserve">trihydrat). </w:t>
      </w:r>
    </w:p>
    <w:p w:rsidR="002A1856" w:rsidRPr="002A1856" w:rsidRDefault="002A1856" w:rsidP="002A1856">
      <w:pPr>
        <w:ind w:left="851"/>
        <w:rPr>
          <w:sz w:val="24"/>
          <w:szCs w:val="24"/>
        </w:rPr>
      </w:pPr>
    </w:p>
    <w:p w:rsidR="002A1856" w:rsidRPr="002A1856" w:rsidRDefault="002A1856" w:rsidP="002A1856">
      <w:pPr>
        <w:ind w:left="851"/>
        <w:rPr>
          <w:sz w:val="24"/>
          <w:szCs w:val="24"/>
          <w:u w:val="single"/>
        </w:rPr>
      </w:pPr>
      <w:r w:rsidRPr="002A1856">
        <w:rPr>
          <w:sz w:val="24"/>
          <w:szCs w:val="24"/>
          <w:u w:val="single"/>
        </w:rPr>
        <w:t>Hjælpestof(fer), som behandleren skal være opmærksom på</w:t>
      </w:r>
    </w:p>
    <w:p w:rsidR="002A1856" w:rsidRPr="002A1856" w:rsidRDefault="002A1856" w:rsidP="002A1856">
      <w:pPr>
        <w:ind w:left="851"/>
        <w:rPr>
          <w:sz w:val="24"/>
          <w:szCs w:val="24"/>
        </w:rPr>
      </w:pPr>
      <w:r w:rsidRPr="002A1856">
        <w:rPr>
          <w:sz w:val="24"/>
          <w:szCs w:val="24"/>
        </w:rPr>
        <w:t>Hver filmovertrukket tablet indeholder 39 mg lactosemonohydrat.</w:t>
      </w:r>
    </w:p>
    <w:p w:rsidR="002A1856" w:rsidRPr="002A1856" w:rsidRDefault="002A1856" w:rsidP="002A1856">
      <w:pPr>
        <w:ind w:left="851"/>
        <w:rPr>
          <w:sz w:val="24"/>
          <w:szCs w:val="24"/>
        </w:rPr>
      </w:pPr>
    </w:p>
    <w:p w:rsidR="002A1856" w:rsidRPr="002A1856" w:rsidRDefault="002A1856" w:rsidP="002A1856">
      <w:pPr>
        <w:ind w:left="851"/>
        <w:rPr>
          <w:b/>
          <w:bCs/>
          <w:sz w:val="24"/>
          <w:szCs w:val="24"/>
        </w:rPr>
      </w:pPr>
      <w:r w:rsidRPr="002A1856">
        <w:rPr>
          <w:b/>
          <w:bCs/>
          <w:sz w:val="24"/>
          <w:szCs w:val="24"/>
        </w:rPr>
        <w:t>Lipistad 20 mg filmovertrukne tabletter</w:t>
      </w:r>
    </w:p>
    <w:p w:rsidR="002A1856" w:rsidRPr="002A1856" w:rsidRDefault="002A1856" w:rsidP="002A1856">
      <w:pPr>
        <w:ind w:left="851"/>
        <w:rPr>
          <w:sz w:val="24"/>
          <w:szCs w:val="24"/>
        </w:rPr>
      </w:pPr>
      <w:r w:rsidRPr="002A1856">
        <w:rPr>
          <w:sz w:val="24"/>
          <w:szCs w:val="24"/>
        </w:rPr>
        <w:t>Hver filmovertrukket tablet indeholder 20 mg atorvastatin (som atorvastatincalcium</w:t>
      </w:r>
      <w:r w:rsidRPr="002A1856">
        <w:rPr>
          <w:sz w:val="24"/>
          <w:szCs w:val="24"/>
        </w:rPr>
        <w:softHyphen/>
        <w:t xml:space="preserve">trihydrat). </w:t>
      </w:r>
    </w:p>
    <w:p w:rsidR="002A1856" w:rsidRPr="002A1856" w:rsidRDefault="002A1856" w:rsidP="002A1856">
      <w:pPr>
        <w:ind w:left="851"/>
        <w:rPr>
          <w:sz w:val="24"/>
          <w:szCs w:val="24"/>
          <w:u w:val="single"/>
        </w:rPr>
      </w:pPr>
    </w:p>
    <w:p w:rsidR="002A1856" w:rsidRPr="002A1856" w:rsidRDefault="002A1856" w:rsidP="002A1856">
      <w:pPr>
        <w:ind w:left="851"/>
        <w:rPr>
          <w:sz w:val="24"/>
          <w:szCs w:val="24"/>
          <w:u w:val="single"/>
        </w:rPr>
      </w:pPr>
      <w:r w:rsidRPr="002A1856">
        <w:rPr>
          <w:sz w:val="24"/>
          <w:szCs w:val="24"/>
          <w:u w:val="single"/>
        </w:rPr>
        <w:t>Hjælpestof(fer), som behandleren skal være opmærksom på</w:t>
      </w:r>
    </w:p>
    <w:p w:rsidR="002A1856" w:rsidRPr="002A1856" w:rsidRDefault="002A1856" w:rsidP="002A1856">
      <w:pPr>
        <w:ind w:left="851"/>
        <w:rPr>
          <w:sz w:val="24"/>
          <w:szCs w:val="24"/>
        </w:rPr>
      </w:pPr>
      <w:r w:rsidRPr="002A1856">
        <w:rPr>
          <w:sz w:val="24"/>
          <w:szCs w:val="24"/>
        </w:rPr>
        <w:t>Hver filmovertrukket tablet indeholder 78 mg lactosemonohydrat.</w:t>
      </w:r>
    </w:p>
    <w:p w:rsidR="002A1856" w:rsidRPr="002A1856" w:rsidRDefault="002A1856" w:rsidP="002A1856">
      <w:pPr>
        <w:ind w:left="851"/>
        <w:rPr>
          <w:sz w:val="24"/>
          <w:szCs w:val="24"/>
        </w:rPr>
      </w:pPr>
    </w:p>
    <w:p w:rsidR="002A1856" w:rsidRPr="002A1856" w:rsidRDefault="002A1856" w:rsidP="002A1856">
      <w:pPr>
        <w:ind w:left="851"/>
        <w:rPr>
          <w:b/>
          <w:bCs/>
          <w:sz w:val="24"/>
          <w:szCs w:val="24"/>
        </w:rPr>
      </w:pPr>
      <w:r w:rsidRPr="002A1856">
        <w:rPr>
          <w:b/>
          <w:bCs/>
          <w:sz w:val="24"/>
          <w:szCs w:val="24"/>
        </w:rPr>
        <w:t>Lipistad 40 mg filmovertrukne tabletter</w:t>
      </w:r>
    </w:p>
    <w:p w:rsidR="002A1856" w:rsidRPr="002A1856" w:rsidRDefault="002A1856" w:rsidP="002A1856">
      <w:pPr>
        <w:ind w:left="851"/>
        <w:rPr>
          <w:sz w:val="24"/>
          <w:szCs w:val="24"/>
        </w:rPr>
      </w:pPr>
      <w:r w:rsidRPr="002A1856">
        <w:rPr>
          <w:sz w:val="24"/>
          <w:szCs w:val="24"/>
        </w:rPr>
        <w:t>Hver filmovertrukket tablet indeholder 40 mg atorvastatin (som atorvastatincalcium</w:t>
      </w:r>
      <w:r w:rsidRPr="002A1856">
        <w:rPr>
          <w:sz w:val="24"/>
          <w:szCs w:val="24"/>
        </w:rPr>
        <w:softHyphen/>
        <w:t xml:space="preserve">trihydrat). </w:t>
      </w:r>
    </w:p>
    <w:p w:rsidR="002A1856" w:rsidRPr="002A1856" w:rsidRDefault="002A1856" w:rsidP="002A1856">
      <w:pPr>
        <w:ind w:left="851"/>
        <w:rPr>
          <w:sz w:val="24"/>
          <w:szCs w:val="24"/>
          <w:u w:val="single"/>
        </w:rPr>
      </w:pPr>
    </w:p>
    <w:p w:rsidR="002A1856" w:rsidRPr="002A1856" w:rsidRDefault="002A1856" w:rsidP="002A1856">
      <w:pPr>
        <w:ind w:left="851"/>
        <w:rPr>
          <w:sz w:val="24"/>
          <w:szCs w:val="24"/>
          <w:u w:val="single"/>
        </w:rPr>
      </w:pPr>
      <w:r w:rsidRPr="002A1856">
        <w:rPr>
          <w:sz w:val="24"/>
          <w:szCs w:val="24"/>
          <w:u w:val="single"/>
        </w:rPr>
        <w:t>Hjælpestof(fer), som behandleren skal være opmærksom på</w:t>
      </w:r>
    </w:p>
    <w:p w:rsidR="002A1856" w:rsidRPr="002A1856" w:rsidRDefault="002A1856" w:rsidP="002A1856">
      <w:pPr>
        <w:ind w:left="851"/>
        <w:rPr>
          <w:sz w:val="24"/>
          <w:szCs w:val="24"/>
        </w:rPr>
      </w:pPr>
      <w:r w:rsidRPr="002A1856">
        <w:rPr>
          <w:sz w:val="24"/>
          <w:szCs w:val="24"/>
        </w:rPr>
        <w:t>Hver filmovertrukket tablet indeholder 156 mg lactosemonohydrat.</w:t>
      </w:r>
    </w:p>
    <w:p w:rsidR="002A1856" w:rsidRPr="002A1856" w:rsidRDefault="002A1856" w:rsidP="002A1856">
      <w:pPr>
        <w:ind w:left="851"/>
        <w:rPr>
          <w:sz w:val="24"/>
          <w:szCs w:val="24"/>
        </w:rPr>
      </w:pPr>
    </w:p>
    <w:p w:rsidR="002A1856" w:rsidRPr="002A1856" w:rsidRDefault="002A1856" w:rsidP="002A1856">
      <w:pPr>
        <w:ind w:left="851"/>
        <w:rPr>
          <w:b/>
          <w:bCs/>
          <w:sz w:val="24"/>
          <w:szCs w:val="24"/>
        </w:rPr>
      </w:pPr>
      <w:r w:rsidRPr="002A1856">
        <w:rPr>
          <w:b/>
          <w:bCs/>
          <w:sz w:val="24"/>
          <w:szCs w:val="24"/>
        </w:rPr>
        <w:t>Lipistad 80 mg filmovertrukne tabletter</w:t>
      </w:r>
    </w:p>
    <w:p w:rsidR="002A1856" w:rsidRPr="002A1856" w:rsidRDefault="002A1856" w:rsidP="002A1856">
      <w:pPr>
        <w:ind w:left="851"/>
        <w:rPr>
          <w:sz w:val="24"/>
          <w:szCs w:val="24"/>
        </w:rPr>
      </w:pPr>
      <w:r w:rsidRPr="002A1856">
        <w:rPr>
          <w:sz w:val="24"/>
          <w:szCs w:val="24"/>
        </w:rPr>
        <w:t>Hver filmovertrukket tablet indeholder 80 mg atorvastatin (som atorvastatincalcium</w:t>
      </w:r>
      <w:r w:rsidRPr="002A1856">
        <w:rPr>
          <w:sz w:val="24"/>
          <w:szCs w:val="24"/>
        </w:rPr>
        <w:softHyphen/>
        <w:t>trihydrat).</w:t>
      </w:r>
    </w:p>
    <w:p w:rsidR="002A1856" w:rsidRPr="002A1856" w:rsidRDefault="002A1856" w:rsidP="002A1856">
      <w:pPr>
        <w:ind w:left="851"/>
        <w:rPr>
          <w:sz w:val="24"/>
          <w:szCs w:val="24"/>
        </w:rPr>
      </w:pPr>
      <w:r w:rsidRPr="002A1856">
        <w:rPr>
          <w:sz w:val="24"/>
          <w:szCs w:val="24"/>
        </w:rPr>
        <w:t xml:space="preserve"> </w:t>
      </w:r>
    </w:p>
    <w:p w:rsidR="002A1856" w:rsidRPr="002A1856" w:rsidRDefault="002A1856" w:rsidP="002A1856">
      <w:pPr>
        <w:ind w:left="851"/>
        <w:rPr>
          <w:sz w:val="24"/>
          <w:szCs w:val="24"/>
          <w:u w:val="single"/>
        </w:rPr>
      </w:pPr>
      <w:r w:rsidRPr="002A1856">
        <w:rPr>
          <w:sz w:val="24"/>
          <w:szCs w:val="24"/>
          <w:u w:val="single"/>
        </w:rPr>
        <w:t>Hjælpestof(fer), som behandleren skal være opmærksom på</w:t>
      </w:r>
    </w:p>
    <w:p w:rsidR="002A1856" w:rsidRPr="002A1856" w:rsidRDefault="002A1856" w:rsidP="002A1856">
      <w:pPr>
        <w:ind w:left="851"/>
        <w:rPr>
          <w:sz w:val="24"/>
          <w:szCs w:val="24"/>
        </w:rPr>
      </w:pPr>
      <w:r w:rsidRPr="002A1856">
        <w:rPr>
          <w:sz w:val="24"/>
          <w:szCs w:val="24"/>
        </w:rPr>
        <w:lastRenderedPageBreak/>
        <w:t xml:space="preserve"> Hver filmovertrukket tablet indeholder 312 mg lactosemonohydrat.</w:t>
      </w:r>
    </w:p>
    <w:p w:rsidR="002A1856" w:rsidRPr="002A1856" w:rsidRDefault="002A1856" w:rsidP="002A1856">
      <w:pPr>
        <w:rPr>
          <w:sz w:val="24"/>
          <w:szCs w:val="24"/>
        </w:rPr>
      </w:pPr>
    </w:p>
    <w:p w:rsidR="002A1856" w:rsidRPr="002A1856" w:rsidRDefault="002A1856" w:rsidP="002A1856">
      <w:pPr>
        <w:ind w:left="851"/>
        <w:rPr>
          <w:sz w:val="24"/>
          <w:szCs w:val="24"/>
        </w:rPr>
      </w:pPr>
      <w:r w:rsidRPr="002A1856">
        <w:rPr>
          <w:sz w:val="24"/>
          <w:szCs w:val="24"/>
        </w:rPr>
        <w:t xml:space="preserve">Alle hjælpestoffer er anført under pkt. 6.1. </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3.</w:t>
      </w:r>
      <w:r w:rsidRPr="002A1856">
        <w:rPr>
          <w:b/>
          <w:sz w:val="24"/>
          <w:szCs w:val="24"/>
        </w:rPr>
        <w:tab/>
        <w:t>LÆGEMIDDELFORM</w:t>
      </w:r>
    </w:p>
    <w:p w:rsidR="002A1856" w:rsidRPr="002A1856" w:rsidRDefault="002A1856" w:rsidP="002A1856">
      <w:pPr>
        <w:ind w:left="851"/>
        <w:rPr>
          <w:sz w:val="24"/>
          <w:szCs w:val="24"/>
        </w:rPr>
      </w:pPr>
      <w:r w:rsidRPr="002A1856">
        <w:rPr>
          <w:sz w:val="24"/>
          <w:szCs w:val="24"/>
        </w:rPr>
        <w:t>Filmovertrukket tablet.</w:t>
      </w:r>
    </w:p>
    <w:p w:rsidR="002A1856" w:rsidRPr="002A1856" w:rsidRDefault="002A1856" w:rsidP="002A1856">
      <w:pPr>
        <w:ind w:left="851" w:hanging="851"/>
        <w:rPr>
          <w:sz w:val="24"/>
          <w:szCs w:val="24"/>
        </w:rPr>
      </w:pPr>
    </w:p>
    <w:p w:rsidR="002A1856" w:rsidRPr="002A1856" w:rsidRDefault="002A1856" w:rsidP="002A1856">
      <w:pPr>
        <w:ind w:left="851"/>
        <w:rPr>
          <w:b/>
          <w:bCs/>
          <w:sz w:val="24"/>
          <w:szCs w:val="24"/>
        </w:rPr>
      </w:pPr>
      <w:r w:rsidRPr="002A1856">
        <w:rPr>
          <w:b/>
          <w:bCs/>
          <w:sz w:val="24"/>
          <w:szCs w:val="24"/>
        </w:rPr>
        <w:t>Lipistad 10 mg filmovertrukne tabletter</w:t>
      </w:r>
    </w:p>
    <w:p w:rsidR="002A1856" w:rsidRPr="002A1856" w:rsidRDefault="002A1856" w:rsidP="002A1856">
      <w:pPr>
        <w:ind w:left="851"/>
        <w:rPr>
          <w:sz w:val="24"/>
          <w:szCs w:val="24"/>
        </w:rPr>
      </w:pPr>
      <w:r w:rsidRPr="002A1856">
        <w:rPr>
          <w:sz w:val="24"/>
          <w:szCs w:val="24"/>
        </w:rPr>
        <w:t>Hvide til råhvide, runde, bikonvekse filmovertrukne tabletter, diameter 6 mm.</w:t>
      </w:r>
    </w:p>
    <w:p w:rsidR="002A1856" w:rsidRPr="002A1856" w:rsidRDefault="002A1856" w:rsidP="002A1856">
      <w:pPr>
        <w:ind w:left="851"/>
        <w:rPr>
          <w:sz w:val="24"/>
          <w:szCs w:val="24"/>
        </w:rPr>
      </w:pPr>
    </w:p>
    <w:p w:rsidR="002A1856" w:rsidRPr="002A1856" w:rsidRDefault="002A1856" w:rsidP="002A1856">
      <w:pPr>
        <w:ind w:left="851"/>
        <w:rPr>
          <w:b/>
          <w:bCs/>
          <w:sz w:val="24"/>
          <w:szCs w:val="24"/>
        </w:rPr>
      </w:pPr>
      <w:r w:rsidRPr="002A1856">
        <w:rPr>
          <w:b/>
          <w:bCs/>
          <w:sz w:val="24"/>
          <w:szCs w:val="24"/>
        </w:rPr>
        <w:t>Lipistad 20 mg filmovertrukne tabletter</w:t>
      </w:r>
    </w:p>
    <w:p w:rsidR="002A1856" w:rsidRPr="002A1856" w:rsidRDefault="002A1856" w:rsidP="002A1856">
      <w:pPr>
        <w:ind w:left="851"/>
        <w:rPr>
          <w:sz w:val="24"/>
          <w:szCs w:val="24"/>
        </w:rPr>
      </w:pPr>
      <w:r w:rsidRPr="002A1856">
        <w:rPr>
          <w:sz w:val="24"/>
          <w:szCs w:val="24"/>
        </w:rPr>
        <w:t>Hvide til råhvide, runde, bikonvekse filmovertrukne tabletter, diameter 8 mm.</w:t>
      </w:r>
    </w:p>
    <w:p w:rsidR="002A1856" w:rsidRPr="002A1856" w:rsidRDefault="002A1856" w:rsidP="002A1856">
      <w:pPr>
        <w:ind w:left="851"/>
        <w:rPr>
          <w:sz w:val="24"/>
          <w:szCs w:val="24"/>
        </w:rPr>
      </w:pPr>
    </w:p>
    <w:p w:rsidR="002A1856" w:rsidRPr="002A1856" w:rsidRDefault="002A1856" w:rsidP="002A1856">
      <w:pPr>
        <w:ind w:left="851"/>
        <w:rPr>
          <w:b/>
          <w:bCs/>
          <w:sz w:val="24"/>
          <w:szCs w:val="24"/>
        </w:rPr>
      </w:pPr>
      <w:r w:rsidRPr="002A1856">
        <w:rPr>
          <w:b/>
          <w:bCs/>
          <w:sz w:val="24"/>
          <w:szCs w:val="24"/>
        </w:rPr>
        <w:t>Lipistad 40 mg filmovertrukne tabletter</w:t>
      </w:r>
    </w:p>
    <w:p w:rsidR="002A1856" w:rsidRPr="002A1856" w:rsidRDefault="002A1856" w:rsidP="002A1856">
      <w:pPr>
        <w:ind w:left="851"/>
        <w:rPr>
          <w:sz w:val="24"/>
          <w:szCs w:val="24"/>
        </w:rPr>
      </w:pPr>
      <w:r w:rsidRPr="002A1856">
        <w:rPr>
          <w:sz w:val="24"/>
          <w:szCs w:val="24"/>
        </w:rPr>
        <w:t>Hvide til råhvide, runde, bikonvekse filmovertrukne tabletter, diameter 10 mm.</w:t>
      </w:r>
    </w:p>
    <w:p w:rsidR="002A1856" w:rsidRPr="002A1856" w:rsidRDefault="002A1856" w:rsidP="002A1856">
      <w:pPr>
        <w:ind w:left="851"/>
        <w:rPr>
          <w:sz w:val="24"/>
          <w:szCs w:val="24"/>
        </w:rPr>
      </w:pPr>
    </w:p>
    <w:p w:rsidR="002A1856" w:rsidRPr="002A1856" w:rsidRDefault="002A1856" w:rsidP="002A1856">
      <w:pPr>
        <w:ind w:left="851"/>
        <w:rPr>
          <w:b/>
          <w:bCs/>
          <w:sz w:val="24"/>
          <w:szCs w:val="24"/>
        </w:rPr>
      </w:pPr>
      <w:r w:rsidRPr="002A1856">
        <w:rPr>
          <w:b/>
          <w:bCs/>
          <w:sz w:val="24"/>
          <w:szCs w:val="24"/>
        </w:rPr>
        <w:t>Lipistad 80 mg filmovertrukne tabletter</w:t>
      </w:r>
    </w:p>
    <w:p w:rsidR="002A1856" w:rsidRPr="002A1856" w:rsidRDefault="002A1856" w:rsidP="002A1856">
      <w:pPr>
        <w:ind w:left="851"/>
        <w:rPr>
          <w:sz w:val="24"/>
          <w:szCs w:val="24"/>
        </w:rPr>
      </w:pPr>
      <w:r w:rsidRPr="002A1856">
        <w:rPr>
          <w:sz w:val="24"/>
          <w:szCs w:val="24"/>
        </w:rPr>
        <w:t>Hvide til råhvide, runde, bikonvekse filmovertrukne tabletter, diameter 12 mm.</w:t>
      </w:r>
    </w:p>
    <w:p w:rsidR="002A1856" w:rsidRPr="002A1856" w:rsidRDefault="002A1856" w:rsidP="002A1856">
      <w:pPr>
        <w:ind w:left="851" w:hanging="851"/>
        <w:rPr>
          <w:sz w:val="24"/>
          <w:szCs w:val="24"/>
        </w:rPr>
      </w:pP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w:t>
      </w:r>
      <w:r w:rsidRPr="002A1856">
        <w:rPr>
          <w:b/>
          <w:sz w:val="24"/>
          <w:szCs w:val="24"/>
        </w:rPr>
        <w:tab/>
        <w:t>KLINISKE OPLYSNINGER</w:t>
      </w:r>
    </w:p>
    <w:p w:rsidR="002A1856" w:rsidRPr="002A1856" w:rsidRDefault="002A1856" w:rsidP="002A1856">
      <w:pPr>
        <w:ind w:left="851" w:hanging="851"/>
        <w:rPr>
          <w:b/>
          <w:sz w:val="24"/>
          <w:szCs w:val="24"/>
        </w:rPr>
      </w:pPr>
    </w:p>
    <w:p w:rsidR="002A1856" w:rsidRPr="002A1856" w:rsidRDefault="002A1856" w:rsidP="002A1856">
      <w:pPr>
        <w:ind w:left="851" w:hanging="851"/>
        <w:rPr>
          <w:b/>
          <w:sz w:val="24"/>
          <w:szCs w:val="24"/>
          <w:u w:val="single"/>
        </w:rPr>
      </w:pPr>
      <w:r w:rsidRPr="002A1856">
        <w:rPr>
          <w:b/>
          <w:sz w:val="24"/>
          <w:szCs w:val="24"/>
        </w:rPr>
        <w:t>4.1</w:t>
      </w:r>
      <w:r w:rsidRPr="002A1856">
        <w:rPr>
          <w:b/>
          <w:sz w:val="24"/>
          <w:szCs w:val="24"/>
        </w:rPr>
        <w:tab/>
        <w:t>Terapeutiske indikationer</w:t>
      </w:r>
    </w:p>
    <w:p w:rsidR="002A1856" w:rsidRPr="002A1856" w:rsidRDefault="002A1856" w:rsidP="002A1856">
      <w:pPr>
        <w:ind w:left="851" w:hanging="851"/>
        <w:rPr>
          <w:sz w:val="24"/>
          <w:szCs w:val="24"/>
          <w:u w:val="single"/>
        </w:rPr>
      </w:pPr>
    </w:p>
    <w:p w:rsidR="002A1856" w:rsidRPr="002A1856" w:rsidRDefault="002A1856" w:rsidP="002A1856">
      <w:pPr>
        <w:ind w:left="851"/>
        <w:rPr>
          <w:sz w:val="24"/>
          <w:szCs w:val="24"/>
          <w:u w:val="single"/>
        </w:rPr>
      </w:pPr>
      <w:r w:rsidRPr="002A1856">
        <w:rPr>
          <w:sz w:val="24"/>
          <w:szCs w:val="24"/>
          <w:u w:val="single"/>
        </w:rPr>
        <w:t>Hyperkolesterolæmi</w:t>
      </w:r>
    </w:p>
    <w:p w:rsidR="002A1856" w:rsidRPr="002A1856" w:rsidRDefault="002A1856" w:rsidP="002A1856">
      <w:pPr>
        <w:ind w:left="851"/>
        <w:rPr>
          <w:sz w:val="24"/>
          <w:szCs w:val="24"/>
        </w:rPr>
      </w:pPr>
      <w:r w:rsidRPr="002A1856">
        <w:rPr>
          <w:sz w:val="24"/>
          <w:szCs w:val="24"/>
        </w:rPr>
        <w:t>Lipistad er indiceret som supplement til diæt til reduktion af forhøjet total-kolesterol, LDL-kolesterol, apolipoprotein B og forhøjede triglycerider hos voksne, unge samt børn over 10 år med primær hyperkolesterolæmi inklusive familiær hyperkolesterolæmi (heterozygot variant) eller kombineret hyperlipidæmi (svarende til type IIa og IIb i Fredricksons klassifikation), hvor diæt og andre ikke farmakologiske foranstaltninger er utilstrækkelige.</w:t>
      </w:r>
    </w:p>
    <w:p w:rsidR="002A1856" w:rsidRPr="002A1856" w:rsidRDefault="002A1856" w:rsidP="002A1856">
      <w:pPr>
        <w:ind w:left="851" w:hanging="851"/>
        <w:rPr>
          <w:sz w:val="24"/>
          <w:szCs w:val="24"/>
        </w:rPr>
      </w:pPr>
    </w:p>
    <w:p w:rsidR="002A1856" w:rsidRPr="002A1856" w:rsidRDefault="002A1856" w:rsidP="002A1856">
      <w:pPr>
        <w:ind w:left="851"/>
        <w:rPr>
          <w:sz w:val="24"/>
          <w:szCs w:val="24"/>
        </w:rPr>
      </w:pPr>
      <w:r w:rsidRPr="002A1856">
        <w:rPr>
          <w:sz w:val="24"/>
          <w:szCs w:val="24"/>
        </w:rPr>
        <w:t>Lipistad er også indiceret til at nedsætte total-kolesterol og LDL-kolesterol hos voksne med homozygot familiær hyperkolesterolæmi som supplement til anden lipidsænkende behandling, f.eks. LDL-aferese, eller hvis anden behandling ikke er tilgængelig.</w:t>
      </w:r>
    </w:p>
    <w:p w:rsidR="002A1856" w:rsidRPr="002A1856" w:rsidRDefault="002A1856" w:rsidP="002A1856">
      <w:pPr>
        <w:ind w:left="851" w:hanging="851"/>
        <w:rPr>
          <w:sz w:val="24"/>
          <w:szCs w:val="24"/>
        </w:rPr>
      </w:pPr>
    </w:p>
    <w:p w:rsidR="002A1856" w:rsidRPr="002A1856" w:rsidRDefault="002A1856" w:rsidP="002A1856">
      <w:pPr>
        <w:ind w:left="851"/>
        <w:rPr>
          <w:sz w:val="24"/>
          <w:szCs w:val="24"/>
          <w:u w:val="single"/>
        </w:rPr>
      </w:pPr>
      <w:r w:rsidRPr="002A1856">
        <w:rPr>
          <w:sz w:val="24"/>
          <w:szCs w:val="24"/>
          <w:u w:val="single"/>
        </w:rPr>
        <w:t>Forebyggelse af kardiovaskulær sygdom</w:t>
      </w:r>
    </w:p>
    <w:p w:rsidR="002A1856" w:rsidRPr="002A1856" w:rsidRDefault="002A1856" w:rsidP="002A1856">
      <w:pPr>
        <w:ind w:left="851"/>
        <w:rPr>
          <w:sz w:val="24"/>
          <w:szCs w:val="24"/>
        </w:rPr>
      </w:pPr>
      <w:r w:rsidRPr="002A1856">
        <w:rPr>
          <w:sz w:val="24"/>
          <w:szCs w:val="24"/>
        </w:rPr>
        <w:t>Forebyggelse af kardiovaskulære hændelser hos voksne patienter, som har en høj risiko for debut af en kardiovaskulær hændelse (se pkt. 5.1), som supplement til afhjælpning af andre risikofaktorer.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4.2</w:t>
      </w:r>
      <w:r w:rsidRPr="002A1856">
        <w:rPr>
          <w:b/>
          <w:sz w:val="24"/>
          <w:szCs w:val="24"/>
        </w:rPr>
        <w:tab/>
        <w:t>Dosering og administration</w:t>
      </w:r>
    </w:p>
    <w:p w:rsidR="002A1856" w:rsidRPr="002A1856" w:rsidRDefault="002A1856" w:rsidP="002A1856">
      <w:pPr>
        <w:ind w:left="851" w:hanging="851"/>
        <w:jc w:val="both"/>
        <w:rPr>
          <w:sz w:val="24"/>
          <w:szCs w:val="24"/>
          <w:u w:val="single"/>
        </w:rPr>
      </w:pPr>
    </w:p>
    <w:p w:rsidR="002A1856" w:rsidRPr="002A1856" w:rsidRDefault="002A1856" w:rsidP="002A1856">
      <w:pPr>
        <w:ind w:left="851"/>
        <w:jc w:val="both"/>
        <w:rPr>
          <w:sz w:val="24"/>
          <w:szCs w:val="24"/>
          <w:u w:val="single"/>
        </w:rPr>
      </w:pPr>
      <w:r w:rsidRPr="002A1856">
        <w:rPr>
          <w:sz w:val="24"/>
          <w:szCs w:val="24"/>
          <w:u w:val="single"/>
        </w:rPr>
        <w:t>Dosering</w:t>
      </w:r>
    </w:p>
    <w:p w:rsidR="002A1856" w:rsidRPr="002A1856" w:rsidRDefault="002A1856" w:rsidP="002A1856">
      <w:pPr>
        <w:pStyle w:val="Style2"/>
        <w:widowControl/>
        <w:spacing w:line="240" w:lineRule="auto"/>
        <w:ind w:left="851"/>
        <w:jc w:val="left"/>
        <w:rPr>
          <w:rStyle w:val="FontStyle27"/>
          <w:sz w:val="24"/>
          <w:szCs w:val="24"/>
          <w:lang w:val="da-DK" w:eastAsia="da-DK"/>
        </w:rPr>
      </w:pPr>
      <w:r w:rsidRPr="002A1856">
        <w:rPr>
          <w:rStyle w:val="FontStyle27"/>
          <w:sz w:val="24"/>
          <w:szCs w:val="24"/>
          <w:lang w:val="da-DK" w:eastAsia="da-DK"/>
        </w:rPr>
        <w:t>Patienten bør sættes på en standard kolesterolsænkende diæt, inden der gives Lipistad. Der bør fortsættes med denne diæt under behandling med Lipistad.</w:t>
      </w:r>
    </w:p>
    <w:p w:rsidR="002A1856" w:rsidRPr="002A1856" w:rsidRDefault="002A1856" w:rsidP="002A1856">
      <w:pPr>
        <w:pStyle w:val="Style2"/>
        <w:widowControl/>
        <w:spacing w:line="240" w:lineRule="auto"/>
        <w:ind w:left="851" w:hanging="851"/>
        <w:jc w:val="left"/>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Dosis bør individualiseres i henhold til basisniveau for LDL-kolesterol, mål for behandlingen og patientrespons.</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2"/>
        <w:widowControl/>
        <w:spacing w:line="240" w:lineRule="auto"/>
        <w:ind w:left="851"/>
        <w:jc w:val="left"/>
        <w:rPr>
          <w:rStyle w:val="FontStyle27"/>
          <w:sz w:val="24"/>
          <w:szCs w:val="24"/>
          <w:lang w:val="da-DK" w:eastAsia="da-DK"/>
        </w:rPr>
      </w:pPr>
      <w:r w:rsidRPr="002A1856">
        <w:rPr>
          <w:rStyle w:val="FontStyle27"/>
          <w:sz w:val="24"/>
          <w:szCs w:val="24"/>
          <w:lang w:val="da-DK" w:eastAsia="da-DK"/>
        </w:rPr>
        <w:t>Startdosis er sædvanligvis 10 mg 1 gang daglig. Dosis skal justeres med intervaller på 4 uger eller mere. Den maksimale dosis er 80 mg én gang daglig.</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8"/>
          <w:b w:val="0"/>
          <w:bCs w:val="0"/>
          <w:i/>
          <w:iCs/>
          <w:sz w:val="24"/>
          <w:szCs w:val="24"/>
          <w:u w:val="single"/>
          <w:lang w:eastAsia="da-DK"/>
        </w:rPr>
      </w:pPr>
      <w:r w:rsidRPr="002A1856">
        <w:rPr>
          <w:rStyle w:val="FontStyle26"/>
          <w:sz w:val="24"/>
          <w:szCs w:val="24"/>
          <w:u w:val="single"/>
          <w:lang w:val="da-DK" w:eastAsia="da-DK"/>
        </w:rPr>
        <w:t>Primær hyperkolesterolæmi og kombineret hyperlipidæmi</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Størstedelen af patienterne er velkontrollerede på 10 mg atorvastatin en gang daglig. Terapeutisk virkning ses inden for 2 uger, og maksimalt respons opnås normalt inden for 4 uger. Virkningen opretholdes under vedvarende behandling.</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Heterozygot familiær hyperkolesterolæmi</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Patienter bør starte med 10 mg atorvastatin daglig. Dosis skal individualiseres og justeres hver 4. uge til 40 mg daglig. Derefter kan dosis enten øges til maksimalt 80 mg daglig, eller en galdesyrebinder kan kombineres med 40 mg atorvastatin en gang daglig.</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8"/>
        <w:widowControl/>
        <w:ind w:left="851"/>
        <w:rPr>
          <w:i/>
          <w:iCs/>
          <w:u w:val="single"/>
        </w:rPr>
      </w:pPr>
      <w:r w:rsidRPr="002A1856">
        <w:rPr>
          <w:rStyle w:val="FontStyle26"/>
          <w:sz w:val="24"/>
          <w:szCs w:val="24"/>
          <w:u w:val="single"/>
          <w:lang w:val="da-DK" w:eastAsia="da-DK"/>
        </w:rPr>
        <w:t>Homozygot familiær hyperkolesterolæmi</w:t>
      </w:r>
    </w:p>
    <w:p w:rsidR="002A1856" w:rsidRPr="002A1856" w:rsidRDefault="002A1856" w:rsidP="002A1856">
      <w:pPr>
        <w:pStyle w:val="Style2"/>
        <w:widowControl/>
        <w:spacing w:line="240" w:lineRule="auto"/>
        <w:ind w:left="851"/>
        <w:jc w:val="left"/>
        <w:rPr>
          <w:rStyle w:val="FontStyle27"/>
          <w:sz w:val="24"/>
          <w:szCs w:val="24"/>
        </w:rPr>
      </w:pPr>
      <w:r w:rsidRPr="002A1856">
        <w:rPr>
          <w:rStyle w:val="FontStyle27"/>
          <w:sz w:val="24"/>
          <w:szCs w:val="24"/>
          <w:lang w:val="da-DK" w:eastAsia="da-DK"/>
        </w:rPr>
        <w:t>Kun begrænsede data er tilgængelige (se pkt. 5.1).</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pPr>
      <w:r w:rsidRPr="002A1856">
        <w:rPr>
          <w:rStyle w:val="FontStyle27"/>
          <w:sz w:val="24"/>
          <w:szCs w:val="24"/>
          <w:lang w:val="da-DK" w:eastAsia="da-DK"/>
        </w:rPr>
        <w:t>Dosis af atorvastatin til patienter med homozygot familiær hyperkolesterolæmi er 10-80 mg daglig (se pkt. 5.1). Atorvastatin skal gives som supplement til anden lipidsænkende behandling (f.eks. LDL-aferese), eller hvis sådan behandling ikke er tilgængelig.</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i/>
          <w:iCs/>
          <w:u w:val="single"/>
          <w:lang w:eastAsia="da-DK"/>
        </w:rPr>
      </w:pPr>
      <w:r w:rsidRPr="002A1856">
        <w:rPr>
          <w:rStyle w:val="FontStyle26"/>
          <w:sz w:val="24"/>
          <w:szCs w:val="24"/>
          <w:u w:val="single"/>
          <w:lang w:val="da-DK" w:eastAsia="da-DK"/>
        </w:rPr>
        <w:t>Forebyggelse</w:t>
      </w:r>
      <w:r w:rsidRPr="002A1856">
        <w:rPr>
          <w:rStyle w:val="FontStyle26"/>
          <w:sz w:val="24"/>
          <w:szCs w:val="24"/>
          <w:u w:val="single"/>
          <w:lang w:eastAsia="da-DK"/>
        </w:rPr>
        <w:t xml:space="preserve"> </w:t>
      </w:r>
      <w:r w:rsidRPr="002A1856">
        <w:rPr>
          <w:rStyle w:val="FontStyle26"/>
          <w:spacing w:val="40"/>
          <w:sz w:val="24"/>
          <w:szCs w:val="24"/>
          <w:u w:val="single"/>
          <w:lang w:val="da-DK" w:eastAsia="da-DK"/>
        </w:rPr>
        <w:t>af</w:t>
      </w:r>
      <w:r w:rsidRPr="002A1856">
        <w:rPr>
          <w:rStyle w:val="FontStyle26"/>
          <w:sz w:val="24"/>
          <w:szCs w:val="24"/>
          <w:u w:val="single"/>
          <w:lang w:eastAsia="da-DK"/>
        </w:rPr>
        <w:t xml:space="preserve"> </w:t>
      </w:r>
      <w:r w:rsidRPr="002A1856">
        <w:rPr>
          <w:rStyle w:val="FontStyle26"/>
          <w:sz w:val="24"/>
          <w:szCs w:val="24"/>
          <w:u w:val="single"/>
          <w:lang w:val="da-DK" w:eastAsia="da-DK"/>
        </w:rPr>
        <w:t>kardiovaskul</w:t>
      </w:r>
      <w:r w:rsidRPr="002A1856">
        <w:rPr>
          <w:rStyle w:val="FontStyle26"/>
          <w:sz w:val="24"/>
          <w:szCs w:val="24"/>
          <w:u w:val="single"/>
          <w:lang w:eastAsia="da-DK"/>
        </w:rPr>
        <w:t>æ</w:t>
      </w:r>
      <w:r w:rsidRPr="002A1856">
        <w:rPr>
          <w:rStyle w:val="FontStyle26"/>
          <w:sz w:val="24"/>
          <w:szCs w:val="24"/>
          <w:u w:val="single"/>
          <w:lang w:val="da-DK" w:eastAsia="da-DK"/>
        </w:rPr>
        <w:t>r</w:t>
      </w:r>
      <w:r w:rsidRPr="002A1856">
        <w:rPr>
          <w:rStyle w:val="FontStyle26"/>
          <w:sz w:val="24"/>
          <w:szCs w:val="24"/>
          <w:u w:val="single"/>
          <w:lang w:eastAsia="da-DK"/>
        </w:rPr>
        <w:t xml:space="preserve"> </w:t>
      </w:r>
      <w:r w:rsidRPr="002A1856">
        <w:rPr>
          <w:rStyle w:val="FontStyle26"/>
          <w:sz w:val="24"/>
          <w:szCs w:val="24"/>
          <w:u w:val="single"/>
          <w:lang w:val="da-DK" w:eastAsia="da-DK"/>
        </w:rPr>
        <w:t>sygdom</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de</w:t>
      </w:r>
      <w:r w:rsidRPr="002A1856">
        <w:rPr>
          <w:rStyle w:val="FontStyle27"/>
          <w:sz w:val="24"/>
          <w:szCs w:val="24"/>
          <w:lang w:eastAsia="da-DK"/>
        </w:rPr>
        <w:t xml:space="preserve"> </w:t>
      </w:r>
      <w:r w:rsidRPr="002A1856">
        <w:rPr>
          <w:rStyle w:val="FontStyle27"/>
          <w:sz w:val="24"/>
          <w:szCs w:val="24"/>
          <w:lang w:val="da-DK" w:eastAsia="da-DK"/>
        </w:rPr>
        <w:t>prim</w:t>
      </w:r>
      <w:r w:rsidRPr="002A1856">
        <w:rPr>
          <w:rStyle w:val="FontStyle27"/>
          <w:sz w:val="24"/>
          <w:szCs w:val="24"/>
          <w:lang w:eastAsia="da-DK"/>
        </w:rPr>
        <w:t>æ</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forebyggelsesstudier</w:t>
      </w:r>
      <w:r w:rsidRPr="002A1856">
        <w:rPr>
          <w:rStyle w:val="FontStyle27"/>
          <w:sz w:val="24"/>
          <w:szCs w:val="24"/>
          <w:lang w:eastAsia="da-DK"/>
        </w:rPr>
        <w:t xml:space="preserve"> </w:t>
      </w:r>
      <w:r w:rsidRPr="002A1856">
        <w:rPr>
          <w:rStyle w:val="FontStyle27"/>
          <w:sz w:val="24"/>
          <w:szCs w:val="24"/>
          <w:lang w:val="da-DK" w:eastAsia="da-DK"/>
        </w:rPr>
        <w:t>var</w:t>
      </w:r>
      <w:r w:rsidRPr="002A1856">
        <w:rPr>
          <w:rStyle w:val="FontStyle27"/>
          <w:sz w:val="24"/>
          <w:szCs w:val="24"/>
          <w:lang w:eastAsia="da-DK"/>
        </w:rPr>
        <w:t xml:space="preserve"> </w:t>
      </w:r>
      <w:r w:rsidRPr="002A1856">
        <w:rPr>
          <w:rStyle w:val="FontStyle27"/>
          <w:sz w:val="24"/>
          <w:szCs w:val="24"/>
          <w:lang w:val="da-DK" w:eastAsia="da-DK"/>
        </w:rPr>
        <w:t>dosis</w:t>
      </w:r>
      <w:r w:rsidRPr="002A1856">
        <w:rPr>
          <w:rStyle w:val="FontStyle27"/>
          <w:sz w:val="24"/>
          <w:szCs w:val="24"/>
          <w:lang w:eastAsia="da-DK"/>
        </w:rPr>
        <w:t xml:space="preserve"> 10 </w:t>
      </w:r>
      <w:r w:rsidRPr="002A1856">
        <w:rPr>
          <w:rStyle w:val="FontStyle27"/>
          <w:sz w:val="24"/>
          <w:szCs w:val="24"/>
          <w:lang w:val="da-DK" w:eastAsia="da-DK"/>
        </w:rPr>
        <w:t>mg</w:t>
      </w:r>
      <w:r w:rsidRPr="002A1856">
        <w:rPr>
          <w:rStyle w:val="FontStyle27"/>
          <w:sz w:val="24"/>
          <w:szCs w:val="24"/>
          <w:lang w:eastAsia="da-DK"/>
        </w:rPr>
        <w:t xml:space="preserve"> </w:t>
      </w:r>
      <w:r w:rsidRPr="002A1856">
        <w:rPr>
          <w:rStyle w:val="FontStyle27"/>
          <w:sz w:val="24"/>
          <w:szCs w:val="24"/>
          <w:lang w:val="da-DK" w:eastAsia="da-DK"/>
        </w:rPr>
        <w:t>daglig</w:t>
      </w:r>
      <w:r w:rsidRPr="002A1856">
        <w:rPr>
          <w:rStyle w:val="FontStyle27"/>
          <w:sz w:val="24"/>
          <w:szCs w:val="24"/>
          <w:lang w:eastAsia="da-DK"/>
        </w:rPr>
        <w:t xml:space="preserve">. </w:t>
      </w:r>
      <w:r w:rsidRPr="002A1856">
        <w:rPr>
          <w:rStyle w:val="FontStyle27"/>
          <w:sz w:val="24"/>
          <w:szCs w:val="24"/>
          <w:lang w:val="da-DK" w:eastAsia="da-DK"/>
        </w:rPr>
        <w:t>H</w:t>
      </w:r>
      <w:r w:rsidRPr="002A1856">
        <w:rPr>
          <w:rStyle w:val="FontStyle27"/>
          <w:sz w:val="24"/>
          <w:szCs w:val="24"/>
          <w:lang w:eastAsia="da-DK"/>
        </w:rPr>
        <w:t>ø</w:t>
      </w:r>
      <w:r w:rsidRPr="002A1856">
        <w:rPr>
          <w:rStyle w:val="FontStyle27"/>
          <w:sz w:val="24"/>
          <w:szCs w:val="24"/>
          <w:lang w:val="da-DK" w:eastAsia="da-DK"/>
        </w:rPr>
        <w:t>jere</w:t>
      </w:r>
      <w:r w:rsidRPr="002A1856">
        <w:rPr>
          <w:rStyle w:val="FontStyle27"/>
          <w:sz w:val="24"/>
          <w:szCs w:val="24"/>
          <w:lang w:eastAsia="da-DK"/>
        </w:rPr>
        <w:t xml:space="preserve"> </w:t>
      </w:r>
      <w:r w:rsidRPr="002A1856">
        <w:rPr>
          <w:rStyle w:val="FontStyle27"/>
          <w:sz w:val="24"/>
          <w:szCs w:val="24"/>
          <w:lang w:val="da-DK" w:eastAsia="da-DK"/>
        </w:rPr>
        <w:t>doser</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w:t>
      </w:r>
      <w:r w:rsidRPr="002A1856">
        <w:rPr>
          <w:rStyle w:val="FontStyle27"/>
          <w:sz w:val="24"/>
          <w:szCs w:val="24"/>
          <w:lang w:val="da-DK" w:eastAsia="da-DK"/>
        </w:rPr>
        <w:t>v</w:t>
      </w:r>
      <w:r w:rsidRPr="002A1856">
        <w:rPr>
          <w:rStyle w:val="FontStyle27"/>
          <w:sz w:val="24"/>
          <w:szCs w:val="24"/>
          <w:lang w:eastAsia="da-DK"/>
        </w:rPr>
        <w:t>æ</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n</w:t>
      </w:r>
      <w:r w:rsidRPr="002A1856">
        <w:rPr>
          <w:rStyle w:val="FontStyle27"/>
          <w:sz w:val="24"/>
          <w:szCs w:val="24"/>
          <w:lang w:eastAsia="da-DK"/>
        </w:rPr>
        <w:t>ø</w:t>
      </w:r>
      <w:r w:rsidRPr="002A1856">
        <w:rPr>
          <w:rStyle w:val="FontStyle27"/>
          <w:sz w:val="24"/>
          <w:szCs w:val="24"/>
          <w:lang w:val="da-DK" w:eastAsia="da-DK"/>
        </w:rPr>
        <w:t>dvendige</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at</w:t>
      </w:r>
      <w:r w:rsidRPr="002A1856">
        <w:rPr>
          <w:rStyle w:val="FontStyle27"/>
          <w:sz w:val="24"/>
          <w:szCs w:val="24"/>
          <w:lang w:eastAsia="da-DK"/>
        </w:rPr>
        <w:t xml:space="preserve"> </w:t>
      </w:r>
      <w:r w:rsidRPr="002A1856">
        <w:rPr>
          <w:rStyle w:val="FontStyle27"/>
          <w:sz w:val="24"/>
          <w:szCs w:val="24"/>
          <w:lang w:val="da-DK" w:eastAsia="da-DK"/>
        </w:rPr>
        <w:t>opn</w:t>
      </w:r>
      <w:r w:rsidRPr="002A1856">
        <w:rPr>
          <w:rStyle w:val="FontStyle27"/>
          <w:sz w:val="24"/>
          <w:szCs w:val="24"/>
          <w:lang w:eastAsia="da-DK"/>
        </w:rPr>
        <w:t xml:space="preserve">å </w:t>
      </w:r>
      <w:r w:rsidRPr="002A1856">
        <w:rPr>
          <w:rStyle w:val="FontStyle27"/>
          <w:sz w:val="24"/>
          <w:szCs w:val="24"/>
          <w:lang w:val="da-DK" w:eastAsia="da-DK"/>
        </w:rPr>
        <w:t>LDL</w:t>
      </w:r>
      <w:r w:rsidRPr="002A1856">
        <w:rPr>
          <w:rStyle w:val="FontStyle27"/>
          <w:sz w:val="24"/>
          <w:szCs w:val="24"/>
          <w:lang w:eastAsia="da-DK"/>
        </w:rPr>
        <w:t>-</w:t>
      </w:r>
      <w:r w:rsidRPr="002A1856">
        <w:rPr>
          <w:rStyle w:val="FontStyle27"/>
          <w:sz w:val="24"/>
          <w:szCs w:val="24"/>
          <w:lang w:val="da-DK" w:eastAsia="da-DK"/>
        </w:rPr>
        <w:t>kolesterolniveauer</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henhold</w:t>
      </w:r>
      <w:r w:rsidRPr="002A1856">
        <w:rPr>
          <w:rStyle w:val="FontStyle27"/>
          <w:sz w:val="24"/>
          <w:szCs w:val="24"/>
          <w:lang w:eastAsia="da-DK"/>
        </w:rPr>
        <w:t xml:space="preserve"> </w:t>
      </w:r>
      <w:r w:rsidRPr="002A1856">
        <w:rPr>
          <w:rStyle w:val="FontStyle27"/>
          <w:sz w:val="24"/>
          <w:szCs w:val="24"/>
          <w:lang w:val="da-DK" w:eastAsia="da-DK"/>
        </w:rPr>
        <w:t>til</w:t>
      </w:r>
      <w:r w:rsidRPr="002A1856">
        <w:rPr>
          <w:rStyle w:val="FontStyle27"/>
          <w:sz w:val="24"/>
          <w:szCs w:val="24"/>
          <w:lang w:eastAsia="da-DK"/>
        </w:rPr>
        <w:t xml:space="preserve"> </w:t>
      </w:r>
      <w:r w:rsidRPr="002A1856">
        <w:rPr>
          <w:rStyle w:val="FontStyle27"/>
          <w:sz w:val="24"/>
          <w:szCs w:val="24"/>
          <w:lang w:val="da-DK" w:eastAsia="da-DK"/>
        </w:rPr>
        <w:t>g</w:t>
      </w:r>
      <w:r w:rsidRPr="002A1856">
        <w:rPr>
          <w:rStyle w:val="FontStyle27"/>
          <w:sz w:val="24"/>
          <w:szCs w:val="24"/>
          <w:lang w:eastAsia="da-DK"/>
        </w:rPr>
        <w:t>æ</w:t>
      </w:r>
      <w:r w:rsidRPr="002A1856">
        <w:rPr>
          <w:rStyle w:val="FontStyle27"/>
          <w:sz w:val="24"/>
          <w:szCs w:val="24"/>
          <w:lang w:val="da-DK" w:eastAsia="da-DK"/>
        </w:rPr>
        <w:t>ldende</w:t>
      </w:r>
      <w:r w:rsidRPr="002A1856">
        <w:rPr>
          <w:rStyle w:val="FontStyle27"/>
          <w:sz w:val="24"/>
          <w:szCs w:val="24"/>
          <w:lang w:eastAsia="da-DK"/>
        </w:rPr>
        <w:t xml:space="preserve"> </w:t>
      </w:r>
      <w:r w:rsidRPr="002A1856">
        <w:rPr>
          <w:rStyle w:val="FontStyle27"/>
          <w:sz w:val="24"/>
          <w:szCs w:val="24"/>
          <w:lang w:val="da-DK" w:eastAsia="da-DK"/>
        </w:rPr>
        <w:t>guidelines</w:t>
      </w:r>
      <w:r w:rsidRPr="002A1856">
        <w:rPr>
          <w:rStyle w:val="FontStyle27"/>
          <w:sz w:val="24"/>
          <w:szCs w:val="24"/>
          <w:lang w:eastAsia="da-DK"/>
        </w:rPr>
        <w:t>.</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8"/>
        <w:widowControl/>
        <w:ind w:left="851"/>
        <w:rPr>
          <w:rStyle w:val="FontStyle26"/>
          <w:i w:val="0"/>
          <w:sz w:val="24"/>
          <w:szCs w:val="24"/>
          <w:u w:val="single"/>
        </w:rPr>
      </w:pPr>
      <w:r w:rsidRPr="002A1856">
        <w:rPr>
          <w:rStyle w:val="FontStyle26"/>
          <w:sz w:val="24"/>
          <w:szCs w:val="24"/>
          <w:u w:val="single"/>
          <w:lang w:val="da-DK" w:eastAsia="da-DK"/>
        </w:rPr>
        <w:t>Nyreinsufficiens</w:t>
      </w:r>
    </w:p>
    <w:p w:rsidR="002A1856" w:rsidRPr="002A1856" w:rsidRDefault="002A1856" w:rsidP="002A1856">
      <w:pPr>
        <w:pStyle w:val="Style2"/>
        <w:widowControl/>
        <w:spacing w:line="240" w:lineRule="auto"/>
        <w:ind w:left="851"/>
        <w:jc w:val="left"/>
        <w:rPr>
          <w:rStyle w:val="FontStyle27"/>
          <w:sz w:val="24"/>
          <w:szCs w:val="24"/>
        </w:rPr>
      </w:pPr>
      <w:r w:rsidRPr="002A1856">
        <w:rPr>
          <w:rStyle w:val="FontStyle27"/>
          <w:sz w:val="24"/>
          <w:szCs w:val="24"/>
          <w:lang w:val="da-DK" w:eastAsia="da-DK"/>
        </w:rPr>
        <w:t>Dosisjustering</w:t>
      </w:r>
      <w:r w:rsidRPr="002A1856">
        <w:rPr>
          <w:rStyle w:val="FontStyle27"/>
          <w:sz w:val="24"/>
          <w:szCs w:val="24"/>
          <w:lang w:eastAsia="da-DK"/>
        </w:rPr>
        <w:t xml:space="preserve"> </w:t>
      </w:r>
      <w:r w:rsidRPr="002A1856">
        <w:rPr>
          <w:rStyle w:val="FontStyle27"/>
          <w:sz w:val="24"/>
          <w:szCs w:val="24"/>
          <w:lang w:val="da-DK" w:eastAsia="da-DK"/>
        </w:rPr>
        <w:t>er</w:t>
      </w:r>
      <w:r w:rsidRPr="002A1856">
        <w:rPr>
          <w:rStyle w:val="FontStyle27"/>
          <w:sz w:val="24"/>
          <w:szCs w:val="24"/>
          <w:lang w:eastAsia="da-DK"/>
        </w:rPr>
        <w:t xml:space="preserve"> </w:t>
      </w:r>
      <w:r w:rsidRPr="002A1856">
        <w:rPr>
          <w:rStyle w:val="FontStyle27"/>
          <w:sz w:val="24"/>
          <w:szCs w:val="24"/>
          <w:lang w:val="da-DK" w:eastAsia="da-DK"/>
        </w:rPr>
        <w:t>ikke</w:t>
      </w:r>
      <w:r w:rsidRPr="002A1856">
        <w:rPr>
          <w:rStyle w:val="FontStyle27"/>
          <w:sz w:val="24"/>
          <w:szCs w:val="24"/>
          <w:lang w:eastAsia="da-DK"/>
        </w:rPr>
        <w:t xml:space="preserve"> </w:t>
      </w:r>
      <w:r w:rsidRPr="002A1856">
        <w:rPr>
          <w:rStyle w:val="FontStyle27"/>
          <w:sz w:val="24"/>
          <w:szCs w:val="24"/>
          <w:lang w:val="da-DK" w:eastAsia="da-DK"/>
        </w:rPr>
        <w:t>n</w:t>
      </w:r>
      <w:r w:rsidRPr="002A1856">
        <w:rPr>
          <w:rStyle w:val="FontStyle27"/>
          <w:sz w:val="24"/>
          <w:szCs w:val="24"/>
          <w:lang w:eastAsia="da-DK"/>
        </w:rPr>
        <w:t>ø</w:t>
      </w:r>
      <w:r w:rsidRPr="002A1856">
        <w:rPr>
          <w:rStyle w:val="FontStyle27"/>
          <w:sz w:val="24"/>
          <w:szCs w:val="24"/>
          <w:lang w:val="da-DK" w:eastAsia="da-DK"/>
        </w:rPr>
        <w:t>dvendig</w:t>
      </w:r>
      <w:r w:rsidRPr="002A1856">
        <w:rPr>
          <w:rStyle w:val="FontStyle27"/>
          <w:sz w:val="24"/>
          <w:szCs w:val="24"/>
          <w:lang w:eastAsia="da-DK"/>
        </w:rPr>
        <w:t xml:space="preserve"> (</w:t>
      </w:r>
      <w:r w:rsidRPr="002A1856">
        <w:rPr>
          <w:rStyle w:val="FontStyle27"/>
          <w:sz w:val="24"/>
          <w:szCs w:val="24"/>
          <w:lang w:val="da-DK" w:eastAsia="da-DK"/>
        </w:rPr>
        <w:t>se</w:t>
      </w:r>
      <w:r w:rsidRPr="002A1856">
        <w:rPr>
          <w:rStyle w:val="FontStyle27"/>
          <w:sz w:val="24"/>
          <w:szCs w:val="24"/>
          <w:lang w:eastAsia="da-DK"/>
        </w:rPr>
        <w:t xml:space="preserve"> </w:t>
      </w:r>
      <w:r w:rsidRPr="002A1856">
        <w:rPr>
          <w:rStyle w:val="FontStyle27"/>
          <w:sz w:val="24"/>
          <w:szCs w:val="24"/>
          <w:lang w:val="da-DK" w:eastAsia="da-DK"/>
        </w:rPr>
        <w:t>pkt</w:t>
      </w:r>
      <w:r w:rsidRPr="002A1856">
        <w:rPr>
          <w:rStyle w:val="FontStyle27"/>
          <w:sz w:val="24"/>
          <w:szCs w:val="24"/>
          <w:lang w:eastAsia="da-DK"/>
        </w:rPr>
        <w:t>. 4.4).</w:t>
      </w:r>
    </w:p>
    <w:p w:rsidR="002A1856" w:rsidRPr="002A1856" w:rsidRDefault="002A1856" w:rsidP="002A1856">
      <w:pPr>
        <w:pStyle w:val="Style8"/>
        <w:widowControl/>
        <w:ind w:left="851" w:hanging="851"/>
        <w:rPr>
          <w:rStyle w:val="FontStyle26"/>
          <w:sz w:val="24"/>
          <w:szCs w:val="24"/>
          <w:u w:val="single"/>
        </w:rPr>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Leverinsufficiens</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Lipistad</w:t>
      </w:r>
      <w:r w:rsidRPr="002A1856">
        <w:rPr>
          <w:rStyle w:val="FontStyle27"/>
          <w:sz w:val="24"/>
          <w:szCs w:val="24"/>
          <w:lang w:eastAsia="da-DK"/>
        </w:rPr>
        <w:t xml:space="preserve"> </w:t>
      </w:r>
      <w:r w:rsidRPr="002A1856">
        <w:rPr>
          <w:rStyle w:val="FontStyle27"/>
          <w:sz w:val="24"/>
          <w:szCs w:val="24"/>
          <w:lang w:val="da-DK" w:eastAsia="da-DK"/>
        </w:rPr>
        <w:t>skal</w:t>
      </w:r>
      <w:r w:rsidRPr="002A1856">
        <w:rPr>
          <w:rStyle w:val="FontStyle27"/>
          <w:sz w:val="24"/>
          <w:szCs w:val="24"/>
          <w:lang w:eastAsia="da-DK"/>
        </w:rPr>
        <w:t xml:space="preserve"> </w:t>
      </w:r>
      <w:r w:rsidRPr="002A1856">
        <w:rPr>
          <w:rStyle w:val="FontStyle27"/>
          <w:sz w:val="24"/>
          <w:szCs w:val="24"/>
          <w:lang w:val="da-DK" w:eastAsia="da-DK"/>
        </w:rPr>
        <w:t>anvendes</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forsigtighed</w:t>
      </w:r>
      <w:r w:rsidRPr="002A1856">
        <w:rPr>
          <w:rStyle w:val="FontStyle27"/>
          <w:sz w:val="24"/>
          <w:szCs w:val="24"/>
          <w:lang w:eastAsia="da-DK"/>
        </w:rPr>
        <w:t xml:space="preserve"> </w:t>
      </w:r>
      <w:r w:rsidRPr="002A1856">
        <w:rPr>
          <w:rStyle w:val="FontStyle27"/>
          <w:sz w:val="24"/>
          <w:szCs w:val="24"/>
          <w:lang w:val="da-DK" w:eastAsia="da-DK"/>
        </w:rPr>
        <w:t>hos</w:t>
      </w:r>
      <w:r w:rsidRPr="002A1856">
        <w:rPr>
          <w:rStyle w:val="FontStyle27"/>
          <w:sz w:val="24"/>
          <w:szCs w:val="24"/>
          <w:lang w:eastAsia="da-DK"/>
        </w:rPr>
        <w:t xml:space="preserve"> </w:t>
      </w:r>
      <w:r w:rsidRPr="002A1856">
        <w:rPr>
          <w:rStyle w:val="FontStyle27"/>
          <w:sz w:val="24"/>
          <w:szCs w:val="24"/>
          <w:lang w:val="da-DK" w:eastAsia="da-DK"/>
        </w:rPr>
        <w:t>patienter</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leverinsufficiens</w:t>
      </w:r>
      <w:r w:rsidRPr="002A1856">
        <w:rPr>
          <w:rStyle w:val="FontStyle27"/>
          <w:sz w:val="24"/>
          <w:szCs w:val="24"/>
          <w:lang w:eastAsia="da-DK"/>
        </w:rPr>
        <w:t xml:space="preserve"> (</w:t>
      </w:r>
      <w:r w:rsidRPr="002A1856">
        <w:rPr>
          <w:rStyle w:val="FontStyle27"/>
          <w:sz w:val="24"/>
          <w:szCs w:val="24"/>
          <w:lang w:val="da-DK" w:eastAsia="da-DK"/>
        </w:rPr>
        <w:t>se</w:t>
      </w:r>
      <w:r w:rsidRPr="002A1856">
        <w:rPr>
          <w:rStyle w:val="FontStyle27"/>
          <w:sz w:val="24"/>
          <w:szCs w:val="24"/>
          <w:lang w:eastAsia="da-DK"/>
        </w:rPr>
        <w:t xml:space="preserve"> </w:t>
      </w:r>
      <w:r w:rsidRPr="002A1856">
        <w:rPr>
          <w:rStyle w:val="FontStyle27"/>
          <w:sz w:val="24"/>
          <w:szCs w:val="24"/>
          <w:lang w:val="da-DK" w:eastAsia="da-DK"/>
        </w:rPr>
        <w:t>pkt</w:t>
      </w:r>
      <w:r w:rsidRPr="002A1856">
        <w:rPr>
          <w:rStyle w:val="FontStyle27"/>
          <w:sz w:val="24"/>
          <w:szCs w:val="24"/>
          <w:lang w:eastAsia="da-DK"/>
        </w:rPr>
        <w:t xml:space="preserve">. 4.4 </w:t>
      </w:r>
      <w:r w:rsidRPr="002A1856">
        <w:rPr>
          <w:rStyle w:val="FontStyle27"/>
          <w:sz w:val="24"/>
          <w:szCs w:val="24"/>
          <w:lang w:val="da-DK" w:eastAsia="da-DK"/>
        </w:rPr>
        <w:t>og</w:t>
      </w:r>
      <w:r w:rsidRPr="002A1856">
        <w:rPr>
          <w:rStyle w:val="FontStyle27"/>
          <w:sz w:val="24"/>
          <w:szCs w:val="24"/>
          <w:lang w:eastAsia="da-DK"/>
        </w:rPr>
        <w:t xml:space="preserve"> 5.2). </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Lipistad er kontraindiceret hos patienter med aktiv leversygdom (se pkt. 4.3).</w:t>
      </w:r>
    </w:p>
    <w:p w:rsidR="002A1856" w:rsidRPr="002A1856" w:rsidRDefault="002A1856" w:rsidP="002A1856">
      <w:pPr>
        <w:pStyle w:val="Style1"/>
        <w:widowControl/>
        <w:spacing w:line="240" w:lineRule="auto"/>
        <w:ind w:left="851"/>
        <w:rPr>
          <w:rStyle w:val="FontStyle27"/>
          <w:sz w:val="24"/>
          <w:szCs w:val="24"/>
          <w:lang w:val="da-DK" w:eastAsia="da-DK"/>
        </w:rPr>
      </w:pPr>
    </w:p>
    <w:p w:rsidR="002A1856" w:rsidRPr="002A1856" w:rsidRDefault="002A1856" w:rsidP="002A1856">
      <w:pPr>
        <w:pStyle w:val="Style1"/>
        <w:ind w:left="851"/>
        <w:rPr>
          <w:rStyle w:val="FontStyle27"/>
          <w:i/>
          <w:sz w:val="24"/>
          <w:szCs w:val="24"/>
          <w:lang w:val="da-DK" w:eastAsia="da-DK"/>
        </w:rPr>
      </w:pPr>
      <w:r w:rsidRPr="002A1856">
        <w:rPr>
          <w:rStyle w:val="FontStyle27"/>
          <w:i/>
          <w:sz w:val="24"/>
          <w:szCs w:val="24"/>
          <w:lang w:val="da-DK" w:eastAsia="da-DK"/>
        </w:rPr>
        <w:t>Samtidig administration med andre lægemidler</w:t>
      </w:r>
    </w:p>
    <w:p w:rsidR="002A1856" w:rsidRPr="002A1856" w:rsidRDefault="002A1856" w:rsidP="002A1856">
      <w:pPr>
        <w:pStyle w:val="Style1"/>
        <w:ind w:left="851"/>
        <w:rPr>
          <w:rStyle w:val="FontStyle27"/>
          <w:sz w:val="24"/>
          <w:szCs w:val="24"/>
          <w:lang w:val="da-DK" w:eastAsia="da-DK"/>
        </w:rPr>
      </w:pPr>
      <w:r w:rsidRPr="002A1856">
        <w:rPr>
          <w:rStyle w:val="FontStyle27"/>
          <w:sz w:val="24"/>
          <w:szCs w:val="24"/>
          <w:lang w:val="da-DK" w:eastAsia="da-DK"/>
        </w:rPr>
        <w:t>Hos patienter, der tager de antivirale midler elbasvir/grazoprevir mod hepatitis C samtidig med atorvastatin, må dosis af atorvastatin ikke overstige 20 mg / dag (se pkt. 4.4 og 4.5).</w:t>
      </w:r>
    </w:p>
    <w:p w:rsidR="002A1856" w:rsidRPr="002A1856" w:rsidRDefault="002A1856" w:rsidP="002A1856">
      <w:pPr>
        <w:pStyle w:val="Style1"/>
        <w:ind w:left="851"/>
        <w:rPr>
          <w:rStyle w:val="FontStyle27"/>
          <w:sz w:val="24"/>
          <w:szCs w:val="24"/>
          <w:lang w:val="da-DK" w:eastAsia="da-DK"/>
        </w:rPr>
      </w:pPr>
      <w:r w:rsidRPr="002A1856">
        <w:rPr>
          <w:rStyle w:val="FontStyle27"/>
          <w:sz w:val="24"/>
          <w:szCs w:val="24"/>
          <w:lang w:val="da-DK" w:eastAsia="da-DK"/>
        </w:rPr>
        <w:tab/>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Atorvastatin anbefales ikke til patienter, der er i behandling med letermovir samtidigt med ciclosporin (se pkt. 4.4 og 4.5).</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i/>
          <w:iCs/>
          <w:u w:val="single"/>
          <w:lang w:val="da-DK" w:eastAsia="da-DK"/>
        </w:rPr>
      </w:pPr>
      <w:r w:rsidRPr="002A1856">
        <w:rPr>
          <w:rStyle w:val="FontStyle26"/>
          <w:sz w:val="24"/>
          <w:szCs w:val="24"/>
          <w:u w:val="single"/>
          <w:lang w:val="da-DK" w:eastAsia="da-DK"/>
        </w:rPr>
        <w:t>Ældre</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Virkning og sikkerhed af de anbefalede doser til ældre patienter over 70 år svarer til det, som ses hos den almindelige befolkning.</w:t>
      </w:r>
    </w:p>
    <w:p w:rsidR="002A1856" w:rsidRPr="002A1856" w:rsidRDefault="002A1856" w:rsidP="002A1856">
      <w:pPr>
        <w:pStyle w:val="Style8"/>
        <w:widowControl/>
        <w:ind w:left="851" w:hanging="851"/>
        <w:rPr>
          <w:lang w:val="da-DK"/>
        </w:rPr>
      </w:pPr>
      <w:r w:rsidRPr="002A1856">
        <w:rPr>
          <w:lang w:val="da-DK"/>
        </w:rPr>
        <w:t xml:space="preserve"> </w:t>
      </w: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Pædiatrisk population</w:t>
      </w:r>
    </w:p>
    <w:p w:rsidR="002A1856" w:rsidRPr="002A1856" w:rsidRDefault="002A1856" w:rsidP="002A1856">
      <w:pPr>
        <w:pStyle w:val="Style2"/>
        <w:widowControl/>
        <w:spacing w:line="240" w:lineRule="auto"/>
        <w:ind w:left="851" w:hanging="851"/>
        <w:jc w:val="left"/>
      </w:pPr>
    </w:p>
    <w:p w:rsidR="002A1856" w:rsidRPr="002A1856" w:rsidRDefault="002A1856" w:rsidP="002A1856">
      <w:pPr>
        <w:pStyle w:val="Style1"/>
        <w:widowControl/>
        <w:spacing w:line="240" w:lineRule="auto"/>
        <w:ind w:left="851"/>
        <w:rPr>
          <w:rStyle w:val="FontStyle27"/>
          <w:i/>
          <w:sz w:val="24"/>
          <w:szCs w:val="24"/>
          <w:lang w:eastAsia="da-DK"/>
        </w:rPr>
      </w:pPr>
      <w:r w:rsidRPr="002A1856">
        <w:rPr>
          <w:rStyle w:val="FontStyle27"/>
          <w:sz w:val="24"/>
          <w:szCs w:val="24"/>
          <w:lang w:val="da-DK" w:eastAsia="da-DK"/>
        </w:rPr>
        <w:t>Hyperkolesterolæmi</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Børn og unge bør kun behandles af specialister inden for pædiatrisk hyperlipidæmi, og patienterne bør regelmæssigt revurderes for at vurdere virkningen af behandlingen.</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rPr>
      </w:pPr>
      <w:r w:rsidRPr="002A1856">
        <w:rPr>
          <w:rStyle w:val="FontStyle27"/>
          <w:sz w:val="24"/>
          <w:szCs w:val="24"/>
          <w:lang w:val="da-DK" w:eastAsia="da-DK"/>
        </w:rPr>
        <w:t xml:space="preserve">Anbefalet startdosis til patienter over 10 år med heterocygot familiær hyperkolesterolæmi er 10 mg atorvastatin daglig (se pkt. 5.1). Denne dosis kan øges til 80 mg dagligt alt efter respons og tolerabilitet. Dosis bør tilpasses den enkelte alt efter behandlingsmål. Dosisjusteringer bør foretages med intervaller på 4 uger eller mere. Dosistitrering til 80 mg </w:t>
      </w:r>
      <w:r w:rsidRPr="002A1856">
        <w:rPr>
          <w:rStyle w:val="FontStyle27"/>
          <w:sz w:val="24"/>
          <w:szCs w:val="24"/>
          <w:lang w:val="da-DK" w:eastAsia="da-DK"/>
        </w:rPr>
        <w:lastRenderedPageBreak/>
        <w:t xml:space="preserve">dagligt understøttes af kliniske data hos voksne og i begrænset omfang hos børn med heterocygot familiær hyperkolesterolæmi (se pkt. 4.8 og 5.1). </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2A1856">
        <w:rPr>
          <w:spacing w:val="-3"/>
          <w:sz w:val="24"/>
          <w:szCs w:val="24"/>
        </w:rPr>
        <w:t xml:space="preserve">Der er begrænset sikkerheds- og effektdata fra </w:t>
      </w:r>
      <w:r w:rsidRPr="002A1856">
        <w:rPr>
          <w:i/>
          <w:spacing w:val="-3"/>
          <w:sz w:val="24"/>
          <w:szCs w:val="24"/>
        </w:rPr>
        <w:t>open-label</w:t>
      </w:r>
      <w:r w:rsidRPr="002A1856">
        <w:rPr>
          <w:spacing w:val="-3"/>
          <w:sz w:val="24"/>
          <w:szCs w:val="24"/>
        </w:rPr>
        <w:t xml:space="preserve"> kliniske forsøg med børn med heterocygot familiær hyperkolesterolæmi i alderen 6-10 år. Atorvastatin er ikke indiceret til anvendelse hos børn under 10 år. De tilgængelige data er beskrevet i pkt. 4.8, 5.1 og 5.2, men der kan ikke gives en dosisrekommandation.</w:t>
      </w:r>
    </w:p>
    <w:p w:rsidR="002A1856" w:rsidRPr="002A1856" w:rsidRDefault="002A1856" w:rsidP="002A1856">
      <w:pPr>
        <w:pStyle w:val="Style1"/>
        <w:widowControl/>
        <w:spacing w:line="240" w:lineRule="auto"/>
        <w:ind w:left="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Andre lægemiddelformer og -styrker kan være mere velegnede til denne population.</w:t>
      </w:r>
    </w:p>
    <w:p w:rsidR="002A1856" w:rsidRPr="002A1856" w:rsidRDefault="002A1856" w:rsidP="002A1856">
      <w:pPr>
        <w:pStyle w:val="Style2"/>
        <w:widowControl/>
        <w:spacing w:line="240" w:lineRule="auto"/>
        <w:ind w:left="851" w:hanging="851"/>
        <w:jc w:val="left"/>
      </w:pPr>
    </w:p>
    <w:p w:rsidR="002A1856" w:rsidRPr="002A1856" w:rsidRDefault="002A1856" w:rsidP="002A1856">
      <w:pPr>
        <w:pStyle w:val="Style2"/>
        <w:widowControl/>
        <w:spacing w:line="240" w:lineRule="auto"/>
        <w:ind w:left="851"/>
        <w:jc w:val="left"/>
        <w:rPr>
          <w:u w:val="single"/>
          <w:lang w:val="da-DK" w:eastAsia="da-DK"/>
        </w:rPr>
      </w:pPr>
      <w:r w:rsidRPr="002A1856">
        <w:rPr>
          <w:rStyle w:val="FontStyle27"/>
          <w:sz w:val="24"/>
          <w:szCs w:val="24"/>
          <w:u w:val="single"/>
          <w:lang w:val="da-DK" w:eastAsia="da-DK"/>
        </w:rPr>
        <w:t>Administration</w:t>
      </w:r>
    </w:p>
    <w:p w:rsidR="002A1856" w:rsidRPr="002A1856" w:rsidRDefault="002A1856" w:rsidP="002A1856">
      <w:pPr>
        <w:pStyle w:val="Style2"/>
        <w:widowControl/>
        <w:spacing w:line="240" w:lineRule="auto"/>
        <w:ind w:left="851"/>
        <w:jc w:val="left"/>
        <w:rPr>
          <w:rStyle w:val="FontStyle27"/>
          <w:sz w:val="24"/>
          <w:szCs w:val="24"/>
        </w:rPr>
      </w:pPr>
      <w:r w:rsidRPr="002A1856">
        <w:rPr>
          <w:rStyle w:val="FontStyle27"/>
          <w:sz w:val="24"/>
          <w:szCs w:val="24"/>
          <w:lang w:val="da-DK" w:eastAsia="da-DK"/>
        </w:rPr>
        <w:t>Lipistad er til oral anvendelse. Den daglige dosis af atorvastatin gives som engangsdosis. Dosis kan gives på et hvilket som helst tidspunkt af døgnet med eller uden føde.</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4.3</w:t>
      </w:r>
      <w:r w:rsidRPr="002A1856">
        <w:rPr>
          <w:b/>
          <w:sz w:val="24"/>
          <w:szCs w:val="24"/>
        </w:rPr>
        <w:tab/>
        <w:t>Kontraindikationer</w:t>
      </w:r>
    </w:p>
    <w:p w:rsidR="002A1856" w:rsidRPr="002A1856" w:rsidRDefault="002A1856" w:rsidP="002A1856">
      <w:pPr>
        <w:pStyle w:val="Style1"/>
        <w:widowControl/>
        <w:spacing w:line="240" w:lineRule="auto"/>
        <w:ind w:left="851"/>
        <w:rPr>
          <w:rStyle w:val="FontStyle27"/>
          <w:sz w:val="24"/>
          <w:szCs w:val="24"/>
          <w:lang w:val="da-DK"/>
        </w:rPr>
      </w:pPr>
      <w:r w:rsidRPr="002A1856">
        <w:rPr>
          <w:rStyle w:val="FontStyle27"/>
          <w:sz w:val="24"/>
          <w:szCs w:val="24"/>
          <w:lang w:val="da-DK" w:eastAsia="da-DK"/>
        </w:rPr>
        <w:t>Lipistad er kontraindiceret hos patienter:</w:t>
      </w:r>
    </w:p>
    <w:p w:rsidR="002A1856" w:rsidRPr="002A1856" w:rsidRDefault="002A1856" w:rsidP="002A1856">
      <w:pPr>
        <w:pStyle w:val="Style14"/>
        <w:widowControl/>
        <w:numPr>
          <w:ilvl w:val="0"/>
          <w:numId w:val="10"/>
        </w:numPr>
        <w:spacing w:line="240" w:lineRule="auto"/>
        <w:ind w:left="1276" w:hanging="425"/>
        <w:rPr>
          <w:rStyle w:val="FontStyle27"/>
          <w:sz w:val="24"/>
          <w:szCs w:val="24"/>
          <w:lang w:val="da-DK" w:eastAsia="da-DK"/>
        </w:rPr>
      </w:pPr>
      <w:r w:rsidRPr="002A1856">
        <w:rPr>
          <w:rStyle w:val="FontStyle27"/>
          <w:sz w:val="24"/>
          <w:szCs w:val="24"/>
          <w:lang w:val="da-DK" w:eastAsia="da-DK"/>
        </w:rPr>
        <w:t>Med overfølsomhed over for det aktive stof eller over for et eller flere af hjælpestofferne i pkt. 6.1.</w:t>
      </w:r>
    </w:p>
    <w:p w:rsidR="002A1856" w:rsidRPr="002A1856" w:rsidRDefault="002A1856" w:rsidP="002A1856">
      <w:pPr>
        <w:pStyle w:val="Style14"/>
        <w:widowControl/>
        <w:numPr>
          <w:ilvl w:val="0"/>
          <w:numId w:val="10"/>
        </w:numPr>
        <w:spacing w:line="240" w:lineRule="auto"/>
        <w:ind w:left="1276" w:hanging="425"/>
        <w:rPr>
          <w:rStyle w:val="FontStyle27"/>
          <w:sz w:val="24"/>
          <w:szCs w:val="24"/>
          <w:lang w:val="da-DK" w:eastAsia="da-DK"/>
        </w:rPr>
      </w:pPr>
      <w:r w:rsidRPr="002A1856">
        <w:rPr>
          <w:rStyle w:val="FontStyle27"/>
          <w:sz w:val="24"/>
          <w:szCs w:val="24"/>
          <w:lang w:val="da-DK" w:eastAsia="da-DK"/>
        </w:rPr>
        <w:t>Med aktiv leversygdom eller uforklarlig, vedvarende stigning i serum-transaminaserne svarende til mere end 3 gange den øvre referenceværdi.</w:t>
      </w:r>
    </w:p>
    <w:p w:rsidR="002A1856" w:rsidRPr="002A1856" w:rsidRDefault="002A1856" w:rsidP="002A1856">
      <w:pPr>
        <w:pStyle w:val="Style14"/>
        <w:widowControl/>
        <w:numPr>
          <w:ilvl w:val="0"/>
          <w:numId w:val="10"/>
        </w:numPr>
        <w:spacing w:line="240" w:lineRule="auto"/>
        <w:ind w:left="1276" w:hanging="425"/>
        <w:rPr>
          <w:rStyle w:val="FontStyle27"/>
          <w:sz w:val="24"/>
          <w:szCs w:val="24"/>
          <w:lang w:val="da-DK" w:eastAsia="da-DK"/>
        </w:rPr>
      </w:pPr>
      <w:r w:rsidRPr="002A1856">
        <w:rPr>
          <w:rStyle w:val="FontStyle27"/>
          <w:sz w:val="24"/>
          <w:szCs w:val="24"/>
          <w:lang w:val="da-DK" w:eastAsia="da-DK"/>
        </w:rPr>
        <w:t>Under graviditet, i ammeperioden samt hos kvinder i den fertile alder, som ikke benytter sikker kontraception (se pkt. 4.6).</w:t>
      </w:r>
    </w:p>
    <w:p w:rsidR="002A1856" w:rsidRPr="002A1856" w:rsidRDefault="002A1856" w:rsidP="002A1856">
      <w:pPr>
        <w:pStyle w:val="Style14"/>
        <w:widowControl/>
        <w:numPr>
          <w:ilvl w:val="0"/>
          <w:numId w:val="10"/>
        </w:numPr>
        <w:spacing w:line="240" w:lineRule="auto"/>
        <w:ind w:left="1276" w:hanging="425"/>
      </w:pPr>
      <w:r w:rsidRPr="002A1856">
        <w:rPr>
          <w:rStyle w:val="FontStyle27"/>
          <w:sz w:val="24"/>
          <w:szCs w:val="24"/>
          <w:lang w:val="da-DK" w:eastAsia="da-DK"/>
        </w:rPr>
        <w:t>Behandlet med de antivirale midler glecaprevir/pibrentasvir mod hepatitis C</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4.4</w:t>
      </w:r>
      <w:r w:rsidRPr="002A1856">
        <w:rPr>
          <w:b/>
          <w:sz w:val="24"/>
          <w:szCs w:val="24"/>
        </w:rPr>
        <w:tab/>
        <w:t>Særlige advarsler og forsigtighedsregler vedrørende brugen</w:t>
      </w:r>
    </w:p>
    <w:p w:rsidR="002A1856" w:rsidRPr="002A1856" w:rsidRDefault="002A1856" w:rsidP="002A1856">
      <w:pPr>
        <w:pStyle w:val="Style1"/>
        <w:widowControl/>
        <w:spacing w:line="240" w:lineRule="auto"/>
        <w:ind w:left="851" w:hanging="851"/>
        <w:rPr>
          <w:rStyle w:val="FontStyle27"/>
          <w:sz w:val="24"/>
          <w:szCs w:val="24"/>
          <w:u w:val="single"/>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rPr>
      </w:pPr>
      <w:r w:rsidRPr="002A1856">
        <w:rPr>
          <w:rStyle w:val="FontStyle27"/>
          <w:sz w:val="24"/>
          <w:szCs w:val="24"/>
          <w:u w:val="single"/>
          <w:lang w:val="da-DK" w:eastAsia="da-DK"/>
        </w:rPr>
        <w:t xml:space="preserve">Nedsat leverfunktion </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Der bør tages leverprøver før behandlingens start og periodisk under behandlingen. Patienter, som udvikler tegn eller symptomer på leverskade, skal have taget leverprøver. Patienter, som får forhøjede transaminaseniveauer, skal monitoreres, indtil tallene er normaliserede. Ved vedvarende transaminasestigning til mere end 3 gange den øvre referenceværdi anbefales dosisreduktion eller seponering af atorvastatin (se pkt. 4.8).</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Atorvastatin bør bruges med forsigtighed hos patienter, som indtager store mængder alkohol og/eller med leversygdom i anamnesen.</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u w:val="single"/>
          <w:lang w:eastAsia="da-DK"/>
        </w:rPr>
      </w:pPr>
      <w:r w:rsidRPr="002A1856">
        <w:rPr>
          <w:rStyle w:val="FontStyle27"/>
          <w:sz w:val="24"/>
          <w:szCs w:val="24"/>
          <w:u w:val="single"/>
          <w:lang w:val="da-DK" w:eastAsia="da-DK"/>
        </w:rPr>
        <w:t>Forebyggelse af apopleksi ved aggresiv reduktion af kolesterolniveauerne (Stroke Prevention by Aggressive Reduction in Cholesterol Levels (SPARCL))</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I en post-hoc analyse af apopleksi-subgrupper hos patienter uden koronar hjertesygdom (CHD), som for nylig havde apopleksi eller transitorisk cerebral iskæmi (TCI), var der en større incidens af hæmoragisk apopleksi hos patienter, der fik atorvastatin 80 mg, sammenlignet med placebo. Den øgede risiko blev især noteret hos patienter, der havde hæmoragisk apopleksi i anamnesen eller lakunært infarkt ved forsøgets start. Hos patienter med hæmoragisk apopleksi eller lakunært infarkt i anamnesen er risiko/benefit ratio for atorvastatin 80 mg usikker, og den potentielle risiko for hæmoragisk apopleksi skal omhyggeligt overvejes før initiering af behandling (se pkt. 5.1).</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u w:val="single"/>
          <w:lang w:eastAsia="da-DK"/>
        </w:rPr>
      </w:pPr>
      <w:r w:rsidRPr="002A1856">
        <w:rPr>
          <w:rStyle w:val="FontStyle27"/>
          <w:sz w:val="24"/>
          <w:szCs w:val="24"/>
          <w:u w:val="single"/>
          <w:lang w:val="da-DK" w:eastAsia="da-DK"/>
        </w:rPr>
        <w:t>P</w:t>
      </w:r>
      <w:r w:rsidRPr="002A1856">
        <w:rPr>
          <w:rStyle w:val="FontStyle27"/>
          <w:sz w:val="24"/>
          <w:szCs w:val="24"/>
          <w:u w:val="single"/>
          <w:lang w:eastAsia="da-DK"/>
        </w:rPr>
        <w:t>å</w:t>
      </w:r>
      <w:r w:rsidRPr="002A1856">
        <w:rPr>
          <w:rStyle w:val="FontStyle27"/>
          <w:sz w:val="24"/>
          <w:szCs w:val="24"/>
          <w:u w:val="single"/>
          <w:lang w:val="da-DK" w:eastAsia="da-DK"/>
        </w:rPr>
        <w:t>virkning</w:t>
      </w:r>
      <w:r w:rsidRPr="002A1856">
        <w:rPr>
          <w:rStyle w:val="FontStyle27"/>
          <w:sz w:val="24"/>
          <w:szCs w:val="24"/>
          <w:u w:val="single"/>
          <w:lang w:eastAsia="da-DK"/>
        </w:rPr>
        <w:t xml:space="preserve"> </w:t>
      </w:r>
      <w:r w:rsidRPr="002A1856">
        <w:rPr>
          <w:rStyle w:val="FontStyle27"/>
          <w:sz w:val="24"/>
          <w:szCs w:val="24"/>
          <w:u w:val="single"/>
          <w:lang w:val="da-DK" w:eastAsia="da-DK"/>
        </w:rPr>
        <w:t>af</w:t>
      </w:r>
      <w:r w:rsidRPr="002A1856">
        <w:rPr>
          <w:rStyle w:val="FontStyle27"/>
          <w:sz w:val="24"/>
          <w:szCs w:val="24"/>
          <w:u w:val="single"/>
          <w:lang w:eastAsia="da-DK"/>
        </w:rPr>
        <w:t xml:space="preserve"> </w:t>
      </w:r>
      <w:r w:rsidRPr="002A1856">
        <w:rPr>
          <w:rStyle w:val="FontStyle27"/>
          <w:sz w:val="24"/>
          <w:szCs w:val="24"/>
          <w:u w:val="single"/>
          <w:lang w:val="da-DK" w:eastAsia="da-DK"/>
        </w:rPr>
        <w:t>skeletmuskulaturen</w:t>
      </w: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Atorvastatin</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w:t>
      </w:r>
      <w:r w:rsidRPr="002A1856">
        <w:rPr>
          <w:rStyle w:val="FontStyle27"/>
          <w:sz w:val="24"/>
          <w:szCs w:val="24"/>
          <w:lang w:val="da-DK" w:eastAsia="da-DK"/>
        </w:rPr>
        <w:t>som</w:t>
      </w:r>
      <w:r w:rsidRPr="002A1856">
        <w:rPr>
          <w:rStyle w:val="FontStyle27"/>
          <w:sz w:val="24"/>
          <w:szCs w:val="24"/>
          <w:lang w:eastAsia="da-DK"/>
        </w:rPr>
        <w:t xml:space="preserve"> </w:t>
      </w:r>
      <w:r w:rsidRPr="002A1856">
        <w:rPr>
          <w:rStyle w:val="FontStyle27"/>
          <w:sz w:val="24"/>
          <w:szCs w:val="24"/>
          <w:lang w:val="da-DK" w:eastAsia="da-DK"/>
        </w:rPr>
        <w:t>andre</w:t>
      </w:r>
      <w:r w:rsidRPr="002A1856">
        <w:rPr>
          <w:rStyle w:val="FontStyle27"/>
          <w:sz w:val="24"/>
          <w:szCs w:val="24"/>
          <w:lang w:eastAsia="da-DK"/>
        </w:rPr>
        <w:t xml:space="preserve"> </w:t>
      </w:r>
      <w:r w:rsidRPr="002A1856">
        <w:rPr>
          <w:rStyle w:val="FontStyle27"/>
          <w:sz w:val="24"/>
          <w:szCs w:val="24"/>
          <w:lang w:val="da-DK" w:eastAsia="da-DK"/>
        </w:rPr>
        <w:t>HMG</w:t>
      </w:r>
      <w:r w:rsidRPr="002A1856">
        <w:rPr>
          <w:rStyle w:val="FontStyle27"/>
          <w:sz w:val="24"/>
          <w:szCs w:val="24"/>
          <w:lang w:eastAsia="da-DK"/>
        </w:rPr>
        <w:t>-</w:t>
      </w:r>
      <w:r w:rsidRPr="002A1856">
        <w:rPr>
          <w:rStyle w:val="FontStyle27"/>
          <w:sz w:val="24"/>
          <w:szCs w:val="24"/>
          <w:lang w:val="da-DK" w:eastAsia="da-DK"/>
        </w:rPr>
        <w:t>CoA</w:t>
      </w:r>
      <w:r w:rsidRPr="002A1856">
        <w:rPr>
          <w:rStyle w:val="FontStyle27"/>
          <w:sz w:val="24"/>
          <w:szCs w:val="24"/>
          <w:lang w:eastAsia="da-DK"/>
        </w:rPr>
        <w:t>-</w:t>
      </w:r>
      <w:r w:rsidRPr="002A1856">
        <w:rPr>
          <w:rStyle w:val="FontStyle27"/>
          <w:sz w:val="24"/>
          <w:szCs w:val="24"/>
          <w:lang w:val="da-DK" w:eastAsia="da-DK"/>
        </w:rPr>
        <w:t>reduktaseh</w:t>
      </w:r>
      <w:r w:rsidRPr="002A1856">
        <w:rPr>
          <w:rStyle w:val="FontStyle27"/>
          <w:sz w:val="24"/>
          <w:szCs w:val="24"/>
          <w:lang w:eastAsia="da-DK"/>
        </w:rPr>
        <w:t>æ</w:t>
      </w:r>
      <w:r w:rsidRPr="002A1856">
        <w:rPr>
          <w:rStyle w:val="FontStyle27"/>
          <w:sz w:val="24"/>
          <w:szCs w:val="24"/>
          <w:lang w:val="da-DK" w:eastAsia="da-DK"/>
        </w:rPr>
        <w:t>mmere</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sj</w:t>
      </w:r>
      <w:r w:rsidRPr="002A1856">
        <w:rPr>
          <w:rStyle w:val="FontStyle27"/>
          <w:sz w:val="24"/>
          <w:szCs w:val="24"/>
          <w:lang w:eastAsia="da-DK"/>
        </w:rPr>
        <w:t>æ</w:t>
      </w:r>
      <w:r w:rsidRPr="002A1856">
        <w:rPr>
          <w:rStyle w:val="FontStyle27"/>
          <w:sz w:val="24"/>
          <w:szCs w:val="24"/>
          <w:lang w:val="da-DK" w:eastAsia="da-DK"/>
        </w:rPr>
        <w:t>ldne</w:t>
      </w:r>
      <w:r w:rsidRPr="002A1856">
        <w:rPr>
          <w:rStyle w:val="FontStyle27"/>
          <w:sz w:val="24"/>
          <w:szCs w:val="24"/>
          <w:lang w:eastAsia="da-DK"/>
        </w:rPr>
        <w:t xml:space="preserve"> </w:t>
      </w:r>
      <w:r w:rsidRPr="002A1856">
        <w:rPr>
          <w:rStyle w:val="FontStyle27"/>
          <w:sz w:val="24"/>
          <w:szCs w:val="24"/>
          <w:lang w:val="da-DK" w:eastAsia="da-DK"/>
        </w:rPr>
        <w:t>tilf</w:t>
      </w:r>
      <w:r w:rsidRPr="002A1856">
        <w:rPr>
          <w:rStyle w:val="FontStyle27"/>
          <w:sz w:val="24"/>
          <w:szCs w:val="24"/>
          <w:lang w:eastAsia="da-DK"/>
        </w:rPr>
        <w:t>æ</w:t>
      </w:r>
      <w:r w:rsidRPr="002A1856">
        <w:rPr>
          <w:rStyle w:val="FontStyle27"/>
          <w:sz w:val="24"/>
          <w:szCs w:val="24"/>
          <w:lang w:val="da-DK" w:eastAsia="da-DK"/>
        </w:rPr>
        <w:t>lde</w:t>
      </w:r>
      <w:r w:rsidRPr="002A1856">
        <w:rPr>
          <w:rStyle w:val="FontStyle27"/>
          <w:sz w:val="24"/>
          <w:szCs w:val="24"/>
          <w:lang w:eastAsia="da-DK"/>
        </w:rPr>
        <w:t xml:space="preserve"> </w:t>
      </w:r>
      <w:r w:rsidRPr="002A1856">
        <w:rPr>
          <w:rStyle w:val="FontStyle27"/>
          <w:sz w:val="24"/>
          <w:szCs w:val="24"/>
          <w:lang w:val="da-DK" w:eastAsia="da-DK"/>
        </w:rPr>
        <w:t>p</w:t>
      </w:r>
      <w:r w:rsidRPr="002A1856">
        <w:rPr>
          <w:rStyle w:val="FontStyle27"/>
          <w:sz w:val="24"/>
          <w:szCs w:val="24"/>
          <w:lang w:eastAsia="da-DK"/>
        </w:rPr>
        <w:t>å</w:t>
      </w:r>
      <w:r w:rsidRPr="002A1856">
        <w:rPr>
          <w:rStyle w:val="FontStyle27"/>
          <w:sz w:val="24"/>
          <w:szCs w:val="24"/>
          <w:lang w:val="da-DK" w:eastAsia="da-DK"/>
        </w:rPr>
        <w:t>virke</w:t>
      </w:r>
      <w:r w:rsidRPr="002A1856">
        <w:rPr>
          <w:rStyle w:val="FontStyle27"/>
          <w:sz w:val="24"/>
          <w:szCs w:val="24"/>
          <w:lang w:eastAsia="da-DK"/>
        </w:rPr>
        <w:t xml:space="preserve"> </w:t>
      </w:r>
      <w:r w:rsidRPr="002A1856">
        <w:rPr>
          <w:rStyle w:val="FontStyle27"/>
          <w:sz w:val="24"/>
          <w:szCs w:val="24"/>
          <w:lang w:val="da-DK" w:eastAsia="da-DK"/>
        </w:rPr>
        <w:t>skeletmuskulaturen</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å</w:t>
      </w:r>
      <w:r w:rsidRPr="002A1856">
        <w:rPr>
          <w:rStyle w:val="FontStyle27"/>
          <w:sz w:val="24"/>
          <w:szCs w:val="24"/>
          <w:lang w:val="da-DK" w:eastAsia="da-DK"/>
        </w:rPr>
        <w:t>rsage</w:t>
      </w:r>
      <w:r w:rsidRPr="002A1856">
        <w:rPr>
          <w:rStyle w:val="FontStyle27"/>
          <w:sz w:val="24"/>
          <w:szCs w:val="24"/>
          <w:lang w:eastAsia="da-DK"/>
        </w:rPr>
        <w:t xml:space="preserve"> </w:t>
      </w:r>
      <w:r w:rsidRPr="002A1856">
        <w:rPr>
          <w:rStyle w:val="FontStyle27"/>
          <w:sz w:val="24"/>
          <w:szCs w:val="24"/>
          <w:lang w:val="da-DK" w:eastAsia="da-DK"/>
        </w:rPr>
        <w:t>myalgi</w:t>
      </w:r>
      <w:r w:rsidRPr="002A1856">
        <w:rPr>
          <w:rStyle w:val="FontStyle27"/>
          <w:sz w:val="24"/>
          <w:szCs w:val="24"/>
          <w:lang w:eastAsia="da-DK"/>
        </w:rPr>
        <w:t xml:space="preserve">, </w:t>
      </w:r>
      <w:r w:rsidRPr="002A1856">
        <w:rPr>
          <w:rStyle w:val="FontStyle27"/>
          <w:sz w:val="24"/>
          <w:szCs w:val="24"/>
          <w:lang w:val="da-DK" w:eastAsia="da-DK"/>
        </w:rPr>
        <w:t>myositis</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myopati</w:t>
      </w:r>
      <w:r w:rsidRPr="002A1856">
        <w:rPr>
          <w:rStyle w:val="FontStyle27"/>
          <w:sz w:val="24"/>
          <w:szCs w:val="24"/>
          <w:lang w:eastAsia="da-DK"/>
        </w:rPr>
        <w:t xml:space="preserve">, </w:t>
      </w:r>
      <w:r w:rsidRPr="002A1856">
        <w:rPr>
          <w:rStyle w:val="FontStyle27"/>
          <w:sz w:val="24"/>
          <w:szCs w:val="24"/>
          <w:lang w:val="da-DK" w:eastAsia="da-DK"/>
        </w:rPr>
        <w:t>som</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w:t>
      </w:r>
      <w:r w:rsidRPr="002A1856">
        <w:rPr>
          <w:rStyle w:val="FontStyle27"/>
          <w:sz w:val="24"/>
          <w:szCs w:val="24"/>
          <w:lang w:val="da-DK" w:eastAsia="da-DK"/>
        </w:rPr>
        <w:t>udvikle</w:t>
      </w:r>
      <w:r w:rsidRPr="002A1856">
        <w:rPr>
          <w:rStyle w:val="FontStyle27"/>
          <w:sz w:val="24"/>
          <w:szCs w:val="24"/>
          <w:lang w:eastAsia="da-DK"/>
        </w:rPr>
        <w:t xml:space="preserve"> </w:t>
      </w:r>
      <w:r w:rsidRPr="002A1856">
        <w:rPr>
          <w:rStyle w:val="FontStyle27"/>
          <w:sz w:val="24"/>
          <w:szCs w:val="24"/>
          <w:lang w:val="da-DK" w:eastAsia="da-DK"/>
        </w:rPr>
        <w:t>sig</w:t>
      </w:r>
      <w:r w:rsidRPr="002A1856">
        <w:rPr>
          <w:rStyle w:val="FontStyle27"/>
          <w:sz w:val="24"/>
          <w:szCs w:val="24"/>
          <w:lang w:eastAsia="da-DK"/>
        </w:rPr>
        <w:t xml:space="preserve"> </w:t>
      </w:r>
      <w:r w:rsidRPr="002A1856">
        <w:rPr>
          <w:rStyle w:val="FontStyle27"/>
          <w:sz w:val="24"/>
          <w:szCs w:val="24"/>
          <w:lang w:val="da-DK" w:eastAsia="da-DK"/>
        </w:rPr>
        <w:t>til</w:t>
      </w:r>
      <w:r w:rsidRPr="002A1856">
        <w:rPr>
          <w:rStyle w:val="FontStyle27"/>
          <w:sz w:val="24"/>
          <w:szCs w:val="24"/>
          <w:lang w:eastAsia="da-DK"/>
        </w:rPr>
        <w:t xml:space="preserve"> </w:t>
      </w:r>
      <w:r w:rsidRPr="002A1856">
        <w:rPr>
          <w:rStyle w:val="FontStyle27"/>
          <w:sz w:val="24"/>
          <w:szCs w:val="24"/>
          <w:lang w:val="da-DK" w:eastAsia="da-DK"/>
        </w:rPr>
        <w:t>rabdomyolyse</w:t>
      </w:r>
      <w:r w:rsidRPr="002A1856">
        <w:rPr>
          <w:rStyle w:val="FontStyle27"/>
          <w:sz w:val="24"/>
          <w:szCs w:val="24"/>
          <w:lang w:eastAsia="da-DK"/>
        </w:rPr>
        <w:t xml:space="preserve"> </w:t>
      </w:r>
      <w:r w:rsidRPr="002A1856">
        <w:rPr>
          <w:rStyle w:val="FontStyle27"/>
          <w:sz w:val="24"/>
          <w:szCs w:val="24"/>
          <w:lang w:val="da-DK" w:eastAsia="da-DK"/>
        </w:rPr>
        <w:t>en</w:t>
      </w:r>
      <w:r w:rsidRPr="002A1856">
        <w:rPr>
          <w:rStyle w:val="FontStyle27"/>
          <w:sz w:val="24"/>
          <w:szCs w:val="24"/>
          <w:lang w:eastAsia="da-DK"/>
        </w:rPr>
        <w:t xml:space="preserve"> </w:t>
      </w:r>
      <w:r w:rsidRPr="002A1856">
        <w:rPr>
          <w:rStyle w:val="FontStyle27"/>
          <w:sz w:val="24"/>
          <w:szCs w:val="24"/>
          <w:lang w:val="da-DK" w:eastAsia="da-DK"/>
        </w:rPr>
        <w:t>potentielt</w:t>
      </w:r>
      <w:r w:rsidRPr="002A1856">
        <w:rPr>
          <w:rStyle w:val="FontStyle27"/>
          <w:sz w:val="24"/>
          <w:szCs w:val="24"/>
          <w:lang w:eastAsia="da-DK"/>
        </w:rPr>
        <w:t xml:space="preserve"> </w:t>
      </w:r>
      <w:r w:rsidRPr="002A1856">
        <w:rPr>
          <w:rStyle w:val="FontStyle27"/>
          <w:sz w:val="24"/>
          <w:szCs w:val="24"/>
          <w:lang w:val="da-DK" w:eastAsia="da-DK"/>
        </w:rPr>
        <w:t>livstruende</w:t>
      </w:r>
      <w:r w:rsidRPr="002A1856">
        <w:rPr>
          <w:rStyle w:val="FontStyle27"/>
          <w:sz w:val="24"/>
          <w:szCs w:val="24"/>
          <w:lang w:eastAsia="da-DK"/>
        </w:rPr>
        <w:t xml:space="preserve"> </w:t>
      </w:r>
      <w:r w:rsidRPr="002A1856">
        <w:rPr>
          <w:rStyle w:val="FontStyle27"/>
          <w:sz w:val="24"/>
          <w:szCs w:val="24"/>
          <w:lang w:val="da-DK" w:eastAsia="da-DK"/>
        </w:rPr>
        <w:t>tilstand</w:t>
      </w:r>
      <w:r w:rsidRPr="002A1856">
        <w:rPr>
          <w:rStyle w:val="FontStyle27"/>
          <w:sz w:val="24"/>
          <w:szCs w:val="24"/>
          <w:lang w:eastAsia="da-DK"/>
        </w:rPr>
        <w:t xml:space="preserve">, </w:t>
      </w:r>
      <w:r w:rsidRPr="002A1856">
        <w:rPr>
          <w:rStyle w:val="FontStyle27"/>
          <w:sz w:val="24"/>
          <w:szCs w:val="24"/>
          <w:lang w:val="da-DK" w:eastAsia="da-DK"/>
        </w:rPr>
        <w:t>som</w:t>
      </w:r>
      <w:r w:rsidRPr="002A1856">
        <w:rPr>
          <w:rStyle w:val="FontStyle27"/>
          <w:sz w:val="24"/>
          <w:szCs w:val="24"/>
          <w:lang w:eastAsia="da-DK"/>
        </w:rPr>
        <w:t xml:space="preserve"> </w:t>
      </w:r>
      <w:r w:rsidRPr="002A1856">
        <w:rPr>
          <w:rStyle w:val="FontStyle27"/>
          <w:sz w:val="24"/>
          <w:szCs w:val="24"/>
          <w:lang w:val="da-DK" w:eastAsia="da-DK"/>
        </w:rPr>
        <w:t>kendetegnes</w:t>
      </w:r>
      <w:r w:rsidRPr="002A1856">
        <w:rPr>
          <w:rStyle w:val="FontStyle27"/>
          <w:sz w:val="24"/>
          <w:szCs w:val="24"/>
          <w:lang w:eastAsia="da-DK"/>
        </w:rPr>
        <w:t xml:space="preserve"> </w:t>
      </w:r>
      <w:r w:rsidRPr="002A1856">
        <w:rPr>
          <w:rStyle w:val="FontStyle27"/>
          <w:sz w:val="24"/>
          <w:szCs w:val="24"/>
          <w:lang w:val="da-DK" w:eastAsia="da-DK"/>
        </w:rPr>
        <w:t>ved</w:t>
      </w:r>
      <w:r w:rsidRPr="002A1856">
        <w:rPr>
          <w:rStyle w:val="FontStyle27"/>
          <w:sz w:val="24"/>
          <w:szCs w:val="24"/>
          <w:lang w:eastAsia="da-DK"/>
        </w:rPr>
        <w:t xml:space="preserve"> </w:t>
      </w:r>
      <w:r w:rsidRPr="002A1856">
        <w:rPr>
          <w:rStyle w:val="FontStyle27"/>
          <w:sz w:val="24"/>
          <w:szCs w:val="24"/>
          <w:lang w:val="da-DK" w:eastAsia="da-DK"/>
        </w:rPr>
        <w:t>markant</w:t>
      </w:r>
      <w:r w:rsidRPr="002A1856">
        <w:rPr>
          <w:rStyle w:val="FontStyle27"/>
          <w:sz w:val="24"/>
          <w:szCs w:val="24"/>
          <w:lang w:eastAsia="da-DK"/>
        </w:rPr>
        <w:t xml:space="preserve"> </w:t>
      </w:r>
      <w:r w:rsidRPr="002A1856">
        <w:rPr>
          <w:rStyle w:val="FontStyle27"/>
          <w:sz w:val="24"/>
          <w:szCs w:val="24"/>
          <w:lang w:val="da-DK" w:eastAsia="da-DK"/>
        </w:rPr>
        <w:t>forh</w:t>
      </w:r>
      <w:r w:rsidRPr="002A1856">
        <w:rPr>
          <w:rStyle w:val="FontStyle27"/>
          <w:sz w:val="24"/>
          <w:szCs w:val="24"/>
          <w:lang w:eastAsia="da-DK"/>
        </w:rPr>
        <w:t>ø</w:t>
      </w:r>
      <w:r w:rsidRPr="002A1856">
        <w:rPr>
          <w:rStyle w:val="FontStyle27"/>
          <w:sz w:val="24"/>
          <w:szCs w:val="24"/>
          <w:lang w:val="da-DK" w:eastAsia="da-DK"/>
        </w:rPr>
        <w:t>jet</w:t>
      </w:r>
      <w:r w:rsidRPr="002A1856">
        <w:rPr>
          <w:rStyle w:val="FontStyle27"/>
          <w:sz w:val="24"/>
          <w:szCs w:val="24"/>
          <w:lang w:eastAsia="da-DK"/>
        </w:rPr>
        <w:t xml:space="preserve"> </w:t>
      </w:r>
      <w:r w:rsidRPr="002A1856">
        <w:rPr>
          <w:rStyle w:val="FontStyle27"/>
          <w:sz w:val="24"/>
          <w:szCs w:val="24"/>
          <w:lang w:val="da-DK" w:eastAsia="da-DK"/>
        </w:rPr>
        <w:lastRenderedPageBreak/>
        <w:t>kreatinkinase</w:t>
      </w:r>
      <w:r w:rsidRPr="002A1856">
        <w:rPr>
          <w:rStyle w:val="FontStyle27"/>
          <w:sz w:val="24"/>
          <w:szCs w:val="24"/>
          <w:lang w:eastAsia="da-DK"/>
        </w:rPr>
        <w:t xml:space="preserve"> (</w:t>
      </w:r>
      <w:r w:rsidRPr="002A1856">
        <w:rPr>
          <w:rStyle w:val="FontStyle27"/>
          <w:sz w:val="24"/>
          <w:szCs w:val="24"/>
          <w:lang w:val="da-DK" w:eastAsia="da-DK"/>
        </w:rPr>
        <w:t>CK</w:t>
      </w:r>
      <w:r w:rsidRPr="002A1856">
        <w:rPr>
          <w:rStyle w:val="FontStyle27"/>
          <w:sz w:val="24"/>
          <w:szCs w:val="24"/>
          <w:lang w:eastAsia="da-DK"/>
        </w:rPr>
        <w:t>)-</w:t>
      </w:r>
      <w:r w:rsidRPr="002A1856">
        <w:rPr>
          <w:rStyle w:val="FontStyle27"/>
          <w:sz w:val="24"/>
          <w:szCs w:val="24"/>
          <w:lang w:val="da-DK" w:eastAsia="da-DK"/>
        </w:rPr>
        <w:t>v</w:t>
      </w:r>
      <w:r w:rsidRPr="002A1856">
        <w:rPr>
          <w:rStyle w:val="FontStyle27"/>
          <w:sz w:val="24"/>
          <w:szCs w:val="24"/>
          <w:lang w:eastAsia="da-DK"/>
        </w:rPr>
        <w:t>æ</w:t>
      </w:r>
      <w:r w:rsidRPr="002A1856">
        <w:rPr>
          <w:rStyle w:val="FontStyle27"/>
          <w:sz w:val="24"/>
          <w:szCs w:val="24"/>
          <w:lang w:val="da-DK" w:eastAsia="da-DK"/>
        </w:rPr>
        <w:t>rdi</w:t>
      </w:r>
      <w:r w:rsidRPr="002A1856">
        <w:rPr>
          <w:rStyle w:val="FontStyle27"/>
          <w:sz w:val="24"/>
          <w:szCs w:val="24"/>
          <w:lang w:eastAsia="da-DK"/>
        </w:rPr>
        <w:t xml:space="preserve"> (&gt;10 </w:t>
      </w:r>
      <w:r w:rsidRPr="002A1856">
        <w:rPr>
          <w:rStyle w:val="FontStyle27"/>
          <w:sz w:val="24"/>
          <w:szCs w:val="24"/>
          <w:lang w:val="da-DK" w:eastAsia="da-DK"/>
        </w:rPr>
        <w:t>gange</w:t>
      </w:r>
      <w:r w:rsidRPr="002A1856">
        <w:rPr>
          <w:rStyle w:val="FontStyle27"/>
          <w:sz w:val="24"/>
          <w:szCs w:val="24"/>
          <w:lang w:eastAsia="da-DK"/>
        </w:rPr>
        <w:t xml:space="preserve"> </w:t>
      </w:r>
      <w:r w:rsidRPr="002A1856">
        <w:rPr>
          <w:rStyle w:val="FontStyle27"/>
          <w:sz w:val="24"/>
          <w:szCs w:val="24"/>
          <w:lang w:val="da-DK" w:eastAsia="da-DK"/>
        </w:rPr>
        <w:t>den</w:t>
      </w:r>
      <w:r w:rsidRPr="002A1856">
        <w:rPr>
          <w:rStyle w:val="FontStyle27"/>
          <w:sz w:val="24"/>
          <w:szCs w:val="24"/>
          <w:lang w:eastAsia="da-DK"/>
        </w:rPr>
        <w:t xml:space="preserve"> ø</w:t>
      </w:r>
      <w:r w:rsidRPr="002A1856">
        <w:rPr>
          <w:rStyle w:val="FontStyle27"/>
          <w:sz w:val="24"/>
          <w:szCs w:val="24"/>
          <w:lang w:val="da-DK" w:eastAsia="da-DK"/>
        </w:rPr>
        <w:t>vre</w:t>
      </w:r>
      <w:r w:rsidRPr="002A1856">
        <w:rPr>
          <w:rStyle w:val="FontStyle27"/>
          <w:sz w:val="24"/>
          <w:szCs w:val="24"/>
          <w:lang w:eastAsia="da-DK"/>
        </w:rPr>
        <w:t xml:space="preserve"> </w:t>
      </w:r>
      <w:r w:rsidRPr="002A1856">
        <w:rPr>
          <w:rStyle w:val="FontStyle27"/>
          <w:sz w:val="24"/>
          <w:szCs w:val="24"/>
          <w:lang w:val="da-DK" w:eastAsia="da-DK"/>
        </w:rPr>
        <w:t>referencev</w:t>
      </w:r>
      <w:r w:rsidRPr="002A1856">
        <w:rPr>
          <w:rStyle w:val="FontStyle27"/>
          <w:sz w:val="24"/>
          <w:szCs w:val="24"/>
          <w:lang w:eastAsia="da-DK"/>
        </w:rPr>
        <w:t>æ</w:t>
      </w:r>
      <w:r w:rsidRPr="002A1856">
        <w:rPr>
          <w:rStyle w:val="FontStyle27"/>
          <w:sz w:val="24"/>
          <w:szCs w:val="24"/>
          <w:lang w:val="da-DK" w:eastAsia="da-DK"/>
        </w:rPr>
        <w:t>rdi</w:t>
      </w:r>
      <w:r w:rsidRPr="002A1856">
        <w:rPr>
          <w:rStyle w:val="FontStyle27"/>
          <w:sz w:val="24"/>
          <w:szCs w:val="24"/>
          <w:lang w:eastAsia="da-DK"/>
        </w:rPr>
        <w:t xml:space="preserve">), </w:t>
      </w:r>
      <w:r w:rsidRPr="002A1856">
        <w:rPr>
          <w:rStyle w:val="FontStyle27"/>
          <w:sz w:val="24"/>
          <w:szCs w:val="24"/>
          <w:lang w:val="da-DK" w:eastAsia="da-DK"/>
        </w:rPr>
        <w:t>myoglobin</w:t>
      </w:r>
      <w:r w:rsidRPr="002A1856">
        <w:rPr>
          <w:rStyle w:val="FontStyle27"/>
          <w:sz w:val="24"/>
          <w:szCs w:val="24"/>
          <w:lang w:eastAsia="da-DK"/>
        </w:rPr>
        <w:t>æ</w:t>
      </w:r>
      <w:r w:rsidRPr="002A1856">
        <w:rPr>
          <w:rStyle w:val="FontStyle27"/>
          <w:sz w:val="24"/>
          <w:szCs w:val="24"/>
          <w:lang w:val="da-DK" w:eastAsia="da-DK"/>
        </w:rPr>
        <w:t>mi</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myoglobinuri</w:t>
      </w:r>
      <w:r w:rsidRPr="002A1856">
        <w:rPr>
          <w:rStyle w:val="FontStyle27"/>
          <w:sz w:val="24"/>
          <w:szCs w:val="24"/>
          <w:lang w:eastAsia="da-DK"/>
        </w:rPr>
        <w:t xml:space="preserve">, </w:t>
      </w:r>
      <w:r w:rsidRPr="002A1856">
        <w:rPr>
          <w:rStyle w:val="FontStyle27"/>
          <w:sz w:val="24"/>
          <w:szCs w:val="24"/>
          <w:lang w:val="da-DK" w:eastAsia="da-DK"/>
        </w:rPr>
        <w:t>som</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w:t>
      </w:r>
      <w:r w:rsidRPr="002A1856">
        <w:rPr>
          <w:rStyle w:val="FontStyle27"/>
          <w:sz w:val="24"/>
          <w:szCs w:val="24"/>
          <w:lang w:val="da-DK" w:eastAsia="da-DK"/>
        </w:rPr>
        <w:t>medf</w:t>
      </w:r>
      <w:r w:rsidRPr="002A1856">
        <w:rPr>
          <w:rStyle w:val="FontStyle27"/>
          <w:sz w:val="24"/>
          <w:szCs w:val="24"/>
          <w:lang w:eastAsia="da-DK"/>
        </w:rPr>
        <w:t>ø</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nyresvigt</w:t>
      </w:r>
      <w:r w:rsidRPr="002A1856">
        <w:rPr>
          <w:rStyle w:val="FontStyle27"/>
          <w:sz w:val="24"/>
          <w:szCs w:val="24"/>
          <w:lang w:eastAsia="da-DK"/>
        </w:rPr>
        <w:t>.</w:t>
      </w:r>
    </w:p>
    <w:p w:rsidR="002A1856" w:rsidRPr="002A1856" w:rsidRDefault="002A1856" w:rsidP="002A1856">
      <w:pPr>
        <w:ind w:left="851"/>
        <w:rPr>
          <w:spacing w:val="-3"/>
          <w:sz w:val="24"/>
          <w:szCs w:val="24"/>
          <w:lang w:eastAsia="da-DK"/>
        </w:rPr>
      </w:pPr>
      <w:r w:rsidRPr="002A1856">
        <w:rPr>
          <w:sz w:val="24"/>
          <w:szCs w:val="24"/>
        </w:rPr>
        <w:t xml:space="preserve">I meget sjældne tilfælde er der beskrevet immunmedieret nekrotiserende myopati (IMNM) under eller efter behandling med visse statiner. Klinisk er IMNM karakteriseret ved vedvarende proksimal muskelsvaghed og forhøjet serum-kreatininkinase, som vedvarer trods seponering af statinbehandlingen, </w:t>
      </w:r>
      <w:r w:rsidRPr="002A1856">
        <w:rPr>
          <w:spacing w:val="-3"/>
          <w:sz w:val="24"/>
          <w:szCs w:val="24"/>
        </w:rPr>
        <w:t>positiv anti-HMG CoA reduktase-antistof og forbedring med immunosuppressive midler.</w:t>
      </w:r>
    </w:p>
    <w:p w:rsidR="002A1856" w:rsidRPr="002A1856" w:rsidRDefault="002A1856" w:rsidP="002A1856">
      <w:pPr>
        <w:pStyle w:val="Style1"/>
        <w:widowControl/>
        <w:spacing w:line="240" w:lineRule="auto"/>
        <w:ind w:left="851"/>
        <w:rPr>
          <w:lang w:val="da-DK"/>
        </w:rPr>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Før behandling</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Atorvastatin bør gives med forsigtighed til patienter med prædisponerende faktorer for rabdomyolyse. Kreatinkinase (CK)værdien bør måles før initiering af behandling med statiner i følgende situationer:</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Nedsat nyrefunktion.</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Hypotyreoidisme.</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Personlig eller familiær anamnese med arvelige muskelsygdomme.</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Tidligere muskeltoksicitet med statin eller fibrat.</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Leversygdom i anamnesen og/eller indtagelse af store mængder alkohol.</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Hos ældre (&gt;70 år) skal nødvendigheden af en sådan måling overvejes alt efter tilstedeværelsen af andre prædisponerende faktorer for rabdomyolyse.</w:t>
      </w:r>
    </w:p>
    <w:p w:rsidR="002A1856" w:rsidRPr="002A1856" w:rsidRDefault="002A1856" w:rsidP="002A1856">
      <w:pPr>
        <w:pStyle w:val="Style14"/>
        <w:widowControl/>
        <w:numPr>
          <w:ilvl w:val="0"/>
          <w:numId w:val="12"/>
        </w:numPr>
        <w:spacing w:line="240" w:lineRule="auto"/>
        <w:ind w:left="1276" w:hanging="425"/>
        <w:rPr>
          <w:rStyle w:val="FontStyle27"/>
          <w:sz w:val="24"/>
          <w:szCs w:val="24"/>
          <w:lang w:val="da-DK" w:eastAsia="da-DK"/>
        </w:rPr>
      </w:pPr>
      <w:r w:rsidRPr="002A1856">
        <w:rPr>
          <w:rStyle w:val="FontStyle27"/>
          <w:sz w:val="24"/>
          <w:szCs w:val="24"/>
          <w:lang w:val="da-DK" w:eastAsia="da-DK"/>
        </w:rPr>
        <w:t>Tilstande hvor en øgning af plasmakoncentrationen kan forekomme, f.eks. ved risiko for interaktioner (se pkt. 4.5) og hos særlige populationer, herunder genetiske subpopulationer (se pkt. 5.2).</w:t>
      </w:r>
    </w:p>
    <w:p w:rsidR="002A1856" w:rsidRPr="002A1856" w:rsidRDefault="002A1856" w:rsidP="002A1856">
      <w:pPr>
        <w:pStyle w:val="Style2"/>
        <w:widowControl/>
        <w:spacing w:line="240" w:lineRule="auto"/>
        <w:ind w:left="851" w:hanging="851"/>
        <w:jc w:val="left"/>
        <w:rPr>
          <w:rStyle w:val="FontStyle27"/>
          <w:sz w:val="24"/>
          <w:szCs w:val="24"/>
          <w:lang w:val="da-DK" w:eastAsia="da-DK"/>
        </w:rPr>
      </w:pPr>
    </w:p>
    <w:p w:rsidR="002A1856" w:rsidRPr="002A1856" w:rsidRDefault="002A1856" w:rsidP="002A1856">
      <w:pPr>
        <w:pStyle w:val="Style2"/>
        <w:widowControl/>
        <w:spacing w:line="240" w:lineRule="auto"/>
        <w:ind w:left="851"/>
        <w:jc w:val="left"/>
        <w:rPr>
          <w:rStyle w:val="FontStyle27"/>
          <w:sz w:val="24"/>
          <w:szCs w:val="24"/>
          <w:lang w:val="da-DK" w:eastAsia="da-DK"/>
        </w:rPr>
      </w:pPr>
      <w:r w:rsidRPr="002A1856">
        <w:rPr>
          <w:rStyle w:val="FontStyle27"/>
          <w:sz w:val="24"/>
          <w:szCs w:val="24"/>
          <w:lang w:val="da-DK" w:eastAsia="da-DK"/>
        </w:rPr>
        <w:t>I sådanne tilfælde skal risikoen ved behandlingen vurderes i forhold til den mulige fordel, og klinisk monitorering anbefales.</w:t>
      </w:r>
    </w:p>
    <w:p w:rsidR="002A1856" w:rsidRPr="002A1856" w:rsidRDefault="002A1856" w:rsidP="002A1856">
      <w:pPr>
        <w:pStyle w:val="Style2"/>
        <w:widowControl/>
        <w:spacing w:line="240" w:lineRule="auto"/>
        <w:ind w:left="851" w:hanging="851"/>
        <w:jc w:val="left"/>
        <w:rPr>
          <w:rStyle w:val="FontStyle27"/>
          <w:sz w:val="24"/>
          <w:szCs w:val="24"/>
          <w:lang w:val="da-DK" w:eastAsia="da-DK"/>
        </w:rPr>
      </w:pPr>
    </w:p>
    <w:p w:rsidR="002A1856" w:rsidRPr="002A1856" w:rsidRDefault="002A1856" w:rsidP="002A1856">
      <w:pPr>
        <w:pStyle w:val="Style2"/>
        <w:widowControl/>
        <w:spacing w:line="240" w:lineRule="auto"/>
        <w:ind w:left="851"/>
        <w:jc w:val="left"/>
        <w:rPr>
          <w:rStyle w:val="FontStyle27"/>
          <w:sz w:val="24"/>
          <w:szCs w:val="24"/>
          <w:lang w:val="da-DK" w:eastAsia="da-DK"/>
        </w:rPr>
      </w:pPr>
      <w:r w:rsidRPr="002A1856">
        <w:rPr>
          <w:rStyle w:val="FontStyle27"/>
          <w:sz w:val="24"/>
          <w:szCs w:val="24"/>
          <w:lang w:val="da-DK" w:eastAsia="da-DK"/>
        </w:rPr>
        <w:t>Hvis CK-værdien er signifikant forhøjet (&gt;5 gange den øvre referenceværdi) ved baseline, bør behandlingen ikke startes.</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i/>
          <w:iCs/>
          <w:u w:val="single"/>
          <w:lang w:val="da-DK" w:eastAsia="da-DK"/>
        </w:rPr>
      </w:pPr>
      <w:r w:rsidRPr="002A1856">
        <w:rPr>
          <w:rStyle w:val="FontStyle26"/>
          <w:sz w:val="24"/>
          <w:szCs w:val="24"/>
          <w:u w:val="single"/>
          <w:lang w:val="da-DK" w:eastAsia="da-DK"/>
        </w:rPr>
        <w:t>Kreatinkinase (CK)-måling</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CK bør ikke måles efter kraftig, fysisk anstrengelse, eller hvis der er en anden grund til, at CK kan være forhøjet, da det vanskeliggør fortolkningen af værdien. Hvis CK-værdien er signifikant forhøjet ved baseline (&gt;5 gange den øvre referenceværdi), bør den måles igen inden for 5-7 dage for at bekræfte resultatet.</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i/>
          <w:iCs/>
          <w:u w:val="single"/>
          <w:lang w:val="da-DK" w:eastAsia="da-DK"/>
        </w:rPr>
      </w:pPr>
      <w:r w:rsidRPr="002A1856">
        <w:rPr>
          <w:rStyle w:val="FontStyle26"/>
          <w:sz w:val="24"/>
          <w:szCs w:val="24"/>
          <w:u w:val="single"/>
          <w:lang w:val="da-DK" w:eastAsia="da-DK"/>
        </w:rPr>
        <w:t>Under behandlingen</w:t>
      </w:r>
    </w:p>
    <w:p w:rsidR="002A1856" w:rsidRPr="002A1856" w:rsidRDefault="002A1856" w:rsidP="002A1856">
      <w:pPr>
        <w:pStyle w:val="Style2"/>
        <w:widowControl/>
        <w:numPr>
          <w:ilvl w:val="0"/>
          <w:numId w:val="9"/>
        </w:numPr>
        <w:spacing w:line="240" w:lineRule="auto"/>
        <w:ind w:left="1276" w:hanging="425"/>
        <w:jc w:val="left"/>
        <w:rPr>
          <w:rStyle w:val="FontStyle27"/>
          <w:sz w:val="24"/>
          <w:szCs w:val="24"/>
        </w:rPr>
      </w:pPr>
      <w:r w:rsidRPr="002A1856">
        <w:rPr>
          <w:rStyle w:val="FontStyle27"/>
          <w:sz w:val="24"/>
          <w:szCs w:val="24"/>
          <w:lang w:val="da-DK" w:eastAsia="da-DK"/>
        </w:rPr>
        <w:t>Patienter skal opfordres til omgående at rapportere muskelsmerter, -kramper eller -svaghed, især hvis disse er ledsaget af utilpashed eller feber.</w:t>
      </w:r>
    </w:p>
    <w:p w:rsidR="002A1856" w:rsidRPr="002A1856" w:rsidRDefault="002A1856" w:rsidP="002A1856">
      <w:pPr>
        <w:pStyle w:val="Style1"/>
        <w:widowControl/>
        <w:numPr>
          <w:ilvl w:val="0"/>
          <w:numId w:val="9"/>
        </w:numPr>
        <w:spacing w:line="240" w:lineRule="auto"/>
        <w:ind w:left="1276" w:hanging="425"/>
        <w:rPr>
          <w:rStyle w:val="FontStyle27"/>
          <w:sz w:val="24"/>
          <w:szCs w:val="24"/>
          <w:lang w:val="da-DK" w:eastAsia="da-DK"/>
        </w:rPr>
      </w:pPr>
      <w:r w:rsidRPr="002A1856">
        <w:rPr>
          <w:rStyle w:val="FontStyle27"/>
          <w:sz w:val="24"/>
          <w:szCs w:val="24"/>
          <w:lang w:val="da-DK" w:eastAsia="da-DK"/>
        </w:rPr>
        <w:t xml:space="preserve">Hvis sådanne symptomer opstår under behandling med atorvastatin, skal CK-værdien måles. Hvis denne værdi er signifikant forhøjet (&gt;5 gange den øvre referenceværdi), bør behandlingen stoppes. </w:t>
      </w:r>
    </w:p>
    <w:p w:rsidR="002A1856" w:rsidRPr="002A1856" w:rsidRDefault="002A1856" w:rsidP="002A1856">
      <w:pPr>
        <w:pStyle w:val="Style1"/>
        <w:widowControl/>
        <w:numPr>
          <w:ilvl w:val="0"/>
          <w:numId w:val="9"/>
        </w:numPr>
        <w:spacing w:line="240" w:lineRule="auto"/>
        <w:ind w:left="1276" w:hanging="425"/>
        <w:rPr>
          <w:rStyle w:val="FontStyle27"/>
          <w:sz w:val="24"/>
          <w:szCs w:val="24"/>
          <w:lang w:val="da-DK" w:eastAsia="da-DK"/>
        </w:rPr>
      </w:pPr>
      <w:r w:rsidRPr="002A1856">
        <w:rPr>
          <w:rStyle w:val="FontStyle27"/>
          <w:sz w:val="24"/>
          <w:szCs w:val="24"/>
          <w:lang w:val="da-DK" w:eastAsia="da-DK"/>
        </w:rPr>
        <w:t xml:space="preserve">Hvis muskelsymptomerne er svære og foranlediger daglig ubehag, bør seponering af behandlingen overvejes, selvom CK-værdien er forhøjet til </w:t>
      </w:r>
      <w:r w:rsidRPr="002A1856">
        <w:rPr>
          <w:rStyle w:val="FontStyle27"/>
          <w:sz w:val="24"/>
          <w:szCs w:val="24"/>
          <w:lang w:eastAsia="da-DK"/>
        </w:rPr>
        <w:t>≤</w:t>
      </w:r>
      <w:r w:rsidRPr="002A1856">
        <w:rPr>
          <w:rStyle w:val="FontStyle27"/>
          <w:sz w:val="24"/>
          <w:szCs w:val="24"/>
          <w:lang w:val="da-DK" w:eastAsia="da-DK"/>
        </w:rPr>
        <w:t xml:space="preserve"> 5 gange den øvre referenceværdi. </w:t>
      </w:r>
    </w:p>
    <w:p w:rsidR="002A1856" w:rsidRPr="002A1856" w:rsidRDefault="002A1856" w:rsidP="002A1856">
      <w:pPr>
        <w:pStyle w:val="Style1"/>
        <w:widowControl/>
        <w:numPr>
          <w:ilvl w:val="0"/>
          <w:numId w:val="9"/>
        </w:numPr>
        <w:spacing w:line="240" w:lineRule="auto"/>
        <w:ind w:left="1276" w:hanging="425"/>
        <w:rPr>
          <w:rStyle w:val="FontStyle27"/>
          <w:sz w:val="24"/>
          <w:szCs w:val="24"/>
          <w:lang w:val="da-DK" w:eastAsia="da-DK"/>
        </w:rPr>
      </w:pPr>
      <w:r w:rsidRPr="002A1856">
        <w:rPr>
          <w:rStyle w:val="FontStyle27"/>
          <w:sz w:val="24"/>
          <w:szCs w:val="24"/>
          <w:lang w:val="da-DK" w:eastAsia="da-DK"/>
        </w:rPr>
        <w:t>Hvis symptomerne forsvinder, og CK-værdien normaliseres, bør re-introduktion af atorvastatin eller introduktion af anden statinbehandling overvejes, idet der gives laveste dosis og monitoreres tæt.</w:t>
      </w:r>
    </w:p>
    <w:p w:rsidR="002A1856" w:rsidRPr="002A1856" w:rsidRDefault="002A1856" w:rsidP="002A1856">
      <w:pPr>
        <w:pStyle w:val="Style1"/>
        <w:widowControl/>
        <w:numPr>
          <w:ilvl w:val="0"/>
          <w:numId w:val="9"/>
        </w:numPr>
        <w:spacing w:line="240" w:lineRule="auto"/>
        <w:ind w:left="1276" w:hanging="425"/>
        <w:rPr>
          <w:rStyle w:val="FontStyle27"/>
          <w:sz w:val="24"/>
          <w:szCs w:val="24"/>
          <w:lang w:val="da-DK" w:eastAsia="da-DK"/>
        </w:rPr>
      </w:pPr>
      <w:r w:rsidRPr="002A1856">
        <w:rPr>
          <w:rStyle w:val="FontStyle27"/>
          <w:sz w:val="24"/>
          <w:szCs w:val="24"/>
          <w:lang w:val="da-DK" w:eastAsia="da-DK"/>
        </w:rPr>
        <w:t>Atorvastatin skal seponeres ved klinisk signifikant stigning i CK-værdien (&gt;10 gange den øvre referenceværdi), hvis der er mistanke om rabdomyolyse, eller hvis rabdomyolyse diagnosticeres.</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iCs/>
          <w:u w:val="single"/>
          <w:lang w:eastAsia="da-DK"/>
        </w:rPr>
      </w:pPr>
      <w:r w:rsidRPr="002A1856">
        <w:rPr>
          <w:rStyle w:val="FontStyle26"/>
          <w:sz w:val="24"/>
          <w:szCs w:val="24"/>
          <w:u w:val="single"/>
          <w:lang w:val="da-DK" w:eastAsia="da-DK"/>
        </w:rPr>
        <w:lastRenderedPageBreak/>
        <w:t>Samtidig</w:t>
      </w:r>
      <w:r w:rsidRPr="002A1856">
        <w:rPr>
          <w:rStyle w:val="FontStyle26"/>
          <w:sz w:val="24"/>
          <w:szCs w:val="24"/>
          <w:u w:val="single"/>
          <w:lang w:eastAsia="da-DK"/>
        </w:rPr>
        <w:t xml:space="preserve"> </w:t>
      </w:r>
      <w:r w:rsidRPr="002A1856">
        <w:rPr>
          <w:rStyle w:val="FontStyle26"/>
          <w:sz w:val="24"/>
          <w:szCs w:val="24"/>
          <w:u w:val="single"/>
          <w:lang w:val="da-DK" w:eastAsia="da-DK"/>
        </w:rPr>
        <w:t>behandling</w:t>
      </w:r>
      <w:r w:rsidRPr="002A1856">
        <w:rPr>
          <w:rStyle w:val="FontStyle26"/>
          <w:sz w:val="24"/>
          <w:szCs w:val="24"/>
          <w:u w:val="single"/>
          <w:lang w:eastAsia="da-DK"/>
        </w:rPr>
        <w:t xml:space="preserve"> </w:t>
      </w:r>
      <w:r w:rsidRPr="002A1856">
        <w:rPr>
          <w:rStyle w:val="FontStyle26"/>
          <w:sz w:val="24"/>
          <w:szCs w:val="24"/>
          <w:u w:val="single"/>
          <w:lang w:val="da-DK" w:eastAsia="da-DK"/>
        </w:rPr>
        <w:t>med</w:t>
      </w:r>
      <w:r w:rsidRPr="002A1856">
        <w:rPr>
          <w:rStyle w:val="FontStyle26"/>
          <w:sz w:val="24"/>
          <w:szCs w:val="24"/>
          <w:u w:val="single"/>
          <w:lang w:eastAsia="da-DK"/>
        </w:rPr>
        <w:t xml:space="preserve"> </w:t>
      </w:r>
      <w:r w:rsidRPr="002A1856">
        <w:rPr>
          <w:rStyle w:val="FontStyle26"/>
          <w:sz w:val="24"/>
          <w:szCs w:val="24"/>
          <w:u w:val="single"/>
          <w:lang w:val="da-DK" w:eastAsia="da-DK"/>
        </w:rPr>
        <w:t>andre</w:t>
      </w:r>
      <w:r w:rsidRPr="002A1856">
        <w:rPr>
          <w:rStyle w:val="FontStyle26"/>
          <w:sz w:val="24"/>
          <w:szCs w:val="24"/>
          <w:u w:val="single"/>
          <w:lang w:eastAsia="da-DK"/>
        </w:rPr>
        <w:t xml:space="preserve"> </w:t>
      </w:r>
      <w:r w:rsidRPr="002A1856">
        <w:rPr>
          <w:rStyle w:val="FontStyle26"/>
          <w:sz w:val="24"/>
          <w:szCs w:val="24"/>
          <w:u w:val="single"/>
          <w:lang w:val="da-DK" w:eastAsia="da-DK"/>
        </w:rPr>
        <w:t>l</w:t>
      </w:r>
      <w:r w:rsidRPr="002A1856">
        <w:rPr>
          <w:rStyle w:val="FontStyle26"/>
          <w:sz w:val="24"/>
          <w:szCs w:val="24"/>
          <w:u w:val="single"/>
          <w:lang w:eastAsia="da-DK"/>
        </w:rPr>
        <w:t>æ</w:t>
      </w:r>
      <w:r w:rsidRPr="002A1856">
        <w:rPr>
          <w:rStyle w:val="FontStyle26"/>
          <w:sz w:val="24"/>
          <w:szCs w:val="24"/>
          <w:u w:val="single"/>
          <w:lang w:val="da-DK" w:eastAsia="da-DK"/>
        </w:rPr>
        <w:t>gemidler</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Risikoen</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rabdomyolyse</w:t>
      </w:r>
      <w:r w:rsidRPr="002A1856">
        <w:rPr>
          <w:rStyle w:val="FontStyle27"/>
          <w:sz w:val="24"/>
          <w:szCs w:val="24"/>
          <w:lang w:eastAsia="da-DK"/>
        </w:rPr>
        <w:t xml:space="preserve"> </w:t>
      </w:r>
      <w:r w:rsidRPr="002A1856">
        <w:rPr>
          <w:rStyle w:val="FontStyle27"/>
          <w:sz w:val="24"/>
          <w:szCs w:val="24"/>
          <w:lang w:val="da-DK" w:eastAsia="da-DK"/>
        </w:rPr>
        <w:t>er</w:t>
      </w:r>
      <w:r w:rsidRPr="002A1856">
        <w:rPr>
          <w:rStyle w:val="FontStyle27"/>
          <w:sz w:val="24"/>
          <w:szCs w:val="24"/>
          <w:lang w:eastAsia="da-DK"/>
        </w:rPr>
        <w:t xml:space="preserve"> ø</w:t>
      </w:r>
      <w:r w:rsidRPr="002A1856">
        <w:rPr>
          <w:rStyle w:val="FontStyle27"/>
          <w:sz w:val="24"/>
          <w:szCs w:val="24"/>
          <w:lang w:val="da-DK" w:eastAsia="da-DK"/>
        </w:rPr>
        <w:t>get</w:t>
      </w:r>
      <w:r w:rsidRPr="002A1856">
        <w:rPr>
          <w:rStyle w:val="FontStyle27"/>
          <w:sz w:val="24"/>
          <w:szCs w:val="24"/>
          <w:lang w:eastAsia="da-DK"/>
        </w:rPr>
        <w:t xml:space="preserve">, </w:t>
      </w:r>
      <w:r w:rsidRPr="002A1856">
        <w:rPr>
          <w:rStyle w:val="FontStyle27"/>
          <w:sz w:val="24"/>
          <w:szCs w:val="24"/>
          <w:lang w:val="da-DK" w:eastAsia="da-DK"/>
        </w:rPr>
        <w:t>hvis</w:t>
      </w:r>
      <w:r w:rsidRPr="002A1856">
        <w:rPr>
          <w:rStyle w:val="FontStyle27"/>
          <w:sz w:val="24"/>
          <w:szCs w:val="24"/>
          <w:lang w:eastAsia="da-DK"/>
        </w:rPr>
        <w:t xml:space="preserve"> </w:t>
      </w:r>
      <w:r w:rsidRPr="002A1856">
        <w:rPr>
          <w:rStyle w:val="FontStyle27"/>
          <w:sz w:val="24"/>
          <w:szCs w:val="24"/>
          <w:lang w:val="da-DK" w:eastAsia="da-DK"/>
        </w:rPr>
        <w:t>atorvastatin</w:t>
      </w:r>
      <w:r w:rsidRPr="002A1856">
        <w:rPr>
          <w:rStyle w:val="FontStyle27"/>
          <w:sz w:val="24"/>
          <w:szCs w:val="24"/>
          <w:lang w:eastAsia="da-DK"/>
        </w:rPr>
        <w:t xml:space="preserve"> </w:t>
      </w:r>
      <w:r w:rsidRPr="002A1856">
        <w:rPr>
          <w:rStyle w:val="FontStyle27"/>
          <w:sz w:val="24"/>
          <w:szCs w:val="24"/>
          <w:lang w:val="da-DK" w:eastAsia="da-DK"/>
        </w:rPr>
        <w:t>gives</w:t>
      </w:r>
      <w:r w:rsidRPr="002A1856">
        <w:rPr>
          <w:rStyle w:val="FontStyle27"/>
          <w:sz w:val="24"/>
          <w:szCs w:val="24"/>
          <w:lang w:eastAsia="da-DK"/>
        </w:rPr>
        <w:t xml:space="preserve"> </w:t>
      </w:r>
      <w:r w:rsidRPr="002A1856">
        <w:rPr>
          <w:rStyle w:val="FontStyle27"/>
          <w:sz w:val="24"/>
          <w:szCs w:val="24"/>
          <w:lang w:val="da-DK" w:eastAsia="da-DK"/>
        </w:rPr>
        <w:t>samtidig</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visse</w:t>
      </w:r>
      <w:r w:rsidRPr="002A1856">
        <w:rPr>
          <w:rStyle w:val="FontStyle27"/>
          <w:sz w:val="24"/>
          <w:szCs w:val="24"/>
          <w:lang w:eastAsia="da-DK"/>
        </w:rPr>
        <w:t xml:space="preserve"> </w:t>
      </w:r>
      <w:r w:rsidRPr="002A1856">
        <w:rPr>
          <w:rStyle w:val="FontStyle27"/>
          <w:sz w:val="24"/>
          <w:szCs w:val="24"/>
          <w:lang w:val="da-DK" w:eastAsia="da-DK"/>
        </w:rPr>
        <w:t>l</w:t>
      </w:r>
      <w:r w:rsidRPr="002A1856">
        <w:rPr>
          <w:rStyle w:val="FontStyle27"/>
          <w:sz w:val="24"/>
          <w:szCs w:val="24"/>
          <w:lang w:eastAsia="da-DK"/>
        </w:rPr>
        <w:t>æ</w:t>
      </w:r>
      <w:r w:rsidRPr="002A1856">
        <w:rPr>
          <w:rStyle w:val="FontStyle27"/>
          <w:sz w:val="24"/>
          <w:szCs w:val="24"/>
          <w:lang w:val="da-DK" w:eastAsia="da-DK"/>
        </w:rPr>
        <w:t>gemidler</w:t>
      </w:r>
      <w:r w:rsidRPr="002A1856">
        <w:rPr>
          <w:rStyle w:val="FontStyle27"/>
          <w:sz w:val="24"/>
          <w:szCs w:val="24"/>
          <w:lang w:eastAsia="da-DK"/>
        </w:rPr>
        <w:t xml:space="preserve">, </w:t>
      </w:r>
      <w:r w:rsidRPr="002A1856">
        <w:rPr>
          <w:rStyle w:val="FontStyle27"/>
          <w:sz w:val="24"/>
          <w:szCs w:val="24"/>
          <w:lang w:val="da-DK" w:eastAsia="da-DK"/>
        </w:rPr>
        <w:t>som</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ø</w:t>
      </w:r>
      <w:r w:rsidRPr="002A1856">
        <w:rPr>
          <w:rStyle w:val="FontStyle27"/>
          <w:sz w:val="24"/>
          <w:szCs w:val="24"/>
          <w:lang w:val="da-DK" w:eastAsia="da-DK"/>
        </w:rPr>
        <w:t>ge</w:t>
      </w:r>
      <w:r w:rsidRPr="002A1856">
        <w:rPr>
          <w:rStyle w:val="FontStyle27"/>
          <w:sz w:val="24"/>
          <w:szCs w:val="24"/>
          <w:lang w:eastAsia="da-DK"/>
        </w:rPr>
        <w:t xml:space="preserve"> </w:t>
      </w:r>
      <w:r w:rsidRPr="002A1856">
        <w:rPr>
          <w:rStyle w:val="FontStyle27"/>
          <w:sz w:val="24"/>
          <w:szCs w:val="24"/>
          <w:lang w:val="da-DK" w:eastAsia="da-DK"/>
        </w:rPr>
        <w:t>atorvastatins</w:t>
      </w:r>
      <w:r w:rsidRPr="002A1856">
        <w:rPr>
          <w:rStyle w:val="FontStyle27"/>
          <w:sz w:val="24"/>
          <w:szCs w:val="24"/>
          <w:lang w:eastAsia="da-DK"/>
        </w:rPr>
        <w:t xml:space="preserve"> </w:t>
      </w:r>
      <w:r w:rsidRPr="002A1856">
        <w:rPr>
          <w:rStyle w:val="FontStyle27"/>
          <w:sz w:val="24"/>
          <w:szCs w:val="24"/>
          <w:lang w:val="da-DK" w:eastAsia="da-DK"/>
        </w:rPr>
        <w:t>plasmakoncentration</w:t>
      </w:r>
      <w:r w:rsidRPr="002A1856">
        <w:rPr>
          <w:rStyle w:val="FontStyle27"/>
          <w:sz w:val="24"/>
          <w:szCs w:val="24"/>
          <w:lang w:eastAsia="da-DK"/>
        </w:rPr>
        <w:t xml:space="preserve">, </w:t>
      </w:r>
      <w:r w:rsidRPr="002A1856">
        <w:rPr>
          <w:rStyle w:val="FontStyle27"/>
          <w:sz w:val="24"/>
          <w:szCs w:val="24"/>
          <w:lang w:val="da-DK" w:eastAsia="da-DK"/>
        </w:rPr>
        <w:t>s</w:t>
      </w:r>
      <w:r w:rsidRPr="002A1856">
        <w:rPr>
          <w:rStyle w:val="FontStyle27"/>
          <w:sz w:val="24"/>
          <w:szCs w:val="24"/>
          <w:lang w:eastAsia="da-DK"/>
        </w:rPr>
        <w:t>å</w:t>
      </w:r>
      <w:r w:rsidRPr="002A1856">
        <w:rPr>
          <w:rStyle w:val="FontStyle27"/>
          <w:sz w:val="24"/>
          <w:szCs w:val="24"/>
          <w:lang w:val="da-DK" w:eastAsia="da-DK"/>
        </w:rPr>
        <w:t>som</w:t>
      </w:r>
      <w:r w:rsidRPr="002A1856">
        <w:rPr>
          <w:rStyle w:val="FontStyle27"/>
          <w:sz w:val="24"/>
          <w:szCs w:val="24"/>
          <w:lang w:eastAsia="da-DK"/>
        </w:rPr>
        <w:t xml:space="preserve"> </w:t>
      </w:r>
      <w:r w:rsidRPr="002A1856">
        <w:rPr>
          <w:rStyle w:val="FontStyle27"/>
          <w:sz w:val="24"/>
          <w:szCs w:val="24"/>
          <w:lang w:val="da-DK" w:eastAsia="da-DK"/>
        </w:rPr>
        <w:t>potente</w:t>
      </w:r>
      <w:r w:rsidRPr="002A1856">
        <w:rPr>
          <w:rStyle w:val="FontStyle27"/>
          <w:sz w:val="24"/>
          <w:szCs w:val="24"/>
          <w:lang w:eastAsia="da-DK"/>
        </w:rPr>
        <w:t xml:space="preserve"> </w:t>
      </w:r>
      <w:r w:rsidRPr="002A1856">
        <w:rPr>
          <w:rStyle w:val="FontStyle27"/>
          <w:sz w:val="24"/>
          <w:szCs w:val="24"/>
          <w:lang w:val="da-DK" w:eastAsia="da-DK"/>
        </w:rPr>
        <w:t>CYP</w:t>
      </w:r>
      <w:r w:rsidRPr="002A1856">
        <w:rPr>
          <w:rStyle w:val="FontStyle27"/>
          <w:sz w:val="24"/>
          <w:szCs w:val="24"/>
          <w:lang w:eastAsia="da-DK"/>
        </w:rPr>
        <w:t>3</w:t>
      </w:r>
      <w:r w:rsidRPr="002A1856">
        <w:rPr>
          <w:rStyle w:val="FontStyle27"/>
          <w:sz w:val="24"/>
          <w:szCs w:val="24"/>
          <w:lang w:val="da-DK" w:eastAsia="da-DK"/>
        </w:rPr>
        <w:t>A</w:t>
      </w:r>
      <w:r w:rsidRPr="002A1856">
        <w:rPr>
          <w:rStyle w:val="FontStyle27"/>
          <w:sz w:val="24"/>
          <w:szCs w:val="24"/>
          <w:lang w:eastAsia="da-DK"/>
        </w:rPr>
        <w:t>4-</w:t>
      </w:r>
      <w:r w:rsidRPr="002A1856">
        <w:rPr>
          <w:rStyle w:val="FontStyle27"/>
          <w:sz w:val="24"/>
          <w:szCs w:val="24"/>
          <w:lang w:val="da-DK" w:eastAsia="da-DK"/>
        </w:rPr>
        <w:t>h</w:t>
      </w:r>
      <w:r w:rsidRPr="002A1856">
        <w:rPr>
          <w:rStyle w:val="FontStyle27"/>
          <w:sz w:val="24"/>
          <w:szCs w:val="24"/>
          <w:lang w:eastAsia="da-DK"/>
        </w:rPr>
        <w:t>æ</w:t>
      </w:r>
      <w:r w:rsidRPr="002A1856">
        <w:rPr>
          <w:rStyle w:val="FontStyle27"/>
          <w:sz w:val="24"/>
          <w:szCs w:val="24"/>
          <w:lang w:val="da-DK" w:eastAsia="da-DK"/>
        </w:rPr>
        <w:t>mmere</w:t>
      </w:r>
      <w:r w:rsidRPr="002A1856">
        <w:rPr>
          <w:rStyle w:val="FontStyle27"/>
          <w:sz w:val="24"/>
          <w:szCs w:val="24"/>
          <w:lang w:eastAsia="da-DK"/>
        </w:rPr>
        <w:t xml:space="preserve"> </w:t>
      </w:r>
      <w:r w:rsidRPr="002A1856">
        <w:rPr>
          <w:rStyle w:val="FontStyle27"/>
          <w:sz w:val="24"/>
          <w:szCs w:val="24"/>
          <w:lang w:val="da-DK" w:eastAsia="da-DK"/>
        </w:rPr>
        <w:t>eller</w:t>
      </w:r>
      <w:r w:rsidRPr="002A1856">
        <w:rPr>
          <w:rStyle w:val="FontStyle27"/>
          <w:sz w:val="24"/>
          <w:szCs w:val="24"/>
          <w:lang w:eastAsia="da-DK"/>
        </w:rPr>
        <w:t xml:space="preserve"> </w:t>
      </w:r>
      <w:r w:rsidRPr="002A1856">
        <w:rPr>
          <w:rStyle w:val="FontStyle27"/>
          <w:sz w:val="24"/>
          <w:szCs w:val="24"/>
          <w:lang w:val="da-DK" w:eastAsia="da-DK"/>
        </w:rPr>
        <w:t>transportproteiner</w:t>
      </w:r>
      <w:r w:rsidRPr="002A1856">
        <w:rPr>
          <w:rStyle w:val="FontStyle27"/>
          <w:sz w:val="24"/>
          <w:szCs w:val="24"/>
          <w:lang w:eastAsia="da-DK"/>
        </w:rPr>
        <w:t xml:space="preserve"> (</w:t>
      </w:r>
      <w:r w:rsidRPr="002A1856">
        <w:rPr>
          <w:rStyle w:val="FontStyle27"/>
          <w:sz w:val="24"/>
          <w:szCs w:val="24"/>
          <w:lang w:val="da-DK" w:eastAsia="da-DK"/>
        </w:rPr>
        <w:t>f</w:t>
      </w:r>
      <w:r w:rsidRPr="002A1856">
        <w:rPr>
          <w:rStyle w:val="FontStyle27"/>
          <w:sz w:val="24"/>
          <w:szCs w:val="24"/>
          <w:lang w:eastAsia="da-DK"/>
        </w:rPr>
        <w:t>.</w:t>
      </w:r>
      <w:r w:rsidRPr="002A1856">
        <w:rPr>
          <w:rStyle w:val="FontStyle27"/>
          <w:sz w:val="24"/>
          <w:szCs w:val="24"/>
          <w:lang w:val="da-DK" w:eastAsia="da-DK"/>
        </w:rPr>
        <w:t>eks</w:t>
      </w:r>
      <w:r w:rsidRPr="002A1856">
        <w:rPr>
          <w:rStyle w:val="FontStyle27"/>
          <w:sz w:val="24"/>
          <w:szCs w:val="24"/>
          <w:lang w:eastAsia="da-DK"/>
        </w:rPr>
        <w:t xml:space="preserve">. </w:t>
      </w:r>
      <w:r w:rsidRPr="002A1856">
        <w:rPr>
          <w:rStyle w:val="FontStyle27"/>
          <w:sz w:val="24"/>
          <w:szCs w:val="24"/>
          <w:lang w:val="da-DK" w:eastAsia="da-DK"/>
        </w:rPr>
        <w:t>ciclosporin</w:t>
      </w:r>
      <w:r w:rsidRPr="002A1856">
        <w:rPr>
          <w:rStyle w:val="FontStyle27"/>
          <w:sz w:val="24"/>
          <w:szCs w:val="24"/>
          <w:lang w:eastAsia="da-DK"/>
        </w:rPr>
        <w:t xml:space="preserve">, </w:t>
      </w:r>
      <w:r w:rsidRPr="002A1856">
        <w:rPr>
          <w:rStyle w:val="FontStyle27"/>
          <w:sz w:val="24"/>
          <w:szCs w:val="24"/>
          <w:lang w:val="da-DK" w:eastAsia="da-DK"/>
        </w:rPr>
        <w:t>telithromycin</w:t>
      </w:r>
      <w:r w:rsidRPr="002A1856">
        <w:rPr>
          <w:rStyle w:val="FontStyle27"/>
          <w:sz w:val="24"/>
          <w:szCs w:val="24"/>
          <w:lang w:eastAsia="da-DK"/>
        </w:rPr>
        <w:t xml:space="preserve">, </w:t>
      </w:r>
      <w:r w:rsidRPr="002A1856">
        <w:rPr>
          <w:rStyle w:val="FontStyle27"/>
          <w:sz w:val="24"/>
          <w:szCs w:val="24"/>
          <w:lang w:val="da-DK" w:eastAsia="da-DK"/>
        </w:rPr>
        <w:t>clarithromycin</w:t>
      </w:r>
      <w:r w:rsidRPr="002A1856">
        <w:rPr>
          <w:rStyle w:val="FontStyle27"/>
          <w:sz w:val="24"/>
          <w:szCs w:val="24"/>
          <w:lang w:eastAsia="da-DK"/>
        </w:rPr>
        <w:t xml:space="preserve">, </w:t>
      </w:r>
      <w:r w:rsidRPr="002A1856">
        <w:rPr>
          <w:rStyle w:val="FontStyle27"/>
          <w:sz w:val="24"/>
          <w:szCs w:val="24"/>
          <w:lang w:val="da-DK" w:eastAsia="da-DK"/>
        </w:rPr>
        <w:t>delavirdin</w:t>
      </w:r>
      <w:r w:rsidRPr="002A1856">
        <w:rPr>
          <w:rStyle w:val="FontStyle27"/>
          <w:sz w:val="24"/>
          <w:szCs w:val="24"/>
          <w:lang w:eastAsia="da-DK"/>
        </w:rPr>
        <w:t xml:space="preserve">, </w:t>
      </w:r>
      <w:r w:rsidRPr="002A1856">
        <w:rPr>
          <w:rStyle w:val="FontStyle27"/>
          <w:sz w:val="24"/>
          <w:szCs w:val="24"/>
          <w:lang w:val="da-DK" w:eastAsia="da-DK"/>
        </w:rPr>
        <w:t>stiripentol</w:t>
      </w:r>
      <w:r w:rsidRPr="002A1856">
        <w:rPr>
          <w:rStyle w:val="FontStyle27"/>
          <w:sz w:val="24"/>
          <w:szCs w:val="24"/>
          <w:lang w:eastAsia="da-DK"/>
        </w:rPr>
        <w:t xml:space="preserve">, </w:t>
      </w:r>
      <w:r w:rsidRPr="002A1856">
        <w:rPr>
          <w:rStyle w:val="FontStyle27"/>
          <w:sz w:val="24"/>
          <w:szCs w:val="24"/>
          <w:lang w:val="da-DK" w:eastAsia="da-DK"/>
        </w:rPr>
        <w:t>ketoconazol</w:t>
      </w:r>
      <w:r w:rsidRPr="002A1856">
        <w:rPr>
          <w:rStyle w:val="FontStyle27"/>
          <w:sz w:val="24"/>
          <w:szCs w:val="24"/>
          <w:lang w:eastAsia="da-DK"/>
        </w:rPr>
        <w:t xml:space="preserve">, </w:t>
      </w:r>
      <w:r w:rsidRPr="002A1856">
        <w:rPr>
          <w:rStyle w:val="FontStyle27"/>
          <w:sz w:val="24"/>
          <w:szCs w:val="24"/>
          <w:lang w:val="da-DK" w:eastAsia="da-DK"/>
        </w:rPr>
        <w:t>voriconazol</w:t>
      </w:r>
      <w:r w:rsidRPr="002A1856">
        <w:rPr>
          <w:rStyle w:val="FontStyle27"/>
          <w:sz w:val="24"/>
          <w:szCs w:val="24"/>
          <w:lang w:eastAsia="da-DK"/>
        </w:rPr>
        <w:t xml:space="preserve">, </w:t>
      </w:r>
      <w:r w:rsidRPr="002A1856">
        <w:rPr>
          <w:rStyle w:val="FontStyle27"/>
          <w:sz w:val="24"/>
          <w:szCs w:val="24"/>
          <w:lang w:val="da-DK" w:eastAsia="da-DK"/>
        </w:rPr>
        <w:t>itraconazol</w:t>
      </w:r>
      <w:r w:rsidRPr="002A1856">
        <w:rPr>
          <w:rStyle w:val="FontStyle27"/>
          <w:sz w:val="24"/>
          <w:szCs w:val="24"/>
          <w:lang w:eastAsia="da-DK"/>
        </w:rPr>
        <w:t xml:space="preserve">, </w:t>
      </w:r>
      <w:r w:rsidRPr="002A1856">
        <w:rPr>
          <w:rStyle w:val="FontStyle27"/>
          <w:sz w:val="24"/>
          <w:szCs w:val="24"/>
          <w:lang w:val="da-DK" w:eastAsia="da-DK"/>
        </w:rPr>
        <w:t>posaconazol</w:t>
      </w:r>
      <w:r w:rsidRPr="002A1856">
        <w:rPr>
          <w:rStyle w:val="FontStyle27"/>
          <w:sz w:val="24"/>
          <w:szCs w:val="24"/>
          <w:lang w:eastAsia="da-DK"/>
        </w:rPr>
        <w:t xml:space="preserve">, </w:t>
      </w:r>
      <w:r w:rsidRPr="002A1856">
        <w:rPr>
          <w:rStyle w:val="FontStyle27"/>
          <w:sz w:val="24"/>
          <w:szCs w:val="24"/>
          <w:lang w:val="da-DK" w:eastAsia="da-DK"/>
        </w:rPr>
        <w:t>letemovir</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HIV</w:t>
      </w:r>
      <w:r w:rsidRPr="002A1856">
        <w:rPr>
          <w:rStyle w:val="FontStyle27"/>
          <w:sz w:val="24"/>
          <w:szCs w:val="24"/>
          <w:lang w:eastAsia="da-DK"/>
        </w:rPr>
        <w:t>-</w:t>
      </w:r>
      <w:r w:rsidRPr="002A1856">
        <w:rPr>
          <w:rStyle w:val="FontStyle27"/>
          <w:sz w:val="24"/>
          <w:szCs w:val="24"/>
          <w:lang w:val="da-DK" w:eastAsia="da-DK"/>
        </w:rPr>
        <w:t>proteaseh</w:t>
      </w:r>
      <w:r w:rsidRPr="002A1856">
        <w:rPr>
          <w:rStyle w:val="FontStyle27"/>
          <w:sz w:val="24"/>
          <w:szCs w:val="24"/>
          <w:lang w:eastAsia="da-DK"/>
        </w:rPr>
        <w:t>æ</w:t>
      </w:r>
      <w:r w:rsidRPr="002A1856">
        <w:rPr>
          <w:rStyle w:val="FontStyle27"/>
          <w:sz w:val="24"/>
          <w:szCs w:val="24"/>
          <w:lang w:val="da-DK" w:eastAsia="da-DK"/>
        </w:rPr>
        <w:t>mmere</w:t>
      </w:r>
      <w:r w:rsidRPr="002A1856">
        <w:rPr>
          <w:rStyle w:val="FontStyle27"/>
          <w:sz w:val="24"/>
          <w:szCs w:val="24"/>
          <w:lang w:eastAsia="da-DK"/>
        </w:rPr>
        <w:t xml:space="preserve">, </w:t>
      </w:r>
      <w:r w:rsidRPr="002A1856">
        <w:rPr>
          <w:rStyle w:val="FontStyle27"/>
          <w:sz w:val="24"/>
          <w:szCs w:val="24"/>
          <w:lang w:val="da-DK" w:eastAsia="da-DK"/>
        </w:rPr>
        <w:t>herunder</w:t>
      </w:r>
      <w:r w:rsidRPr="002A1856">
        <w:rPr>
          <w:rStyle w:val="FontStyle27"/>
          <w:sz w:val="24"/>
          <w:szCs w:val="24"/>
          <w:lang w:eastAsia="da-DK"/>
        </w:rPr>
        <w:t xml:space="preserve"> </w:t>
      </w:r>
      <w:r w:rsidRPr="002A1856">
        <w:rPr>
          <w:rStyle w:val="FontStyle27"/>
          <w:sz w:val="24"/>
          <w:szCs w:val="24"/>
          <w:lang w:val="da-DK" w:eastAsia="da-DK"/>
        </w:rPr>
        <w:t>ritonavir</w:t>
      </w:r>
      <w:r w:rsidRPr="002A1856">
        <w:rPr>
          <w:rStyle w:val="FontStyle27"/>
          <w:sz w:val="24"/>
          <w:szCs w:val="24"/>
          <w:lang w:eastAsia="da-DK"/>
        </w:rPr>
        <w:t xml:space="preserve">, </w:t>
      </w:r>
      <w:r w:rsidRPr="002A1856">
        <w:rPr>
          <w:rStyle w:val="FontStyle27"/>
          <w:sz w:val="24"/>
          <w:szCs w:val="24"/>
          <w:lang w:val="da-DK" w:eastAsia="da-DK"/>
        </w:rPr>
        <w:t>lopinavir</w:t>
      </w:r>
      <w:r w:rsidRPr="002A1856">
        <w:rPr>
          <w:rStyle w:val="FontStyle27"/>
          <w:sz w:val="24"/>
          <w:szCs w:val="24"/>
          <w:lang w:eastAsia="da-DK"/>
        </w:rPr>
        <w:t xml:space="preserve">, </w:t>
      </w:r>
      <w:r w:rsidRPr="002A1856">
        <w:rPr>
          <w:rStyle w:val="FontStyle27"/>
          <w:sz w:val="24"/>
          <w:szCs w:val="24"/>
          <w:lang w:val="da-DK" w:eastAsia="da-DK"/>
        </w:rPr>
        <w:t>atazanavir</w:t>
      </w:r>
      <w:r w:rsidRPr="002A1856">
        <w:rPr>
          <w:rStyle w:val="FontStyle27"/>
          <w:sz w:val="24"/>
          <w:szCs w:val="24"/>
          <w:lang w:eastAsia="da-DK"/>
        </w:rPr>
        <w:t xml:space="preserve">, </w:t>
      </w:r>
      <w:r w:rsidRPr="002A1856">
        <w:rPr>
          <w:rStyle w:val="FontStyle27"/>
          <w:sz w:val="24"/>
          <w:szCs w:val="24"/>
          <w:lang w:val="da-DK" w:eastAsia="da-DK"/>
        </w:rPr>
        <w:t>indinavir</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darunavir</w:t>
      </w:r>
      <w:r w:rsidRPr="002A1856">
        <w:rPr>
          <w:rStyle w:val="FontStyle27"/>
          <w:sz w:val="24"/>
          <w:szCs w:val="24"/>
          <w:lang w:eastAsia="da-DK"/>
        </w:rPr>
        <w:t xml:space="preserve">, </w:t>
      </w:r>
      <w:r w:rsidRPr="002A1856">
        <w:rPr>
          <w:rStyle w:val="FontStyle27"/>
          <w:sz w:val="24"/>
          <w:szCs w:val="24"/>
          <w:lang w:val="da-DK" w:eastAsia="da-DK"/>
        </w:rPr>
        <w:t>tipranavir</w:t>
      </w:r>
      <w:r w:rsidRPr="002A1856">
        <w:rPr>
          <w:rStyle w:val="FontStyle27"/>
          <w:sz w:val="24"/>
          <w:szCs w:val="24"/>
          <w:lang w:eastAsia="da-DK"/>
        </w:rPr>
        <w:t>/</w:t>
      </w:r>
      <w:r w:rsidRPr="002A1856">
        <w:rPr>
          <w:rStyle w:val="FontStyle27"/>
          <w:sz w:val="24"/>
          <w:szCs w:val="24"/>
          <w:lang w:val="da-DK" w:eastAsia="da-DK"/>
        </w:rPr>
        <w:t>ritonavir</w:t>
      </w:r>
      <w:r w:rsidRPr="002A1856">
        <w:rPr>
          <w:rStyle w:val="FontStyle27"/>
          <w:sz w:val="24"/>
          <w:szCs w:val="24"/>
          <w:lang w:eastAsia="da-DK"/>
        </w:rPr>
        <w:t xml:space="preserve"> </w:t>
      </w:r>
      <w:r w:rsidRPr="002A1856">
        <w:rPr>
          <w:rStyle w:val="FontStyle27"/>
          <w:sz w:val="24"/>
          <w:szCs w:val="24"/>
          <w:lang w:val="da-DK" w:eastAsia="da-DK"/>
        </w:rPr>
        <w:t>mv</w:t>
      </w:r>
      <w:r w:rsidRPr="002A1856">
        <w:rPr>
          <w:rStyle w:val="FontStyle27"/>
          <w:sz w:val="24"/>
          <w:szCs w:val="24"/>
          <w:lang w:eastAsia="da-DK"/>
        </w:rPr>
        <w:t xml:space="preserve">.). </w:t>
      </w:r>
      <w:r w:rsidRPr="002A1856">
        <w:rPr>
          <w:rStyle w:val="FontStyle27"/>
          <w:sz w:val="24"/>
          <w:szCs w:val="24"/>
          <w:lang w:val="da-DK" w:eastAsia="da-DK"/>
        </w:rPr>
        <w:t>Risikoen</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myopati</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w:t>
      </w:r>
      <w:r w:rsidRPr="002A1856">
        <w:rPr>
          <w:rStyle w:val="FontStyle27"/>
          <w:sz w:val="24"/>
          <w:szCs w:val="24"/>
          <w:lang w:val="da-DK" w:eastAsia="da-DK"/>
        </w:rPr>
        <w:t>ogs</w:t>
      </w:r>
      <w:r w:rsidRPr="002A1856">
        <w:rPr>
          <w:rStyle w:val="FontStyle27"/>
          <w:sz w:val="24"/>
          <w:szCs w:val="24"/>
          <w:lang w:eastAsia="da-DK"/>
        </w:rPr>
        <w:t>å ø</w:t>
      </w:r>
      <w:r w:rsidRPr="002A1856">
        <w:rPr>
          <w:rStyle w:val="FontStyle27"/>
          <w:sz w:val="24"/>
          <w:szCs w:val="24"/>
          <w:lang w:val="da-DK" w:eastAsia="da-DK"/>
        </w:rPr>
        <w:t>ges</w:t>
      </w:r>
      <w:r w:rsidRPr="002A1856">
        <w:rPr>
          <w:rStyle w:val="FontStyle27"/>
          <w:sz w:val="24"/>
          <w:szCs w:val="24"/>
          <w:lang w:eastAsia="da-DK"/>
        </w:rPr>
        <w:t xml:space="preserve"> </w:t>
      </w:r>
      <w:r w:rsidRPr="002A1856">
        <w:rPr>
          <w:rStyle w:val="FontStyle27"/>
          <w:sz w:val="24"/>
          <w:szCs w:val="24"/>
          <w:lang w:val="da-DK" w:eastAsia="da-DK"/>
        </w:rPr>
        <w:t>ved</w:t>
      </w:r>
      <w:r w:rsidRPr="002A1856">
        <w:rPr>
          <w:rStyle w:val="FontStyle27"/>
          <w:sz w:val="24"/>
          <w:szCs w:val="24"/>
          <w:lang w:eastAsia="da-DK"/>
        </w:rPr>
        <w:t xml:space="preserve"> </w:t>
      </w:r>
      <w:r w:rsidRPr="002A1856">
        <w:rPr>
          <w:rStyle w:val="FontStyle27"/>
          <w:sz w:val="24"/>
          <w:szCs w:val="24"/>
          <w:lang w:val="da-DK" w:eastAsia="da-DK"/>
        </w:rPr>
        <w:t>samtidig</w:t>
      </w:r>
      <w:r w:rsidRPr="002A1856">
        <w:rPr>
          <w:rStyle w:val="FontStyle27"/>
          <w:sz w:val="24"/>
          <w:szCs w:val="24"/>
          <w:lang w:eastAsia="da-DK"/>
        </w:rPr>
        <w:t xml:space="preserve"> </w:t>
      </w:r>
      <w:r w:rsidRPr="002A1856">
        <w:rPr>
          <w:rStyle w:val="FontStyle27"/>
          <w:sz w:val="24"/>
          <w:szCs w:val="24"/>
          <w:lang w:val="da-DK" w:eastAsia="da-DK"/>
        </w:rPr>
        <w:t>administration</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gemfibrozil</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andre</w:t>
      </w:r>
      <w:r w:rsidRPr="002A1856">
        <w:rPr>
          <w:rStyle w:val="FontStyle27"/>
          <w:sz w:val="24"/>
          <w:szCs w:val="24"/>
          <w:lang w:eastAsia="da-DK"/>
        </w:rPr>
        <w:t xml:space="preserve"> </w:t>
      </w:r>
      <w:r w:rsidRPr="002A1856">
        <w:rPr>
          <w:rStyle w:val="FontStyle27"/>
          <w:sz w:val="24"/>
          <w:szCs w:val="24"/>
          <w:lang w:val="da-DK" w:eastAsia="da-DK"/>
        </w:rPr>
        <w:t>fibrater</w:t>
      </w:r>
      <w:r w:rsidRPr="002A1856">
        <w:rPr>
          <w:rStyle w:val="FontStyle27"/>
          <w:sz w:val="24"/>
          <w:szCs w:val="24"/>
          <w:lang w:eastAsia="da-DK"/>
        </w:rPr>
        <w:t xml:space="preserve">, </w:t>
      </w:r>
      <w:r w:rsidRPr="002A1856">
        <w:rPr>
          <w:rStyle w:val="FontStyle27"/>
          <w:sz w:val="24"/>
          <w:szCs w:val="24"/>
          <w:lang w:val="da-DK" w:eastAsia="da-DK"/>
        </w:rPr>
        <w:t>antivirale</w:t>
      </w:r>
      <w:r w:rsidRPr="002A1856">
        <w:rPr>
          <w:rStyle w:val="FontStyle27"/>
          <w:sz w:val="24"/>
          <w:szCs w:val="24"/>
          <w:lang w:eastAsia="da-DK"/>
        </w:rPr>
        <w:t xml:space="preserve"> </w:t>
      </w:r>
      <w:r w:rsidRPr="002A1856">
        <w:rPr>
          <w:rStyle w:val="FontStyle27"/>
          <w:sz w:val="24"/>
          <w:szCs w:val="24"/>
          <w:lang w:val="da-DK" w:eastAsia="da-DK"/>
        </w:rPr>
        <w:t>midler</w:t>
      </w:r>
      <w:r w:rsidRPr="002A1856">
        <w:rPr>
          <w:rStyle w:val="FontStyle27"/>
          <w:sz w:val="24"/>
          <w:szCs w:val="24"/>
          <w:lang w:eastAsia="da-DK"/>
        </w:rPr>
        <w:t xml:space="preserve"> </w:t>
      </w:r>
      <w:r w:rsidRPr="002A1856">
        <w:rPr>
          <w:rStyle w:val="FontStyle27"/>
          <w:sz w:val="24"/>
          <w:szCs w:val="24"/>
          <w:lang w:val="da-DK" w:eastAsia="da-DK"/>
        </w:rPr>
        <w:t>til</w:t>
      </w:r>
      <w:r w:rsidRPr="002A1856">
        <w:rPr>
          <w:rStyle w:val="FontStyle27"/>
          <w:sz w:val="24"/>
          <w:szCs w:val="24"/>
          <w:lang w:eastAsia="da-DK"/>
        </w:rPr>
        <w:t xml:space="preserve"> </w:t>
      </w:r>
      <w:r w:rsidRPr="002A1856">
        <w:rPr>
          <w:rStyle w:val="FontStyle27"/>
          <w:sz w:val="24"/>
          <w:szCs w:val="24"/>
          <w:lang w:val="da-DK" w:eastAsia="da-DK"/>
        </w:rPr>
        <w:t>behandling</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hepatitis</w:t>
      </w:r>
      <w:r w:rsidRPr="002A1856">
        <w:rPr>
          <w:rStyle w:val="FontStyle27"/>
          <w:sz w:val="24"/>
          <w:szCs w:val="24"/>
          <w:lang w:eastAsia="da-DK"/>
        </w:rPr>
        <w:t xml:space="preserve"> </w:t>
      </w:r>
      <w:r w:rsidRPr="002A1856">
        <w:rPr>
          <w:rStyle w:val="FontStyle27"/>
          <w:sz w:val="24"/>
          <w:szCs w:val="24"/>
          <w:lang w:val="da-DK" w:eastAsia="da-DK"/>
        </w:rPr>
        <w:t>C</w:t>
      </w:r>
      <w:r w:rsidRPr="002A1856">
        <w:rPr>
          <w:rStyle w:val="FontStyle27"/>
          <w:sz w:val="24"/>
          <w:szCs w:val="24"/>
          <w:lang w:eastAsia="da-DK"/>
        </w:rPr>
        <w:t xml:space="preserve"> (</w:t>
      </w:r>
      <w:r w:rsidRPr="002A1856">
        <w:rPr>
          <w:rStyle w:val="FontStyle27"/>
          <w:sz w:val="24"/>
          <w:szCs w:val="24"/>
          <w:lang w:val="da-DK" w:eastAsia="da-DK"/>
        </w:rPr>
        <w:t>HCV</w:t>
      </w:r>
      <w:r w:rsidRPr="002A1856">
        <w:rPr>
          <w:rStyle w:val="FontStyle27"/>
          <w:sz w:val="24"/>
          <w:szCs w:val="24"/>
          <w:lang w:eastAsia="da-DK"/>
        </w:rPr>
        <w:t>) (</w:t>
      </w:r>
      <w:r w:rsidRPr="002A1856">
        <w:rPr>
          <w:rStyle w:val="FontStyle27"/>
          <w:sz w:val="24"/>
          <w:szCs w:val="24"/>
          <w:lang w:val="da-DK" w:eastAsia="da-DK"/>
        </w:rPr>
        <w:t>f</w:t>
      </w:r>
      <w:r w:rsidRPr="002A1856">
        <w:rPr>
          <w:rStyle w:val="FontStyle27"/>
          <w:sz w:val="24"/>
          <w:szCs w:val="24"/>
          <w:lang w:eastAsia="da-DK"/>
        </w:rPr>
        <w:t>.</w:t>
      </w:r>
      <w:r w:rsidRPr="002A1856">
        <w:rPr>
          <w:rStyle w:val="FontStyle27"/>
          <w:sz w:val="24"/>
          <w:szCs w:val="24"/>
          <w:lang w:val="da-DK" w:eastAsia="da-DK"/>
        </w:rPr>
        <w:t>eks</w:t>
      </w:r>
      <w:r w:rsidRPr="002A1856">
        <w:rPr>
          <w:rStyle w:val="FontStyle28"/>
          <w:sz w:val="24"/>
          <w:szCs w:val="24"/>
          <w:lang w:eastAsia="da-DK"/>
        </w:rPr>
        <w:t xml:space="preserve"> </w:t>
      </w:r>
      <w:r w:rsidRPr="002A1856">
        <w:rPr>
          <w:rStyle w:val="FontStyle27"/>
          <w:sz w:val="24"/>
          <w:szCs w:val="24"/>
          <w:lang w:val="da-DK" w:eastAsia="da-DK"/>
        </w:rPr>
        <w:t>boceprevir</w:t>
      </w:r>
      <w:r w:rsidRPr="002A1856">
        <w:rPr>
          <w:rStyle w:val="FontStyle27"/>
          <w:sz w:val="24"/>
          <w:szCs w:val="24"/>
          <w:lang w:eastAsia="da-DK"/>
        </w:rPr>
        <w:t xml:space="preserve">, </w:t>
      </w:r>
      <w:r w:rsidRPr="002A1856">
        <w:rPr>
          <w:rStyle w:val="FontStyle27"/>
          <w:sz w:val="24"/>
          <w:szCs w:val="24"/>
          <w:lang w:val="da-DK" w:eastAsia="da-DK"/>
        </w:rPr>
        <w:t>telaprevir</w:t>
      </w:r>
      <w:r w:rsidRPr="002A1856">
        <w:rPr>
          <w:rStyle w:val="FontStyle27"/>
          <w:sz w:val="24"/>
          <w:szCs w:val="24"/>
          <w:lang w:eastAsia="da-DK"/>
        </w:rPr>
        <w:t xml:space="preserve">, </w:t>
      </w:r>
      <w:r w:rsidRPr="002A1856">
        <w:rPr>
          <w:rStyle w:val="FontStyle27"/>
          <w:sz w:val="24"/>
          <w:szCs w:val="24"/>
          <w:lang w:val="da-DK" w:eastAsia="da-DK"/>
        </w:rPr>
        <w:t>elbasvir</w:t>
      </w:r>
      <w:r w:rsidRPr="002A1856">
        <w:rPr>
          <w:rStyle w:val="FontStyle27"/>
          <w:sz w:val="24"/>
          <w:szCs w:val="24"/>
          <w:lang w:eastAsia="da-DK"/>
        </w:rPr>
        <w:t>/</w:t>
      </w:r>
      <w:r w:rsidRPr="002A1856">
        <w:rPr>
          <w:rStyle w:val="FontStyle27"/>
          <w:sz w:val="24"/>
          <w:szCs w:val="24"/>
          <w:lang w:val="da-DK" w:eastAsia="da-DK"/>
        </w:rPr>
        <w:t>grazoprevir</w:t>
      </w:r>
      <w:r w:rsidRPr="002A1856">
        <w:rPr>
          <w:rStyle w:val="FontStyle27"/>
          <w:sz w:val="24"/>
          <w:szCs w:val="24"/>
          <w:lang w:eastAsia="da-DK"/>
        </w:rPr>
        <w:t>,</w:t>
      </w:r>
      <w:r w:rsidRPr="002A1856">
        <w:rPr>
          <w:rStyle w:val="FontStyle26"/>
          <w:sz w:val="24"/>
          <w:szCs w:val="24"/>
          <w:lang w:eastAsia="da-DK"/>
        </w:rPr>
        <w:t xml:space="preserve"> </w:t>
      </w:r>
      <w:r w:rsidRPr="002A1856">
        <w:rPr>
          <w:rStyle w:val="FontStyle27"/>
          <w:sz w:val="24"/>
          <w:szCs w:val="24"/>
          <w:lang w:val="da-DK" w:eastAsia="da-DK"/>
        </w:rPr>
        <w:t>ledispavir</w:t>
      </w:r>
      <w:r w:rsidRPr="002A1856">
        <w:rPr>
          <w:rStyle w:val="FontStyle27"/>
          <w:sz w:val="24"/>
          <w:szCs w:val="24"/>
          <w:lang w:eastAsia="da-DK"/>
        </w:rPr>
        <w:t>/</w:t>
      </w:r>
      <w:r w:rsidRPr="002A1856">
        <w:rPr>
          <w:rStyle w:val="FontStyle27"/>
          <w:sz w:val="24"/>
          <w:szCs w:val="24"/>
          <w:lang w:val="da-DK" w:eastAsia="da-DK"/>
        </w:rPr>
        <w:t>sofosbuvir</w:t>
      </w:r>
      <w:r w:rsidRPr="002A1856">
        <w:rPr>
          <w:rStyle w:val="FontStyle27"/>
          <w:sz w:val="24"/>
          <w:szCs w:val="24"/>
          <w:lang w:eastAsia="da-DK"/>
        </w:rPr>
        <w:t xml:space="preserve">), </w:t>
      </w:r>
      <w:r w:rsidRPr="002A1856">
        <w:rPr>
          <w:rStyle w:val="FontStyle27"/>
          <w:sz w:val="24"/>
          <w:szCs w:val="24"/>
          <w:lang w:val="da-DK" w:eastAsia="da-DK"/>
        </w:rPr>
        <w:t>erythromycin</w:t>
      </w:r>
      <w:r w:rsidRPr="002A1856">
        <w:rPr>
          <w:rStyle w:val="FontStyle27"/>
          <w:sz w:val="24"/>
          <w:szCs w:val="24"/>
          <w:lang w:eastAsia="da-DK"/>
        </w:rPr>
        <w:t xml:space="preserve">, </w:t>
      </w:r>
      <w:r w:rsidRPr="002A1856">
        <w:rPr>
          <w:rStyle w:val="FontStyle27"/>
          <w:sz w:val="24"/>
          <w:szCs w:val="24"/>
          <w:lang w:val="da-DK" w:eastAsia="da-DK"/>
        </w:rPr>
        <w:t>niacin</w:t>
      </w:r>
      <w:r w:rsidRPr="002A1856">
        <w:rPr>
          <w:rStyle w:val="FontStyle27"/>
          <w:sz w:val="24"/>
          <w:szCs w:val="24"/>
          <w:lang w:eastAsia="da-DK"/>
        </w:rPr>
        <w:t xml:space="preserve"> </w:t>
      </w:r>
      <w:r w:rsidRPr="002A1856">
        <w:rPr>
          <w:rStyle w:val="FontStyle27"/>
          <w:sz w:val="24"/>
          <w:szCs w:val="24"/>
          <w:lang w:val="da-DK" w:eastAsia="da-DK"/>
        </w:rPr>
        <w:t>eller</w:t>
      </w:r>
      <w:r w:rsidRPr="002A1856">
        <w:rPr>
          <w:rStyle w:val="FontStyle27"/>
          <w:sz w:val="24"/>
          <w:szCs w:val="24"/>
          <w:lang w:eastAsia="da-DK"/>
        </w:rPr>
        <w:t xml:space="preserve"> </w:t>
      </w:r>
      <w:r w:rsidRPr="002A1856">
        <w:rPr>
          <w:rStyle w:val="FontStyle27"/>
          <w:sz w:val="24"/>
          <w:szCs w:val="24"/>
          <w:lang w:val="da-DK" w:eastAsia="da-DK"/>
        </w:rPr>
        <w:t>ezetimib</w:t>
      </w:r>
      <w:r w:rsidRPr="002A1856">
        <w:rPr>
          <w:rStyle w:val="FontStyle27"/>
          <w:sz w:val="24"/>
          <w:szCs w:val="24"/>
          <w:lang w:eastAsia="da-DK"/>
        </w:rPr>
        <w:t xml:space="preserve">. </w:t>
      </w:r>
      <w:r w:rsidRPr="002A1856">
        <w:rPr>
          <w:rStyle w:val="FontStyle27"/>
          <w:sz w:val="24"/>
          <w:szCs w:val="24"/>
          <w:lang w:val="da-DK" w:eastAsia="da-DK"/>
        </w:rPr>
        <w:t>Alternative behandlinger (uden interaktion) bør overvejes i stedet for disse lægemidler, hvis det er muligt.</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Hvis samtidig anvendelse af denne type medicin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samtidig behandles med en potent CYP3A4-hæmmer, og passende klinisk monitorering af disse patienter anbefales (se pkt. 4.5).</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spacing w:line="240" w:lineRule="auto"/>
        <w:ind w:left="851"/>
        <w:rPr>
          <w:rStyle w:val="FontStyle27"/>
          <w:sz w:val="24"/>
          <w:szCs w:val="24"/>
          <w:lang w:eastAsia="da-DK"/>
        </w:rPr>
      </w:pPr>
      <w:r w:rsidRPr="002A1856">
        <w:rPr>
          <w:rStyle w:val="FontStyle27"/>
          <w:sz w:val="24"/>
          <w:szCs w:val="24"/>
          <w:lang w:val="da-DK" w:eastAsia="da-DK"/>
        </w:rPr>
        <w:t>Atorvastatin</w:t>
      </w:r>
      <w:r w:rsidRPr="002A1856">
        <w:rPr>
          <w:rStyle w:val="FontStyle27"/>
          <w:sz w:val="24"/>
          <w:szCs w:val="24"/>
          <w:lang w:eastAsia="da-DK"/>
        </w:rPr>
        <w:t xml:space="preserve"> </w:t>
      </w:r>
      <w:r w:rsidRPr="002A1856">
        <w:rPr>
          <w:rStyle w:val="FontStyle27"/>
          <w:sz w:val="24"/>
          <w:szCs w:val="24"/>
          <w:lang w:val="da-DK" w:eastAsia="da-DK"/>
        </w:rPr>
        <w:t>m</w:t>
      </w:r>
      <w:r w:rsidRPr="002A1856">
        <w:rPr>
          <w:rStyle w:val="FontStyle27"/>
          <w:sz w:val="24"/>
          <w:szCs w:val="24"/>
          <w:lang w:eastAsia="da-DK"/>
        </w:rPr>
        <w:t xml:space="preserve">å </w:t>
      </w:r>
      <w:r w:rsidRPr="002A1856">
        <w:rPr>
          <w:rStyle w:val="FontStyle27"/>
          <w:sz w:val="24"/>
          <w:szCs w:val="24"/>
          <w:lang w:val="da-DK" w:eastAsia="da-DK"/>
        </w:rPr>
        <w:t>ikke</w:t>
      </w:r>
      <w:r w:rsidRPr="002A1856">
        <w:rPr>
          <w:rStyle w:val="FontStyle27"/>
          <w:sz w:val="24"/>
          <w:szCs w:val="24"/>
          <w:lang w:eastAsia="da-DK"/>
        </w:rPr>
        <w:t xml:space="preserve"> </w:t>
      </w:r>
      <w:r w:rsidRPr="002A1856">
        <w:rPr>
          <w:rStyle w:val="FontStyle27"/>
          <w:sz w:val="24"/>
          <w:szCs w:val="24"/>
          <w:lang w:val="da-DK" w:eastAsia="da-DK"/>
        </w:rPr>
        <w:t>administreres</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systemiske</w:t>
      </w:r>
      <w:r w:rsidRPr="002A1856">
        <w:rPr>
          <w:rStyle w:val="FontStyle27"/>
          <w:sz w:val="24"/>
          <w:szCs w:val="24"/>
          <w:lang w:eastAsia="da-DK"/>
        </w:rPr>
        <w:t xml:space="preserve"> </w:t>
      </w:r>
      <w:r w:rsidRPr="002A1856">
        <w:rPr>
          <w:rStyle w:val="FontStyle27"/>
          <w:sz w:val="24"/>
          <w:szCs w:val="24"/>
          <w:lang w:val="da-DK" w:eastAsia="da-DK"/>
        </w:rPr>
        <w:t>formuleringer</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fusidinsyre</w:t>
      </w:r>
      <w:r w:rsidRPr="002A1856">
        <w:rPr>
          <w:rStyle w:val="FontStyle27"/>
          <w:sz w:val="24"/>
          <w:szCs w:val="24"/>
          <w:lang w:eastAsia="da-DK"/>
        </w:rPr>
        <w:t xml:space="preserve"> </w:t>
      </w:r>
      <w:r w:rsidRPr="002A1856">
        <w:rPr>
          <w:rStyle w:val="FontStyle27"/>
          <w:sz w:val="24"/>
          <w:szCs w:val="24"/>
          <w:lang w:val="da-DK" w:eastAsia="da-DK"/>
        </w:rPr>
        <w:t>eller</w:t>
      </w:r>
      <w:r w:rsidRPr="002A1856">
        <w:rPr>
          <w:rStyle w:val="FontStyle27"/>
          <w:sz w:val="24"/>
          <w:szCs w:val="24"/>
          <w:lang w:eastAsia="da-DK"/>
        </w:rPr>
        <w:t xml:space="preserve"> </w:t>
      </w:r>
      <w:r w:rsidRPr="002A1856">
        <w:rPr>
          <w:rStyle w:val="FontStyle27"/>
          <w:sz w:val="24"/>
          <w:szCs w:val="24"/>
          <w:lang w:val="da-DK" w:eastAsia="da-DK"/>
        </w:rPr>
        <w:t>indenfor</w:t>
      </w:r>
      <w:r w:rsidRPr="002A1856">
        <w:rPr>
          <w:rStyle w:val="FontStyle27"/>
          <w:sz w:val="24"/>
          <w:szCs w:val="24"/>
          <w:lang w:eastAsia="da-DK"/>
        </w:rPr>
        <w:t xml:space="preserve"> 7 </w:t>
      </w:r>
      <w:r w:rsidRPr="002A1856">
        <w:rPr>
          <w:rStyle w:val="FontStyle27"/>
          <w:sz w:val="24"/>
          <w:szCs w:val="24"/>
          <w:lang w:val="da-DK" w:eastAsia="da-DK"/>
        </w:rPr>
        <w:t>dage</w:t>
      </w:r>
      <w:r w:rsidRPr="002A1856">
        <w:rPr>
          <w:rStyle w:val="FontStyle27"/>
          <w:sz w:val="24"/>
          <w:szCs w:val="24"/>
          <w:lang w:eastAsia="da-DK"/>
        </w:rPr>
        <w:t xml:space="preserve"> </w:t>
      </w:r>
      <w:r w:rsidRPr="002A1856">
        <w:rPr>
          <w:rStyle w:val="FontStyle27"/>
          <w:sz w:val="24"/>
          <w:szCs w:val="24"/>
          <w:lang w:val="da-DK" w:eastAsia="da-DK"/>
        </w:rPr>
        <w:t>efter</w:t>
      </w:r>
      <w:r w:rsidRPr="002A1856">
        <w:rPr>
          <w:rStyle w:val="FontStyle27"/>
          <w:sz w:val="24"/>
          <w:szCs w:val="24"/>
          <w:lang w:eastAsia="da-DK"/>
        </w:rPr>
        <w:t xml:space="preserve"> </w:t>
      </w:r>
      <w:r w:rsidRPr="002A1856">
        <w:rPr>
          <w:rStyle w:val="FontStyle27"/>
          <w:sz w:val="24"/>
          <w:szCs w:val="24"/>
          <w:lang w:val="da-DK" w:eastAsia="da-DK"/>
        </w:rPr>
        <w:t>endt</w:t>
      </w:r>
      <w:r w:rsidRPr="002A1856">
        <w:rPr>
          <w:rStyle w:val="FontStyle27"/>
          <w:sz w:val="24"/>
          <w:szCs w:val="24"/>
          <w:lang w:eastAsia="da-DK"/>
        </w:rPr>
        <w:t xml:space="preserve"> </w:t>
      </w:r>
      <w:r w:rsidRPr="002A1856">
        <w:rPr>
          <w:rStyle w:val="FontStyle27"/>
          <w:sz w:val="24"/>
          <w:szCs w:val="24"/>
          <w:lang w:val="da-DK" w:eastAsia="da-DK"/>
        </w:rPr>
        <w:t>behandling</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fusidinsyrebehandling</w:t>
      </w:r>
      <w:r w:rsidRPr="002A1856">
        <w:rPr>
          <w:rStyle w:val="FontStyle27"/>
          <w:sz w:val="24"/>
          <w:szCs w:val="24"/>
          <w:lang w:eastAsia="da-DK"/>
        </w:rPr>
        <w:t xml:space="preserve">. </w:t>
      </w:r>
      <w:r w:rsidRPr="002A1856">
        <w:rPr>
          <w:rStyle w:val="FontStyle27"/>
          <w:sz w:val="24"/>
          <w:szCs w:val="24"/>
          <w:lang w:val="da-DK" w:eastAsia="da-DK"/>
        </w:rPr>
        <w:t>Hos</w:t>
      </w:r>
      <w:r w:rsidRPr="002A1856">
        <w:rPr>
          <w:rStyle w:val="FontStyle27"/>
          <w:sz w:val="24"/>
          <w:szCs w:val="24"/>
          <w:lang w:eastAsia="da-DK"/>
        </w:rPr>
        <w:t xml:space="preserve"> </w:t>
      </w:r>
      <w:r w:rsidRPr="002A1856">
        <w:rPr>
          <w:rStyle w:val="FontStyle27"/>
          <w:sz w:val="24"/>
          <w:szCs w:val="24"/>
          <w:lang w:val="da-DK" w:eastAsia="da-DK"/>
        </w:rPr>
        <w:t>patienter</w:t>
      </w:r>
      <w:r w:rsidRPr="002A1856">
        <w:rPr>
          <w:rStyle w:val="FontStyle27"/>
          <w:sz w:val="24"/>
          <w:szCs w:val="24"/>
          <w:lang w:eastAsia="da-DK"/>
        </w:rPr>
        <w:t xml:space="preserve">, </w:t>
      </w:r>
      <w:r w:rsidRPr="002A1856">
        <w:rPr>
          <w:rStyle w:val="FontStyle27"/>
          <w:sz w:val="24"/>
          <w:szCs w:val="24"/>
          <w:lang w:val="da-DK" w:eastAsia="da-DK"/>
        </w:rPr>
        <w:t>hvor</w:t>
      </w:r>
      <w:r w:rsidRPr="002A1856">
        <w:rPr>
          <w:rStyle w:val="FontStyle27"/>
          <w:sz w:val="24"/>
          <w:szCs w:val="24"/>
          <w:lang w:eastAsia="da-DK"/>
        </w:rPr>
        <w:t xml:space="preserve"> </w:t>
      </w:r>
      <w:r w:rsidRPr="002A1856">
        <w:rPr>
          <w:rStyle w:val="FontStyle27"/>
          <w:sz w:val="24"/>
          <w:szCs w:val="24"/>
          <w:lang w:val="da-DK" w:eastAsia="da-DK"/>
        </w:rPr>
        <w:t>fusidinsyrebehandling</w:t>
      </w:r>
      <w:r w:rsidRPr="002A1856">
        <w:rPr>
          <w:rStyle w:val="FontStyle27"/>
          <w:sz w:val="24"/>
          <w:szCs w:val="24"/>
          <w:lang w:eastAsia="da-DK"/>
        </w:rPr>
        <w:t xml:space="preserve"> </w:t>
      </w:r>
      <w:r w:rsidRPr="002A1856">
        <w:rPr>
          <w:rStyle w:val="FontStyle27"/>
          <w:sz w:val="24"/>
          <w:szCs w:val="24"/>
          <w:lang w:val="da-DK" w:eastAsia="da-DK"/>
        </w:rPr>
        <w:t>anses</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at</w:t>
      </w:r>
      <w:r w:rsidRPr="002A1856">
        <w:rPr>
          <w:rStyle w:val="FontStyle27"/>
          <w:sz w:val="24"/>
          <w:szCs w:val="24"/>
          <w:lang w:eastAsia="da-DK"/>
        </w:rPr>
        <w:t xml:space="preserve"> </w:t>
      </w:r>
      <w:r w:rsidRPr="002A1856">
        <w:rPr>
          <w:rStyle w:val="FontStyle27"/>
          <w:sz w:val="24"/>
          <w:szCs w:val="24"/>
          <w:lang w:val="da-DK" w:eastAsia="da-DK"/>
        </w:rPr>
        <w:t>v</w:t>
      </w:r>
      <w:r w:rsidRPr="002A1856">
        <w:rPr>
          <w:rStyle w:val="FontStyle27"/>
          <w:sz w:val="24"/>
          <w:szCs w:val="24"/>
          <w:lang w:eastAsia="da-DK"/>
        </w:rPr>
        <w:t>æ</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essentiel</w:t>
      </w:r>
      <w:r w:rsidRPr="002A1856">
        <w:rPr>
          <w:rStyle w:val="FontStyle27"/>
          <w:sz w:val="24"/>
          <w:szCs w:val="24"/>
          <w:lang w:eastAsia="da-DK"/>
        </w:rPr>
        <w:t xml:space="preserve">, </w:t>
      </w:r>
      <w:r w:rsidRPr="002A1856">
        <w:rPr>
          <w:rStyle w:val="FontStyle27"/>
          <w:sz w:val="24"/>
          <w:szCs w:val="24"/>
          <w:lang w:val="da-DK" w:eastAsia="da-DK"/>
        </w:rPr>
        <w:t>skal</w:t>
      </w:r>
      <w:r w:rsidRPr="002A1856">
        <w:rPr>
          <w:rStyle w:val="FontStyle27"/>
          <w:sz w:val="24"/>
          <w:szCs w:val="24"/>
          <w:lang w:eastAsia="da-DK"/>
        </w:rPr>
        <w:t xml:space="preserve"> </w:t>
      </w:r>
      <w:r w:rsidRPr="002A1856">
        <w:rPr>
          <w:rStyle w:val="FontStyle27"/>
          <w:sz w:val="24"/>
          <w:szCs w:val="24"/>
          <w:lang w:val="da-DK" w:eastAsia="da-DK"/>
        </w:rPr>
        <w:t>behandling</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statiner</w:t>
      </w:r>
      <w:r w:rsidRPr="002A1856">
        <w:rPr>
          <w:rStyle w:val="FontStyle27"/>
          <w:sz w:val="24"/>
          <w:szCs w:val="24"/>
          <w:lang w:eastAsia="da-DK"/>
        </w:rPr>
        <w:t xml:space="preserve"> </w:t>
      </w:r>
      <w:r w:rsidRPr="002A1856">
        <w:rPr>
          <w:rStyle w:val="FontStyle27"/>
          <w:sz w:val="24"/>
          <w:szCs w:val="24"/>
          <w:lang w:val="da-DK" w:eastAsia="da-DK"/>
        </w:rPr>
        <w:t>afbrydes</w:t>
      </w:r>
      <w:r w:rsidRPr="002A1856">
        <w:rPr>
          <w:rStyle w:val="FontStyle27"/>
          <w:sz w:val="24"/>
          <w:szCs w:val="24"/>
          <w:lang w:eastAsia="da-DK"/>
        </w:rPr>
        <w:t xml:space="preserve"> </w:t>
      </w:r>
      <w:r w:rsidRPr="002A1856">
        <w:rPr>
          <w:rStyle w:val="FontStyle27"/>
          <w:sz w:val="24"/>
          <w:szCs w:val="24"/>
          <w:lang w:val="da-DK" w:eastAsia="da-DK"/>
        </w:rPr>
        <w:t>under</w:t>
      </w:r>
      <w:r w:rsidRPr="002A1856">
        <w:rPr>
          <w:rStyle w:val="FontStyle27"/>
          <w:sz w:val="24"/>
          <w:szCs w:val="24"/>
          <w:lang w:eastAsia="da-DK"/>
        </w:rPr>
        <w:t xml:space="preserve"> </w:t>
      </w:r>
      <w:r w:rsidRPr="002A1856">
        <w:rPr>
          <w:rStyle w:val="FontStyle27"/>
          <w:sz w:val="24"/>
          <w:szCs w:val="24"/>
          <w:lang w:val="da-DK" w:eastAsia="da-DK"/>
        </w:rPr>
        <w:t>behandlingsforl</w:t>
      </w:r>
      <w:r w:rsidRPr="002A1856">
        <w:rPr>
          <w:rStyle w:val="FontStyle27"/>
          <w:sz w:val="24"/>
          <w:szCs w:val="24"/>
          <w:lang w:eastAsia="da-DK"/>
        </w:rPr>
        <w:t>ø</w:t>
      </w:r>
      <w:r w:rsidRPr="002A1856">
        <w:rPr>
          <w:rStyle w:val="FontStyle27"/>
          <w:sz w:val="24"/>
          <w:szCs w:val="24"/>
          <w:lang w:val="da-DK" w:eastAsia="da-DK"/>
        </w:rPr>
        <w:t>bet</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fusidinsyre</w:t>
      </w:r>
      <w:r w:rsidRPr="002A1856">
        <w:rPr>
          <w:rStyle w:val="FontStyle27"/>
          <w:sz w:val="24"/>
          <w:szCs w:val="24"/>
          <w:lang w:eastAsia="da-DK"/>
        </w:rPr>
        <w:t xml:space="preserve">. </w:t>
      </w:r>
      <w:r w:rsidRPr="002A1856">
        <w:rPr>
          <w:rStyle w:val="FontStyle27"/>
          <w:sz w:val="24"/>
          <w:szCs w:val="24"/>
          <w:lang w:val="da-DK" w:eastAsia="da-DK"/>
        </w:rPr>
        <w:t xml:space="preserve">Der er blevet rapporteret tilfælde af rhabdomyolyse (herunder nogle dødsfald) hos patienter i behandling med fusidinsyre og statiner i kombination (se pkt. 4.5). Patienternes bør rådes til at søge læge straks, hvis de oplever symptomer på muskelsvaghed, smerte eller ømhed. </w:t>
      </w:r>
    </w:p>
    <w:p w:rsidR="002A1856" w:rsidRPr="002A1856" w:rsidRDefault="002A1856" w:rsidP="002A1856">
      <w:pPr>
        <w:pStyle w:val="Style1"/>
        <w:ind w:left="851" w:hanging="851"/>
        <w:rPr>
          <w:rStyle w:val="FontStyle27"/>
          <w:sz w:val="24"/>
          <w:szCs w:val="24"/>
          <w:lang w:val="da-DK" w:eastAsia="da-DK"/>
        </w:rPr>
      </w:pPr>
    </w:p>
    <w:p w:rsidR="002A1856" w:rsidRPr="002A1856" w:rsidRDefault="002A1856" w:rsidP="002A1856">
      <w:pPr>
        <w:pStyle w:val="Style1"/>
        <w:ind w:left="851"/>
        <w:rPr>
          <w:rStyle w:val="FontStyle27"/>
          <w:sz w:val="24"/>
          <w:szCs w:val="24"/>
          <w:lang w:val="da-DK" w:eastAsia="da-DK"/>
        </w:rPr>
      </w:pPr>
      <w:r w:rsidRPr="002A1856">
        <w:rPr>
          <w:rStyle w:val="FontStyle27"/>
          <w:sz w:val="24"/>
          <w:szCs w:val="24"/>
          <w:lang w:val="da-DK" w:eastAsia="da-DK"/>
        </w:rPr>
        <w:t>Behandling med statiner kan genoptages syv dage efter sidste dosis med fusidinsyre.</w:t>
      </w:r>
    </w:p>
    <w:p w:rsidR="002A1856" w:rsidRPr="002A1856" w:rsidRDefault="002A1856" w:rsidP="002A1856">
      <w:pPr>
        <w:pStyle w:val="Style1"/>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Under særlige omstændigheder, hvor langvarig systemisk behandling med fusidinsyre er nødvendigt, f.eks. ved behandling af alvorlige infektioner, bør samtidig behandling med Lipistad og fusidinsyre kun overvejes på baggrund af den enkelte sag og under tæt medicinsk overvågning</w:t>
      </w:r>
    </w:p>
    <w:p w:rsidR="002A1856" w:rsidRPr="002A1856" w:rsidRDefault="002A1856" w:rsidP="002A1856">
      <w:pPr>
        <w:pStyle w:val="Style1"/>
        <w:widowControl/>
        <w:spacing w:line="240" w:lineRule="auto"/>
        <w:ind w:left="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t xml:space="preserve">Risikoen for myopati og/eller rabdomyolyse kan øges ved samtidig administration af HMG-CoA-reduktasehæmmere (f.eks. atorvastatin) og daptomycin (se pkt. 4.5). Det bør overvejes at seponere </w:t>
      </w:r>
      <w:r w:rsidRPr="002A1856">
        <w:rPr>
          <w:lang w:val="da-DK"/>
        </w:rPr>
        <w:t>atorvastatin</w:t>
      </w:r>
      <w:r w:rsidRPr="002A1856">
        <w:t xml:space="preserve"> midlertidigt hos patienter, som tager daptomycin, medmindre fordelene ved samtidig administration opvejer risikoen. Hvis samtidig administration ikke kan undgås, skal CK-niveauer måles 2-3 gange om ugen, og patienterne skal overvåges nøje for tegn eller symptomer, der kan repræsentere myopati.</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Pædiatrisk population</w:t>
      </w:r>
    </w:p>
    <w:p w:rsidR="002A1856" w:rsidRPr="002A1856" w:rsidRDefault="002A1856" w:rsidP="002A1856">
      <w:pPr>
        <w:pStyle w:val="Style1"/>
        <w:ind w:left="851" w:hanging="851"/>
        <w:rPr>
          <w:lang w:eastAsia="da-DK"/>
        </w:rPr>
      </w:pPr>
      <w:r w:rsidRPr="002A1856">
        <w:rPr>
          <w:lang w:eastAsia="da-DK"/>
        </w:rPr>
        <w:tab/>
        <w:t>I et 3-årigt klinisk forsøg, der vurderede den overordnede modning og udvikling, Tanner stadie samt måling af højde og vægt, blev der ikke set nogen klinisk signifikant indvirken på vækst og seksuel modning (se pkt. 4.8).</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2"/>
        <w:widowControl/>
        <w:spacing w:line="240" w:lineRule="auto"/>
        <w:ind w:left="851"/>
        <w:jc w:val="left"/>
        <w:rPr>
          <w:rStyle w:val="FontStyle27"/>
          <w:sz w:val="24"/>
          <w:szCs w:val="24"/>
          <w:u w:val="single"/>
          <w:lang w:val="da-DK" w:eastAsia="da-DK"/>
        </w:rPr>
      </w:pPr>
      <w:r w:rsidRPr="002A1856">
        <w:rPr>
          <w:rStyle w:val="FontStyle27"/>
          <w:sz w:val="24"/>
          <w:szCs w:val="24"/>
          <w:u w:val="single"/>
          <w:lang w:val="da-DK" w:eastAsia="da-DK"/>
        </w:rPr>
        <w:t>Interstitiel lungesygdom</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Meget sjældne tilfælde af interstitiel lungesygdom er blevet rapporteret ved brug af nogle statiner, særligt ved langtidsbrug (se pkt. 4.8). Symptomer kan inkludere dyspnø, tør hoste og forværring af den almindelige helbredstilstand (træthed, vægttab og feber). Hvis der er mistanke om, at en patient har udviklet interstitiel lungesygdom, skal statinbehandlingen afbrydes.</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ind w:left="851"/>
        <w:rPr>
          <w:sz w:val="24"/>
          <w:szCs w:val="24"/>
          <w:u w:val="single"/>
        </w:rPr>
      </w:pPr>
      <w:r w:rsidRPr="002A1856">
        <w:rPr>
          <w:sz w:val="24"/>
          <w:szCs w:val="24"/>
          <w:u w:val="single"/>
        </w:rPr>
        <w:t xml:space="preserve">Diabetes Mellitus </w:t>
      </w:r>
    </w:p>
    <w:p w:rsidR="002A1856" w:rsidRPr="002A1856" w:rsidRDefault="002A1856" w:rsidP="002A1856">
      <w:pPr>
        <w:suppressAutoHyphens/>
        <w:ind w:left="851"/>
        <w:rPr>
          <w:sz w:val="24"/>
          <w:szCs w:val="24"/>
        </w:rPr>
      </w:pPr>
      <w:r w:rsidRPr="002A1856">
        <w:rPr>
          <w:sz w:val="24"/>
          <w:szCs w:val="24"/>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BMI&gt; 30 kg/m</w:t>
      </w:r>
      <w:r w:rsidRPr="002A1856">
        <w:rPr>
          <w:sz w:val="24"/>
          <w:szCs w:val="24"/>
          <w:vertAlign w:val="superscript"/>
        </w:rPr>
        <w:t>2</w:t>
      </w:r>
      <w:r w:rsidRPr="002A1856">
        <w:rPr>
          <w:sz w:val="24"/>
          <w:szCs w:val="24"/>
        </w:rPr>
        <w:t>, forhøjede triglycerider, forhøjet blodtryk i anamnesen) bør monitoreres både klinisk og biokemisk i henhold til nationale retningslinjer.</w:t>
      </w:r>
    </w:p>
    <w:p w:rsidR="002A1856" w:rsidRPr="002A1856" w:rsidRDefault="002A1856" w:rsidP="002A1856">
      <w:pPr>
        <w:suppressAutoHyphens/>
        <w:ind w:left="851"/>
        <w:rPr>
          <w:sz w:val="24"/>
          <w:szCs w:val="24"/>
        </w:rPr>
      </w:pPr>
    </w:p>
    <w:p w:rsidR="002A1856" w:rsidRPr="002A1856" w:rsidRDefault="002A1856" w:rsidP="002A1856">
      <w:pPr>
        <w:tabs>
          <w:tab w:val="left" w:pos="0"/>
        </w:tabs>
        <w:spacing w:line="240" w:lineRule="atLeast"/>
        <w:ind w:left="851" w:hanging="851"/>
        <w:rPr>
          <w:sz w:val="24"/>
          <w:szCs w:val="24"/>
          <w:u w:val="single"/>
        </w:rPr>
      </w:pPr>
      <w:r w:rsidRPr="002A1856">
        <w:rPr>
          <w:sz w:val="24"/>
          <w:szCs w:val="24"/>
        </w:rPr>
        <w:tab/>
      </w:r>
      <w:r w:rsidRPr="002A1856">
        <w:rPr>
          <w:sz w:val="24"/>
          <w:szCs w:val="24"/>
          <w:u w:val="single"/>
        </w:rPr>
        <w:t>Myasthenia gravis / Okulær myasteni</w:t>
      </w:r>
    </w:p>
    <w:p w:rsidR="002A1856" w:rsidRPr="002A1856" w:rsidRDefault="002A1856" w:rsidP="002A1856">
      <w:pPr>
        <w:tabs>
          <w:tab w:val="left" w:pos="0"/>
        </w:tabs>
        <w:spacing w:line="240" w:lineRule="atLeast"/>
        <w:ind w:left="851" w:hanging="851"/>
        <w:rPr>
          <w:sz w:val="24"/>
          <w:szCs w:val="24"/>
        </w:rPr>
      </w:pPr>
      <w:r w:rsidRPr="002A1856">
        <w:rPr>
          <w:sz w:val="24"/>
          <w:szCs w:val="24"/>
        </w:rPr>
        <w:tab/>
        <w:t>Der er indberettet enkelte tilfælde, hvor statiner inducerer de novo eller forværrer allerede eksisterende myasthenia gravis eller okulær myasteni (se pkt. 4.8). Fluvistad bør seponeres i tilfælde af forværring af symptomer. Der er indberettet recidiver, når det samme eller et andet statin blev administreret (igen).</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Hjælpestoffer</w:t>
      </w:r>
    </w:p>
    <w:p w:rsidR="002A1856" w:rsidRPr="002A1856" w:rsidRDefault="002A1856" w:rsidP="002A1856">
      <w:pPr>
        <w:pStyle w:val="Style1"/>
        <w:widowControl/>
        <w:spacing w:line="240" w:lineRule="auto"/>
        <w:ind w:left="851"/>
        <w:rPr>
          <w:rStyle w:val="FontStyle27"/>
          <w:sz w:val="24"/>
          <w:szCs w:val="24"/>
          <w:lang w:val="da-DK"/>
        </w:rPr>
      </w:pPr>
      <w:r w:rsidRPr="002A1856">
        <w:rPr>
          <w:rStyle w:val="FontStyle27"/>
          <w:sz w:val="24"/>
          <w:szCs w:val="24"/>
          <w:lang w:val="da-DK" w:eastAsia="da-DK"/>
        </w:rPr>
        <w:t>Lipistad indeholder lactose og b</w:t>
      </w:r>
      <w:r w:rsidRPr="002A1856">
        <w:t>ør ikke anvendes til patienter med hereditær galactoseintolerans, total lactasemangel eller glucose/galactosemalabsorption.</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 xml:space="preserve">Lipistad indeholder natrium. Dette lægemiddel indeholder mindre end 1mmol natrium (23 mg) per tablet, dvs. den er i det væsentlige natrium-fri. </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4.5</w:t>
      </w:r>
      <w:r w:rsidRPr="002A1856">
        <w:rPr>
          <w:b/>
          <w:sz w:val="24"/>
          <w:szCs w:val="24"/>
        </w:rPr>
        <w:tab/>
        <w:t>Interaktion med andre lægemidler og andre former for interaktion</w:t>
      </w:r>
    </w:p>
    <w:p w:rsidR="002A1856" w:rsidRPr="002A1856" w:rsidRDefault="002A1856" w:rsidP="002A1856">
      <w:pPr>
        <w:pStyle w:val="Style1"/>
        <w:widowControl/>
        <w:spacing w:line="240" w:lineRule="auto"/>
        <w:ind w:left="851"/>
        <w:rPr>
          <w:rStyle w:val="FontStyle27"/>
          <w:i/>
          <w:sz w:val="24"/>
          <w:szCs w:val="24"/>
          <w:lang w:val="da-DK" w:eastAsia="da-DK"/>
        </w:rPr>
      </w:pPr>
    </w:p>
    <w:p w:rsidR="002A1856" w:rsidRPr="002A1856" w:rsidRDefault="002A1856" w:rsidP="002A1856">
      <w:pPr>
        <w:pStyle w:val="Style1"/>
        <w:widowControl/>
        <w:spacing w:line="240" w:lineRule="auto"/>
        <w:ind w:left="851"/>
        <w:rPr>
          <w:rStyle w:val="FontStyle27"/>
          <w:i/>
          <w:sz w:val="24"/>
          <w:szCs w:val="24"/>
          <w:lang w:val="da-DK"/>
        </w:rPr>
      </w:pPr>
      <w:r w:rsidRPr="002A1856">
        <w:rPr>
          <w:rStyle w:val="FontStyle27"/>
          <w:sz w:val="24"/>
          <w:szCs w:val="24"/>
          <w:lang w:val="da-DK" w:eastAsia="da-DK"/>
        </w:rPr>
        <w:t>Andre lægemidlers påvirkning af atorvastatin</w:t>
      </w:r>
    </w:p>
    <w:p w:rsidR="002A1856" w:rsidRPr="002A1856" w:rsidRDefault="002A1856" w:rsidP="002A1856">
      <w:pPr>
        <w:pStyle w:val="Style1"/>
        <w:ind w:left="851"/>
        <w:rPr>
          <w:rStyle w:val="FontStyle27"/>
          <w:sz w:val="24"/>
          <w:szCs w:val="24"/>
          <w:lang w:val="da-DK"/>
        </w:rPr>
      </w:pPr>
      <w:r w:rsidRPr="002A1856">
        <w:rPr>
          <w:rStyle w:val="FontStyle27"/>
          <w:sz w:val="24"/>
          <w:szCs w:val="24"/>
          <w:lang w:val="da-DK" w:eastAsia="da-DK"/>
        </w:rPr>
        <w:t>Atorvastatin metaboliseres via cytokrom P450 3A4 (CYP3A4) og er et substrat for levertransportørerne, det organiske aniontransporterende polypeptid 1B1 (OATP1B1) og 1B3 (OATP1B</w:t>
      </w:r>
      <w:proofErr w:type="gramStart"/>
      <w:r w:rsidRPr="002A1856">
        <w:rPr>
          <w:rStyle w:val="FontStyle27"/>
          <w:sz w:val="24"/>
          <w:szCs w:val="24"/>
          <w:lang w:val="da-DK" w:eastAsia="da-DK"/>
        </w:rPr>
        <w:t>3)-</w:t>
      </w:r>
      <w:proofErr w:type="gramEnd"/>
      <w:r w:rsidRPr="002A1856">
        <w:rPr>
          <w:rStyle w:val="FontStyle27"/>
          <w:sz w:val="24"/>
          <w:szCs w:val="24"/>
          <w:lang w:val="da-DK" w:eastAsia="da-DK"/>
        </w:rPr>
        <w:t xml:space="preserve">transportøren. Metabolitter af atorvastatin er substrater for OATP1B1. Atorvastatin er også identificeret som et substrat for </w:t>
      </w:r>
      <w:r w:rsidRPr="002A1856">
        <w:rPr>
          <w:spacing w:val="-3"/>
        </w:rPr>
        <w:t xml:space="preserve">efflux-transportørerne P-glycoprotein (P-gp) </w:t>
      </w:r>
      <w:r w:rsidRPr="002A1856">
        <w:rPr>
          <w:rStyle w:val="FontStyle27"/>
          <w:sz w:val="24"/>
          <w:szCs w:val="24"/>
          <w:lang w:val="da-DK" w:eastAsia="da-DK"/>
        </w:rPr>
        <w:t>og BCRP (breast cancer resistance protein 1), der kan begrænse den intestinale absorption og den biliære clearance af atorvastatin (se pkt.  5.2). Samtidig indgift af lægemidler, der hæmmer CYP3A4 eller transportproteiner, kan medføre forhøjede plasmakoncen</w:t>
      </w:r>
      <w:r w:rsidRPr="002A1856">
        <w:rPr>
          <w:rStyle w:val="FontStyle27"/>
          <w:sz w:val="24"/>
          <w:szCs w:val="24"/>
          <w:lang w:val="da-DK" w:eastAsia="da-DK"/>
        </w:rPr>
        <w:softHyphen/>
        <w:t>trationer af atorvastatin og øget risiko for myopati. Denne risiko er også øget ved samtidig behandling med atorvastatin og andre lægemidler, der kan forårsage myopati, f.eks. fibrater og ezetimib (se pkt. 4.3 og 4.4).</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CYP3A4-hæmmere</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Potente CYP3A4-hæmmere er vist at kunne medføre kraftigt forøgede koncentrationer af atorvastatin (se tabel 1 samt specifik information nedenfor). Samtidig behandling med potente CYP3A4-hæmmere (f.eks. ciclosporin, telithromycin, clarithromycin, delavirdin, stiripentol, ketoconazol, voriconazol, itraconazol, posaconazol, visse antivirale midler, der anvendes i behandlingen af HCV (f.eks. elbasvir/grazoprevir) samt HIV-protease</w:t>
      </w:r>
      <w:r w:rsidRPr="002A1856">
        <w:rPr>
          <w:rStyle w:val="FontStyle27"/>
          <w:sz w:val="24"/>
          <w:szCs w:val="24"/>
          <w:lang w:val="da-DK" w:eastAsia="da-DK"/>
        </w:rPr>
        <w:softHyphen/>
        <w:t>hæmmere, herunder ritonavir, lopinavir, atanazavir,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Moderate CYP3A4-hæmmere (f.eks. erythromycin, diltiazem, verapamil og fluconazol) kan øge plasmakoncentrationen af atorvastatin (se tabel 1). Der er set en øget risiko for myopati ved samtidig brug af erythromycin og statiner. Der er ikke udført interaktions</w:t>
      </w:r>
      <w:r w:rsidRPr="002A1856">
        <w:rPr>
          <w:rStyle w:val="FontStyle27"/>
          <w:sz w:val="24"/>
          <w:szCs w:val="24"/>
          <w:lang w:val="da-DK" w:eastAsia="da-DK"/>
        </w:rPr>
        <w:softHyphen/>
        <w:t xml:space="preserve">studier, der vurderer virkningen af amiodaron eller verapamil på atorvastatin. Det er kendt, </w:t>
      </w:r>
      <w:r w:rsidRPr="002A1856">
        <w:rPr>
          <w:rStyle w:val="FontStyle27"/>
          <w:sz w:val="24"/>
          <w:szCs w:val="24"/>
          <w:lang w:val="da-DK" w:eastAsia="da-DK"/>
        </w:rPr>
        <w:lastRenderedPageBreak/>
        <w:t>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CYP3A4-induktorer</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Samtidig anvendelse af atorvastatin og cytokrom P450 3A-induktorer (f.eks.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administration af rifampicin har været forbundet med en signifikant reduktion i atorvastatins plasmakoncentration. Virkningen af rifampicin på atorvastatin</w:t>
      </w:r>
      <w:r w:rsidRPr="002A1856">
        <w:rPr>
          <w:rStyle w:val="FontStyle27"/>
          <w:sz w:val="24"/>
          <w:szCs w:val="24"/>
          <w:lang w:val="da-DK" w:eastAsia="da-DK"/>
        </w:rPr>
        <w:softHyphen/>
        <w:t>koncentrationen i hepatocytter er derimod ukendt, og hvis samtidig behandling ikke kan undgås, bør patienterne monitoreres nøje for effekt.</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u w:val="single"/>
        </w:rPr>
      </w:pPr>
      <w:r w:rsidRPr="002A1856">
        <w:rPr>
          <w:rStyle w:val="FontStyle27"/>
          <w:sz w:val="24"/>
          <w:szCs w:val="24"/>
          <w:u w:val="single"/>
          <w:lang w:val="da-DK" w:eastAsia="da-DK"/>
        </w:rPr>
        <w:t>Transport-hæmmere</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Hæmmere af transportproteiner kan øge den systemiske atorvastatineksponering (se tabel 1). Ciclosporin og Letermovir er begge hæmmere af transportproteinerne involveret i dispositionen af atorvastation dvs. OATP1B1/1B3, P-gp og BCRP som fører til en øget systemisk eksponering af atorvastatin (se table 1).  Det er ukendt, hvordan hæmning af transportproteiner i leveren påvirker eksponeringen af atorvastatin i hepatocytter. Hvis samtidig behandling ikke kan undgås, anbefales dosisreduktion og klinisk monitorering for effekt (se tabel 1).</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bookmarkStart w:id="1" w:name="_Hlk18580101"/>
      <w:r w:rsidRPr="002A1856">
        <w:rPr>
          <w:bCs/>
          <w:lang w:eastAsia="da-DK" w:bidi="da-DK"/>
        </w:rPr>
        <w:t>Atorvastatin anbefales ikke til patienter, der er i behandling med letermovir samtidigt med ciclosporin (se pkt. 4.4).</w:t>
      </w:r>
      <w:bookmarkEnd w:id="1"/>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8"/>
        <w:widowControl/>
        <w:ind w:left="851"/>
        <w:rPr>
          <w:rStyle w:val="FontStyle26"/>
          <w:i w:val="0"/>
          <w:sz w:val="24"/>
          <w:szCs w:val="24"/>
          <w:u w:val="single"/>
        </w:rPr>
      </w:pPr>
      <w:r w:rsidRPr="002A1856">
        <w:rPr>
          <w:rStyle w:val="FontStyle26"/>
          <w:sz w:val="24"/>
          <w:szCs w:val="24"/>
          <w:u w:val="single"/>
          <w:lang w:val="da-DK" w:eastAsia="da-DK"/>
        </w:rPr>
        <w:t xml:space="preserve">Gemfibrozil/fibrater </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Monoterapi med fibrater kan i sjældne tilfælde være forbundet med muskelrelaterede bivirkninger, herunder rabdomyolyse. Risikoen for disse bivirkninger kan øges ved samtidig brug af fibrater og atorvastatin. Hvis samtidig behandling ikke kan undgås, skal den lavest mulig atorvastatindosis anvendes, og patienten bør monitoreres passende (se pkt. 4.4).</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Ezetimib</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Monoterapi med ezetimib er forbundet med muskelrelaterede bivirkninger, herunder rabdomyolyse. Risikoen for disse bivirkninger kan øges ved samtidig brug af ezetimib og atorvastatin. Passende klinisk monitorering af disse patienter anbefales.</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Colestipol</w:t>
      </w:r>
    </w:p>
    <w:p w:rsidR="002A1856" w:rsidRPr="002A1856" w:rsidRDefault="002A1856" w:rsidP="002A1856">
      <w:pPr>
        <w:pStyle w:val="Style1"/>
        <w:widowControl/>
        <w:spacing w:line="240" w:lineRule="auto"/>
        <w:ind w:left="851"/>
      </w:pPr>
      <w:r w:rsidRPr="002A1856">
        <w:rPr>
          <w:rStyle w:val="FontStyle27"/>
          <w:sz w:val="24"/>
          <w:szCs w:val="24"/>
          <w:lang w:val="da-DK" w:eastAsia="da-DK"/>
        </w:rPr>
        <w:t>Plasmakoncentrationerne af atorvastatin og dets aktive metabolitter var lavere (</w:t>
      </w:r>
      <w:r w:rsidRPr="002A1856">
        <w:rPr>
          <w:spacing w:val="-3"/>
        </w:rPr>
        <w:t>andel af atorvastatinkoncentrationen: 0,74</w:t>
      </w:r>
      <w:r w:rsidRPr="002A1856">
        <w:rPr>
          <w:rStyle w:val="FontStyle27"/>
          <w:sz w:val="24"/>
          <w:szCs w:val="24"/>
          <w:lang w:val="da-DK" w:eastAsia="da-DK"/>
        </w:rPr>
        <w:t>), når colestipol blev indgivet sammen med atorvastatin. Effekten på lipiderne var imidlertid større, når atorvastatin og colestipol blev indgivet samtidig, end hvis stofferne blev givet hver for sig.</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Fusidinsyre</w:t>
      </w:r>
    </w:p>
    <w:p w:rsidR="002A1856" w:rsidRPr="002A1856" w:rsidRDefault="002A1856" w:rsidP="002A1856">
      <w:pPr>
        <w:pStyle w:val="Style1"/>
        <w:spacing w:line="240" w:lineRule="auto"/>
        <w:ind w:left="851"/>
        <w:rPr>
          <w:rStyle w:val="FontStyle27"/>
          <w:sz w:val="24"/>
          <w:szCs w:val="24"/>
        </w:rPr>
      </w:pPr>
      <w:r w:rsidRPr="002A1856">
        <w:rPr>
          <w:rStyle w:val="FontStyle27"/>
          <w:sz w:val="24"/>
          <w:szCs w:val="24"/>
          <w:lang w:val="da-DK" w:eastAsia="da-DK"/>
        </w:rPr>
        <w:t>Risikoen</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myopati</w:t>
      </w:r>
      <w:r w:rsidRPr="002A1856">
        <w:rPr>
          <w:rStyle w:val="FontStyle27"/>
          <w:sz w:val="24"/>
          <w:szCs w:val="24"/>
          <w:lang w:eastAsia="da-DK"/>
        </w:rPr>
        <w:t xml:space="preserve">, </w:t>
      </w:r>
      <w:r w:rsidRPr="002A1856">
        <w:rPr>
          <w:rStyle w:val="FontStyle27"/>
          <w:sz w:val="24"/>
          <w:szCs w:val="24"/>
          <w:lang w:val="da-DK" w:eastAsia="da-DK"/>
        </w:rPr>
        <w:t>herunder</w:t>
      </w:r>
      <w:r w:rsidRPr="002A1856">
        <w:rPr>
          <w:rStyle w:val="FontStyle27"/>
          <w:sz w:val="24"/>
          <w:szCs w:val="24"/>
          <w:lang w:eastAsia="da-DK"/>
        </w:rPr>
        <w:t xml:space="preserve"> </w:t>
      </w:r>
      <w:r w:rsidRPr="002A1856">
        <w:rPr>
          <w:rStyle w:val="FontStyle27"/>
          <w:sz w:val="24"/>
          <w:szCs w:val="24"/>
          <w:lang w:val="da-DK" w:eastAsia="da-DK"/>
        </w:rPr>
        <w:t>rhabdomyolyse</w:t>
      </w:r>
      <w:r w:rsidRPr="002A1856">
        <w:rPr>
          <w:rStyle w:val="FontStyle27"/>
          <w:sz w:val="24"/>
          <w:szCs w:val="24"/>
          <w:lang w:eastAsia="da-DK"/>
        </w:rPr>
        <w:t xml:space="preserve">, </w:t>
      </w:r>
      <w:r w:rsidRPr="002A1856">
        <w:rPr>
          <w:rStyle w:val="FontStyle27"/>
          <w:sz w:val="24"/>
          <w:szCs w:val="24"/>
          <w:lang w:val="da-DK" w:eastAsia="da-DK"/>
        </w:rPr>
        <w:t>kan</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ø</w:t>
      </w:r>
      <w:r w:rsidRPr="002A1856">
        <w:rPr>
          <w:rStyle w:val="FontStyle27"/>
          <w:sz w:val="24"/>
          <w:szCs w:val="24"/>
          <w:lang w:val="da-DK" w:eastAsia="da-DK"/>
        </w:rPr>
        <w:t>ges</w:t>
      </w:r>
      <w:r w:rsidRPr="002A1856">
        <w:rPr>
          <w:rStyle w:val="FontStyle27"/>
          <w:sz w:val="24"/>
          <w:szCs w:val="24"/>
          <w:lang w:eastAsia="da-DK"/>
        </w:rPr>
        <w:t xml:space="preserve"> </w:t>
      </w:r>
      <w:r w:rsidRPr="002A1856">
        <w:rPr>
          <w:rStyle w:val="FontStyle27"/>
          <w:sz w:val="24"/>
          <w:szCs w:val="24"/>
          <w:lang w:val="da-DK" w:eastAsia="da-DK"/>
        </w:rPr>
        <w:t>ved</w:t>
      </w:r>
      <w:r w:rsidRPr="002A1856">
        <w:rPr>
          <w:rStyle w:val="FontStyle27"/>
          <w:sz w:val="24"/>
          <w:szCs w:val="24"/>
          <w:lang w:eastAsia="da-DK"/>
        </w:rPr>
        <w:t xml:space="preserve"> </w:t>
      </w:r>
      <w:r w:rsidRPr="002A1856">
        <w:rPr>
          <w:rStyle w:val="FontStyle27"/>
          <w:sz w:val="24"/>
          <w:szCs w:val="24"/>
          <w:lang w:val="da-DK" w:eastAsia="da-DK"/>
        </w:rPr>
        <w:t>samtidig</w:t>
      </w:r>
      <w:r w:rsidRPr="002A1856">
        <w:rPr>
          <w:rStyle w:val="FontStyle27"/>
          <w:sz w:val="24"/>
          <w:szCs w:val="24"/>
          <w:lang w:eastAsia="da-DK"/>
        </w:rPr>
        <w:t xml:space="preserve"> </w:t>
      </w:r>
      <w:r w:rsidRPr="002A1856">
        <w:rPr>
          <w:rStyle w:val="FontStyle27"/>
          <w:sz w:val="24"/>
          <w:szCs w:val="24"/>
          <w:lang w:val="da-DK" w:eastAsia="da-DK"/>
        </w:rPr>
        <w:t>administrering</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fusidinsyre</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statiner</w:t>
      </w:r>
      <w:r w:rsidRPr="002A1856">
        <w:rPr>
          <w:rStyle w:val="FontStyle27"/>
          <w:sz w:val="24"/>
          <w:szCs w:val="24"/>
          <w:lang w:eastAsia="da-DK"/>
        </w:rPr>
        <w:t xml:space="preserve">. </w:t>
      </w:r>
      <w:r w:rsidRPr="002A1856">
        <w:rPr>
          <w:rStyle w:val="FontStyle27"/>
          <w:sz w:val="24"/>
          <w:szCs w:val="24"/>
          <w:lang w:val="da-DK" w:eastAsia="da-DK"/>
        </w:rPr>
        <w:t>Interaktionsmekanismen</w:t>
      </w:r>
      <w:r w:rsidRPr="002A1856">
        <w:rPr>
          <w:rStyle w:val="FontStyle27"/>
          <w:sz w:val="24"/>
          <w:szCs w:val="24"/>
          <w:lang w:eastAsia="da-DK"/>
        </w:rPr>
        <w:t xml:space="preserve"> (</w:t>
      </w:r>
      <w:r w:rsidRPr="002A1856">
        <w:rPr>
          <w:rStyle w:val="FontStyle27"/>
          <w:sz w:val="24"/>
          <w:szCs w:val="24"/>
          <w:lang w:val="da-DK" w:eastAsia="da-DK"/>
        </w:rPr>
        <w:t>den</w:t>
      </w:r>
      <w:r w:rsidRPr="002A1856">
        <w:rPr>
          <w:rStyle w:val="FontStyle27"/>
          <w:sz w:val="24"/>
          <w:szCs w:val="24"/>
          <w:lang w:eastAsia="da-DK"/>
        </w:rPr>
        <w:t xml:space="preserve"> </w:t>
      </w:r>
      <w:r w:rsidRPr="002A1856">
        <w:rPr>
          <w:rStyle w:val="FontStyle27"/>
          <w:sz w:val="24"/>
          <w:szCs w:val="24"/>
          <w:lang w:val="da-DK" w:eastAsia="da-DK"/>
        </w:rPr>
        <w:t>farmakodynamiske</w:t>
      </w:r>
      <w:r w:rsidRPr="002A1856">
        <w:rPr>
          <w:rStyle w:val="FontStyle27"/>
          <w:sz w:val="24"/>
          <w:szCs w:val="24"/>
          <w:lang w:eastAsia="da-DK"/>
        </w:rPr>
        <w:t xml:space="preserve"> </w:t>
      </w:r>
      <w:r w:rsidRPr="002A1856">
        <w:rPr>
          <w:rStyle w:val="FontStyle27"/>
          <w:sz w:val="24"/>
          <w:szCs w:val="24"/>
          <w:lang w:val="da-DK" w:eastAsia="da-DK"/>
        </w:rPr>
        <w:t>eller</w:t>
      </w:r>
      <w:r w:rsidRPr="002A1856">
        <w:rPr>
          <w:rStyle w:val="FontStyle27"/>
          <w:sz w:val="24"/>
          <w:szCs w:val="24"/>
          <w:lang w:eastAsia="da-DK"/>
        </w:rPr>
        <w:t xml:space="preserve"> </w:t>
      </w:r>
      <w:r w:rsidRPr="002A1856">
        <w:rPr>
          <w:rStyle w:val="FontStyle27"/>
          <w:sz w:val="24"/>
          <w:szCs w:val="24"/>
          <w:lang w:val="da-DK" w:eastAsia="da-DK"/>
        </w:rPr>
        <w:t>pharmakokinetiske</w:t>
      </w:r>
      <w:r w:rsidRPr="002A1856">
        <w:rPr>
          <w:rStyle w:val="FontStyle27"/>
          <w:sz w:val="24"/>
          <w:szCs w:val="24"/>
          <w:lang w:eastAsia="da-DK"/>
        </w:rPr>
        <w:t xml:space="preserve"> </w:t>
      </w:r>
      <w:r w:rsidRPr="002A1856">
        <w:rPr>
          <w:rStyle w:val="FontStyle27"/>
          <w:sz w:val="24"/>
          <w:szCs w:val="24"/>
          <w:lang w:val="da-DK" w:eastAsia="da-DK"/>
        </w:rPr>
        <w:t>eller</w:t>
      </w:r>
      <w:r w:rsidRPr="002A1856">
        <w:rPr>
          <w:rStyle w:val="FontStyle27"/>
          <w:sz w:val="24"/>
          <w:szCs w:val="24"/>
          <w:lang w:eastAsia="da-DK"/>
        </w:rPr>
        <w:t xml:space="preserve"> </w:t>
      </w:r>
      <w:r w:rsidRPr="002A1856">
        <w:rPr>
          <w:rStyle w:val="FontStyle27"/>
          <w:sz w:val="24"/>
          <w:szCs w:val="24"/>
          <w:lang w:val="da-DK" w:eastAsia="da-DK"/>
        </w:rPr>
        <w:t>begge</w:t>
      </w:r>
      <w:r w:rsidRPr="002A1856">
        <w:rPr>
          <w:rStyle w:val="FontStyle27"/>
          <w:sz w:val="24"/>
          <w:szCs w:val="24"/>
          <w:lang w:eastAsia="da-DK"/>
        </w:rPr>
        <w:t xml:space="preserve">) </w:t>
      </w:r>
      <w:r w:rsidRPr="002A1856">
        <w:rPr>
          <w:rStyle w:val="FontStyle27"/>
          <w:sz w:val="24"/>
          <w:szCs w:val="24"/>
          <w:lang w:val="da-DK" w:eastAsia="da-DK"/>
        </w:rPr>
        <w:t>er</w:t>
      </w:r>
      <w:r w:rsidRPr="002A1856">
        <w:rPr>
          <w:rStyle w:val="FontStyle27"/>
          <w:sz w:val="24"/>
          <w:szCs w:val="24"/>
          <w:lang w:eastAsia="da-DK"/>
        </w:rPr>
        <w:t xml:space="preserve"> </w:t>
      </w:r>
      <w:r w:rsidRPr="002A1856">
        <w:rPr>
          <w:rStyle w:val="FontStyle27"/>
          <w:sz w:val="24"/>
          <w:szCs w:val="24"/>
          <w:lang w:val="da-DK" w:eastAsia="da-DK"/>
        </w:rPr>
        <w:t>endnu</w:t>
      </w:r>
      <w:r w:rsidRPr="002A1856">
        <w:rPr>
          <w:rStyle w:val="FontStyle27"/>
          <w:sz w:val="24"/>
          <w:szCs w:val="24"/>
          <w:lang w:eastAsia="da-DK"/>
        </w:rPr>
        <w:t xml:space="preserve"> </w:t>
      </w:r>
      <w:r w:rsidRPr="002A1856">
        <w:rPr>
          <w:rStyle w:val="FontStyle27"/>
          <w:sz w:val="24"/>
          <w:szCs w:val="24"/>
          <w:lang w:val="da-DK" w:eastAsia="da-DK"/>
        </w:rPr>
        <w:t>ukendt</w:t>
      </w:r>
      <w:r w:rsidRPr="002A1856">
        <w:rPr>
          <w:rStyle w:val="FontStyle27"/>
          <w:sz w:val="24"/>
          <w:szCs w:val="24"/>
          <w:lang w:eastAsia="da-DK"/>
        </w:rPr>
        <w:t xml:space="preserve">. </w:t>
      </w:r>
      <w:r w:rsidRPr="002A1856">
        <w:rPr>
          <w:rStyle w:val="FontStyle27"/>
          <w:sz w:val="24"/>
          <w:szCs w:val="24"/>
          <w:lang w:val="da-DK" w:eastAsia="da-DK"/>
        </w:rPr>
        <w:t xml:space="preserve">Der har været rapporteret tilfælde af </w:t>
      </w:r>
      <w:r w:rsidRPr="002A1856">
        <w:rPr>
          <w:rStyle w:val="FontStyle27"/>
          <w:sz w:val="24"/>
          <w:szCs w:val="24"/>
          <w:lang w:val="da-DK" w:eastAsia="da-DK"/>
        </w:rPr>
        <w:lastRenderedPageBreak/>
        <w:t>rhabdomyolyse (herunder nogle dødsfald) hos patienter der modtog denne kombination.</w:t>
      </w:r>
    </w:p>
    <w:p w:rsidR="002A1856" w:rsidRPr="002A1856" w:rsidRDefault="002A1856" w:rsidP="002A1856">
      <w:pPr>
        <w:pStyle w:val="Style1"/>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Hvis behandling med fusidinsyre er nødvendig, skal behandling med atorvastatin afbrydes under behandlingsforløbet med fusidinsyre (se pkt. 4.4).</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Colchicin</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Selvom der ikke er udført interaktionsstudier med atorvastation og colchicin, er der rapporteret tilfælde af myopati, når atorvastatin administreres samtidig med colchicin. Der skal udvises forsigtighed, når atorvastatin ordineres med colchicin.</w:t>
      </w:r>
    </w:p>
    <w:p w:rsidR="002A1856" w:rsidRPr="002A1856" w:rsidRDefault="002A1856" w:rsidP="002A1856">
      <w:pPr>
        <w:pStyle w:val="Style1"/>
        <w:widowControl/>
        <w:spacing w:line="240" w:lineRule="auto"/>
        <w:ind w:left="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t>Daptomycin: Der er blevet rapporteret om tilfælde af myopati og/eller rabdomyolyse ved samtidig administration af HMG-CoA-reduktasehæmmere (f.eks. atorvastatin) og daptomycin. Hvis samtidig administration ikke kan undgås, anbefales passende klinisk overvågning (se pkt. 4.4).</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i/>
          <w:sz w:val="24"/>
          <w:szCs w:val="24"/>
          <w:lang w:val="da-DK" w:eastAsia="da-DK"/>
        </w:rPr>
      </w:pPr>
      <w:r w:rsidRPr="002A1856">
        <w:rPr>
          <w:rStyle w:val="FontStyle27"/>
          <w:sz w:val="24"/>
          <w:szCs w:val="24"/>
          <w:lang w:val="da-DK" w:eastAsia="da-DK"/>
        </w:rPr>
        <w:t>Atorvastatins virkning på andre lægemidler</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Digoxin</w:t>
      </w:r>
    </w:p>
    <w:p w:rsidR="002A1856" w:rsidRPr="002A1856" w:rsidRDefault="002A1856" w:rsidP="002A1856">
      <w:pPr>
        <w:pStyle w:val="Style2"/>
        <w:widowControl/>
        <w:spacing w:line="240" w:lineRule="auto"/>
        <w:ind w:left="851"/>
        <w:jc w:val="left"/>
        <w:rPr>
          <w:rStyle w:val="FontStyle27"/>
          <w:color w:val="000000" w:themeColor="text1"/>
          <w:sz w:val="24"/>
          <w:szCs w:val="24"/>
          <w:lang w:val="da-DK" w:eastAsia="da-DK"/>
        </w:rPr>
      </w:pPr>
      <w:r w:rsidRPr="002A1856">
        <w:rPr>
          <w:rStyle w:val="FontStyle27"/>
          <w:sz w:val="24"/>
          <w:szCs w:val="24"/>
          <w:lang w:val="da-DK" w:eastAsia="da-DK"/>
        </w:rPr>
        <w:t xml:space="preserve">Når gentagne doser af digoxin og 10 mg atorvastatin blev givet samtidigt, blev </w:t>
      </w:r>
      <w:r w:rsidRPr="002A1856">
        <w:rPr>
          <w:rStyle w:val="FontStyle26"/>
          <w:sz w:val="24"/>
          <w:szCs w:val="24"/>
          <w:lang w:val="da-DK" w:eastAsia="da-DK"/>
        </w:rPr>
        <w:t xml:space="preserve">steady state </w:t>
      </w:r>
      <w:r w:rsidRPr="002A1856">
        <w:rPr>
          <w:rStyle w:val="FontStyle27"/>
          <w:sz w:val="24"/>
          <w:szCs w:val="24"/>
          <w:lang w:val="da-DK" w:eastAsia="da-DK"/>
        </w:rPr>
        <w:t>plasma</w:t>
      </w:r>
      <w:r w:rsidRPr="002A1856">
        <w:rPr>
          <w:rStyle w:val="FontStyle27"/>
          <w:sz w:val="24"/>
          <w:szCs w:val="24"/>
          <w:lang w:val="da-DK" w:eastAsia="da-DK"/>
        </w:rPr>
        <w:softHyphen/>
        <w:t xml:space="preserve">koncentrationen af digoxin øget en smule. Patienter i digoxinbehandling bør monitoreres </w:t>
      </w:r>
      <w:r w:rsidRPr="002A1856">
        <w:rPr>
          <w:rStyle w:val="FontStyle27"/>
          <w:color w:val="000000" w:themeColor="text1"/>
          <w:sz w:val="24"/>
          <w:szCs w:val="24"/>
          <w:lang w:val="da-DK" w:eastAsia="da-DK"/>
        </w:rPr>
        <w:t>passende.</w:t>
      </w:r>
    </w:p>
    <w:p w:rsidR="002A1856" w:rsidRPr="002A1856" w:rsidRDefault="002A1856" w:rsidP="002A1856">
      <w:pPr>
        <w:pStyle w:val="Style2"/>
        <w:widowControl/>
        <w:spacing w:line="240" w:lineRule="auto"/>
        <w:ind w:left="851"/>
        <w:jc w:val="left"/>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Orale kontraceptiva</w:t>
      </w:r>
    </w:p>
    <w:p w:rsidR="002A1856" w:rsidRPr="002A1856" w:rsidRDefault="002A1856" w:rsidP="002A1856">
      <w:pPr>
        <w:pStyle w:val="Style2"/>
        <w:widowControl/>
        <w:spacing w:line="240" w:lineRule="auto"/>
        <w:ind w:left="851"/>
        <w:jc w:val="left"/>
        <w:rPr>
          <w:rStyle w:val="FontStyle27"/>
          <w:sz w:val="24"/>
          <w:szCs w:val="24"/>
        </w:rPr>
      </w:pPr>
      <w:r w:rsidRPr="002A1856">
        <w:rPr>
          <w:rStyle w:val="FontStyle27"/>
          <w:sz w:val="24"/>
          <w:szCs w:val="24"/>
          <w:lang w:val="da-DK" w:eastAsia="da-DK"/>
        </w:rPr>
        <w:t>Samtidig anvendelse af atorvastatin og et oralt kontraceptivum medførte forhøjede plasmakoncentrationer af norethisteron og ethinylestradiol.</w:t>
      </w:r>
    </w:p>
    <w:p w:rsidR="002A1856" w:rsidRPr="002A1856" w:rsidRDefault="002A1856" w:rsidP="002A1856">
      <w:pPr>
        <w:pStyle w:val="Style8"/>
        <w:widowControl/>
        <w:ind w:left="851" w:hanging="851"/>
      </w:pPr>
    </w:p>
    <w:p w:rsidR="002A1856" w:rsidRPr="002A1856" w:rsidRDefault="002A1856" w:rsidP="002A1856">
      <w:pPr>
        <w:pStyle w:val="Style8"/>
        <w:widowControl/>
        <w:ind w:left="851"/>
        <w:rPr>
          <w:rStyle w:val="FontStyle26"/>
          <w:i w:val="0"/>
          <w:sz w:val="24"/>
          <w:szCs w:val="24"/>
          <w:u w:val="single"/>
          <w:lang w:eastAsia="da-DK"/>
        </w:rPr>
      </w:pPr>
      <w:r w:rsidRPr="002A1856">
        <w:rPr>
          <w:rStyle w:val="FontStyle26"/>
          <w:sz w:val="24"/>
          <w:szCs w:val="24"/>
          <w:u w:val="single"/>
          <w:lang w:val="da-DK" w:eastAsia="da-DK"/>
        </w:rPr>
        <w:t>Warfarin</w:t>
      </w:r>
    </w:p>
    <w:p w:rsidR="002A1856" w:rsidRPr="002A1856" w:rsidRDefault="002A1856" w:rsidP="002A1856">
      <w:pPr>
        <w:pStyle w:val="Style1"/>
        <w:widowControl/>
        <w:spacing w:line="240" w:lineRule="auto"/>
        <w:ind w:left="851"/>
        <w:rPr>
          <w:rStyle w:val="FontStyle27"/>
          <w:sz w:val="24"/>
          <w:szCs w:val="24"/>
        </w:rPr>
      </w:pPr>
      <w:r w:rsidRPr="002A1856">
        <w:rPr>
          <w:rStyle w:val="FontStyle27"/>
          <w:sz w:val="24"/>
          <w:szCs w:val="24"/>
          <w:lang w:val="da-DK" w:eastAsia="da-DK"/>
        </w:rPr>
        <w:t>I et klinisk studie med patienter i kronisk warfarinbehandling forårsagede samtidig behandling med 80 mg atorvastatin daglig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 skal 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Atorvastatinbehandling er ikke blevet forbundet med blødning eller med ændringer i protrombintid hos patienter, der ikke tager antikoagulantia.</w:t>
      </w:r>
    </w:p>
    <w:p w:rsidR="002A1856" w:rsidRPr="002A1856" w:rsidRDefault="002A1856" w:rsidP="002A1856">
      <w:pPr>
        <w:pStyle w:val="Style1"/>
        <w:widowControl/>
        <w:spacing w:line="240" w:lineRule="auto"/>
        <w:ind w:left="851" w:hanging="851"/>
        <w:rPr>
          <w:rStyle w:val="FontStyle27"/>
          <w:sz w:val="24"/>
          <w:szCs w:val="24"/>
          <w:u w:val="single"/>
          <w:lang w:val="da-DK" w:eastAsia="da-DK"/>
        </w:rPr>
      </w:pPr>
    </w:p>
    <w:p w:rsidR="002A1856" w:rsidRPr="002A1856" w:rsidRDefault="002A1856" w:rsidP="002A1856">
      <w:pPr>
        <w:pStyle w:val="Default"/>
        <w:ind w:left="851"/>
        <w:rPr>
          <w:i/>
          <w:color w:val="auto"/>
        </w:rPr>
      </w:pPr>
      <w:r w:rsidRPr="002A1856">
        <w:rPr>
          <w:i/>
          <w:color w:val="auto"/>
          <w:lang w:val="da-DK"/>
        </w:rPr>
        <w:t>Pædiatrisk population</w:t>
      </w:r>
    </w:p>
    <w:p w:rsidR="002A1856" w:rsidRPr="002A1856" w:rsidRDefault="002A1856" w:rsidP="002A1856">
      <w:pPr>
        <w:pStyle w:val="Default"/>
        <w:ind w:left="851"/>
        <w:rPr>
          <w:color w:val="auto"/>
          <w:lang w:val="da-DK"/>
        </w:rPr>
      </w:pPr>
      <w:r w:rsidRPr="002A1856">
        <w:rPr>
          <w:color w:val="auto"/>
          <w:lang w:val="da-DK"/>
        </w:rPr>
        <w:t>Interaktionsundersøgelser er kun udført hos voksne. Omfanget af interaktioner i den pædiatriske population er ikke kendt. Ved behandling af børn og unge skal der tages højde for de oven for nævnte interaktioner for voksne og for advarslerne i pkt. 4.4.</w:t>
      </w:r>
    </w:p>
    <w:p w:rsidR="002A1856" w:rsidRPr="002A1856" w:rsidRDefault="002A1856" w:rsidP="002A1856">
      <w:pPr>
        <w:pStyle w:val="Default"/>
        <w:ind w:left="851"/>
        <w:rPr>
          <w:color w:val="auto"/>
          <w:lang w:val="da-DK"/>
        </w:rPr>
      </w:pPr>
    </w:p>
    <w:p w:rsidR="002A1856" w:rsidRPr="002A1856" w:rsidRDefault="002A1856" w:rsidP="002A1856">
      <w:pPr>
        <w:pStyle w:val="Default"/>
        <w:ind w:left="851"/>
        <w:rPr>
          <w:color w:val="auto"/>
          <w:lang w:val="da-DK"/>
        </w:rPr>
      </w:pPr>
      <w:r w:rsidRPr="002A1856">
        <w:rPr>
          <w:rStyle w:val="FontStyle27"/>
          <w:sz w:val="24"/>
          <w:szCs w:val="24"/>
          <w:u w:val="single"/>
          <w:lang w:eastAsia="da-DK"/>
        </w:rPr>
        <w:t>Lægemiddelinteraktioner</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Default"/>
        <w:ind w:left="851" w:hanging="851"/>
        <w:jc w:val="both"/>
        <w:rPr>
          <w:color w:val="auto"/>
          <w:u w:val="single"/>
          <w:lang w:val="da-DK"/>
        </w:rPr>
      </w:pPr>
      <w:r w:rsidRPr="002A1856">
        <w:rPr>
          <w:color w:val="auto"/>
          <w:u w:val="single"/>
          <w:lang w:val="da-DK"/>
        </w:rPr>
        <w:t xml:space="preserve">Tabel 1: Effekt af samtidigt administrerede lægemidler på atorvastatins farmakokinetik </w:t>
      </w:r>
    </w:p>
    <w:p w:rsidR="002A1856" w:rsidRPr="002A1856" w:rsidRDefault="002A1856" w:rsidP="002A1856">
      <w:pPr>
        <w:pStyle w:val="Default"/>
        <w:ind w:left="851" w:hanging="851"/>
        <w:jc w:val="both"/>
        <w:rPr>
          <w:color w:val="auto"/>
          <w:u w:val="single"/>
        </w:rPr>
      </w:pPr>
    </w:p>
    <w:p w:rsidR="002A1856" w:rsidRPr="002A1856" w:rsidRDefault="002A1856" w:rsidP="002A1856">
      <w:pPr>
        <w:pStyle w:val="Style1"/>
        <w:widowControl/>
        <w:spacing w:line="240" w:lineRule="auto"/>
        <w:ind w:left="851" w:hanging="851"/>
        <w:rPr>
          <w:lang w:val="da-DK"/>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38"/>
        <w:gridCol w:w="19"/>
        <w:gridCol w:w="1593"/>
        <w:gridCol w:w="1602"/>
        <w:gridCol w:w="2966"/>
      </w:tblGrid>
      <w:tr w:rsidR="002A1856" w:rsidRPr="002A1856" w:rsidTr="00236324">
        <w:trPr>
          <w:trHeight w:val="795"/>
        </w:trPr>
        <w:tc>
          <w:tcPr>
            <w:tcW w:w="1797" w:type="pct"/>
            <w:gridSpan w:val="2"/>
            <w:vMerge w:val="restar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Default"/>
              <w:ind w:left="57"/>
              <w:rPr>
                <w:color w:val="auto"/>
                <w:lang w:val="da-DK"/>
              </w:rPr>
            </w:pPr>
            <w:r w:rsidRPr="002A1856">
              <w:rPr>
                <w:rStyle w:val="FontStyle28"/>
                <w:color w:val="auto"/>
                <w:sz w:val="24"/>
                <w:szCs w:val="24"/>
                <w:lang w:val="da-DK" w:eastAsia="da-DK"/>
              </w:rPr>
              <w:lastRenderedPageBreak/>
              <w:t>Samtidigt administreret lægemiddel og dosisregime</w:t>
            </w:r>
          </w:p>
        </w:tc>
        <w:tc>
          <w:tcPr>
            <w:tcW w:w="3203" w:type="pct"/>
            <w:gridSpan w:val="3"/>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Default"/>
              <w:ind w:left="57"/>
              <w:rPr>
                <w:color w:val="auto"/>
              </w:rPr>
            </w:pPr>
            <w:r w:rsidRPr="002A1856">
              <w:rPr>
                <w:rStyle w:val="FontStyle28"/>
                <w:color w:val="auto"/>
                <w:sz w:val="24"/>
                <w:szCs w:val="24"/>
                <w:lang w:val="da-DK" w:eastAsia="da-DK"/>
              </w:rPr>
              <w:t>Atorvastatin</w:t>
            </w:r>
          </w:p>
        </w:tc>
      </w:tr>
      <w:tr w:rsidR="002A1856" w:rsidRPr="002A1856" w:rsidTr="00236324">
        <w:trPr>
          <w:trHeight w:val="79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A1856" w:rsidRPr="002A1856" w:rsidRDefault="002A1856" w:rsidP="00236324">
            <w:pPr>
              <w:rPr>
                <w:sz w:val="24"/>
                <w:szCs w:val="24"/>
                <w:lang w:eastAsia="el-GR"/>
              </w:rPr>
            </w:pPr>
          </w:p>
        </w:tc>
        <w:tc>
          <w:tcPr>
            <w:tcW w:w="828"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sz w:val="24"/>
                <w:szCs w:val="24"/>
                <w:lang w:val="da-DK" w:eastAsia="da-DK"/>
              </w:rPr>
            </w:pPr>
            <w:r w:rsidRPr="002A1856">
              <w:rPr>
                <w:rStyle w:val="FontStyle28"/>
                <w:sz w:val="24"/>
                <w:szCs w:val="24"/>
                <w:lang w:val="da-DK" w:eastAsia="da-DK"/>
              </w:rPr>
              <w:t>Dosisregime (mg)</w:t>
            </w:r>
          </w:p>
        </w:tc>
        <w:tc>
          <w:tcPr>
            <w:tcW w:w="833"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sz w:val="24"/>
                <w:szCs w:val="24"/>
                <w:lang w:val="da-DK" w:eastAsia="da-DK"/>
              </w:rPr>
            </w:pPr>
            <w:r w:rsidRPr="002A1856">
              <w:rPr>
                <w:rStyle w:val="FontStyle28"/>
                <w:sz w:val="24"/>
                <w:szCs w:val="24"/>
                <w:lang w:val="da-DK" w:eastAsia="da-DK"/>
              </w:rPr>
              <w:t>AUC-</w:t>
            </w:r>
            <w:r w:rsidRPr="002A1856">
              <w:rPr>
                <w:rStyle w:val="FontStyle28"/>
                <w:sz w:val="24"/>
                <w:szCs w:val="24"/>
              </w:rPr>
              <w:t>r</w:t>
            </w:r>
            <w:r w:rsidRPr="002A1856">
              <w:rPr>
                <w:rStyle w:val="FontStyle28"/>
                <w:sz w:val="24"/>
                <w:szCs w:val="24"/>
                <w:lang w:val="en-US"/>
              </w:rPr>
              <w:t>atio</w:t>
            </w:r>
            <w:r w:rsidRPr="002A1856">
              <w:rPr>
                <w:rStyle w:val="FontStyle28"/>
                <w:sz w:val="24"/>
                <w:szCs w:val="24"/>
                <w:vertAlign w:val="superscript"/>
                <w:lang w:val="da-DK" w:eastAsia="da-DK"/>
              </w:rPr>
              <w:t>&amp;</w:t>
            </w:r>
          </w:p>
        </w:tc>
        <w:tc>
          <w:tcPr>
            <w:tcW w:w="1542"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sz w:val="24"/>
                <w:szCs w:val="24"/>
                <w:lang w:val="da-DK" w:eastAsia="da-DK"/>
              </w:rPr>
            </w:pPr>
            <w:r w:rsidRPr="002A1856">
              <w:rPr>
                <w:rStyle w:val="FontStyle28"/>
                <w:sz w:val="24"/>
                <w:szCs w:val="24"/>
                <w:lang w:val="da-DK" w:eastAsia="da-DK"/>
              </w:rPr>
              <w:t>Klinisk rekommandation</w:t>
            </w:r>
            <w:r w:rsidRPr="002A1856">
              <w:rPr>
                <w:rStyle w:val="FontStyle28"/>
                <w:sz w:val="24"/>
                <w:szCs w:val="24"/>
                <w:vertAlign w:val="superscript"/>
                <w:lang w:val="da-DK" w:eastAsia="da-DK"/>
              </w:rPr>
              <w:t>#</w:t>
            </w:r>
          </w:p>
        </w:tc>
      </w:tr>
      <w:tr w:rsidR="002A1856" w:rsidRPr="002A1856" w:rsidTr="00236324">
        <w:trPr>
          <w:trHeight w:val="795"/>
        </w:trPr>
        <w:tc>
          <w:tcPr>
            <w:tcW w:w="1797" w:type="pct"/>
            <w:gridSpan w:val="2"/>
            <w:tcBorders>
              <w:top w:val="single" w:sz="8" w:space="0" w:color="000000"/>
              <w:left w:val="single" w:sz="8" w:space="0" w:color="000000"/>
              <w:bottom w:val="single" w:sz="8" w:space="0" w:color="000000"/>
              <w:right w:val="single" w:sz="8" w:space="0" w:color="000000"/>
            </w:tcBorders>
            <w:vAlign w:val="center"/>
            <w:hideMark/>
          </w:tcPr>
          <w:p w:rsidR="002A1856" w:rsidRPr="002A1856" w:rsidRDefault="002A1856" w:rsidP="00236324">
            <w:pPr>
              <w:ind w:left="57"/>
              <w:rPr>
                <w:sz w:val="24"/>
                <w:szCs w:val="24"/>
                <w:lang w:eastAsia="el-GR"/>
              </w:rPr>
            </w:pPr>
            <w:r w:rsidRPr="002A1856">
              <w:rPr>
                <w:sz w:val="24"/>
                <w:szCs w:val="24"/>
                <w:lang w:eastAsia="el-GR"/>
              </w:rPr>
              <w:t>Glecaprevir 400 mg 1 gang dagligt/ Pibrentasvir 120 mg 1 gang dagligt, 7 dage</w:t>
            </w:r>
          </w:p>
        </w:tc>
        <w:tc>
          <w:tcPr>
            <w:tcW w:w="828"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b w:val="0"/>
                <w:bCs w:val="0"/>
                <w:sz w:val="24"/>
                <w:szCs w:val="24"/>
                <w:lang w:val="da-DK" w:eastAsia="da-DK"/>
              </w:rPr>
            </w:pPr>
            <w:r w:rsidRPr="002A1856">
              <w:rPr>
                <w:rStyle w:val="FontStyle28"/>
                <w:b w:val="0"/>
                <w:bCs w:val="0"/>
                <w:sz w:val="24"/>
                <w:szCs w:val="24"/>
                <w:lang w:val="da-DK" w:eastAsia="da-DK"/>
              </w:rPr>
              <w:t>10 mg 1 gang dagligt i 7 dage</w:t>
            </w:r>
          </w:p>
        </w:tc>
        <w:tc>
          <w:tcPr>
            <w:tcW w:w="833"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b w:val="0"/>
                <w:bCs w:val="0"/>
                <w:sz w:val="24"/>
                <w:szCs w:val="24"/>
                <w:lang w:val="da-DK" w:eastAsia="da-DK"/>
              </w:rPr>
            </w:pPr>
            <w:r w:rsidRPr="002A1856">
              <w:rPr>
                <w:rStyle w:val="FontStyle28"/>
                <w:b w:val="0"/>
                <w:bCs w:val="0"/>
                <w:sz w:val="24"/>
                <w:szCs w:val="24"/>
                <w:lang w:val="da-DK" w:eastAsia="da-DK"/>
              </w:rPr>
              <w:t>8,3</w:t>
            </w:r>
          </w:p>
        </w:tc>
        <w:tc>
          <w:tcPr>
            <w:tcW w:w="1542"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b w:val="0"/>
                <w:bCs w:val="0"/>
                <w:sz w:val="24"/>
                <w:szCs w:val="24"/>
                <w:lang w:val="da-DK" w:eastAsia="da-DK"/>
              </w:rPr>
            </w:pPr>
            <w:r w:rsidRPr="002A1856">
              <w:rPr>
                <w:rStyle w:val="FontStyle28"/>
                <w:b w:val="0"/>
                <w:bCs w:val="0"/>
                <w:sz w:val="24"/>
                <w:szCs w:val="24"/>
                <w:lang w:val="da-DK" w:eastAsia="da-DK"/>
              </w:rPr>
              <w:t>Samtidig administration med produkter, der indeholder glecaprevir eller pibrentasvir er kontraindiceret (se pkt. 4.3).</w:t>
            </w:r>
          </w:p>
        </w:tc>
      </w:tr>
      <w:tr w:rsidR="002A1856" w:rsidRPr="002A1856" w:rsidTr="00236324">
        <w:trPr>
          <w:trHeight w:val="795"/>
        </w:trPr>
        <w:tc>
          <w:tcPr>
            <w:tcW w:w="1797" w:type="pct"/>
            <w:gridSpan w:val="2"/>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ind w:left="57"/>
              <w:rPr>
                <w:sz w:val="24"/>
                <w:szCs w:val="24"/>
                <w:lang w:eastAsia="el-GR"/>
              </w:rPr>
            </w:pPr>
            <w:r w:rsidRPr="002A1856">
              <w:rPr>
                <w:rStyle w:val="FontStyle27"/>
                <w:sz w:val="24"/>
                <w:szCs w:val="24"/>
                <w:lang w:eastAsia="da-DK"/>
              </w:rPr>
              <w:t>Tipranavir 500 mg x 2/ Ritonavir 200 mg x 2, 8 dage (dag 14 til 21)</w:t>
            </w:r>
          </w:p>
        </w:tc>
        <w:tc>
          <w:tcPr>
            <w:tcW w:w="828"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b w:val="0"/>
                <w:sz w:val="24"/>
                <w:szCs w:val="24"/>
                <w:lang w:val="da-DK" w:eastAsia="da-DK"/>
              </w:rPr>
            </w:pPr>
            <w:r w:rsidRPr="002A1856">
              <w:rPr>
                <w:rStyle w:val="FontStyle27"/>
                <w:sz w:val="24"/>
                <w:szCs w:val="24"/>
                <w:lang w:val="da-DK" w:eastAsia="da-DK"/>
              </w:rPr>
              <w:t>40 mg på dag 1, 10 mg på dag 20</w:t>
            </w:r>
          </w:p>
        </w:tc>
        <w:tc>
          <w:tcPr>
            <w:tcW w:w="833"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18"/>
              <w:widowControl/>
              <w:spacing w:line="240" w:lineRule="auto"/>
              <w:ind w:left="57"/>
              <w:rPr>
                <w:rStyle w:val="FontStyle28"/>
                <w:b w:val="0"/>
                <w:sz w:val="24"/>
                <w:szCs w:val="24"/>
                <w:lang w:val="da-DK" w:eastAsia="da-DK"/>
              </w:rPr>
            </w:pPr>
            <w:r w:rsidRPr="002A1856">
              <w:t xml:space="preserve">9,4 </w:t>
            </w:r>
          </w:p>
        </w:tc>
        <w:tc>
          <w:tcPr>
            <w:tcW w:w="1542" w:type="pct"/>
            <w:tcBorders>
              <w:top w:val="single" w:sz="8" w:space="0" w:color="000000"/>
              <w:left w:val="single" w:sz="8" w:space="0" w:color="000000"/>
              <w:bottom w:val="nil"/>
              <w:right w:val="single" w:sz="8" w:space="0" w:color="000000"/>
            </w:tcBorders>
            <w:hideMark/>
          </w:tcPr>
          <w:p w:rsidR="002A1856" w:rsidRPr="002A1856" w:rsidRDefault="002A1856" w:rsidP="00236324">
            <w:pPr>
              <w:pStyle w:val="Style18"/>
              <w:widowControl/>
              <w:spacing w:line="240" w:lineRule="auto"/>
              <w:ind w:left="57"/>
              <w:rPr>
                <w:rStyle w:val="FontStyle28"/>
                <w:sz w:val="24"/>
                <w:szCs w:val="24"/>
                <w:lang w:val="da-DK" w:eastAsia="da-DK"/>
              </w:rPr>
            </w:pPr>
            <w:r w:rsidRPr="002A1856">
              <w:rPr>
                <w:rStyle w:val="FontStyle27"/>
                <w:sz w:val="24"/>
                <w:szCs w:val="24"/>
                <w:lang w:val="da-DK" w:eastAsia="da-DK"/>
              </w:rPr>
              <w:t>Hvis samtidig behandling med atorvastatin er nødvendig, må atorvastatindosis ikke overskride 10 mg/dag. Klinisk monitorering anbefales.</w:t>
            </w:r>
          </w:p>
        </w:tc>
      </w:tr>
      <w:tr w:rsidR="002A1856" w:rsidRPr="002A1856" w:rsidTr="00236324">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ind w:left="57"/>
              <w:rPr>
                <w:rStyle w:val="FontStyle27"/>
                <w:sz w:val="24"/>
                <w:szCs w:val="24"/>
                <w:lang w:eastAsia="da-DK"/>
              </w:rPr>
            </w:pPr>
            <w:r w:rsidRPr="002A1856">
              <w:rPr>
                <w:rStyle w:val="FontStyle27"/>
                <w:sz w:val="24"/>
                <w:szCs w:val="24"/>
                <w:lang w:eastAsia="da-DK"/>
              </w:rPr>
              <w:t>Telaprevir 750 mg hver 8. time, 10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r w:rsidRPr="002A1856">
              <w:rPr>
                <w:rStyle w:val="FontStyle27"/>
                <w:sz w:val="24"/>
                <w:szCs w:val="24"/>
                <w:lang w:val="da-DK" w:eastAsia="da-DK"/>
              </w:rPr>
              <w:t>20 mg enkeltdosis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pPr>
            <w:r w:rsidRPr="002A1856">
              <w:rPr>
                <w:lang w:val="da-DK"/>
              </w:rPr>
              <w:t>7,9</w:t>
            </w:r>
            <w:r w:rsidRPr="002A1856">
              <w:t xml:space="preserve"> </w:t>
            </w:r>
          </w:p>
        </w:tc>
        <w:tc>
          <w:tcPr>
            <w:tcW w:w="1542" w:type="pct"/>
            <w:tcBorders>
              <w:top w:val="nil"/>
              <w:left w:val="single" w:sz="8" w:space="0" w:color="000000"/>
              <w:bottom w:val="nil"/>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p>
        </w:tc>
      </w:tr>
      <w:tr w:rsidR="002A1856" w:rsidRPr="002A1856" w:rsidTr="00236324">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ind w:left="57"/>
              <w:rPr>
                <w:rStyle w:val="FontStyle27"/>
                <w:sz w:val="24"/>
                <w:szCs w:val="24"/>
                <w:lang w:eastAsia="da-DK"/>
              </w:rPr>
            </w:pPr>
            <w:r w:rsidRPr="002A1856">
              <w:rPr>
                <w:rStyle w:val="FontStyle27"/>
                <w:sz w:val="24"/>
                <w:szCs w:val="24"/>
                <w:lang w:eastAsia="da-DK"/>
              </w:rPr>
              <w:t>Ciclosporin 5,2 mg/kg/dag, stabil dosering</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r w:rsidRPr="002A1856">
              <w:rPr>
                <w:rStyle w:val="FontStyle27"/>
                <w:sz w:val="24"/>
                <w:szCs w:val="24"/>
                <w:lang w:val="da-DK" w:eastAsia="da-DK"/>
              </w:rPr>
              <w:t>10 mg x 1 i 28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lang w:val="da-DK"/>
              </w:rPr>
            </w:pPr>
            <w:r w:rsidRPr="002A1856">
              <w:t>8,7</w:t>
            </w:r>
          </w:p>
        </w:tc>
        <w:tc>
          <w:tcPr>
            <w:tcW w:w="1542" w:type="pct"/>
            <w:tcBorders>
              <w:top w:val="nil"/>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p>
        </w:tc>
      </w:tr>
      <w:tr w:rsidR="002A1856" w:rsidRPr="002A1856" w:rsidTr="00236324">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ind w:left="57"/>
              <w:rPr>
                <w:rStyle w:val="FontStyle27"/>
                <w:sz w:val="24"/>
                <w:szCs w:val="24"/>
                <w:lang w:val="en-US" w:eastAsia="da-DK"/>
              </w:rPr>
            </w:pPr>
            <w:r w:rsidRPr="002A1856">
              <w:rPr>
                <w:rStyle w:val="FontStyle27"/>
                <w:sz w:val="24"/>
                <w:szCs w:val="24"/>
                <w:lang w:val="en-US" w:eastAsia="da-DK"/>
              </w:rPr>
              <w:t xml:space="preserve">Lopinavir 400 mg x </w:t>
            </w:r>
            <w:r w:rsidRPr="002A1856">
              <w:rPr>
                <w:rStyle w:val="FontStyle27"/>
                <w:sz w:val="24"/>
                <w:szCs w:val="24"/>
                <w:lang w:val="en-GB" w:eastAsia="da-DK"/>
              </w:rPr>
              <w:t>2/ Ritonavir 100 mg x 2, 14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r w:rsidRPr="002A1856">
              <w:rPr>
                <w:rStyle w:val="FontStyle27"/>
                <w:sz w:val="24"/>
                <w:szCs w:val="24"/>
                <w:lang w:val="da-DK" w:eastAsia="da-DK"/>
              </w:rPr>
              <w:t>20 mg x 1 i 4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pPr>
            <w:r w:rsidRPr="002A1856">
              <w:rPr>
                <w:lang w:val="en-US"/>
              </w:rPr>
              <w:t>5,9</w:t>
            </w:r>
          </w:p>
        </w:tc>
        <w:tc>
          <w:tcPr>
            <w:tcW w:w="1542" w:type="pct"/>
            <w:tcBorders>
              <w:top w:val="single" w:sz="8" w:space="0" w:color="000000"/>
              <w:left w:val="single" w:sz="8" w:space="0" w:color="000000"/>
              <w:bottom w:val="nil"/>
              <w:right w:val="single" w:sz="8" w:space="0" w:color="000000"/>
            </w:tcBorders>
          </w:tcPr>
          <w:p w:rsidR="002A1856" w:rsidRPr="002A1856" w:rsidRDefault="002A1856" w:rsidP="00236324">
            <w:pPr>
              <w:pStyle w:val="Style18"/>
              <w:widowControl/>
              <w:spacing w:line="240" w:lineRule="auto"/>
              <w:ind w:left="57"/>
              <w:rPr>
                <w:rStyle w:val="FontStyle27"/>
                <w:sz w:val="24"/>
                <w:szCs w:val="24"/>
                <w:lang w:eastAsia="da-DK"/>
              </w:rPr>
            </w:pPr>
            <w:r w:rsidRPr="002A1856">
              <w:rPr>
                <w:color w:val="000000"/>
              </w:rPr>
              <w:t>Hvis samtidig behandling med atorvastatin er nødvendig, anbefales en lavere vedligeholdelsesdosis af atorvastatin. Ved atorvastatindoser over 20 mg anbefales klinisk monitorering.</w:t>
            </w:r>
          </w:p>
        </w:tc>
      </w:tr>
      <w:tr w:rsidR="002A1856" w:rsidRPr="002A1856" w:rsidTr="00236324">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ind w:left="57"/>
              <w:rPr>
                <w:rStyle w:val="FontStyle27"/>
                <w:sz w:val="24"/>
                <w:szCs w:val="24"/>
                <w:lang w:val="en-US" w:eastAsia="da-DK"/>
              </w:rPr>
            </w:pPr>
            <w:r w:rsidRPr="002A1856">
              <w:rPr>
                <w:color w:val="000000"/>
                <w:sz w:val="24"/>
                <w:szCs w:val="24"/>
              </w:rPr>
              <w:t>Clarithromycin 500 mg x 2, 9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r w:rsidRPr="002A1856">
              <w:rPr>
                <w:color w:val="000000"/>
              </w:rPr>
              <w:t>80 mg x 1 i 8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lang w:val="en-US"/>
              </w:rPr>
            </w:pPr>
            <w:r w:rsidRPr="002A1856">
              <w:rPr>
                <w:color w:val="000000"/>
                <w:lang w:bidi="te-IN"/>
              </w:rPr>
              <w:t>4,5</w:t>
            </w:r>
          </w:p>
        </w:tc>
        <w:tc>
          <w:tcPr>
            <w:tcW w:w="1542" w:type="pct"/>
            <w:tcBorders>
              <w:top w:val="nil"/>
              <w:left w:val="single" w:sz="8" w:space="0" w:color="000000"/>
              <w:bottom w:val="single" w:sz="8" w:space="0" w:color="000000"/>
              <w:right w:val="single" w:sz="8" w:space="0" w:color="000000"/>
            </w:tcBorders>
          </w:tcPr>
          <w:p w:rsidR="002A1856" w:rsidRPr="002A1856" w:rsidRDefault="002A1856" w:rsidP="00236324">
            <w:pPr>
              <w:pStyle w:val="Style18"/>
              <w:widowControl/>
              <w:spacing w:line="240" w:lineRule="auto"/>
              <w:ind w:left="57"/>
              <w:rPr>
                <w:rStyle w:val="FontStyle27"/>
                <w:sz w:val="24"/>
                <w:szCs w:val="24"/>
                <w:lang w:val="da-DK" w:eastAsia="da-DK"/>
              </w:rPr>
            </w:pPr>
          </w:p>
        </w:tc>
      </w:tr>
      <w:tr w:rsidR="002A1856" w:rsidRPr="002A1856" w:rsidTr="00236324">
        <w:trPr>
          <w:trHeight w:val="1278"/>
        </w:trPr>
        <w:tc>
          <w:tcPr>
            <w:tcW w:w="1797" w:type="pct"/>
            <w:gridSpan w:val="2"/>
            <w:tcBorders>
              <w:top w:val="single" w:sz="4" w:space="0" w:color="auto"/>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Saquinavir 400 mg x 2/ Ritonavir (300 mg x 2 fra dag 5-7, øget til 400 mg x 2 på dag 8), dag 4-18, 30 minutter efter atorvastatindosis</w:t>
            </w:r>
            <w:r w:rsidRPr="002A1856" w:rsidDel="00DC585B">
              <w:rPr>
                <w:rStyle w:val="FontStyle27"/>
                <w:sz w:val="24"/>
                <w:szCs w:val="24"/>
                <w:lang w:val="da-DK" w:eastAsia="da-DK"/>
              </w:rPr>
              <w:t xml:space="preserve"> </w:t>
            </w:r>
          </w:p>
        </w:tc>
        <w:tc>
          <w:tcPr>
            <w:tcW w:w="828" w:type="pct"/>
            <w:tcBorders>
              <w:top w:val="single" w:sz="4" w:space="0" w:color="auto"/>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40 mg x 1 i 4 dage</w:t>
            </w:r>
            <w:r w:rsidRPr="002A1856" w:rsidDel="00DC585B">
              <w:rPr>
                <w:rStyle w:val="FontStyle27"/>
                <w:sz w:val="24"/>
                <w:szCs w:val="24"/>
                <w:lang w:val="da-DK" w:eastAsia="da-DK"/>
              </w:rPr>
              <w:t xml:space="preserve"> </w:t>
            </w:r>
          </w:p>
        </w:tc>
        <w:tc>
          <w:tcPr>
            <w:tcW w:w="833" w:type="pct"/>
            <w:tcBorders>
              <w:top w:val="single" w:sz="4" w:space="0" w:color="auto"/>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lang w:val="en-US"/>
              </w:rPr>
            </w:pPr>
            <w:r w:rsidRPr="002A1856">
              <w:rPr>
                <w:color w:val="auto"/>
              </w:rPr>
              <w:t>3,9</w:t>
            </w:r>
          </w:p>
        </w:tc>
        <w:tc>
          <w:tcPr>
            <w:tcW w:w="1542" w:type="pct"/>
            <w:vMerge w:val="restart"/>
            <w:tcBorders>
              <w:top w:val="single" w:sz="4" w:space="0" w:color="auto"/>
              <w:left w:val="single" w:sz="8" w:space="0" w:color="000000"/>
              <w:bottom w:val="nil"/>
              <w:right w:val="single" w:sz="8" w:space="0" w:color="000000"/>
            </w:tcBorders>
            <w:vAlign w:val="center"/>
          </w:tcPr>
          <w:p w:rsidR="002A1856" w:rsidRPr="002A1856" w:rsidRDefault="002A1856" w:rsidP="00236324">
            <w:pPr>
              <w:rPr>
                <w:color w:val="000000"/>
                <w:sz w:val="24"/>
                <w:szCs w:val="24"/>
                <w:lang w:val="en-US" w:eastAsia="da-DK"/>
              </w:rPr>
            </w:pPr>
            <w:r w:rsidRPr="002A1856">
              <w:rPr>
                <w:color w:val="000000"/>
                <w:sz w:val="24"/>
                <w:szCs w:val="24"/>
              </w:rPr>
              <w:t xml:space="preserve">Hvis samtidig behandling med atorvastatin er nødvendig, anbefales en lavere vedligeholdelsesdosis af atorvastatin. </w:t>
            </w:r>
            <w:r w:rsidRPr="002A1856">
              <w:rPr>
                <w:color w:val="000000"/>
                <w:sz w:val="24"/>
                <w:szCs w:val="24"/>
                <w:lang w:val="en-US"/>
              </w:rPr>
              <w:t>Ved atorvastatindoser over 40 mg anbefales klinisk monitorering.</w:t>
            </w:r>
          </w:p>
          <w:p w:rsidR="002A1856" w:rsidRPr="002A1856" w:rsidDel="00BA38F1" w:rsidRDefault="002A1856" w:rsidP="00236324">
            <w:pPr>
              <w:pStyle w:val="Style20"/>
              <w:widowControl/>
              <w:spacing w:line="240" w:lineRule="auto"/>
              <w:rPr>
                <w:rStyle w:val="FontStyle27"/>
                <w:sz w:val="24"/>
                <w:szCs w:val="24"/>
                <w:lang w:val="en-US" w:eastAsia="da-DK"/>
              </w:rPr>
            </w:pPr>
          </w:p>
        </w:tc>
      </w:tr>
      <w:tr w:rsidR="002A1856" w:rsidRPr="002A1856" w:rsidTr="00236324">
        <w:trPr>
          <w:trHeight w:val="1278"/>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Darunavir 300 mg x 2/ Ritonavir 100 mg x 2, 9 dage</w:t>
            </w:r>
            <w:r w:rsidRPr="002A1856" w:rsidDel="00DC585B">
              <w:rPr>
                <w:rStyle w:val="FontStyle27"/>
                <w:sz w:val="24"/>
                <w:szCs w:val="24"/>
                <w:lang w:val="da-DK" w:eastAsia="da-DK"/>
              </w:rPr>
              <w:t xml:space="preserve"> </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10 mg x 1 i 4 dage</w:t>
            </w:r>
            <w:r w:rsidRPr="002A1856" w:rsidDel="00DC585B">
              <w:rPr>
                <w:rStyle w:val="FontStyle27"/>
                <w:sz w:val="24"/>
                <w:szCs w:val="24"/>
                <w:lang w:val="da-DK" w:eastAsia="da-DK"/>
              </w:rPr>
              <w:t xml:space="preserve"> </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rPr>
            </w:pPr>
            <w:r w:rsidRPr="002A1856">
              <w:rPr>
                <w:color w:val="auto"/>
              </w:rPr>
              <w:t>3,</w:t>
            </w:r>
            <w:r w:rsidRPr="002A1856">
              <w:rPr>
                <w:color w:val="auto"/>
                <w:lang w:val="en-US"/>
              </w:rPr>
              <w:t>4</w:t>
            </w:r>
          </w:p>
        </w:tc>
        <w:tc>
          <w:tcPr>
            <w:tcW w:w="1542" w:type="pct"/>
            <w:vMerge/>
            <w:tcBorders>
              <w:top w:val="single" w:sz="4" w:space="0" w:color="auto"/>
              <w:left w:val="single" w:sz="8" w:space="0" w:color="000000"/>
              <w:bottom w:val="nil"/>
              <w:right w:val="single" w:sz="8" w:space="0" w:color="000000"/>
            </w:tcBorders>
            <w:vAlign w:val="center"/>
            <w:hideMark/>
          </w:tcPr>
          <w:p w:rsidR="002A1856" w:rsidRPr="002A1856" w:rsidRDefault="002A1856" w:rsidP="00236324">
            <w:pPr>
              <w:rPr>
                <w:rStyle w:val="FontStyle27"/>
                <w:sz w:val="24"/>
                <w:szCs w:val="24"/>
              </w:rPr>
            </w:pPr>
          </w:p>
        </w:tc>
      </w:tr>
      <w:tr w:rsidR="002A1856" w:rsidRPr="002A1856" w:rsidTr="00236324">
        <w:trPr>
          <w:trHeight w:val="762"/>
        </w:trPr>
        <w:tc>
          <w:tcPr>
            <w:tcW w:w="1797" w:type="pct"/>
            <w:gridSpan w:val="2"/>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Itraconazol 200 mg x 1, 4 dage</w:t>
            </w:r>
          </w:p>
        </w:tc>
        <w:tc>
          <w:tcPr>
            <w:tcW w:w="828"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40 mg enkeltdosis</w:t>
            </w:r>
          </w:p>
        </w:tc>
        <w:tc>
          <w:tcPr>
            <w:tcW w:w="833"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Default"/>
              <w:ind w:left="57"/>
              <w:rPr>
                <w:color w:val="auto"/>
              </w:rPr>
            </w:pPr>
            <w:r w:rsidRPr="002A1856">
              <w:rPr>
                <w:color w:val="auto"/>
                <w:lang w:val="en-US"/>
              </w:rPr>
              <w:t>3,3</w:t>
            </w:r>
          </w:p>
        </w:tc>
        <w:tc>
          <w:tcPr>
            <w:tcW w:w="1542" w:type="pct"/>
            <w:vMerge/>
            <w:tcBorders>
              <w:top w:val="single" w:sz="8" w:space="0" w:color="000000"/>
              <w:left w:val="single" w:sz="8" w:space="0" w:color="000000"/>
              <w:bottom w:val="nil"/>
              <w:right w:val="single" w:sz="8" w:space="0" w:color="000000"/>
            </w:tcBorders>
            <w:hideMark/>
          </w:tcPr>
          <w:p w:rsidR="002A1856" w:rsidRPr="002A1856" w:rsidRDefault="002A1856" w:rsidP="00236324">
            <w:pPr>
              <w:rPr>
                <w:rStyle w:val="FontStyle27"/>
                <w:sz w:val="24"/>
                <w:szCs w:val="24"/>
              </w:rPr>
            </w:pPr>
          </w:p>
        </w:tc>
      </w:tr>
      <w:tr w:rsidR="002A1856" w:rsidRPr="002A1856" w:rsidTr="00236324">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lastRenderedPageBreak/>
              <w:t>Fosamprenavir 700 mg x 2/ Ritonavir 100 mg x 2, 14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10 mg x 1 i 4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lang w:val="en-US"/>
              </w:rPr>
            </w:pPr>
            <w:r w:rsidRPr="002A1856">
              <w:rPr>
                <w:color w:val="auto"/>
              </w:rPr>
              <w:t>2,5</w:t>
            </w:r>
          </w:p>
        </w:tc>
        <w:tc>
          <w:tcPr>
            <w:tcW w:w="1542" w:type="pct"/>
            <w:tcBorders>
              <w:top w:val="nil"/>
              <w:left w:val="single" w:sz="8" w:space="0" w:color="000000"/>
              <w:bottom w:val="nil"/>
              <w:right w:val="single" w:sz="8" w:space="0" w:color="000000"/>
            </w:tcBorders>
          </w:tcPr>
          <w:p w:rsidR="002A1856" w:rsidRPr="002A1856" w:rsidRDefault="002A1856" w:rsidP="00236324">
            <w:pPr>
              <w:rPr>
                <w:rStyle w:val="FontStyle27"/>
                <w:sz w:val="24"/>
                <w:szCs w:val="24"/>
              </w:rPr>
            </w:pPr>
          </w:p>
        </w:tc>
      </w:tr>
      <w:tr w:rsidR="002A1856" w:rsidRPr="002A1856" w:rsidTr="00236324">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Fosamprenavir 1.400 mg x 2, 14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10 mg x 1 i 4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lang w:val="en-US"/>
              </w:rPr>
            </w:pPr>
            <w:r w:rsidRPr="002A1856">
              <w:rPr>
                <w:color w:val="auto"/>
              </w:rPr>
              <w:t>2,3</w:t>
            </w:r>
          </w:p>
        </w:tc>
        <w:tc>
          <w:tcPr>
            <w:tcW w:w="1542" w:type="pct"/>
            <w:tcBorders>
              <w:top w:val="nil"/>
              <w:left w:val="single" w:sz="8" w:space="0" w:color="000000"/>
              <w:bottom w:val="single" w:sz="4" w:space="0" w:color="auto"/>
              <w:right w:val="single" w:sz="8" w:space="0" w:color="000000"/>
            </w:tcBorders>
          </w:tcPr>
          <w:p w:rsidR="002A1856" w:rsidRPr="002A1856" w:rsidRDefault="002A1856" w:rsidP="00236324">
            <w:pPr>
              <w:rPr>
                <w:rStyle w:val="FontStyle27"/>
                <w:sz w:val="24"/>
                <w:szCs w:val="24"/>
              </w:rPr>
            </w:pPr>
          </w:p>
        </w:tc>
      </w:tr>
      <w:tr w:rsidR="002A1856" w:rsidRPr="002A1856" w:rsidTr="00236324">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bCs/>
                <w:color w:val="000000"/>
              </w:rPr>
              <w:t>Elbasvir 50 mg x 1 / Grazoprevir 200 mg x 1, 13 </w:t>
            </w:r>
            <w:r w:rsidRPr="002A1856">
              <w:rPr>
                <w:bCs/>
                <w:color w:val="000000"/>
                <w:lang w:val="da-DK"/>
              </w:rPr>
              <w:t>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color w:val="000000"/>
              </w:rPr>
              <w:t>10 mg enkeltdosis</w:t>
            </w:r>
            <w:r w:rsidRPr="002A1856" w:rsidDel="00DC585B">
              <w:rPr>
                <w:rStyle w:val="FontStyle27"/>
                <w:sz w:val="24"/>
                <w:szCs w:val="24"/>
                <w:lang w:val="da-DK" w:eastAsia="da-DK"/>
              </w:rPr>
              <w:t xml:space="preserve"> </w:t>
            </w:r>
          </w:p>
        </w:tc>
        <w:tc>
          <w:tcPr>
            <w:tcW w:w="833" w:type="pct"/>
            <w:tcBorders>
              <w:top w:val="single" w:sz="8" w:space="0" w:color="000000"/>
              <w:left w:val="single" w:sz="8" w:space="0" w:color="000000"/>
              <w:bottom w:val="single" w:sz="4" w:space="0" w:color="auto"/>
              <w:right w:val="single" w:sz="8" w:space="0" w:color="000000"/>
            </w:tcBorders>
          </w:tcPr>
          <w:p w:rsidR="002A1856" w:rsidRPr="002A1856" w:rsidRDefault="002A1856" w:rsidP="00236324">
            <w:pPr>
              <w:pStyle w:val="Default"/>
              <w:ind w:left="57"/>
              <w:rPr>
                <w:color w:val="auto"/>
              </w:rPr>
            </w:pPr>
            <w:r w:rsidRPr="002A1856">
              <w:rPr>
                <w:color w:val="auto"/>
                <w:lang w:val="en-US"/>
              </w:rPr>
              <w:t>1,95</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rStyle w:val="FontStyle27"/>
                <w:sz w:val="24"/>
                <w:szCs w:val="24"/>
              </w:rPr>
            </w:pPr>
            <w:r w:rsidRPr="002A1856">
              <w:rPr>
                <w:bCs/>
                <w:sz w:val="24"/>
                <w:szCs w:val="24"/>
              </w:rPr>
              <w:t>Daglig atorvastatindosis må ikke overstige 20 mg, når det administreres sammen med produkter, der indeholder elbasvir eller grazoprevir.</w:t>
            </w:r>
          </w:p>
        </w:tc>
      </w:tr>
      <w:tr w:rsidR="002A1856" w:rsidRPr="002A1856" w:rsidTr="00236324">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bCs/>
                <w:color w:val="000000"/>
              </w:rPr>
            </w:pPr>
            <w:r w:rsidRPr="002A1856">
              <w:rPr>
                <w:bCs/>
                <w:color w:val="000000"/>
              </w:rPr>
              <w:t>Letermovir 480 mg x 1, 10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color w:val="000000"/>
              </w:rPr>
            </w:pPr>
            <w:r w:rsidRPr="002A1856">
              <w:rPr>
                <w:color w:val="000000"/>
                <w:lang w:val="da-DK"/>
              </w:rPr>
              <w:t>20 mg enkeltdosis</w:t>
            </w:r>
          </w:p>
        </w:tc>
        <w:tc>
          <w:tcPr>
            <w:tcW w:w="833" w:type="pct"/>
            <w:tcBorders>
              <w:top w:val="single" w:sz="8" w:space="0" w:color="000000"/>
              <w:left w:val="single" w:sz="8" w:space="0" w:color="000000"/>
              <w:bottom w:val="single" w:sz="4" w:space="0" w:color="auto"/>
              <w:right w:val="single" w:sz="8" w:space="0" w:color="000000"/>
            </w:tcBorders>
          </w:tcPr>
          <w:p w:rsidR="002A1856" w:rsidRPr="002A1856" w:rsidRDefault="002A1856" w:rsidP="00236324">
            <w:pPr>
              <w:pStyle w:val="Default"/>
              <w:ind w:left="57"/>
              <w:rPr>
                <w:color w:val="auto"/>
                <w:lang w:val="en-US"/>
              </w:rPr>
            </w:pPr>
            <w:r w:rsidRPr="002A1856">
              <w:rPr>
                <w:lang w:bidi="te-IN"/>
              </w:rPr>
              <w:t>3,29</w:t>
            </w:r>
          </w:p>
        </w:tc>
        <w:tc>
          <w:tcPr>
            <w:tcW w:w="1542" w:type="pct"/>
            <w:tcBorders>
              <w:top w:val="nil"/>
              <w:left w:val="single" w:sz="8" w:space="0" w:color="000000"/>
              <w:bottom w:val="single" w:sz="4" w:space="0" w:color="auto"/>
              <w:right w:val="single" w:sz="8" w:space="0" w:color="000000"/>
            </w:tcBorders>
          </w:tcPr>
          <w:p w:rsidR="002A1856" w:rsidRPr="002A1856" w:rsidRDefault="002A1856" w:rsidP="00236324">
            <w:pPr>
              <w:rPr>
                <w:rStyle w:val="FontStyle27"/>
                <w:sz w:val="24"/>
                <w:szCs w:val="24"/>
              </w:rPr>
            </w:pPr>
            <w:r w:rsidRPr="002A1856">
              <w:rPr>
                <w:bCs/>
                <w:sz w:val="24"/>
                <w:szCs w:val="24"/>
              </w:rPr>
              <w:t>Daglig atorvastatindosis må ikke overstige 20 mg, når det administreres sammen med produkter, der indeholder letermovir.</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en-GB" w:eastAsia="da-DK"/>
              </w:rPr>
            </w:pPr>
            <w:r w:rsidRPr="002A1856">
              <w:rPr>
                <w:rStyle w:val="FontStyle27"/>
                <w:sz w:val="24"/>
                <w:szCs w:val="24"/>
                <w:lang w:val="da-DK" w:eastAsia="da-DK"/>
              </w:rPr>
              <w:t>Nelfinavir 1.250 mg x 2, 14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10 mg x 1 i 28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rPr>
            </w:pPr>
            <w:r w:rsidRPr="002A1856">
              <w:rPr>
                <w:color w:val="auto"/>
              </w:rPr>
              <w:t>1,7</w:t>
            </w:r>
            <w:r w:rsidRPr="002A1856">
              <w:rPr>
                <w:color w:val="auto"/>
                <w:lang w:val="en-US"/>
              </w:rPr>
              <w:t>4</w:t>
            </w:r>
          </w:p>
        </w:tc>
        <w:tc>
          <w:tcPr>
            <w:tcW w:w="1542" w:type="pct"/>
            <w:tcBorders>
              <w:top w:val="single" w:sz="4" w:space="0" w:color="auto"/>
              <w:left w:val="single" w:sz="8" w:space="0" w:color="000000"/>
              <w:bottom w:val="single" w:sz="4" w:space="0" w:color="auto"/>
              <w:right w:val="single" w:sz="8" w:space="0" w:color="000000"/>
            </w:tcBorders>
            <w:vAlign w:val="center"/>
            <w:hideMark/>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color w:val="000000"/>
              </w:rPr>
              <w:t>Ingen særlig rekommandation.</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bCs/>
                <w:color w:val="000000"/>
              </w:rPr>
            </w:pPr>
            <w:r w:rsidRPr="002A1856">
              <w:rPr>
                <w:rStyle w:val="FontStyle27"/>
                <w:sz w:val="24"/>
                <w:szCs w:val="24"/>
                <w:lang w:val="da-DK" w:eastAsia="da-DK"/>
              </w:rPr>
              <w:t>Grapefrugtjuice, 240 ml x 1*</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color w:val="000000"/>
              </w:rPr>
            </w:pPr>
            <w:r w:rsidRPr="002A1856">
              <w:rPr>
                <w:rStyle w:val="FontStyle27"/>
                <w:sz w:val="24"/>
                <w:szCs w:val="24"/>
                <w:lang w:val="da-DK" w:eastAsia="da-DK"/>
              </w:rPr>
              <w:t>40 mg enkeltdosis</w:t>
            </w:r>
            <w:r w:rsidRPr="002A1856" w:rsidDel="00DC585B">
              <w:rPr>
                <w:rStyle w:val="FontStyle27"/>
                <w:sz w:val="24"/>
                <w:szCs w:val="24"/>
                <w:lang w:val="da-DK" w:eastAsia="da-DK"/>
              </w:rPr>
              <w:t xml:space="preserve"> </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lang w:val="en-US"/>
              </w:rPr>
            </w:pPr>
            <w:r w:rsidRPr="002A1856">
              <w:rPr>
                <w:color w:val="auto"/>
                <w:lang w:val="en-US"/>
              </w:rPr>
              <w:t>1,</w:t>
            </w:r>
            <w:r w:rsidRPr="002A1856">
              <w:rPr>
                <w:color w:val="auto"/>
              </w:rPr>
              <w:t xml:space="preserve">37 </w:t>
            </w:r>
          </w:p>
        </w:tc>
        <w:tc>
          <w:tcPr>
            <w:tcW w:w="1542" w:type="pct"/>
            <w:tcBorders>
              <w:top w:val="single" w:sz="4" w:space="0" w:color="auto"/>
              <w:left w:val="single" w:sz="8" w:space="0" w:color="000000"/>
              <w:bottom w:val="single" w:sz="4" w:space="0" w:color="auto"/>
              <w:right w:val="single" w:sz="8" w:space="0" w:color="000000"/>
            </w:tcBorders>
            <w:vAlign w:val="center"/>
          </w:tcPr>
          <w:p w:rsidR="002A1856" w:rsidRPr="002A1856" w:rsidRDefault="002A1856" w:rsidP="00236324">
            <w:pPr>
              <w:pStyle w:val="Style20"/>
              <w:widowControl/>
              <w:spacing w:line="240" w:lineRule="auto"/>
              <w:ind w:left="57"/>
              <w:rPr>
                <w:bCs/>
              </w:rPr>
            </w:pPr>
            <w:r w:rsidRPr="002A1856">
              <w:t>Samtidig indtagelse af store mængder grapefrugtjuice og atorvastatin kan ikke anbefales.</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Del="00DC585B"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Diltiazem 240 mg x 1, 28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Del="00DC585B"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40 mg enkeltdosis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Del="00DC585B" w:rsidRDefault="002A1856" w:rsidP="00236324">
            <w:pPr>
              <w:pStyle w:val="Default"/>
              <w:ind w:left="57"/>
              <w:rPr>
                <w:color w:val="auto"/>
              </w:rPr>
            </w:pPr>
            <w:r w:rsidRPr="002A1856">
              <w:rPr>
                <w:color w:val="auto"/>
                <w:lang w:val="en-US"/>
              </w:rPr>
              <w:t>1,</w:t>
            </w:r>
            <w:r w:rsidRPr="002A1856">
              <w:rPr>
                <w:color w:val="auto"/>
              </w:rPr>
              <w:t>51</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rStyle w:val="FontStyle27"/>
                <w:sz w:val="24"/>
                <w:szCs w:val="24"/>
              </w:rPr>
            </w:pPr>
            <w:r w:rsidRPr="002A1856">
              <w:rPr>
                <w:sz w:val="24"/>
                <w:szCs w:val="24"/>
              </w:rPr>
              <w:t>Efter initiering af behandling eller efter dosisjustering af diltiazem anbefales passende klinisk monitorering.</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t>Erythromycin 500 mg x 4, 7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t xml:space="preserve">10 mg </w:t>
            </w:r>
            <w:r w:rsidRPr="002A1856">
              <w:rPr>
                <w:color w:val="000000"/>
              </w:rPr>
              <w:t xml:space="preserve"> enkeltdosis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rPr>
            </w:pPr>
            <w:r w:rsidRPr="002A1856">
              <w:rPr>
                <w:lang w:bidi="te-IN"/>
              </w:rPr>
              <w:t>1,33</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color w:val="000000"/>
                <w:sz w:val="24"/>
                <w:szCs w:val="24"/>
              </w:rPr>
            </w:pPr>
            <w:r w:rsidRPr="002A1856">
              <w:rPr>
                <w:sz w:val="24"/>
                <w:szCs w:val="24"/>
              </w:rPr>
              <w:t>Nedsat maksimaldosis samt klinisk monitorering anbefales.</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Amlodipin 10 mg enkeltdosis</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t xml:space="preserve">80 mg </w:t>
            </w:r>
            <w:r w:rsidRPr="002A1856">
              <w:rPr>
                <w:color w:val="000000"/>
              </w:rPr>
              <w:t xml:space="preserve"> enkeltdosis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lang w:val="en-US"/>
              </w:rPr>
            </w:pPr>
            <w:r w:rsidRPr="002A1856">
              <w:rPr>
                <w:lang w:val="en-US" w:bidi="te-IN"/>
              </w:rPr>
              <w:t>1,18</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sz w:val="24"/>
                <w:szCs w:val="24"/>
              </w:rPr>
            </w:pPr>
            <w:r w:rsidRPr="002A1856">
              <w:rPr>
                <w:color w:val="000000"/>
                <w:sz w:val="24"/>
                <w:szCs w:val="24"/>
              </w:rPr>
              <w:t>Ingen særlig rekommandation.</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sidDel="00DC585B">
              <w:rPr>
                <w:rStyle w:val="FontStyle27"/>
                <w:sz w:val="24"/>
                <w:szCs w:val="24"/>
                <w:lang w:val="da-DK" w:eastAsia="da-DK"/>
              </w:rPr>
              <w:t>Cimetidin 300 mg x 4, 2 uger</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t>10 mg x 1 i 2 uger</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color w:val="auto"/>
                <w:lang w:val="en-US"/>
              </w:rPr>
            </w:pPr>
            <w:r w:rsidRPr="002A1856">
              <w:rPr>
                <w:lang w:bidi="te-IN"/>
              </w:rPr>
              <w:t>1,00</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sz w:val="24"/>
                <w:szCs w:val="24"/>
              </w:rPr>
            </w:pPr>
            <w:r w:rsidRPr="002A1856">
              <w:rPr>
                <w:color w:val="000000"/>
                <w:sz w:val="24"/>
                <w:szCs w:val="24"/>
              </w:rPr>
              <w:t>Ingen særlig rekommandation.</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Colestipol 10 g x 2, 24 uger</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40 mg x 1 i 8 uger</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lang w:val="en-US" w:bidi="te-IN"/>
              </w:rPr>
            </w:pPr>
            <w:r w:rsidRPr="002A1856">
              <w:rPr>
                <w:lang w:bidi="te-IN"/>
              </w:rPr>
              <w:t>0,74**</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sz w:val="24"/>
                <w:szCs w:val="24"/>
              </w:rPr>
            </w:pPr>
            <w:r w:rsidRPr="002A1856">
              <w:rPr>
                <w:color w:val="000000"/>
                <w:sz w:val="24"/>
                <w:szCs w:val="24"/>
              </w:rPr>
              <w:t>Ingen særlig rekommandation.</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t>Antacida (suspension med magnesium- og aluminium</w:t>
            </w:r>
            <w:r w:rsidRPr="002A1856">
              <w:softHyphen/>
              <w:t>hydroxid), 30 ml x 4, 17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10 mg x 1 i 15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lang w:val="en-US" w:bidi="te-IN"/>
              </w:rPr>
            </w:pPr>
            <w:r w:rsidRPr="002A1856">
              <w:rPr>
                <w:lang w:bidi="te-IN"/>
              </w:rPr>
              <w:t>0,66</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color w:val="000000"/>
                <w:sz w:val="24"/>
                <w:szCs w:val="24"/>
              </w:rPr>
            </w:pPr>
            <w:r w:rsidRPr="002A1856">
              <w:rPr>
                <w:color w:val="000000"/>
                <w:sz w:val="24"/>
                <w:szCs w:val="24"/>
              </w:rPr>
              <w:t>Ingen særlig rekommandation.</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Del="00DC585B" w:rsidRDefault="002A1856" w:rsidP="00236324">
            <w:pPr>
              <w:pStyle w:val="Style20"/>
              <w:widowControl/>
              <w:spacing w:line="240" w:lineRule="auto"/>
              <w:ind w:left="57"/>
              <w:rPr>
                <w:rStyle w:val="FontStyle27"/>
                <w:sz w:val="24"/>
                <w:szCs w:val="24"/>
                <w:lang w:val="da-DK" w:eastAsia="da-DK"/>
              </w:rPr>
            </w:pPr>
            <w:r w:rsidRPr="002A1856">
              <w:t xml:space="preserve">Efavirenz 600 mg x 1, 14 dage </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10 mg i 3 dage</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lang w:bidi="te-IN"/>
              </w:rPr>
            </w:pPr>
            <w:r w:rsidRPr="002A1856">
              <w:rPr>
                <w:lang w:bidi="te-IN"/>
              </w:rPr>
              <w:t>0,59</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color w:val="000000"/>
                <w:sz w:val="24"/>
                <w:szCs w:val="24"/>
              </w:rPr>
            </w:pPr>
            <w:r w:rsidRPr="002A1856">
              <w:rPr>
                <w:color w:val="000000"/>
                <w:sz w:val="24"/>
                <w:szCs w:val="24"/>
              </w:rPr>
              <w:t>Ingen særlig rekommandation.</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lastRenderedPageBreak/>
              <w:t xml:space="preserve">Rifampicin 600 mg x 1, 7 dage (samtidig indgift) </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 xml:space="preserve">40 mg </w:t>
            </w:r>
            <w:r w:rsidRPr="002A1856">
              <w:rPr>
                <w:color w:val="000000"/>
              </w:rPr>
              <w:t>enkeltdosis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lang w:bidi="te-IN"/>
              </w:rPr>
            </w:pPr>
            <w:r w:rsidRPr="002A1856">
              <w:rPr>
                <w:lang w:bidi="te-IN"/>
              </w:rPr>
              <w:t>1,12</w:t>
            </w:r>
          </w:p>
        </w:tc>
        <w:tc>
          <w:tcPr>
            <w:tcW w:w="1542" w:type="pct"/>
            <w:tcBorders>
              <w:top w:val="single" w:sz="4" w:space="0" w:color="auto"/>
              <w:left w:val="single" w:sz="8" w:space="0" w:color="000000"/>
              <w:bottom w:val="nil"/>
              <w:right w:val="single" w:sz="8" w:space="0" w:color="000000"/>
            </w:tcBorders>
          </w:tcPr>
          <w:p w:rsidR="002A1856" w:rsidRPr="002A1856" w:rsidRDefault="002A1856" w:rsidP="00236324">
            <w:pPr>
              <w:rPr>
                <w:color w:val="000000"/>
                <w:sz w:val="24"/>
                <w:szCs w:val="24"/>
              </w:rPr>
            </w:pPr>
            <w:r w:rsidRPr="002A1856">
              <w:rPr>
                <w:sz w:val="24"/>
                <w:szCs w:val="24"/>
              </w:rPr>
              <w:t xml:space="preserve">Hvis samtidig behandling ikke kan undgås, anbefales samtidig indgift af </w:t>
            </w:r>
            <w:r w:rsidRPr="002A1856">
              <w:rPr>
                <w:bCs/>
                <w:sz w:val="24"/>
                <w:szCs w:val="24"/>
              </w:rPr>
              <w:t>atorvastatin og rifampicin samt klinisk monitorering.</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Rifampicin 600 mg x 1, 5 dage (adskilt indgift)</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 xml:space="preserve">40 mg </w:t>
            </w:r>
            <w:r w:rsidRPr="002A1856">
              <w:rPr>
                <w:color w:val="000000"/>
              </w:rPr>
              <w:t>enkeltdosis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lang w:bidi="te-IN"/>
              </w:rPr>
            </w:pPr>
            <w:r w:rsidRPr="002A1856">
              <w:rPr>
                <w:lang w:bidi="te-IN"/>
              </w:rPr>
              <w:t>0,20</w:t>
            </w:r>
          </w:p>
        </w:tc>
        <w:tc>
          <w:tcPr>
            <w:tcW w:w="1542" w:type="pct"/>
            <w:tcBorders>
              <w:top w:val="nil"/>
              <w:left w:val="single" w:sz="8" w:space="0" w:color="000000"/>
              <w:bottom w:val="single" w:sz="4" w:space="0" w:color="auto"/>
              <w:right w:val="single" w:sz="8" w:space="0" w:color="000000"/>
            </w:tcBorders>
          </w:tcPr>
          <w:p w:rsidR="002A1856" w:rsidRPr="002A1856" w:rsidRDefault="002A1856" w:rsidP="00236324">
            <w:pPr>
              <w:rPr>
                <w:color w:val="000000"/>
                <w:sz w:val="24"/>
                <w:szCs w:val="24"/>
              </w:rPr>
            </w:pPr>
          </w:p>
        </w:tc>
      </w:tr>
      <w:tr w:rsidR="002A1856" w:rsidRPr="002A1856" w:rsidTr="00236324">
        <w:trPr>
          <w:trHeight w:val="213"/>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rPr>
                <w:rStyle w:val="FontStyle27"/>
                <w:sz w:val="24"/>
                <w:szCs w:val="24"/>
                <w:lang w:val="da-DK" w:eastAsia="da-DK"/>
              </w:rPr>
              <w:t>Gemfibrozil 600 mg x 2, 7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rPr>
                <w:rStyle w:val="FontStyle27"/>
                <w:sz w:val="24"/>
                <w:szCs w:val="24"/>
                <w:lang w:val="da-DK" w:eastAsia="da-DK"/>
              </w:rPr>
            </w:pPr>
            <w:r w:rsidRPr="002A1856" w:rsidDel="00DC585B">
              <w:rPr>
                <w:rStyle w:val="FontStyle27"/>
                <w:sz w:val="24"/>
                <w:szCs w:val="24"/>
                <w:lang w:val="da-DK" w:eastAsia="da-DK"/>
              </w:rPr>
              <w:t>40 mg</w:t>
            </w:r>
            <w:r w:rsidRPr="002A1856">
              <w:rPr>
                <w:rStyle w:val="FontStyle27"/>
                <w:sz w:val="24"/>
                <w:szCs w:val="24"/>
                <w:lang w:val="da-DK" w:eastAsia="da-DK"/>
              </w:rPr>
              <w:t xml:space="preserve"> enkeltdosis</w:t>
            </w:r>
          </w:p>
          <w:p w:rsidR="002A1856" w:rsidRPr="002A1856" w:rsidRDefault="002A1856" w:rsidP="00236324">
            <w:pPr>
              <w:pStyle w:val="Style20"/>
              <w:widowControl/>
              <w:spacing w:line="240" w:lineRule="auto"/>
              <w:ind w:left="57"/>
            </w:pPr>
          </w:p>
        </w:tc>
        <w:tc>
          <w:tcPr>
            <w:tcW w:w="833" w:type="pct"/>
            <w:tcBorders>
              <w:top w:val="nil"/>
              <w:left w:val="single" w:sz="8" w:space="0" w:color="000000"/>
              <w:bottom w:val="single" w:sz="8" w:space="0" w:color="000000"/>
              <w:right w:val="single" w:sz="8" w:space="0" w:color="000000"/>
            </w:tcBorders>
            <w:vAlign w:val="center"/>
          </w:tcPr>
          <w:p w:rsidR="002A1856" w:rsidRPr="002A1856" w:rsidRDefault="002A1856" w:rsidP="00236324">
            <w:pPr>
              <w:pStyle w:val="Default"/>
              <w:rPr>
                <w:lang w:bidi="te-IN"/>
              </w:rPr>
            </w:pPr>
            <w:r w:rsidRPr="002A1856">
              <w:rPr>
                <w:lang w:val="da-DK" w:bidi="te-IN"/>
              </w:rPr>
              <w:t>1,35</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color w:val="000000"/>
                <w:sz w:val="24"/>
                <w:szCs w:val="24"/>
              </w:rPr>
            </w:pPr>
            <w:r w:rsidRPr="002A1856">
              <w:rPr>
                <w:sz w:val="24"/>
                <w:szCs w:val="24"/>
              </w:rPr>
              <w:t>Nedsat initialdosis samt klinisk monitorering anbefales.</w:t>
            </w:r>
          </w:p>
        </w:tc>
      </w:tr>
      <w:tr w:rsidR="002A1856" w:rsidRPr="002A1856" w:rsidTr="00236324">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t>Fenofibrat 160 mg x 1, 7 dage</w:t>
            </w:r>
          </w:p>
        </w:tc>
        <w:tc>
          <w:tcPr>
            <w:tcW w:w="828"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Style20"/>
              <w:widowControl/>
              <w:spacing w:line="240" w:lineRule="auto"/>
              <w:ind w:left="57"/>
            </w:pPr>
            <w:r w:rsidRPr="002A1856" w:rsidDel="00DC585B">
              <w:rPr>
                <w:rStyle w:val="FontStyle27"/>
                <w:sz w:val="24"/>
                <w:szCs w:val="24"/>
                <w:lang w:val="da-DK" w:eastAsia="da-DK"/>
              </w:rPr>
              <w:t>40 mg enkeltdos</w:t>
            </w:r>
            <w:r w:rsidRPr="002A1856">
              <w:rPr>
                <w:rStyle w:val="FontStyle27"/>
                <w:sz w:val="24"/>
                <w:szCs w:val="24"/>
                <w:lang w:val="da-DK" w:eastAsia="da-DK"/>
              </w:rPr>
              <w:t>is</w:t>
            </w:r>
          </w:p>
        </w:tc>
        <w:tc>
          <w:tcPr>
            <w:tcW w:w="833" w:type="pct"/>
            <w:tcBorders>
              <w:top w:val="single" w:sz="8" w:space="0" w:color="000000"/>
              <w:left w:val="single" w:sz="8" w:space="0" w:color="000000"/>
              <w:bottom w:val="single" w:sz="8" w:space="0" w:color="000000"/>
              <w:right w:val="single" w:sz="8" w:space="0" w:color="000000"/>
            </w:tcBorders>
          </w:tcPr>
          <w:p w:rsidR="002A1856" w:rsidRPr="002A1856" w:rsidRDefault="002A1856" w:rsidP="00236324">
            <w:pPr>
              <w:pStyle w:val="Default"/>
              <w:ind w:left="57"/>
              <w:rPr>
                <w:lang w:val="en-US" w:bidi="te-IN"/>
              </w:rPr>
            </w:pPr>
            <w:r w:rsidRPr="002A1856">
              <w:rPr>
                <w:color w:val="auto"/>
                <w:lang w:val="en-US"/>
              </w:rPr>
              <w:t>1</w:t>
            </w:r>
            <w:r w:rsidRPr="002A1856">
              <w:rPr>
                <w:lang w:val="en-US"/>
              </w:rPr>
              <w:t>,03</w:t>
            </w:r>
          </w:p>
        </w:tc>
        <w:tc>
          <w:tcPr>
            <w:tcW w:w="1542" w:type="pct"/>
            <w:tcBorders>
              <w:top w:val="single" w:sz="4" w:space="0" w:color="auto"/>
              <w:left w:val="single" w:sz="8" w:space="0" w:color="000000"/>
              <w:bottom w:val="single" w:sz="4" w:space="0" w:color="auto"/>
              <w:right w:val="single" w:sz="8" w:space="0" w:color="000000"/>
            </w:tcBorders>
          </w:tcPr>
          <w:p w:rsidR="002A1856" w:rsidRPr="002A1856" w:rsidRDefault="002A1856" w:rsidP="00236324">
            <w:pPr>
              <w:rPr>
                <w:color w:val="000000"/>
                <w:sz w:val="24"/>
                <w:szCs w:val="24"/>
              </w:rPr>
            </w:pPr>
            <w:r w:rsidRPr="002A1856">
              <w:rPr>
                <w:sz w:val="24"/>
                <w:szCs w:val="24"/>
              </w:rPr>
              <w:t>Nedsat initialdosis samt klinisk monitorering anbefales.</w:t>
            </w:r>
          </w:p>
        </w:tc>
      </w:tr>
      <w:tr w:rsidR="002A1856" w:rsidRPr="002A1856" w:rsidTr="00236324">
        <w:trPr>
          <w:trHeight w:val="970"/>
        </w:trPr>
        <w:tc>
          <w:tcPr>
            <w:tcW w:w="1787"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Boceprevir 800 mg x 3, 7 dage</w:t>
            </w:r>
          </w:p>
        </w:tc>
        <w:tc>
          <w:tcPr>
            <w:tcW w:w="838" w:type="pct"/>
            <w:gridSpan w:val="2"/>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Style20"/>
              <w:widowControl/>
              <w:spacing w:line="240" w:lineRule="auto"/>
              <w:ind w:left="57"/>
              <w:rPr>
                <w:rStyle w:val="FontStyle27"/>
                <w:sz w:val="24"/>
                <w:szCs w:val="24"/>
                <w:lang w:val="da-DK" w:eastAsia="da-DK"/>
              </w:rPr>
            </w:pPr>
            <w:r w:rsidRPr="002A1856">
              <w:rPr>
                <w:rStyle w:val="FontStyle27"/>
                <w:sz w:val="24"/>
                <w:szCs w:val="24"/>
                <w:lang w:val="da-DK" w:eastAsia="da-DK"/>
              </w:rPr>
              <w:t>40 mg enkeltdosis</w:t>
            </w:r>
          </w:p>
        </w:tc>
        <w:tc>
          <w:tcPr>
            <w:tcW w:w="833" w:type="pct"/>
            <w:tcBorders>
              <w:top w:val="single" w:sz="8" w:space="0" w:color="000000"/>
              <w:left w:val="single" w:sz="8" w:space="0" w:color="000000"/>
              <w:bottom w:val="single" w:sz="8" w:space="0" w:color="000000"/>
              <w:right w:val="single" w:sz="8" w:space="0" w:color="000000"/>
            </w:tcBorders>
            <w:hideMark/>
          </w:tcPr>
          <w:p w:rsidR="002A1856" w:rsidRPr="002A1856" w:rsidRDefault="002A1856" w:rsidP="00236324">
            <w:pPr>
              <w:pStyle w:val="Default"/>
              <w:tabs>
                <w:tab w:val="center" w:pos="623"/>
              </w:tabs>
              <w:ind w:left="57"/>
              <w:rPr>
                <w:color w:val="auto"/>
              </w:rPr>
            </w:pPr>
            <w:r w:rsidRPr="002A1856" w:rsidDel="00047BDE">
              <w:rPr>
                <w:color w:val="auto"/>
                <w:lang w:val="da-DK"/>
              </w:rPr>
              <w:t>2,</w:t>
            </w:r>
            <w:r w:rsidRPr="002A1856" w:rsidDel="00047BDE">
              <w:rPr>
                <w:color w:val="auto"/>
              </w:rPr>
              <w:t>3</w:t>
            </w:r>
          </w:p>
        </w:tc>
        <w:tc>
          <w:tcPr>
            <w:tcW w:w="1542" w:type="pct"/>
            <w:tcBorders>
              <w:top w:val="single" w:sz="4" w:space="0" w:color="auto"/>
              <w:left w:val="single" w:sz="8" w:space="0" w:color="000000"/>
              <w:bottom w:val="single" w:sz="4" w:space="0" w:color="auto"/>
              <w:right w:val="single" w:sz="8" w:space="0" w:color="000000"/>
            </w:tcBorders>
            <w:hideMark/>
          </w:tcPr>
          <w:p w:rsidR="002A1856" w:rsidRPr="002A1856" w:rsidRDefault="002A1856" w:rsidP="00236324">
            <w:pPr>
              <w:pStyle w:val="Style20"/>
              <w:widowControl/>
              <w:spacing w:line="240" w:lineRule="auto"/>
              <w:ind w:left="57"/>
              <w:rPr>
                <w:rStyle w:val="FontStyle27"/>
                <w:sz w:val="24"/>
                <w:szCs w:val="24"/>
                <w:lang w:val="da-DK" w:eastAsia="da-DK"/>
              </w:rPr>
            </w:pPr>
            <w:r w:rsidRPr="002A1856">
              <w:t>Nedsat initialdosis samt klinisk monitorering anbefales. Daglig atorvastatin</w:t>
            </w:r>
            <w:r w:rsidRPr="002A1856">
              <w:softHyphen/>
              <w:t>-dosis bør ikke overstige 20 mg, når det administreres sammen med boceprevir.</w:t>
            </w:r>
          </w:p>
        </w:tc>
      </w:tr>
    </w:tbl>
    <w:p w:rsidR="002A1856" w:rsidRPr="002A1856" w:rsidRDefault="002A1856" w:rsidP="002A1856">
      <w:pPr>
        <w:pStyle w:val="Style1"/>
        <w:widowControl/>
        <w:spacing w:line="240" w:lineRule="auto"/>
        <w:ind w:left="851" w:hanging="851"/>
        <w:rPr>
          <w:lang w:val="da-DK"/>
        </w:rPr>
      </w:pPr>
    </w:p>
    <w:p w:rsidR="002A1856" w:rsidRPr="002A1856" w:rsidRDefault="002A1856" w:rsidP="002A1856">
      <w:pPr>
        <w:pStyle w:val="Style1"/>
        <w:widowControl/>
        <w:spacing w:line="240" w:lineRule="auto"/>
        <w:ind w:left="851" w:hanging="851"/>
        <w:rPr>
          <w:lang w:val="da-DK"/>
        </w:rPr>
      </w:pPr>
    </w:p>
    <w:p w:rsidR="002A1856" w:rsidRPr="002A1856" w:rsidRDefault="002A1856" w:rsidP="002A1856">
      <w:pPr>
        <w:autoSpaceDE w:val="0"/>
        <w:autoSpaceDN w:val="0"/>
        <w:adjustRightInd w:val="0"/>
        <w:ind w:left="426" w:hanging="426"/>
        <w:rPr>
          <w:rStyle w:val="FontStyle27"/>
          <w:sz w:val="24"/>
          <w:szCs w:val="24"/>
          <w:lang w:eastAsia="da-DK" w:bidi="te-IN"/>
        </w:rPr>
      </w:pPr>
      <w:r w:rsidRPr="002A1856">
        <w:rPr>
          <w:rStyle w:val="FontStyle27"/>
          <w:sz w:val="24"/>
          <w:szCs w:val="24"/>
          <w:vertAlign w:val="superscript"/>
          <w:lang w:eastAsia="da-DK"/>
        </w:rPr>
        <w:t>&amp;</w:t>
      </w:r>
      <w:r w:rsidRPr="002A1856">
        <w:rPr>
          <w:rStyle w:val="FontStyle27"/>
          <w:sz w:val="24"/>
          <w:szCs w:val="24"/>
          <w:lang w:eastAsia="da-DK"/>
        </w:rPr>
        <w:tab/>
      </w:r>
      <w:r w:rsidRPr="002A1856">
        <w:rPr>
          <w:sz w:val="24"/>
          <w:szCs w:val="24"/>
        </w:rPr>
        <w:t>Repræsenterer behandlingsratio (samtidigt behandlet lægemiddel samt atorvastatin overfor atorvastatin alene).</w:t>
      </w:r>
      <w:r w:rsidRPr="002A1856">
        <w:rPr>
          <w:sz w:val="24"/>
          <w:szCs w:val="24"/>
          <w:lang w:bidi="te-IN"/>
        </w:rPr>
        <w:t xml:space="preserve"> </w:t>
      </w:r>
    </w:p>
    <w:p w:rsidR="002A1856" w:rsidRPr="002A1856" w:rsidRDefault="002A1856" w:rsidP="002A1856">
      <w:pPr>
        <w:pStyle w:val="Style9"/>
        <w:widowControl/>
        <w:spacing w:line="240" w:lineRule="auto"/>
        <w:ind w:left="426" w:hanging="426"/>
        <w:rPr>
          <w:rStyle w:val="FontStyle27"/>
          <w:sz w:val="24"/>
          <w:szCs w:val="24"/>
          <w:lang w:val="da-DK" w:eastAsia="da-DK"/>
        </w:rPr>
      </w:pPr>
      <w:r w:rsidRPr="002A1856">
        <w:rPr>
          <w:rStyle w:val="FontStyle27"/>
          <w:sz w:val="24"/>
          <w:szCs w:val="24"/>
          <w:vertAlign w:val="superscript"/>
          <w:lang w:val="da-DK" w:eastAsia="da-DK"/>
        </w:rPr>
        <w:t>#</w:t>
      </w:r>
      <w:r w:rsidRPr="002A1856">
        <w:rPr>
          <w:rStyle w:val="FontStyle27"/>
          <w:sz w:val="24"/>
          <w:szCs w:val="24"/>
          <w:lang w:val="da-DK" w:eastAsia="da-DK"/>
        </w:rPr>
        <w:tab/>
        <w:t>Se pkt. 4.4 og 4.5 for klinisk signifikans.</w:t>
      </w:r>
    </w:p>
    <w:p w:rsidR="002A1856" w:rsidRPr="002A1856" w:rsidRDefault="002A1856" w:rsidP="002A1856">
      <w:pPr>
        <w:ind w:left="426" w:right="966" w:hanging="426"/>
        <w:rPr>
          <w:rStyle w:val="FontStyle27"/>
          <w:sz w:val="24"/>
          <w:szCs w:val="24"/>
          <w:lang w:eastAsia="da-DK"/>
        </w:rPr>
      </w:pPr>
      <w:r w:rsidRPr="002A1856">
        <w:rPr>
          <w:rStyle w:val="FontStyle27"/>
          <w:sz w:val="24"/>
          <w:szCs w:val="24"/>
          <w:vertAlign w:val="superscript"/>
          <w:lang w:eastAsia="da-DK"/>
        </w:rPr>
        <w:t>*</w:t>
      </w:r>
      <w:r w:rsidRPr="002A1856">
        <w:rPr>
          <w:rStyle w:val="FontStyle27"/>
          <w:sz w:val="24"/>
          <w:szCs w:val="24"/>
          <w:lang w:eastAsia="da-DK"/>
        </w:rPr>
        <w:tab/>
        <w:t xml:space="preserve">Indeholder et eller flere komponenter, der hæmmer CYP3A4, og kan øge plasmakoncentrationen af lægemidler, der metaboliseres via CYP3A4. Indtagelse af et glas (240 ml) grapefruitjuice resulterede også i en reduktion af AUC på 20,4% for den aktive orthohydroxy-metabolit. Store mængder grapefruitjuice (over 1,2 l daglig i 5 dage) øgede AUC for atorvastatin 2,5 gange og AUC for aktive (atorvastatin og metabolitter). </w:t>
      </w:r>
      <w:r w:rsidRPr="002A1856">
        <w:rPr>
          <w:sz w:val="24"/>
          <w:szCs w:val="24"/>
        </w:rPr>
        <w:t>HMG-CoA reduktasehæmmere 1,3 gange.</w:t>
      </w:r>
    </w:p>
    <w:p w:rsidR="002A1856" w:rsidRPr="002A1856" w:rsidRDefault="002A1856" w:rsidP="002A1856">
      <w:pPr>
        <w:pStyle w:val="Style9"/>
        <w:widowControl/>
        <w:spacing w:line="240" w:lineRule="auto"/>
        <w:ind w:left="426" w:hanging="426"/>
        <w:rPr>
          <w:rStyle w:val="FontStyle27"/>
          <w:sz w:val="24"/>
          <w:szCs w:val="24"/>
          <w:lang w:val="da-DK" w:eastAsia="da-DK"/>
        </w:rPr>
      </w:pPr>
      <w:r w:rsidRPr="002A1856">
        <w:rPr>
          <w:rStyle w:val="FontStyle27"/>
          <w:sz w:val="24"/>
          <w:szCs w:val="24"/>
          <w:vertAlign w:val="superscript"/>
          <w:lang w:val="da-DK" w:eastAsia="da-DK"/>
        </w:rPr>
        <w:t>**</w:t>
      </w:r>
      <w:r w:rsidRPr="002A1856">
        <w:rPr>
          <w:rStyle w:val="FontStyle27"/>
          <w:sz w:val="24"/>
          <w:szCs w:val="24"/>
          <w:lang w:val="da-DK" w:eastAsia="da-DK"/>
        </w:rPr>
        <w:tab/>
      </w:r>
      <w:r w:rsidRPr="002A1856">
        <w:t>Ratio er baseret på en enkelt prøve taget 8-16 timer efter indtagelse.</w:t>
      </w:r>
      <w:r w:rsidRPr="002A1856" w:rsidDel="005050AA">
        <w:rPr>
          <w:rStyle w:val="FontStyle27"/>
          <w:sz w:val="24"/>
          <w:szCs w:val="24"/>
          <w:lang w:val="da-DK" w:eastAsia="da-DK"/>
        </w:rPr>
        <w:t xml:space="preserve"> </w:t>
      </w:r>
    </w:p>
    <w:p w:rsidR="002A1856" w:rsidRPr="002A1856" w:rsidRDefault="002A1856" w:rsidP="002A1856">
      <w:pPr>
        <w:pStyle w:val="Style9"/>
        <w:widowControl/>
        <w:spacing w:line="240" w:lineRule="auto"/>
        <w:ind w:left="851" w:hanging="851"/>
        <w:rPr>
          <w:rStyle w:val="FontStyle27"/>
          <w:sz w:val="24"/>
          <w:szCs w:val="24"/>
          <w:lang w:val="da-DK" w:eastAsia="da-DK"/>
        </w:rPr>
      </w:pPr>
    </w:p>
    <w:p w:rsidR="002A1856" w:rsidRPr="002A1856" w:rsidRDefault="002A1856" w:rsidP="002A1856">
      <w:pPr>
        <w:autoSpaceDE w:val="0"/>
        <w:autoSpaceDN w:val="0"/>
        <w:adjustRightInd w:val="0"/>
        <w:ind w:left="426" w:hanging="426"/>
        <w:rPr>
          <w:sz w:val="24"/>
          <w:szCs w:val="24"/>
        </w:rPr>
      </w:pPr>
    </w:p>
    <w:p w:rsidR="002A1856" w:rsidRPr="002A1856" w:rsidRDefault="002A1856" w:rsidP="002A1856">
      <w:pPr>
        <w:pStyle w:val="Default"/>
        <w:ind w:left="851" w:hanging="425"/>
        <w:rPr>
          <w:color w:val="auto"/>
        </w:rPr>
      </w:pPr>
      <w:r w:rsidRPr="002A1856">
        <w:rPr>
          <w:color w:val="auto"/>
          <w:lang w:val="da-DK"/>
        </w:rPr>
        <w:t xml:space="preserve"> </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Default"/>
        <w:ind w:left="851" w:hanging="851"/>
        <w:rPr>
          <w:color w:val="auto"/>
          <w:u w:val="single"/>
        </w:rPr>
      </w:pPr>
      <w:r w:rsidRPr="002A1856">
        <w:rPr>
          <w:color w:val="auto"/>
          <w:u w:val="single"/>
          <w:lang w:val="da-DK"/>
        </w:rPr>
        <w:t>Tabel 2: Atorvastatins virkning på farmakokinetikken af samtidigt administrerede lægemidler</w:t>
      </w:r>
    </w:p>
    <w:p w:rsidR="002A1856" w:rsidRPr="002A1856" w:rsidRDefault="002A1856" w:rsidP="002A1856">
      <w:pPr>
        <w:pStyle w:val="Style1"/>
        <w:widowControl/>
        <w:spacing w:line="240" w:lineRule="auto"/>
        <w:ind w:left="851" w:hanging="851"/>
        <w:rPr>
          <w:rStyle w:val="FontStyle27"/>
          <w:sz w:val="24"/>
          <w:szCs w:val="24"/>
          <w:lang w:eastAsia="da-DK"/>
        </w:rPr>
      </w:pPr>
    </w:p>
    <w:p w:rsidR="002A1856" w:rsidRPr="002A1856" w:rsidRDefault="002A1856" w:rsidP="002A1856">
      <w:pPr>
        <w:pStyle w:val="Style1"/>
        <w:widowControl/>
        <w:spacing w:line="240" w:lineRule="auto"/>
        <w:ind w:left="851" w:hanging="851"/>
        <w:rPr>
          <w:rStyle w:val="FontStyle27"/>
          <w:sz w:val="24"/>
          <w:szCs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7"/>
        <w:gridCol w:w="3239"/>
        <w:gridCol w:w="1475"/>
        <w:gridCol w:w="2197"/>
      </w:tblGrid>
      <w:tr w:rsidR="002A1856" w:rsidRPr="002A1856" w:rsidTr="00236324">
        <w:tc>
          <w:tcPr>
            <w:tcW w:w="1411" w:type="pct"/>
            <w:vMerge w:val="restar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1"/>
              <w:widowControl/>
              <w:spacing w:line="240" w:lineRule="auto"/>
              <w:rPr>
                <w:rStyle w:val="FontStyle27"/>
                <w:sz w:val="24"/>
                <w:szCs w:val="24"/>
                <w:lang w:val="da-DK" w:eastAsia="da-DK"/>
              </w:rPr>
            </w:pPr>
            <w:r w:rsidRPr="002A1856">
              <w:rPr>
                <w:rStyle w:val="FontStyle28"/>
                <w:sz w:val="24"/>
                <w:szCs w:val="24"/>
                <w:lang w:val="da-DK" w:eastAsia="da-DK"/>
              </w:rPr>
              <w:t>Atorvastatin-dosisregime</w:t>
            </w:r>
          </w:p>
        </w:tc>
        <w:tc>
          <w:tcPr>
            <w:tcW w:w="3589" w:type="pct"/>
            <w:gridSpan w:val="3"/>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18"/>
              <w:widowControl/>
              <w:spacing w:line="240" w:lineRule="auto"/>
              <w:rPr>
                <w:rStyle w:val="FontStyle28"/>
                <w:sz w:val="24"/>
                <w:szCs w:val="24"/>
              </w:rPr>
            </w:pPr>
            <w:r w:rsidRPr="002A1856">
              <w:rPr>
                <w:rStyle w:val="FontStyle28"/>
                <w:sz w:val="24"/>
                <w:szCs w:val="24"/>
                <w:lang w:val="da-DK" w:eastAsia="da-DK"/>
              </w:rPr>
              <w:t>Samtidigt administreret lægemiddel</w:t>
            </w:r>
          </w:p>
        </w:tc>
      </w:tr>
      <w:tr w:rsidR="002A1856" w:rsidRPr="002A1856" w:rsidTr="00236324">
        <w:tc>
          <w:tcPr>
            <w:tcW w:w="1411" w:type="pct"/>
            <w:vMerge/>
            <w:tcBorders>
              <w:top w:val="single" w:sz="4" w:space="0" w:color="000000"/>
              <w:left w:val="single" w:sz="4" w:space="0" w:color="000000"/>
              <w:bottom w:val="single" w:sz="4" w:space="0" w:color="000000"/>
              <w:right w:val="single" w:sz="4" w:space="0" w:color="000000"/>
            </w:tcBorders>
            <w:vAlign w:val="center"/>
            <w:hideMark/>
          </w:tcPr>
          <w:p w:rsidR="002A1856" w:rsidRPr="002A1856" w:rsidRDefault="002A1856" w:rsidP="00236324">
            <w:pPr>
              <w:spacing w:line="276" w:lineRule="auto"/>
              <w:rPr>
                <w:rStyle w:val="FontStyle27"/>
                <w:sz w:val="24"/>
                <w:szCs w:val="24"/>
              </w:rPr>
            </w:pP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18"/>
              <w:widowControl/>
              <w:spacing w:line="240" w:lineRule="auto"/>
              <w:rPr>
                <w:rStyle w:val="FontStyle28"/>
                <w:sz w:val="24"/>
                <w:szCs w:val="24"/>
                <w:lang w:val="da-DK" w:eastAsia="da-DK"/>
              </w:rPr>
            </w:pPr>
            <w:r w:rsidRPr="002A1856">
              <w:rPr>
                <w:rStyle w:val="FontStyle28"/>
                <w:sz w:val="24"/>
                <w:szCs w:val="24"/>
                <w:lang w:val="da-DK" w:eastAsia="da-DK"/>
              </w:rPr>
              <w:t>Lægemiddel/dosis (mg)</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18"/>
              <w:widowControl/>
              <w:spacing w:line="259" w:lineRule="exact"/>
              <w:rPr>
                <w:rStyle w:val="FontStyle28"/>
                <w:sz w:val="24"/>
                <w:szCs w:val="24"/>
                <w:lang w:val="da-DK" w:eastAsia="da-DK"/>
              </w:rPr>
            </w:pPr>
            <w:r w:rsidRPr="002A1856">
              <w:rPr>
                <w:rStyle w:val="FontStyle28"/>
                <w:sz w:val="24"/>
                <w:szCs w:val="24"/>
                <w:lang w:val="da-DK" w:eastAsia="da-DK"/>
              </w:rPr>
              <w:t>AUC-</w:t>
            </w:r>
            <w:r w:rsidRPr="002A1856">
              <w:rPr>
                <w:rStyle w:val="FontStyle28"/>
                <w:sz w:val="24"/>
                <w:szCs w:val="24"/>
              </w:rPr>
              <w:t>r</w:t>
            </w:r>
            <w:r w:rsidRPr="002A1856">
              <w:rPr>
                <w:rStyle w:val="FontStyle28"/>
                <w:sz w:val="24"/>
                <w:szCs w:val="24"/>
                <w:lang w:val="en-US"/>
              </w:rPr>
              <w:t>atio</w:t>
            </w:r>
            <w:r w:rsidRPr="002A1856">
              <w:rPr>
                <w:rStyle w:val="FontStyle28"/>
                <w:sz w:val="24"/>
                <w:szCs w:val="24"/>
                <w:vertAlign w:val="superscript"/>
                <w:lang w:val="da-DK" w:eastAsia="da-DK"/>
              </w:rPr>
              <w:t>&amp;</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18"/>
              <w:widowControl/>
              <w:spacing w:line="240" w:lineRule="auto"/>
              <w:rPr>
                <w:rStyle w:val="FontStyle28"/>
                <w:sz w:val="24"/>
                <w:szCs w:val="24"/>
                <w:lang w:val="da-DK" w:eastAsia="da-DK"/>
              </w:rPr>
            </w:pPr>
            <w:r w:rsidRPr="002A1856">
              <w:rPr>
                <w:rStyle w:val="FontStyle28"/>
                <w:sz w:val="24"/>
                <w:szCs w:val="24"/>
                <w:lang w:val="da-DK" w:eastAsia="da-DK"/>
              </w:rPr>
              <w:t>Klinisk rekommandation</w:t>
            </w:r>
          </w:p>
        </w:tc>
      </w:tr>
      <w:tr w:rsidR="002A1856" w:rsidRPr="002A1856" w:rsidTr="00236324">
        <w:tc>
          <w:tcPr>
            <w:tcW w:w="141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4" w:lineRule="exact"/>
              <w:rPr>
                <w:rStyle w:val="FontStyle27"/>
                <w:sz w:val="24"/>
                <w:szCs w:val="24"/>
              </w:rPr>
            </w:pPr>
            <w:r w:rsidRPr="002A1856">
              <w:rPr>
                <w:rStyle w:val="FontStyle27"/>
                <w:sz w:val="24"/>
                <w:szCs w:val="24"/>
                <w:lang w:val="da-DK" w:eastAsia="da-DK"/>
              </w:rPr>
              <w:t>80 mg x 1 i 10 dage</w:t>
            </w: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Digoxin 0,25 mg x 1, 20 dage</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lang w:val="en-US"/>
              </w:rPr>
              <w:t>1,</w:t>
            </w:r>
            <w:r w:rsidRPr="002A1856">
              <w:rPr>
                <w:rStyle w:val="FontStyle27"/>
                <w:sz w:val="24"/>
                <w:szCs w:val="24"/>
                <w:lang w:val="da-DK" w:eastAsia="da-DK"/>
              </w:rPr>
              <w:t>15</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4" w:lineRule="exact"/>
              <w:rPr>
                <w:rStyle w:val="FontStyle27"/>
                <w:sz w:val="24"/>
                <w:szCs w:val="24"/>
                <w:lang w:val="da-DK" w:eastAsia="da-DK"/>
              </w:rPr>
            </w:pPr>
            <w:r w:rsidRPr="002A1856">
              <w:rPr>
                <w:rStyle w:val="FontStyle27"/>
                <w:sz w:val="24"/>
                <w:szCs w:val="24"/>
                <w:lang w:val="da-DK" w:eastAsia="da-DK"/>
              </w:rPr>
              <w:t>Patienter, der tager digoxin, skal monitoreres passende.</w:t>
            </w:r>
          </w:p>
        </w:tc>
      </w:tr>
      <w:tr w:rsidR="002A1856" w:rsidRPr="002A1856" w:rsidTr="00236324">
        <w:tc>
          <w:tcPr>
            <w:tcW w:w="141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9" w:lineRule="exact"/>
              <w:rPr>
                <w:rStyle w:val="FontStyle27"/>
                <w:sz w:val="24"/>
                <w:szCs w:val="24"/>
                <w:lang w:val="da-DK" w:eastAsia="da-DK"/>
              </w:rPr>
            </w:pPr>
            <w:r w:rsidRPr="002A1856">
              <w:rPr>
                <w:rStyle w:val="FontStyle27"/>
                <w:sz w:val="24"/>
                <w:szCs w:val="24"/>
                <w:lang w:val="da-DK" w:eastAsia="da-DK"/>
              </w:rPr>
              <w:t>40 mg x 1 i 22 dage</w:t>
            </w: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0" w:lineRule="exact"/>
              <w:rPr>
                <w:rStyle w:val="FontStyle27"/>
                <w:sz w:val="24"/>
                <w:szCs w:val="24"/>
                <w:lang w:val="da-DK" w:eastAsia="da-DK"/>
              </w:rPr>
            </w:pPr>
            <w:r w:rsidRPr="002A1856">
              <w:rPr>
                <w:rStyle w:val="FontStyle27"/>
                <w:sz w:val="24"/>
                <w:szCs w:val="24"/>
                <w:lang w:val="da-DK" w:eastAsia="da-DK"/>
              </w:rPr>
              <w:t>Orale kontraceptiva x 1, 2 måneder</w:t>
            </w:r>
          </w:p>
          <w:p w:rsidR="002A1856" w:rsidRPr="002A1856" w:rsidRDefault="002A1856" w:rsidP="00236324">
            <w:pPr>
              <w:pStyle w:val="Style13"/>
              <w:widowControl/>
              <w:numPr>
                <w:ilvl w:val="0"/>
                <w:numId w:val="15"/>
              </w:numPr>
              <w:spacing w:line="250" w:lineRule="exact"/>
              <w:rPr>
                <w:rStyle w:val="FontStyle27"/>
                <w:sz w:val="24"/>
                <w:szCs w:val="24"/>
                <w:lang w:val="da-DK" w:eastAsia="da-DK"/>
              </w:rPr>
            </w:pPr>
            <w:r w:rsidRPr="002A1856">
              <w:rPr>
                <w:rStyle w:val="FontStyle27"/>
                <w:sz w:val="24"/>
                <w:szCs w:val="24"/>
                <w:lang w:val="da-DK" w:eastAsia="da-DK"/>
              </w:rPr>
              <w:lastRenderedPageBreak/>
              <w:t>norethisteron 1 mg</w:t>
            </w:r>
          </w:p>
          <w:p w:rsidR="002A1856" w:rsidRPr="002A1856" w:rsidRDefault="002A1856" w:rsidP="00236324">
            <w:pPr>
              <w:pStyle w:val="Style13"/>
              <w:widowControl/>
              <w:numPr>
                <w:ilvl w:val="0"/>
                <w:numId w:val="15"/>
              </w:numPr>
              <w:spacing w:line="250" w:lineRule="exact"/>
              <w:rPr>
                <w:rStyle w:val="FontStyle27"/>
                <w:sz w:val="24"/>
                <w:szCs w:val="24"/>
                <w:lang w:val="da-DK" w:eastAsia="da-DK"/>
              </w:rPr>
            </w:pPr>
            <w:r w:rsidRPr="002A1856">
              <w:rPr>
                <w:rStyle w:val="FontStyle27"/>
                <w:sz w:val="24"/>
                <w:szCs w:val="24"/>
                <w:lang w:val="da-DK" w:eastAsia="da-DK"/>
              </w:rPr>
              <w:t>ethinylestradiol 35 ug</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lang w:val="en-US"/>
              </w:rPr>
              <w:lastRenderedPageBreak/>
              <w:t>1,</w:t>
            </w:r>
            <w:r w:rsidRPr="002A1856">
              <w:rPr>
                <w:rStyle w:val="FontStyle27"/>
                <w:sz w:val="24"/>
                <w:szCs w:val="24"/>
                <w:lang w:val="da-DK" w:eastAsia="da-DK"/>
              </w:rPr>
              <w:t>28</w:t>
            </w:r>
          </w:p>
          <w:p w:rsidR="002A1856" w:rsidRPr="002A1856" w:rsidRDefault="002A1856" w:rsidP="00236324">
            <w:pPr>
              <w:pStyle w:val="Style20"/>
              <w:widowControl/>
              <w:spacing w:line="240" w:lineRule="auto"/>
              <w:rPr>
                <w:rStyle w:val="FontStyle27"/>
                <w:sz w:val="24"/>
                <w:szCs w:val="24"/>
                <w:lang w:val="da-DK" w:eastAsia="da-DK"/>
              </w:rPr>
            </w:pPr>
            <w:r w:rsidRPr="002A1856">
              <w:rPr>
                <w:lang w:val="en-US"/>
              </w:rPr>
              <w:t>1,</w:t>
            </w:r>
            <w:r w:rsidRPr="002A1856">
              <w:rPr>
                <w:rStyle w:val="FontStyle27"/>
                <w:sz w:val="24"/>
                <w:szCs w:val="24"/>
                <w:lang w:val="da-DK" w:eastAsia="da-DK"/>
              </w:rPr>
              <w:t>19</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Ingen særlig rekommandation.</w:t>
            </w:r>
          </w:p>
        </w:tc>
      </w:tr>
      <w:tr w:rsidR="002A1856" w:rsidRPr="002A1856" w:rsidTr="00236324">
        <w:tc>
          <w:tcPr>
            <w:tcW w:w="141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4" w:lineRule="exact"/>
              <w:rPr>
                <w:rStyle w:val="FontStyle27"/>
                <w:sz w:val="24"/>
                <w:szCs w:val="24"/>
                <w:lang w:val="da-DK" w:eastAsia="da-DK"/>
              </w:rPr>
            </w:pPr>
            <w:r w:rsidRPr="002A1856">
              <w:rPr>
                <w:rStyle w:val="FontStyle27"/>
                <w:sz w:val="24"/>
                <w:szCs w:val="24"/>
                <w:lang w:val="da-DK" w:eastAsia="da-DK"/>
              </w:rPr>
              <w:t>80 mg x 1 i 15 dage</w:t>
            </w: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 Phenazon, 600 mg enkeltdosis</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lang w:val="en-US"/>
              </w:rPr>
              <w:t>1,</w:t>
            </w:r>
            <w:r w:rsidRPr="002A1856">
              <w:rPr>
                <w:rStyle w:val="FontStyle27"/>
                <w:sz w:val="24"/>
                <w:szCs w:val="24"/>
              </w:rPr>
              <w:t>0</w:t>
            </w:r>
            <w:r w:rsidRPr="002A1856">
              <w:rPr>
                <w:rStyle w:val="FontStyle27"/>
                <w:sz w:val="24"/>
                <w:szCs w:val="24"/>
                <w:lang w:val="en-US"/>
              </w:rPr>
              <w:t>3</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Ingen særlig rekommandation.</w:t>
            </w:r>
          </w:p>
        </w:tc>
      </w:tr>
      <w:tr w:rsidR="002A1856" w:rsidRPr="002A1856" w:rsidTr="00236324">
        <w:tc>
          <w:tcPr>
            <w:tcW w:w="141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4" w:lineRule="exact"/>
              <w:rPr>
                <w:rStyle w:val="FontStyle27"/>
                <w:sz w:val="24"/>
                <w:szCs w:val="24"/>
                <w:lang w:val="da-DK" w:eastAsia="da-DK"/>
              </w:rPr>
            </w:pPr>
            <w:r w:rsidRPr="002A1856">
              <w:rPr>
                <w:rStyle w:val="FontStyle27"/>
                <w:sz w:val="24"/>
                <w:szCs w:val="24"/>
                <w:lang w:val="da-DK" w:eastAsia="da-DK"/>
              </w:rPr>
              <w:t>10 mg enkeltdosis</w:t>
            </w: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Tripranavir 500 mg x 2 /ritonavir 200 mg x 2, 7 dage</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lang w:val="en-US"/>
              </w:rPr>
            </w:pPr>
            <w:r w:rsidRPr="002A1856">
              <w:rPr>
                <w:lang w:val="en-US"/>
              </w:rPr>
              <w:t>1,08</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Ingen særlig rekommandation.</w:t>
            </w:r>
          </w:p>
        </w:tc>
      </w:tr>
      <w:tr w:rsidR="002A1856" w:rsidRPr="002A1856" w:rsidTr="00236324">
        <w:tc>
          <w:tcPr>
            <w:tcW w:w="141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4" w:lineRule="exact"/>
              <w:rPr>
                <w:rStyle w:val="FontStyle27"/>
                <w:sz w:val="24"/>
                <w:szCs w:val="24"/>
                <w:lang w:val="da-DK" w:eastAsia="da-DK"/>
              </w:rPr>
            </w:pPr>
            <w:r w:rsidRPr="002A1856">
              <w:rPr>
                <w:rStyle w:val="FontStyle27"/>
                <w:sz w:val="24"/>
                <w:szCs w:val="24"/>
                <w:lang w:val="da-DK" w:eastAsia="da-DK"/>
              </w:rPr>
              <w:t>10 mg x 1 i 4 dage</w:t>
            </w: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Fosamprenavir 1.400 mg x 2, 14 dage</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lang w:val="en-US"/>
              </w:rPr>
            </w:pPr>
            <w:r w:rsidRPr="002A1856">
              <w:rPr>
                <w:lang w:val="en-GB" w:bidi="en-US"/>
              </w:rPr>
              <w:t>0,73</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Ingen særlig rekommandation.</w:t>
            </w:r>
          </w:p>
        </w:tc>
      </w:tr>
      <w:tr w:rsidR="002A1856" w:rsidRPr="002A1856" w:rsidTr="00236324">
        <w:tc>
          <w:tcPr>
            <w:tcW w:w="141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54" w:lineRule="exact"/>
              <w:rPr>
                <w:rStyle w:val="FontStyle27"/>
                <w:sz w:val="24"/>
                <w:szCs w:val="24"/>
                <w:lang w:val="da-DK" w:eastAsia="da-DK"/>
              </w:rPr>
            </w:pPr>
            <w:r w:rsidRPr="002A1856">
              <w:rPr>
                <w:rStyle w:val="FontStyle27"/>
                <w:sz w:val="24"/>
                <w:szCs w:val="24"/>
                <w:lang w:val="da-DK" w:eastAsia="da-DK"/>
              </w:rPr>
              <w:t>10 mg x 1 i 4 dage</w:t>
            </w:r>
          </w:p>
        </w:tc>
        <w:tc>
          <w:tcPr>
            <w:tcW w:w="1682"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Fosamprenavir 700 mg x 2/ritonavir 100 mg x 2, 14 dage</w:t>
            </w:r>
          </w:p>
        </w:tc>
        <w:tc>
          <w:tcPr>
            <w:tcW w:w="766"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lang w:val="en-US"/>
              </w:rPr>
            </w:pPr>
            <w:r w:rsidRPr="002A1856">
              <w:rPr>
                <w:lang w:val="en-US"/>
              </w:rPr>
              <w:t>0,99</w:t>
            </w:r>
          </w:p>
        </w:tc>
        <w:tc>
          <w:tcPr>
            <w:tcW w:w="1141" w:type="pct"/>
            <w:tcBorders>
              <w:top w:val="single" w:sz="4" w:space="0" w:color="000000"/>
              <w:left w:val="single" w:sz="4" w:space="0" w:color="000000"/>
              <w:bottom w:val="single" w:sz="4" w:space="0" w:color="000000"/>
              <w:right w:val="single" w:sz="4" w:space="0" w:color="000000"/>
            </w:tcBorders>
            <w:hideMark/>
          </w:tcPr>
          <w:p w:rsidR="002A1856" w:rsidRPr="002A1856" w:rsidRDefault="002A1856" w:rsidP="00236324">
            <w:pPr>
              <w:pStyle w:val="Style20"/>
              <w:widowControl/>
              <w:spacing w:line="240" w:lineRule="auto"/>
              <w:rPr>
                <w:rStyle w:val="FontStyle27"/>
                <w:sz w:val="24"/>
                <w:szCs w:val="24"/>
                <w:lang w:val="da-DK" w:eastAsia="da-DK"/>
              </w:rPr>
            </w:pPr>
            <w:r w:rsidRPr="002A1856">
              <w:rPr>
                <w:rStyle w:val="FontStyle27"/>
                <w:sz w:val="24"/>
                <w:szCs w:val="24"/>
                <w:lang w:val="da-DK" w:eastAsia="da-DK"/>
              </w:rPr>
              <w:t>Ingen særlig rekommandation.</w:t>
            </w:r>
          </w:p>
        </w:tc>
      </w:tr>
    </w:tbl>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framePr w:hSpace="180" w:wrap="around" w:vAnchor="text" w:hAnchor="margin" w:xAlign="center" w:y="1"/>
        <w:autoSpaceDE w:val="0"/>
        <w:autoSpaceDN w:val="0"/>
        <w:adjustRightInd w:val="0"/>
        <w:ind w:left="426" w:hanging="426"/>
        <w:rPr>
          <w:sz w:val="24"/>
          <w:szCs w:val="24"/>
          <w:lang w:eastAsia="da-DK" w:bidi="te-IN"/>
        </w:rPr>
      </w:pPr>
      <w:r w:rsidRPr="002A1856">
        <w:rPr>
          <w:sz w:val="24"/>
          <w:szCs w:val="24"/>
          <w:vertAlign w:val="superscript"/>
        </w:rPr>
        <w:t>&amp;</w:t>
      </w:r>
      <w:r w:rsidRPr="002A1856">
        <w:rPr>
          <w:sz w:val="24"/>
          <w:szCs w:val="24"/>
          <w:vertAlign w:val="superscript"/>
        </w:rPr>
        <w:tab/>
      </w:r>
      <w:r w:rsidRPr="002A1856">
        <w:rPr>
          <w:sz w:val="24"/>
          <w:szCs w:val="24"/>
        </w:rPr>
        <w:t>Repræsenterer behandlingsratio (samtidigt behandlet lægemiddel samt atorvastatin overfor atorvastatin alene).</w:t>
      </w:r>
    </w:p>
    <w:p w:rsidR="002A1856" w:rsidRPr="002A1856" w:rsidRDefault="002A1856" w:rsidP="002A1856">
      <w:pPr>
        <w:pStyle w:val="Default"/>
        <w:ind w:left="426" w:hanging="426"/>
        <w:rPr>
          <w:color w:val="auto"/>
          <w:lang w:val="da-DK"/>
        </w:rPr>
      </w:pPr>
      <w:r w:rsidRPr="002A1856">
        <w:rPr>
          <w:color w:val="auto"/>
          <w:vertAlign w:val="superscript"/>
          <w:lang w:val="da-DK"/>
        </w:rPr>
        <w:t>*</w:t>
      </w:r>
      <w:r w:rsidRPr="002A1856">
        <w:rPr>
          <w:color w:val="auto"/>
          <w:lang w:val="da-DK"/>
        </w:rPr>
        <w:t xml:space="preserve">      Samtidig indgift af multiple doser af atorvastatin og phenazon viste en lille eller ingen målbar virkning på phenazons clearance.</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ind w:left="851" w:hanging="851"/>
        <w:rPr>
          <w:b/>
          <w:sz w:val="24"/>
          <w:szCs w:val="24"/>
        </w:rPr>
      </w:pPr>
      <w:r w:rsidRPr="002A1856">
        <w:rPr>
          <w:b/>
          <w:sz w:val="24"/>
          <w:szCs w:val="24"/>
        </w:rPr>
        <w:t>4.6</w:t>
      </w:r>
      <w:r w:rsidRPr="002A1856">
        <w:rPr>
          <w:b/>
          <w:sz w:val="24"/>
          <w:szCs w:val="24"/>
        </w:rPr>
        <w:tab/>
        <w:t>Fertilitet, graviditet og amning</w:t>
      </w:r>
    </w:p>
    <w:p w:rsidR="002A1856" w:rsidRPr="002A1856" w:rsidRDefault="002A1856" w:rsidP="002A1856">
      <w:pPr>
        <w:pStyle w:val="Style1"/>
        <w:widowControl/>
        <w:spacing w:line="240" w:lineRule="auto"/>
        <w:ind w:left="851" w:hanging="851"/>
        <w:rPr>
          <w:rStyle w:val="FontStyle27"/>
          <w:sz w:val="24"/>
          <w:szCs w:val="24"/>
          <w:u w:val="single"/>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rPr>
      </w:pPr>
      <w:r w:rsidRPr="002A1856">
        <w:rPr>
          <w:rStyle w:val="FontStyle27"/>
          <w:sz w:val="24"/>
          <w:szCs w:val="24"/>
          <w:u w:val="single"/>
          <w:lang w:val="da-DK" w:eastAsia="da-DK"/>
        </w:rPr>
        <w:t>Kvinder i den fertile alder</w:t>
      </w:r>
    </w:p>
    <w:p w:rsidR="002A1856" w:rsidRPr="002A1856" w:rsidRDefault="002A1856" w:rsidP="002A1856">
      <w:pPr>
        <w:pStyle w:val="Style6"/>
        <w:widowControl/>
        <w:spacing w:line="240" w:lineRule="auto"/>
        <w:ind w:left="851"/>
        <w:rPr>
          <w:rStyle w:val="FontStyle27"/>
          <w:sz w:val="24"/>
          <w:szCs w:val="24"/>
          <w:lang w:val="da-DK" w:eastAsia="da-DK"/>
        </w:rPr>
      </w:pPr>
      <w:r w:rsidRPr="002A1856">
        <w:rPr>
          <w:rStyle w:val="FontStyle27"/>
          <w:sz w:val="24"/>
          <w:szCs w:val="24"/>
          <w:lang w:val="da-DK" w:eastAsia="da-DK"/>
        </w:rPr>
        <w:t xml:space="preserve">Kvinder i den fertile alder skal anvende sikker kontraception under behandlingen (se pkt. 4.3). </w:t>
      </w:r>
    </w:p>
    <w:p w:rsidR="002A1856" w:rsidRPr="002A1856" w:rsidRDefault="002A1856" w:rsidP="002A1856">
      <w:pPr>
        <w:pStyle w:val="Style6"/>
        <w:widowControl/>
        <w:spacing w:line="240" w:lineRule="auto"/>
        <w:ind w:left="851" w:hanging="851"/>
        <w:rPr>
          <w:rStyle w:val="FontStyle27"/>
          <w:sz w:val="24"/>
          <w:szCs w:val="24"/>
          <w:lang w:val="da-DK" w:eastAsia="da-DK"/>
        </w:rPr>
      </w:pPr>
    </w:p>
    <w:p w:rsidR="002A1856" w:rsidRPr="002A1856" w:rsidRDefault="002A1856" w:rsidP="002A1856">
      <w:pPr>
        <w:pStyle w:val="Style6"/>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Graviditet</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Lipistad er kontraindiceret under graviditet (se pkt. 4.3). Sikkerheden ved anvendelse af atorvastatin under graviditet er ikke fastslået. Der er ikke udført kontrollerede kliniske forsøg med atorvastatin hos gravide kvinder. Sjældne rapporter om medfødte anomalier efter intrauterin påvirkning af HMG-CoA-reduktasehæmmere er set. Dyreforsøg har vist reproduktionstoksicitet (se pkt. 5.3).</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Af disse årsager må atorvastatin ikke anvendes til kvinder, der er gravide, prøver at blive det eller formoder, at de er det. Behandling med Lipistad skal seponeres under graviditet, eller indtil det er blevet afklaret, at kvinden ikke er gravid (se pkt. 4.3).</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u w:val="single"/>
          <w:lang w:eastAsia="da-DK"/>
        </w:rPr>
      </w:pPr>
      <w:r w:rsidRPr="002A1856">
        <w:rPr>
          <w:rStyle w:val="FontStyle27"/>
          <w:sz w:val="24"/>
          <w:szCs w:val="24"/>
          <w:u w:val="single"/>
          <w:lang w:val="da-DK" w:eastAsia="da-DK"/>
        </w:rPr>
        <w:t>Amning</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Det er ukendt, om atorvastatin eller dets metabolitter udskilles i human mælk. Hos rotter svarer koncentrationerne af atorvastatin og dets aktive metabolitter i plasma til koncentrationerne i mælken (se pkt. 5.3). På grund af risiko for alvorlige bivirkninger må kvinder, der tager atorvastatin, ikke amme deres børn (se pkt. 4.3). Atorvastatin er kontraindiceret under amning (se pkt. 4.3).</w:t>
      </w:r>
    </w:p>
    <w:p w:rsidR="002A1856" w:rsidRPr="002A1856" w:rsidRDefault="002A1856" w:rsidP="002A1856">
      <w:pPr>
        <w:pStyle w:val="Style1"/>
        <w:widowControl/>
        <w:spacing w:line="240" w:lineRule="auto"/>
        <w:ind w:left="851"/>
        <w:rPr>
          <w:rStyle w:val="FontStyle27"/>
          <w:sz w:val="24"/>
          <w:szCs w:val="24"/>
          <w:u w:val="single"/>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Fertilitet</w:t>
      </w: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lang w:val="da-DK" w:eastAsia="da-DK"/>
        </w:rPr>
        <w:t>I dyreforsøg havde atorvastatin ingen indvirkning på fertiliteten hos hverken hanner eller hunner (se pkt. 5.3).</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4.7</w:t>
      </w:r>
      <w:r w:rsidRPr="002A1856">
        <w:rPr>
          <w:b/>
          <w:sz w:val="24"/>
          <w:szCs w:val="24"/>
        </w:rPr>
        <w:tab/>
        <w:t>Virkning på evnen til at føre motorkøretøj og betjene maskiner</w:t>
      </w:r>
    </w:p>
    <w:p w:rsidR="002A1856" w:rsidRPr="002A1856" w:rsidRDefault="002A1856" w:rsidP="002A1856">
      <w:pPr>
        <w:pStyle w:val="Style1"/>
        <w:widowControl/>
        <w:spacing w:line="240" w:lineRule="auto"/>
        <w:ind w:left="851"/>
        <w:rPr>
          <w:rStyle w:val="FontStyle27"/>
          <w:sz w:val="24"/>
          <w:szCs w:val="24"/>
          <w:lang w:val="da-DK"/>
        </w:rPr>
      </w:pPr>
      <w:r w:rsidRPr="002A1856">
        <w:rPr>
          <w:rStyle w:val="FontStyle27"/>
          <w:sz w:val="24"/>
          <w:szCs w:val="24"/>
          <w:lang w:val="da-DK" w:eastAsia="da-DK"/>
        </w:rPr>
        <w:lastRenderedPageBreak/>
        <w:t>Ikke mærkning.</w:t>
      </w:r>
    </w:p>
    <w:p w:rsidR="002A1856" w:rsidRPr="002A1856" w:rsidRDefault="002A1856" w:rsidP="002A1856">
      <w:pPr>
        <w:ind w:left="851"/>
        <w:rPr>
          <w:sz w:val="24"/>
          <w:szCs w:val="24"/>
        </w:rPr>
      </w:pPr>
      <w:r w:rsidRPr="002A1856">
        <w:rPr>
          <w:rStyle w:val="FontStyle27"/>
          <w:sz w:val="24"/>
          <w:szCs w:val="24"/>
          <w:lang w:eastAsia="da-DK"/>
        </w:rPr>
        <w:t>Atorvastatin har ubetydelig indflydelse på evnen til at føre bil eller betjene maskiner.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4.8</w:t>
      </w:r>
      <w:r w:rsidRPr="002A1856">
        <w:rPr>
          <w:b/>
          <w:sz w:val="24"/>
          <w:szCs w:val="24"/>
        </w:rPr>
        <w:tab/>
        <w:t>Bivirkninger</w:t>
      </w:r>
    </w:p>
    <w:p w:rsidR="002A1856" w:rsidRPr="002A1856" w:rsidRDefault="002A1856" w:rsidP="002A1856">
      <w:pPr>
        <w:pStyle w:val="Sidehoved"/>
        <w:tabs>
          <w:tab w:val="clear" w:pos="4819"/>
          <w:tab w:val="clear" w:pos="9638"/>
        </w:tabs>
        <w:ind w:left="851"/>
        <w:rPr>
          <w:szCs w:val="24"/>
        </w:rPr>
      </w:pPr>
      <w:r w:rsidRPr="002A1856">
        <w:rPr>
          <w:szCs w:val="24"/>
        </w:rPr>
        <w:t>Ifølge databasen over placebo-kontrollerede kliniske forsøg med atorvastatin hos 16.066 patienter (8.755 fik atorvastatin og 7.311 placebo), der blev behandlet i gennemsnitligt 53 uger, seponerede 5,2 % af de patienter, der fik atorvastatin pga. bivirkninger sammenlignet med 4,0 % af de patienter, der fik placebo.</w:t>
      </w:r>
    </w:p>
    <w:p w:rsidR="002A1856" w:rsidRPr="002A1856" w:rsidRDefault="002A1856" w:rsidP="002A1856">
      <w:pPr>
        <w:pStyle w:val="Sidehoved"/>
        <w:tabs>
          <w:tab w:val="clear" w:pos="4819"/>
          <w:tab w:val="clear" w:pos="9638"/>
        </w:tabs>
        <w:ind w:left="851" w:hanging="851"/>
        <w:rPr>
          <w:szCs w:val="24"/>
        </w:rPr>
      </w:pPr>
    </w:p>
    <w:p w:rsidR="002A1856" w:rsidRPr="002A1856" w:rsidRDefault="002A1856" w:rsidP="002A1856">
      <w:pPr>
        <w:pStyle w:val="Sidehoved"/>
        <w:tabs>
          <w:tab w:val="clear" w:pos="4819"/>
          <w:tab w:val="clear" w:pos="9638"/>
        </w:tabs>
        <w:ind w:left="851"/>
        <w:rPr>
          <w:szCs w:val="24"/>
        </w:rPr>
      </w:pPr>
      <w:r w:rsidRPr="002A1856">
        <w:rPr>
          <w:szCs w:val="24"/>
        </w:rPr>
        <w:t>Atorvastatins sikkerhedsprofil, baseret på data fra kliniske studier og omfattende erfaring efter markedsføring, fremgår af nedennævnte tabel.</w:t>
      </w:r>
    </w:p>
    <w:p w:rsidR="002A1856" w:rsidRPr="002A1856" w:rsidRDefault="002A1856" w:rsidP="002A1856">
      <w:pPr>
        <w:pStyle w:val="Sidehoved"/>
        <w:tabs>
          <w:tab w:val="clear" w:pos="4819"/>
          <w:tab w:val="clear" w:pos="9638"/>
        </w:tabs>
        <w:ind w:left="851" w:hanging="851"/>
        <w:rPr>
          <w:szCs w:val="24"/>
        </w:rPr>
      </w:pPr>
    </w:p>
    <w:p w:rsidR="002A1856" w:rsidRPr="002A1856" w:rsidRDefault="002A1856" w:rsidP="002A1856">
      <w:pPr>
        <w:pStyle w:val="Sidehoved"/>
        <w:tabs>
          <w:tab w:val="clear" w:pos="4819"/>
          <w:tab w:val="clear" w:pos="9638"/>
        </w:tabs>
        <w:ind w:left="851"/>
        <w:rPr>
          <w:szCs w:val="24"/>
        </w:rPr>
      </w:pPr>
      <w:r w:rsidRPr="002A1856">
        <w:rPr>
          <w:szCs w:val="24"/>
        </w:rPr>
        <w:t>De estimerede bivirkningsfrekvenser er opstillet i henhold til følgende:</w:t>
      </w:r>
    </w:p>
    <w:p w:rsidR="002A1856" w:rsidRPr="002A1856" w:rsidRDefault="002A1856" w:rsidP="002A1856">
      <w:pPr>
        <w:pStyle w:val="Sidehoved"/>
        <w:tabs>
          <w:tab w:val="clear" w:pos="4819"/>
          <w:tab w:val="clear" w:pos="9638"/>
        </w:tabs>
        <w:ind w:left="851" w:hanging="851"/>
        <w:rPr>
          <w:szCs w:val="24"/>
        </w:rPr>
      </w:pPr>
    </w:p>
    <w:p w:rsidR="002A1856" w:rsidRPr="002A1856" w:rsidRDefault="002A1856" w:rsidP="002A1856">
      <w:pPr>
        <w:ind w:left="851"/>
        <w:rPr>
          <w:sz w:val="24"/>
          <w:szCs w:val="24"/>
        </w:rPr>
      </w:pPr>
      <w:r w:rsidRPr="002A1856">
        <w:rPr>
          <w:sz w:val="24"/>
          <w:szCs w:val="24"/>
        </w:rPr>
        <w:t xml:space="preserve">Almindelig </w:t>
      </w:r>
      <w:r w:rsidRPr="002A1856">
        <w:rPr>
          <w:spacing w:val="-3"/>
          <w:sz w:val="24"/>
          <w:szCs w:val="24"/>
        </w:rPr>
        <w:t>(</w:t>
      </w:r>
      <w:r w:rsidRPr="002A1856">
        <w:rPr>
          <w:spacing w:val="-3"/>
          <w:sz w:val="24"/>
          <w:szCs w:val="24"/>
        </w:rPr>
        <w:sym w:font="Symbol" w:char="F0B3"/>
      </w:r>
      <w:r w:rsidRPr="002A1856">
        <w:rPr>
          <w:spacing w:val="-3"/>
          <w:sz w:val="24"/>
          <w:szCs w:val="24"/>
        </w:rPr>
        <w:t>1/100, &lt;1/10)</w:t>
      </w:r>
      <w:r w:rsidRPr="002A1856" w:rsidDel="006000FE">
        <w:rPr>
          <w:sz w:val="24"/>
          <w:szCs w:val="24"/>
        </w:rPr>
        <w:t xml:space="preserve"> </w:t>
      </w:r>
    </w:p>
    <w:p w:rsidR="002A1856" w:rsidRPr="002A1856" w:rsidRDefault="002A1856" w:rsidP="002A1856">
      <w:pPr>
        <w:ind w:left="851"/>
        <w:rPr>
          <w:sz w:val="24"/>
          <w:szCs w:val="24"/>
        </w:rPr>
      </w:pPr>
      <w:r w:rsidRPr="002A1856">
        <w:rPr>
          <w:sz w:val="24"/>
          <w:szCs w:val="24"/>
        </w:rPr>
        <w:t xml:space="preserve">Ikke almindelig </w:t>
      </w:r>
      <w:r w:rsidRPr="002A1856">
        <w:rPr>
          <w:spacing w:val="-3"/>
          <w:sz w:val="24"/>
          <w:szCs w:val="24"/>
        </w:rPr>
        <w:t>(</w:t>
      </w:r>
      <w:r w:rsidRPr="002A1856">
        <w:rPr>
          <w:spacing w:val="-3"/>
          <w:sz w:val="24"/>
          <w:szCs w:val="24"/>
        </w:rPr>
        <w:sym w:font="Symbol" w:char="F0B3"/>
      </w:r>
      <w:r w:rsidRPr="002A1856">
        <w:rPr>
          <w:spacing w:val="-3"/>
          <w:sz w:val="24"/>
          <w:szCs w:val="24"/>
        </w:rPr>
        <w:t>1/1000 og &lt;1/100)</w:t>
      </w:r>
      <w:r w:rsidRPr="002A1856" w:rsidDel="00213806">
        <w:rPr>
          <w:sz w:val="24"/>
          <w:szCs w:val="24"/>
        </w:rPr>
        <w:t xml:space="preserve"> </w:t>
      </w:r>
    </w:p>
    <w:p w:rsidR="002A1856" w:rsidRPr="002A1856" w:rsidRDefault="002A1856" w:rsidP="002A1856">
      <w:pPr>
        <w:ind w:left="851"/>
        <w:rPr>
          <w:sz w:val="24"/>
          <w:szCs w:val="24"/>
        </w:rPr>
      </w:pPr>
      <w:r w:rsidRPr="002A1856">
        <w:rPr>
          <w:sz w:val="24"/>
          <w:szCs w:val="24"/>
        </w:rPr>
        <w:t xml:space="preserve">Sjælden </w:t>
      </w:r>
      <w:r w:rsidRPr="002A1856">
        <w:rPr>
          <w:spacing w:val="-3"/>
          <w:sz w:val="24"/>
          <w:szCs w:val="24"/>
        </w:rPr>
        <w:t>(</w:t>
      </w:r>
      <w:r w:rsidRPr="002A1856">
        <w:rPr>
          <w:spacing w:val="-3"/>
          <w:sz w:val="24"/>
          <w:szCs w:val="24"/>
        </w:rPr>
        <w:sym w:font="Symbol" w:char="F0B3"/>
      </w:r>
      <w:r w:rsidRPr="002A1856">
        <w:rPr>
          <w:spacing w:val="-3"/>
          <w:sz w:val="24"/>
          <w:szCs w:val="24"/>
        </w:rPr>
        <w:t>1/10.000 og &lt;1/1000)</w:t>
      </w:r>
      <w:r w:rsidRPr="002A1856" w:rsidDel="00A35030">
        <w:rPr>
          <w:sz w:val="24"/>
          <w:szCs w:val="24"/>
        </w:rPr>
        <w:t xml:space="preserve"> </w:t>
      </w:r>
    </w:p>
    <w:p w:rsidR="002A1856" w:rsidRPr="002A1856" w:rsidRDefault="002A1856" w:rsidP="002A1856">
      <w:pPr>
        <w:ind w:left="851"/>
        <w:rPr>
          <w:sz w:val="24"/>
          <w:szCs w:val="24"/>
        </w:rPr>
      </w:pPr>
      <w:r w:rsidRPr="002A1856">
        <w:rPr>
          <w:sz w:val="24"/>
          <w:szCs w:val="24"/>
        </w:rPr>
        <w:t xml:space="preserve">Meget Sjælden </w:t>
      </w:r>
      <w:r w:rsidRPr="002A1856">
        <w:rPr>
          <w:spacing w:val="-3"/>
          <w:sz w:val="24"/>
          <w:szCs w:val="24"/>
        </w:rPr>
        <w:t>(</w:t>
      </w:r>
      <w:r w:rsidRPr="002A1856">
        <w:rPr>
          <w:bCs/>
          <w:spacing w:val="-3"/>
          <w:sz w:val="24"/>
          <w:szCs w:val="24"/>
        </w:rPr>
        <w:t>&lt;</w:t>
      </w:r>
      <w:r w:rsidRPr="002A1856">
        <w:rPr>
          <w:spacing w:val="-3"/>
          <w:sz w:val="24"/>
          <w:szCs w:val="24"/>
        </w:rPr>
        <w:t>1/10.000)</w:t>
      </w:r>
      <w:r w:rsidRPr="002A1856" w:rsidDel="0020023A">
        <w:rPr>
          <w:sz w:val="24"/>
          <w:szCs w:val="24"/>
        </w:rPr>
        <w:t xml:space="preserve"> </w:t>
      </w:r>
    </w:p>
    <w:p w:rsidR="002A1856" w:rsidRPr="002A1856" w:rsidRDefault="002A1856" w:rsidP="002A1856">
      <w:pPr>
        <w:ind w:left="851"/>
        <w:rPr>
          <w:sz w:val="24"/>
          <w:szCs w:val="24"/>
        </w:rPr>
      </w:pPr>
      <w:r w:rsidRPr="002A1856">
        <w:rPr>
          <w:sz w:val="24"/>
          <w:szCs w:val="24"/>
        </w:rPr>
        <w:t>Ikke kendt (hyppighed kan ikke estimeres ud fra forhåndenværende data)</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 xml:space="preserve">Infektioner og parasitære sygdomme </w:t>
      </w:r>
    </w:p>
    <w:p w:rsidR="002A1856" w:rsidRPr="002A1856" w:rsidRDefault="002A1856" w:rsidP="002A1856">
      <w:pPr>
        <w:pStyle w:val="Sidehoved"/>
        <w:tabs>
          <w:tab w:val="clear" w:pos="4819"/>
          <w:tab w:val="clear" w:pos="9638"/>
        </w:tabs>
        <w:ind w:left="851"/>
        <w:jc w:val="both"/>
        <w:rPr>
          <w:szCs w:val="24"/>
        </w:rPr>
      </w:pPr>
      <w:r w:rsidRPr="002A1856">
        <w:rPr>
          <w:szCs w:val="24"/>
        </w:rPr>
        <w:t>Almindelig: Nasopharyngitis.</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 xml:space="preserve">Blod- og lymfesystem </w:t>
      </w:r>
    </w:p>
    <w:p w:rsidR="002A1856" w:rsidRPr="002A1856" w:rsidRDefault="002A1856" w:rsidP="002A1856">
      <w:pPr>
        <w:pStyle w:val="Sidehoved"/>
        <w:tabs>
          <w:tab w:val="clear" w:pos="4819"/>
          <w:tab w:val="clear" w:pos="9638"/>
        </w:tabs>
        <w:ind w:left="851"/>
        <w:jc w:val="both"/>
        <w:rPr>
          <w:szCs w:val="24"/>
        </w:rPr>
      </w:pPr>
      <w:r w:rsidRPr="002A1856">
        <w:rPr>
          <w:szCs w:val="24"/>
        </w:rPr>
        <w:t>Sjælden: Trombocytopeni.</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Immunsystemet</w:t>
      </w:r>
    </w:p>
    <w:p w:rsidR="002A1856" w:rsidRPr="002A1856" w:rsidRDefault="002A1856" w:rsidP="002A1856">
      <w:pPr>
        <w:pStyle w:val="Sidehoved"/>
        <w:tabs>
          <w:tab w:val="clear" w:pos="4819"/>
          <w:tab w:val="clear" w:pos="9638"/>
        </w:tabs>
        <w:ind w:left="851"/>
        <w:jc w:val="both"/>
        <w:rPr>
          <w:szCs w:val="24"/>
        </w:rPr>
      </w:pPr>
      <w:r w:rsidRPr="002A1856">
        <w:rPr>
          <w:szCs w:val="24"/>
        </w:rPr>
        <w:t xml:space="preserve">Almindelig: Allergiske reaktioner. </w:t>
      </w:r>
    </w:p>
    <w:p w:rsidR="002A1856" w:rsidRPr="002A1856" w:rsidRDefault="002A1856" w:rsidP="002A1856">
      <w:pPr>
        <w:pStyle w:val="Sidehoved"/>
        <w:tabs>
          <w:tab w:val="clear" w:pos="4819"/>
          <w:tab w:val="clear" w:pos="9638"/>
        </w:tabs>
        <w:ind w:left="851"/>
        <w:jc w:val="both"/>
        <w:rPr>
          <w:szCs w:val="24"/>
        </w:rPr>
      </w:pPr>
      <w:r w:rsidRPr="002A1856">
        <w:rPr>
          <w:szCs w:val="24"/>
        </w:rPr>
        <w:t>Meget sjælden: Anafylaksi.</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 xml:space="preserve">Metabolisme og ernæring </w:t>
      </w:r>
    </w:p>
    <w:p w:rsidR="002A1856" w:rsidRPr="002A1856" w:rsidRDefault="002A1856" w:rsidP="002A1856">
      <w:pPr>
        <w:pStyle w:val="Sidehoved"/>
        <w:tabs>
          <w:tab w:val="clear" w:pos="4819"/>
          <w:tab w:val="clear" w:pos="9638"/>
        </w:tabs>
        <w:ind w:left="851"/>
        <w:jc w:val="both"/>
        <w:rPr>
          <w:szCs w:val="24"/>
        </w:rPr>
      </w:pPr>
      <w:r w:rsidRPr="002A1856">
        <w:rPr>
          <w:szCs w:val="24"/>
        </w:rPr>
        <w:t>Almindelig: Hyperglykæmi.</w:t>
      </w:r>
    </w:p>
    <w:p w:rsidR="002A1856" w:rsidRPr="002A1856" w:rsidRDefault="002A1856" w:rsidP="002A1856">
      <w:pPr>
        <w:pStyle w:val="Sidehoved"/>
        <w:tabs>
          <w:tab w:val="clear" w:pos="4819"/>
          <w:tab w:val="clear" w:pos="9638"/>
        </w:tabs>
        <w:ind w:left="851"/>
        <w:jc w:val="both"/>
        <w:rPr>
          <w:szCs w:val="24"/>
        </w:rPr>
      </w:pPr>
      <w:r w:rsidRPr="002A1856">
        <w:rPr>
          <w:szCs w:val="24"/>
        </w:rPr>
        <w:t>Ikke almindelig: Hypoglykæmi, vægtstigning, anoreksi.</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Psykiske forstyrrelser</w:t>
      </w:r>
    </w:p>
    <w:p w:rsidR="002A1856" w:rsidRPr="002A1856" w:rsidRDefault="002A1856" w:rsidP="002A1856">
      <w:pPr>
        <w:pStyle w:val="Sidehoved"/>
        <w:tabs>
          <w:tab w:val="clear" w:pos="4819"/>
          <w:tab w:val="clear" w:pos="9638"/>
        </w:tabs>
        <w:ind w:left="851"/>
        <w:jc w:val="both"/>
        <w:rPr>
          <w:szCs w:val="24"/>
        </w:rPr>
      </w:pPr>
      <w:r w:rsidRPr="002A1856">
        <w:rPr>
          <w:szCs w:val="24"/>
        </w:rPr>
        <w:t>Ikke almindelig: Mareridt, søvnløshed.</w:t>
      </w:r>
    </w:p>
    <w:p w:rsidR="002A1856" w:rsidRPr="002A1856" w:rsidRDefault="002A1856" w:rsidP="002A1856">
      <w:pPr>
        <w:rPr>
          <w:sz w:val="24"/>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 xml:space="preserve">Nervesystemet </w:t>
      </w:r>
    </w:p>
    <w:p w:rsidR="002A1856" w:rsidRPr="002A1856" w:rsidRDefault="002A1856" w:rsidP="002A1856">
      <w:pPr>
        <w:pStyle w:val="Sidehoved"/>
        <w:tabs>
          <w:tab w:val="clear" w:pos="4819"/>
          <w:tab w:val="clear" w:pos="9638"/>
        </w:tabs>
        <w:ind w:left="851"/>
        <w:jc w:val="both"/>
        <w:rPr>
          <w:szCs w:val="24"/>
        </w:rPr>
      </w:pPr>
      <w:r w:rsidRPr="002A1856">
        <w:rPr>
          <w:szCs w:val="24"/>
        </w:rPr>
        <w:t>Almindelig: Hovedpine</w:t>
      </w:r>
    </w:p>
    <w:p w:rsidR="002A1856" w:rsidRPr="002A1856" w:rsidRDefault="002A1856" w:rsidP="002A1856">
      <w:pPr>
        <w:pStyle w:val="Sidehoved"/>
        <w:tabs>
          <w:tab w:val="clear" w:pos="4819"/>
          <w:tab w:val="clear" w:pos="9638"/>
        </w:tabs>
        <w:ind w:left="851"/>
        <w:jc w:val="both"/>
        <w:rPr>
          <w:szCs w:val="24"/>
        </w:rPr>
      </w:pPr>
      <w:r w:rsidRPr="002A1856">
        <w:rPr>
          <w:szCs w:val="24"/>
        </w:rPr>
        <w:t xml:space="preserve">Ikke almindelig: Svimmelhed, paræstesi, hypæstesi, dysgeusi, amnesi. </w:t>
      </w:r>
    </w:p>
    <w:p w:rsidR="002A1856" w:rsidRPr="002A1856" w:rsidRDefault="002A1856" w:rsidP="002A1856">
      <w:pPr>
        <w:pStyle w:val="Sidehoved"/>
        <w:tabs>
          <w:tab w:val="clear" w:pos="4819"/>
          <w:tab w:val="clear" w:pos="9638"/>
        </w:tabs>
        <w:ind w:left="851"/>
        <w:jc w:val="both"/>
        <w:rPr>
          <w:szCs w:val="24"/>
        </w:rPr>
      </w:pPr>
      <w:r w:rsidRPr="002A1856">
        <w:rPr>
          <w:szCs w:val="24"/>
        </w:rPr>
        <w:t>Sjælden: Perifer neuropati.</w:t>
      </w:r>
    </w:p>
    <w:p w:rsidR="002A1856" w:rsidRPr="002A1856" w:rsidRDefault="002A1856" w:rsidP="002A1856">
      <w:pPr>
        <w:pStyle w:val="Sidehoved"/>
        <w:tabs>
          <w:tab w:val="clear" w:pos="4819"/>
          <w:tab w:val="clear" w:pos="9638"/>
        </w:tabs>
        <w:ind w:left="851"/>
        <w:jc w:val="both"/>
        <w:rPr>
          <w:szCs w:val="24"/>
        </w:rPr>
      </w:pPr>
      <w:r w:rsidRPr="002A1856">
        <w:rPr>
          <w:szCs w:val="24"/>
        </w:rPr>
        <w:t>Ikke kendt: Myasthenia gravis</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Øjne</w:t>
      </w:r>
    </w:p>
    <w:p w:rsidR="002A1856" w:rsidRPr="002A1856" w:rsidRDefault="002A1856" w:rsidP="002A1856">
      <w:pPr>
        <w:pStyle w:val="Sidehoved"/>
        <w:tabs>
          <w:tab w:val="clear" w:pos="4819"/>
          <w:tab w:val="clear" w:pos="9638"/>
        </w:tabs>
        <w:ind w:left="851"/>
        <w:jc w:val="both"/>
        <w:rPr>
          <w:szCs w:val="24"/>
        </w:rPr>
      </w:pPr>
      <w:r w:rsidRPr="002A1856">
        <w:rPr>
          <w:szCs w:val="24"/>
        </w:rPr>
        <w:t xml:space="preserve">Ikke almindelig: Uskarpt syn. </w:t>
      </w:r>
    </w:p>
    <w:p w:rsidR="002A1856" w:rsidRPr="002A1856" w:rsidRDefault="002A1856" w:rsidP="002A1856">
      <w:pPr>
        <w:pStyle w:val="Sidehoved"/>
        <w:tabs>
          <w:tab w:val="clear" w:pos="4819"/>
          <w:tab w:val="clear" w:pos="9638"/>
        </w:tabs>
        <w:ind w:left="851"/>
        <w:jc w:val="both"/>
        <w:rPr>
          <w:szCs w:val="24"/>
        </w:rPr>
      </w:pPr>
      <w:r w:rsidRPr="002A1856">
        <w:rPr>
          <w:szCs w:val="24"/>
        </w:rPr>
        <w:t>Sjælden: Synsforstyrrelser.</w:t>
      </w:r>
    </w:p>
    <w:p w:rsidR="002A1856" w:rsidRPr="002A1856" w:rsidRDefault="002A1856" w:rsidP="002A1856">
      <w:pPr>
        <w:pStyle w:val="Sidehoved"/>
        <w:tabs>
          <w:tab w:val="clear" w:pos="4819"/>
          <w:tab w:val="clear" w:pos="9638"/>
        </w:tabs>
        <w:ind w:left="851"/>
        <w:jc w:val="both"/>
        <w:rPr>
          <w:szCs w:val="24"/>
        </w:rPr>
      </w:pPr>
      <w:r w:rsidRPr="002A1856">
        <w:rPr>
          <w:szCs w:val="24"/>
        </w:rPr>
        <w:t>Ikke kendt: Okulær myasteni</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Øre og labyrint</w:t>
      </w:r>
    </w:p>
    <w:p w:rsidR="002A1856" w:rsidRPr="002A1856" w:rsidRDefault="002A1856" w:rsidP="002A1856">
      <w:pPr>
        <w:pStyle w:val="Sidehoved"/>
        <w:tabs>
          <w:tab w:val="clear" w:pos="4819"/>
          <w:tab w:val="clear" w:pos="9638"/>
        </w:tabs>
        <w:ind w:left="851"/>
        <w:jc w:val="both"/>
        <w:rPr>
          <w:szCs w:val="24"/>
        </w:rPr>
      </w:pPr>
      <w:r w:rsidRPr="002A1856">
        <w:rPr>
          <w:szCs w:val="24"/>
        </w:rPr>
        <w:t>Ikke almindelig: Tinnitus</w:t>
      </w:r>
    </w:p>
    <w:p w:rsidR="002A1856" w:rsidRPr="002A1856" w:rsidRDefault="002A1856" w:rsidP="002A1856">
      <w:pPr>
        <w:pStyle w:val="Sidehoved"/>
        <w:tabs>
          <w:tab w:val="clear" w:pos="4819"/>
          <w:tab w:val="clear" w:pos="9638"/>
        </w:tabs>
        <w:ind w:left="851"/>
        <w:jc w:val="both"/>
        <w:rPr>
          <w:szCs w:val="24"/>
        </w:rPr>
      </w:pPr>
      <w:r w:rsidRPr="002A1856">
        <w:rPr>
          <w:szCs w:val="24"/>
        </w:rPr>
        <w:t>Meget sjælden: Høretab.</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Vaskulære sygdomme</w:t>
      </w:r>
    </w:p>
    <w:p w:rsidR="002A1856" w:rsidRPr="002A1856" w:rsidRDefault="002A1856" w:rsidP="002A1856">
      <w:pPr>
        <w:pStyle w:val="Sidehoved"/>
        <w:tabs>
          <w:tab w:val="clear" w:pos="4819"/>
          <w:tab w:val="clear" w:pos="9638"/>
        </w:tabs>
        <w:ind w:left="851"/>
        <w:jc w:val="both"/>
        <w:rPr>
          <w:szCs w:val="24"/>
          <w:u w:val="single"/>
        </w:rPr>
      </w:pPr>
      <w:r w:rsidRPr="002A1856">
        <w:rPr>
          <w:szCs w:val="24"/>
        </w:rPr>
        <w:t>Sjælden: Vaskulitis</w:t>
      </w:r>
    </w:p>
    <w:p w:rsidR="002A1856" w:rsidRPr="002A1856" w:rsidRDefault="002A1856" w:rsidP="002A1856">
      <w:pPr>
        <w:pStyle w:val="Sidehoved"/>
        <w:tabs>
          <w:tab w:val="clear" w:pos="4819"/>
          <w:tab w:val="clear" w:pos="9638"/>
        </w:tabs>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Luftveje, thorax og mediastinum</w:t>
      </w:r>
    </w:p>
    <w:p w:rsidR="002A1856" w:rsidRPr="002A1856" w:rsidRDefault="002A1856" w:rsidP="002A1856">
      <w:pPr>
        <w:pStyle w:val="Sidehoved"/>
        <w:tabs>
          <w:tab w:val="clear" w:pos="4819"/>
          <w:tab w:val="clear" w:pos="9638"/>
        </w:tabs>
        <w:ind w:left="851"/>
        <w:jc w:val="both"/>
        <w:rPr>
          <w:szCs w:val="24"/>
        </w:rPr>
      </w:pPr>
      <w:r w:rsidRPr="002A1856">
        <w:rPr>
          <w:szCs w:val="24"/>
        </w:rPr>
        <w:t>Almindelig: Faryngolaryngeale smerter, epistaxis.</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Mave-tarmkanalen</w:t>
      </w:r>
    </w:p>
    <w:p w:rsidR="002A1856" w:rsidRPr="002A1856" w:rsidRDefault="002A1856" w:rsidP="002A1856">
      <w:pPr>
        <w:pStyle w:val="Sidehoved"/>
        <w:tabs>
          <w:tab w:val="clear" w:pos="4819"/>
          <w:tab w:val="clear" w:pos="9638"/>
        </w:tabs>
        <w:ind w:left="851"/>
        <w:jc w:val="both"/>
        <w:rPr>
          <w:szCs w:val="24"/>
        </w:rPr>
      </w:pPr>
      <w:r w:rsidRPr="002A1856">
        <w:rPr>
          <w:szCs w:val="24"/>
        </w:rPr>
        <w:t>Almindelig: Obstipation, flatulens, dyspepsi, kvalme, diarré.</w:t>
      </w:r>
    </w:p>
    <w:p w:rsidR="002A1856" w:rsidRPr="002A1856" w:rsidRDefault="002A1856" w:rsidP="002A1856">
      <w:pPr>
        <w:pStyle w:val="Sidehoved"/>
        <w:tabs>
          <w:tab w:val="clear" w:pos="4819"/>
          <w:tab w:val="clear" w:pos="9638"/>
        </w:tabs>
        <w:ind w:left="851"/>
        <w:jc w:val="both"/>
        <w:rPr>
          <w:szCs w:val="24"/>
        </w:rPr>
      </w:pPr>
      <w:r w:rsidRPr="002A1856">
        <w:rPr>
          <w:szCs w:val="24"/>
        </w:rPr>
        <w:t>Ikke almindelig: Opkastning, abdominalsmerter, ructus, pancreatitis.</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 xml:space="preserve">Lever- og galdeveje </w:t>
      </w:r>
    </w:p>
    <w:p w:rsidR="002A1856" w:rsidRPr="002A1856" w:rsidRDefault="002A1856" w:rsidP="002A1856">
      <w:pPr>
        <w:pStyle w:val="Sidehoved"/>
        <w:tabs>
          <w:tab w:val="clear" w:pos="4819"/>
          <w:tab w:val="clear" w:pos="9638"/>
        </w:tabs>
        <w:ind w:left="851"/>
        <w:jc w:val="both"/>
        <w:rPr>
          <w:szCs w:val="24"/>
        </w:rPr>
      </w:pPr>
      <w:r w:rsidRPr="002A1856">
        <w:rPr>
          <w:szCs w:val="24"/>
        </w:rPr>
        <w:t xml:space="preserve">Ikke almindelig: Hepatitis. </w:t>
      </w:r>
    </w:p>
    <w:p w:rsidR="002A1856" w:rsidRPr="002A1856" w:rsidRDefault="002A1856" w:rsidP="002A1856">
      <w:pPr>
        <w:pStyle w:val="Sidehoved"/>
        <w:tabs>
          <w:tab w:val="clear" w:pos="4819"/>
          <w:tab w:val="clear" w:pos="9638"/>
        </w:tabs>
        <w:ind w:left="851"/>
        <w:jc w:val="both"/>
        <w:rPr>
          <w:szCs w:val="24"/>
        </w:rPr>
      </w:pPr>
      <w:r w:rsidRPr="002A1856">
        <w:rPr>
          <w:szCs w:val="24"/>
        </w:rPr>
        <w:t xml:space="preserve">Sjælden: Kolestase. </w:t>
      </w:r>
    </w:p>
    <w:p w:rsidR="002A1856" w:rsidRPr="002A1856" w:rsidRDefault="002A1856" w:rsidP="002A1856">
      <w:pPr>
        <w:pStyle w:val="Sidehoved"/>
        <w:tabs>
          <w:tab w:val="clear" w:pos="4819"/>
          <w:tab w:val="clear" w:pos="9638"/>
        </w:tabs>
        <w:ind w:left="851"/>
        <w:jc w:val="both"/>
        <w:rPr>
          <w:szCs w:val="24"/>
        </w:rPr>
      </w:pPr>
      <w:r w:rsidRPr="002A1856">
        <w:rPr>
          <w:szCs w:val="24"/>
        </w:rPr>
        <w:t>Meget sjælden: Leversvigt.</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Hud og subkutane væv</w:t>
      </w:r>
    </w:p>
    <w:p w:rsidR="002A1856" w:rsidRPr="002A1856" w:rsidRDefault="002A1856" w:rsidP="002A1856">
      <w:pPr>
        <w:pStyle w:val="Sidehoved"/>
        <w:tabs>
          <w:tab w:val="clear" w:pos="4819"/>
          <w:tab w:val="clear" w:pos="9638"/>
        </w:tabs>
        <w:ind w:left="851"/>
        <w:jc w:val="both"/>
        <w:rPr>
          <w:szCs w:val="24"/>
        </w:rPr>
      </w:pPr>
      <w:r w:rsidRPr="002A1856">
        <w:rPr>
          <w:szCs w:val="24"/>
        </w:rPr>
        <w:t>Ikke almindelig: Urticaria, hududslæt, kløe, alopeci.</w:t>
      </w:r>
    </w:p>
    <w:p w:rsidR="002A1856" w:rsidRPr="002A1856" w:rsidRDefault="002A1856" w:rsidP="002A1856">
      <w:pPr>
        <w:pStyle w:val="Sidehoved"/>
        <w:tabs>
          <w:tab w:val="clear" w:pos="4819"/>
          <w:tab w:val="clear" w:pos="9638"/>
        </w:tabs>
        <w:ind w:left="851"/>
        <w:jc w:val="both"/>
        <w:rPr>
          <w:szCs w:val="24"/>
        </w:rPr>
      </w:pPr>
      <w:r w:rsidRPr="002A1856">
        <w:rPr>
          <w:szCs w:val="24"/>
        </w:rPr>
        <w:t>Sjælden: Angioødem, bulløs dermatitis (herunder erythema multiforme, Stevens-Johnsons syndrom og toksisk epidermal nekrolyse, lichenoid lægemiddelreaktion).</w:t>
      </w:r>
    </w:p>
    <w:p w:rsidR="002A1856" w:rsidRPr="002A1856" w:rsidRDefault="002A1856" w:rsidP="002A1856">
      <w:pPr>
        <w:pStyle w:val="Sidehoved"/>
        <w:tabs>
          <w:tab w:val="clear" w:pos="4819"/>
          <w:tab w:val="clear" w:pos="9638"/>
        </w:tabs>
        <w:ind w:left="851"/>
        <w:jc w:val="both"/>
        <w:rPr>
          <w:szCs w:val="24"/>
        </w:rPr>
      </w:pPr>
    </w:p>
    <w:p w:rsidR="002A1856" w:rsidRPr="002A1856" w:rsidRDefault="002A1856" w:rsidP="002A1856">
      <w:pPr>
        <w:pStyle w:val="Sidehoved"/>
        <w:tabs>
          <w:tab w:val="clear" w:pos="4819"/>
          <w:tab w:val="clear" w:pos="9638"/>
        </w:tabs>
        <w:ind w:left="851"/>
        <w:jc w:val="both"/>
        <w:rPr>
          <w:szCs w:val="24"/>
          <w:u w:val="single"/>
        </w:rPr>
      </w:pPr>
      <w:r w:rsidRPr="002A1856">
        <w:rPr>
          <w:szCs w:val="24"/>
          <w:u w:val="single"/>
        </w:rPr>
        <w:t>Knogler, led, muskler og bindevæv</w:t>
      </w:r>
    </w:p>
    <w:p w:rsidR="002A1856" w:rsidRPr="002A1856" w:rsidRDefault="002A1856" w:rsidP="002A1856">
      <w:pPr>
        <w:pStyle w:val="Sidehoved"/>
        <w:tabs>
          <w:tab w:val="clear" w:pos="4819"/>
          <w:tab w:val="clear" w:pos="9638"/>
        </w:tabs>
        <w:ind w:left="851"/>
        <w:jc w:val="both"/>
        <w:rPr>
          <w:szCs w:val="24"/>
        </w:rPr>
      </w:pPr>
      <w:r w:rsidRPr="002A1856">
        <w:rPr>
          <w:szCs w:val="24"/>
        </w:rPr>
        <w:t xml:space="preserve">Almindelig: Myalgi, artralgi, ekstremitetssmerter, muskelspasmer, hævede led, rygsmerter. </w:t>
      </w:r>
    </w:p>
    <w:p w:rsidR="002A1856" w:rsidRPr="002A1856" w:rsidRDefault="002A1856" w:rsidP="002A1856">
      <w:pPr>
        <w:pStyle w:val="Sidehoved"/>
        <w:tabs>
          <w:tab w:val="clear" w:pos="4819"/>
          <w:tab w:val="clear" w:pos="9638"/>
        </w:tabs>
        <w:ind w:left="851"/>
        <w:jc w:val="both"/>
        <w:rPr>
          <w:szCs w:val="24"/>
        </w:rPr>
      </w:pPr>
      <w:r w:rsidRPr="002A1856">
        <w:rPr>
          <w:szCs w:val="24"/>
        </w:rPr>
        <w:t>Ikke almindelig: Nakkesmerter, muskelsvaghed.</w:t>
      </w:r>
    </w:p>
    <w:p w:rsidR="002A1856" w:rsidRPr="002A1856" w:rsidRDefault="002A1856" w:rsidP="002A1856">
      <w:pPr>
        <w:pStyle w:val="Sidehoved"/>
        <w:tabs>
          <w:tab w:val="clear" w:pos="4819"/>
          <w:tab w:val="clear" w:pos="9638"/>
        </w:tabs>
        <w:ind w:left="851"/>
        <w:jc w:val="both"/>
        <w:rPr>
          <w:szCs w:val="24"/>
        </w:rPr>
      </w:pPr>
      <w:r w:rsidRPr="002A1856">
        <w:rPr>
          <w:szCs w:val="24"/>
        </w:rPr>
        <w:t>Sjælden: Myopati, myositis, rabdomyolyse, muskelruptur, senelidelser herunder seneruptur.</w:t>
      </w:r>
    </w:p>
    <w:p w:rsidR="002A1856" w:rsidRPr="002A1856" w:rsidRDefault="002A1856" w:rsidP="002A1856">
      <w:pPr>
        <w:pStyle w:val="Sidehoved"/>
        <w:tabs>
          <w:tab w:val="clear" w:pos="4819"/>
          <w:tab w:val="clear" w:pos="9638"/>
        </w:tabs>
        <w:ind w:left="851"/>
        <w:jc w:val="both"/>
        <w:rPr>
          <w:szCs w:val="24"/>
        </w:rPr>
      </w:pPr>
      <w:r w:rsidRPr="002A1856">
        <w:rPr>
          <w:szCs w:val="24"/>
        </w:rPr>
        <w:t>Meget sjælden: Lupuslignende syndrom.</w:t>
      </w:r>
    </w:p>
    <w:p w:rsidR="002A1856" w:rsidRPr="002A1856" w:rsidRDefault="002A1856" w:rsidP="002A1856">
      <w:pPr>
        <w:pStyle w:val="Default"/>
        <w:ind w:left="851"/>
      </w:pPr>
      <w:r w:rsidRPr="002A1856">
        <w:t xml:space="preserve">Ikke kendt: </w:t>
      </w:r>
      <w:r w:rsidRPr="002A1856">
        <w:rPr>
          <w:color w:val="auto"/>
          <w:lang w:val="da-DK" w:eastAsia="da-DK"/>
        </w:rPr>
        <w:t>Immunmedieret nekrotiserende myopati (se pkt. 4.4).</w:t>
      </w:r>
    </w:p>
    <w:p w:rsidR="002A1856" w:rsidRPr="002A1856" w:rsidRDefault="002A1856" w:rsidP="002A1856">
      <w:pPr>
        <w:pStyle w:val="Sidehoved"/>
        <w:tabs>
          <w:tab w:val="clear" w:pos="4819"/>
          <w:tab w:val="clear" w:pos="9638"/>
        </w:tabs>
        <w:ind w:left="851"/>
        <w:jc w:val="both"/>
        <w:rPr>
          <w:szCs w:val="24"/>
          <w:lang w:val="el-GR"/>
        </w:rPr>
      </w:pPr>
    </w:p>
    <w:p w:rsidR="002A1856" w:rsidRPr="002A1856" w:rsidRDefault="002A1856" w:rsidP="002A1856">
      <w:pPr>
        <w:pStyle w:val="Sidehoved"/>
        <w:tabs>
          <w:tab w:val="clear" w:pos="4819"/>
          <w:tab w:val="clear" w:pos="9638"/>
        </w:tabs>
        <w:ind w:left="851"/>
        <w:jc w:val="both"/>
        <w:rPr>
          <w:szCs w:val="24"/>
          <w:u w:val="single"/>
          <w:lang w:val="el-GR"/>
        </w:rPr>
      </w:pPr>
      <w:r w:rsidRPr="002A1856">
        <w:rPr>
          <w:szCs w:val="24"/>
          <w:u w:val="single"/>
        </w:rPr>
        <w:t>Det</w:t>
      </w:r>
      <w:r w:rsidRPr="002A1856">
        <w:rPr>
          <w:szCs w:val="24"/>
          <w:u w:val="single"/>
          <w:lang w:val="el-GR"/>
        </w:rPr>
        <w:t xml:space="preserve"> </w:t>
      </w:r>
      <w:r w:rsidRPr="002A1856">
        <w:rPr>
          <w:szCs w:val="24"/>
          <w:u w:val="single"/>
        </w:rPr>
        <w:t>reproduktive</w:t>
      </w:r>
      <w:r w:rsidRPr="002A1856">
        <w:rPr>
          <w:szCs w:val="24"/>
          <w:u w:val="single"/>
          <w:lang w:val="el-GR"/>
        </w:rPr>
        <w:t xml:space="preserve"> </w:t>
      </w:r>
      <w:r w:rsidRPr="002A1856">
        <w:rPr>
          <w:szCs w:val="24"/>
          <w:u w:val="single"/>
        </w:rPr>
        <w:t>system</w:t>
      </w:r>
      <w:r w:rsidRPr="002A1856">
        <w:rPr>
          <w:szCs w:val="24"/>
          <w:u w:val="single"/>
          <w:lang w:val="el-GR"/>
        </w:rPr>
        <w:t xml:space="preserve"> </w:t>
      </w:r>
      <w:r w:rsidRPr="002A1856">
        <w:rPr>
          <w:szCs w:val="24"/>
          <w:u w:val="single"/>
        </w:rPr>
        <w:t>og</w:t>
      </w:r>
      <w:r w:rsidRPr="002A1856">
        <w:rPr>
          <w:szCs w:val="24"/>
          <w:u w:val="single"/>
          <w:lang w:val="el-GR"/>
        </w:rPr>
        <w:t xml:space="preserve"> </w:t>
      </w:r>
      <w:r w:rsidRPr="002A1856">
        <w:rPr>
          <w:szCs w:val="24"/>
          <w:u w:val="single"/>
        </w:rPr>
        <w:t>mammae</w:t>
      </w:r>
      <w:r w:rsidRPr="002A1856">
        <w:rPr>
          <w:szCs w:val="24"/>
          <w:u w:val="single"/>
          <w:lang w:val="el-GR"/>
        </w:rPr>
        <w:t xml:space="preserve"> </w:t>
      </w:r>
    </w:p>
    <w:p w:rsidR="002A1856" w:rsidRPr="002A1856" w:rsidRDefault="002A1856" w:rsidP="002A1856">
      <w:pPr>
        <w:pStyle w:val="Sidehoved"/>
        <w:tabs>
          <w:tab w:val="clear" w:pos="4819"/>
          <w:tab w:val="clear" w:pos="9638"/>
        </w:tabs>
        <w:ind w:left="851"/>
        <w:jc w:val="both"/>
        <w:rPr>
          <w:szCs w:val="24"/>
          <w:lang w:val="el-GR"/>
        </w:rPr>
      </w:pPr>
      <w:r w:rsidRPr="002A1856">
        <w:rPr>
          <w:szCs w:val="24"/>
        </w:rPr>
        <w:t>Meget</w:t>
      </w:r>
      <w:r w:rsidRPr="002A1856">
        <w:rPr>
          <w:szCs w:val="24"/>
          <w:lang w:val="el-GR"/>
        </w:rPr>
        <w:t xml:space="preserve"> </w:t>
      </w:r>
      <w:r w:rsidRPr="002A1856">
        <w:rPr>
          <w:szCs w:val="24"/>
        </w:rPr>
        <w:t>sj</w:t>
      </w:r>
      <w:r w:rsidRPr="002A1856">
        <w:rPr>
          <w:szCs w:val="24"/>
          <w:lang w:val="el-GR"/>
        </w:rPr>
        <w:t>æ</w:t>
      </w:r>
      <w:r w:rsidRPr="002A1856">
        <w:rPr>
          <w:szCs w:val="24"/>
        </w:rPr>
        <w:t>lden</w:t>
      </w:r>
      <w:r w:rsidRPr="002A1856">
        <w:rPr>
          <w:szCs w:val="24"/>
          <w:lang w:val="el-GR"/>
        </w:rPr>
        <w:t xml:space="preserve">: </w:t>
      </w:r>
      <w:r w:rsidRPr="002A1856">
        <w:rPr>
          <w:szCs w:val="24"/>
        </w:rPr>
        <w:t>Gyn</w:t>
      </w:r>
      <w:r w:rsidRPr="002A1856">
        <w:rPr>
          <w:szCs w:val="24"/>
          <w:lang w:val="el-GR"/>
        </w:rPr>
        <w:t>æ</w:t>
      </w:r>
      <w:r w:rsidRPr="002A1856">
        <w:rPr>
          <w:szCs w:val="24"/>
        </w:rPr>
        <w:t>komasti</w:t>
      </w:r>
      <w:r w:rsidRPr="002A1856">
        <w:rPr>
          <w:szCs w:val="24"/>
          <w:lang w:val="el-GR"/>
        </w:rPr>
        <w:t>.</w:t>
      </w:r>
    </w:p>
    <w:p w:rsidR="002A1856" w:rsidRPr="002A1856" w:rsidRDefault="002A1856" w:rsidP="002A1856">
      <w:pPr>
        <w:pStyle w:val="Sidehoved"/>
        <w:tabs>
          <w:tab w:val="clear" w:pos="4819"/>
          <w:tab w:val="clear" w:pos="9638"/>
        </w:tabs>
        <w:ind w:left="851"/>
        <w:jc w:val="both"/>
        <w:rPr>
          <w:szCs w:val="24"/>
          <w:lang w:val="el-GR"/>
        </w:rPr>
      </w:pPr>
    </w:p>
    <w:p w:rsidR="002A1856" w:rsidRPr="002A1856" w:rsidRDefault="002A1856" w:rsidP="002A1856">
      <w:pPr>
        <w:pStyle w:val="Sidehoved"/>
        <w:tabs>
          <w:tab w:val="clear" w:pos="4819"/>
          <w:tab w:val="clear" w:pos="9638"/>
        </w:tabs>
        <w:ind w:left="851"/>
        <w:jc w:val="both"/>
        <w:rPr>
          <w:szCs w:val="24"/>
          <w:u w:val="single"/>
          <w:lang w:val="el-GR"/>
        </w:rPr>
      </w:pPr>
      <w:r w:rsidRPr="002A1856">
        <w:rPr>
          <w:szCs w:val="24"/>
          <w:u w:val="single"/>
        </w:rPr>
        <w:t>Almene</w:t>
      </w:r>
      <w:r w:rsidRPr="002A1856">
        <w:rPr>
          <w:szCs w:val="24"/>
          <w:u w:val="single"/>
          <w:lang w:val="el-GR"/>
        </w:rPr>
        <w:t xml:space="preserve"> </w:t>
      </w:r>
      <w:r w:rsidRPr="002A1856">
        <w:rPr>
          <w:szCs w:val="24"/>
          <w:u w:val="single"/>
        </w:rPr>
        <w:t>symptomer</w:t>
      </w:r>
      <w:r w:rsidRPr="002A1856">
        <w:rPr>
          <w:szCs w:val="24"/>
          <w:u w:val="single"/>
          <w:lang w:val="el-GR"/>
        </w:rPr>
        <w:t xml:space="preserve"> </w:t>
      </w:r>
      <w:r w:rsidRPr="002A1856">
        <w:rPr>
          <w:szCs w:val="24"/>
          <w:u w:val="single"/>
        </w:rPr>
        <w:t>og</w:t>
      </w:r>
      <w:r w:rsidRPr="002A1856">
        <w:rPr>
          <w:szCs w:val="24"/>
          <w:u w:val="single"/>
          <w:lang w:val="el-GR"/>
        </w:rPr>
        <w:t xml:space="preserve"> </w:t>
      </w:r>
      <w:r w:rsidRPr="002A1856">
        <w:rPr>
          <w:szCs w:val="24"/>
          <w:u w:val="single"/>
        </w:rPr>
        <w:t>reaktioner</w:t>
      </w:r>
      <w:r w:rsidRPr="002A1856">
        <w:rPr>
          <w:szCs w:val="24"/>
          <w:u w:val="single"/>
          <w:lang w:val="el-GR"/>
        </w:rPr>
        <w:t xml:space="preserve"> </w:t>
      </w:r>
      <w:r w:rsidRPr="002A1856">
        <w:rPr>
          <w:szCs w:val="24"/>
          <w:u w:val="single"/>
        </w:rPr>
        <w:t>p</w:t>
      </w:r>
      <w:r w:rsidRPr="002A1856">
        <w:rPr>
          <w:szCs w:val="24"/>
          <w:u w:val="single"/>
          <w:lang w:val="el-GR"/>
        </w:rPr>
        <w:t xml:space="preserve">å </w:t>
      </w:r>
      <w:r w:rsidRPr="002A1856">
        <w:rPr>
          <w:szCs w:val="24"/>
          <w:u w:val="single"/>
        </w:rPr>
        <w:t>administrationsstedet</w:t>
      </w:r>
    </w:p>
    <w:p w:rsidR="002A1856" w:rsidRPr="002A1856" w:rsidRDefault="002A1856" w:rsidP="002A1856">
      <w:pPr>
        <w:pStyle w:val="Sidehoved"/>
        <w:tabs>
          <w:tab w:val="clear" w:pos="4819"/>
          <w:tab w:val="clear" w:pos="9638"/>
        </w:tabs>
        <w:ind w:left="851"/>
        <w:jc w:val="both"/>
        <w:rPr>
          <w:szCs w:val="24"/>
          <w:lang w:val="el-GR"/>
        </w:rPr>
      </w:pPr>
      <w:r w:rsidRPr="002A1856">
        <w:rPr>
          <w:szCs w:val="24"/>
        </w:rPr>
        <w:t>Ikke</w:t>
      </w:r>
      <w:r w:rsidRPr="002A1856">
        <w:rPr>
          <w:szCs w:val="24"/>
          <w:lang w:val="el-GR"/>
        </w:rPr>
        <w:t xml:space="preserve"> </w:t>
      </w:r>
      <w:r w:rsidRPr="002A1856">
        <w:rPr>
          <w:szCs w:val="24"/>
        </w:rPr>
        <w:t>almindelig</w:t>
      </w:r>
      <w:r w:rsidRPr="002A1856">
        <w:rPr>
          <w:szCs w:val="24"/>
          <w:lang w:val="el-GR"/>
        </w:rPr>
        <w:t xml:space="preserve">: </w:t>
      </w:r>
      <w:r w:rsidRPr="002A1856">
        <w:rPr>
          <w:szCs w:val="24"/>
        </w:rPr>
        <w:t>Utilpashed</w:t>
      </w:r>
      <w:r w:rsidRPr="002A1856">
        <w:rPr>
          <w:szCs w:val="24"/>
          <w:lang w:val="el-GR"/>
        </w:rPr>
        <w:t xml:space="preserve">, </w:t>
      </w:r>
      <w:r w:rsidRPr="002A1856">
        <w:rPr>
          <w:szCs w:val="24"/>
        </w:rPr>
        <w:t>asteni</w:t>
      </w:r>
      <w:r w:rsidRPr="002A1856">
        <w:rPr>
          <w:szCs w:val="24"/>
          <w:lang w:val="el-GR"/>
        </w:rPr>
        <w:t xml:space="preserve">, </w:t>
      </w:r>
      <w:r w:rsidRPr="002A1856">
        <w:rPr>
          <w:szCs w:val="24"/>
        </w:rPr>
        <w:t>brystsmerter</w:t>
      </w:r>
      <w:r w:rsidRPr="002A1856">
        <w:rPr>
          <w:szCs w:val="24"/>
          <w:lang w:val="el-GR"/>
        </w:rPr>
        <w:t xml:space="preserve">, </w:t>
      </w:r>
      <w:r w:rsidRPr="002A1856">
        <w:rPr>
          <w:szCs w:val="24"/>
        </w:rPr>
        <w:t>perif</w:t>
      </w:r>
      <w:r w:rsidRPr="002A1856">
        <w:rPr>
          <w:szCs w:val="24"/>
          <w:lang w:val="el-GR"/>
        </w:rPr>
        <w:t>æ</w:t>
      </w:r>
      <w:r w:rsidRPr="002A1856">
        <w:rPr>
          <w:szCs w:val="24"/>
        </w:rPr>
        <w:t>rt</w:t>
      </w:r>
      <w:r w:rsidRPr="002A1856">
        <w:rPr>
          <w:szCs w:val="24"/>
          <w:lang w:val="el-GR"/>
        </w:rPr>
        <w:t xml:space="preserve"> ø</w:t>
      </w:r>
      <w:r w:rsidRPr="002A1856">
        <w:rPr>
          <w:szCs w:val="24"/>
        </w:rPr>
        <w:t>dem</w:t>
      </w:r>
      <w:r w:rsidRPr="002A1856">
        <w:rPr>
          <w:szCs w:val="24"/>
          <w:lang w:val="el-GR"/>
        </w:rPr>
        <w:t xml:space="preserve">, </w:t>
      </w:r>
      <w:r w:rsidRPr="002A1856">
        <w:rPr>
          <w:szCs w:val="24"/>
        </w:rPr>
        <w:t>tr</w:t>
      </w:r>
      <w:r w:rsidRPr="002A1856">
        <w:rPr>
          <w:szCs w:val="24"/>
          <w:lang w:val="el-GR"/>
        </w:rPr>
        <w:t>æ</w:t>
      </w:r>
      <w:r w:rsidRPr="002A1856">
        <w:rPr>
          <w:szCs w:val="24"/>
        </w:rPr>
        <w:t>thed</w:t>
      </w:r>
      <w:r w:rsidRPr="002A1856">
        <w:rPr>
          <w:szCs w:val="24"/>
          <w:lang w:val="el-GR"/>
        </w:rPr>
        <w:t xml:space="preserve">, </w:t>
      </w:r>
      <w:r w:rsidRPr="002A1856">
        <w:rPr>
          <w:szCs w:val="24"/>
        </w:rPr>
        <w:t>feber</w:t>
      </w:r>
      <w:r w:rsidRPr="002A1856">
        <w:rPr>
          <w:szCs w:val="24"/>
          <w:lang w:val="el-GR"/>
        </w:rPr>
        <w:t>.</w:t>
      </w:r>
    </w:p>
    <w:p w:rsidR="002A1856" w:rsidRPr="002A1856" w:rsidRDefault="002A1856" w:rsidP="002A1856">
      <w:pPr>
        <w:pStyle w:val="Sidehoved"/>
        <w:tabs>
          <w:tab w:val="clear" w:pos="4819"/>
          <w:tab w:val="clear" w:pos="9638"/>
        </w:tabs>
        <w:ind w:left="851"/>
        <w:jc w:val="both"/>
        <w:rPr>
          <w:szCs w:val="24"/>
          <w:lang w:val="el-GR"/>
        </w:rPr>
      </w:pPr>
    </w:p>
    <w:p w:rsidR="002A1856" w:rsidRPr="002A1856" w:rsidRDefault="002A1856" w:rsidP="002A1856">
      <w:pPr>
        <w:pStyle w:val="Sidehoved"/>
        <w:tabs>
          <w:tab w:val="clear" w:pos="4819"/>
          <w:tab w:val="clear" w:pos="9638"/>
        </w:tabs>
        <w:ind w:left="851"/>
        <w:rPr>
          <w:szCs w:val="24"/>
          <w:u w:val="single"/>
        </w:rPr>
      </w:pPr>
      <w:r w:rsidRPr="002A1856">
        <w:rPr>
          <w:szCs w:val="24"/>
          <w:u w:val="single"/>
        </w:rPr>
        <w:t>Undersøgelser</w:t>
      </w:r>
    </w:p>
    <w:p w:rsidR="002A1856" w:rsidRPr="002A1856" w:rsidRDefault="002A1856" w:rsidP="002A1856">
      <w:pPr>
        <w:pStyle w:val="Sidehoved"/>
        <w:tabs>
          <w:tab w:val="clear" w:pos="4819"/>
          <w:tab w:val="clear" w:pos="9638"/>
        </w:tabs>
        <w:ind w:left="851"/>
        <w:rPr>
          <w:szCs w:val="24"/>
        </w:rPr>
      </w:pPr>
      <w:r w:rsidRPr="002A1856">
        <w:rPr>
          <w:szCs w:val="24"/>
        </w:rPr>
        <w:t>Almindelig: Unormale leverfunktionsprøver, forhøjet kreatinkinase i blodet.</w:t>
      </w:r>
    </w:p>
    <w:p w:rsidR="002A1856" w:rsidRPr="002A1856" w:rsidRDefault="002A1856" w:rsidP="002A1856">
      <w:pPr>
        <w:pStyle w:val="Sidehoved"/>
        <w:tabs>
          <w:tab w:val="clear" w:pos="4819"/>
          <w:tab w:val="clear" w:pos="9638"/>
        </w:tabs>
        <w:ind w:left="851"/>
        <w:rPr>
          <w:szCs w:val="24"/>
        </w:rPr>
      </w:pPr>
      <w:r w:rsidRPr="002A1856">
        <w:rPr>
          <w:szCs w:val="24"/>
        </w:rPr>
        <w:t>Ikke almindelig: Leukocyturi.</w:t>
      </w:r>
    </w:p>
    <w:p w:rsidR="002A1856" w:rsidRPr="002A1856" w:rsidRDefault="002A1856" w:rsidP="002A1856">
      <w:pPr>
        <w:pStyle w:val="Sidehoved"/>
        <w:tabs>
          <w:tab w:val="clear" w:pos="4819"/>
          <w:tab w:val="clear" w:pos="9638"/>
        </w:tabs>
        <w:ind w:left="851"/>
        <w:rPr>
          <w:szCs w:val="24"/>
        </w:rPr>
      </w:pPr>
    </w:p>
    <w:p w:rsidR="002A1856" w:rsidRPr="002A1856" w:rsidRDefault="002A1856" w:rsidP="002A1856">
      <w:pPr>
        <w:pStyle w:val="Sidehoved"/>
        <w:tabs>
          <w:tab w:val="clear" w:pos="4819"/>
          <w:tab w:val="clear" w:pos="9638"/>
        </w:tabs>
        <w:ind w:left="851"/>
        <w:rPr>
          <w:szCs w:val="24"/>
        </w:rPr>
      </w:pPr>
      <w:r w:rsidRPr="002A1856">
        <w:rPr>
          <w:szCs w:val="24"/>
        </w:rPr>
        <w:t>Som for andre HMG-CoA-reduktasehæmmere er der blevet rapporteret om forhøjede serum-transaminaser hos patienter, der behandles med atorvastatin. Disse ændringer er sædvanligvis milde og forbigående og fører ikke til afbrydelse af behandlingen. Klinisk relevante (&gt;3 gange den øvre referenceværdi) forhøjelser i serum-transaminaser er set hos 0,8 % af de patienter, som behandles med atorvastatin. Disse forhøjelser var dosisafhængige og var reversible hos alle patienter.</w:t>
      </w:r>
    </w:p>
    <w:p w:rsidR="002A1856" w:rsidRPr="002A1856" w:rsidRDefault="002A1856" w:rsidP="002A1856">
      <w:pPr>
        <w:pStyle w:val="Sidehoved"/>
        <w:tabs>
          <w:tab w:val="clear" w:pos="4819"/>
          <w:tab w:val="clear" w:pos="9638"/>
        </w:tabs>
        <w:ind w:left="851"/>
        <w:rPr>
          <w:szCs w:val="24"/>
        </w:rPr>
      </w:pPr>
    </w:p>
    <w:p w:rsidR="002A1856" w:rsidRPr="002A1856" w:rsidRDefault="002A1856" w:rsidP="002A1856">
      <w:pPr>
        <w:pStyle w:val="Sidehoved"/>
        <w:tabs>
          <w:tab w:val="clear" w:pos="4819"/>
          <w:tab w:val="clear" w:pos="9638"/>
        </w:tabs>
        <w:ind w:left="851"/>
        <w:rPr>
          <w:szCs w:val="24"/>
        </w:rPr>
      </w:pPr>
      <w:r w:rsidRPr="002A1856">
        <w:rPr>
          <w:szCs w:val="24"/>
        </w:rPr>
        <w:t>Forhøjet serum-kreatinkinase (CK)-niveau på mere end 3 gange den øvre referenceværdi er set hos 2,5 % af de patienter, som behandles med atorvastatin, hvilket svarer til andre HMG-CoA-reduktasehæmmere i kliniske studier. Niveauer på mere end 10 gange den øvre referenceværdi er set hos 0,4 % af de atorvastatin-behandlede patienter (se pkt. 4.4).</w:t>
      </w:r>
    </w:p>
    <w:p w:rsidR="002A1856" w:rsidRPr="002A1856" w:rsidRDefault="002A1856" w:rsidP="002A1856">
      <w:pPr>
        <w:pStyle w:val="Sidehoved"/>
        <w:tabs>
          <w:tab w:val="clear" w:pos="4819"/>
          <w:tab w:val="clear" w:pos="9638"/>
        </w:tabs>
        <w:ind w:left="851"/>
        <w:rPr>
          <w:szCs w:val="24"/>
        </w:rPr>
      </w:pPr>
    </w:p>
    <w:p w:rsidR="002A1856" w:rsidRPr="002A1856" w:rsidRDefault="002A1856" w:rsidP="002A1856">
      <w:pPr>
        <w:pStyle w:val="Sidehoved"/>
        <w:tabs>
          <w:tab w:val="clear" w:pos="4819"/>
          <w:tab w:val="clear" w:pos="9638"/>
        </w:tabs>
        <w:ind w:left="851"/>
        <w:rPr>
          <w:i/>
          <w:szCs w:val="24"/>
        </w:rPr>
      </w:pPr>
      <w:r w:rsidRPr="002A1856">
        <w:rPr>
          <w:i/>
          <w:szCs w:val="24"/>
        </w:rPr>
        <w:t>Pædiatrisk population</w:t>
      </w:r>
    </w:p>
    <w:p w:rsidR="002A1856" w:rsidRPr="002A1856" w:rsidRDefault="002A1856" w:rsidP="002A1856">
      <w:pPr>
        <w:keepNext/>
        <w:ind w:left="851"/>
        <w:rPr>
          <w:noProof/>
          <w:sz w:val="24"/>
          <w:szCs w:val="24"/>
          <w:lang w:eastAsia="da-DK"/>
        </w:rPr>
      </w:pPr>
      <w:r w:rsidRPr="002A1856">
        <w:rPr>
          <w:noProof/>
          <w:sz w:val="24"/>
          <w:szCs w:val="24"/>
        </w:rPr>
        <w:lastRenderedPageBreak/>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rsidR="002A1856" w:rsidRPr="002A1856" w:rsidRDefault="002A1856" w:rsidP="002A1856">
      <w:pPr>
        <w:pStyle w:val="Sidehoved"/>
        <w:tabs>
          <w:tab w:val="clear" w:pos="4819"/>
          <w:tab w:val="clear" w:pos="9638"/>
        </w:tabs>
        <w:ind w:left="851"/>
        <w:rPr>
          <w:szCs w:val="24"/>
        </w:rPr>
      </w:pPr>
    </w:p>
    <w:p w:rsidR="002A1856" w:rsidRPr="002A1856" w:rsidRDefault="002A1856" w:rsidP="002A1856">
      <w:pPr>
        <w:pStyle w:val="Sidehoved"/>
        <w:tabs>
          <w:tab w:val="clear" w:pos="4819"/>
          <w:tab w:val="clear" w:pos="9638"/>
        </w:tabs>
        <w:ind w:left="851"/>
        <w:rPr>
          <w:szCs w:val="24"/>
        </w:rPr>
      </w:pPr>
      <w:r w:rsidRPr="002A1856">
        <w:rPr>
          <w:szCs w:val="24"/>
        </w:rPr>
        <w:t>Den kliniske sikkerhedsdatabase indeholder data for 520 pædiatriske patienter, der fik atorvastatin. Heriblandt var 7 patienter &lt; 6 år, 121 patienter var mellem 6 og 9 år og 392 patienter var mellem 10 og 17 år. Ud fra de tilgængelige data er frekvens, type og alvorlighed af bivirkningerne hos børn de samme som hos voksne.</w:t>
      </w:r>
    </w:p>
    <w:p w:rsidR="002A1856" w:rsidRPr="002A1856" w:rsidRDefault="002A1856" w:rsidP="002A1856">
      <w:pPr>
        <w:pStyle w:val="Sidehoved"/>
        <w:tabs>
          <w:tab w:val="clear" w:pos="4819"/>
          <w:tab w:val="clear" w:pos="9638"/>
        </w:tabs>
        <w:ind w:left="851"/>
        <w:rPr>
          <w:szCs w:val="24"/>
        </w:rPr>
      </w:pPr>
    </w:p>
    <w:p w:rsidR="002A1856" w:rsidRPr="002A1856" w:rsidRDefault="002A1856" w:rsidP="002A1856">
      <w:pPr>
        <w:pStyle w:val="Sidehoved"/>
        <w:tabs>
          <w:tab w:val="clear" w:pos="4819"/>
          <w:tab w:val="clear" w:pos="9638"/>
        </w:tabs>
        <w:ind w:left="851"/>
        <w:jc w:val="both"/>
        <w:rPr>
          <w:szCs w:val="24"/>
        </w:rPr>
      </w:pPr>
      <w:r w:rsidRPr="002A1856">
        <w:rPr>
          <w:szCs w:val="24"/>
        </w:rPr>
        <w:t>Følgende bivirkninger er blevet rapporteret ved visse statiner:</w:t>
      </w:r>
    </w:p>
    <w:p w:rsidR="002A1856" w:rsidRPr="002A1856" w:rsidRDefault="002A1856" w:rsidP="002A1856">
      <w:pPr>
        <w:pStyle w:val="Sidehoved"/>
        <w:numPr>
          <w:ilvl w:val="0"/>
          <w:numId w:val="11"/>
        </w:numPr>
        <w:tabs>
          <w:tab w:val="clear" w:pos="4819"/>
          <w:tab w:val="clear" w:pos="9638"/>
        </w:tabs>
        <w:ind w:left="1276" w:hanging="425"/>
        <w:rPr>
          <w:szCs w:val="24"/>
        </w:rPr>
      </w:pPr>
      <w:r w:rsidRPr="002A1856">
        <w:rPr>
          <w:szCs w:val="24"/>
        </w:rPr>
        <w:t>Seksuel dysfunktion.</w:t>
      </w:r>
    </w:p>
    <w:p w:rsidR="002A1856" w:rsidRPr="002A1856" w:rsidRDefault="002A1856" w:rsidP="002A1856">
      <w:pPr>
        <w:pStyle w:val="Sidehoved"/>
        <w:numPr>
          <w:ilvl w:val="0"/>
          <w:numId w:val="11"/>
        </w:numPr>
        <w:tabs>
          <w:tab w:val="clear" w:pos="4819"/>
          <w:tab w:val="clear" w:pos="9638"/>
        </w:tabs>
        <w:ind w:left="1276" w:hanging="425"/>
        <w:rPr>
          <w:szCs w:val="24"/>
        </w:rPr>
      </w:pPr>
      <w:r w:rsidRPr="002A1856">
        <w:rPr>
          <w:szCs w:val="24"/>
        </w:rPr>
        <w:t>Depression.</w:t>
      </w:r>
    </w:p>
    <w:p w:rsidR="002A1856" w:rsidRPr="002A1856" w:rsidRDefault="002A1856" w:rsidP="002A1856">
      <w:pPr>
        <w:pStyle w:val="Sidehoved"/>
        <w:numPr>
          <w:ilvl w:val="0"/>
          <w:numId w:val="11"/>
        </w:numPr>
        <w:tabs>
          <w:tab w:val="clear" w:pos="4819"/>
          <w:tab w:val="clear" w:pos="9638"/>
        </w:tabs>
        <w:ind w:left="1276" w:hanging="425"/>
        <w:rPr>
          <w:szCs w:val="24"/>
        </w:rPr>
      </w:pPr>
      <w:r w:rsidRPr="002A1856">
        <w:rPr>
          <w:szCs w:val="24"/>
        </w:rPr>
        <w:t>Sjældne tilfælde af interstitiel lungesygdom, særligt ved langtidsbrug (se pkt. 4.4).</w:t>
      </w:r>
    </w:p>
    <w:p w:rsidR="002A1856" w:rsidRPr="002A1856" w:rsidRDefault="002A1856" w:rsidP="002A1856">
      <w:pPr>
        <w:pStyle w:val="Sidehoved"/>
        <w:numPr>
          <w:ilvl w:val="0"/>
          <w:numId w:val="11"/>
        </w:numPr>
        <w:tabs>
          <w:tab w:val="clear" w:pos="4819"/>
          <w:tab w:val="clear" w:pos="9638"/>
        </w:tabs>
        <w:ind w:left="1276" w:hanging="425"/>
        <w:rPr>
          <w:szCs w:val="24"/>
        </w:rPr>
      </w:pPr>
      <w:r w:rsidRPr="002A1856">
        <w:rPr>
          <w:szCs w:val="24"/>
        </w:rPr>
        <w:t>Diabetes mellitus: Frekvensen vil afhænge af tilstedeværelse eller fravær af risikofaktorer (fasteglukose ≥ 5,6 mmol/l, BMI&gt; 30 kg/m</w:t>
      </w:r>
      <w:r w:rsidRPr="002A1856">
        <w:rPr>
          <w:szCs w:val="24"/>
          <w:vertAlign w:val="superscript"/>
        </w:rPr>
        <w:t>2</w:t>
      </w:r>
      <w:r w:rsidRPr="002A1856">
        <w:rPr>
          <w:szCs w:val="24"/>
        </w:rPr>
        <w:t xml:space="preserve">, forhøjede triglycerider, forhøjet blodtryk i anamnesen). </w:t>
      </w:r>
    </w:p>
    <w:p w:rsidR="002A1856" w:rsidRPr="002A1856" w:rsidRDefault="002A1856" w:rsidP="002A1856">
      <w:pPr>
        <w:pStyle w:val="Sidehoved"/>
        <w:tabs>
          <w:tab w:val="clear" w:pos="4819"/>
          <w:tab w:val="clear" w:pos="9638"/>
        </w:tabs>
        <w:ind w:left="1276" w:hanging="425"/>
        <w:rPr>
          <w:szCs w:val="24"/>
          <w:u w:val="single"/>
        </w:rPr>
      </w:pPr>
    </w:p>
    <w:p w:rsidR="002A1856" w:rsidRPr="002A1856" w:rsidRDefault="002A1856" w:rsidP="002A1856">
      <w:pPr>
        <w:ind w:left="851"/>
        <w:rPr>
          <w:sz w:val="24"/>
          <w:szCs w:val="24"/>
          <w:u w:val="single"/>
        </w:rPr>
      </w:pPr>
      <w:r w:rsidRPr="002A1856">
        <w:rPr>
          <w:sz w:val="24"/>
          <w:szCs w:val="24"/>
          <w:u w:val="single"/>
        </w:rPr>
        <w:t>Indberetning af formodede bivirkninger</w:t>
      </w:r>
    </w:p>
    <w:p w:rsidR="002A1856" w:rsidRPr="002A1856" w:rsidRDefault="002A1856" w:rsidP="002A1856">
      <w:pPr>
        <w:ind w:left="851"/>
        <w:rPr>
          <w:sz w:val="24"/>
          <w:szCs w:val="24"/>
        </w:rPr>
      </w:pPr>
      <w:r w:rsidRPr="002A1856">
        <w:rPr>
          <w:sz w:val="24"/>
          <w:szCs w:val="24"/>
        </w:rPr>
        <w:t>Når lægemidlet er godkendt, er indberetning af mistænkte bivirkninger vigtig. Det muliggør løbende overvågning af benefit/risk-forholdet for lægemidlet. Læger og sundhedspersonale anmodes om at indberette alle formodede bivirkninger via:</w:t>
      </w:r>
    </w:p>
    <w:p w:rsidR="002A1856" w:rsidRPr="002A1856" w:rsidRDefault="002A1856" w:rsidP="002A1856">
      <w:pPr>
        <w:ind w:left="851"/>
        <w:rPr>
          <w:sz w:val="24"/>
          <w:szCs w:val="24"/>
        </w:rPr>
      </w:pPr>
    </w:p>
    <w:p w:rsidR="002A1856" w:rsidRPr="002A1856" w:rsidRDefault="002A1856" w:rsidP="002A1856">
      <w:pPr>
        <w:ind w:left="851"/>
        <w:rPr>
          <w:sz w:val="24"/>
          <w:szCs w:val="24"/>
        </w:rPr>
      </w:pPr>
      <w:r w:rsidRPr="002A1856">
        <w:rPr>
          <w:sz w:val="24"/>
          <w:szCs w:val="24"/>
        </w:rPr>
        <w:t>Lægemiddelstyrelsen</w:t>
      </w:r>
    </w:p>
    <w:p w:rsidR="002A1856" w:rsidRPr="002A1856" w:rsidRDefault="002A1856" w:rsidP="002A1856">
      <w:pPr>
        <w:ind w:left="851"/>
        <w:rPr>
          <w:sz w:val="24"/>
          <w:szCs w:val="24"/>
        </w:rPr>
      </w:pPr>
      <w:r w:rsidRPr="002A1856">
        <w:rPr>
          <w:sz w:val="24"/>
          <w:szCs w:val="24"/>
        </w:rPr>
        <w:t>Axel Heides Gade 1</w:t>
      </w:r>
    </w:p>
    <w:p w:rsidR="002A1856" w:rsidRPr="002A1856" w:rsidRDefault="002A1856" w:rsidP="002A1856">
      <w:pPr>
        <w:ind w:left="851"/>
        <w:rPr>
          <w:rFonts w:eastAsia="Calibri"/>
          <w:noProof/>
          <w:sz w:val="24"/>
          <w:szCs w:val="24"/>
          <w:lang w:eastAsia="zh-CN"/>
        </w:rPr>
      </w:pPr>
      <w:r w:rsidRPr="002A1856">
        <w:rPr>
          <w:rFonts w:eastAsia="Calibri"/>
          <w:noProof/>
          <w:sz w:val="24"/>
          <w:szCs w:val="24"/>
          <w:lang w:eastAsia="zh-CN"/>
        </w:rPr>
        <w:t xml:space="preserve">DK-2300 </w:t>
      </w:r>
      <w:r w:rsidRPr="002A1856">
        <w:rPr>
          <w:rFonts w:eastAsia="Calibri"/>
          <w:sz w:val="24"/>
          <w:szCs w:val="24"/>
          <w:lang w:eastAsia="zh-CN"/>
        </w:rPr>
        <w:t>København S</w:t>
      </w:r>
    </w:p>
    <w:p w:rsidR="002A1856" w:rsidRPr="002A1856" w:rsidRDefault="002A1856" w:rsidP="002A1856">
      <w:pPr>
        <w:suppressAutoHyphens/>
        <w:ind w:left="851"/>
        <w:rPr>
          <w:rFonts w:eastAsia="Calibri"/>
          <w:noProof/>
          <w:sz w:val="24"/>
          <w:szCs w:val="24"/>
          <w:lang w:eastAsia="zh-CN"/>
        </w:rPr>
      </w:pPr>
      <w:r w:rsidRPr="002A1856">
        <w:rPr>
          <w:rFonts w:eastAsia="Calibri"/>
          <w:sz w:val="24"/>
          <w:szCs w:val="24"/>
          <w:lang w:eastAsia="zh-CN"/>
        </w:rPr>
        <w:t>Websted</w:t>
      </w:r>
      <w:r w:rsidRPr="002A1856">
        <w:rPr>
          <w:rFonts w:eastAsia="Calibri"/>
          <w:noProof/>
          <w:sz w:val="24"/>
          <w:szCs w:val="24"/>
          <w:lang w:eastAsia="zh-CN"/>
        </w:rPr>
        <w:t xml:space="preserve">: </w:t>
      </w:r>
      <w:hyperlink r:id="rId9" w:history="1">
        <w:r w:rsidRPr="002A1856">
          <w:rPr>
            <w:rStyle w:val="Hyperlink"/>
            <w:rFonts w:eastAsia="Calibri"/>
            <w:noProof/>
            <w:sz w:val="24"/>
            <w:szCs w:val="24"/>
            <w:lang w:eastAsia="zh-CN"/>
          </w:rPr>
          <w:t>www.meldenbivirkning.dk</w:t>
        </w:r>
      </w:hyperlink>
    </w:p>
    <w:p w:rsidR="002A1856" w:rsidRPr="002A1856" w:rsidRDefault="002A1856" w:rsidP="002A1856">
      <w:pPr>
        <w:suppressAutoHyphens/>
        <w:ind w:left="851"/>
        <w:rPr>
          <w:sz w:val="24"/>
          <w:szCs w:val="24"/>
        </w:rPr>
      </w:pPr>
    </w:p>
    <w:p w:rsidR="002A1856" w:rsidRPr="002A1856" w:rsidRDefault="002A1856" w:rsidP="002A1856">
      <w:pPr>
        <w:ind w:left="851" w:hanging="851"/>
        <w:rPr>
          <w:b/>
          <w:sz w:val="24"/>
          <w:szCs w:val="24"/>
        </w:rPr>
      </w:pPr>
      <w:r w:rsidRPr="002A1856">
        <w:rPr>
          <w:b/>
          <w:sz w:val="24"/>
          <w:szCs w:val="24"/>
        </w:rPr>
        <w:t>4.9</w:t>
      </w:r>
      <w:r w:rsidRPr="002A1856">
        <w:rPr>
          <w:b/>
          <w:sz w:val="24"/>
          <w:szCs w:val="24"/>
        </w:rPr>
        <w:tab/>
        <w:t>Overdosering</w:t>
      </w:r>
    </w:p>
    <w:p w:rsidR="002A1856" w:rsidRPr="002A1856" w:rsidRDefault="002A1856" w:rsidP="002A1856">
      <w:pPr>
        <w:pStyle w:val="Style1"/>
        <w:widowControl/>
        <w:spacing w:line="240" w:lineRule="auto"/>
        <w:ind w:left="851"/>
        <w:rPr>
          <w:rStyle w:val="FontStyle27"/>
          <w:sz w:val="24"/>
          <w:szCs w:val="24"/>
          <w:lang w:val="da-DK"/>
        </w:rPr>
      </w:pPr>
      <w:r w:rsidRPr="002A1856">
        <w:rPr>
          <w:rStyle w:val="FontStyle27"/>
          <w:sz w:val="24"/>
          <w:szCs w:val="24"/>
          <w:lang w:val="da-DK" w:eastAsia="da-DK"/>
        </w:rPr>
        <w:t>Der findes ingen specifik behandling af overdosering med atorvastatin. I tilfælde af overdosering skal patienten behandles symptomatisk, og de nødvendige understøttende forholdsregler institueres. Leverfunktionsmålinger og serum-CK-niveauet bør monitoreres. På grund af udpræget binding af atorvastatin til plasmaproteiner forventes hæmodialyse ikke at forhøje atorvastatins clearance signifikant.</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4.10</w:t>
      </w:r>
      <w:r w:rsidRPr="002A1856">
        <w:rPr>
          <w:b/>
          <w:sz w:val="24"/>
          <w:szCs w:val="24"/>
        </w:rPr>
        <w:tab/>
        <w:t>Udlevering</w:t>
      </w:r>
    </w:p>
    <w:p w:rsidR="002A1856" w:rsidRPr="002A1856" w:rsidRDefault="002A1856" w:rsidP="002A1856">
      <w:pPr>
        <w:ind w:left="851"/>
        <w:rPr>
          <w:sz w:val="24"/>
          <w:szCs w:val="24"/>
        </w:rPr>
      </w:pPr>
      <w:r w:rsidRPr="002A1856">
        <w:rPr>
          <w:sz w:val="24"/>
          <w:szCs w:val="24"/>
        </w:rPr>
        <w:t>B</w:t>
      </w:r>
    </w:p>
    <w:p w:rsidR="002A1856" w:rsidRPr="002A1856" w:rsidRDefault="002A1856" w:rsidP="002A1856">
      <w:pPr>
        <w:ind w:left="851" w:hanging="851"/>
        <w:rPr>
          <w:sz w:val="24"/>
          <w:szCs w:val="24"/>
        </w:rPr>
      </w:pP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5.</w:t>
      </w:r>
      <w:r w:rsidRPr="002A1856">
        <w:rPr>
          <w:b/>
          <w:sz w:val="24"/>
          <w:szCs w:val="24"/>
        </w:rPr>
        <w:tab/>
        <w:t>FARMAKOLOGISKE EGENSKABER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5.0</w:t>
      </w:r>
      <w:r w:rsidRPr="002A1856">
        <w:rPr>
          <w:b/>
          <w:sz w:val="24"/>
          <w:szCs w:val="24"/>
        </w:rPr>
        <w:tab/>
        <w:t>Terapeutisk klassifikation</w:t>
      </w:r>
    </w:p>
    <w:p w:rsidR="002A1856" w:rsidRPr="002A1856" w:rsidRDefault="002A1856" w:rsidP="002A1856">
      <w:pPr>
        <w:pStyle w:val="Style1"/>
        <w:widowControl/>
        <w:spacing w:line="240" w:lineRule="auto"/>
        <w:ind w:left="851"/>
        <w:rPr>
          <w:rStyle w:val="FontStyle27"/>
          <w:sz w:val="24"/>
          <w:szCs w:val="24"/>
          <w:lang w:val="da-DK"/>
        </w:rPr>
      </w:pPr>
      <w:proofErr w:type="gramStart"/>
      <w:r w:rsidRPr="002A1856">
        <w:rPr>
          <w:rStyle w:val="FontStyle27"/>
          <w:sz w:val="24"/>
          <w:szCs w:val="24"/>
          <w:lang w:val="da-DK" w:eastAsia="da-DK"/>
        </w:rPr>
        <w:t>ATC kode</w:t>
      </w:r>
      <w:proofErr w:type="gramEnd"/>
      <w:r w:rsidRPr="002A1856">
        <w:rPr>
          <w:rStyle w:val="FontStyle27"/>
          <w:sz w:val="24"/>
          <w:szCs w:val="24"/>
          <w:lang w:val="da-DK" w:eastAsia="da-DK"/>
        </w:rPr>
        <w:t>: C 10 AA 05. Lipid-modificerende midler, HMG-CoA-reduktasehæmmere.</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5.1</w:t>
      </w:r>
      <w:r w:rsidRPr="002A1856">
        <w:rPr>
          <w:b/>
          <w:sz w:val="24"/>
          <w:szCs w:val="24"/>
        </w:rPr>
        <w:tab/>
        <w:t>Farmakodynamiske egenskaber</w:t>
      </w:r>
    </w:p>
    <w:p w:rsidR="002A1856" w:rsidRPr="002A1856" w:rsidRDefault="002A1856" w:rsidP="002A1856">
      <w:pPr>
        <w:pStyle w:val="Style1"/>
        <w:widowControl/>
        <w:spacing w:line="240" w:lineRule="auto"/>
        <w:ind w:left="851"/>
        <w:rPr>
          <w:rStyle w:val="FontStyle27"/>
          <w:sz w:val="24"/>
          <w:szCs w:val="24"/>
          <w:lang w:val="da-DK"/>
        </w:rPr>
      </w:pPr>
      <w:r w:rsidRPr="002A1856">
        <w:rPr>
          <w:rStyle w:val="FontStyle27"/>
          <w:sz w:val="24"/>
          <w:szCs w:val="24"/>
          <w:lang w:val="da-DK" w:eastAsia="da-DK"/>
        </w:rPr>
        <w:t xml:space="preserve">Atorvastatin er en selektiv, kompetitiv hæmmer af HMG-CoA-reduktase, det hastighedsbegrænsende enzym, som er ansvarlig for omdannelsen af 3-hydroxy-3-methyl-glutaryl-coenzym A til mevalonat, et forstadium til steroler, herunder kolesterol. </w:t>
      </w:r>
      <w:r w:rsidRPr="002A1856">
        <w:rPr>
          <w:rStyle w:val="FontStyle27"/>
          <w:sz w:val="24"/>
          <w:szCs w:val="24"/>
          <w:lang w:val="da-DK" w:eastAsia="da-DK"/>
        </w:rPr>
        <w:lastRenderedPageBreak/>
        <w:t xml:space="preserve">Triglycerider og kolesterol i leveren inkorporeres i </w:t>
      </w:r>
      <w:r w:rsidRPr="002A1856">
        <w:rPr>
          <w:rStyle w:val="FontStyle26"/>
          <w:sz w:val="24"/>
          <w:szCs w:val="24"/>
          <w:lang w:val="da-DK" w:eastAsia="da-DK"/>
        </w:rPr>
        <w:t xml:space="preserve">very low-density </w:t>
      </w:r>
      <w:r w:rsidRPr="002A1856">
        <w:rPr>
          <w:rStyle w:val="FontStyle27"/>
          <w:sz w:val="24"/>
          <w:szCs w:val="24"/>
          <w:lang w:val="da-DK" w:eastAsia="da-DK"/>
        </w:rPr>
        <w:t xml:space="preserve">lipoproteiner (VLDL) og frigøres til plasma med henblik på frigivelse til perifere væv. </w:t>
      </w:r>
      <w:r w:rsidRPr="002A1856">
        <w:rPr>
          <w:rStyle w:val="FontStyle26"/>
          <w:sz w:val="24"/>
          <w:szCs w:val="24"/>
          <w:lang w:val="da-DK" w:eastAsia="da-DK"/>
        </w:rPr>
        <w:t xml:space="preserve">Low-density </w:t>
      </w:r>
      <w:r w:rsidRPr="002A1856">
        <w:rPr>
          <w:rStyle w:val="FontStyle27"/>
          <w:sz w:val="24"/>
          <w:szCs w:val="24"/>
          <w:lang w:val="da-DK" w:eastAsia="da-DK"/>
        </w:rPr>
        <w:t>lipoprotein (LDL) dannes fra VLDL og kataboliseres primært ved hjælp af receptorer med høj affinitet til LDL (LDL-receptorer).</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Atorvastatin sænker plasma-kolesterol- og serum-lipoprotein-koncentrationen ved at hæmme HMG-CoA-reduktase og som følge deraf kolesterolbiosyntesen i leveren og øger antallet af hepatiske LDL-receptorer på celleoverfladen, hvilket fører til øget optagelse og katabolisering af LDL.</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Atorvastatin reducerer LDL-produktionen og antallet af LDL-partikler. Atorvastatin giver en væsentlig og vedvarende forøgelse af LDL-receptoraktiviteten koblet med en fordelagtig ændring i kvaliteten af de cirkulerende LDL-partikler. Atorvastatin reducerer effektivt LDL-kolesterol hos patienter med homozygot familiær hyperkolesterolæmi, en patientgruppe, som sædvanligvis ikke har responderet på lipidsænkende behandling.</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I et dosis-respons-studie reducerede atorvastatin koncentrationen af total-kolesterol (30-46 %), LDL-kolesterol (41-61 %), apolipoprotein B (34-50 %) og triglycerider (14-33 %) og forårsagede variable stigninger i HDL-kolesterol og apolipoprotein A1. Disse resultater er konsistente hos patienter med heterozygot familiær hyperkolesterolæmi, nonfamiliære former for hyperkolesterolæmi og kombineret hyperlipidæmi, herunder patienter med ikke-insulinkrævende diabetes mellitus.</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Der</w:t>
      </w:r>
      <w:r w:rsidRPr="002A1856">
        <w:rPr>
          <w:rStyle w:val="FontStyle27"/>
          <w:sz w:val="24"/>
          <w:szCs w:val="24"/>
          <w:lang w:eastAsia="da-DK"/>
        </w:rPr>
        <w:t xml:space="preserve"> </w:t>
      </w:r>
      <w:r w:rsidRPr="002A1856">
        <w:rPr>
          <w:rStyle w:val="FontStyle27"/>
          <w:sz w:val="24"/>
          <w:szCs w:val="24"/>
          <w:lang w:val="da-DK" w:eastAsia="da-DK"/>
        </w:rPr>
        <w:t>er</w:t>
      </w:r>
      <w:r w:rsidRPr="002A1856">
        <w:rPr>
          <w:rStyle w:val="FontStyle27"/>
          <w:sz w:val="24"/>
          <w:szCs w:val="24"/>
          <w:lang w:eastAsia="da-DK"/>
        </w:rPr>
        <w:t xml:space="preserve"> </w:t>
      </w:r>
      <w:r w:rsidRPr="002A1856">
        <w:rPr>
          <w:rStyle w:val="FontStyle27"/>
          <w:sz w:val="24"/>
          <w:szCs w:val="24"/>
          <w:lang w:val="da-DK" w:eastAsia="da-DK"/>
        </w:rPr>
        <w:t>vist</w:t>
      </w:r>
      <w:r w:rsidRPr="002A1856">
        <w:rPr>
          <w:rStyle w:val="FontStyle27"/>
          <w:sz w:val="24"/>
          <w:szCs w:val="24"/>
          <w:lang w:eastAsia="da-DK"/>
        </w:rPr>
        <w:t xml:space="preserve">, </w:t>
      </w:r>
      <w:r w:rsidRPr="002A1856">
        <w:rPr>
          <w:rStyle w:val="FontStyle27"/>
          <w:sz w:val="24"/>
          <w:szCs w:val="24"/>
          <w:lang w:val="da-DK" w:eastAsia="da-DK"/>
        </w:rPr>
        <w:t>at</w:t>
      </w:r>
      <w:r w:rsidRPr="002A1856">
        <w:rPr>
          <w:rStyle w:val="FontStyle27"/>
          <w:sz w:val="24"/>
          <w:szCs w:val="24"/>
          <w:lang w:eastAsia="da-DK"/>
        </w:rPr>
        <w:t xml:space="preserve"> </w:t>
      </w:r>
      <w:r w:rsidRPr="002A1856">
        <w:rPr>
          <w:rStyle w:val="FontStyle27"/>
          <w:sz w:val="24"/>
          <w:szCs w:val="24"/>
          <w:lang w:val="da-DK" w:eastAsia="da-DK"/>
        </w:rPr>
        <w:t>reduktion</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total</w:t>
      </w:r>
      <w:r w:rsidRPr="002A1856">
        <w:rPr>
          <w:rStyle w:val="FontStyle27"/>
          <w:sz w:val="24"/>
          <w:szCs w:val="24"/>
          <w:lang w:eastAsia="da-DK"/>
        </w:rPr>
        <w:t>-</w:t>
      </w:r>
      <w:r w:rsidRPr="002A1856">
        <w:rPr>
          <w:rStyle w:val="FontStyle27"/>
          <w:sz w:val="24"/>
          <w:szCs w:val="24"/>
          <w:lang w:val="da-DK" w:eastAsia="da-DK"/>
        </w:rPr>
        <w:t>kolesterol</w:t>
      </w:r>
      <w:r w:rsidRPr="002A1856">
        <w:rPr>
          <w:rStyle w:val="FontStyle27"/>
          <w:sz w:val="24"/>
          <w:szCs w:val="24"/>
          <w:lang w:eastAsia="da-DK"/>
        </w:rPr>
        <w:t xml:space="preserve">, </w:t>
      </w:r>
      <w:r w:rsidRPr="002A1856">
        <w:rPr>
          <w:rStyle w:val="FontStyle27"/>
          <w:sz w:val="24"/>
          <w:szCs w:val="24"/>
          <w:lang w:val="da-DK" w:eastAsia="da-DK"/>
        </w:rPr>
        <w:t>LDL</w:t>
      </w:r>
      <w:r w:rsidRPr="002A1856">
        <w:rPr>
          <w:rStyle w:val="FontStyle27"/>
          <w:sz w:val="24"/>
          <w:szCs w:val="24"/>
          <w:lang w:eastAsia="da-DK"/>
        </w:rPr>
        <w:t>-</w:t>
      </w:r>
      <w:r w:rsidRPr="002A1856">
        <w:rPr>
          <w:rStyle w:val="FontStyle27"/>
          <w:sz w:val="24"/>
          <w:szCs w:val="24"/>
          <w:lang w:val="da-DK" w:eastAsia="da-DK"/>
        </w:rPr>
        <w:t>kolesterol</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apolipoprotein</w:t>
      </w:r>
      <w:r w:rsidRPr="002A1856">
        <w:rPr>
          <w:rStyle w:val="FontStyle27"/>
          <w:sz w:val="24"/>
          <w:szCs w:val="24"/>
          <w:lang w:eastAsia="da-DK"/>
        </w:rPr>
        <w:t xml:space="preserve"> </w:t>
      </w:r>
      <w:r w:rsidRPr="002A1856">
        <w:rPr>
          <w:rStyle w:val="FontStyle27"/>
          <w:sz w:val="24"/>
          <w:szCs w:val="24"/>
          <w:lang w:val="da-DK" w:eastAsia="da-DK"/>
        </w:rPr>
        <w:t>B</w:t>
      </w:r>
      <w:r w:rsidRPr="002A1856">
        <w:rPr>
          <w:rStyle w:val="FontStyle27"/>
          <w:sz w:val="24"/>
          <w:szCs w:val="24"/>
          <w:lang w:eastAsia="da-DK"/>
        </w:rPr>
        <w:t xml:space="preserve"> </w:t>
      </w:r>
      <w:r w:rsidRPr="002A1856">
        <w:rPr>
          <w:rStyle w:val="FontStyle27"/>
          <w:sz w:val="24"/>
          <w:szCs w:val="24"/>
          <w:lang w:val="da-DK" w:eastAsia="da-DK"/>
        </w:rPr>
        <w:t>neds</w:t>
      </w:r>
      <w:r w:rsidRPr="002A1856">
        <w:rPr>
          <w:rStyle w:val="FontStyle27"/>
          <w:sz w:val="24"/>
          <w:szCs w:val="24"/>
          <w:lang w:eastAsia="da-DK"/>
        </w:rPr>
        <w:t>æ</w:t>
      </w:r>
      <w:r w:rsidRPr="002A1856">
        <w:rPr>
          <w:rStyle w:val="FontStyle27"/>
          <w:sz w:val="24"/>
          <w:szCs w:val="24"/>
          <w:lang w:val="da-DK" w:eastAsia="da-DK"/>
        </w:rPr>
        <w:t>tter</w:t>
      </w:r>
      <w:r w:rsidRPr="002A1856">
        <w:rPr>
          <w:rStyle w:val="FontStyle27"/>
          <w:sz w:val="24"/>
          <w:szCs w:val="24"/>
          <w:lang w:eastAsia="da-DK"/>
        </w:rPr>
        <w:t xml:space="preserve"> </w:t>
      </w:r>
      <w:r w:rsidRPr="002A1856">
        <w:rPr>
          <w:rStyle w:val="FontStyle27"/>
          <w:sz w:val="24"/>
          <w:szCs w:val="24"/>
          <w:lang w:val="da-DK" w:eastAsia="da-DK"/>
        </w:rPr>
        <w:t>risikoen</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kardiovaskul</w:t>
      </w:r>
      <w:r w:rsidRPr="002A1856">
        <w:rPr>
          <w:rStyle w:val="FontStyle27"/>
          <w:sz w:val="24"/>
          <w:szCs w:val="24"/>
          <w:lang w:eastAsia="da-DK"/>
        </w:rPr>
        <w:t>æ</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h</w:t>
      </w:r>
      <w:r w:rsidRPr="002A1856">
        <w:rPr>
          <w:rStyle w:val="FontStyle27"/>
          <w:sz w:val="24"/>
          <w:szCs w:val="24"/>
          <w:lang w:eastAsia="da-DK"/>
        </w:rPr>
        <w:t>æ</w:t>
      </w:r>
      <w:r w:rsidRPr="002A1856">
        <w:rPr>
          <w:rStyle w:val="FontStyle27"/>
          <w:sz w:val="24"/>
          <w:szCs w:val="24"/>
          <w:lang w:val="da-DK" w:eastAsia="da-DK"/>
        </w:rPr>
        <w:t>ndelser</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kardiovaskul</w:t>
      </w:r>
      <w:r w:rsidRPr="002A1856">
        <w:rPr>
          <w:rStyle w:val="FontStyle27"/>
          <w:sz w:val="24"/>
          <w:szCs w:val="24"/>
          <w:lang w:eastAsia="da-DK"/>
        </w:rPr>
        <w:t>æ</w:t>
      </w:r>
      <w:r w:rsidRPr="002A1856">
        <w:rPr>
          <w:rStyle w:val="FontStyle27"/>
          <w:sz w:val="24"/>
          <w:szCs w:val="24"/>
          <w:lang w:val="da-DK" w:eastAsia="da-DK"/>
        </w:rPr>
        <w:t>r</w:t>
      </w:r>
      <w:r w:rsidRPr="002A1856">
        <w:rPr>
          <w:rStyle w:val="FontStyle27"/>
          <w:sz w:val="24"/>
          <w:szCs w:val="24"/>
          <w:lang w:eastAsia="da-DK"/>
        </w:rPr>
        <w:t xml:space="preserve"> </w:t>
      </w:r>
      <w:r w:rsidRPr="002A1856">
        <w:rPr>
          <w:rStyle w:val="FontStyle27"/>
          <w:sz w:val="24"/>
          <w:szCs w:val="24"/>
          <w:lang w:val="da-DK" w:eastAsia="da-DK"/>
        </w:rPr>
        <w:t>mortalitet</w:t>
      </w:r>
      <w:r w:rsidRPr="002A1856">
        <w:rPr>
          <w:rStyle w:val="FontStyle27"/>
          <w:sz w:val="24"/>
          <w:szCs w:val="24"/>
          <w:lang w:eastAsia="da-DK"/>
        </w:rPr>
        <w:t>.</w:t>
      </w:r>
    </w:p>
    <w:p w:rsidR="002A1856" w:rsidRPr="002A1856" w:rsidRDefault="002A1856" w:rsidP="002A1856">
      <w:pPr>
        <w:pStyle w:val="Style1"/>
        <w:widowControl/>
        <w:spacing w:line="240" w:lineRule="auto"/>
      </w:pPr>
    </w:p>
    <w:p w:rsidR="002A1856" w:rsidRPr="002A1856" w:rsidRDefault="002A1856" w:rsidP="002A1856">
      <w:pPr>
        <w:pStyle w:val="Style1"/>
        <w:widowControl/>
        <w:spacing w:line="240" w:lineRule="auto"/>
        <w:ind w:left="851"/>
        <w:rPr>
          <w:rStyle w:val="FontStyle27"/>
          <w:sz w:val="24"/>
          <w:szCs w:val="24"/>
          <w:u w:val="single"/>
          <w:lang w:eastAsia="da-DK"/>
        </w:rPr>
      </w:pPr>
      <w:r w:rsidRPr="002A1856">
        <w:rPr>
          <w:rStyle w:val="FontStyle27"/>
          <w:sz w:val="24"/>
          <w:szCs w:val="24"/>
          <w:u w:val="single"/>
          <w:lang w:val="da-DK" w:eastAsia="da-DK"/>
        </w:rPr>
        <w:t>Homozygot familiær hyperkolesterolæmi</w:t>
      </w:r>
    </w:p>
    <w:p w:rsidR="002A1856" w:rsidRPr="002A1856" w:rsidRDefault="002A1856" w:rsidP="002A1856">
      <w:pPr>
        <w:pStyle w:val="Style1"/>
        <w:widowControl/>
        <w:spacing w:line="240" w:lineRule="auto"/>
        <w:ind w:left="851"/>
      </w:pPr>
      <w:r w:rsidRPr="002A1856">
        <w:rPr>
          <w:rStyle w:val="FontStyle27"/>
          <w:sz w:val="24"/>
          <w:szCs w:val="24"/>
          <w:lang w:val="da-DK" w:eastAsia="da-DK"/>
        </w:rPr>
        <w:t>Et multicenter 8-ugers open-label compassionate-use klinisk forsøg med valgfri forlængelsesfase af variable længde omfattede 335 patienter. Heraf havde 89 patienter homozygot familiær hyperkolesterolæmi. Hos disse patienter var den gennemsnitlige procentvise reduktion i LDL-kolesterol ca. 20 %. Atorvastatin blev administreret i doser op til 80 mg/dag.</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u w:val="single"/>
          <w:lang w:eastAsia="da-DK"/>
        </w:rPr>
      </w:pPr>
      <w:r w:rsidRPr="002A1856">
        <w:rPr>
          <w:rStyle w:val="FontStyle27"/>
          <w:sz w:val="24"/>
          <w:szCs w:val="24"/>
          <w:u w:val="single"/>
          <w:lang w:val="da-DK" w:eastAsia="da-DK"/>
        </w:rPr>
        <w:t>Aterosklerose</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I ”Reversing Atherosclerosis with Aggressive Lipid-Lovering Study” (REVERSAL) blev effekten af intensiv lipidsænkning med atorvastatin 80 mg og standard-lipidsænkning med pravastatin 40 mg på koronar aterosklerose vurderet ved hjælp af intravaskulær ultralyd (IVUS) under angiografi hos patienter med koronar hjertesygdom. I dette randomiserede, dobbelt-blindede, multicenter, kontrollerede kliniske studie blev IVUS udført ved baseline og ved 18 måneder hos 502 patienter. I atorvastatingruppen (n=253) var der ingen progression af aterosklerose.</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Den</w:t>
      </w:r>
      <w:r w:rsidRPr="002A1856">
        <w:rPr>
          <w:rStyle w:val="FontStyle27"/>
          <w:sz w:val="24"/>
          <w:szCs w:val="24"/>
          <w:lang w:eastAsia="da-DK"/>
        </w:rPr>
        <w:t xml:space="preserve"> </w:t>
      </w:r>
      <w:r w:rsidRPr="002A1856">
        <w:rPr>
          <w:rStyle w:val="FontStyle27"/>
          <w:sz w:val="24"/>
          <w:szCs w:val="24"/>
          <w:lang w:val="da-DK" w:eastAsia="da-DK"/>
        </w:rPr>
        <w:t>mediane</w:t>
      </w:r>
      <w:r w:rsidRPr="002A1856">
        <w:rPr>
          <w:rStyle w:val="FontStyle27"/>
          <w:sz w:val="24"/>
          <w:szCs w:val="24"/>
          <w:lang w:eastAsia="da-DK"/>
        </w:rPr>
        <w:t xml:space="preserve"> æ</w:t>
      </w:r>
      <w:r w:rsidRPr="002A1856">
        <w:rPr>
          <w:rStyle w:val="FontStyle27"/>
          <w:sz w:val="24"/>
          <w:szCs w:val="24"/>
          <w:lang w:val="da-DK" w:eastAsia="da-DK"/>
        </w:rPr>
        <w:t>ndring</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total</w:t>
      </w:r>
      <w:r w:rsidRPr="002A1856">
        <w:rPr>
          <w:rStyle w:val="FontStyle27"/>
          <w:sz w:val="24"/>
          <w:szCs w:val="24"/>
          <w:lang w:eastAsia="da-DK"/>
        </w:rPr>
        <w:t xml:space="preserve"> </w:t>
      </w:r>
      <w:r w:rsidRPr="002A1856">
        <w:rPr>
          <w:rStyle w:val="FontStyle27"/>
          <w:sz w:val="24"/>
          <w:szCs w:val="24"/>
          <w:lang w:val="da-DK" w:eastAsia="da-DK"/>
        </w:rPr>
        <w:t>ateromavolumen</w:t>
      </w:r>
      <w:r w:rsidRPr="002A1856">
        <w:rPr>
          <w:rStyle w:val="FontStyle27"/>
          <w:sz w:val="24"/>
          <w:szCs w:val="24"/>
          <w:lang w:eastAsia="da-DK"/>
        </w:rPr>
        <w:t xml:space="preserve"> (</w:t>
      </w:r>
      <w:r w:rsidRPr="002A1856">
        <w:rPr>
          <w:rStyle w:val="FontStyle27"/>
          <w:sz w:val="24"/>
          <w:szCs w:val="24"/>
          <w:lang w:val="da-DK" w:eastAsia="da-DK"/>
        </w:rPr>
        <w:t>det</w:t>
      </w:r>
      <w:r w:rsidRPr="002A1856">
        <w:rPr>
          <w:rStyle w:val="FontStyle27"/>
          <w:sz w:val="24"/>
          <w:szCs w:val="24"/>
          <w:lang w:eastAsia="da-DK"/>
        </w:rPr>
        <w:t xml:space="preserve"> </w:t>
      </w:r>
      <w:r w:rsidRPr="002A1856">
        <w:rPr>
          <w:rStyle w:val="FontStyle27"/>
          <w:sz w:val="24"/>
          <w:szCs w:val="24"/>
          <w:lang w:val="da-DK" w:eastAsia="da-DK"/>
        </w:rPr>
        <w:t>prim</w:t>
      </w:r>
      <w:r w:rsidRPr="002A1856">
        <w:rPr>
          <w:rStyle w:val="FontStyle27"/>
          <w:sz w:val="24"/>
          <w:szCs w:val="24"/>
          <w:lang w:eastAsia="da-DK"/>
        </w:rPr>
        <w:t>æ</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studiekriterie</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procent</w:t>
      </w:r>
      <w:r w:rsidRPr="002A1856">
        <w:rPr>
          <w:rStyle w:val="FontStyle27"/>
          <w:sz w:val="24"/>
          <w:szCs w:val="24"/>
          <w:lang w:eastAsia="da-DK"/>
        </w:rPr>
        <w:t xml:space="preserve"> </w:t>
      </w:r>
      <w:r w:rsidRPr="002A1856">
        <w:rPr>
          <w:rStyle w:val="FontStyle27"/>
          <w:sz w:val="24"/>
          <w:szCs w:val="24"/>
          <w:lang w:val="da-DK" w:eastAsia="da-DK"/>
        </w:rPr>
        <w:t>fra</w:t>
      </w:r>
      <w:r w:rsidRPr="002A1856">
        <w:rPr>
          <w:rStyle w:val="FontStyle27"/>
          <w:sz w:val="24"/>
          <w:szCs w:val="24"/>
          <w:lang w:eastAsia="da-DK"/>
        </w:rPr>
        <w:t xml:space="preserve"> </w:t>
      </w:r>
      <w:r w:rsidRPr="002A1856">
        <w:rPr>
          <w:rStyle w:val="FontStyle27"/>
          <w:sz w:val="24"/>
          <w:szCs w:val="24"/>
          <w:lang w:val="da-DK" w:eastAsia="da-DK"/>
        </w:rPr>
        <w:t>baseline</w:t>
      </w:r>
      <w:r w:rsidRPr="002A1856">
        <w:rPr>
          <w:rStyle w:val="FontStyle27"/>
          <w:sz w:val="24"/>
          <w:szCs w:val="24"/>
          <w:lang w:eastAsia="da-DK"/>
        </w:rPr>
        <w:t xml:space="preserve"> </w:t>
      </w:r>
      <w:r w:rsidRPr="002A1856">
        <w:rPr>
          <w:rStyle w:val="FontStyle27"/>
          <w:sz w:val="24"/>
          <w:szCs w:val="24"/>
          <w:lang w:val="da-DK" w:eastAsia="da-DK"/>
        </w:rPr>
        <w:t>var</w:t>
      </w:r>
      <w:r w:rsidRPr="002A1856">
        <w:rPr>
          <w:rStyle w:val="FontStyle27"/>
          <w:sz w:val="24"/>
          <w:szCs w:val="24"/>
          <w:lang w:eastAsia="da-DK"/>
        </w:rPr>
        <w:t xml:space="preserve"> -0,4 % (</w:t>
      </w:r>
      <w:r w:rsidRPr="002A1856">
        <w:rPr>
          <w:rStyle w:val="FontStyle27"/>
          <w:sz w:val="24"/>
          <w:szCs w:val="24"/>
          <w:lang w:val="da-DK" w:eastAsia="da-DK"/>
        </w:rPr>
        <w:t>p</w:t>
      </w:r>
      <w:r w:rsidRPr="002A1856">
        <w:rPr>
          <w:rStyle w:val="FontStyle27"/>
          <w:sz w:val="24"/>
          <w:szCs w:val="24"/>
          <w:lang w:eastAsia="da-DK"/>
        </w:rPr>
        <w:t xml:space="preserve">=0,98)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atorvastatingruppen</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+2,7 % (</w:t>
      </w:r>
      <w:r w:rsidRPr="002A1856">
        <w:rPr>
          <w:rStyle w:val="FontStyle27"/>
          <w:sz w:val="24"/>
          <w:szCs w:val="24"/>
          <w:lang w:val="da-DK" w:eastAsia="da-DK"/>
        </w:rPr>
        <w:t>p</w:t>
      </w:r>
      <w:r w:rsidRPr="002A1856">
        <w:rPr>
          <w:rStyle w:val="FontStyle27"/>
          <w:sz w:val="24"/>
          <w:szCs w:val="24"/>
          <w:lang w:eastAsia="da-DK"/>
        </w:rPr>
        <w:t xml:space="preserve">=0,001)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pravastatin</w:t>
      </w:r>
      <w:r w:rsidRPr="002A1856">
        <w:rPr>
          <w:rStyle w:val="FontStyle27"/>
          <w:sz w:val="24"/>
          <w:szCs w:val="24"/>
          <w:lang w:eastAsia="da-DK"/>
        </w:rPr>
        <w:softHyphen/>
      </w:r>
      <w:r w:rsidRPr="002A1856">
        <w:rPr>
          <w:rStyle w:val="FontStyle27"/>
          <w:sz w:val="24"/>
          <w:szCs w:val="24"/>
          <w:lang w:val="da-DK" w:eastAsia="da-DK"/>
        </w:rPr>
        <w:t>gruppen</w:t>
      </w:r>
      <w:r w:rsidRPr="002A1856">
        <w:rPr>
          <w:rStyle w:val="FontStyle27"/>
          <w:sz w:val="24"/>
          <w:szCs w:val="24"/>
          <w:lang w:eastAsia="da-DK"/>
        </w:rPr>
        <w:t xml:space="preserve"> (</w:t>
      </w:r>
      <w:r w:rsidRPr="002A1856">
        <w:rPr>
          <w:rStyle w:val="FontStyle27"/>
          <w:sz w:val="24"/>
          <w:szCs w:val="24"/>
          <w:lang w:val="da-DK" w:eastAsia="da-DK"/>
        </w:rPr>
        <w:t>n</w:t>
      </w:r>
      <w:r w:rsidRPr="002A1856">
        <w:rPr>
          <w:rStyle w:val="FontStyle27"/>
          <w:sz w:val="24"/>
          <w:szCs w:val="24"/>
          <w:lang w:eastAsia="da-DK"/>
        </w:rPr>
        <w:t xml:space="preserve">=249). </w:t>
      </w:r>
      <w:r w:rsidRPr="002A1856">
        <w:rPr>
          <w:rStyle w:val="FontStyle27"/>
          <w:sz w:val="24"/>
          <w:szCs w:val="24"/>
          <w:lang w:val="da-DK" w:eastAsia="da-DK"/>
        </w:rPr>
        <w:t>Effekten</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atorvastatin</w:t>
      </w:r>
      <w:r w:rsidRPr="002A1856">
        <w:rPr>
          <w:rStyle w:val="FontStyle27"/>
          <w:sz w:val="24"/>
          <w:szCs w:val="24"/>
          <w:lang w:eastAsia="da-DK"/>
        </w:rPr>
        <w:t xml:space="preserve"> </w:t>
      </w:r>
      <w:r w:rsidRPr="002A1856">
        <w:rPr>
          <w:rStyle w:val="FontStyle27"/>
          <w:sz w:val="24"/>
          <w:szCs w:val="24"/>
          <w:lang w:val="da-DK" w:eastAsia="da-DK"/>
        </w:rPr>
        <w:t>er</w:t>
      </w:r>
      <w:r w:rsidRPr="002A1856">
        <w:rPr>
          <w:rStyle w:val="FontStyle27"/>
          <w:sz w:val="24"/>
          <w:szCs w:val="24"/>
          <w:lang w:eastAsia="da-DK"/>
        </w:rPr>
        <w:t xml:space="preserve"> </w:t>
      </w:r>
      <w:r w:rsidRPr="002A1856">
        <w:rPr>
          <w:rStyle w:val="FontStyle27"/>
          <w:sz w:val="24"/>
          <w:szCs w:val="24"/>
          <w:lang w:val="da-DK" w:eastAsia="da-DK"/>
        </w:rPr>
        <w:t>statistisk</w:t>
      </w:r>
      <w:r w:rsidRPr="002A1856">
        <w:rPr>
          <w:rStyle w:val="FontStyle27"/>
          <w:sz w:val="24"/>
          <w:szCs w:val="24"/>
          <w:lang w:eastAsia="da-DK"/>
        </w:rPr>
        <w:t xml:space="preserve"> </w:t>
      </w:r>
      <w:r w:rsidRPr="002A1856">
        <w:rPr>
          <w:rStyle w:val="FontStyle27"/>
          <w:sz w:val="24"/>
          <w:szCs w:val="24"/>
          <w:lang w:val="da-DK" w:eastAsia="da-DK"/>
        </w:rPr>
        <w:t>signifikant</w:t>
      </w:r>
      <w:r w:rsidRPr="002A1856">
        <w:rPr>
          <w:rStyle w:val="FontStyle27"/>
          <w:sz w:val="24"/>
          <w:szCs w:val="24"/>
          <w:lang w:eastAsia="da-DK"/>
        </w:rPr>
        <w:t xml:space="preserve"> (</w:t>
      </w:r>
      <w:r w:rsidRPr="002A1856">
        <w:rPr>
          <w:rStyle w:val="FontStyle27"/>
          <w:sz w:val="24"/>
          <w:szCs w:val="24"/>
          <w:lang w:val="da-DK" w:eastAsia="da-DK"/>
        </w:rPr>
        <w:t>p</w:t>
      </w:r>
      <w:r w:rsidRPr="002A1856">
        <w:rPr>
          <w:rStyle w:val="FontStyle27"/>
          <w:sz w:val="24"/>
          <w:szCs w:val="24"/>
          <w:lang w:eastAsia="da-DK"/>
        </w:rPr>
        <w:t xml:space="preserve">=0,02) </w:t>
      </w:r>
      <w:r w:rsidRPr="002A1856">
        <w:rPr>
          <w:rStyle w:val="FontStyle27"/>
          <w:sz w:val="24"/>
          <w:szCs w:val="24"/>
          <w:lang w:val="da-DK" w:eastAsia="da-DK"/>
        </w:rPr>
        <w:t>ved</w:t>
      </w:r>
      <w:r w:rsidRPr="002A1856">
        <w:rPr>
          <w:rStyle w:val="FontStyle27"/>
          <w:sz w:val="24"/>
          <w:szCs w:val="24"/>
          <w:lang w:eastAsia="da-DK"/>
        </w:rPr>
        <w:t xml:space="preserve"> </w:t>
      </w:r>
      <w:r w:rsidRPr="002A1856">
        <w:rPr>
          <w:rStyle w:val="FontStyle27"/>
          <w:sz w:val="24"/>
          <w:szCs w:val="24"/>
          <w:lang w:val="da-DK" w:eastAsia="da-DK"/>
        </w:rPr>
        <w:t>sammenligning</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pravastatin</w:t>
      </w:r>
      <w:r w:rsidRPr="002A1856">
        <w:rPr>
          <w:rStyle w:val="FontStyle27"/>
          <w:sz w:val="24"/>
          <w:szCs w:val="24"/>
          <w:lang w:eastAsia="da-DK"/>
        </w:rPr>
        <w:t xml:space="preserve">. </w:t>
      </w:r>
      <w:r w:rsidRPr="002A1856">
        <w:rPr>
          <w:rStyle w:val="FontStyle27"/>
          <w:sz w:val="24"/>
          <w:szCs w:val="24"/>
          <w:lang w:val="da-DK" w:eastAsia="da-DK"/>
        </w:rPr>
        <w:t>Effekten</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intensiv</w:t>
      </w:r>
      <w:r w:rsidRPr="002A1856">
        <w:rPr>
          <w:rStyle w:val="FontStyle27"/>
          <w:sz w:val="24"/>
          <w:szCs w:val="24"/>
          <w:lang w:eastAsia="da-DK"/>
        </w:rPr>
        <w:t xml:space="preserve"> </w:t>
      </w:r>
      <w:r w:rsidRPr="002A1856">
        <w:rPr>
          <w:rStyle w:val="FontStyle27"/>
          <w:sz w:val="24"/>
          <w:szCs w:val="24"/>
          <w:lang w:val="da-DK" w:eastAsia="da-DK"/>
        </w:rPr>
        <w:t>lipids</w:t>
      </w:r>
      <w:r w:rsidRPr="002A1856">
        <w:rPr>
          <w:rStyle w:val="FontStyle27"/>
          <w:sz w:val="24"/>
          <w:szCs w:val="24"/>
          <w:lang w:eastAsia="da-DK"/>
        </w:rPr>
        <w:t>æ</w:t>
      </w:r>
      <w:r w:rsidRPr="002A1856">
        <w:rPr>
          <w:rStyle w:val="FontStyle27"/>
          <w:sz w:val="24"/>
          <w:szCs w:val="24"/>
          <w:lang w:val="da-DK" w:eastAsia="da-DK"/>
        </w:rPr>
        <w:t>nkning</w:t>
      </w:r>
      <w:r w:rsidRPr="002A1856">
        <w:rPr>
          <w:rStyle w:val="FontStyle27"/>
          <w:sz w:val="24"/>
          <w:szCs w:val="24"/>
          <w:lang w:eastAsia="da-DK"/>
        </w:rPr>
        <w:t xml:space="preserve"> </w:t>
      </w:r>
      <w:r w:rsidRPr="002A1856">
        <w:rPr>
          <w:rStyle w:val="FontStyle27"/>
          <w:sz w:val="24"/>
          <w:szCs w:val="24"/>
          <w:lang w:val="da-DK" w:eastAsia="da-DK"/>
        </w:rPr>
        <w:t>p</w:t>
      </w:r>
      <w:r w:rsidRPr="002A1856">
        <w:rPr>
          <w:rStyle w:val="FontStyle27"/>
          <w:sz w:val="24"/>
          <w:szCs w:val="24"/>
          <w:lang w:eastAsia="da-DK"/>
        </w:rPr>
        <w:t xml:space="preserve">å </w:t>
      </w:r>
      <w:r w:rsidRPr="002A1856">
        <w:rPr>
          <w:rStyle w:val="FontStyle27"/>
          <w:sz w:val="24"/>
          <w:szCs w:val="24"/>
          <w:lang w:val="da-DK" w:eastAsia="da-DK"/>
        </w:rPr>
        <w:t>kardiovaskul</w:t>
      </w:r>
      <w:r w:rsidRPr="002A1856">
        <w:rPr>
          <w:rStyle w:val="FontStyle27"/>
          <w:sz w:val="24"/>
          <w:szCs w:val="24"/>
          <w:lang w:eastAsia="da-DK"/>
        </w:rPr>
        <w:t>æ</w:t>
      </w:r>
      <w:r w:rsidRPr="002A1856">
        <w:rPr>
          <w:rStyle w:val="FontStyle27"/>
          <w:sz w:val="24"/>
          <w:szCs w:val="24"/>
          <w:lang w:val="da-DK" w:eastAsia="da-DK"/>
        </w:rPr>
        <w:t>re</w:t>
      </w:r>
      <w:r w:rsidRPr="002A1856">
        <w:rPr>
          <w:rStyle w:val="FontStyle27"/>
          <w:sz w:val="24"/>
          <w:szCs w:val="24"/>
          <w:lang w:eastAsia="da-DK"/>
        </w:rPr>
        <w:t xml:space="preserve"> </w:t>
      </w:r>
      <w:r w:rsidRPr="002A1856">
        <w:rPr>
          <w:rStyle w:val="FontStyle27"/>
          <w:sz w:val="24"/>
          <w:szCs w:val="24"/>
          <w:lang w:val="da-DK" w:eastAsia="da-DK"/>
        </w:rPr>
        <w:t>endepunkter</w:t>
      </w:r>
      <w:r w:rsidRPr="002A1856">
        <w:rPr>
          <w:rStyle w:val="FontStyle27"/>
          <w:sz w:val="24"/>
          <w:szCs w:val="24"/>
          <w:lang w:eastAsia="da-DK"/>
        </w:rPr>
        <w:t xml:space="preserve"> (</w:t>
      </w:r>
      <w:r w:rsidRPr="002A1856">
        <w:rPr>
          <w:rStyle w:val="FontStyle27"/>
          <w:sz w:val="24"/>
          <w:szCs w:val="24"/>
          <w:lang w:val="da-DK" w:eastAsia="da-DK"/>
        </w:rPr>
        <w:t>d</w:t>
      </w:r>
      <w:r w:rsidRPr="002A1856">
        <w:rPr>
          <w:rStyle w:val="FontStyle26"/>
          <w:sz w:val="24"/>
          <w:szCs w:val="24"/>
          <w:lang w:val="da-DK" w:eastAsia="da-DK"/>
        </w:rPr>
        <w:t>vs</w:t>
      </w:r>
      <w:r w:rsidRPr="002A1856">
        <w:rPr>
          <w:rStyle w:val="FontStyle26"/>
          <w:sz w:val="24"/>
          <w:szCs w:val="24"/>
          <w:lang w:eastAsia="da-DK"/>
        </w:rPr>
        <w:t xml:space="preserve">. </w:t>
      </w:r>
      <w:r w:rsidRPr="002A1856">
        <w:rPr>
          <w:rStyle w:val="FontStyle27"/>
          <w:sz w:val="24"/>
          <w:szCs w:val="24"/>
          <w:lang w:val="da-DK" w:eastAsia="da-DK"/>
        </w:rPr>
        <w:t>behov</w:t>
      </w:r>
      <w:r w:rsidRPr="002A1856">
        <w:rPr>
          <w:rStyle w:val="FontStyle27"/>
          <w:sz w:val="24"/>
          <w:szCs w:val="24"/>
          <w:lang w:eastAsia="da-DK"/>
        </w:rPr>
        <w:t xml:space="preserve"> </w:t>
      </w:r>
      <w:r w:rsidRPr="002A1856">
        <w:rPr>
          <w:rStyle w:val="FontStyle27"/>
          <w:sz w:val="24"/>
          <w:szCs w:val="24"/>
          <w:lang w:val="da-DK" w:eastAsia="da-DK"/>
        </w:rPr>
        <w:t>for</w:t>
      </w:r>
      <w:r w:rsidRPr="002A1856">
        <w:rPr>
          <w:rStyle w:val="FontStyle27"/>
          <w:sz w:val="24"/>
          <w:szCs w:val="24"/>
          <w:lang w:eastAsia="da-DK"/>
        </w:rPr>
        <w:t xml:space="preserve"> </w:t>
      </w:r>
      <w:r w:rsidRPr="002A1856">
        <w:rPr>
          <w:rStyle w:val="FontStyle27"/>
          <w:sz w:val="24"/>
          <w:szCs w:val="24"/>
          <w:lang w:val="da-DK" w:eastAsia="da-DK"/>
        </w:rPr>
        <w:t>revaskularisering</w:t>
      </w:r>
      <w:r w:rsidRPr="002A1856">
        <w:rPr>
          <w:rStyle w:val="FontStyle27"/>
          <w:sz w:val="24"/>
          <w:szCs w:val="24"/>
          <w:lang w:eastAsia="da-DK"/>
        </w:rPr>
        <w:t xml:space="preserve">, </w:t>
      </w:r>
      <w:r w:rsidRPr="002A1856">
        <w:rPr>
          <w:rStyle w:val="FontStyle27"/>
          <w:sz w:val="24"/>
          <w:szCs w:val="24"/>
          <w:lang w:val="da-DK" w:eastAsia="da-DK"/>
        </w:rPr>
        <w:t>ikke</w:t>
      </w:r>
      <w:r w:rsidRPr="002A1856">
        <w:rPr>
          <w:rStyle w:val="FontStyle27"/>
          <w:sz w:val="24"/>
          <w:szCs w:val="24"/>
          <w:lang w:eastAsia="da-DK"/>
        </w:rPr>
        <w:t>-</w:t>
      </w:r>
      <w:r w:rsidRPr="002A1856">
        <w:rPr>
          <w:rStyle w:val="FontStyle27"/>
          <w:sz w:val="24"/>
          <w:szCs w:val="24"/>
          <w:lang w:val="da-DK" w:eastAsia="da-DK"/>
        </w:rPr>
        <w:t>letalt</w:t>
      </w:r>
      <w:r w:rsidRPr="002A1856">
        <w:rPr>
          <w:rStyle w:val="FontStyle27"/>
          <w:sz w:val="24"/>
          <w:szCs w:val="24"/>
          <w:lang w:eastAsia="da-DK"/>
        </w:rPr>
        <w:t xml:space="preserve"> </w:t>
      </w:r>
      <w:r w:rsidRPr="002A1856">
        <w:rPr>
          <w:rStyle w:val="FontStyle27"/>
          <w:sz w:val="24"/>
          <w:szCs w:val="24"/>
          <w:lang w:val="da-DK" w:eastAsia="da-DK"/>
        </w:rPr>
        <w:t>myokardieinfarkt</w:t>
      </w:r>
      <w:r w:rsidRPr="002A1856">
        <w:rPr>
          <w:rStyle w:val="FontStyle27"/>
          <w:sz w:val="24"/>
          <w:szCs w:val="24"/>
          <w:lang w:eastAsia="da-DK"/>
        </w:rPr>
        <w:t xml:space="preserve"> (</w:t>
      </w:r>
      <w:r w:rsidRPr="002A1856">
        <w:rPr>
          <w:rStyle w:val="FontStyle27"/>
          <w:sz w:val="24"/>
          <w:szCs w:val="24"/>
          <w:lang w:val="da-DK" w:eastAsia="da-DK"/>
        </w:rPr>
        <w:t>MI</w:t>
      </w:r>
      <w:r w:rsidRPr="002A1856">
        <w:rPr>
          <w:rStyle w:val="FontStyle27"/>
          <w:sz w:val="24"/>
          <w:szCs w:val="24"/>
          <w:lang w:eastAsia="da-DK"/>
        </w:rPr>
        <w:t xml:space="preserve">), </w:t>
      </w:r>
      <w:r w:rsidRPr="002A1856">
        <w:rPr>
          <w:rStyle w:val="FontStyle27"/>
          <w:sz w:val="24"/>
          <w:szCs w:val="24"/>
          <w:lang w:val="da-DK" w:eastAsia="da-DK"/>
        </w:rPr>
        <w:t>koronar</w:t>
      </w:r>
      <w:r w:rsidRPr="002A1856">
        <w:rPr>
          <w:rStyle w:val="FontStyle27"/>
          <w:sz w:val="24"/>
          <w:szCs w:val="24"/>
          <w:lang w:eastAsia="da-DK"/>
        </w:rPr>
        <w:t xml:space="preserve"> </w:t>
      </w:r>
      <w:r w:rsidRPr="002A1856">
        <w:rPr>
          <w:rStyle w:val="FontStyle27"/>
          <w:sz w:val="24"/>
          <w:szCs w:val="24"/>
          <w:lang w:val="da-DK" w:eastAsia="da-DK"/>
        </w:rPr>
        <w:t>d</w:t>
      </w:r>
      <w:r w:rsidRPr="002A1856">
        <w:rPr>
          <w:rStyle w:val="FontStyle27"/>
          <w:sz w:val="24"/>
          <w:szCs w:val="24"/>
          <w:lang w:eastAsia="da-DK"/>
        </w:rPr>
        <w:t>ø</w:t>
      </w:r>
      <w:r w:rsidRPr="002A1856">
        <w:rPr>
          <w:rStyle w:val="FontStyle27"/>
          <w:sz w:val="24"/>
          <w:szCs w:val="24"/>
          <w:lang w:val="da-DK" w:eastAsia="da-DK"/>
        </w:rPr>
        <w:t>d</w:t>
      </w:r>
      <w:r w:rsidRPr="002A1856">
        <w:rPr>
          <w:rStyle w:val="FontStyle27"/>
          <w:sz w:val="24"/>
          <w:szCs w:val="24"/>
          <w:lang w:eastAsia="da-DK"/>
        </w:rPr>
        <w:t xml:space="preserve">) </w:t>
      </w:r>
      <w:r w:rsidRPr="002A1856">
        <w:rPr>
          <w:rStyle w:val="FontStyle27"/>
          <w:sz w:val="24"/>
          <w:szCs w:val="24"/>
          <w:lang w:val="da-DK" w:eastAsia="da-DK"/>
        </w:rPr>
        <w:t>blev</w:t>
      </w:r>
      <w:r w:rsidRPr="002A1856">
        <w:rPr>
          <w:rStyle w:val="FontStyle27"/>
          <w:sz w:val="24"/>
          <w:szCs w:val="24"/>
          <w:lang w:eastAsia="da-DK"/>
        </w:rPr>
        <w:t xml:space="preserve"> </w:t>
      </w:r>
      <w:r w:rsidRPr="002A1856">
        <w:rPr>
          <w:rStyle w:val="FontStyle27"/>
          <w:sz w:val="24"/>
          <w:szCs w:val="24"/>
          <w:lang w:val="da-DK" w:eastAsia="da-DK"/>
        </w:rPr>
        <w:t>ikke</w:t>
      </w:r>
      <w:r w:rsidRPr="002A1856">
        <w:rPr>
          <w:rStyle w:val="FontStyle27"/>
          <w:sz w:val="24"/>
          <w:szCs w:val="24"/>
          <w:lang w:eastAsia="da-DK"/>
        </w:rPr>
        <w:t xml:space="preserve"> </w:t>
      </w:r>
      <w:r w:rsidRPr="002A1856">
        <w:rPr>
          <w:rStyle w:val="FontStyle27"/>
          <w:sz w:val="24"/>
          <w:szCs w:val="24"/>
          <w:lang w:val="da-DK" w:eastAsia="da-DK"/>
        </w:rPr>
        <w:t>unders</w:t>
      </w:r>
      <w:r w:rsidRPr="002A1856">
        <w:rPr>
          <w:rStyle w:val="FontStyle27"/>
          <w:sz w:val="24"/>
          <w:szCs w:val="24"/>
          <w:lang w:eastAsia="da-DK"/>
        </w:rPr>
        <w:t>ø</w:t>
      </w:r>
      <w:r w:rsidRPr="002A1856">
        <w:rPr>
          <w:rStyle w:val="FontStyle27"/>
          <w:sz w:val="24"/>
          <w:szCs w:val="24"/>
          <w:lang w:val="da-DK" w:eastAsia="da-DK"/>
        </w:rPr>
        <w:t>gt</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dette</w:t>
      </w:r>
      <w:r w:rsidRPr="002A1856">
        <w:rPr>
          <w:rStyle w:val="FontStyle27"/>
          <w:sz w:val="24"/>
          <w:szCs w:val="24"/>
          <w:lang w:eastAsia="da-DK"/>
        </w:rPr>
        <w:t xml:space="preserve"> </w:t>
      </w:r>
      <w:r w:rsidRPr="002A1856">
        <w:rPr>
          <w:rStyle w:val="FontStyle27"/>
          <w:sz w:val="24"/>
          <w:szCs w:val="24"/>
          <w:lang w:val="da-DK" w:eastAsia="da-DK"/>
        </w:rPr>
        <w:t>studie</w:t>
      </w:r>
      <w:r w:rsidRPr="002A1856">
        <w:rPr>
          <w:rStyle w:val="FontStyle27"/>
          <w:sz w:val="24"/>
          <w:szCs w:val="24"/>
          <w:lang w:eastAsia="da-DK"/>
        </w:rPr>
        <w:t>.</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 xml:space="preserve">I atorvastatingruppen blev LDL-kolesterol reduceret til et gennemsnit på 2,04 mmol/l ±0,8 (78,9 mg/dl ±30) fra baseline 3,98 mmol/l ±0,7 (150 mg/dl ±28) og i pravastatingruppen til </w:t>
      </w:r>
      <w:r w:rsidRPr="002A1856">
        <w:rPr>
          <w:rStyle w:val="FontStyle27"/>
          <w:sz w:val="24"/>
          <w:szCs w:val="24"/>
          <w:lang w:val="da-DK" w:eastAsia="da-DK"/>
        </w:rPr>
        <w:lastRenderedPageBreak/>
        <w:t xml:space="preserve">et gennemsnit på 2,85 mmol/l ± 0,7 (110 mg/dl ±26) fra baseline 3,89 mmol/l ± 0,7 (150 mg/dl ±26) (p&lt;0,0001). Atorvastatin reducerede også signifikant det gennemsnitlige total-kolesterol (TC) med 34,1 % (pravastatin: -18,4 %; p&lt;0,0001), de gennemsnitlige </w:t>
      </w:r>
      <w:proofErr w:type="gramStart"/>
      <w:r w:rsidRPr="002A1856">
        <w:rPr>
          <w:rStyle w:val="FontStyle27"/>
          <w:sz w:val="24"/>
          <w:szCs w:val="24"/>
          <w:lang w:val="da-DK" w:eastAsia="da-DK"/>
        </w:rPr>
        <w:t>triglycerid</w:t>
      </w:r>
      <w:proofErr w:type="gramEnd"/>
      <w:r w:rsidRPr="002A1856">
        <w:rPr>
          <w:rStyle w:val="FontStyle27"/>
          <w:sz w:val="24"/>
          <w:szCs w:val="24"/>
          <w:lang w:val="da-DK" w:eastAsia="da-DK"/>
        </w:rPr>
        <w:t xml:space="preserve"> (TG)-niveauer med 20 % (pravastatin: -6,8 %; p&lt;0,0009), og det gennemsnitlige apolipoprotein B med 39,1 % (pravastatin: -22,0 %; p&lt;0,0001). Atorvastatin øgede det gennemsnitlige HDL-kolesterol med 2,9 % (pravastatin: +5,6 %, p=NS). Der var 36,4 % gennemsnitsreduktion i C-reaktivt protein (CRP) i atorvastatingruppen sammenlignet med 5,2 % reduktion i pravastatingruppen (p&lt;0,0001).</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Studieresultaterne blev opnået for styrken 80 mg. Derfor kan de ikke ekstrapoleres til de lavere doser.</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Sikkerheds- og tolerabilitetsprofilen var sammenlignelig i de 2 grupper.</w:t>
      </w:r>
    </w:p>
    <w:p w:rsidR="002A1856" w:rsidRPr="002A1856" w:rsidRDefault="002A1856" w:rsidP="002A1856">
      <w:pPr>
        <w:pStyle w:val="Style1"/>
        <w:widowControl/>
        <w:spacing w:line="240" w:lineRule="auto"/>
        <w:ind w:left="851" w:hanging="851"/>
        <w:rPr>
          <w:color w:val="000000" w:themeColor="text1"/>
        </w:rPr>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color w:val="000000" w:themeColor="text1"/>
          <w:sz w:val="24"/>
          <w:szCs w:val="24"/>
          <w:lang w:val="da-DK" w:eastAsia="da-DK"/>
        </w:rPr>
        <w:t xml:space="preserve">Effekten </w:t>
      </w:r>
      <w:r w:rsidRPr="002A1856">
        <w:rPr>
          <w:rStyle w:val="FontStyle27"/>
          <w:sz w:val="24"/>
          <w:szCs w:val="24"/>
          <w:lang w:val="da-DK" w:eastAsia="da-DK"/>
        </w:rPr>
        <w:t>af den intensive lipidsænkning på de primære kardiovaskulære endepunkter blev ikke undersøgt i dette studie. Derfor er den kliniske relevans af disse resultater med hensyn til primær og sekundær fore</w:t>
      </w:r>
      <w:r w:rsidRPr="002A1856">
        <w:rPr>
          <w:rStyle w:val="FontStyle27"/>
          <w:sz w:val="24"/>
          <w:szCs w:val="24"/>
          <w:lang w:val="da-DK" w:eastAsia="da-DK"/>
        </w:rPr>
        <w:softHyphen/>
        <w:t>byggelse af kardiovaskulære hændelser ikke kendt.</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Akut koronarsyndrom</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I MIRACL-studiet blev atorvastatin 80 mg vurderet hos 3.086 patienter (atorvastatin n=1.538; placebo n=1.548) med akut koronarsyndrom (non-Q-tak MI eller ustabil angina). Behandling blev initieret i den akutte fase under hospitalsindlæggelse og blev fortsat i 16 uger. Behandling med 80 mg atorvastatin daglig forlængede tiden til forekomst af det kombinerede primære endepunkt, defineret som død af enhver årsag, ikke-letalt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Sikkerhedsprofilen af atorvastatin i MIRACL-studiet var i overensstemmelse med det, der er beskrevet i pkt. 4.8.</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Forebyggelse af kardiovaskulær sygdom</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I et randomiseret, dobbelt-blindet,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≤6,5 mmol/l (251 mg/dl). Alle patienter havde mindst 3 af de foruddefinerede kardiovaskulære risikofaktorer: mand, alder ≥55 år, ryger, diabetes, koronar hjertesygdom hos 1. grads slægtning, total-kolesterol: HDL-kolesterol &gt;6, perifer vaskulær sygdom, venstre ventrikel-hypertrofi, tidligere cerebrovaskulær hændelse, specifikke EKG-forandringer, proteinuri/albuminuri. Ikke alle inkluderede patienter blev vurderet til at have en høj risiko for debut af kardiovaskulær hændelse.</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Patienterne fik antihypertensiv behandling (enten amlodipin- eller atenolol-baseret regime) og enten atorvastatin 10 mg daglig (n=5.168) eller placebo (n=5.137).</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Default"/>
        <w:ind w:left="851"/>
        <w:jc w:val="both"/>
        <w:rPr>
          <w:color w:val="auto"/>
        </w:rPr>
      </w:pPr>
      <w:r w:rsidRPr="002A1856">
        <w:rPr>
          <w:color w:val="auto"/>
          <w:lang w:val="da-DK"/>
        </w:rPr>
        <w:t>Den absolutte og relative risikoreduktion i atorvastatingruppen var følgende:</w:t>
      </w:r>
    </w:p>
    <w:p w:rsidR="002A1856" w:rsidRPr="002A1856" w:rsidRDefault="002A1856" w:rsidP="002A1856">
      <w:pPr>
        <w:pStyle w:val="Default"/>
        <w:ind w:left="851" w:hanging="851"/>
        <w:jc w:val="both"/>
        <w:rPr>
          <w:rStyle w:val="FontStyle27"/>
          <w:sz w:val="24"/>
          <w:szCs w:val="24"/>
        </w:rPr>
      </w:pPr>
    </w:p>
    <w:tbl>
      <w:tblPr>
        <w:tblpPr w:leftFromText="141" w:rightFromText="141" w:bottomFromText="200" w:vertAnchor="text" w:horzAnchor="margin" w:tblpXSpec="center" w:tblpY="127"/>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232"/>
        <w:gridCol w:w="2028"/>
        <w:gridCol w:w="1913"/>
        <w:gridCol w:w="2063"/>
        <w:gridCol w:w="1386"/>
      </w:tblGrid>
      <w:tr w:rsidR="002A1856" w:rsidRPr="002A1856" w:rsidTr="00236324">
        <w:trPr>
          <w:trHeight w:val="795"/>
        </w:trPr>
        <w:tc>
          <w:tcPr>
            <w:tcW w:w="1160"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rPr>
            </w:pPr>
            <w:r w:rsidRPr="002A1856">
              <w:rPr>
                <w:b/>
                <w:color w:val="auto"/>
              </w:rPr>
              <w:lastRenderedPageBreak/>
              <w:t xml:space="preserve">Hændelse </w:t>
            </w:r>
          </w:p>
        </w:tc>
        <w:tc>
          <w:tcPr>
            <w:tcW w:w="1054"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color w:val="auto"/>
              </w:rPr>
            </w:pPr>
            <w:r w:rsidRPr="002A1856">
              <w:rPr>
                <w:b/>
                <w:color w:val="auto"/>
              </w:rPr>
              <w:t xml:space="preserve">Relativ risiko- </w:t>
            </w:r>
          </w:p>
          <w:p w:rsidR="002A1856" w:rsidRPr="002A1856" w:rsidRDefault="002A1856" w:rsidP="00236324">
            <w:pPr>
              <w:pStyle w:val="Default"/>
              <w:spacing w:line="276" w:lineRule="auto"/>
              <w:ind w:left="26"/>
              <w:rPr>
                <w:b/>
                <w:color w:val="auto"/>
              </w:rPr>
            </w:pPr>
            <w:r w:rsidRPr="002A1856">
              <w:rPr>
                <w:b/>
                <w:color w:val="auto"/>
              </w:rPr>
              <w:t xml:space="preserve">reduktion (%) </w:t>
            </w:r>
          </w:p>
        </w:tc>
        <w:tc>
          <w:tcPr>
            <w:tcW w:w="994"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color w:val="auto"/>
                <w:lang w:val="da-DK"/>
              </w:rPr>
            </w:pPr>
            <w:r w:rsidRPr="002A1856">
              <w:rPr>
                <w:b/>
                <w:color w:val="auto"/>
                <w:lang w:val="da-DK"/>
              </w:rPr>
              <w:t xml:space="preserve">Antal hændelser </w:t>
            </w:r>
          </w:p>
          <w:p w:rsidR="002A1856" w:rsidRPr="002A1856" w:rsidRDefault="002A1856" w:rsidP="00236324">
            <w:pPr>
              <w:pStyle w:val="Default"/>
              <w:spacing w:line="276" w:lineRule="auto"/>
              <w:ind w:left="26"/>
              <w:rPr>
                <w:b/>
                <w:color w:val="auto"/>
                <w:lang w:val="da-DK"/>
              </w:rPr>
            </w:pPr>
            <w:r w:rsidRPr="002A1856">
              <w:rPr>
                <w:b/>
                <w:color w:val="auto"/>
                <w:lang w:val="da-DK"/>
              </w:rPr>
              <w:t xml:space="preserve">(atorvastatin </w:t>
            </w:r>
            <w:r w:rsidRPr="002A1856">
              <w:rPr>
                <w:b/>
                <w:i/>
                <w:iCs/>
                <w:color w:val="auto"/>
                <w:lang w:val="da-DK"/>
              </w:rPr>
              <w:t xml:space="preserve">vs. </w:t>
            </w:r>
            <w:r w:rsidRPr="002A1856">
              <w:rPr>
                <w:b/>
                <w:color w:val="auto"/>
                <w:lang w:val="da-DK"/>
              </w:rPr>
              <w:t xml:space="preserve">placebo) </w:t>
            </w:r>
          </w:p>
        </w:tc>
        <w:tc>
          <w:tcPr>
            <w:tcW w:w="1072"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color w:val="auto"/>
              </w:rPr>
            </w:pPr>
            <w:r w:rsidRPr="002A1856">
              <w:rPr>
                <w:b/>
                <w:color w:val="auto"/>
              </w:rPr>
              <w:t xml:space="preserve">Absolut risiko- </w:t>
            </w:r>
          </w:p>
          <w:p w:rsidR="002A1856" w:rsidRPr="002A1856" w:rsidRDefault="002A1856" w:rsidP="00236324">
            <w:pPr>
              <w:pStyle w:val="Default"/>
              <w:spacing w:line="276" w:lineRule="auto"/>
              <w:ind w:left="26"/>
              <w:rPr>
                <w:b/>
                <w:color w:val="auto"/>
              </w:rPr>
            </w:pPr>
            <w:r w:rsidRPr="002A1856">
              <w:rPr>
                <w:b/>
                <w:color w:val="auto"/>
              </w:rPr>
              <w:t>Reduktion</w:t>
            </w:r>
            <w:r w:rsidRPr="002A1856">
              <w:rPr>
                <w:b/>
                <w:color w:val="auto"/>
                <w:vertAlign w:val="superscript"/>
                <w:lang w:val="da-DK"/>
              </w:rPr>
              <w:t>1</w:t>
            </w:r>
            <w:r w:rsidRPr="002A1856">
              <w:rPr>
                <w:b/>
                <w:color w:val="auto"/>
              </w:rPr>
              <w:t xml:space="preserve">(%) </w:t>
            </w:r>
          </w:p>
        </w:tc>
        <w:tc>
          <w:tcPr>
            <w:tcW w:w="720"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color w:val="auto"/>
              </w:rPr>
            </w:pPr>
            <w:r w:rsidRPr="002A1856">
              <w:rPr>
                <w:b/>
                <w:color w:val="auto"/>
              </w:rPr>
              <w:t>p-værdi</w:t>
            </w:r>
          </w:p>
        </w:tc>
      </w:tr>
      <w:tr w:rsidR="002A1856" w:rsidRPr="002A1856" w:rsidTr="00236324">
        <w:trPr>
          <w:trHeight w:val="794"/>
        </w:trPr>
        <w:tc>
          <w:tcPr>
            <w:tcW w:w="1160"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lang w:val="da-DK"/>
              </w:rPr>
            </w:pPr>
            <w:r w:rsidRPr="002A1856">
              <w:rPr>
                <w:color w:val="auto"/>
                <w:lang w:val="da-DK"/>
              </w:rPr>
              <w:t xml:space="preserve">Letal koronar hjertesygdom og ikke-letalt myokardieinfarkt </w:t>
            </w:r>
          </w:p>
        </w:tc>
        <w:tc>
          <w:tcPr>
            <w:tcW w:w="1054"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36 % </w:t>
            </w:r>
          </w:p>
        </w:tc>
        <w:tc>
          <w:tcPr>
            <w:tcW w:w="994"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100 </w:t>
            </w:r>
            <w:r w:rsidRPr="002A1856">
              <w:rPr>
                <w:i/>
                <w:iCs/>
                <w:color w:val="auto"/>
              </w:rPr>
              <w:t>vs.</w:t>
            </w:r>
            <w:r w:rsidRPr="002A1856">
              <w:rPr>
                <w:color w:val="auto"/>
              </w:rPr>
              <w:t xml:space="preserve">154 </w:t>
            </w:r>
          </w:p>
        </w:tc>
        <w:tc>
          <w:tcPr>
            <w:tcW w:w="1072"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1,1 % </w:t>
            </w:r>
          </w:p>
        </w:tc>
        <w:tc>
          <w:tcPr>
            <w:tcW w:w="720"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0,0005 </w:t>
            </w:r>
          </w:p>
        </w:tc>
      </w:tr>
      <w:tr w:rsidR="002A1856" w:rsidRPr="002A1856" w:rsidTr="00236324">
        <w:trPr>
          <w:trHeight w:val="794"/>
        </w:trPr>
        <w:tc>
          <w:tcPr>
            <w:tcW w:w="1160"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lang w:val="da-DK"/>
              </w:rPr>
            </w:pPr>
            <w:r w:rsidRPr="002A1856">
              <w:rPr>
                <w:color w:val="auto"/>
                <w:lang w:val="da-DK"/>
              </w:rPr>
              <w:t xml:space="preserve">Totale kardiovaskulære hændelser og revaskulariserings-indgreb </w:t>
            </w:r>
          </w:p>
        </w:tc>
        <w:tc>
          <w:tcPr>
            <w:tcW w:w="1054"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20 % </w:t>
            </w:r>
          </w:p>
        </w:tc>
        <w:tc>
          <w:tcPr>
            <w:tcW w:w="994"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389 </w:t>
            </w:r>
            <w:r w:rsidRPr="002A1856">
              <w:rPr>
                <w:i/>
                <w:iCs/>
                <w:color w:val="auto"/>
              </w:rPr>
              <w:t>vs.</w:t>
            </w:r>
            <w:r w:rsidRPr="002A1856">
              <w:rPr>
                <w:color w:val="auto"/>
              </w:rPr>
              <w:t xml:space="preserve">483 </w:t>
            </w:r>
          </w:p>
        </w:tc>
        <w:tc>
          <w:tcPr>
            <w:tcW w:w="1072"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1,9 % </w:t>
            </w:r>
          </w:p>
        </w:tc>
        <w:tc>
          <w:tcPr>
            <w:tcW w:w="720"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0,0008 </w:t>
            </w:r>
          </w:p>
        </w:tc>
      </w:tr>
      <w:tr w:rsidR="002A1856" w:rsidRPr="002A1856" w:rsidTr="00236324">
        <w:trPr>
          <w:trHeight w:val="289"/>
        </w:trPr>
        <w:tc>
          <w:tcPr>
            <w:tcW w:w="1160"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Totale koronare hændelser </w:t>
            </w:r>
          </w:p>
        </w:tc>
        <w:tc>
          <w:tcPr>
            <w:tcW w:w="1054"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29 % </w:t>
            </w:r>
          </w:p>
        </w:tc>
        <w:tc>
          <w:tcPr>
            <w:tcW w:w="994"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178 </w:t>
            </w:r>
            <w:r w:rsidRPr="002A1856">
              <w:rPr>
                <w:i/>
                <w:iCs/>
                <w:color w:val="auto"/>
              </w:rPr>
              <w:t>vs.</w:t>
            </w:r>
            <w:r w:rsidRPr="002A1856">
              <w:rPr>
                <w:color w:val="auto"/>
              </w:rPr>
              <w:t xml:space="preserve">247 </w:t>
            </w:r>
          </w:p>
        </w:tc>
        <w:tc>
          <w:tcPr>
            <w:tcW w:w="1072"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1,4 % </w:t>
            </w:r>
          </w:p>
        </w:tc>
        <w:tc>
          <w:tcPr>
            <w:tcW w:w="720"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color w:val="auto"/>
              </w:rPr>
            </w:pPr>
            <w:r w:rsidRPr="002A1856">
              <w:rPr>
                <w:color w:val="auto"/>
              </w:rPr>
              <w:t xml:space="preserve">0,0006 </w:t>
            </w:r>
          </w:p>
        </w:tc>
      </w:tr>
    </w:tbl>
    <w:p w:rsidR="002A1856" w:rsidRPr="002A1856" w:rsidRDefault="002A1856" w:rsidP="002A1856">
      <w:pPr>
        <w:pStyle w:val="Style1"/>
        <w:widowControl/>
        <w:spacing w:line="240" w:lineRule="auto"/>
        <w:rPr>
          <w:rStyle w:val="FontStyle27"/>
          <w:sz w:val="24"/>
          <w:szCs w:val="24"/>
          <w:lang w:eastAsia="da-DK"/>
        </w:rPr>
      </w:pPr>
      <w:r w:rsidRPr="002A1856">
        <w:rPr>
          <w:rStyle w:val="FontStyle27"/>
          <w:sz w:val="24"/>
          <w:szCs w:val="24"/>
          <w:vertAlign w:val="superscript"/>
          <w:lang w:val="da-DK" w:eastAsia="da-DK"/>
        </w:rPr>
        <w:t xml:space="preserve">1 </w:t>
      </w:r>
      <w:r w:rsidRPr="002A1856">
        <w:rPr>
          <w:rStyle w:val="FontStyle27"/>
          <w:sz w:val="24"/>
          <w:szCs w:val="24"/>
          <w:lang w:val="da-DK" w:eastAsia="da-DK"/>
        </w:rPr>
        <w:t>På baggrund af forskelle i det samlede antal hændelser opstået over en middelopfølgningsperiode på 3,3 år.</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 xml:space="preserve">Den totale mortalitet og den kardiovaskulære mortalitet blev ikke signifikant nedsat (185 </w:t>
      </w:r>
      <w:r w:rsidRPr="002A1856">
        <w:rPr>
          <w:rStyle w:val="FontStyle26"/>
          <w:sz w:val="24"/>
          <w:szCs w:val="24"/>
          <w:lang w:val="da-DK" w:eastAsia="da-DK"/>
        </w:rPr>
        <w:t xml:space="preserve">vs. </w:t>
      </w:r>
      <w:r w:rsidRPr="002A1856">
        <w:rPr>
          <w:rStyle w:val="FontStyle27"/>
          <w:sz w:val="24"/>
          <w:szCs w:val="24"/>
          <w:lang w:val="da-DK" w:eastAsia="da-DK"/>
        </w:rPr>
        <w:t xml:space="preserve">212 hændelser; p=0,17 og 74 </w:t>
      </w:r>
      <w:r w:rsidRPr="002A1856">
        <w:rPr>
          <w:rStyle w:val="FontStyle26"/>
          <w:sz w:val="24"/>
          <w:szCs w:val="24"/>
          <w:lang w:val="da-DK" w:eastAsia="da-DK"/>
        </w:rPr>
        <w:t xml:space="preserve">vs. </w:t>
      </w:r>
      <w:r w:rsidRPr="002A1856">
        <w:rPr>
          <w:rStyle w:val="FontStyle27"/>
          <w:sz w:val="24"/>
          <w:szCs w:val="24"/>
          <w:lang w:val="da-DK" w:eastAsia="da-DK"/>
        </w:rPr>
        <w:t xml:space="preserve">82 hændelser; p=0,51). I subgruppeanalyserne af køn (81 % mænd, 19 % kvinder) blev atorvastatins gavnlige effekt bekræftet blandt mænd, men ikke blandt kvinder, muligvis på grund af det lille antal observerede hændelser hos kvinder i subgruppen. Total mortalitet og kardiovaskulær mortalitet var numerisk højere hos kvinder (38 </w:t>
      </w:r>
      <w:r w:rsidRPr="002A1856">
        <w:rPr>
          <w:rStyle w:val="FontStyle26"/>
          <w:sz w:val="24"/>
          <w:szCs w:val="24"/>
          <w:lang w:val="da-DK" w:eastAsia="da-DK"/>
        </w:rPr>
        <w:t xml:space="preserve">vs. </w:t>
      </w:r>
      <w:r w:rsidRPr="002A1856">
        <w:rPr>
          <w:rStyle w:val="FontStyle27"/>
          <w:sz w:val="24"/>
          <w:szCs w:val="24"/>
          <w:lang w:val="da-DK" w:eastAsia="da-DK"/>
        </w:rPr>
        <w:t xml:space="preserve">30 og 17 </w:t>
      </w:r>
      <w:r w:rsidRPr="002A1856">
        <w:rPr>
          <w:rStyle w:val="FontStyle26"/>
          <w:sz w:val="24"/>
          <w:szCs w:val="24"/>
          <w:lang w:val="da-DK" w:eastAsia="da-DK"/>
        </w:rPr>
        <w:t xml:space="preserve">vs. </w:t>
      </w:r>
      <w:r w:rsidRPr="002A1856">
        <w:rPr>
          <w:rStyle w:val="FontStyle27"/>
          <w:sz w:val="24"/>
          <w:szCs w:val="24"/>
          <w:lang w:val="da-DK" w:eastAsia="da-DK"/>
        </w:rPr>
        <w:t>12), men det var ikke statistisk signifikant. Der var en signifikant behandlingsinteraktion ved antihypertensiv baseline behandling. Det primære endepunkt (letal koronar hjertesygdom samt ikke-letalt myokardieinfarkt) blev signifikant nedsat af atorvastatin hos patienter behandlet med amlodipin (hazard ratio (HR) 0,47 (0,32-0,69); p=0,00008), men ikke hos atenololbehandlede (HR 0,83 (0,59-1,17); p=0,287).</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et</w:t>
      </w:r>
      <w:r w:rsidRPr="002A1856">
        <w:rPr>
          <w:rStyle w:val="FontStyle27"/>
          <w:sz w:val="24"/>
          <w:szCs w:val="24"/>
          <w:lang w:eastAsia="da-DK"/>
        </w:rPr>
        <w:t xml:space="preserve"> </w:t>
      </w:r>
      <w:r w:rsidRPr="002A1856">
        <w:rPr>
          <w:rStyle w:val="FontStyle27"/>
          <w:sz w:val="24"/>
          <w:szCs w:val="24"/>
          <w:lang w:val="da-DK" w:eastAsia="da-DK"/>
        </w:rPr>
        <w:t>randomiseret</w:t>
      </w:r>
      <w:r w:rsidRPr="002A1856">
        <w:rPr>
          <w:rStyle w:val="FontStyle27"/>
          <w:sz w:val="24"/>
          <w:szCs w:val="24"/>
          <w:lang w:eastAsia="da-DK"/>
        </w:rPr>
        <w:t xml:space="preserve">, </w:t>
      </w:r>
      <w:r w:rsidRPr="002A1856">
        <w:rPr>
          <w:rStyle w:val="FontStyle27"/>
          <w:sz w:val="24"/>
          <w:szCs w:val="24"/>
          <w:lang w:val="da-DK" w:eastAsia="da-DK"/>
        </w:rPr>
        <w:t>dobbelt</w:t>
      </w:r>
      <w:r w:rsidRPr="002A1856">
        <w:rPr>
          <w:rStyle w:val="FontStyle27"/>
          <w:sz w:val="24"/>
          <w:szCs w:val="24"/>
          <w:lang w:eastAsia="da-DK"/>
        </w:rPr>
        <w:t>-</w:t>
      </w:r>
      <w:r w:rsidRPr="002A1856">
        <w:rPr>
          <w:rStyle w:val="FontStyle27"/>
          <w:sz w:val="24"/>
          <w:szCs w:val="24"/>
          <w:lang w:val="da-DK" w:eastAsia="da-DK"/>
        </w:rPr>
        <w:t>blindet</w:t>
      </w:r>
      <w:r w:rsidRPr="002A1856">
        <w:rPr>
          <w:rStyle w:val="FontStyle27"/>
          <w:sz w:val="24"/>
          <w:szCs w:val="24"/>
          <w:lang w:eastAsia="da-DK"/>
        </w:rPr>
        <w:t xml:space="preserve">, </w:t>
      </w:r>
      <w:r w:rsidRPr="002A1856">
        <w:rPr>
          <w:rStyle w:val="FontStyle27"/>
          <w:sz w:val="24"/>
          <w:szCs w:val="24"/>
          <w:lang w:val="da-DK" w:eastAsia="da-DK"/>
        </w:rPr>
        <w:t>multicenter</w:t>
      </w:r>
      <w:r w:rsidRPr="002A1856">
        <w:rPr>
          <w:rStyle w:val="FontStyle27"/>
          <w:sz w:val="24"/>
          <w:szCs w:val="24"/>
          <w:lang w:eastAsia="da-DK"/>
        </w:rPr>
        <w:t xml:space="preserve">, </w:t>
      </w:r>
      <w:r w:rsidRPr="002A1856">
        <w:rPr>
          <w:rStyle w:val="FontStyle27"/>
          <w:sz w:val="24"/>
          <w:szCs w:val="24"/>
          <w:lang w:val="da-DK" w:eastAsia="da-DK"/>
        </w:rPr>
        <w:t>placebokontrolleret</w:t>
      </w:r>
      <w:r w:rsidRPr="002A1856">
        <w:rPr>
          <w:rStyle w:val="FontStyle27"/>
          <w:sz w:val="24"/>
          <w:szCs w:val="24"/>
          <w:lang w:eastAsia="da-DK"/>
        </w:rPr>
        <w:t xml:space="preserve"> </w:t>
      </w:r>
      <w:r w:rsidRPr="002A1856">
        <w:rPr>
          <w:rStyle w:val="FontStyle27"/>
          <w:sz w:val="24"/>
          <w:szCs w:val="24"/>
          <w:lang w:val="da-DK" w:eastAsia="da-DK"/>
        </w:rPr>
        <w:t>studie</w:t>
      </w:r>
      <w:r w:rsidRPr="002A1856">
        <w:rPr>
          <w:rStyle w:val="FontStyle27"/>
          <w:sz w:val="24"/>
          <w:szCs w:val="24"/>
          <w:lang w:eastAsia="da-DK"/>
        </w:rPr>
        <w:t xml:space="preserve">, </w:t>
      </w:r>
      <w:r w:rsidRPr="002A1856">
        <w:rPr>
          <w:rStyle w:val="FontStyle27"/>
          <w:sz w:val="24"/>
          <w:szCs w:val="24"/>
          <w:lang w:val="da-DK" w:eastAsia="da-DK"/>
        </w:rPr>
        <w:t>Collaborative</w:t>
      </w:r>
      <w:r w:rsidRPr="002A1856">
        <w:rPr>
          <w:rStyle w:val="FontStyle27"/>
          <w:sz w:val="24"/>
          <w:szCs w:val="24"/>
          <w:lang w:eastAsia="da-DK"/>
        </w:rPr>
        <w:t xml:space="preserve"> </w:t>
      </w:r>
      <w:r w:rsidRPr="002A1856">
        <w:rPr>
          <w:rStyle w:val="FontStyle27"/>
          <w:sz w:val="24"/>
          <w:szCs w:val="24"/>
          <w:lang w:val="da-DK" w:eastAsia="da-DK"/>
        </w:rPr>
        <w:t>Atorvastatin</w:t>
      </w:r>
      <w:r w:rsidRPr="002A1856">
        <w:rPr>
          <w:rStyle w:val="FontStyle27"/>
          <w:sz w:val="24"/>
          <w:szCs w:val="24"/>
          <w:lang w:eastAsia="da-DK"/>
        </w:rPr>
        <w:t xml:space="preserve"> </w:t>
      </w:r>
      <w:r w:rsidRPr="002A1856">
        <w:rPr>
          <w:rStyle w:val="FontStyle27"/>
          <w:sz w:val="24"/>
          <w:szCs w:val="24"/>
          <w:lang w:val="da-DK" w:eastAsia="da-DK"/>
        </w:rPr>
        <w:t>Diabetes</w:t>
      </w:r>
      <w:r w:rsidRPr="002A1856">
        <w:rPr>
          <w:rStyle w:val="FontStyle27"/>
          <w:sz w:val="24"/>
          <w:szCs w:val="24"/>
          <w:lang w:eastAsia="da-DK"/>
        </w:rPr>
        <w:t xml:space="preserve"> </w:t>
      </w:r>
      <w:r w:rsidRPr="002A1856">
        <w:rPr>
          <w:rStyle w:val="FontStyle27"/>
          <w:sz w:val="24"/>
          <w:szCs w:val="24"/>
          <w:lang w:val="da-DK" w:eastAsia="da-DK"/>
        </w:rPr>
        <w:t>Study</w:t>
      </w:r>
      <w:r w:rsidRPr="002A1856">
        <w:rPr>
          <w:rStyle w:val="FontStyle27"/>
          <w:sz w:val="24"/>
          <w:szCs w:val="24"/>
          <w:lang w:eastAsia="da-DK"/>
        </w:rPr>
        <w:t xml:space="preserve"> (</w:t>
      </w:r>
      <w:r w:rsidRPr="002A1856">
        <w:rPr>
          <w:rStyle w:val="FontStyle27"/>
          <w:sz w:val="24"/>
          <w:szCs w:val="24"/>
          <w:lang w:val="da-DK" w:eastAsia="da-DK"/>
        </w:rPr>
        <w:t>CARDS</w:t>
      </w:r>
      <w:r w:rsidRPr="002A1856">
        <w:rPr>
          <w:rStyle w:val="FontStyle27"/>
          <w:sz w:val="24"/>
          <w:szCs w:val="24"/>
          <w:lang w:eastAsia="da-DK"/>
        </w:rPr>
        <w:t xml:space="preserve">) </w:t>
      </w:r>
      <w:r w:rsidRPr="002A1856">
        <w:rPr>
          <w:rStyle w:val="FontStyle27"/>
          <w:sz w:val="24"/>
          <w:szCs w:val="24"/>
          <w:lang w:val="da-DK" w:eastAsia="da-DK"/>
        </w:rPr>
        <w:t>blev</w:t>
      </w:r>
      <w:r w:rsidRPr="002A1856">
        <w:rPr>
          <w:rStyle w:val="FontStyle27"/>
          <w:sz w:val="24"/>
          <w:szCs w:val="24"/>
          <w:lang w:eastAsia="da-DK"/>
        </w:rPr>
        <w:t xml:space="preserve"> </w:t>
      </w:r>
      <w:r w:rsidRPr="002A1856">
        <w:rPr>
          <w:rStyle w:val="FontStyle27"/>
          <w:sz w:val="24"/>
          <w:szCs w:val="24"/>
          <w:lang w:val="da-DK" w:eastAsia="da-DK"/>
        </w:rPr>
        <w:t>effekten</w:t>
      </w:r>
      <w:r w:rsidRPr="002A1856">
        <w:rPr>
          <w:rStyle w:val="FontStyle27"/>
          <w:sz w:val="24"/>
          <w:szCs w:val="24"/>
          <w:lang w:eastAsia="da-DK"/>
        </w:rPr>
        <w:t xml:space="preserve"> </w:t>
      </w:r>
      <w:r w:rsidRPr="002A1856">
        <w:rPr>
          <w:rStyle w:val="FontStyle27"/>
          <w:sz w:val="24"/>
          <w:szCs w:val="24"/>
          <w:lang w:val="da-DK" w:eastAsia="da-DK"/>
        </w:rPr>
        <w:t>af</w:t>
      </w:r>
      <w:r w:rsidRPr="002A1856">
        <w:rPr>
          <w:rStyle w:val="FontStyle27"/>
          <w:sz w:val="24"/>
          <w:szCs w:val="24"/>
          <w:lang w:eastAsia="da-DK"/>
        </w:rPr>
        <w:t xml:space="preserve"> </w:t>
      </w:r>
      <w:r w:rsidRPr="002A1856">
        <w:rPr>
          <w:rStyle w:val="FontStyle27"/>
          <w:sz w:val="24"/>
          <w:szCs w:val="24"/>
          <w:lang w:val="da-DK" w:eastAsia="da-DK"/>
        </w:rPr>
        <w:t>atorvastatin</w:t>
      </w:r>
      <w:r w:rsidRPr="002A1856">
        <w:rPr>
          <w:rStyle w:val="FontStyle27"/>
          <w:sz w:val="24"/>
          <w:szCs w:val="24"/>
          <w:lang w:eastAsia="da-DK"/>
        </w:rPr>
        <w:t xml:space="preserve"> </w:t>
      </w:r>
      <w:r w:rsidRPr="002A1856">
        <w:rPr>
          <w:rStyle w:val="FontStyle27"/>
          <w:sz w:val="24"/>
          <w:szCs w:val="24"/>
          <w:lang w:val="da-DK" w:eastAsia="da-DK"/>
        </w:rPr>
        <w:t>p</w:t>
      </w:r>
      <w:r w:rsidRPr="002A1856">
        <w:rPr>
          <w:rStyle w:val="FontStyle27"/>
          <w:sz w:val="24"/>
          <w:szCs w:val="24"/>
          <w:lang w:eastAsia="da-DK"/>
        </w:rPr>
        <w:t xml:space="preserve">å </w:t>
      </w:r>
      <w:r w:rsidRPr="002A1856">
        <w:rPr>
          <w:rStyle w:val="FontStyle27"/>
          <w:sz w:val="24"/>
          <w:szCs w:val="24"/>
          <w:lang w:val="da-DK" w:eastAsia="da-DK"/>
        </w:rPr>
        <w:t>letal</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ikke</w:t>
      </w:r>
      <w:r w:rsidRPr="002A1856">
        <w:rPr>
          <w:rStyle w:val="FontStyle27"/>
          <w:sz w:val="24"/>
          <w:szCs w:val="24"/>
          <w:lang w:eastAsia="da-DK"/>
        </w:rPr>
        <w:t>-</w:t>
      </w:r>
      <w:r w:rsidRPr="002A1856">
        <w:rPr>
          <w:rStyle w:val="FontStyle27"/>
          <w:sz w:val="24"/>
          <w:szCs w:val="24"/>
          <w:lang w:val="da-DK" w:eastAsia="da-DK"/>
        </w:rPr>
        <w:t>letal</w:t>
      </w:r>
      <w:r w:rsidRPr="002A1856">
        <w:rPr>
          <w:rStyle w:val="FontStyle27"/>
          <w:sz w:val="24"/>
          <w:szCs w:val="24"/>
          <w:lang w:eastAsia="da-DK"/>
        </w:rPr>
        <w:t xml:space="preserve"> </w:t>
      </w:r>
      <w:r w:rsidRPr="002A1856">
        <w:rPr>
          <w:rStyle w:val="FontStyle27"/>
          <w:sz w:val="24"/>
          <w:szCs w:val="24"/>
          <w:lang w:val="da-DK" w:eastAsia="da-DK"/>
        </w:rPr>
        <w:t>kardiovaskul</w:t>
      </w:r>
      <w:r w:rsidRPr="002A1856">
        <w:rPr>
          <w:rStyle w:val="FontStyle27"/>
          <w:sz w:val="24"/>
          <w:szCs w:val="24"/>
          <w:lang w:eastAsia="da-DK"/>
        </w:rPr>
        <w:t>æ</w:t>
      </w:r>
      <w:r w:rsidRPr="002A1856">
        <w:rPr>
          <w:rStyle w:val="FontStyle27"/>
          <w:sz w:val="24"/>
          <w:szCs w:val="24"/>
          <w:lang w:val="da-DK" w:eastAsia="da-DK"/>
        </w:rPr>
        <w:t>r</w:t>
      </w:r>
      <w:r w:rsidRPr="002A1856">
        <w:rPr>
          <w:rStyle w:val="FontStyle27"/>
          <w:sz w:val="24"/>
          <w:szCs w:val="24"/>
          <w:lang w:eastAsia="da-DK"/>
        </w:rPr>
        <w:t xml:space="preserve"> </w:t>
      </w:r>
      <w:r w:rsidRPr="002A1856">
        <w:rPr>
          <w:rStyle w:val="FontStyle27"/>
          <w:sz w:val="24"/>
          <w:szCs w:val="24"/>
          <w:lang w:val="da-DK" w:eastAsia="da-DK"/>
        </w:rPr>
        <w:t>sygdom</w:t>
      </w:r>
      <w:r w:rsidRPr="002A1856">
        <w:rPr>
          <w:rStyle w:val="FontStyle27"/>
          <w:sz w:val="24"/>
          <w:szCs w:val="24"/>
          <w:lang w:eastAsia="da-DK"/>
        </w:rPr>
        <w:t xml:space="preserve"> </w:t>
      </w:r>
      <w:r w:rsidRPr="002A1856">
        <w:rPr>
          <w:rStyle w:val="FontStyle27"/>
          <w:sz w:val="24"/>
          <w:szCs w:val="24"/>
          <w:lang w:val="da-DK" w:eastAsia="da-DK"/>
        </w:rPr>
        <w:t>ogs</w:t>
      </w:r>
      <w:r w:rsidRPr="002A1856">
        <w:rPr>
          <w:rStyle w:val="FontStyle27"/>
          <w:sz w:val="24"/>
          <w:szCs w:val="24"/>
          <w:lang w:eastAsia="da-DK"/>
        </w:rPr>
        <w:t xml:space="preserve">å </w:t>
      </w:r>
      <w:r w:rsidRPr="002A1856">
        <w:rPr>
          <w:rStyle w:val="FontStyle27"/>
          <w:sz w:val="24"/>
          <w:szCs w:val="24"/>
          <w:lang w:val="da-DK" w:eastAsia="da-DK"/>
        </w:rPr>
        <w:t>vurderet</w:t>
      </w:r>
      <w:r w:rsidRPr="002A1856">
        <w:rPr>
          <w:rStyle w:val="FontStyle27"/>
          <w:sz w:val="24"/>
          <w:szCs w:val="24"/>
          <w:lang w:eastAsia="da-DK"/>
        </w:rPr>
        <w:t xml:space="preserve"> </w:t>
      </w:r>
      <w:r w:rsidRPr="002A1856">
        <w:rPr>
          <w:rStyle w:val="FontStyle27"/>
          <w:sz w:val="24"/>
          <w:szCs w:val="24"/>
          <w:lang w:val="da-DK" w:eastAsia="da-DK"/>
        </w:rPr>
        <w:t>hos</w:t>
      </w:r>
      <w:r w:rsidRPr="002A1856">
        <w:rPr>
          <w:rStyle w:val="FontStyle27"/>
          <w:sz w:val="24"/>
          <w:szCs w:val="24"/>
          <w:lang w:eastAsia="da-DK"/>
        </w:rPr>
        <w:t xml:space="preserve"> </w:t>
      </w:r>
      <w:r w:rsidRPr="002A1856">
        <w:rPr>
          <w:rStyle w:val="FontStyle27"/>
          <w:sz w:val="24"/>
          <w:szCs w:val="24"/>
          <w:lang w:val="da-DK" w:eastAsia="da-DK"/>
        </w:rPr>
        <w:t>patienter</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type</w:t>
      </w:r>
      <w:r w:rsidRPr="002A1856">
        <w:rPr>
          <w:rStyle w:val="FontStyle27"/>
          <w:sz w:val="24"/>
          <w:szCs w:val="24"/>
          <w:lang w:eastAsia="da-DK"/>
        </w:rPr>
        <w:t xml:space="preserve"> 2-</w:t>
      </w:r>
      <w:r w:rsidRPr="002A1856">
        <w:rPr>
          <w:rStyle w:val="FontStyle27"/>
          <w:sz w:val="24"/>
          <w:szCs w:val="24"/>
          <w:lang w:val="da-DK" w:eastAsia="da-DK"/>
        </w:rPr>
        <w:t>diabetes</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alderen</w:t>
      </w:r>
      <w:r w:rsidRPr="002A1856">
        <w:rPr>
          <w:rStyle w:val="FontStyle27"/>
          <w:sz w:val="24"/>
          <w:szCs w:val="24"/>
          <w:lang w:eastAsia="da-DK"/>
        </w:rPr>
        <w:t xml:space="preserve"> 40-75 å</w:t>
      </w:r>
      <w:r w:rsidRPr="002A1856">
        <w:rPr>
          <w:rStyle w:val="FontStyle27"/>
          <w:sz w:val="24"/>
          <w:szCs w:val="24"/>
          <w:lang w:val="da-DK" w:eastAsia="da-DK"/>
        </w:rPr>
        <w:t>r</w:t>
      </w:r>
      <w:r w:rsidRPr="002A1856">
        <w:rPr>
          <w:rStyle w:val="FontStyle27"/>
          <w:sz w:val="24"/>
          <w:szCs w:val="24"/>
          <w:lang w:eastAsia="da-DK"/>
        </w:rPr>
        <w:t xml:space="preserve">, </w:t>
      </w:r>
      <w:r w:rsidRPr="002A1856">
        <w:rPr>
          <w:rStyle w:val="FontStyle27"/>
          <w:sz w:val="24"/>
          <w:szCs w:val="24"/>
          <w:lang w:val="da-DK" w:eastAsia="da-DK"/>
        </w:rPr>
        <w:t>uden</w:t>
      </w:r>
      <w:r w:rsidRPr="002A1856">
        <w:rPr>
          <w:rStyle w:val="FontStyle27"/>
          <w:sz w:val="24"/>
          <w:szCs w:val="24"/>
          <w:lang w:eastAsia="da-DK"/>
        </w:rPr>
        <w:t xml:space="preserve"> </w:t>
      </w:r>
      <w:r w:rsidRPr="002A1856">
        <w:rPr>
          <w:rStyle w:val="FontStyle27"/>
          <w:sz w:val="24"/>
          <w:szCs w:val="24"/>
          <w:lang w:val="da-DK" w:eastAsia="da-DK"/>
        </w:rPr>
        <w:t>kardiovaskul</w:t>
      </w:r>
      <w:r w:rsidRPr="002A1856">
        <w:rPr>
          <w:rStyle w:val="FontStyle27"/>
          <w:sz w:val="24"/>
          <w:szCs w:val="24"/>
          <w:lang w:eastAsia="da-DK"/>
        </w:rPr>
        <w:t>æ</w:t>
      </w:r>
      <w:r w:rsidRPr="002A1856">
        <w:rPr>
          <w:rStyle w:val="FontStyle27"/>
          <w:sz w:val="24"/>
          <w:szCs w:val="24"/>
          <w:lang w:val="da-DK" w:eastAsia="da-DK"/>
        </w:rPr>
        <w:t>r</w:t>
      </w:r>
      <w:r w:rsidRPr="002A1856">
        <w:rPr>
          <w:rStyle w:val="FontStyle27"/>
          <w:sz w:val="24"/>
          <w:szCs w:val="24"/>
          <w:lang w:eastAsia="da-DK"/>
        </w:rPr>
        <w:t xml:space="preserve"> </w:t>
      </w:r>
      <w:r w:rsidRPr="002A1856">
        <w:rPr>
          <w:rStyle w:val="FontStyle27"/>
          <w:sz w:val="24"/>
          <w:szCs w:val="24"/>
          <w:lang w:val="da-DK" w:eastAsia="da-DK"/>
        </w:rPr>
        <w:t>sygdom</w:t>
      </w:r>
      <w:r w:rsidRPr="002A1856">
        <w:rPr>
          <w:rStyle w:val="FontStyle27"/>
          <w:sz w:val="24"/>
          <w:szCs w:val="24"/>
          <w:lang w:eastAsia="da-DK"/>
        </w:rPr>
        <w:t xml:space="preserve"> </w:t>
      </w:r>
      <w:r w:rsidRPr="002A1856">
        <w:rPr>
          <w:rStyle w:val="FontStyle27"/>
          <w:sz w:val="24"/>
          <w:szCs w:val="24"/>
          <w:lang w:val="da-DK" w:eastAsia="da-DK"/>
        </w:rPr>
        <w:t>i</w:t>
      </w:r>
      <w:r w:rsidRPr="002A1856">
        <w:rPr>
          <w:rStyle w:val="FontStyle27"/>
          <w:sz w:val="24"/>
          <w:szCs w:val="24"/>
          <w:lang w:eastAsia="da-DK"/>
        </w:rPr>
        <w:t xml:space="preserve"> </w:t>
      </w:r>
      <w:r w:rsidRPr="002A1856">
        <w:rPr>
          <w:rStyle w:val="FontStyle27"/>
          <w:sz w:val="24"/>
          <w:szCs w:val="24"/>
          <w:lang w:val="da-DK" w:eastAsia="da-DK"/>
        </w:rPr>
        <w:t>anamnesen</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med</w:t>
      </w:r>
      <w:r w:rsidRPr="002A1856">
        <w:rPr>
          <w:rStyle w:val="FontStyle27"/>
          <w:sz w:val="24"/>
          <w:szCs w:val="24"/>
          <w:lang w:eastAsia="da-DK"/>
        </w:rPr>
        <w:t xml:space="preserve"> </w:t>
      </w:r>
      <w:r w:rsidRPr="002A1856">
        <w:rPr>
          <w:rStyle w:val="FontStyle27"/>
          <w:sz w:val="24"/>
          <w:szCs w:val="24"/>
          <w:lang w:val="da-DK" w:eastAsia="da-DK"/>
        </w:rPr>
        <w:t>LDL</w:t>
      </w:r>
      <w:r w:rsidRPr="002A1856">
        <w:rPr>
          <w:rStyle w:val="FontStyle27"/>
          <w:sz w:val="24"/>
          <w:szCs w:val="24"/>
          <w:lang w:eastAsia="da-DK"/>
        </w:rPr>
        <w:t>-</w:t>
      </w:r>
      <w:r w:rsidRPr="002A1856">
        <w:rPr>
          <w:rStyle w:val="FontStyle27"/>
          <w:sz w:val="24"/>
          <w:szCs w:val="24"/>
          <w:lang w:val="da-DK" w:eastAsia="da-DK"/>
        </w:rPr>
        <w:t>kolesterol</w:t>
      </w:r>
      <w:r w:rsidRPr="002A1856">
        <w:rPr>
          <w:rStyle w:val="FontStyle27"/>
          <w:sz w:val="24"/>
          <w:szCs w:val="24"/>
          <w:lang w:eastAsia="da-DK"/>
        </w:rPr>
        <w:t xml:space="preserve"> ≤4,14 </w:t>
      </w:r>
      <w:r w:rsidRPr="002A1856">
        <w:rPr>
          <w:rStyle w:val="FontStyle27"/>
          <w:sz w:val="24"/>
          <w:szCs w:val="24"/>
          <w:lang w:val="da-DK" w:eastAsia="da-DK"/>
        </w:rPr>
        <w:t>mmol</w:t>
      </w:r>
      <w:r w:rsidRPr="002A1856">
        <w:rPr>
          <w:rStyle w:val="FontStyle27"/>
          <w:sz w:val="24"/>
          <w:szCs w:val="24"/>
          <w:lang w:eastAsia="da-DK"/>
        </w:rPr>
        <w:t>/</w:t>
      </w:r>
      <w:r w:rsidRPr="002A1856">
        <w:rPr>
          <w:rStyle w:val="FontStyle27"/>
          <w:sz w:val="24"/>
          <w:szCs w:val="24"/>
          <w:lang w:val="da-DK" w:eastAsia="da-DK"/>
        </w:rPr>
        <w:t>l</w:t>
      </w:r>
      <w:r w:rsidRPr="002A1856">
        <w:rPr>
          <w:rStyle w:val="FontStyle27"/>
          <w:sz w:val="24"/>
          <w:szCs w:val="24"/>
          <w:lang w:eastAsia="da-DK"/>
        </w:rPr>
        <w:t xml:space="preserve"> (160 </w:t>
      </w:r>
      <w:r w:rsidRPr="002A1856">
        <w:rPr>
          <w:rStyle w:val="FontStyle27"/>
          <w:sz w:val="24"/>
          <w:szCs w:val="24"/>
          <w:lang w:val="da-DK" w:eastAsia="da-DK"/>
        </w:rPr>
        <w:t>mg</w:t>
      </w:r>
      <w:r w:rsidRPr="002A1856">
        <w:rPr>
          <w:rStyle w:val="FontStyle27"/>
          <w:sz w:val="24"/>
          <w:szCs w:val="24"/>
          <w:lang w:eastAsia="da-DK"/>
        </w:rPr>
        <w:t>/</w:t>
      </w:r>
      <w:r w:rsidRPr="002A1856">
        <w:rPr>
          <w:rStyle w:val="FontStyle27"/>
          <w:sz w:val="24"/>
          <w:szCs w:val="24"/>
          <w:lang w:val="da-DK" w:eastAsia="da-DK"/>
        </w:rPr>
        <w:t>dl</w:t>
      </w:r>
      <w:r w:rsidRPr="002A1856">
        <w:rPr>
          <w:rStyle w:val="FontStyle27"/>
          <w:sz w:val="24"/>
          <w:szCs w:val="24"/>
          <w:lang w:eastAsia="da-DK"/>
        </w:rPr>
        <w:t xml:space="preserve">) </w:t>
      </w:r>
      <w:r w:rsidRPr="002A1856">
        <w:rPr>
          <w:rStyle w:val="FontStyle27"/>
          <w:sz w:val="24"/>
          <w:szCs w:val="24"/>
          <w:lang w:val="da-DK" w:eastAsia="da-DK"/>
        </w:rPr>
        <w:t>og</w:t>
      </w:r>
      <w:r w:rsidRPr="002A1856">
        <w:rPr>
          <w:rStyle w:val="FontStyle27"/>
          <w:sz w:val="24"/>
          <w:szCs w:val="24"/>
          <w:lang w:eastAsia="da-DK"/>
        </w:rPr>
        <w:t xml:space="preserve"> </w:t>
      </w:r>
      <w:r w:rsidRPr="002A1856">
        <w:rPr>
          <w:rStyle w:val="FontStyle27"/>
          <w:sz w:val="24"/>
          <w:szCs w:val="24"/>
          <w:lang w:val="da-DK" w:eastAsia="da-DK"/>
        </w:rPr>
        <w:t>triglycerid</w:t>
      </w:r>
      <w:r w:rsidRPr="002A1856">
        <w:rPr>
          <w:rStyle w:val="FontStyle27"/>
          <w:sz w:val="24"/>
          <w:szCs w:val="24"/>
          <w:lang w:eastAsia="da-DK"/>
        </w:rPr>
        <w:t xml:space="preserve"> ≤6,78 </w:t>
      </w:r>
      <w:r w:rsidRPr="002A1856">
        <w:rPr>
          <w:rStyle w:val="FontStyle27"/>
          <w:sz w:val="24"/>
          <w:szCs w:val="24"/>
          <w:lang w:val="da-DK" w:eastAsia="da-DK"/>
        </w:rPr>
        <w:t>mmol</w:t>
      </w:r>
      <w:r w:rsidRPr="002A1856">
        <w:rPr>
          <w:rStyle w:val="FontStyle27"/>
          <w:sz w:val="24"/>
          <w:szCs w:val="24"/>
          <w:lang w:eastAsia="da-DK"/>
        </w:rPr>
        <w:t>/</w:t>
      </w:r>
      <w:r w:rsidRPr="002A1856">
        <w:rPr>
          <w:rStyle w:val="FontStyle27"/>
          <w:sz w:val="24"/>
          <w:szCs w:val="24"/>
          <w:lang w:val="da-DK" w:eastAsia="da-DK"/>
        </w:rPr>
        <w:t>l</w:t>
      </w:r>
      <w:r w:rsidRPr="002A1856">
        <w:rPr>
          <w:rStyle w:val="FontStyle27"/>
          <w:sz w:val="24"/>
          <w:szCs w:val="24"/>
          <w:lang w:eastAsia="da-DK"/>
        </w:rPr>
        <w:t xml:space="preserve"> (600 </w:t>
      </w:r>
      <w:r w:rsidRPr="002A1856">
        <w:rPr>
          <w:rStyle w:val="FontStyle27"/>
          <w:sz w:val="24"/>
          <w:szCs w:val="24"/>
          <w:lang w:val="da-DK" w:eastAsia="da-DK"/>
        </w:rPr>
        <w:t>mg</w:t>
      </w:r>
      <w:r w:rsidRPr="002A1856">
        <w:rPr>
          <w:rStyle w:val="FontStyle27"/>
          <w:sz w:val="24"/>
          <w:szCs w:val="24"/>
          <w:lang w:eastAsia="da-DK"/>
        </w:rPr>
        <w:t>/</w:t>
      </w:r>
      <w:r w:rsidRPr="002A1856">
        <w:rPr>
          <w:rStyle w:val="FontStyle27"/>
          <w:sz w:val="24"/>
          <w:szCs w:val="24"/>
          <w:lang w:val="da-DK" w:eastAsia="da-DK"/>
        </w:rPr>
        <w:t>dl</w:t>
      </w:r>
      <w:r w:rsidRPr="002A1856">
        <w:rPr>
          <w:rStyle w:val="FontStyle27"/>
          <w:sz w:val="24"/>
          <w:szCs w:val="24"/>
          <w:lang w:eastAsia="da-DK"/>
        </w:rPr>
        <w:t xml:space="preserve">). </w:t>
      </w:r>
      <w:r w:rsidRPr="002A1856">
        <w:rPr>
          <w:rStyle w:val="FontStyle27"/>
          <w:sz w:val="24"/>
          <w:szCs w:val="24"/>
          <w:lang w:val="da-DK" w:eastAsia="da-DK"/>
        </w:rPr>
        <w:t>Alle patienter havde mindst 1 af følgende risikofaktorer: hypertension, ryger, retinopati, mikroalbuminuri eller makroalbuminuri.</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Patienterne blev behandlet med enten atorvastatin 10 mg daglig (n=1.428) eller placebo (n=1.410) med en middelopfølgningsperiode på 3,9 år.</w:t>
      </w:r>
    </w:p>
    <w:p w:rsidR="002A1856" w:rsidRPr="002A1856" w:rsidRDefault="002A1856" w:rsidP="002A1856">
      <w:pPr>
        <w:rPr>
          <w:sz w:val="24"/>
          <w:szCs w:val="24"/>
          <w:lang w:val="el-GR" w:eastAsia="el-GR"/>
        </w:rPr>
      </w:pPr>
      <w:r w:rsidRPr="002A1856">
        <w:rPr>
          <w:sz w:val="24"/>
          <w:szCs w:val="24"/>
        </w:rPr>
        <w:br w:type="page"/>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hanging="851"/>
        <w:rPr>
          <w:rStyle w:val="FontStyle27"/>
          <w:sz w:val="24"/>
          <w:szCs w:val="24"/>
          <w:u w:val="single"/>
          <w:lang w:eastAsia="da-DK"/>
        </w:rPr>
      </w:pPr>
      <w:r w:rsidRPr="002A1856">
        <w:rPr>
          <w:rStyle w:val="FontStyle27"/>
          <w:sz w:val="24"/>
          <w:szCs w:val="24"/>
          <w:u w:val="single"/>
          <w:lang w:val="da-DK" w:eastAsia="da-DK"/>
        </w:rPr>
        <w:t>Den absolutte og relative risikoreduktion i atorvastatingruppen var følgende:</w:t>
      </w:r>
    </w:p>
    <w:p w:rsidR="002A1856" w:rsidRPr="002A1856" w:rsidRDefault="002A1856" w:rsidP="002A1856">
      <w:pPr>
        <w:pStyle w:val="Default"/>
        <w:ind w:left="851" w:hanging="851"/>
        <w:jc w:val="both"/>
        <w:rPr>
          <w:color w:val="auto"/>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5"/>
        <w:gridCol w:w="1824"/>
        <w:gridCol w:w="1742"/>
        <w:gridCol w:w="1872"/>
        <w:gridCol w:w="1299"/>
      </w:tblGrid>
      <w:tr w:rsidR="002A1856" w:rsidRPr="002A1856" w:rsidTr="00236324">
        <w:trPr>
          <w:trHeight w:val="795"/>
        </w:trPr>
        <w:tc>
          <w:tcPr>
            <w:tcW w:w="1499"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rPr>
            </w:pPr>
            <w:r w:rsidRPr="002A1856">
              <w:rPr>
                <w:b/>
              </w:rPr>
              <w:t xml:space="preserve">Hændelse </w:t>
            </w:r>
          </w:p>
        </w:tc>
        <w:tc>
          <w:tcPr>
            <w:tcW w:w="948"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rPr>
            </w:pPr>
            <w:r w:rsidRPr="002A1856">
              <w:rPr>
                <w:b/>
              </w:rPr>
              <w:t xml:space="preserve">Relativ risiko- </w:t>
            </w:r>
          </w:p>
          <w:p w:rsidR="002A1856" w:rsidRPr="002A1856" w:rsidRDefault="002A1856" w:rsidP="00236324">
            <w:pPr>
              <w:pStyle w:val="Default"/>
              <w:spacing w:line="276" w:lineRule="auto"/>
              <w:ind w:left="26"/>
              <w:rPr>
                <w:b/>
              </w:rPr>
            </w:pPr>
            <w:r w:rsidRPr="002A1856">
              <w:rPr>
                <w:b/>
              </w:rPr>
              <w:t xml:space="preserve">reduktion (%) </w:t>
            </w:r>
          </w:p>
        </w:tc>
        <w:tc>
          <w:tcPr>
            <w:tcW w:w="905"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lang w:val="da-DK"/>
              </w:rPr>
            </w:pPr>
            <w:r w:rsidRPr="002A1856">
              <w:rPr>
                <w:b/>
                <w:lang w:val="da-DK"/>
              </w:rPr>
              <w:t xml:space="preserve">Antal hændelser </w:t>
            </w:r>
          </w:p>
          <w:p w:rsidR="002A1856" w:rsidRPr="002A1856" w:rsidRDefault="002A1856" w:rsidP="00236324">
            <w:pPr>
              <w:pStyle w:val="Default"/>
              <w:spacing w:line="276" w:lineRule="auto"/>
              <w:ind w:left="26"/>
              <w:rPr>
                <w:b/>
                <w:lang w:val="da-DK"/>
              </w:rPr>
            </w:pPr>
            <w:r w:rsidRPr="002A1856">
              <w:rPr>
                <w:b/>
                <w:lang w:val="da-DK"/>
              </w:rPr>
              <w:t xml:space="preserve">(atorvastatin </w:t>
            </w:r>
            <w:r w:rsidRPr="002A1856">
              <w:rPr>
                <w:b/>
                <w:i/>
                <w:iCs/>
                <w:lang w:val="da-DK"/>
              </w:rPr>
              <w:t xml:space="preserve">vs. </w:t>
            </w:r>
            <w:r w:rsidRPr="002A1856">
              <w:rPr>
                <w:b/>
                <w:lang w:val="da-DK"/>
              </w:rPr>
              <w:t xml:space="preserve">placebo) </w:t>
            </w:r>
          </w:p>
        </w:tc>
        <w:tc>
          <w:tcPr>
            <w:tcW w:w="973"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rPr>
            </w:pPr>
            <w:r w:rsidRPr="002A1856">
              <w:rPr>
                <w:b/>
              </w:rPr>
              <w:t>Absolut risiko</w:t>
            </w:r>
            <w:r w:rsidRPr="002A1856">
              <w:rPr>
                <w:b/>
              </w:rPr>
              <w:softHyphen/>
            </w:r>
            <w:r w:rsidRPr="002A1856">
              <w:rPr>
                <w:b/>
                <w:lang w:val="da-DK"/>
              </w:rPr>
              <w:t>r</w:t>
            </w:r>
            <w:r w:rsidRPr="002A1856">
              <w:rPr>
                <w:b/>
              </w:rPr>
              <w:t>eduktion</w:t>
            </w:r>
            <w:r w:rsidRPr="002A1856">
              <w:rPr>
                <w:b/>
                <w:vertAlign w:val="superscript"/>
              </w:rPr>
              <w:t>1</w:t>
            </w:r>
            <w:r w:rsidRPr="002A1856">
              <w:rPr>
                <w:b/>
              </w:rPr>
              <w:t xml:space="preserve">(%) </w:t>
            </w:r>
          </w:p>
        </w:tc>
        <w:tc>
          <w:tcPr>
            <w:tcW w:w="675" w:type="pct"/>
            <w:tcBorders>
              <w:top w:val="single" w:sz="8"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b/>
              </w:rPr>
            </w:pPr>
            <w:r w:rsidRPr="002A1856">
              <w:rPr>
                <w:b/>
              </w:rPr>
              <w:t>p-værdi</w:t>
            </w:r>
          </w:p>
        </w:tc>
      </w:tr>
      <w:tr w:rsidR="002A1856" w:rsidRPr="002A1856" w:rsidTr="00236324">
        <w:trPr>
          <w:trHeight w:val="1300"/>
        </w:trPr>
        <w:tc>
          <w:tcPr>
            <w:tcW w:w="1499"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lang w:val="da-DK"/>
              </w:rPr>
            </w:pPr>
            <w:r w:rsidRPr="002A1856">
              <w:rPr>
                <w:lang w:val="da-DK"/>
              </w:rPr>
              <w:t xml:space="preserve">Større kardiovaskulære hændelser (letalt og ikke-letalt AMI, tavst MI, akut, dødelig CHD, ustabil angina, CABG, PTCA, revaskularisering, apopleksi). </w:t>
            </w:r>
          </w:p>
        </w:tc>
        <w:tc>
          <w:tcPr>
            <w:tcW w:w="948"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37 % </w:t>
            </w:r>
          </w:p>
        </w:tc>
        <w:tc>
          <w:tcPr>
            <w:tcW w:w="905"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83 </w:t>
            </w:r>
            <w:r w:rsidRPr="002A1856">
              <w:rPr>
                <w:i/>
                <w:iCs/>
              </w:rPr>
              <w:t>vs.</w:t>
            </w:r>
            <w:r w:rsidRPr="002A1856">
              <w:t xml:space="preserve">127 </w:t>
            </w:r>
          </w:p>
        </w:tc>
        <w:tc>
          <w:tcPr>
            <w:tcW w:w="973"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3,2 % </w:t>
            </w:r>
          </w:p>
        </w:tc>
        <w:tc>
          <w:tcPr>
            <w:tcW w:w="675" w:type="pct"/>
            <w:tcBorders>
              <w:top w:val="single" w:sz="8"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0,0010 </w:t>
            </w:r>
          </w:p>
        </w:tc>
      </w:tr>
      <w:tr w:rsidR="002A1856" w:rsidRPr="002A1856" w:rsidTr="00236324">
        <w:trPr>
          <w:trHeight w:val="541"/>
        </w:trPr>
        <w:tc>
          <w:tcPr>
            <w:tcW w:w="1499"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rPr>
                <w:lang w:val="da-DK"/>
              </w:rPr>
            </w:pPr>
            <w:r w:rsidRPr="002A1856">
              <w:rPr>
                <w:lang w:val="da-DK"/>
              </w:rPr>
              <w:t xml:space="preserve">MI (letalt og ikke-letalt AMI, tavst MI). </w:t>
            </w:r>
          </w:p>
        </w:tc>
        <w:tc>
          <w:tcPr>
            <w:tcW w:w="948"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42 % </w:t>
            </w:r>
          </w:p>
        </w:tc>
        <w:tc>
          <w:tcPr>
            <w:tcW w:w="905"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38 </w:t>
            </w:r>
            <w:r w:rsidRPr="002A1856">
              <w:rPr>
                <w:i/>
                <w:iCs/>
              </w:rPr>
              <w:t>vs.</w:t>
            </w:r>
            <w:r w:rsidRPr="002A1856">
              <w:t xml:space="preserve">64 </w:t>
            </w:r>
          </w:p>
        </w:tc>
        <w:tc>
          <w:tcPr>
            <w:tcW w:w="973"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1,9 % </w:t>
            </w:r>
          </w:p>
        </w:tc>
        <w:tc>
          <w:tcPr>
            <w:tcW w:w="675" w:type="pct"/>
            <w:tcBorders>
              <w:top w:val="single" w:sz="6" w:space="0" w:color="000000"/>
              <w:left w:val="single" w:sz="6" w:space="0" w:color="000000"/>
              <w:bottom w:val="single" w:sz="6" w:space="0" w:color="000000"/>
              <w:right w:val="single" w:sz="6" w:space="0" w:color="000000"/>
            </w:tcBorders>
            <w:hideMark/>
          </w:tcPr>
          <w:p w:rsidR="002A1856" w:rsidRPr="002A1856" w:rsidRDefault="002A1856" w:rsidP="00236324">
            <w:pPr>
              <w:pStyle w:val="Default"/>
              <w:spacing w:line="276" w:lineRule="auto"/>
              <w:ind w:left="26"/>
            </w:pPr>
            <w:r w:rsidRPr="002A1856">
              <w:t xml:space="preserve">0,0070 </w:t>
            </w:r>
          </w:p>
        </w:tc>
      </w:tr>
      <w:tr w:rsidR="002A1856" w:rsidRPr="002A1856" w:rsidTr="00236324">
        <w:trPr>
          <w:trHeight w:val="289"/>
        </w:trPr>
        <w:tc>
          <w:tcPr>
            <w:tcW w:w="1499"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rPr>
                <w:lang w:val="da-DK"/>
              </w:rPr>
            </w:pPr>
            <w:r w:rsidRPr="002A1856">
              <w:rPr>
                <w:lang w:val="da-DK"/>
              </w:rPr>
              <w:t xml:space="preserve">Apopleksi (letal og ikke-letal). </w:t>
            </w:r>
          </w:p>
        </w:tc>
        <w:tc>
          <w:tcPr>
            <w:tcW w:w="948"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pPr>
            <w:r w:rsidRPr="002A1856">
              <w:t xml:space="preserve">48 % </w:t>
            </w:r>
          </w:p>
        </w:tc>
        <w:tc>
          <w:tcPr>
            <w:tcW w:w="905"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pPr>
            <w:r w:rsidRPr="002A1856">
              <w:t xml:space="preserve">21 </w:t>
            </w:r>
            <w:r w:rsidRPr="002A1856">
              <w:rPr>
                <w:i/>
                <w:iCs/>
              </w:rPr>
              <w:t>vs.</w:t>
            </w:r>
            <w:r w:rsidRPr="002A1856">
              <w:t xml:space="preserve">39 </w:t>
            </w:r>
          </w:p>
        </w:tc>
        <w:tc>
          <w:tcPr>
            <w:tcW w:w="973"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pPr>
            <w:r w:rsidRPr="002A1856">
              <w:t xml:space="preserve">1,3 % </w:t>
            </w:r>
          </w:p>
        </w:tc>
        <w:tc>
          <w:tcPr>
            <w:tcW w:w="675" w:type="pct"/>
            <w:tcBorders>
              <w:top w:val="single" w:sz="6" w:space="0" w:color="000000"/>
              <w:left w:val="single" w:sz="6" w:space="0" w:color="000000"/>
              <w:bottom w:val="single" w:sz="8" w:space="0" w:color="000000"/>
              <w:right w:val="single" w:sz="6" w:space="0" w:color="000000"/>
            </w:tcBorders>
            <w:hideMark/>
          </w:tcPr>
          <w:p w:rsidR="002A1856" w:rsidRPr="002A1856" w:rsidRDefault="002A1856" w:rsidP="00236324">
            <w:pPr>
              <w:pStyle w:val="Default"/>
              <w:spacing w:line="276" w:lineRule="auto"/>
              <w:ind w:left="26"/>
            </w:pPr>
            <w:r w:rsidRPr="002A1856">
              <w:t xml:space="preserve">0,0163 </w:t>
            </w:r>
          </w:p>
        </w:tc>
      </w:tr>
    </w:tbl>
    <w:p w:rsidR="002A1856" w:rsidRPr="002A1856" w:rsidRDefault="002A1856" w:rsidP="002A1856">
      <w:pPr>
        <w:pStyle w:val="Style1"/>
        <w:widowControl/>
        <w:spacing w:line="240" w:lineRule="auto"/>
        <w:ind w:right="-1"/>
        <w:rPr>
          <w:rStyle w:val="FontStyle27"/>
          <w:sz w:val="24"/>
          <w:szCs w:val="24"/>
          <w:lang w:val="da-DK" w:eastAsia="da-DK"/>
        </w:rPr>
      </w:pPr>
      <w:r w:rsidRPr="002A1856">
        <w:rPr>
          <w:rStyle w:val="FontStyle27"/>
          <w:sz w:val="24"/>
          <w:szCs w:val="24"/>
          <w:vertAlign w:val="superscript"/>
          <w:lang w:val="da-DK" w:eastAsia="da-DK"/>
        </w:rPr>
        <w:t>1</w:t>
      </w:r>
      <w:r w:rsidRPr="002A1856">
        <w:rPr>
          <w:rStyle w:val="FontStyle27"/>
          <w:sz w:val="24"/>
          <w:szCs w:val="24"/>
          <w:lang w:val="da-DK" w:eastAsia="da-DK"/>
        </w:rPr>
        <w:t xml:space="preserve"> På baggrund af forskelle i de samlede hændelseshyppigheder opstået over en middel</w:t>
      </w:r>
      <w:r w:rsidRPr="002A1856">
        <w:rPr>
          <w:rStyle w:val="FontStyle27"/>
          <w:sz w:val="24"/>
          <w:szCs w:val="24"/>
          <w:lang w:val="da-DK" w:eastAsia="da-DK"/>
        </w:rPr>
        <w:softHyphen/>
        <w:t>opfølgnings</w:t>
      </w:r>
      <w:r w:rsidRPr="002A1856">
        <w:rPr>
          <w:rStyle w:val="FontStyle27"/>
          <w:sz w:val="24"/>
          <w:szCs w:val="24"/>
          <w:lang w:val="da-DK" w:eastAsia="da-DK"/>
        </w:rPr>
        <w:softHyphen/>
        <w:t>periode på 3,9 år.</w:t>
      </w:r>
    </w:p>
    <w:p w:rsidR="002A1856" w:rsidRPr="002A1856" w:rsidRDefault="002A1856" w:rsidP="002A1856">
      <w:pPr>
        <w:pStyle w:val="Style1"/>
        <w:widowControl/>
        <w:spacing w:line="240" w:lineRule="auto"/>
        <w:ind w:right="-1"/>
        <w:rPr>
          <w:rStyle w:val="FontStyle27"/>
          <w:sz w:val="24"/>
          <w:szCs w:val="24"/>
          <w:lang w:val="da-DK" w:eastAsia="da-DK"/>
        </w:rPr>
      </w:pPr>
      <w:r w:rsidRPr="002A1856">
        <w:rPr>
          <w:rStyle w:val="FontStyle27"/>
          <w:sz w:val="24"/>
          <w:szCs w:val="24"/>
          <w:lang w:val="da-DK" w:eastAsia="da-DK"/>
        </w:rPr>
        <w:t>AMI = akut myokardieinfarkt; CABG = koronararterie bypass graft operation;</w:t>
      </w:r>
    </w:p>
    <w:p w:rsidR="002A1856" w:rsidRPr="002A1856" w:rsidRDefault="002A1856" w:rsidP="002A1856">
      <w:pPr>
        <w:pStyle w:val="Style1"/>
        <w:widowControl/>
        <w:spacing w:line="240" w:lineRule="auto"/>
        <w:ind w:right="-1"/>
        <w:rPr>
          <w:rStyle w:val="FontStyle27"/>
          <w:sz w:val="24"/>
          <w:szCs w:val="24"/>
          <w:lang w:val="da-DK" w:eastAsia="da-DK"/>
        </w:rPr>
      </w:pPr>
      <w:r w:rsidRPr="002A1856">
        <w:rPr>
          <w:rStyle w:val="FontStyle27"/>
          <w:sz w:val="24"/>
          <w:szCs w:val="24"/>
          <w:lang w:val="da-DK" w:eastAsia="da-DK"/>
        </w:rPr>
        <w:t>CHD = koronar hjertesygdom; MI = myokardieinfarkt; PTCA = perkutan transluminal koronar angioplastik.</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Der var ikke bevis for en forskel i behandlingseffekten på grund af patienternes køn, alder eller baseline</w:t>
      </w:r>
      <w:r w:rsidRPr="002A1856">
        <w:rPr>
          <w:rStyle w:val="FontStyle27"/>
          <w:sz w:val="24"/>
          <w:szCs w:val="24"/>
          <w:lang w:val="da-DK" w:eastAsia="da-DK"/>
        </w:rPr>
        <w:softHyphen/>
        <w:t xml:space="preserve">værdien for LDL-kolesterol. Der blev set en favorabel tendens med hensyn til mortalitetsrate (82 dødsfald i placebogruppen </w:t>
      </w:r>
      <w:r w:rsidRPr="002A1856">
        <w:rPr>
          <w:rStyle w:val="FontStyle26"/>
          <w:sz w:val="24"/>
          <w:szCs w:val="24"/>
          <w:lang w:val="da-DK" w:eastAsia="da-DK"/>
        </w:rPr>
        <w:t xml:space="preserve">vs. </w:t>
      </w:r>
      <w:r w:rsidRPr="002A1856">
        <w:rPr>
          <w:rStyle w:val="FontStyle27"/>
          <w:sz w:val="24"/>
          <w:szCs w:val="24"/>
          <w:lang w:val="da-DK" w:eastAsia="da-DK"/>
        </w:rPr>
        <w:t>61 dødsfald i atorvastatingruppen, p=0,0592).</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u w:val="single"/>
          <w:lang w:eastAsia="da-DK"/>
        </w:rPr>
      </w:pPr>
      <w:r w:rsidRPr="002A1856">
        <w:rPr>
          <w:rStyle w:val="FontStyle27"/>
          <w:sz w:val="24"/>
          <w:szCs w:val="24"/>
          <w:u w:val="single"/>
          <w:lang w:val="da-DK" w:eastAsia="da-DK"/>
        </w:rPr>
        <w:t>Tilbagevendende apopleksi</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I studiet Stroke Prevention by Aggressive Reduction in Cholesterol Levels (SPARCL) blev effekten af atorvastatin 80 mg daglig eller placebo på apopleksi evalueret hos 4.731 patienter med apopleksi eller transitorisk cerebral iskæmi (TCI) inden for de forudgående 6 måneder og uden koronar hjertesygdom (CHD) i anamnesen. 60% af patienterne var mænd, aldersintervaller 21-92 år (gennemsnitsalder 63 år) og LDL-kolesterol 3,4 mmol/l (133 mg/dl) ved baseline. Det gennemsnitlige LDL-kolesterol var 1,9 mmol/l (73 mg/dl) under behandling med atorvastatin og 3,3 mmol/l (129 mg/dl) under behandling med placebo. Middelopfølgningsperioden var 4,9 år.</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 xml:space="preserve">Atorvastatin 80 mg reducerede risikoen for det primære endepunkt (letal eller ikke-letal apopleksi) med 15 % (HR 0,85; 95 % CI: 0,72-1,00; p=0,05 eller HR 0,84; 95% CI: 0,71-0,99; p=0,03 efter justering for baseline-faktorer) sammenlignet med placebo. Død uanset årsag var 9,1 (216/2.365) i atorvastatingruppen </w:t>
      </w:r>
      <w:r w:rsidRPr="002A1856">
        <w:rPr>
          <w:rStyle w:val="FontStyle26"/>
          <w:sz w:val="24"/>
          <w:szCs w:val="24"/>
          <w:lang w:val="da-DK" w:eastAsia="da-DK"/>
        </w:rPr>
        <w:t xml:space="preserve">vs. </w:t>
      </w:r>
      <w:r w:rsidRPr="002A1856">
        <w:rPr>
          <w:rStyle w:val="FontStyle27"/>
          <w:sz w:val="24"/>
          <w:szCs w:val="24"/>
          <w:lang w:val="da-DK" w:eastAsia="da-DK"/>
        </w:rPr>
        <w:t>8,9% (211/2.366) i placebogruppen.</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 xml:space="preserve">I en post-hoc analyse reducerede atorvastatin 80 mg incidensen af koronar apopleksi (218/2.365, 9,2% </w:t>
      </w:r>
      <w:r w:rsidRPr="002A1856">
        <w:rPr>
          <w:rStyle w:val="FontStyle26"/>
          <w:sz w:val="24"/>
          <w:szCs w:val="24"/>
          <w:lang w:val="da-DK" w:eastAsia="da-DK"/>
        </w:rPr>
        <w:t xml:space="preserve">vs. </w:t>
      </w:r>
      <w:r w:rsidRPr="002A1856">
        <w:rPr>
          <w:rStyle w:val="FontStyle27"/>
          <w:sz w:val="24"/>
          <w:szCs w:val="24"/>
          <w:lang w:val="da-DK" w:eastAsia="da-DK"/>
        </w:rPr>
        <w:t xml:space="preserve">274/2.366, 11,6%: p=0,01) og øgede incidensen af hæmoragisk apopleksi (55/2.365, 2,3% </w:t>
      </w:r>
      <w:r w:rsidRPr="002A1856">
        <w:rPr>
          <w:rStyle w:val="FontStyle26"/>
          <w:sz w:val="24"/>
          <w:szCs w:val="24"/>
          <w:lang w:val="da-DK" w:eastAsia="da-DK"/>
        </w:rPr>
        <w:t xml:space="preserve">vs. </w:t>
      </w:r>
      <w:r w:rsidRPr="002A1856">
        <w:rPr>
          <w:rStyle w:val="FontStyle27"/>
          <w:sz w:val="24"/>
          <w:szCs w:val="24"/>
          <w:lang w:val="da-DK" w:eastAsia="da-DK"/>
        </w:rPr>
        <w:t>33/2.366, 1,4%; p=0,02) sammenlignet med placebo.</w:t>
      </w:r>
    </w:p>
    <w:p w:rsidR="002A1856" w:rsidRPr="002A1856" w:rsidRDefault="002A1856" w:rsidP="002A1856">
      <w:pPr>
        <w:pStyle w:val="Style19"/>
        <w:widowControl/>
        <w:numPr>
          <w:ilvl w:val="0"/>
          <w:numId w:val="13"/>
        </w:numPr>
        <w:spacing w:line="240" w:lineRule="auto"/>
        <w:ind w:left="1276" w:hanging="425"/>
        <w:rPr>
          <w:rStyle w:val="FontStyle27"/>
          <w:sz w:val="24"/>
          <w:szCs w:val="24"/>
          <w:lang w:val="da-DK" w:eastAsia="da-DK"/>
        </w:rPr>
      </w:pPr>
      <w:r w:rsidRPr="002A1856">
        <w:rPr>
          <w:rStyle w:val="FontStyle27"/>
          <w:sz w:val="24"/>
          <w:szCs w:val="24"/>
          <w:lang w:val="da-DK" w:eastAsia="da-DK"/>
        </w:rPr>
        <w:t xml:space="preserve">Risikoen for hæmoragisk apopleksi var øget hos patienter, som før forsøgets start havde haft hæmoragisk apopleksi (7/45 i atorvastatingruppen versus 2/48 i </w:t>
      </w:r>
      <w:r w:rsidRPr="002A1856">
        <w:rPr>
          <w:rStyle w:val="FontStyle27"/>
          <w:sz w:val="24"/>
          <w:szCs w:val="24"/>
          <w:lang w:val="da-DK" w:eastAsia="da-DK"/>
        </w:rPr>
        <w:lastRenderedPageBreak/>
        <w:t>placebogruppen; HR 4,06; 95% CI: 0,84-19,57). Risikoen for koronar apopleksi var sammenlignelig mellem grupperne (3/45 for atorvastatin versus 2/48 for placebo; HR 1,64; 95% CI: 0,27-9,82).</w:t>
      </w:r>
    </w:p>
    <w:p w:rsidR="002A1856" w:rsidRPr="002A1856" w:rsidRDefault="002A1856" w:rsidP="002A1856">
      <w:pPr>
        <w:pStyle w:val="Style19"/>
        <w:widowControl/>
        <w:spacing w:line="240" w:lineRule="auto"/>
        <w:ind w:left="1276" w:hanging="425"/>
      </w:pPr>
    </w:p>
    <w:p w:rsidR="002A1856" w:rsidRPr="002A1856" w:rsidRDefault="002A1856" w:rsidP="002A1856">
      <w:pPr>
        <w:pStyle w:val="Style19"/>
        <w:widowControl/>
        <w:numPr>
          <w:ilvl w:val="0"/>
          <w:numId w:val="13"/>
        </w:numPr>
        <w:spacing w:line="240" w:lineRule="auto"/>
        <w:ind w:left="1276" w:hanging="425"/>
        <w:rPr>
          <w:rStyle w:val="FontStyle27"/>
          <w:sz w:val="24"/>
          <w:szCs w:val="24"/>
          <w:lang w:eastAsia="da-DK"/>
        </w:rPr>
      </w:pPr>
      <w:r w:rsidRPr="002A1856">
        <w:rPr>
          <w:rStyle w:val="FontStyle27"/>
          <w:sz w:val="24"/>
          <w:szCs w:val="24"/>
          <w:lang w:val="da-DK" w:eastAsia="da-DK"/>
        </w:rPr>
        <w:t>Risikoen for hæmoragisk apopleksi var øget hos patienter, som før forsøgets start havde haft lakunært infarkt (20/708 for atorvastatin versus 4/701 for placebo; HR 4,99; 95% CI: 1,71-14,61), men risikoen for koronar apopleksi faldt også hos disse patienter (79/708 for atorvastatin versus 102/701 for placebo; HR 0,76; 95% CI: 0,57-1,02). Det er muligt, at den absolutte risiko for apopleksi er øget hos patienter med tidligere lakunært infarkt, som får 80 mg atorvastatin daglig.</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Død uanset årsag var 15,6 % (7/45) for atorvastatin versus 10,4 % (5/48) for placebo i subgruppen af patienter, der tidligere havde haft hæmoragisk apopleksi. Død uanset årsag totalt var 10,9 % (77/708) for atorvastatin versus 9,1 % (64/701) for placebo i subgruppen af patienter, der tidligere havde haft lakunært infarkt.</w:t>
      </w:r>
    </w:p>
    <w:p w:rsidR="002A1856" w:rsidRPr="002A1856" w:rsidRDefault="002A1856" w:rsidP="002A1856">
      <w:pPr>
        <w:pStyle w:val="Style5"/>
        <w:widowControl/>
        <w:ind w:left="851" w:hanging="851"/>
        <w:jc w:val="left"/>
      </w:pPr>
    </w:p>
    <w:p w:rsidR="002A1856" w:rsidRPr="002A1856" w:rsidRDefault="002A1856" w:rsidP="002A1856">
      <w:pPr>
        <w:pStyle w:val="Style1"/>
        <w:widowControl/>
        <w:spacing w:line="240" w:lineRule="auto"/>
        <w:ind w:left="851"/>
        <w:rPr>
          <w:rStyle w:val="FontStyle27"/>
          <w:i/>
          <w:sz w:val="24"/>
          <w:szCs w:val="24"/>
          <w:lang w:eastAsia="da-DK"/>
        </w:rPr>
      </w:pPr>
      <w:r w:rsidRPr="002A1856">
        <w:rPr>
          <w:rStyle w:val="FontStyle27"/>
          <w:i/>
          <w:sz w:val="24"/>
          <w:szCs w:val="24"/>
          <w:lang w:val="da-DK" w:eastAsia="da-DK"/>
        </w:rPr>
        <w:t>Pædiatrisk population</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u w:val="single"/>
          <w:lang w:val="da-DK" w:eastAsia="da-DK"/>
        </w:rPr>
      </w:pPr>
      <w:r w:rsidRPr="002A1856">
        <w:rPr>
          <w:rStyle w:val="FontStyle27"/>
          <w:sz w:val="24"/>
          <w:szCs w:val="24"/>
          <w:u w:val="single"/>
          <w:lang w:val="da-DK" w:eastAsia="da-DK"/>
        </w:rPr>
        <w:t>Heterozygot familiær hyperkolesterolæmi hos pædiatriske patienter i alderen 6-17 år</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Et 8-ugers, open-label klinisk forsøg til evaluering af farmakokinetik, farmakodynamik samt sikkerhed og tolerabilitet af atorvastatin blev udført med børn og unge med genetisk bekræftet heterozygot familiær hyperkolesterolæmi og baseline LDL-cholesterol ≥ 4 mmol/l. Der deltog i alt 39 børn og unge i alderen 6-17 år. Kohorte A omfattede 15 børn i alderen 6-12 år i Tanner-stadie 1. Kohorte B omfattede 24 børn i alderen 10-17 år i Tanner-stadie ≥ 2.</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Startdosis i kohorte A var 5 mg atorvastatin daglig i form af en tyggetablet og i kohorte B 10 mg daglig i form af en konventionel tablet. Atorvastatindosis kunne fordobles, hvis patienten ikke havde nået target-LDL-cholesterol på &lt; 3,35 mmol/l i uge 4, og hvis atorvastatin var veltolereret.</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7"/>
          <w:sz w:val="24"/>
          <w:szCs w:val="24"/>
          <w:lang w:val="da-DK" w:eastAsia="da-DK"/>
        </w:rPr>
        <w:t>Gennemsnitsværdier for LDL-cholesterol, total-cholesterol, VLDL-cholesterol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baseline i LDL-cholesterol og total-cholesterol hhv. ca. 40 % og 30 % over hele gruppen.</w:t>
      </w:r>
    </w:p>
    <w:p w:rsidR="002A1856" w:rsidRPr="002A1856" w:rsidRDefault="002A1856" w:rsidP="002A1856">
      <w:pPr>
        <w:pStyle w:val="Style1"/>
        <w:widowControl/>
        <w:spacing w:line="240" w:lineRule="auto"/>
        <w:rPr>
          <w:rStyle w:val="FontStyle27"/>
          <w:sz w:val="24"/>
          <w:szCs w:val="24"/>
          <w:lang w:val="da-DK" w:eastAsia="da-DK"/>
        </w:rPr>
      </w:pPr>
    </w:p>
    <w:p w:rsidR="002A1856" w:rsidRPr="002A1856" w:rsidRDefault="002A1856" w:rsidP="002A1856">
      <w:pPr>
        <w:pStyle w:val="Style1"/>
        <w:spacing w:line="240" w:lineRule="auto"/>
        <w:ind w:left="851"/>
        <w:rPr>
          <w:lang w:eastAsia="da-DK"/>
        </w:rPr>
      </w:pPr>
      <w:r w:rsidRPr="002A1856">
        <w:rPr>
          <w:lang w:eastAsia="da-DK"/>
        </w:rPr>
        <w:t>I et andet open-label, enkeltarm klinisk forsøg, blev 271 piger og drenge i alderen 6-15 år med heterocygot familiær hyperkolesterolæmi behandlet med atorvastatin i op til 3 år. Inklusions</w:t>
      </w:r>
      <w:r w:rsidRPr="002A1856">
        <w:rPr>
          <w:lang w:eastAsia="da-DK"/>
        </w:rPr>
        <w:softHyphen/>
        <w:t>kriterier var bekræftet heterocygot familiær hyperkolesterolæmi og LDL-kolesterol ≥ 4 mmol/l (ca. 152 mg/dl) ved baseline. Det kliniske forsøg omfattede 139 børn i Tanner 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LDL-kolesterol. Det vægtede gennemsnit for børn i alderen 6-9 år var 19,6 mg mens det for børn på 10 år og derover var 23,9 mg.</w:t>
      </w:r>
    </w:p>
    <w:p w:rsidR="002A1856" w:rsidRPr="002A1856" w:rsidRDefault="002A1856" w:rsidP="002A1856">
      <w:pPr>
        <w:pStyle w:val="Style1"/>
        <w:spacing w:line="240" w:lineRule="auto"/>
        <w:ind w:left="851"/>
        <w:rPr>
          <w:lang w:eastAsia="da-DK"/>
        </w:rPr>
      </w:pPr>
    </w:p>
    <w:p w:rsidR="002A1856" w:rsidRPr="002A1856" w:rsidRDefault="002A1856" w:rsidP="002A1856">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val="el-GR" w:eastAsia="da-DK"/>
        </w:rPr>
      </w:pPr>
      <w:r w:rsidRPr="002A1856">
        <w:rPr>
          <w:spacing w:val="-3"/>
          <w:sz w:val="24"/>
          <w:szCs w:val="24"/>
        </w:rPr>
        <w:lastRenderedPageBreak/>
        <w:t>Den</w:t>
      </w:r>
      <w:r w:rsidRPr="002A1856">
        <w:rPr>
          <w:spacing w:val="-3"/>
          <w:sz w:val="24"/>
          <w:szCs w:val="24"/>
          <w:lang w:val="el-GR"/>
        </w:rPr>
        <w:t xml:space="preserve"> </w:t>
      </w:r>
      <w:r w:rsidRPr="002A1856">
        <w:rPr>
          <w:spacing w:val="-3"/>
          <w:sz w:val="24"/>
          <w:szCs w:val="24"/>
        </w:rPr>
        <w:t>gennemsnitslige</w:t>
      </w:r>
      <w:r w:rsidRPr="002A1856">
        <w:rPr>
          <w:spacing w:val="-3"/>
          <w:sz w:val="24"/>
          <w:szCs w:val="24"/>
          <w:lang w:val="el-GR"/>
        </w:rPr>
        <w:t xml:space="preserve"> </w:t>
      </w:r>
      <w:r w:rsidRPr="002A1856">
        <w:rPr>
          <w:spacing w:val="-3"/>
          <w:sz w:val="24"/>
          <w:szCs w:val="24"/>
        </w:rPr>
        <w:t>LDL</w:t>
      </w:r>
      <w:r w:rsidRPr="002A1856">
        <w:rPr>
          <w:spacing w:val="-3"/>
          <w:sz w:val="24"/>
          <w:szCs w:val="24"/>
          <w:lang w:val="el-GR"/>
        </w:rPr>
        <w:t>-</w:t>
      </w:r>
      <w:r w:rsidRPr="002A1856">
        <w:rPr>
          <w:spacing w:val="-3"/>
          <w:sz w:val="24"/>
          <w:szCs w:val="24"/>
        </w:rPr>
        <w:t>kolesterol</w:t>
      </w:r>
      <w:r w:rsidRPr="002A1856">
        <w:rPr>
          <w:spacing w:val="-3"/>
          <w:sz w:val="24"/>
          <w:szCs w:val="24"/>
          <w:lang w:val="el-GR"/>
        </w:rPr>
        <w:t xml:space="preserve"> </w:t>
      </w:r>
      <w:r w:rsidRPr="002A1856">
        <w:rPr>
          <w:spacing w:val="-3"/>
          <w:sz w:val="24"/>
          <w:szCs w:val="24"/>
        </w:rPr>
        <w:t>ved</w:t>
      </w:r>
      <w:r w:rsidRPr="002A1856">
        <w:rPr>
          <w:spacing w:val="-3"/>
          <w:sz w:val="24"/>
          <w:szCs w:val="24"/>
          <w:lang w:val="el-GR"/>
        </w:rPr>
        <w:t xml:space="preserve"> </w:t>
      </w:r>
      <w:r w:rsidRPr="002A1856">
        <w:rPr>
          <w:spacing w:val="-3"/>
          <w:sz w:val="24"/>
          <w:szCs w:val="24"/>
        </w:rPr>
        <w:t>baseline</w:t>
      </w:r>
      <w:r w:rsidRPr="002A1856">
        <w:rPr>
          <w:spacing w:val="-3"/>
          <w:sz w:val="24"/>
          <w:szCs w:val="24"/>
          <w:lang w:val="el-GR"/>
        </w:rPr>
        <w:t xml:space="preserve"> (+/- </w:t>
      </w:r>
      <w:r w:rsidRPr="002A1856">
        <w:rPr>
          <w:spacing w:val="-3"/>
          <w:sz w:val="24"/>
          <w:szCs w:val="24"/>
        </w:rPr>
        <w:t>standardafvigelse</w:t>
      </w:r>
      <w:r w:rsidRPr="002A1856">
        <w:rPr>
          <w:spacing w:val="-3"/>
          <w:sz w:val="24"/>
          <w:szCs w:val="24"/>
          <w:lang w:val="el-GR"/>
        </w:rPr>
        <w:t xml:space="preserve">) </w:t>
      </w:r>
      <w:r w:rsidRPr="002A1856">
        <w:rPr>
          <w:spacing w:val="-3"/>
          <w:sz w:val="24"/>
          <w:szCs w:val="24"/>
        </w:rPr>
        <w:t>var</w:t>
      </w:r>
      <w:r w:rsidRPr="002A1856">
        <w:rPr>
          <w:spacing w:val="-3"/>
          <w:sz w:val="24"/>
          <w:szCs w:val="24"/>
          <w:lang w:val="el-GR"/>
        </w:rPr>
        <w:t xml:space="preserve"> 6,12</w:t>
      </w:r>
      <w:r w:rsidRPr="002A1856">
        <w:rPr>
          <w:spacing w:val="-3"/>
          <w:sz w:val="24"/>
          <w:szCs w:val="24"/>
        </w:rPr>
        <w:t> </w:t>
      </w:r>
      <w:r w:rsidRPr="002A1856">
        <w:rPr>
          <w:spacing w:val="-3"/>
          <w:sz w:val="24"/>
          <w:szCs w:val="24"/>
          <w:lang w:val="el-GR"/>
        </w:rPr>
        <w:t>(1,26)</w:t>
      </w:r>
      <w:r w:rsidRPr="002A1856">
        <w:rPr>
          <w:spacing w:val="-3"/>
          <w:sz w:val="24"/>
          <w:szCs w:val="24"/>
        </w:rPr>
        <w:t> mmol</w:t>
      </w:r>
      <w:r w:rsidRPr="002A1856">
        <w:rPr>
          <w:spacing w:val="-3"/>
          <w:sz w:val="24"/>
          <w:szCs w:val="24"/>
          <w:lang w:val="el-GR"/>
        </w:rPr>
        <w:t>/</w:t>
      </w:r>
      <w:r w:rsidRPr="002A1856">
        <w:rPr>
          <w:spacing w:val="-3"/>
          <w:sz w:val="24"/>
          <w:szCs w:val="24"/>
        </w:rPr>
        <w:t>l</w:t>
      </w:r>
      <w:r w:rsidRPr="002A1856">
        <w:rPr>
          <w:spacing w:val="-3"/>
          <w:sz w:val="24"/>
          <w:szCs w:val="24"/>
          <w:lang w:val="el-GR"/>
        </w:rPr>
        <w:t xml:space="preserve">, </w:t>
      </w:r>
      <w:r w:rsidRPr="002A1856">
        <w:rPr>
          <w:spacing w:val="-3"/>
          <w:sz w:val="24"/>
          <w:szCs w:val="24"/>
        </w:rPr>
        <w:t>hvilket</w:t>
      </w:r>
      <w:r w:rsidRPr="002A1856">
        <w:rPr>
          <w:spacing w:val="-3"/>
          <w:sz w:val="24"/>
          <w:szCs w:val="24"/>
          <w:lang w:val="el-GR"/>
        </w:rPr>
        <w:t xml:space="preserve"> </w:t>
      </w:r>
      <w:r w:rsidRPr="002A1856">
        <w:rPr>
          <w:spacing w:val="-3"/>
          <w:sz w:val="24"/>
          <w:szCs w:val="24"/>
        </w:rPr>
        <w:t>svarer</w:t>
      </w:r>
      <w:r w:rsidRPr="002A1856">
        <w:rPr>
          <w:spacing w:val="-3"/>
          <w:sz w:val="24"/>
          <w:szCs w:val="24"/>
          <w:lang w:val="el-GR"/>
        </w:rPr>
        <w:t xml:space="preserve"> </w:t>
      </w:r>
      <w:r w:rsidRPr="002A1856">
        <w:rPr>
          <w:spacing w:val="-3"/>
          <w:sz w:val="24"/>
          <w:szCs w:val="24"/>
        </w:rPr>
        <w:t>til</w:t>
      </w:r>
      <w:r w:rsidRPr="002A1856">
        <w:rPr>
          <w:spacing w:val="-3"/>
          <w:sz w:val="24"/>
          <w:szCs w:val="24"/>
          <w:lang w:val="el-GR"/>
        </w:rPr>
        <w:t xml:space="preserve"> </w:t>
      </w:r>
      <w:r w:rsidRPr="002A1856">
        <w:rPr>
          <w:spacing w:val="-3"/>
          <w:sz w:val="24"/>
          <w:szCs w:val="24"/>
        </w:rPr>
        <w:t>ca</w:t>
      </w:r>
      <w:r w:rsidRPr="002A1856">
        <w:rPr>
          <w:spacing w:val="-3"/>
          <w:sz w:val="24"/>
          <w:szCs w:val="24"/>
          <w:lang w:val="el-GR"/>
        </w:rPr>
        <w:t>. 233 (48)</w:t>
      </w:r>
      <w:r w:rsidRPr="002A1856">
        <w:rPr>
          <w:spacing w:val="-3"/>
          <w:sz w:val="24"/>
          <w:szCs w:val="24"/>
        </w:rPr>
        <w:t> mg</w:t>
      </w:r>
      <w:r w:rsidRPr="002A1856">
        <w:rPr>
          <w:spacing w:val="-3"/>
          <w:sz w:val="24"/>
          <w:szCs w:val="24"/>
          <w:lang w:val="el-GR"/>
        </w:rPr>
        <w:t>/</w:t>
      </w:r>
      <w:r w:rsidRPr="002A1856">
        <w:rPr>
          <w:spacing w:val="-3"/>
          <w:sz w:val="24"/>
          <w:szCs w:val="24"/>
        </w:rPr>
        <w:t>dl</w:t>
      </w:r>
      <w:r w:rsidRPr="002A1856">
        <w:rPr>
          <w:spacing w:val="-3"/>
          <w:sz w:val="24"/>
          <w:szCs w:val="24"/>
          <w:lang w:val="el-GR"/>
        </w:rPr>
        <w:t xml:space="preserve">. </w:t>
      </w:r>
      <w:r w:rsidRPr="002A1856">
        <w:rPr>
          <w:spacing w:val="-3"/>
          <w:sz w:val="24"/>
          <w:szCs w:val="24"/>
        </w:rPr>
        <w:t>Se</w:t>
      </w:r>
      <w:r w:rsidRPr="002A1856">
        <w:rPr>
          <w:spacing w:val="-3"/>
          <w:sz w:val="24"/>
          <w:szCs w:val="24"/>
          <w:lang w:val="el-GR"/>
        </w:rPr>
        <w:t xml:space="preserve"> </w:t>
      </w:r>
      <w:r w:rsidRPr="002A1856">
        <w:rPr>
          <w:spacing w:val="-3"/>
          <w:sz w:val="24"/>
          <w:szCs w:val="24"/>
        </w:rPr>
        <w:t>Tabel</w:t>
      </w:r>
      <w:r w:rsidRPr="002A1856">
        <w:rPr>
          <w:spacing w:val="-3"/>
          <w:sz w:val="24"/>
          <w:szCs w:val="24"/>
          <w:lang w:val="el-GR"/>
        </w:rPr>
        <w:t xml:space="preserve"> 3 </w:t>
      </w:r>
      <w:r w:rsidRPr="002A1856">
        <w:rPr>
          <w:spacing w:val="-3"/>
          <w:sz w:val="24"/>
          <w:szCs w:val="24"/>
        </w:rPr>
        <w:t>herunder</w:t>
      </w:r>
      <w:r w:rsidRPr="002A1856">
        <w:rPr>
          <w:spacing w:val="-3"/>
          <w:sz w:val="24"/>
          <w:szCs w:val="24"/>
          <w:lang w:val="el-GR"/>
        </w:rPr>
        <w:t xml:space="preserve"> </w:t>
      </w:r>
      <w:r w:rsidRPr="002A1856">
        <w:rPr>
          <w:spacing w:val="-3"/>
          <w:sz w:val="24"/>
          <w:szCs w:val="24"/>
        </w:rPr>
        <w:t>for</w:t>
      </w:r>
      <w:r w:rsidRPr="002A1856">
        <w:rPr>
          <w:spacing w:val="-3"/>
          <w:sz w:val="24"/>
          <w:szCs w:val="24"/>
          <w:lang w:val="el-GR"/>
        </w:rPr>
        <w:t xml:space="preserve"> </w:t>
      </w:r>
      <w:r w:rsidRPr="002A1856">
        <w:rPr>
          <w:spacing w:val="-3"/>
          <w:sz w:val="24"/>
          <w:szCs w:val="24"/>
        </w:rPr>
        <w:t>alle</w:t>
      </w:r>
      <w:r w:rsidRPr="002A1856">
        <w:rPr>
          <w:spacing w:val="-3"/>
          <w:sz w:val="24"/>
          <w:szCs w:val="24"/>
          <w:lang w:val="el-GR"/>
        </w:rPr>
        <w:t xml:space="preserve"> </w:t>
      </w:r>
      <w:r w:rsidRPr="002A1856">
        <w:rPr>
          <w:spacing w:val="-3"/>
          <w:sz w:val="24"/>
          <w:szCs w:val="24"/>
        </w:rPr>
        <w:t>resultater</w:t>
      </w:r>
      <w:r w:rsidRPr="002A1856">
        <w:rPr>
          <w:spacing w:val="-3"/>
          <w:sz w:val="24"/>
          <w:szCs w:val="24"/>
          <w:lang w:val="el-GR"/>
        </w:rPr>
        <w:t>.</w:t>
      </w:r>
    </w:p>
    <w:p w:rsidR="002A1856" w:rsidRPr="002A1856" w:rsidRDefault="002A1856" w:rsidP="002A1856">
      <w:pPr>
        <w:pStyle w:val="Style1"/>
        <w:spacing w:line="240" w:lineRule="auto"/>
        <w:ind w:left="851"/>
        <w:rPr>
          <w:lang w:eastAsia="da-DK"/>
        </w:rPr>
      </w:pPr>
    </w:p>
    <w:p w:rsidR="002A1856" w:rsidRPr="002A1856" w:rsidRDefault="002A1856" w:rsidP="002A1856">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2A1856">
        <w:rPr>
          <w:spacing w:val="-3"/>
          <w:sz w:val="24"/>
          <w:szCs w:val="24"/>
        </w:rPr>
        <w:t>Data viste ingen virkning af atorvastatin på nogen af vækst- eller udviklingsparametrene (f.eks. højde, vægt, BMI, Tanner stadie og investigators vurdering af overordnet modning og udvikling) hos pædiatriske patienter med heterocygot familiær hyperkolesterolæmi, der blev behandlet med atorvastatin i de 3 år det kliniske forsøg varede. Investigator fandt heller ingen påvirkning af højde, vægt, BMI i forhold til alder eller køn.</w:t>
      </w:r>
    </w:p>
    <w:p w:rsidR="002A1856" w:rsidRPr="002A1856" w:rsidRDefault="002A1856" w:rsidP="002A1856">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rsidR="002A1856" w:rsidRPr="002A1856" w:rsidRDefault="002A1856" w:rsidP="002A1856">
      <w:pPr>
        <w:pStyle w:val="Style1"/>
        <w:spacing w:line="240" w:lineRule="auto"/>
        <w:ind w:left="851"/>
        <w:rPr>
          <w:lang w:val="da-DK" w:eastAsia="da-DK"/>
        </w:rPr>
      </w:pPr>
      <w:r w:rsidRPr="002A1856">
        <w:rPr>
          <w:lang w:val="da-DK" w:eastAsia="da-DK"/>
        </w:rPr>
        <w:t>Tabel 3. Lipidsænkende virkning af atorvastatin hos unge drenge og piger med heterocygot familiær hyperkolesterolæmi (mmol/l)</w:t>
      </w:r>
    </w:p>
    <w:p w:rsidR="002A1856" w:rsidRPr="002A1856" w:rsidRDefault="002A1856" w:rsidP="002A1856">
      <w:pPr>
        <w:pStyle w:val="Style1"/>
        <w:spacing w:line="240" w:lineRule="auto"/>
        <w:ind w:left="851"/>
        <w:rPr>
          <w:lang w:eastAsia="da-DK"/>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635"/>
        <w:gridCol w:w="1251"/>
        <w:gridCol w:w="1501"/>
        <w:gridCol w:w="1551"/>
        <w:gridCol w:w="1283"/>
        <w:gridCol w:w="1506"/>
      </w:tblGrid>
      <w:tr w:rsidR="002A1856" w:rsidRPr="002A1856" w:rsidTr="00236324">
        <w:trPr>
          <w:trHeight w:val="1074"/>
          <w:jc w:val="center"/>
        </w:trPr>
        <w:tc>
          <w:tcPr>
            <w:tcW w:w="1216"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i/>
              </w:rPr>
            </w:pPr>
            <w:r w:rsidRPr="002A1856">
              <w:rPr>
                <w:i/>
              </w:rPr>
              <w:t>Timepoint</w:t>
            </w:r>
          </w:p>
        </w:tc>
        <w:tc>
          <w:tcPr>
            <w:tcW w:w="635"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rPr>
                <w:b/>
              </w:rPr>
            </w:pPr>
            <w:r w:rsidRPr="002A1856">
              <w:t>N</w:t>
            </w:r>
          </w:p>
        </w:tc>
        <w:tc>
          <w:tcPr>
            <w:tcW w:w="12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rPr>
                <w:b/>
              </w:rPr>
            </w:pPr>
            <w:r w:rsidRPr="002A1856">
              <w:t>Total-kolesterol (enkelt dosis)</w:t>
            </w:r>
          </w:p>
        </w:tc>
        <w:tc>
          <w:tcPr>
            <w:tcW w:w="150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pPr>
            <w:r w:rsidRPr="002A1856">
              <w:t>LDL-C</w:t>
            </w:r>
          </w:p>
          <w:p w:rsidR="002A1856" w:rsidRPr="002A1856" w:rsidRDefault="002A1856" w:rsidP="00236324">
            <w:pPr>
              <w:pStyle w:val="Paragraph"/>
              <w:keepNext/>
              <w:spacing w:after="120"/>
              <w:jc w:val="center"/>
              <w:rPr>
                <w:b/>
              </w:rPr>
            </w:pPr>
            <w:r w:rsidRPr="002A1856">
              <w:t>(enkelt dosis)</w:t>
            </w:r>
          </w:p>
        </w:tc>
        <w:tc>
          <w:tcPr>
            <w:tcW w:w="15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pPr>
            <w:r w:rsidRPr="002A1856">
              <w:t>HDL-C</w:t>
            </w:r>
          </w:p>
          <w:p w:rsidR="002A1856" w:rsidRPr="002A1856" w:rsidRDefault="002A1856" w:rsidP="00236324">
            <w:pPr>
              <w:pStyle w:val="Paragraph"/>
              <w:keepNext/>
              <w:spacing w:after="120"/>
              <w:jc w:val="center"/>
              <w:rPr>
                <w:b/>
              </w:rPr>
            </w:pPr>
            <w:r w:rsidRPr="002A1856">
              <w:t>(enkelt dosis)</w:t>
            </w:r>
          </w:p>
        </w:tc>
        <w:tc>
          <w:tcPr>
            <w:tcW w:w="128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pPr>
            <w:r w:rsidRPr="002A1856">
              <w:t>Triglycerider</w:t>
            </w:r>
          </w:p>
          <w:p w:rsidR="002A1856" w:rsidRPr="002A1856" w:rsidRDefault="002A1856" w:rsidP="00236324">
            <w:pPr>
              <w:pStyle w:val="Paragraph"/>
              <w:keepNext/>
              <w:spacing w:after="120"/>
              <w:jc w:val="center"/>
              <w:rPr>
                <w:b/>
              </w:rPr>
            </w:pPr>
            <w:r w:rsidRPr="002A1856">
              <w:t>(enkelt dosis)</w:t>
            </w:r>
          </w:p>
        </w:tc>
        <w:tc>
          <w:tcPr>
            <w:tcW w:w="150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rPr>
                <w:lang w:val="nb-NO"/>
              </w:rPr>
            </w:pPr>
            <w:r w:rsidRPr="002A1856">
              <w:rPr>
                <w:lang w:val="nb-NO"/>
              </w:rPr>
              <w:t>Apo</w:t>
            </w:r>
            <w:r w:rsidRPr="002A1856">
              <w:rPr>
                <w:lang w:val="nb-NO"/>
              </w:rPr>
              <w:softHyphen/>
              <w:t>lipo</w:t>
            </w:r>
            <w:r w:rsidRPr="002A1856">
              <w:rPr>
                <w:lang w:val="nb-NO"/>
              </w:rPr>
              <w:softHyphen/>
              <w:t xml:space="preserve">protein- B </w:t>
            </w:r>
          </w:p>
          <w:p w:rsidR="002A1856" w:rsidRPr="002A1856" w:rsidRDefault="002A1856" w:rsidP="00236324">
            <w:pPr>
              <w:pStyle w:val="Paragraph"/>
              <w:keepNext/>
              <w:spacing w:after="120"/>
              <w:jc w:val="center"/>
              <w:rPr>
                <w:lang w:val="nb-NO"/>
              </w:rPr>
            </w:pPr>
            <w:r w:rsidRPr="002A1856">
              <w:rPr>
                <w:lang w:val="nb-NO"/>
              </w:rPr>
              <w:t>(enkelt dosis) g/l</w:t>
            </w:r>
          </w:p>
        </w:tc>
      </w:tr>
      <w:tr w:rsidR="002A1856" w:rsidRPr="002A1856" w:rsidTr="00236324">
        <w:trPr>
          <w:trHeight w:val="311"/>
          <w:jc w:val="center"/>
        </w:trPr>
        <w:tc>
          <w:tcPr>
            <w:tcW w:w="1216"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rPr>
                <w:b/>
                <w:i/>
              </w:rPr>
            </w:pPr>
            <w:r w:rsidRPr="002A1856">
              <w:rPr>
                <w:i/>
              </w:rPr>
              <w:t>Baseline</w:t>
            </w:r>
          </w:p>
        </w:tc>
        <w:tc>
          <w:tcPr>
            <w:tcW w:w="635"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271</w:t>
            </w:r>
          </w:p>
        </w:tc>
        <w:tc>
          <w:tcPr>
            <w:tcW w:w="12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7,86 (1,30)</w:t>
            </w:r>
          </w:p>
        </w:tc>
        <w:tc>
          <w:tcPr>
            <w:tcW w:w="150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6,12 (1,26)</w:t>
            </w:r>
          </w:p>
        </w:tc>
        <w:tc>
          <w:tcPr>
            <w:tcW w:w="15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1,314 (0,2663)</w:t>
            </w:r>
          </w:p>
        </w:tc>
        <w:tc>
          <w:tcPr>
            <w:tcW w:w="128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0,93 (0,47)</w:t>
            </w:r>
          </w:p>
        </w:tc>
        <w:tc>
          <w:tcPr>
            <w:tcW w:w="150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1,42 (0,</w:t>
            </w:r>
            <w:proofErr w:type="gramStart"/>
            <w:r w:rsidRPr="002A1856">
              <w:t>28)*</w:t>
            </w:r>
            <w:proofErr w:type="gramEnd"/>
            <w:r w:rsidRPr="002A1856">
              <w:t>*</w:t>
            </w:r>
          </w:p>
        </w:tc>
      </w:tr>
      <w:tr w:rsidR="002A1856" w:rsidRPr="002A1856" w:rsidTr="00236324">
        <w:trPr>
          <w:trHeight w:val="321"/>
          <w:jc w:val="center"/>
        </w:trPr>
        <w:tc>
          <w:tcPr>
            <w:tcW w:w="1216"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rPr>
                <w:b/>
              </w:rPr>
            </w:pPr>
            <w:r w:rsidRPr="002A1856">
              <w:t>Måned 30</w:t>
            </w:r>
          </w:p>
        </w:tc>
        <w:tc>
          <w:tcPr>
            <w:tcW w:w="635"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206</w:t>
            </w:r>
          </w:p>
        </w:tc>
        <w:tc>
          <w:tcPr>
            <w:tcW w:w="12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4,95 (0,</w:t>
            </w:r>
            <w:proofErr w:type="gramStart"/>
            <w:r w:rsidRPr="002A1856">
              <w:t>77)*</w:t>
            </w:r>
            <w:proofErr w:type="gramEnd"/>
          </w:p>
        </w:tc>
        <w:tc>
          <w:tcPr>
            <w:tcW w:w="150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3,25 (0,67)</w:t>
            </w:r>
          </w:p>
        </w:tc>
        <w:tc>
          <w:tcPr>
            <w:tcW w:w="15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1,327 (0,2796)</w:t>
            </w:r>
          </w:p>
        </w:tc>
        <w:tc>
          <w:tcPr>
            <w:tcW w:w="128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0,79 (0,</w:t>
            </w:r>
            <w:proofErr w:type="gramStart"/>
            <w:r w:rsidRPr="002A1856">
              <w:t>38)*</w:t>
            </w:r>
            <w:proofErr w:type="gramEnd"/>
          </w:p>
        </w:tc>
        <w:tc>
          <w:tcPr>
            <w:tcW w:w="150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0,90 (0,</w:t>
            </w:r>
            <w:proofErr w:type="gramStart"/>
            <w:r w:rsidRPr="002A1856">
              <w:t>17)*</w:t>
            </w:r>
            <w:proofErr w:type="gramEnd"/>
          </w:p>
        </w:tc>
      </w:tr>
      <w:tr w:rsidR="002A1856" w:rsidRPr="002A1856" w:rsidTr="00236324">
        <w:trPr>
          <w:trHeight w:val="537"/>
          <w:jc w:val="center"/>
        </w:trPr>
        <w:tc>
          <w:tcPr>
            <w:tcW w:w="1216"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jc w:val="center"/>
              <w:rPr>
                <w:b/>
              </w:rPr>
            </w:pPr>
            <w:r w:rsidRPr="002A1856">
              <w:t>Måned 36/ET</w:t>
            </w:r>
          </w:p>
        </w:tc>
        <w:tc>
          <w:tcPr>
            <w:tcW w:w="635"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240</w:t>
            </w:r>
          </w:p>
        </w:tc>
        <w:tc>
          <w:tcPr>
            <w:tcW w:w="12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5,12 (0,86)</w:t>
            </w:r>
          </w:p>
        </w:tc>
        <w:tc>
          <w:tcPr>
            <w:tcW w:w="150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3,45 (0,81)</w:t>
            </w:r>
          </w:p>
        </w:tc>
        <w:tc>
          <w:tcPr>
            <w:tcW w:w="1551"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1,308 (0,2739)</w:t>
            </w:r>
          </w:p>
        </w:tc>
        <w:tc>
          <w:tcPr>
            <w:tcW w:w="128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0,78 (0,41)</w:t>
            </w:r>
          </w:p>
        </w:tc>
        <w:tc>
          <w:tcPr>
            <w:tcW w:w="1503" w:type="dxa"/>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b/>
              </w:rPr>
            </w:pPr>
            <w:r w:rsidRPr="002A1856">
              <w:t>0,93 (0,</w:t>
            </w:r>
            <w:proofErr w:type="gramStart"/>
            <w:r w:rsidRPr="002A1856">
              <w:t>20)*</w:t>
            </w:r>
            <w:proofErr w:type="gramEnd"/>
            <w:r w:rsidRPr="002A1856">
              <w:t>**</w:t>
            </w:r>
          </w:p>
        </w:tc>
      </w:tr>
      <w:tr w:rsidR="002A1856" w:rsidRPr="002A1856" w:rsidTr="00236324">
        <w:trPr>
          <w:trHeight w:val="1472"/>
          <w:jc w:val="center"/>
        </w:trPr>
        <w:tc>
          <w:tcPr>
            <w:tcW w:w="8943" w:type="dxa"/>
            <w:gridSpan w:val="7"/>
            <w:tcBorders>
              <w:top w:val="single" w:sz="4" w:space="0" w:color="auto"/>
              <w:left w:val="single" w:sz="4" w:space="0" w:color="auto"/>
              <w:bottom w:val="single" w:sz="4" w:space="0" w:color="auto"/>
              <w:right w:val="single" w:sz="4" w:space="0" w:color="auto"/>
            </w:tcBorders>
            <w:hideMark/>
          </w:tcPr>
          <w:p w:rsidR="002A1856" w:rsidRPr="002A1856" w:rsidRDefault="002A1856" w:rsidP="00236324">
            <w:pPr>
              <w:pStyle w:val="Paragraph"/>
              <w:keepNext/>
              <w:spacing w:after="120"/>
              <w:rPr>
                <w:lang w:val="da-DK"/>
              </w:rPr>
            </w:pPr>
            <w:r w:rsidRPr="002A1856">
              <w:rPr>
                <w:lang w:val="da-DK"/>
              </w:rPr>
              <w:t>LDL-C=</w:t>
            </w:r>
            <w:r w:rsidRPr="002A1856">
              <w:rPr>
                <w:i/>
                <w:lang w:val="da-DK"/>
              </w:rPr>
              <w:t>low density lipoprotein cholesterol-</w:t>
            </w:r>
            <w:r w:rsidRPr="002A1856">
              <w:rPr>
                <w:lang w:val="da-DK"/>
              </w:rPr>
              <w:t>C; HDL-C=</w:t>
            </w:r>
            <w:r w:rsidRPr="002A1856">
              <w:rPr>
                <w:i/>
                <w:lang w:val="da-DK"/>
              </w:rPr>
              <w:t>High density lipoprotein cholesterol-</w:t>
            </w:r>
            <w:r w:rsidRPr="002A1856">
              <w:rPr>
                <w:lang w:val="da-DK"/>
              </w:rPr>
              <w:t xml:space="preserve">C; Måned 36/ET= omfatter data for sidste besøg for patienter, der stoppede inden de planlagte 36 måneder såvel som data for patienter, der deltog i alle 36 måneder af det kliniske forsøg. ”*” =Måned 30 var N for denne parameter 207, ”**”= </w:t>
            </w:r>
            <w:r w:rsidRPr="002A1856">
              <w:rPr>
                <w:i/>
                <w:iCs/>
                <w:lang w:val="da-DK"/>
              </w:rPr>
              <w:t xml:space="preserve">Baseline var </w:t>
            </w:r>
            <w:r w:rsidRPr="002A1856">
              <w:rPr>
                <w:lang w:val="da-DK"/>
              </w:rPr>
              <w:t xml:space="preserve">N for denne parameter 270, ”***”= Måned 36/ET var N for denne parameter 243 </w:t>
            </w:r>
          </w:p>
        </w:tc>
      </w:tr>
    </w:tbl>
    <w:p w:rsidR="002A1856" w:rsidRPr="002A1856" w:rsidRDefault="002A1856" w:rsidP="002A1856">
      <w:pPr>
        <w:pStyle w:val="Style1"/>
        <w:ind w:left="851"/>
        <w:rPr>
          <w:lang w:eastAsia="da-DK"/>
        </w:rPr>
      </w:pPr>
    </w:p>
    <w:p w:rsidR="002A1856" w:rsidRPr="002A1856" w:rsidRDefault="002A1856" w:rsidP="002A1856">
      <w:pPr>
        <w:pStyle w:val="Style1"/>
        <w:widowControl/>
        <w:spacing w:line="240" w:lineRule="auto"/>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i/>
          <w:sz w:val="24"/>
          <w:szCs w:val="24"/>
          <w:u w:val="single"/>
          <w:lang w:val="da-DK" w:eastAsia="da-DK"/>
        </w:rPr>
      </w:pPr>
      <w:r w:rsidRPr="002A1856">
        <w:rPr>
          <w:rStyle w:val="FontStyle27"/>
          <w:i/>
          <w:sz w:val="24"/>
          <w:szCs w:val="24"/>
          <w:u w:val="single"/>
          <w:lang w:val="da-DK" w:eastAsia="da-DK"/>
        </w:rPr>
        <w:t>Heterozygot familiær hyperkolesterolæmi hos pædiatriske patienter i alderen 10-17 år</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I et dobbelt-blindet, placebokontrolleret klinisk forsøg efterfulgt af en periode med open-label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1 gang daglig i de første 4 uger og derefter titreret til 20 mg, hvis LDL-cholesterol var &gt; 3,36 mmol/l. Atorvastatin sænkede signifikant totalcholesterol, LDL-cholesterol, triglycerider og apolipoprotein B i de første 26 uger (dobbeltblindede fase). Gennemsnitlig LDL-cholesterol på 3,38 mmol/l (1,81-6,26 mmol/l) i atorvastatingruppen sammenlignet med 5,91 mmol/l (3,93-9,96 mmol/l) i placebogruppen blev nået i løbet af de første 26 uger (dobbelt-blindede fase).</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 xml:space="preserve">Yderligere et pædiatrisk forsøg sammenlignede atorvastatin med colestipol hos patienter i alderen 10-18 år med hyperkolesterolæmi. Dette forsøg viste, at atorvastatin (n=25) gav en signifikant reduktion af LDL-cholesterol ved uge 26 (p&lt;0,05) sammenlignet med colestipol (n=31). </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lastRenderedPageBreak/>
        <w:t>Et særligt klinisk program (”compassionate use”) med patienter med svær hyperkolesterolæmi (inklusive homozygot hyperkolesterolæmi) omfattede 46 pædiatriske patienter behandlet med atorvastatin titreret til respons (nogle patienter fik 80 mg atorvastatin daglig). Programmet kørte over 3 år. LDL-cholesterol blev sænket med 36 %.</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Langtidsvirkninger af atorvastatinbehandling hos børn og unge til reduktion af morbiditet og mortalitet i voksenalderen er ikke undersøgt.</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Det europæiske Lægemiddelagentur (EMA) har dispenseret fra kravet om fremlæggelse af resultaterne fra studier med atorvastatin hos børn i alderen 0-6 år til behandling af heterozygot hyperkolesterolæmi og hos børn i alderen 0-18 år til behandling af homozygot familiær hyperkolesterolæmi, kombineret hyperkolesterolæmi, primær hyperkolesterolæmi og til forebyggelse af kardiovaskulære hændelser (se pkt. 4.2 for information om pædiatrisk anvendelse).</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5.2</w:t>
      </w:r>
      <w:r w:rsidRPr="002A1856">
        <w:rPr>
          <w:b/>
          <w:sz w:val="24"/>
          <w:szCs w:val="24"/>
        </w:rPr>
        <w:tab/>
        <w:t>Farmakokinetiske egenskaber</w:t>
      </w:r>
    </w:p>
    <w:p w:rsidR="002A1856" w:rsidRPr="002A1856" w:rsidRDefault="002A1856" w:rsidP="002A1856">
      <w:pPr>
        <w:pStyle w:val="Style2"/>
        <w:widowControl/>
        <w:spacing w:line="240" w:lineRule="auto"/>
        <w:ind w:left="851"/>
        <w:jc w:val="left"/>
        <w:rPr>
          <w:rStyle w:val="FontStyle27"/>
          <w:sz w:val="24"/>
          <w:szCs w:val="24"/>
          <w:u w:val="single"/>
          <w:lang w:val="da-DK"/>
        </w:rPr>
      </w:pPr>
      <w:r w:rsidRPr="002A1856">
        <w:rPr>
          <w:rStyle w:val="FontStyle27"/>
          <w:sz w:val="24"/>
          <w:szCs w:val="24"/>
          <w:u w:val="single"/>
          <w:lang w:val="da-DK" w:eastAsia="da-DK"/>
        </w:rPr>
        <w:t>Absorption</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Atorvastatin absorberes hurtigt efter oral indgift; maksimal plamakoncentration (C</w:t>
      </w:r>
      <w:r w:rsidRPr="002A1856">
        <w:rPr>
          <w:rStyle w:val="FontStyle27"/>
          <w:sz w:val="24"/>
          <w:szCs w:val="24"/>
          <w:vertAlign w:val="subscript"/>
          <w:lang w:val="da-DK" w:eastAsia="da-DK"/>
        </w:rPr>
        <w:t>max</w:t>
      </w:r>
      <w:r w:rsidRPr="002A1856">
        <w:rPr>
          <w:rStyle w:val="FontStyle27"/>
          <w:sz w:val="24"/>
          <w:szCs w:val="24"/>
          <w:lang w:val="da-DK" w:eastAsia="da-DK"/>
        </w:rPr>
        <w:t>) nås 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gastrointestinal</w:t>
      </w:r>
      <w:r w:rsidRPr="002A1856">
        <w:rPr>
          <w:rStyle w:val="FontStyle27"/>
          <w:sz w:val="24"/>
          <w:szCs w:val="24"/>
          <w:lang w:val="da-DK" w:eastAsia="da-DK"/>
        </w:rPr>
        <w:softHyphen/>
        <w:t>slimhinden og/eller first-pass metabolisme i leveren.</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pStyle w:val="Style2"/>
        <w:widowControl/>
        <w:spacing w:line="240" w:lineRule="auto"/>
        <w:ind w:left="851"/>
        <w:jc w:val="left"/>
        <w:rPr>
          <w:rStyle w:val="FontStyle27"/>
          <w:sz w:val="24"/>
          <w:szCs w:val="24"/>
          <w:u w:val="single"/>
          <w:lang w:val="da-DK" w:eastAsia="da-DK"/>
        </w:rPr>
      </w:pPr>
      <w:r w:rsidRPr="002A1856">
        <w:rPr>
          <w:rStyle w:val="FontStyle27"/>
          <w:sz w:val="24"/>
          <w:szCs w:val="24"/>
          <w:u w:val="single"/>
          <w:lang w:val="da-DK" w:eastAsia="da-DK"/>
        </w:rPr>
        <w:t>Fordeling</w:t>
      </w:r>
    </w:p>
    <w:p w:rsidR="002A1856" w:rsidRPr="002A1856" w:rsidRDefault="002A1856" w:rsidP="002A1856">
      <w:pPr>
        <w:pStyle w:val="Style1"/>
        <w:widowControl/>
        <w:spacing w:line="240" w:lineRule="auto"/>
        <w:ind w:left="851"/>
      </w:pPr>
      <w:r w:rsidRPr="002A1856">
        <w:rPr>
          <w:rStyle w:val="FontStyle27"/>
          <w:sz w:val="24"/>
          <w:szCs w:val="24"/>
          <w:lang w:val="da-DK" w:eastAsia="da-DK"/>
        </w:rPr>
        <w:t>Atorvastatins gennemsnitlige fordelingsvolumen er ca. 381 l. Atorvastatin er bundet ≥98 % til plasmaproteiner.</w:t>
      </w:r>
    </w:p>
    <w:p w:rsidR="002A1856" w:rsidRPr="002A1856" w:rsidRDefault="002A1856" w:rsidP="002A1856">
      <w:pPr>
        <w:pStyle w:val="Style2"/>
        <w:widowControl/>
        <w:spacing w:line="240" w:lineRule="auto"/>
        <w:jc w:val="left"/>
      </w:pPr>
    </w:p>
    <w:p w:rsidR="002A1856" w:rsidRPr="002A1856" w:rsidRDefault="002A1856" w:rsidP="002A1856">
      <w:pPr>
        <w:pStyle w:val="Style2"/>
        <w:widowControl/>
        <w:spacing w:line="240" w:lineRule="auto"/>
        <w:ind w:left="851"/>
        <w:jc w:val="left"/>
        <w:rPr>
          <w:rStyle w:val="FontStyle27"/>
          <w:sz w:val="24"/>
          <w:szCs w:val="24"/>
          <w:u w:val="single"/>
          <w:lang w:eastAsia="da-DK"/>
        </w:rPr>
      </w:pPr>
      <w:r w:rsidRPr="002A1856">
        <w:rPr>
          <w:rStyle w:val="FontStyle27"/>
          <w:sz w:val="24"/>
          <w:szCs w:val="24"/>
          <w:u w:val="single"/>
          <w:lang w:val="da-DK" w:eastAsia="da-DK"/>
        </w:rPr>
        <w:t>Biotransformation</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 xml:space="preserve">Atorvastatin metaboliseres via cytokrom P450 3A4 til orto- og parahydroxylerede derivater og forskellige beta-oxidationsprodukter. Uafhængigt af andre omsætningsveje metaboliseres disse produkter yderligere via glukuronidering. </w:t>
      </w:r>
      <w:r w:rsidRPr="002A1856">
        <w:rPr>
          <w:rStyle w:val="FontStyle26"/>
          <w:sz w:val="24"/>
          <w:szCs w:val="24"/>
          <w:lang w:val="da-DK" w:eastAsia="da-DK"/>
        </w:rPr>
        <w:t xml:space="preserve">In vitro </w:t>
      </w:r>
      <w:r w:rsidRPr="002A1856">
        <w:rPr>
          <w:rStyle w:val="FontStyle27"/>
          <w:sz w:val="24"/>
          <w:szCs w:val="24"/>
          <w:lang w:val="da-DK" w:eastAsia="da-DK"/>
        </w:rPr>
        <w:t>hæmmer ortho- og parahydroxylerede metabolitter HMG-CoA-reduktase i samme grad som atorvastatin. Ca. 70 % af hæmningen af HMG-CoA-reduktase tilskrives aktive metabolitter.</w:t>
      </w:r>
    </w:p>
    <w:p w:rsidR="002A1856" w:rsidRPr="002A1856" w:rsidRDefault="002A1856" w:rsidP="002A1856">
      <w:pPr>
        <w:pStyle w:val="Style2"/>
        <w:widowControl/>
        <w:spacing w:line="240" w:lineRule="auto"/>
        <w:ind w:left="851" w:hanging="851"/>
        <w:jc w:val="left"/>
      </w:pPr>
    </w:p>
    <w:p w:rsidR="002A1856" w:rsidRPr="002A1856" w:rsidRDefault="002A1856" w:rsidP="002A1856">
      <w:pPr>
        <w:pStyle w:val="Style2"/>
        <w:widowControl/>
        <w:spacing w:line="240" w:lineRule="auto"/>
        <w:ind w:left="851"/>
        <w:jc w:val="left"/>
        <w:rPr>
          <w:rStyle w:val="FontStyle27"/>
          <w:sz w:val="24"/>
          <w:szCs w:val="24"/>
          <w:u w:val="single"/>
          <w:lang w:eastAsia="da-DK"/>
        </w:rPr>
      </w:pPr>
      <w:r w:rsidRPr="002A1856">
        <w:rPr>
          <w:rStyle w:val="FontStyle27"/>
          <w:sz w:val="24"/>
          <w:szCs w:val="24"/>
          <w:u w:val="single"/>
          <w:lang w:val="da-DK" w:eastAsia="da-DK"/>
        </w:rPr>
        <w:t>Elimination</w:t>
      </w: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7"/>
          <w:sz w:val="24"/>
          <w:szCs w:val="24"/>
          <w:lang w:val="da-DK" w:eastAsia="da-DK"/>
        </w:rPr>
        <w:t>Atorvastatin udskilles primært i galden efter metabolisering i eller uden for leveren. Lægemidlet undergår imidlertid ikke signifikant enterohepatisk recirkulation. Den gennemsnitlige plasma-halveringstid hos mennesker er ca. 14 timer. Halveringstiden for den hæmmende aktivitet over for HMG-CoA-reduktase er ca. 20-30 timer på grund af aktive metabolitter.</w:t>
      </w:r>
    </w:p>
    <w:p w:rsidR="002A1856" w:rsidRPr="002A1856" w:rsidRDefault="002A1856" w:rsidP="002A1856">
      <w:pPr>
        <w:pStyle w:val="Style1"/>
        <w:widowControl/>
        <w:spacing w:line="240" w:lineRule="auto"/>
        <w:ind w:left="851"/>
        <w:rPr>
          <w:rStyle w:val="FontStyle27"/>
          <w:sz w:val="24"/>
          <w:szCs w:val="24"/>
          <w:lang w:val="da-DK" w:eastAsia="da-DK"/>
        </w:rPr>
      </w:pPr>
    </w:p>
    <w:p w:rsidR="002A1856" w:rsidRPr="002A1856" w:rsidRDefault="002A1856" w:rsidP="002A1856">
      <w:pPr>
        <w:pStyle w:val="Style1"/>
        <w:ind w:left="851"/>
        <w:rPr>
          <w:rStyle w:val="FontStyle27"/>
          <w:sz w:val="24"/>
          <w:szCs w:val="24"/>
          <w:lang w:val="da-DK"/>
        </w:rPr>
      </w:pPr>
      <w:r w:rsidRPr="002A1856">
        <w:rPr>
          <w:rStyle w:val="FontStyle27"/>
          <w:sz w:val="24"/>
          <w:szCs w:val="24"/>
          <w:lang w:val="da-DK" w:eastAsia="da-DK"/>
        </w:rPr>
        <w:t>Atorvastatin er substrat for levertransportørerne, det organiske aniontransporterende polypeptid 1B1 (OATP1B1) og 1B3 (OATP1B</w:t>
      </w:r>
      <w:proofErr w:type="gramStart"/>
      <w:r w:rsidRPr="002A1856">
        <w:rPr>
          <w:rStyle w:val="FontStyle27"/>
          <w:sz w:val="24"/>
          <w:szCs w:val="24"/>
          <w:lang w:val="da-DK" w:eastAsia="da-DK"/>
        </w:rPr>
        <w:t>3)-</w:t>
      </w:r>
      <w:proofErr w:type="gramEnd"/>
      <w:r w:rsidRPr="002A1856">
        <w:rPr>
          <w:rStyle w:val="FontStyle27"/>
          <w:sz w:val="24"/>
          <w:szCs w:val="24"/>
          <w:lang w:val="da-DK" w:eastAsia="da-DK"/>
        </w:rPr>
        <w:t>transportøren. Metabolitter af atorvastatin er substrater for OATP1B1. Atorvastatin er også identificeret som substrat for efflux transportører P-glycoprotein (P-gp) og BCRP (breast cancer resistance protein), der kan begrænse den intestinale absorption og den biliære clearance af atorvastatin.</w:t>
      </w:r>
    </w:p>
    <w:p w:rsidR="002A1856" w:rsidRPr="002A1856" w:rsidRDefault="002A1856" w:rsidP="002A1856">
      <w:pPr>
        <w:pStyle w:val="Style2"/>
        <w:widowControl/>
        <w:spacing w:line="240" w:lineRule="auto"/>
        <w:ind w:left="851" w:hanging="851"/>
        <w:jc w:val="left"/>
        <w:rPr>
          <w:lang w:val="da-DK"/>
        </w:rPr>
      </w:pPr>
    </w:p>
    <w:p w:rsidR="002A1856" w:rsidRPr="002A1856" w:rsidRDefault="002A1856" w:rsidP="002A1856">
      <w:pPr>
        <w:pStyle w:val="Style2"/>
        <w:widowControl/>
        <w:spacing w:line="240" w:lineRule="auto"/>
        <w:ind w:left="851"/>
        <w:jc w:val="left"/>
        <w:rPr>
          <w:rStyle w:val="FontStyle27"/>
          <w:sz w:val="24"/>
          <w:szCs w:val="24"/>
          <w:u w:val="single"/>
          <w:lang w:eastAsia="da-DK"/>
        </w:rPr>
      </w:pPr>
      <w:r w:rsidRPr="002A1856">
        <w:rPr>
          <w:rStyle w:val="FontStyle27"/>
          <w:sz w:val="24"/>
          <w:szCs w:val="24"/>
          <w:u w:val="single"/>
          <w:lang w:val="da-DK" w:eastAsia="da-DK"/>
        </w:rPr>
        <w:t>Særlige patientgrupper</w:t>
      </w:r>
    </w:p>
    <w:p w:rsidR="002A1856" w:rsidRPr="002A1856" w:rsidRDefault="002A1856" w:rsidP="002A1856">
      <w:pPr>
        <w:pStyle w:val="Style2"/>
        <w:widowControl/>
        <w:spacing w:line="240" w:lineRule="auto"/>
        <w:ind w:left="851" w:hanging="851"/>
        <w:jc w:val="left"/>
        <w:rPr>
          <w:rStyle w:val="FontStyle27"/>
          <w:sz w:val="24"/>
          <w:szCs w:val="24"/>
          <w:u w:val="single"/>
          <w:lang w:val="da-DK" w:eastAsia="da-DK"/>
        </w:rPr>
      </w:pPr>
    </w:p>
    <w:p w:rsidR="002A1856" w:rsidRPr="002A1856" w:rsidRDefault="002A1856" w:rsidP="002A1856">
      <w:pPr>
        <w:pStyle w:val="Style1"/>
        <w:widowControl/>
        <w:spacing w:line="240" w:lineRule="auto"/>
        <w:ind w:left="851"/>
        <w:rPr>
          <w:rStyle w:val="FontStyle27"/>
          <w:sz w:val="24"/>
          <w:szCs w:val="24"/>
          <w:lang w:val="da-DK" w:eastAsia="da-DK"/>
        </w:rPr>
      </w:pPr>
      <w:r w:rsidRPr="002A1856">
        <w:rPr>
          <w:rStyle w:val="FontStyle26"/>
          <w:sz w:val="24"/>
          <w:szCs w:val="24"/>
          <w:u w:val="single"/>
          <w:lang w:val="da-DK" w:eastAsia="da-DK"/>
        </w:rPr>
        <w:lastRenderedPageBreak/>
        <w:t>Ældre</w:t>
      </w:r>
      <w:r w:rsidRPr="002A1856">
        <w:rPr>
          <w:rStyle w:val="FontStyle26"/>
          <w:sz w:val="24"/>
          <w:szCs w:val="24"/>
          <w:u w:val="single"/>
          <w:lang w:val="da-DK" w:eastAsia="da-DK"/>
        </w:rPr>
        <w:br/>
      </w:r>
      <w:r w:rsidRPr="002A1856">
        <w:rPr>
          <w:rStyle w:val="FontStyle27"/>
          <w:sz w:val="24"/>
          <w:szCs w:val="24"/>
          <w:lang w:val="da-DK" w:eastAsia="da-DK"/>
        </w:rPr>
        <w:t>Plasmakoncentrationerne af atorvastatin og dets aktive metabolitter er højere hos raske ældre end hos yngre, mens virkningen på lipiderne er sammenlignelig med den, som ses hos yngre patientgrupper.</w:t>
      </w:r>
    </w:p>
    <w:p w:rsidR="002A1856" w:rsidRPr="002A1856" w:rsidRDefault="002A1856" w:rsidP="002A1856">
      <w:pPr>
        <w:pStyle w:val="Style1"/>
        <w:widowControl/>
        <w:spacing w:line="240" w:lineRule="auto"/>
        <w:ind w:left="851" w:hanging="851"/>
        <w:rPr>
          <w:rStyle w:val="FontStyle27"/>
          <w:sz w:val="24"/>
          <w:szCs w:val="24"/>
          <w:lang w:val="da-DK" w:eastAsia="da-DK"/>
        </w:rPr>
      </w:pPr>
    </w:p>
    <w:p w:rsidR="002A1856" w:rsidRPr="002A1856" w:rsidRDefault="002A1856" w:rsidP="002A1856">
      <w:pPr>
        <w:ind w:left="851"/>
        <w:rPr>
          <w:rStyle w:val="FontStyle27"/>
          <w:sz w:val="24"/>
          <w:szCs w:val="24"/>
          <w:lang w:eastAsia="da-DK"/>
        </w:rPr>
      </w:pPr>
      <w:r w:rsidRPr="002A1856">
        <w:rPr>
          <w:rStyle w:val="FontStyle26"/>
          <w:sz w:val="24"/>
          <w:szCs w:val="24"/>
          <w:u w:val="single"/>
          <w:lang w:eastAsia="da-DK"/>
        </w:rPr>
        <w:t>Pædiatrisk population</w:t>
      </w:r>
      <w:r w:rsidRPr="002A1856">
        <w:rPr>
          <w:rStyle w:val="FontStyle26"/>
          <w:sz w:val="24"/>
          <w:szCs w:val="24"/>
          <w:lang w:eastAsia="da-DK"/>
        </w:rPr>
        <w:t xml:space="preserve"> </w:t>
      </w:r>
      <w:r w:rsidRPr="002A1856">
        <w:rPr>
          <w:rStyle w:val="FontStyle26"/>
          <w:sz w:val="24"/>
          <w:szCs w:val="24"/>
          <w:lang w:eastAsia="da-DK"/>
        </w:rPr>
        <w:br/>
      </w:r>
      <w:r w:rsidRPr="002A1856">
        <w:rPr>
          <w:rStyle w:val="FontStyle27"/>
          <w:sz w:val="24"/>
          <w:szCs w:val="24"/>
          <w:lang w:eastAsia="da-DK"/>
        </w:rPr>
        <w:t>I et 8-ugers, open-label klinisk forsøg blev børn i alderen 6-17 år og i Tanner-stadie 1 (n=15) eller Tanner-stadie ≥ 2 (n=24) med heterozygot familiær hyperkolesterolæmi og baseline LDL-cholesterol ≥ 4 mmol/l behandlet med hhv. 5 mg eller 10 mg tyggetabletter eller 10 mg eller 20 mg filmovertrukne tabletter 1 gang daglig. Legemsvægt var den eneste signifikante covariant i den farmakokinetiske model for atorvastatinpopulationen. Den tilsyneladende clearance efter oral administration var sammenlignelig med voksnes efter korrektion for legemsvægt ved allometrisk skalering. Tilsvarende hermed sås fald i LDL-cholesterol og total-cholesterol i forhold til atorvastatin- og ohydroxyatorvastatin- niveauer.</w:t>
      </w:r>
    </w:p>
    <w:p w:rsidR="002A1856" w:rsidRPr="002A1856" w:rsidRDefault="002A1856" w:rsidP="002A1856">
      <w:pPr>
        <w:pStyle w:val="Style1"/>
        <w:widowControl/>
        <w:spacing w:line="240" w:lineRule="auto"/>
        <w:ind w:left="851" w:hanging="851"/>
        <w:rPr>
          <w:lang w:val="da-DK"/>
        </w:rPr>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6"/>
          <w:sz w:val="24"/>
          <w:szCs w:val="24"/>
          <w:u w:val="single"/>
          <w:lang w:val="da-DK" w:eastAsia="da-DK"/>
        </w:rPr>
        <w:t>Køn</w:t>
      </w:r>
      <w:r w:rsidRPr="002A1856">
        <w:rPr>
          <w:rStyle w:val="FontStyle26"/>
          <w:sz w:val="24"/>
          <w:szCs w:val="24"/>
          <w:u w:val="single"/>
          <w:lang w:val="da-DK" w:eastAsia="da-DK"/>
        </w:rPr>
        <w:br/>
      </w:r>
      <w:r w:rsidRPr="002A1856">
        <w:rPr>
          <w:rStyle w:val="FontStyle27"/>
          <w:sz w:val="24"/>
          <w:szCs w:val="24"/>
          <w:lang w:val="da-DK" w:eastAsia="da-DK"/>
        </w:rPr>
        <w:t>Koncentrationen af atorvastatin og dets aktive metabolitter hos kvinder afviger (C</w:t>
      </w:r>
      <w:r w:rsidRPr="002A1856">
        <w:rPr>
          <w:rStyle w:val="FontStyle27"/>
          <w:sz w:val="24"/>
          <w:szCs w:val="24"/>
          <w:vertAlign w:val="subscript"/>
          <w:lang w:val="da-DK" w:eastAsia="da-DK"/>
        </w:rPr>
        <w:t>max</w:t>
      </w:r>
      <w:r w:rsidRPr="002A1856">
        <w:rPr>
          <w:rStyle w:val="FontStyle27"/>
          <w:sz w:val="24"/>
          <w:szCs w:val="24"/>
          <w:lang w:val="da-DK" w:eastAsia="da-DK"/>
        </w:rPr>
        <w:t xml:space="preserve"> ca. 20 % højere og AUC ca. 10 % lavere) fra koncentrationerne hos mænd. Disse forskelle havde ingen klinisk betydning og resulterede ikke i nogen klinisk signifikante forskelle i den lipidregulerende virkning mellem kønnene.</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6"/>
          <w:sz w:val="24"/>
          <w:szCs w:val="24"/>
          <w:u w:val="single"/>
          <w:lang w:val="da-DK" w:eastAsia="da-DK"/>
        </w:rPr>
        <w:t>Nyreinsufficiens</w:t>
      </w:r>
      <w:r w:rsidRPr="002A1856">
        <w:rPr>
          <w:rStyle w:val="FontStyle26"/>
          <w:sz w:val="24"/>
          <w:szCs w:val="24"/>
          <w:u w:val="single"/>
          <w:lang w:val="da-DK" w:eastAsia="da-DK"/>
        </w:rPr>
        <w:br/>
      </w:r>
      <w:r w:rsidRPr="002A1856">
        <w:rPr>
          <w:rStyle w:val="FontStyle27"/>
          <w:sz w:val="24"/>
          <w:szCs w:val="24"/>
          <w:lang w:val="da-DK" w:eastAsia="da-DK"/>
        </w:rPr>
        <w:t>Nyresygdomme har ingen indflydelse på plasmakoncentrationerne af atorvastatin eller dets aktive metabolitter eller på deres effekt på lipiderne.</w:t>
      </w:r>
    </w:p>
    <w:p w:rsidR="002A1856" w:rsidRPr="002A1856" w:rsidRDefault="002A1856" w:rsidP="002A1856">
      <w:pPr>
        <w:pStyle w:val="Style1"/>
        <w:widowControl/>
        <w:spacing w:line="240" w:lineRule="auto"/>
        <w:ind w:left="851" w:hanging="851"/>
      </w:pPr>
    </w:p>
    <w:p w:rsidR="002A1856" w:rsidRPr="002A1856" w:rsidRDefault="002A1856" w:rsidP="002A1856">
      <w:pPr>
        <w:pStyle w:val="Style1"/>
        <w:widowControl/>
        <w:spacing w:line="240" w:lineRule="auto"/>
        <w:ind w:left="851"/>
        <w:rPr>
          <w:rStyle w:val="FontStyle27"/>
          <w:sz w:val="24"/>
          <w:szCs w:val="24"/>
          <w:lang w:eastAsia="da-DK"/>
        </w:rPr>
      </w:pPr>
      <w:r w:rsidRPr="002A1856">
        <w:rPr>
          <w:rStyle w:val="FontStyle26"/>
          <w:sz w:val="24"/>
          <w:szCs w:val="24"/>
          <w:u w:val="single"/>
          <w:lang w:val="da-DK" w:eastAsia="da-DK"/>
        </w:rPr>
        <w:t>Leverinsufficiens</w:t>
      </w:r>
      <w:r w:rsidRPr="002A1856">
        <w:rPr>
          <w:rStyle w:val="FontStyle27"/>
          <w:sz w:val="24"/>
          <w:szCs w:val="24"/>
          <w:lang w:val="da-DK" w:eastAsia="da-DK"/>
        </w:rPr>
        <w:br/>
        <w:t>Plasmakoncentrationerne af atorvastatin og dets aktive metabolitter er markant forhøjede (C</w:t>
      </w:r>
      <w:r w:rsidRPr="002A1856">
        <w:rPr>
          <w:rStyle w:val="FontStyle27"/>
          <w:sz w:val="24"/>
          <w:szCs w:val="24"/>
          <w:vertAlign w:val="subscript"/>
          <w:lang w:val="da-DK" w:eastAsia="da-DK"/>
        </w:rPr>
        <w:t>max</w:t>
      </w:r>
      <w:r w:rsidRPr="002A1856">
        <w:rPr>
          <w:rStyle w:val="FontStyle27"/>
          <w:sz w:val="24"/>
          <w:szCs w:val="24"/>
          <w:lang w:val="da-DK" w:eastAsia="da-DK"/>
        </w:rPr>
        <w:t xml:space="preserve"> ca. 16 gange og AUC ca. 11 gange) hos patienter med kronisk alkoholisk leversygdom (Child-Pugh B).</w:t>
      </w:r>
    </w:p>
    <w:p w:rsidR="002A1856" w:rsidRPr="002A1856" w:rsidRDefault="002A1856" w:rsidP="002A1856">
      <w:pPr>
        <w:pStyle w:val="Style1"/>
        <w:widowControl/>
        <w:spacing w:line="240" w:lineRule="auto"/>
        <w:ind w:left="851" w:hanging="851"/>
      </w:pPr>
    </w:p>
    <w:p w:rsidR="002A1856" w:rsidRPr="002A1856" w:rsidRDefault="002A1856" w:rsidP="002A1856">
      <w:pPr>
        <w:ind w:left="851"/>
        <w:rPr>
          <w:sz w:val="24"/>
          <w:szCs w:val="24"/>
        </w:rPr>
      </w:pPr>
      <w:r w:rsidRPr="002A1856">
        <w:rPr>
          <w:rStyle w:val="FontStyle26"/>
          <w:sz w:val="24"/>
          <w:szCs w:val="24"/>
          <w:u w:val="single"/>
          <w:lang w:eastAsia="da-DK"/>
        </w:rPr>
        <w:t>SLCOlBl-polymorfisme</w:t>
      </w:r>
      <w:r w:rsidRPr="002A1856">
        <w:rPr>
          <w:rStyle w:val="FontStyle26"/>
          <w:sz w:val="24"/>
          <w:szCs w:val="24"/>
          <w:u w:val="single"/>
          <w:lang w:eastAsia="da-DK"/>
        </w:rPr>
        <w:br/>
      </w:r>
      <w:r w:rsidRPr="002A1856">
        <w:rPr>
          <w:rStyle w:val="FontStyle27"/>
          <w:sz w:val="24"/>
          <w:szCs w:val="24"/>
          <w:lang w:eastAsia="da-DK"/>
        </w:rPr>
        <w:t>Hepatisk optagelse af alle HMG-CoA-reduktasehæmmere, herunder atorvastatin, involverer OATP1B1-transportproteinet. Hos patienter med SLCO1B1-polymorfisme er der en risiko for forhøjede koncentrationer af atorvastatin, der kan medføre en øget risiko for rabdomyolyse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5.3</w:t>
      </w:r>
      <w:r w:rsidRPr="002A1856">
        <w:rPr>
          <w:b/>
          <w:sz w:val="24"/>
          <w:szCs w:val="24"/>
        </w:rPr>
        <w:tab/>
        <w:t>Non-kliniske sikkerhedsdata</w:t>
      </w:r>
    </w:p>
    <w:p w:rsidR="002A1856" w:rsidRPr="002A1856" w:rsidRDefault="002A1856" w:rsidP="002A1856">
      <w:pPr>
        <w:pStyle w:val="Style1"/>
        <w:widowControl/>
        <w:spacing w:line="240" w:lineRule="auto"/>
        <w:ind w:left="851"/>
        <w:rPr>
          <w:rStyle w:val="FontStyle27"/>
          <w:color w:val="000000" w:themeColor="text1"/>
          <w:sz w:val="24"/>
          <w:szCs w:val="24"/>
          <w:lang w:val="da-DK"/>
        </w:rPr>
      </w:pPr>
      <w:r w:rsidRPr="002A1856">
        <w:rPr>
          <w:rStyle w:val="FontStyle27"/>
          <w:color w:val="000000" w:themeColor="text1"/>
          <w:sz w:val="24"/>
          <w:szCs w:val="24"/>
          <w:lang w:val="da-DK" w:eastAsia="da-DK"/>
        </w:rPr>
        <w:t xml:space="preserve">Atorvastatin viste ikke mutagent eller klastogent potentiale i et batteri af 4 </w:t>
      </w:r>
      <w:r w:rsidRPr="002A1856">
        <w:rPr>
          <w:rStyle w:val="FontStyle26"/>
          <w:color w:val="000000" w:themeColor="text1"/>
          <w:sz w:val="24"/>
          <w:szCs w:val="24"/>
          <w:lang w:val="da-DK" w:eastAsia="da-DK"/>
        </w:rPr>
        <w:t xml:space="preserve">in vitro </w:t>
      </w:r>
      <w:r w:rsidRPr="002A1856">
        <w:rPr>
          <w:rStyle w:val="FontStyle27"/>
          <w:color w:val="000000" w:themeColor="text1"/>
          <w:sz w:val="24"/>
          <w:szCs w:val="24"/>
          <w:lang w:val="da-DK" w:eastAsia="da-DK"/>
        </w:rPr>
        <w:t xml:space="preserve">tests og 1 </w:t>
      </w:r>
      <w:r w:rsidRPr="002A1856">
        <w:rPr>
          <w:rStyle w:val="FontStyle26"/>
          <w:color w:val="000000" w:themeColor="text1"/>
          <w:sz w:val="24"/>
          <w:szCs w:val="24"/>
          <w:lang w:val="da-DK" w:eastAsia="da-DK"/>
        </w:rPr>
        <w:t xml:space="preserve">in vivo </w:t>
      </w:r>
      <w:r w:rsidRPr="002A1856">
        <w:rPr>
          <w:rStyle w:val="FontStyle27"/>
          <w:color w:val="000000" w:themeColor="text1"/>
          <w:sz w:val="24"/>
          <w:szCs w:val="24"/>
          <w:lang w:val="da-DK" w:eastAsia="da-DK"/>
        </w:rPr>
        <w:t>undersøgelse. Atorvastatin var ikke karcinogent hos rotter, men høje doser hos mus (resulterende i en 6-11 gange så høj AUC</w:t>
      </w:r>
      <w:r w:rsidRPr="002A1856">
        <w:rPr>
          <w:rStyle w:val="FontStyle25"/>
          <w:color w:val="000000" w:themeColor="text1"/>
          <w:sz w:val="24"/>
          <w:szCs w:val="24"/>
          <w:vertAlign w:val="subscript"/>
          <w:lang w:val="da-DK" w:eastAsia="da-DK"/>
        </w:rPr>
        <w:t>0-24t</w:t>
      </w:r>
      <w:r w:rsidRPr="002A1856">
        <w:rPr>
          <w:rStyle w:val="FontStyle25"/>
          <w:color w:val="000000" w:themeColor="text1"/>
          <w:sz w:val="24"/>
          <w:szCs w:val="24"/>
          <w:lang w:val="da-DK" w:eastAsia="da-DK"/>
        </w:rPr>
        <w:t xml:space="preserve">, </w:t>
      </w:r>
      <w:r w:rsidRPr="002A1856">
        <w:rPr>
          <w:rStyle w:val="FontStyle27"/>
          <w:color w:val="000000" w:themeColor="text1"/>
          <w:sz w:val="24"/>
          <w:szCs w:val="24"/>
          <w:lang w:val="da-DK" w:eastAsia="da-DK"/>
        </w:rPr>
        <w:t xml:space="preserve">som der ses hos mennesker ved maksimale doser) viste hepatocellulære adenomer hos hanner og hepatocellulære karcinomer hos hunner. </w:t>
      </w:r>
    </w:p>
    <w:p w:rsidR="002A1856" w:rsidRPr="002A1856" w:rsidRDefault="002A1856" w:rsidP="002A1856">
      <w:pPr>
        <w:pStyle w:val="Style1"/>
        <w:widowControl/>
        <w:spacing w:line="240" w:lineRule="auto"/>
        <w:ind w:left="851" w:hanging="851"/>
        <w:rPr>
          <w:rStyle w:val="FontStyle27"/>
          <w:color w:val="000000" w:themeColor="text1"/>
          <w:sz w:val="24"/>
          <w:szCs w:val="24"/>
          <w:lang w:val="da-DK" w:eastAsia="da-DK"/>
        </w:rPr>
      </w:pPr>
    </w:p>
    <w:p w:rsidR="002A1856" w:rsidRPr="002A1856" w:rsidRDefault="002A1856" w:rsidP="002A1856">
      <w:pPr>
        <w:pStyle w:val="Style1"/>
        <w:widowControl/>
        <w:spacing w:line="240" w:lineRule="auto"/>
        <w:ind w:left="851"/>
      </w:pPr>
      <w:r w:rsidRPr="002A1856">
        <w:rPr>
          <w:rStyle w:val="FontStyle27"/>
          <w:color w:val="000000" w:themeColor="text1"/>
          <w:sz w:val="24"/>
          <w:szCs w:val="24"/>
          <w:lang w:val="da-DK" w:eastAsia="da-DK"/>
        </w:rPr>
        <w:t xml:space="preserve">Dyreforsøg har vist, at HMG-CoA-reduktasehæmmere kan påvirke udviklingen af embryoner eller fostre. Hos rotter, kaniner og hunde havde atorvastatin ingen effekt på fertiliteten og var ikke teratogent, dog blev der set fatal toksicitet hos rotter og kaniner ved </w:t>
      </w:r>
      <w:r w:rsidRPr="002A1856">
        <w:rPr>
          <w:rStyle w:val="FontStyle27"/>
          <w:color w:val="000000" w:themeColor="text1"/>
          <w:sz w:val="24"/>
          <w:szCs w:val="24"/>
          <w:lang w:val="da-DK" w:eastAsia="da-DK"/>
        </w:rPr>
        <w:lastRenderedPageBreak/>
        <w:t>doser, der var toksiske for moderdyret. Rotteafkom udviste forsinket udvikling, og den post-natal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w:t>
      </w:r>
      <w:r w:rsidRPr="002A1856">
        <w:rPr>
          <w:b/>
          <w:sz w:val="24"/>
          <w:szCs w:val="24"/>
        </w:rPr>
        <w:tab/>
        <w:t>FARMACEUTISKE OPLYSNINGER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6.1</w:t>
      </w:r>
      <w:r w:rsidRPr="002A1856">
        <w:rPr>
          <w:b/>
          <w:sz w:val="24"/>
          <w:szCs w:val="24"/>
        </w:rPr>
        <w:tab/>
        <w:t>Hjælpestoffer</w:t>
      </w:r>
    </w:p>
    <w:p w:rsidR="002A1856" w:rsidRPr="002A1856" w:rsidRDefault="002A1856" w:rsidP="002A1856">
      <w:pPr>
        <w:pStyle w:val="Style3"/>
        <w:widowControl/>
        <w:ind w:left="851"/>
        <w:rPr>
          <w:rStyle w:val="FontStyle28"/>
          <w:b w:val="0"/>
          <w:sz w:val="24"/>
          <w:szCs w:val="24"/>
          <w:u w:val="single"/>
          <w:lang w:val="da-DK"/>
        </w:rPr>
      </w:pPr>
      <w:r w:rsidRPr="002A1856">
        <w:rPr>
          <w:rStyle w:val="FontStyle28"/>
          <w:b w:val="0"/>
          <w:sz w:val="24"/>
          <w:szCs w:val="24"/>
          <w:u w:val="single"/>
          <w:lang w:val="da-DK"/>
        </w:rPr>
        <w:t>Tabletkerne</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Lactosemonohydrat</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Cellulose, pulveriseret</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Calciumcarbonat</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Stivelse, pregelatineret</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Hypromellose</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Croscarmellosenatrium</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Magnesiumstearat</w:t>
      </w:r>
    </w:p>
    <w:p w:rsidR="002A1856" w:rsidRPr="002A1856" w:rsidRDefault="002A1856" w:rsidP="002A1856">
      <w:pPr>
        <w:pStyle w:val="Style3"/>
        <w:widowControl/>
        <w:ind w:left="851"/>
        <w:rPr>
          <w:rStyle w:val="FontStyle28"/>
          <w:b w:val="0"/>
          <w:sz w:val="24"/>
          <w:szCs w:val="24"/>
          <w:u w:val="single"/>
          <w:lang w:val="da-DK"/>
        </w:rPr>
      </w:pPr>
    </w:p>
    <w:p w:rsidR="002A1856" w:rsidRPr="002A1856" w:rsidRDefault="002A1856" w:rsidP="002A1856">
      <w:pPr>
        <w:pStyle w:val="Style3"/>
        <w:widowControl/>
        <w:ind w:left="851"/>
        <w:rPr>
          <w:rStyle w:val="FontStyle28"/>
          <w:b w:val="0"/>
          <w:sz w:val="24"/>
          <w:szCs w:val="24"/>
          <w:u w:val="single"/>
          <w:lang w:val="da-DK"/>
        </w:rPr>
      </w:pPr>
      <w:r w:rsidRPr="002A1856">
        <w:rPr>
          <w:rStyle w:val="FontStyle28"/>
          <w:b w:val="0"/>
          <w:sz w:val="24"/>
          <w:szCs w:val="24"/>
          <w:u w:val="single"/>
          <w:lang w:val="da-DK"/>
        </w:rPr>
        <w:t>Filmovertræk</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Hypromellose</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Macrogol</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Titandioxid (E171)</w:t>
      </w:r>
    </w:p>
    <w:p w:rsidR="002A1856" w:rsidRPr="002A1856" w:rsidRDefault="002A1856" w:rsidP="002A1856">
      <w:pPr>
        <w:pStyle w:val="Style3"/>
        <w:widowControl/>
        <w:ind w:left="851"/>
        <w:rPr>
          <w:rStyle w:val="FontStyle28"/>
          <w:b w:val="0"/>
          <w:sz w:val="24"/>
          <w:szCs w:val="24"/>
          <w:lang w:val="da-DK"/>
        </w:rPr>
      </w:pPr>
      <w:r w:rsidRPr="002A1856">
        <w:rPr>
          <w:rStyle w:val="FontStyle28"/>
          <w:b w:val="0"/>
          <w:sz w:val="24"/>
          <w:szCs w:val="24"/>
          <w:lang w:val="da-DK"/>
        </w:rPr>
        <w:t>Talkum</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6.2</w:t>
      </w:r>
      <w:r w:rsidRPr="002A1856">
        <w:rPr>
          <w:b/>
          <w:sz w:val="24"/>
          <w:szCs w:val="24"/>
        </w:rPr>
        <w:tab/>
        <w:t>Uforligeligheder</w:t>
      </w:r>
    </w:p>
    <w:p w:rsidR="002A1856" w:rsidRPr="002A1856" w:rsidRDefault="002A1856" w:rsidP="002A1856">
      <w:pPr>
        <w:pStyle w:val="Style3"/>
        <w:widowControl/>
        <w:ind w:left="851"/>
        <w:rPr>
          <w:rStyle w:val="FontStyle28"/>
          <w:b w:val="0"/>
          <w:sz w:val="24"/>
          <w:szCs w:val="24"/>
        </w:rPr>
      </w:pPr>
      <w:r w:rsidRPr="002A1856">
        <w:rPr>
          <w:rStyle w:val="FontStyle28"/>
          <w:b w:val="0"/>
          <w:sz w:val="24"/>
          <w:szCs w:val="24"/>
        </w:rPr>
        <w:t>Ikke relevant.</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6.3</w:t>
      </w:r>
      <w:r w:rsidRPr="002A1856">
        <w:rPr>
          <w:b/>
          <w:sz w:val="24"/>
          <w:szCs w:val="24"/>
        </w:rPr>
        <w:tab/>
        <w:t>Opbevaringstid</w:t>
      </w:r>
    </w:p>
    <w:p w:rsidR="002A1856" w:rsidRPr="002A1856" w:rsidRDefault="002A1856" w:rsidP="002A1856">
      <w:pPr>
        <w:pStyle w:val="Style1"/>
        <w:widowControl/>
        <w:spacing w:line="240" w:lineRule="auto"/>
        <w:ind w:left="851" w:hanging="851"/>
        <w:rPr>
          <w:rStyle w:val="FontStyle27"/>
          <w:sz w:val="24"/>
          <w:szCs w:val="24"/>
          <w:lang w:val="da-DK"/>
        </w:rPr>
      </w:pPr>
      <w:r w:rsidRPr="002A1856">
        <w:tab/>
      </w:r>
      <w:r w:rsidRPr="002A1856">
        <w:rPr>
          <w:rStyle w:val="FontStyle27"/>
          <w:sz w:val="24"/>
          <w:szCs w:val="24"/>
          <w:lang w:val="da-DK" w:eastAsia="da-DK"/>
        </w:rPr>
        <w:t>3 år.</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6.4</w:t>
      </w:r>
      <w:r w:rsidRPr="002A1856">
        <w:rPr>
          <w:b/>
          <w:sz w:val="24"/>
          <w:szCs w:val="24"/>
        </w:rPr>
        <w:tab/>
        <w:t>Særlige opbevaringsforhold</w:t>
      </w:r>
    </w:p>
    <w:p w:rsidR="002A1856" w:rsidRPr="002A1856" w:rsidRDefault="002A1856" w:rsidP="002A1856">
      <w:pPr>
        <w:pStyle w:val="Listeafsnit"/>
        <w:suppressAutoHyphens/>
        <w:ind w:left="851"/>
        <w:rPr>
          <w:spacing w:val="-3"/>
          <w:sz w:val="24"/>
          <w:szCs w:val="24"/>
        </w:rPr>
      </w:pPr>
      <w:r w:rsidRPr="002A1856">
        <w:rPr>
          <w:spacing w:val="-3"/>
          <w:sz w:val="24"/>
          <w:szCs w:val="24"/>
        </w:rPr>
        <w:t>Dette lægemiddel kræver ingen særlige forholdsregler vedrørende opbevaringen.</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6.5</w:t>
      </w:r>
      <w:r w:rsidRPr="002A1856">
        <w:rPr>
          <w:b/>
          <w:sz w:val="24"/>
          <w:szCs w:val="24"/>
        </w:rPr>
        <w:tab/>
        <w:t>Emballagetype og pakningsstørrelser</w:t>
      </w:r>
    </w:p>
    <w:p w:rsidR="002A1856" w:rsidRPr="002A1856" w:rsidRDefault="002A1856" w:rsidP="002A1856">
      <w:pPr>
        <w:pStyle w:val="Style6"/>
        <w:widowControl/>
        <w:spacing w:line="240" w:lineRule="auto"/>
        <w:ind w:left="851"/>
        <w:rPr>
          <w:rStyle w:val="FontStyle27"/>
          <w:sz w:val="24"/>
          <w:szCs w:val="24"/>
          <w:lang w:val="da-DK" w:eastAsia="da-DK"/>
        </w:rPr>
      </w:pPr>
      <w:r w:rsidRPr="002A1856">
        <w:rPr>
          <w:rStyle w:val="FontStyle27"/>
          <w:sz w:val="24"/>
          <w:szCs w:val="24"/>
          <w:lang w:val="da-DK" w:eastAsia="da-DK"/>
        </w:rPr>
        <w:t>OPA/Al/PVC-Al-blister indeholdende: 4, 7, 10, 14, 20, 28, 30, 50 (endosis blisterpakning), 50, 56, 84, 90, 98, 100, 112, 120, 180, og 500 filmovertrukne tabletter.</w:t>
      </w:r>
    </w:p>
    <w:p w:rsidR="002A1856" w:rsidRPr="002A1856" w:rsidRDefault="002A1856" w:rsidP="002A1856">
      <w:pPr>
        <w:pStyle w:val="Style6"/>
        <w:widowControl/>
        <w:spacing w:line="240" w:lineRule="auto"/>
        <w:ind w:left="851"/>
        <w:rPr>
          <w:rStyle w:val="FontStyle27"/>
          <w:i/>
          <w:sz w:val="24"/>
          <w:szCs w:val="24"/>
          <w:lang w:val="da-DK" w:eastAsia="da-DK"/>
        </w:rPr>
      </w:pPr>
      <w:r w:rsidRPr="002A1856">
        <w:rPr>
          <w:rStyle w:val="FontStyle27"/>
          <w:sz w:val="24"/>
          <w:szCs w:val="24"/>
        </w:rPr>
        <w:t>eller</w:t>
      </w:r>
    </w:p>
    <w:p w:rsidR="002A1856" w:rsidRPr="002A1856" w:rsidRDefault="002A1856" w:rsidP="002A1856">
      <w:pPr>
        <w:pStyle w:val="Style6"/>
        <w:widowControl/>
        <w:spacing w:line="240" w:lineRule="auto"/>
        <w:ind w:left="851"/>
        <w:rPr>
          <w:rStyle w:val="FontStyle27"/>
          <w:sz w:val="24"/>
          <w:szCs w:val="24"/>
        </w:rPr>
      </w:pPr>
      <w:r w:rsidRPr="002A1856">
        <w:rPr>
          <w:rStyle w:val="FontStyle27"/>
          <w:sz w:val="24"/>
          <w:szCs w:val="24"/>
        </w:rPr>
        <w:t>OPA/Al/PVC-Al blister indeholdende 4x1, 7x1, 10x1, 14x1, 20x1, 28x1, 30x1, 50x1 (endosis blisterpakning), 50x1, 56x1, 84x1, 90x1, 98x1, 100x1, 112x1, 120x1, 180x1 og 500x1 filmovertrukne tabletter.</w:t>
      </w:r>
    </w:p>
    <w:p w:rsidR="002A1856" w:rsidRPr="002A1856" w:rsidRDefault="002A1856" w:rsidP="002A1856">
      <w:pPr>
        <w:pStyle w:val="Style6"/>
        <w:widowControl/>
        <w:spacing w:line="240" w:lineRule="auto"/>
        <w:ind w:left="851" w:hanging="851"/>
        <w:rPr>
          <w:rStyle w:val="FontStyle27"/>
          <w:sz w:val="24"/>
          <w:szCs w:val="24"/>
          <w:lang w:val="da-DK" w:eastAsia="da-DK"/>
        </w:rPr>
      </w:pPr>
    </w:p>
    <w:p w:rsidR="002A1856" w:rsidRPr="002A1856" w:rsidRDefault="002A1856" w:rsidP="002A1856">
      <w:pPr>
        <w:pStyle w:val="Style6"/>
        <w:widowControl/>
        <w:spacing w:line="240" w:lineRule="auto"/>
        <w:ind w:left="851"/>
        <w:rPr>
          <w:rStyle w:val="FontStyle27"/>
          <w:sz w:val="24"/>
          <w:szCs w:val="24"/>
          <w:lang w:val="da-DK" w:eastAsia="da-DK"/>
        </w:rPr>
      </w:pPr>
      <w:r w:rsidRPr="002A1856">
        <w:rPr>
          <w:rStyle w:val="FontStyle27"/>
          <w:sz w:val="24"/>
          <w:szCs w:val="24"/>
          <w:lang w:val="da-DK" w:eastAsia="da-DK"/>
        </w:rPr>
        <w:t>Ikke alle pakningsstørrelser er nødvendigvis markedsført.</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6.6</w:t>
      </w:r>
      <w:r w:rsidRPr="002A1856">
        <w:rPr>
          <w:b/>
          <w:sz w:val="24"/>
          <w:szCs w:val="24"/>
        </w:rPr>
        <w:tab/>
        <w:t>Regler for bortskaffelse og anden håndtering</w:t>
      </w:r>
    </w:p>
    <w:p w:rsidR="002A1856" w:rsidRPr="002A1856" w:rsidRDefault="002A1856" w:rsidP="002A1856">
      <w:pPr>
        <w:pStyle w:val="Style6"/>
        <w:widowControl/>
        <w:spacing w:line="240" w:lineRule="auto"/>
        <w:ind w:left="851"/>
        <w:rPr>
          <w:rStyle w:val="FontStyle27"/>
          <w:sz w:val="24"/>
          <w:szCs w:val="24"/>
          <w:lang w:val="da-DK"/>
        </w:rPr>
      </w:pPr>
      <w:r w:rsidRPr="002A1856">
        <w:rPr>
          <w:rStyle w:val="FontStyle27"/>
          <w:sz w:val="24"/>
          <w:szCs w:val="24"/>
          <w:lang w:val="da-DK" w:eastAsia="da-DK"/>
        </w:rPr>
        <w:t>Ingen særlige forholdsregler ved bortskaffelse.</w:t>
      </w:r>
    </w:p>
    <w:p w:rsidR="002A1856" w:rsidRPr="002A1856" w:rsidRDefault="002A1856" w:rsidP="002A1856">
      <w:pPr>
        <w:ind w:left="851" w:hanging="851"/>
        <w:jc w:val="both"/>
        <w:rPr>
          <w:sz w:val="24"/>
          <w:szCs w:val="24"/>
        </w:rPr>
      </w:pPr>
    </w:p>
    <w:p w:rsidR="002A1856" w:rsidRPr="002A1856" w:rsidRDefault="002A1856" w:rsidP="002A1856">
      <w:pPr>
        <w:ind w:left="851" w:hanging="851"/>
        <w:rPr>
          <w:b/>
          <w:sz w:val="24"/>
          <w:szCs w:val="24"/>
        </w:rPr>
      </w:pPr>
      <w:r w:rsidRPr="002A1856">
        <w:rPr>
          <w:b/>
          <w:sz w:val="24"/>
          <w:szCs w:val="24"/>
        </w:rPr>
        <w:t>7.</w:t>
      </w:r>
      <w:r w:rsidRPr="002A1856">
        <w:rPr>
          <w:b/>
          <w:sz w:val="24"/>
          <w:szCs w:val="24"/>
        </w:rPr>
        <w:tab/>
        <w:t>INDEHAVER AF MARKEDSFØRINGSTILLADELSEN</w:t>
      </w:r>
    </w:p>
    <w:p w:rsidR="002A1856" w:rsidRPr="002A1856" w:rsidRDefault="002A1856" w:rsidP="002A1856">
      <w:pPr>
        <w:ind w:left="851"/>
        <w:rPr>
          <w:sz w:val="24"/>
          <w:szCs w:val="24"/>
          <w:lang w:val="sv-SE"/>
        </w:rPr>
      </w:pPr>
      <w:r w:rsidRPr="002A1856">
        <w:rPr>
          <w:sz w:val="24"/>
          <w:szCs w:val="24"/>
          <w:lang w:val="sv-SE"/>
        </w:rPr>
        <w:t>STADA Arzneimittel AG</w:t>
      </w:r>
      <w:r w:rsidRPr="002A1856">
        <w:rPr>
          <w:sz w:val="24"/>
          <w:szCs w:val="24"/>
          <w:lang w:val="sv-SE"/>
        </w:rPr>
        <w:br/>
        <w:t xml:space="preserve">Stadastrasse </w:t>
      </w:r>
      <w:proofErr w:type="gramStart"/>
      <w:r w:rsidRPr="002A1856">
        <w:rPr>
          <w:sz w:val="24"/>
          <w:szCs w:val="24"/>
          <w:lang w:val="sv-SE"/>
        </w:rPr>
        <w:t>2-18</w:t>
      </w:r>
      <w:proofErr w:type="gramEnd"/>
      <w:r w:rsidRPr="002A1856">
        <w:rPr>
          <w:sz w:val="24"/>
          <w:szCs w:val="24"/>
          <w:lang w:val="sv-SE"/>
        </w:rPr>
        <w:br/>
        <w:t>D-61118 Bad Vilbel</w:t>
      </w:r>
      <w:r w:rsidRPr="002A1856">
        <w:rPr>
          <w:sz w:val="24"/>
          <w:szCs w:val="24"/>
          <w:lang w:val="sv-SE"/>
        </w:rPr>
        <w:br/>
        <w:t>Tyskland</w:t>
      </w:r>
    </w:p>
    <w:p w:rsidR="002A1856" w:rsidRPr="002A1856" w:rsidRDefault="002A1856" w:rsidP="002A1856">
      <w:pPr>
        <w:ind w:left="851" w:hanging="851"/>
        <w:rPr>
          <w:sz w:val="24"/>
          <w:szCs w:val="24"/>
          <w:lang w:val="sv-SE"/>
        </w:rPr>
      </w:pPr>
    </w:p>
    <w:p w:rsidR="002A1856" w:rsidRPr="002A1856" w:rsidRDefault="002A1856" w:rsidP="002A1856">
      <w:pPr>
        <w:ind w:left="851"/>
        <w:rPr>
          <w:b/>
          <w:sz w:val="24"/>
          <w:szCs w:val="24"/>
          <w:lang w:val="sv-SE"/>
        </w:rPr>
      </w:pPr>
      <w:r w:rsidRPr="002A1856">
        <w:rPr>
          <w:b/>
          <w:sz w:val="24"/>
          <w:szCs w:val="24"/>
          <w:lang w:val="sv-SE"/>
        </w:rPr>
        <w:t>Repræsentant</w:t>
      </w:r>
    </w:p>
    <w:p w:rsidR="002A1856" w:rsidRPr="002A1856" w:rsidRDefault="002A1856" w:rsidP="002A1856">
      <w:pPr>
        <w:ind w:left="851"/>
        <w:rPr>
          <w:sz w:val="24"/>
          <w:szCs w:val="24"/>
          <w:lang w:val="sv-SE"/>
        </w:rPr>
      </w:pPr>
      <w:r w:rsidRPr="002A1856">
        <w:rPr>
          <w:sz w:val="24"/>
          <w:szCs w:val="24"/>
          <w:lang w:val="sv-SE"/>
        </w:rPr>
        <w:t>PharmaCoDane ApS</w:t>
      </w:r>
    </w:p>
    <w:p w:rsidR="002A1856" w:rsidRPr="002A1856" w:rsidRDefault="002A1856" w:rsidP="002A1856">
      <w:pPr>
        <w:ind w:left="851"/>
        <w:rPr>
          <w:sz w:val="24"/>
          <w:szCs w:val="24"/>
          <w:lang w:val="sv-SE"/>
        </w:rPr>
      </w:pPr>
      <w:r w:rsidRPr="002A1856">
        <w:rPr>
          <w:sz w:val="24"/>
          <w:szCs w:val="24"/>
          <w:lang w:val="sv-SE"/>
        </w:rPr>
        <w:t>Marielundvej 46 A</w:t>
      </w:r>
    </w:p>
    <w:p w:rsidR="002A1856" w:rsidRPr="002A1856" w:rsidRDefault="002A1856" w:rsidP="002A1856">
      <w:pPr>
        <w:ind w:left="851"/>
        <w:rPr>
          <w:sz w:val="24"/>
          <w:szCs w:val="24"/>
          <w:lang w:val="sv-SE"/>
        </w:rPr>
      </w:pPr>
      <w:r w:rsidRPr="002A1856">
        <w:rPr>
          <w:sz w:val="24"/>
          <w:szCs w:val="24"/>
          <w:lang w:val="sv-SE"/>
        </w:rPr>
        <w:t>2730 Herlev</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8.</w:t>
      </w:r>
      <w:r w:rsidRPr="002A1856">
        <w:rPr>
          <w:b/>
          <w:sz w:val="24"/>
          <w:szCs w:val="24"/>
        </w:rPr>
        <w:tab/>
        <w:t>MARKEDSFØRINGSTILLADELSESNUMMER (-NUMRE)</w:t>
      </w:r>
    </w:p>
    <w:p w:rsidR="002A1856" w:rsidRPr="002A1856" w:rsidRDefault="002A1856" w:rsidP="002A1856">
      <w:pPr>
        <w:ind w:left="851"/>
        <w:rPr>
          <w:sz w:val="24"/>
          <w:szCs w:val="24"/>
        </w:rPr>
      </w:pPr>
      <w:r w:rsidRPr="002A1856">
        <w:rPr>
          <w:sz w:val="24"/>
          <w:szCs w:val="24"/>
        </w:rPr>
        <w:t xml:space="preserve">10 mg: 54885 </w:t>
      </w:r>
    </w:p>
    <w:p w:rsidR="002A1856" w:rsidRPr="002A1856" w:rsidRDefault="002A1856" w:rsidP="002A1856">
      <w:pPr>
        <w:ind w:left="851"/>
        <w:rPr>
          <w:sz w:val="24"/>
          <w:szCs w:val="24"/>
        </w:rPr>
      </w:pPr>
      <w:r w:rsidRPr="002A1856">
        <w:rPr>
          <w:sz w:val="24"/>
          <w:szCs w:val="24"/>
        </w:rPr>
        <w:t xml:space="preserve">20 mg: 54886 </w:t>
      </w:r>
    </w:p>
    <w:p w:rsidR="002A1856" w:rsidRPr="002A1856" w:rsidRDefault="002A1856" w:rsidP="002A1856">
      <w:pPr>
        <w:ind w:left="851"/>
        <w:rPr>
          <w:sz w:val="24"/>
          <w:szCs w:val="24"/>
        </w:rPr>
      </w:pPr>
      <w:r w:rsidRPr="002A1856">
        <w:rPr>
          <w:sz w:val="24"/>
          <w:szCs w:val="24"/>
        </w:rPr>
        <w:t xml:space="preserve">40 mg: 54887 </w:t>
      </w:r>
    </w:p>
    <w:p w:rsidR="002A1856" w:rsidRPr="002A1856" w:rsidRDefault="002A1856" w:rsidP="002A1856">
      <w:pPr>
        <w:ind w:left="851"/>
        <w:rPr>
          <w:sz w:val="24"/>
          <w:szCs w:val="24"/>
        </w:rPr>
      </w:pPr>
      <w:r w:rsidRPr="002A1856">
        <w:rPr>
          <w:sz w:val="24"/>
          <w:szCs w:val="24"/>
        </w:rPr>
        <w:t>80 mg: 54888</w:t>
      </w:r>
    </w:p>
    <w:p w:rsidR="002A1856" w:rsidRPr="002A1856" w:rsidRDefault="002A1856" w:rsidP="002A1856">
      <w:pPr>
        <w:ind w:left="851" w:hanging="851"/>
        <w:jc w:val="both"/>
        <w:rPr>
          <w:sz w:val="24"/>
          <w:szCs w:val="24"/>
        </w:rPr>
      </w:pPr>
    </w:p>
    <w:p w:rsidR="002A1856" w:rsidRPr="002A1856" w:rsidRDefault="002A1856" w:rsidP="002A1856">
      <w:pPr>
        <w:ind w:left="851" w:hanging="851"/>
        <w:rPr>
          <w:b/>
          <w:sz w:val="24"/>
          <w:szCs w:val="24"/>
        </w:rPr>
      </w:pPr>
      <w:r w:rsidRPr="002A1856">
        <w:rPr>
          <w:b/>
          <w:sz w:val="24"/>
          <w:szCs w:val="24"/>
        </w:rPr>
        <w:t>9.</w:t>
      </w:r>
      <w:r w:rsidRPr="002A1856">
        <w:rPr>
          <w:b/>
          <w:sz w:val="24"/>
          <w:szCs w:val="24"/>
        </w:rPr>
        <w:tab/>
        <w:t>DATO FOR FØRSTE MARKEDSFØRINGSTILLADELSE</w:t>
      </w:r>
    </w:p>
    <w:p w:rsidR="002A1856" w:rsidRPr="002A1856" w:rsidRDefault="002A1856" w:rsidP="002A1856">
      <w:pPr>
        <w:ind w:left="851"/>
        <w:rPr>
          <w:sz w:val="24"/>
          <w:szCs w:val="24"/>
        </w:rPr>
      </w:pPr>
      <w:r w:rsidRPr="002A1856">
        <w:rPr>
          <w:sz w:val="24"/>
          <w:szCs w:val="24"/>
        </w:rPr>
        <w:t>23. februar 2016</w:t>
      </w:r>
    </w:p>
    <w:p w:rsidR="002A1856" w:rsidRPr="002A1856" w:rsidRDefault="002A1856" w:rsidP="002A1856">
      <w:pPr>
        <w:ind w:left="851" w:hanging="851"/>
        <w:rPr>
          <w:sz w:val="24"/>
          <w:szCs w:val="24"/>
        </w:rPr>
      </w:pPr>
    </w:p>
    <w:p w:rsidR="002A1856" w:rsidRPr="002A1856" w:rsidRDefault="002A1856" w:rsidP="002A1856">
      <w:pPr>
        <w:ind w:left="851" w:hanging="851"/>
        <w:rPr>
          <w:b/>
          <w:sz w:val="24"/>
          <w:szCs w:val="24"/>
        </w:rPr>
      </w:pPr>
      <w:r w:rsidRPr="002A1856">
        <w:rPr>
          <w:b/>
          <w:sz w:val="24"/>
          <w:szCs w:val="24"/>
        </w:rPr>
        <w:t>10.</w:t>
      </w:r>
      <w:r w:rsidRPr="002A1856">
        <w:rPr>
          <w:b/>
          <w:sz w:val="24"/>
          <w:szCs w:val="24"/>
        </w:rPr>
        <w:tab/>
        <w:t>DATO FOR ÆNDRING AF TEKSTEN</w:t>
      </w:r>
    </w:p>
    <w:p w:rsidR="002A1856" w:rsidRPr="002A1856" w:rsidRDefault="002A1856" w:rsidP="002A1856">
      <w:pPr>
        <w:ind w:left="851"/>
        <w:rPr>
          <w:sz w:val="24"/>
          <w:szCs w:val="24"/>
        </w:rPr>
      </w:pPr>
      <w:r>
        <w:rPr>
          <w:sz w:val="24"/>
          <w:szCs w:val="24"/>
        </w:rPr>
        <w:t>3. februar 2025</w:t>
      </w:r>
    </w:p>
    <w:p w:rsidR="002A1856" w:rsidRPr="002A1856" w:rsidRDefault="002A1856" w:rsidP="002A1856">
      <w:pPr>
        <w:rPr>
          <w:sz w:val="24"/>
          <w:szCs w:val="24"/>
        </w:rPr>
      </w:pPr>
    </w:p>
    <w:p w:rsidR="002A1856" w:rsidRPr="002A1856" w:rsidRDefault="002A1856" w:rsidP="002A1856">
      <w:pPr>
        <w:rPr>
          <w:sz w:val="24"/>
          <w:szCs w:val="24"/>
        </w:rPr>
      </w:pPr>
    </w:p>
    <w:p w:rsidR="002A1856" w:rsidRPr="002A1856" w:rsidRDefault="002A1856" w:rsidP="002A1856">
      <w:pPr>
        <w:rPr>
          <w:sz w:val="24"/>
          <w:szCs w:val="24"/>
        </w:rPr>
      </w:pPr>
    </w:p>
    <w:p w:rsidR="009260DE" w:rsidRPr="002A1856" w:rsidRDefault="009260DE" w:rsidP="002A1856">
      <w:pPr>
        <w:ind w:left="851" w:hanging="851"/>
        <w:jc w:val="both"/>
        <w:rPr>
          <w:sz w:val="24"/>
          <w:szCs w:val="24"/>
        </w:rPr>
      </w:pPr>
    </w:p>
    <w:sectPr w:rsidR="009260DE" w:rsidRPr="002A185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DF6" w:rsidRDefault="00585DF6">
      <w:r>
        <w:separator/>
      </w:r>
    </w:p>
  </w:endnote>
  <w:endnote w:type="continuationSeparator" w:id="0">
    <w:p w:rsidR="00585DF6" w:rsidRDefault="0058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DF6" w:rsidRDefault="00585DF6">
    <w:pPr>
      <w:pStyle w:val="Sidefod"/>
      <w:pBdr>
        <w:bottom w:val="single" w:sz="6" w:space="1" w:color="auto"/>
      </w:pBdr>
    </w:pPr>
  </w:p>
  <w:p w:rsidR="00585DF6" w:rsidRDefault="00585DF6" w:rsidP="00C42586">
    <w:pPr>
      <w:pStyle w:val="Sidefod"/>
      <w:tabs>
        <w:tab w:val="clear" w:pos="4819"/>
        <w:tab w:val="left" w:pos="8505"/>
      </w:tabs>
      <w:rPr>
        <w:i/>
        <w:sz w:val="18"/>
        <w:szCs w:val="18"/>
      </w:rPr>
    </w:pPr>
  </w:p>
  <w:p w:rsidR="00585DF6" w:rsidRPr="00B373D7" w:rsidRDefault="00585DF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Lipistad,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DF6" w:rsidRDefault="00585DF6">
      <w:r>
        <w:separator/>
      </w:r>
    </w:p>
  </w:footnote>
  <w:footnote w:type="continuationSeparator" w:id="0">
    <w:p w:rsidR="00585DF6" w:rsidRDefault="0058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6EA"/>
    <w:multiLevelType w:val="hybridMultilevel"/>
    <w:tmpl w:val="AA9E04D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7F0E88"/>
    <w:multiLevelType w:val="hybridMultilevel"/>
    <w:tmpl w:val="67768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BE773E"/>
    <w:multiLevelType w:val="hybridMultilevel"/>
    <w:tmpl w:val="8AFA430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065350"/>
    <w:multiLevelType w:val="hybridMultilevel"/>
    <w:tmpl w:val="EEFA9672"/>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3E71B6"/>
    <w:multiLevelType w:val="hybridMultilevel"/>
    <w:tmpl w:val="4522B110"/>
    <w:lvl w:ilvl="0" w:tplc="FFFFFFFF">
      <w:start w:val="1"/>
      <w:numFmt w:val="bullet"/>
      <w:lvlText w:val="-"/>
      <w:lvlJc w:val="left"/>
      <w:pPr>
        <w:ind w:left="360" w:hanging="360"/>
      </w:p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F53463"/>
    <w:multiLevelType w:val="hybridMultilevel"/>
    <w:tmpl w:val="65142116"/>
    <w:lvl w:ilvl="0" w:tplc="889AE5F4">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20D322D"/>
    <w:multiLevelType w:val="hybridMultilevel"/>
    <w:tmpl w:val="492C8414"/>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1"/>
  </w:num>
  <w:num w:numId="9">
    <w:abstractNumId w:val="7"/>
  </w:num>
  <w:num w:numId="10">
    <w:abstractNumId w:val="5"/>
  </w:num>
  <w:num w:numId="11">
    <w:abstractNumId w:val="3"/>
  </w:num>
  <w:num w:numId="12">
    <w:abstractNumId w:val="0"/>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7"/>
    <w:rsid w:val="000259B9"/>
    <w:rsid w:val="00041491"/>
    <w:rsid w:val="00050D16"/>
    <w:rsid w:val="00074F2A"/>
    <w:rsid w:val="000A1CA8"/>
    <w:rsid w:val="000A466B"/>
    <w:rsid w:val="000B058C"/>
    <w:rsid w:val="000B5423"/>
    <w:rsid w:val="000E4EE6"/>
    <w:rsid w:val="000F2AF4"/>
    <w:rsid w:val="001454E2"/>
    <w:rsid w:val="00185489"/>
    <w:rsid w:val="00206CE8"/>
    <w:rsid w:val="0021526C"/>
    <w:rsid w:val="00283A2B"/>
    <w:rsid w:val="00287FF9"/>
    <w:rsid w:val="002A1856"/>
    <w:rsid w:val="002B30AD"/>
    <w:rsid w:val="002C2C01"/>
    <w:rsid w:val="003A29AE"/>
    <w:rsid w:val="003A32D7"/>
    <w:rsid w:val="003B4074"/>
    <w:rsid w:val="003C769A"/>
    <w:rsid w:val="003F1838"/>
    <w:rsid w:val="0045746C"/>
    <w:rsid w:val="0049104B"/>
    <w:rsid w:val="004E3B12"/>
    <w:rsid w:val="00532310"/>
    <w:rsid w:val="00560ECC"/>
    <w:rsid w:val="00565F0F"/>
    <w:rsid w:val="00584EBC"/>
    <w:rsid w:val="00585DF6"/>
    <w:rsid w:val="00594A86"/>
    <w:rsid w:val="00596D86"/>
    <w:rsid w:val="005C49E4"/>
    <w:rsid w:val="005E34F3"/>
    <w:rsid w:val="0062736B"/>
    <w:rsid w:val="00637F5A"/>
    <w:rsid w:val="006560B1"/>
    <w:rsid w:val="006756DD"/>
    <w:rsid w:val="00693F33"/>
    <w:rsid w:val="006E22D3"/>
    <w:rsid w:val="00737275"/>
    <w:rsid w:val="00737F84"/>
    <w:rsid w:val="00740EEC"/>
    <w:rsid w:val="0078011A"/>
    <w:rsid w:val="00782AF4"/>
    <w:rsid w:val="00790EE7"/>
    <w:rsid w:val="007B6649"/>
    <w:rsid w:val="007D7596"/>
    <w:rsid w:val="0081546F"/>
    <w:rsid w:val="0082576E"/>
    <w:rsid w:val="00907F75"/>
    <w:rsid w:val="009260DE"/>
    <w:rsid w:val="0093258A"/>
    <w:rsid w:val="00961D6B"/>
    <w:rsid w:val="009C7BA3"/>
    <w:rsid w:val="009D1F5A"/>
    <w:rsid w:val="00A17837"/>
    <w:rsid w:val="00AD3252"/>
    <w:rsid w:val="00AD4081"/>
    <w:rsid w:val="00B003BF"/>
    <w:rsid w:val="00B252A8"/>
    <w:rsid w:val="00B373D7"/>
    <w:rsid w:val="00B91991"/>
    <w:rsid w:val="00BC319E"/>
    <w:rsid w:val="00C36276"/>
    <w:rsid w:val="00C42586"/>
    <w:rsid w:val="00C60CCD"/>
    <w:rsid w:val="00C84483"/>
    <w:rsid w:val="00C95551"/>
    <w:rsid w:val="00CB20D7"/>
    <w:rsid w:val="00D020B0"/>
    <w:rsid w:val="00D11748"/>
    <w:rsid w:val="00D366CF"/>
    <w:rsid w:val="00E108AA"/>
    <w:rsid w:val="00E31812"/>
    <w:rsid w:val="00E3749A"/>
    <w:rsid w:val="00E40730"/>
    <w:rsid w:val="00E545F2"/>
    <w:rsid w:val="00E5644C"/>
    <w:rsid w:val="00E7437F"/>
    <w:rsid w:val="00E82EFF"/>
    <w:rsid w:val="00E865B8"/>
    <w:rsid w:val="00EA00AF"/>
    <w:rsid w:val="00EC0B9B"/>
    <w:rsid w:val="00ED5E9F"/>
    <w:rsid w:val="00EF1651"/>
    <w:rsid w:val="00F66D4F"/>
    <w:rsid w:val="00FB6D01"/>
    <w:rsid w:val="00FC37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DC64B-FED5-4CD7-93BB-5393A4B0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17837"/>
    <w:rPr>
      <w:color w:val="808080"/>
    </w:rPr>
  </w:style>
  <w:style w:type="paragraph" w:customStyle="1" w:styleId="Style1">
    <w:name w:val="Style1"/>
    <w:basedOn w:val="Normal"/>
    <w:rsid w:val="00A17837"/>
    <w:pPr>
      <w:widowControl w:val="0"/>
      <w:autoSpaceDE w:val="0"/>
      <w:autoSpaceDN w:val="0"/>
      <w:adjustRightInd w:val="0"/>
      <w:spacing w:line="252" w:lineRule="exact"/>
    </w:pPr>
    <w:rPr>
      <w:sz w:val="24"/>
      <w:szCs w:val="24"/>
      <w:lang w:val="el-GR" w:eastAsia="el-GR"/>
    </w:rPr>
  </w:style>
  <w:style w:type="paragraph" w:customStyle="1" w:styleId="Style2">
    <w:name w:val="Style2"/>
    <w:basedOn w:val="Normal"/>
    <w:rsid w:val="00A17837"/>
    <w:pPr>
      <w:widowControl w:val="0"/>
      <w:autoSpaceDE w:val="0"/>
      <w:autoSpaceDN w:val="0"/>
      <w:adjustRightInd w:val="0"/>
      <w:spacing w:line="253" w:lineRule="exact"/>
      <w:jc w:val="both"/>
    </w:pPr>
    <w:rPr>
      <w:sz w:val="24"/>
      <w:szCs w:val="24"/>
      <w:lang w:val="el-GR" w:eastAsia="el-GR"/>
    </w:rPr>
  </w:style>
  <w:style w:type="paragraph" w:customStyle="1" w:styleId="Style8">
    <w:name w:val="Style8"/>
    <w:basedOn w:val="Normal"/>
    <w:rsid w:val="00A17837"/>
    <w:pPr>
      <w:widowControl w:val="0"/>
      <w:autoSpaceDE w:val="0"/>
      <w:autoSpaceDN w:val="0"/>
      <w:adjustRightInd w:val="0"/>
    </w:pPr>
    <w:rPr>
      <w:sz w:val="24"/>
      <w:szCs w:val="24"/>
      <w:lang w:val="el-GR" w:eastAsia="el-GR"/>
    </w:rPr>
  </w:style>
  <w:style w:type="character" w:customStyle="1" w:styleId="FontStyle26">
    <w:name w:val="Font Style26"/>
    <w:rsid w:val="00A17837"/>
    <w:rPr>
      <w:rFonts w:ascii="Times New Roman" w:hAnsi="Times New Roman" w:cs="Times New Roman" w:hint="default"/>
      <w:i/>
      <w:iCs/>
      <w:sz w:val="20"/>
      <w:szCs w:val="20"/>
    </w:rPr>
  </w:style>
  <w:style w:type="character" w:customStyle="1" w:styleId="FontStyle27">
    <w:name w:val="Font Style27"/>
    <w:rsid w:val="00A17837"/>
    <w:rPr>
      <w:rFonts w:ascii="Times New Roman" w:hAnsi="Times New Roman" w:cs="Times New Roman" w:hint="default"/>
      <w:sz w:val="20"/>
      <w:szCs w:val="20"/>
    </w:rPr>
  </w:style>
  <w:style w:type="character" w:customStyle="1" w:styleId="FontStyle28">
    <w:name w:val="Font Style28"/>
    <w:rsid w:val="00A17837"/>
    <w:rPr>
      <w:rFonts w:ascii="Times New Roman" w:hAnsi="Times New Roman" w:cs="Times New Roman" w:hint="default"/>
      <w:b/>
      <w:bCs/>
      <w:sz w:val="20"/>
      <w:szCs w:val="20"/>
    </w:rPr>
  </w:style>
  <w:style w:type="paragraph" w:customStyle="1" w:styleId="Style14">
    <w:name w:val="Style14"/>
    <w:basedOn w:val="Normal"/>
    <w:rsid w:val="00A17837"/>
    <w:pPr>
      <w:widowControl w:val="0"/>
      <w:autoSpaceDE w:val="0"/>
      <w:autoSpaceDN w:val="0"/>
      <w:adjustRightInd w:val="0"/>
      <w:spacing w:line="259" w:lineRule="exact"/>
      <w:ind w:hanging="562"/>
    </w:pPr>
    <w:rPr>
      <w:sz w:val="24"/>
      <w:szCs w:val="24"/>
      <w:lang w:val="el-GR" w:eastAsia="el-GR"/>
    </w:rPr>
  </w:style>
  <w:style w:type="paragraph" w:customStyle="1" w:styleId="Style9">
    <w:name w:val="Style9"/>
    <w:basedOn w:val="Normal"/>
    <w:rsid w:val="00A17837"/>
    <w:pPr>
      <w:widowControl w:val="0"/>
      <w:autoSpaceDE w:val="0"/>
      <w:autoSpaceDN w:val="0"/>
      <w:adjustRightInd w:val="0"/>
      <w:spacing w:line="252" w:lineRule="exact"/>
      <w:ind w:hanging="355"/>
    </w:pPr>
    <w:rPr>
      <w:sz w:val="24"/>
      <w:szCs w:val="24"/>
      <w:lang w:val="el-GR" w:eastAsia="el-GR"/>
    </w:rPr>
  </w:style>
  <w:style w:type="paragraph" w:customStyle="1" w:styleId="Style13">
    <w:name w:val="Style13"/>
    <w:basedOn w:val="Normal"/>
    <w:rsid w:val="00A17837"/>
    <w:pPr>
      <w:widowControl w:val="0"/>
      <w:autoSpaceDE w:val="0"/>
      <w:autoSpaceDN w:val="0"/>
      <w:adjustRightInd w:val="0"/>
    </w:pPr>
    <w:rPr>
      <w:sz w:val="24"/>
      <w:szCs w:val="24"/>
      <w:lang w:val="el-GR" w:eastAsia="el-GR"/>
    </w:rPr>
  </w:style>
  <w:style w:type="paragraph" w:customStyle="1" w:styleId="Style18">
    <w:name w:val="Style18"/>
    <w:basedOn w:val="Normal"/>
    <w:rsid w:val="00A17837"/>
    <w:pPr>
      <w:widowControl w:val="0"/>
      <w:autoSpaceDE w:val="0"/>
      <w:autoSpaceDN w:val="0"/>
      <w:adjustRightInd w:val="0"/>
      <w:spacing w:line="254" w:lineRule="exact"/>
    </w:pPr>
    <w:rPr>
      <w:sz w:val="24"/>
      <w:szCs w:val="24"/>
      <w:lang w:val="el-GR" w:eastAsia="el-GR"/>
    </w:rPr>
  </w:style>
  <w:style w:type="paragraph" w:customStyle="1" w:styleId="Style20">
    <w:name w:val="Style20"/>
    <w:basedOn w:val="Normal"/>
    <w:rsid w:val="00A17837"/>
    <w:pPr>
      <w:widowControl w:val="0"/>
      <w:autoSpaceDE w:val="0"/>
      <w:autoSpaceDN w:val="0"/>
      <w:adjustRightInd w:val="0"/>
      <w:spacing w:line="257" w:lineRule="exact"/>
    </w:pPr>
    <w:rPr>
      <w:sz w:val="24"/>
      <w:szCs w:val="24"/>
      <w:lang w:val="el-GR" w:eastAsia="el-GR"/>
    </w:rPr>
  </w:style>
  <w:style w:type="paragraph" w:customStyle="1" w:styleId="Default">
    <w:name w:val="Default"/>
    <w:rsid w:val="00A17837"/>
    <w:pPr>
      <w:autoSpaceDE w:val="0"/>
      <w:autoSpaceDN w:val="0"/>
      <w:adjustRightInd w:val="0"/>
    </w:pPr>
    <w:rPr>
      <w:color w:val="000000"/>
      <w:sz w:val="24"/>
      <w:szCs w:val="24"/>
      <w:lang w:val="el-GR" w:eastAsia="el-GR"/>
    </w:rPr>
  </w:style>
  <w:style w:type="character" w:customStyle="1" w:styleId="FontStyle24">
    <w:name w:val="Font Style24"/>
    <w:rsid w:val="00A17837"/>
    <w:rPr>
      <w:rFonts w:ascii="Impact" w:hAnsi="Impact" w:cs="Impact" w:hint="default"/>
      <w:spacing w:val="10"/>
      <w:sz w:val="24"/>
      <w:szCs w:val="24"/>
    </w:rPr>
  </w:style>
  <w:style w:type="paragraph" w:customStyle="1" w:styleId="Style6">
    <w:name w:val="Style6"/>
    <w:basedOn w:val="Normal"/>
    <w:rsid w:val="00A17837"/>
    <w:pPr>
      <w:widowControl w:val="0"/>
      <w:autoSpaceDE w:val="0"/>
      <w:autoSpaceDN w:val="0"/>
      <w:adjustRightInd w:val="0"/>
      <w:spacing w:line="504" w:lineRule="exact"/>
    </w:pPr>
    <w:rPr>
      <w:sz w:val="24"/>
      <w:szCs w:val="24"/>
      <w:lang w:val="el-GR" w:eastAsia="el-GR"/>
    </w:rPr>
  </w:style>
  <w:style w:type="character" w:styleId="Hyperlink">
    <w:name w:val="Hyperlink"/>
    <w:basedOn w:val="Standardskrifttypeiafsnit"/>
    <w:uiPriority w:val="99"/>
    <w:semiHidden/>
    <w:unhideWhenUsed/>
    <w:rsid w:val="00A17837"/>
    <w:rPr>
      <w:color w:val="0000FF"/>
      <w:u w:val="single"/>
    </w:rPr>
  </w:style>
  <w:style w:type="paragraph" w:customStyle="1" w:styleId="Style5">
    <w:name w:val="Style5"/>
    <w:basedOn w:val="Normal"/>
    <w:rsid w:val="00A17837"/>
    <w:pPr>
      <w:widowControl w:val="0"/>
      <w:autoSpaceDE w:val="0"/>
      <w:autoSpaceDN w:val="0"/>
      <w:adjustRightInd w:val="0"/>
      <w:jc w:val="both"/>
    </w:pPr>
    <w:rPr>
      <w:sz w:val="24"/>
      <w:szCs w:val="24"/>
      <w:lang w:val="el-GR" w:eastAsia="el-GR"/>
    </w:rPr>
  </w:style>
  <w:style w:type="paragraph" w:customStyle="1" w:styleId="Style19">
    <w:name w:val="Style19"/>
    <w:basedOn w:val="Normal"/>
    <w:rsid w:val="00A17837"/>
    <w:pPr>
      <w:widowControl w:val="0"/>
      <w:autoSpaceDE w:val="0"/>
      <w:autoSpaceDN w:val="0"/>
      <w:adjustRightInd w:val="0"/>
      <w:spacing w:line="252" w:lineRule="exact"/>
      <w:ind w:hanging="557"/>
    </w:pPr>
    <w:rPr>
      <w:sz w:val="24"/>
      <w:szCs w:val="24"/>
      <w:lang w:val="el-GR" w:eastAsia="el-GR"/>
    </w:rPr>
  </w:style>
  <w:style w:type="character" w:customStyle="1" w:styleId="FontStyle25">
    <w:name w:val="Font Style25"/>
    <w:rsid w:val="00A17837"/>
    <w:rPr>
      <w:rFonts w:ascii="Times New Roman" w:hAnsi="Times New Roman" w:cs="Times New Roman" w:hint="default"/>
      <w:sz w:val="20"/>
      <w:szCs w:val="20"/>
    </w:rPr>
  </w:style>
  <w:style w:type="paragraph" w:customStyle="1" w:styleId="Style3">
    <w:name w:val="Style3"/>
    <w:basedOn w:val="Normal"/>
    <w:rsid w:val="00A17837"/>
    <w:pPr>
      <w:widowControl w:val="0"/>
      <w:autoSpaceDE w:val="0"/>
      <w:autoSpaceDN w:val="0"/>
      <w:adjustRightInd w:val="0"/>
    </w:pPr>
    <w:rPr>
      <w:sz w:val="24"/>
      <w:szCs w:val="24"/>
      <w:lang w:val="el-GR" w:eastAsia="el-GR"/>
    </w:rPr>
  </w:style>
  <w:style w:type="paragraph" w:styleId="Listeafsnit">
    <w:name w:val="List Paragraph"/>
    <w:basedOn w:val="Normal"/>
    <w:uiPriority w:val="34"/>
    <w:qFormat/>
    <w:rsid w:val="00A17837"/>
    <w:pPr>
      <w:ind w:left="720"/>
      <w:contextualSpacing/>
    </w:pPr>
  </w:style>
  <w:style w:type="paragraph" w:customStyle="1" w:styleId="Paragraph">
    <w:name w:val="Paragraph"/>
    <w:link w:val="ParagraphChar"/>
    <w:rsid w:val="00E40730"/>
    <w:pPr>
      <w:spacing w:after="240"/>
    </w:pPr>
    <w:rPr>
      <w:sz w:val="24"/>
      <w:szCs w:val="24"/>
      <w:lang w:val="en-US" w:eastAsia="en-US"/>
    </w:rPr>
  </w:style>
  <w:style w:type="character" w:customStyle="1" w:styleId="ParagraphChar">
    <w:name w:val="Paragraph Char"/>
    <w:link w:val="Paragraph"/>
    <w:rsid w:val="00E40730"/>
    <w:rPr>
      <w:sz w:val="24"/>
      <w:szCs w:val="24"/>
      <w:lang w:val="en-US" w:eastAsia="en-US"/>
    </w:rPr>
  </w:style>
  <w:style w:type="character" w:customStyle="1" w:styleId="Overskrift1Tegn">
    <w:name w:val="Overskrift 1 Tegn"/>
    <w:basedOn w:val="Standardskrifttypeiafsnit"/>
    <w:link w:val="Overskrift1"/>
    <w:rsid w:val="002A1856"/>
    <w:rPr>
      <w:rFonts w:ascii="Arial" w:hAnsi="Arial"/>
      <w:b/>
      <w:kern w:val="28"/>
      <w:sz w:val="28"/>
      <w:lang w:eastAsia="en-US"/>
    </w:rPr>
  </w:style>
  <w:style w:type="character" w:customStyle="1" w:styleId="Overskrift3Tegn">
    <w:name w:val="Overskrift 3 Tegn"/>
    <w:basedOn w:val="Standardskrifttypeiafsnit"/>
    <w:link w:val="Overskrift3"/>
    <w:rsid w:val="002A1856"/>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2A1856"/>
    <w:rPr>
      <w:rFonts w:ascii="Tahoma" w:hAnsi="Tahoma" w:cs="Tahoma"/>
      <w:sz w:val="16"/>
      <w:szCs w:val="16"/>
      <w:lang w:eastAsia="en-US"/>
    </w:rPr>
  </w:style>
  <w:style w:type="character" w:customStyle="1" w:styleId="SidefodTegn">
    <w:name w:val="Sidefod Tegn"/>
    <w:basedOn w:val="Standardskrifttypeiafsnit"/>
    <w:link w:val="Sidefod"/>
    <w:rsid w:val="002A1856"/>
    <w:rPr>
      <w:sz w:val="23"/>
      <w:lang w:eastAsia="en-US"/>
    </w:rPr>
  </w:style>
  <w:style w:type="paragraph" w:styleId="Korrektur">
    <w:name w:val="Revision"/>
    <w:hidden/>
    <w:uiPriority w:val="99"/>
    <w:semiHidden/>
    <w:rsid w:val="002A1856"/>
    <w:rPr>
      <w:sz w:val="23"/>
      <w:lang w:eastAsia="en-US"/>
    </w:rPr>
  </w:style>
  <w:style w:type="character" w:styleId="BesgtLink">
    <w:name w:val="FollowedHyperlink"/>
    <w:basedOn w:val="Standardskrifttypeiafsnit"/>
    <w:uiPriority w:val="99"/>
    <w:semiHidden/>
    <w:unhideWhenUsed/>
    <w:rsid w:val="002A1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597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9314420">
      <w:bodyDiv w:val="1"/>
      <w:marLeft w:val="0"/>
      <w:marRight w:val="0"/>
      <w:marTop w:val="0"/>
      <w:marBottom w:val="0"/>
      <w:divBdr>
        <w:top w:val="none" w:sz="0" w:space="0" w:color="auto"/>
        <w:left w:val="none" w:sz="0" w:space="0" w:color="auto"/>
        <w:bottom w:val="none" w:sz="0" w:space="0" w:color="auto"/>
        <w:right w:val="none" w:sz="0" w:space="0" w:color="auto"/>
      </w:divBdr>
    </w:div>
    <w:div w:id="579142923">
      <w:bodyDiv w:val="1"/>
      <w:marLeft w:val="0"/>
      <w:marRight w:val="0"/>
      <w:marTop w:val="0"/>
      <w:marBottom w:val="0"/>
      <w:divBdr>
        <w:top w:val="none" w:sz="0" w:space="0" w:color="auto"/>
        <w:left w:val="none" w:sz="0" w:space="0" w:color="auto"/>
        <w:bottom w:val="none" w:sz="0" w:space="0" w:color="auto"/>
        <w:right w:val="none" w:sz="0" w:space="0" w:color="auto"/>
      </w:divBdr>
    </w:div>
    <w:div w:id="720833945">
      <w:bodyDiv w:val="1"/>
      <w:marLeft w:val="0"/>
      <w:marRight w:val="0"/>
      <w:marTop w:val="0"/>
      <w:marBottom w:val="0"/>
      <w:divBdr>
        <w:top w:val="none" w:sz="0" w:space="0" w:color="auto"/>
        <w:left w:val="none" w:sz="0" w:space="0" w:color="auto"/>
        <w:bottom w:val="none" w:sz="0" w:space="0" w:color="auto"/>
        <w:right w:val="none" w:sz="0" w:space="0" w:color="auto"/>
      </w:divBdr>
      <w:divsChild>
        <w:div w:id="419446686">
          <w:marLeft w:val="0"/>
          <w:marRight w:val="0"/>
          <w:marTop w:val="0"/>
          <w:marBottom w:val="0"/>
          <w:divBdr>
            <w:top w:val="none" w:sz="0" w:space="0" w:color="auto"/>
            <w:left w:val="none" w:sz="0" w:space="0" w:color="auto"/>
            <w:bottom w:val="none" w:sz="0" w:space="0" w:color="auto"/>
            <w:right w:val="none" w:sz="0" w:space="0" w:color="auto"/>
          </w:divBdr>
          <w:divsChild>
            <w:div w:id="1076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2367">
      <w:bodyDiv w:val="1"/>
      <w:marLeft w:val="0"/>
      <w:marRight w:val="0"/>
      <w:marTop w:val="0"/>
      <w:marBottom w:val="0"/>
      <w:divBdr>
        <w:top w:val="none" w:sz="0" w:space="0" w:color="auto"/>
        <w:left w:val="none" w:sz="0" w:space="0" w:color="auto"/>
        <w:bottom w:val="none" w:sz="0" w:space="0" w:color="auto"/>
        <w:right w:val="none" w:sz="0" w:space="0" w:color="auto"/>
      </w:divBdr>
    </w:div>
    <w:div w:id="845749333">
      <w:bodyDiv w:val="1"/>
      <w:marLeft w:val="0"/>
      <w:marRight w:val="0"/>
      <w:marTop w:val="0"/>
      <w:marBottom w:val="0"/>
      <w:divBdr>
        <w:top w:val="none" w:sz="0" w:space="0" w:color="auto"/>
        <w:left w:val="none" w:sz="0" w:space="0" w:color="auto"/>
        <w:bottom w:val="none" w:sz="0" w:space="0" w:color="auto"/>
        <w:right w:val="none" w:sz="0" w:space="0" w:color="auto"/>
      </w:divBdr>
    </w:div>
    <w:div w:id="898786558">
      <w:bodyDiv w:val="1"/>
      <w:marLeft w:val="0"/>
      <w:marRight w:val="0"/>
      <w:marTop w:val="0"/>
      <w:marBottom w:val="0"/>
      <w:divBdr>
        <w:top w:val="none" w:sz="0" w:space="0" w:color="auto"/>
        <w:left w:val="none" w:sz="0" w:space="0" w:color="auto"/>
        <w:bottom w:val="none" w:sz="0" w:space="0" w:color="auto"/>
        <w:right w:val="none" w:sz="0" w:space="0" w:color="auto"/>
      </w:divBdr>
    </w:div>
    <w:div w:id="910193519">
      <w:bodyDiv w:val="1"/>
      <w:marLeft w:val="0"/>
      <w:marRight w:val="0"/>
      <w:marTop w:val="0"/>
      <w:marBottom w:val="0"/>
      <w:divBdr>
        <w:top w:val="none" w:sz="0" w:space="0" w:color="auto"/>
        <w:left w:val="none" w:sz="0" w:space="0" w:color="auto"/>
        <w:bottom w:val="none" w:sz="0" w:space="0" w:color="auto"/>
        <w:right w:val="none" w:sz="0" w:space="0" w:color="auto"/>
      </w:divBdr>
    </w:div>
    <w:div w:id="924219065">
      <w:bodyDiv w:val="1"/>
      <w:marLeft w:val="0"/>
      <w:marRight w:val="0"/>
      <w:marTop w:val="0"/>
      <w:marBottom w:val="0"/>
      <w:divBdr>
        <w:top w:val="none" w:sz="0" w:space="0" w:color="auto"/>
        <w:left w:val="none" w:sz="0" w:space="0" w:color="auto"/>
        <w:bottom w:val="none" w:sz="0" w:space="0" w:color="auto"/>
        <w:right w:val="none" w:sz="0" w:space="0" w:color="auto"/>
      </w:divBdr>
    </w:div>
    <w:div w:id="925380435">
      <w:bodyDiv w:val="1"/>
      <w:marLeft w:val="0"/>
      <w:marRight w:val="0"/>
      <w:marTop w:val="0"/>
      <w:marBottom w:val="0"/>
      <w:divBdr>
        <w:top w:val="none" w:sz="0" w:space="0" w:color="auto"/>
        <w:left w:val="none" w:sz="0" w:space="0" w:color="auto"/>
        <w:bottom w:val="none" w:sz="0" w:space="0" w:color="auto"/>
        <w:right w:val="none" w:sz="0" w:space="0" w:color="auto"/>
      </w:divBdr>
    </w:div>
    <w:div w:id="947202891">
      <w:bodyDiv w:val="1"/>
      <w:marLeft w:val="0"/>
      <w:marRight w:val="0"/>
      <w:marTop w:val="0"/>
      <w:marBottom w:val="0"/>
      <w:divBdr>
        <w:top w:val="none" w:sz="0" w:space="0" w:color="auto"/>
        <w:left w:val="none" w:sz="0" w:space="0" w:color="auto"/>
        <w:bottom w:val="none" w:sz="0" w:space="0" w:color="auto"/>
        <w:right w:val="none" w:sz="0" w:space="0" w:color="auto"/>
      </w:divBdr>
    </w:div>
    <w:div w:id="1002204207">
      <w:bodyDiv w:val="1"/>
      <w:marLeft w:val="0"/>
      <w:marRight w:val="0"/>
      <w:marTop w:val="0"/>
      <w:marBottom w:val="0"/>
      <w:divBdr>
        <w:top w:val="none" w:sz="0" w:space="0" w:color="auto"/>
        <w:left w:val="none" w:sz="0" w:space="0" w:color="auto"/>
        <w:bottom w:val="none" w:sz="0" w:space="0" w:color="auto"/>
        <w:right w:val="none" w:sz="0" w:space="0" w:color="auto"/>
      </w:divBdr>
    </w:div>
    <w:div w:id="1150751051">
      <w:bodyDiv w:val="1"/>
      <w:marLeft w:val="0"/>
      <w:marRight w:val="0"/>
      <w:marTop w:val="0"/>
      <w:marBottom w:val="0"/>
      <w:divBdr>
        <w:top w:val="none" w:sz="0" w:space="0" w:color="auto"/>
        <w:left w:val="none" w:sz="0" w:space="0" w:color="auto"/>
        <w:bottom w:val="none" w:sz="0" w:space="0" w:color="auto"/>
        <w:right w:val="none" w:sz="0" w:space="0" w:color="auto"/>
      </w:divBdr>
    </w:div>
    <w:div w:id="1179393226">
      <w:bodyDiv w:val="1"/>
      <w:marLeft w:val="0"/>
      <w:marRight w:val="0"/>
      <w:marTop w:val="0"/>
      <w:marBottom w:val="0"/>
      <w:divBdr>
        <w:top w:val="none" w:sz="0" w:space="0" w:color="auto"/>
        <w:left w:val="none" w:sz="0" w:space="0" w:color="auto"/>
        <w:bottom w:val="none" w:sz="0" w:space="0" w:color="auto"/>
        <w:right w:val="none" w:sz="0" w:space="0" w:color="auto"/>
      </w:divBdr>
    </w:div>
    <w:div w:id="1190141412">
      <w:bodyDiv w:val="1"/>
      <w:marLeft w:val="0"/>
      <w:marRight w:val="0"/>
      <w:marTop w:val="0"/>
      <w:marBottom w:val="0"/>
      <w:divBdr>
        <w:top w:val="none" w:sz="0" w:space="0" w:color="auto"/>
        <w:left w:val="none" w:sz="0" w:space="0" w:color="auto"/>
        <w:bottom w:val="none" w:sz="0" w:space="0" w:color="auto"/>
        <w:right w:val="none" w:sz="0" w:space="0" w:color="auto"/>
      </w:divBdr>
    </w:div>
    <w:div w:id="1270356376">
      <w:bodyDiv w:val="1"/>
      <w:marLeft w:val="0"/>
      <w:marRight w:val="0"/>
      <w:marTop w:val="0"/>
      <w:marBottom w:val="0"/>
      <w:divBdr>
        <w:top w:val="none" w:sz="0" w:space="0" w:color="auto"/>
        <w:left w:val="none" w:sz="0" w:space="0" w:color="auto"/>
        <w:bottom w:val="none" w:sz="0" w:space="0" w:color="auto"/>
        <w:right w:val="none" w:sz="0" w:space="0" w:color="auto"/>
      </w:divBdr>
    </w:div>
    <w:div w:id="13701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220A9-0267-432C-9D1C-5BB8C9E4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8323</Words>
  <Characters>53991</Characters>
  <Application>Microsoft Office Word</Application>
  <DocSecurity>4</DocSecurity>
  <Lines>449</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2024100005 flere punkter under 4, 5.3, 6.5, 6.6, 8</dc:description>
  <cp:lastModifiedBy>Alexandra Wæver</cp:lastModifiedBy>
  <cp:revision>2</cp:revision>
  <cp:lastPrinted>2012-08-22T08:53:00Z</cp:lastPrinted>
  <dcterms:created xsi:type="dcterms:W3CDTF">2025-02-03T07:38:00Z</dcterms:created>
  <dcterms:modified xsi:type="dcterms:W3CDTF">2025-02-03T07:38:00Z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