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636BF" w14:textId="5E99E267" w:rsidR="009E6CB9" w:rsidRDefault="0021526C" w:rsidP="00A81456">
      <w:pPr>
        <w:rPr>
          <w:b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6E87C545" wp14:editId="69A7E9FD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>
        <w:rPr>
          <w:sz w:val="24"/>
          <w:szCs w:val="24"/>
        </w:rPr>
        <w:br w:type="textWrapping" w:clear="all"/>
      </w:r>
    </w:p>
    <w:p w14:paraId="37A6A6FD" w14:textId="626DC8D8" w:rsidR="009260DE" w:rsidRPr="000F175B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0F175B">
        <w:rPr>
          <w:b w:val="0"/>
          <w:szCs w:val="24"/>
          <w:lang w:eastAsia="en-US"/>
        </w:rPr>
        <w:tab/>
      </w:r>
      <w:r w:rsidR="00A81456">
        <w:rPr>
          <w:szCs w:val="24"/>
        </w:rPr>
        <w:t>14. marts 2024</w:t>
      </w:r>
    </w:p>
    <w:p w14:paraId="1982A978" w14:textId="508F6641" w:rsidR="009260DE" w:rsidRDefault="009260DE" w:rsidP="009260DE">
      <w:pPr>
        <w:pStyle w:val="Titel"/>
        <w:jc w:val="left"/>
        <w:rPr>
          <w:b w:val="0"/>
          <w:szCs w:val="24"/>
        </w:rPr>
      </w:pPr>
    </w:p>
    <w:p w14:paraId="2852A77A" w14:textId="77777777" w:rsidR="00A81456" w:rsidRPr="000F175B" w:rsidRDefault="00A81456" w:rsidP="009260DE">
      <w:pPr>
        <w:pStyle w:val="Titel"/>
        <w:jc w:val="left"/>
        <w:rPr>
          <w:b w:val="0"/>
          <w:szCs w:val="24"/>
        </w:rPr>
      </w:pPr>
    </w:p>
    <w:p w14:paraId="44AC1AE3" w14:textId="77777777" w:rsidR="009260DE" w:rsidRPr="000F175B" w:rsidRDefault="009260DE" w:rsidP="009260DE">
      <w:pPr>
        <w:pStyle w:val="Titel"/>
        <w:jc w:val="left"/>
        <w:rPr>
          <w:b w:val="0"/>
          <w:szCs w:val="24"/>
        </w:rPr>
      </w:pPr>
    </w:p>
    <w:p w14:paraId="19905C72" w14:textId="77777777" w:rsidR="009260DE" w:rsidRPr="000F175B" w:rsidRDefault="009260DE" w:rsidP="009260DE">
      <w:pPr>
        <w:jc w:val="center"/>
        <w:rPr>
          <w:b/>
          <w:sz w:val="24"/>
          <w:szCs w:val="24"/>
        </w:rPr>
      </w:pPr>
      <w:r w:rsidRPr="000F175B">
        <w:rPr>
          <w:b/>
          <w:sz w:val="24"/>
          <w:szCs w:val="24"/>
        </w:rPr>
        <w:t>PRODUKTRESUMÉ</w:t>
      </w:r>
    </w:p>
    <w:p w14:paraId="52373D0E" w14:textId="77777777" w:rsidR="009260DE" w:rsidRPr="000F175B" w:rsidRDefault="009260DE" w:rsidP="009260DE">
      <w:pPr>
        <w:jc w:val="center"/>
        <w:rPr>
          <w:b/>
          <w:sz w:val="24"/>
          <w:szCs w:val="24"/>
        </w:rPr>
      </w:pPr>
    </w:p>
    <w:p w14:paraId="2C2E3268" w14:textId="77777777" w:rsidR="009260DE" w:rsidRPr="000F175B" w:rsidRDefault="009260DE" w:rsidP="009260DE">
      <w:pPr>
        <w:jc w:val="center"/>
        <w:rPr>
          <w:b/>
          <w:sz w:val="24"/>
          <w:szCs w:val="24"/>
        </w:rPr>
      </w:pPr>
      <w:r w:rsidRPr="000F175B">
        <w:rPr>
          <w:b/>
          <w:sz w:val="24"/>
          <w:szCs w:val="24"/>
        </w:rPr>
        <w:t>for</w:t>
      </w:r>
    </w:p>
    <w:p w14:paraId="03507DFA" w14:textId="77777777" w:rsidR="000B058C" w:rsidRPr="000F175B" w:rsidRDefault="000B058C" w:rsidP="009260DE">
      <w:pPr>
        <w:jc w:val="center"/>
        <w:rPr>
          <w:b/>
          <w:sz w:val="24"/>
          <w:szCs w:val="24"/>
        </w:rPr>
      </w:pPr>
    </w:p>
    <w:p w14:paraId="41FD8A28" w14:textId="44AA5F8A" w:rsidR="009260DE" w:rsidRPr="000F175B" w:rsidRDefault="00FF1551" w:rsidP="009260DE">
      <w:pPr>
        <w:jc w:val="center"/>
        <w:rPr>
          <w:b/>
          <w:sz w:val="24"/>
          <w:szCs w:val="24"/>
        </w:rPr>
      </w:pPr>
      <w:proofErr w:type="spellStart"/>
      <w:r w:rsidRPr="000F175B">
        <w:rPr>
          <w:b/>
          <w:sz w:val="24"/>
          <w:szCs w:val="24"/>
        </w:rPr>
        <w:t>Lipomeg</w:t>
      </w:r>
      <w:proofErr w:type="spellEnd"/>
      <w:r w:rsidRPr="000F175B">
        <w:rPr>
          <w:b/>
          <w:sz w:val="24"/>
          <w:szCs w:val="24"/>
        </w:rPr>
        <w:t>, bløde kapsler</w:t>
      </w:r>
    </w:p>
    <w:p w14:paraId="36A9EC10" w14:textId="77777777" w:rsidR="009260DE" w:rsidRPr="000F175B" w:rsidRDefault="009260DE" w:rsidP="009260DE">
      <w:pPr>
        <w:jc w:val="both"/>
        <w:rPr>
          <w:sz w:val="24"/>
          <w:szCs w:val="24"/>
        </w:rPr>
      </w:pPr>
    </w:p>
    <w:p w14:paraId="2FD1EFE4" w14:textId="77777777" w:rsidR="009260DE" w:rsidRPr="000F175B" w:rsidRDefault="009260DE" w:rsidP="009260DE">
      <w:pPr>
        <w:jc w:val="both"/>
        <w:rPr>
          <w:sz w:val="24"/>
          <w:szCs w:val="24"/>
        </w:rPr>
      </w:pPr>
    </w:p>
    <w:p w14:paraId="23ECBBA5" w14:textId="77777777" w:rsidR="009260DE" w:rsidRPr="000F175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F175B">
        <w:rPr>
          <w:b/>
          <w:sz w:val="24"/>
          <w:szCs w:val="24"/>
        </w:rPr>
        <w:t>0.</w:t>
      </w:r>
      <w:r w:rsidRPr="000F175B">
        <w:rPr>
          <w:b/>
          <w:sz w:val="24"/>
          <w:szCs w:val="24"/>
        </w:rPr>
        <w:tab/>
        <w:t>D.SP.NR.</w:t>
      </w:r>
    </w:p>
    <w:p w14:paraId="4BE77D29" w14:textId="27CA0D3B" w:rsidR="009260DE" w:rsidRPr="000F175B" w:rsidRDefault="00FF1551" w:rsidP="009260DE">
      <w:pPr>
        <w:tabs>
          <w:tab w:val="left" w:pos="851"/>
        </w:tabs>
        <w:ind w:left="851"/>
        <w:rPr>
          <w:sz w:val="24"/>
          <w:szCs w:val="24"/>
        </w:rPr>
      </w:pPr>
      <w:r w:rsidRPr="000F175B">
        <w:rPr>
          <w:sz w:val="24"/>
          <w:szCs w:val="24"/>
        </w:rPr>
        <w:t>30989</w:t>
      </w:r>
    </w:p>
    <w:p w14:paraId="0AB96E08" w14:textId="77777777" w:rsidR="009260DE" w:rsidRPr="000F175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6BEDE1C" w14:textId="77777777" w:rsidR="009260DE" w:rsidRPr="000F175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F175B">
        <w:rPr>
          <w:b/>
          <w:sz w:val="24"/>
          <w:szCs w:val="24"/>
        </w:rPr>
        <w:t>1.</w:t>
      </w:r>
      <w:r w:rsidRPr="000F175B">
        <w:rPr>
          <w:b/>
          <w:sz w:val="24"/>
          <w:szCs w:val="24"/>
        </w:rPr>
        <w:tab/>
        <w:t>LÆGEMIDLETS NAVN</w:t>
      </w:r>
    </w:p>
    <w:p w14:paraId="635B8A4C" w14:textId="57202C44" w:rsidR="009260DE" w:rsidRPr="000F175B" w:rsidRDefault="00FF1551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0F175B">
        <w:rPr>
          <w:sz w:val="24"/>
          <w:szCs w:val="24"/>
        </w:rPr>
        <w:t>Lipomeg</w:t>
      </w:r>
      <w:proofErr w:type="spellEnd"/>
    </w:p>
    <w:p w14:paraId="49D5734E" w14:textId="77777777" w:rsidR="009260DE" w:rsidRPr="000F175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CB54E2E" w14:textId="77777777" w:rsidR="009260DE" w:rsidRPr="000F175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F175B">
        <w:rPr>
          <w:b/>
          <w:sz w:val="24"/>
          <w:szCs w:val="24"/>
        </w:rPr>
        <w:t>2.</w:t>
      </w:r>
      <w:r w:rsidRPr="000F175B">
        <w:rPr>
          <w:b/>
          <w:sz w:val="24"/>
          <w:szCs w:val="24"/>
        </w:rPr>
        <w:tab/>
        <w:t>KVALITATIV OG KVANTITATIV SAMMENSÆTNING</w:t>
      </w:r>
    </w:p>
    <w:p w14:paraId="7B54A5D9" w14:textId="3A80B88C" w:rsidR="0035032A" w:rsidRPr="000F175B" w:rsidRDefault="0035032A" w:rsidP="00914C95">
      <w:pPr>
        <w:ind w:left="851"/>
        <w:rPr>
          <w:color w:val="000000"/>
          <w:sz w:val="24"/>
          <w:szCs w:val="24"/>
          <w:lang w:eastAsia="en-GB"/>
        </w:rPr>
      </w:pPr>
      <w:r w:rsidRPr="000F175B">
        <w:rPr>
          <w:color w:val="000000"/>
          <w:sz w:val="24"/>
          <w:szCs w:val="24"/>
          <w:lang w:eastAsia="en-GB"/>
        </w:rPr>
        <w:t>En kapsel indeholder 1000 mg omega-3-syreethylestre 90, der hovedsagelig består af 840</w:t>
      </w:r>
      <w:r w:rsidR="00795CAE">
        <w:rPr>
          <w:color w:val="000000"/>
          <w:sz w:val="24"/>
          <w:szCs w:val="24"/>
          <w:lang w:eastAsia="en-GB"/>
        </w:rPr>
        <w:t> </w:t>
      </w:r>
      <w:r w:rsidRPr="000F175B">
        <w:rPr>
          <w:color w:val="000000"/>
          <w:sz w:val="24"/>
          <w:szCs w:val="24"/>
          <w:lang w:eastAsia="en-GB"/>
        </w:rPr>
        <w:t xml:space="preserve">mg </w:t>
      </w:r>
      <w:proofErr w:type="spellStart"/>
      <w:r w:rsidRPr="000F175B">
        <w:rPr>
          <w:color w:val="000000"/>
          <w:sz w:val="24"/>
          <w:szCs w:val="24"/>
          <w:lang w:eastAsia="en-GB"/>
        </w:rPr>
        <w:t>ethylestre</w:t>
      </w:r>
      <w:proofErr w:type="spellEnd"/>
      <w:r w:rsidRPr="000F175B">
        <w:rPr>
          <w:color w:val="000000"/>
          <w:sz w:val="24"/>
          <w:szCs w:val="24"/>
          <w:lang w:eastAsia="en-GB"/>
        </w:rPr>
        <w:t xml:space="preserve"> af </w:t>
      </w:r>
      <w:proofErr w:type="spellStart"/>
      <w:r w:rsidRPr="000F175B">
        <w:rPr>
          <w:color w:val="000000"/>
          <w:sz w:val="24"/>
          <w:szCs w:val="24"/>
          <w:lang w:eastAsia="en-GB"/>
        </w:rPr>
        <w:t>eicosapentaensyre</w:t>
      </w:r>
      <w:proofErr w:type="spellEnd"/>
      <w:r w:rsidRPr="000F175B">
        <w:rPr>
          <w:color w:val="000000"/>
          <w:sz w:val="24"/>
          <w:szCs w:val="24"/>
          <w:lang w:eastAsia="en-GB"/>
        </w:rPr>
        <w:t xml:space="preserve"> (EPA) (465 mg) og </w:t>
      </w:r>
      <w:proofErr w:type="spellStart"/>
      <w:r w:rsidRPr="000F175B">
        <w:rPr>
          <w:color w:val="000000"/>
          <w:sz w:val="24"/>
          <w:szCs w:val="24"/>
          <w:lang w:eastAsia="en-GB"/>
        </w:rPr>
        <w:t>docosahexaensyre</w:t>
      </w:r>
      <w:proofErr w:type="spellEnd"/>
      <w:r w:rsidRPr="000F175B">
        <w:rPr>
          <w:color w:val="000000"/>
          <w:sz w:val="24"/>
          <w:szCs w:val="24"/>
          <w:lang w:eastAsia="en-GB"/>
        </w:rPr>
        <w:t xml:space="preserve"> (DHA) (375</w:t>
      </w:r>
      <w:r w:rsidR="00795CAE">
        <w:rPr>
          <w:color w:val="000000"/>
          <w:sz w:val="24"/>
          <w:szCs w:val="24"/>
          <w:lang w:eastAsia="en-GB"/>
        </w:rPr>
        <w:t> </w:t>
      </w:r>
      <w:r w:rsidRPr="000F175B">
        <w:rPr>
          <w:color w:val="000000"/>
          <w:sz w:val="24"/>
          <w:szCs w:val="24"/>
          <w:lang w:eastAsia="en-GB"/>
        </w:rPr>
        <w:t xml:space="preserve">mg). </w:t>
      </w:r>
    </w:p>
    <w:p w14:paraId="796B6C71" w14:textId="77777777" w:rsidR="0035032A" w:rsidRPr="000F175B" w:rsidRDefault="0035032A" w:rsidP="00914C95">
      <w:pPr>
        <w:ind w:left="851"/>
        <w:rPr>
          <w:sz w:val="24"/>
          <w:szCs w:val="24"/>
          <w:lang w:eastAsia="en-GB"/>
        </w:rPr>
      </w:pPr>
    </w:p>
    <w:p w14:paraId="5EEB35A1" w14:textId="77777777" w:rsidR="004E5D96" w:rsidRDefault="004E5D96" w:rsidP="004E5D96">
      <w:pPr>
        <w:ind w:left="851"/>
        <w:rPr>
          <w:sz w:val="24"/>
          <w:szCs w:val="24"/>
          <w:lang w:eastAsia="en-GB"/>
        </w:rPr>
      </w:pPr>
      <w:r w:rsidRPr="000F175B">
        <w:rPr>
          <w:sz w:val="24"/>
          <w:szCs w:val="24"/>
          <w:u w:val="single"/>
          <w:lang w:eastAsia="en-GB"/>
        </w:rPr>
        <w:t>Hjælpestof(fer), som behandleren skal være opmærksom på:</w:t>
      </w:r>
      <w:r w:rsidRPr="000F175B">
        <w:rPr>
          <w:sz w:val="24"/>
          <w:szCs w:val="24"/>
          <w:lang w:eastAsia="en-GB"/>
        </w:rPr>
        <w:t xml:space="preserve"> </w:t>
      </w:r>
    </w:p>
    <w:p w14:paraId="00755807" w14:textId="252E2CDE" w:rsidR="004E5D96" w:rsidRPr="000F175B" w:rsidRDefault="004E5D96" w:rsidP="004E5D96">
      <w:pPr>
        <w:ind w:left="851"/>
        <w:rPr>
          <w:color w:val="000000"/>
          <w:sz w:val="24"/>
          <w:szCs w:val="24"/>
          <w:lang w:eastAsia="en-GB"/>
        </w:rPr>
      </w:pPr>
      <w:r w:rsidRPr="00352EF8">
        <w:rPr>
          <w:sz w:val="24"/>
          <w:szCs w:val="24"/>
          <w:lang w:eastAsia="en-GB"/>
        </w:rPr>
        <w:t>Hver kaps</w:t>
      </w:r>
      <w:r w:rsidR="00795CAE">
        <w:rPr>
          <w:sz w:val="24"/>
          <w:szCs w:val="24"/>
          <w:lang w:eastAsia="en-GB"/>
        </w:rPr>
        <w:t>el</w:t>
      </w:r>
      <w:r w:rsidRPr="00352EF8">
        <w:rPr>
          <w:sz w:val="24"/>
          <w:szCs w:val="24"/>
          <w:lang w:eastAsia="en-GB"/>
        </w:rPr>
        <w:t xml:space="preserve"> indeholder 1,38 mg propylenglycol.</w:t>
      </w:r>
    </w:p>
    <w:p w14:paraId="1BDDCCE2" w14:textId="77777777" w:rsidR="0035032A" w:rsidRPr="000F175B" w:rsidRDefault="0035032A" w:rsidP="00914C95">
      <w:pPr>
        <w:suppressAutoHyphens/>
        <w:ind w:left="851"/>
        <w:rPr>
          <w:color w:val="000000"/>
          <w:sz w:val="24"/>
          <w:szCs w:val="24"/>
          <w:lang w:eastAsia="en-GB"/>
        </w:rPr>
      </w:pPr>
    </w:p>
    <w:p w14:paraId="2709C196" w14:textId="77777777" w:rsidR="0035032A" w:rsidRPr="00A81456" w:rsidRDefault="0035032A" w:rsidP="00914C95">
      <w:pPr>
        <w:suppressAutoHyphens/>
        <w:ind w:left="851"/>
        <w:rPr>
          <w:sz w:val="24"/>
          <w:szCs w:val="24"/>
          <w:lang w:eastAsia="fr-LU"/>
        </w:rPr>
      </w:pPr>
      <w:r w:rsidRPr="000F175B">
        <w:rPr>
          <w:color w:val="000000"/>
          <w:sz w:val="24"/>
          <w:szCs w:val="24"/>
          <w:lang w:eastAsia="en-GB"/>
        </w:rPr>
        <w:t>Alle hjælpestoffer er anført under pkt. 6.1.</w:t>
      </w:r>
    </w:p>
    <w:p w14:paraId="73B1F694" w14:textId="77777777" w:rsidR="009260DE" w:rsidRPr="000F175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D4D7172" w14:textId="77777777" w:rsidR="009260DE" w:rsidRPr="000F175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F175B">
        <w:rPr>
          <w:b/>
          <w:sz w:val="24"/>
          <w:szCs w:val="24"/>
        </w:rPr>
        <w:t>3.</w:t>
      </w:r>
      <w:r w:rsidRPr="000F175B">
        <w:rPr>
          <w:b/>
          <w:sz w:val="24"/>
          <w:szCs w:val="24"/>
        </w:rPr>
        <w:tab/>
        <w:t>LÆGEMIDDELFORM</w:t>
      </w:r>
    </w:p>
    <w:p w14:paraId="4DCCCD2E" w14:textId="00747377" w:rsidR="0035032A" w:rsidRPr="000F175B" w:rsidRDefault="000F175B" w:rsidP="00914C95">
      <w:pPr>
        <w:ind w:left="851"/>
        <w:rPr>
          <w:color w:val="000000"/>
          <w:sz w:val="24"/>
          <w:szCs w:val="24"/>
          <w:lang w:eastAsia="en-GB"/>
        </w:rPr>
      </w:pPr>
      <w:r>
        <w:rPr>
          <w:color w:val="000000"/>
          <w:sz w:val="24"/>
          <w:szCs w:val="24"/>
          <w:lang w:eastAsia="en-GB"/>
        </w:rPr>
        <w:t>Bløde kapsler</w:t>
      </w:r>
    </w:p>
    <w:p w14:paraId="44E83574" w14:textId="77777777" w:rsidR="0035032A" w:rsidRPr="000F175B" w:rsidRDefault="0035032A" w:rsidP="00914C95">
      <w:pPr>
        <w:suppressAutoHyphens/>
        <w:ind w:left="851"/>
        <w:rPr>
          <w:sz w:val="24"/>
          <w:szCs w:val="24"/>
          <w:lang w:eastAsia="fr-LU"/>
        </w:rPr>
      </w:pPr>
      <w:r w:rsidRPr="000F175B">
        <w:rPr>
          <w:color w:val="000000"/>
          <w:sz w:val="24"/>
          <w:szCs w:val="24"/>
          <w:lang w:eastAsia="en-GB"/>
        </w:rPr>
        <w:t>Blød, aflang, gennemsigtig gelatinekapsel påtrykt '740' indeholdende lysegul olieagtig væske.</w:t>
      </w:r>
    </w:p>
    <w:p w14:paraId="50B9FD2B" w14:textId="77777777" w:rsidR="009260DE" w:rsidRPr="000F175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A32398F" w14:textId="77777777" w:rsidR="009260DE" w:rsidRPr="000F175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3D6DBBF" w14:textId="77777777" w:rsidR="009260DE" w:rsidRPr="000F175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F175B">
        <w:rPr>
          <w:b/>
          <w:sz w:val="24"/>
          <w:szCs w:val="24"/>
        </w:rPr>
        <w:t>4.</w:t>
      </w:r>
      <w:r w:rsidRPr="000F175B">
        <w:rPr>
          <w:b/>
          <w:sz w:val="24"/>
          <w:szCs w:val="24"/>
        </w:rPr>
        <w:tab/>
        <w:t>KLINISKE OPLYSNINGER</w:t>
      </w:r>
    </w:p>
    <w:p w14:paraId="24B8FC17" w14:textId="77777777" w:rsidR="009260DE" w:rsidRPr="000F175B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67ABBFB1" w14:textId="77777777" w:rsidR="009260DE" w:rsidRPr="000F175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0F175B">
        <w:rPr>
          <w:b/>
          <w:sz w:val="24"/>
          <w:szCs w:val="24"/>
        </w:rPr>
        <w:t>4.1</w:t>
      </w:r>
      <w:r w:rsidRPr="000F175B">
        <w:rPr>
          <w:b/>
          <w:sz w:val="24"/>
          <w:szCs w:val="24"/>
        </w:rPr>
        <w:tab/>
        <w:t>Terapeutiske indikationer</w:t>
      </w:r>
    </w:p>
    <w:p w14:paraId="1E59EFA5" w14:textId="77777777" w:rsidR="00255779" w:rsidRDefault="00255779" w:rsidP="00914C95">
      <w:pPr>
        <w:ind w:left="851"/>
        <w:rPr>
          <w:color w:val="000000"/>
          <w:sz w:val="24"/>
          <w:szCs w:val="24"/>
          <w:u w:val="single"/>
          <w:lang w:eastAsia="en-GB"/>
        </w:rPr>
      </w:pPr>
    </w:p>
    <w:p w14:paraId="6D3FA08B" w14:textId="640B3E17" w:rsidR="0035032A" w:rsidRPr="000F175B" w:rsidRDefault="0035032A" w:rsidP="00914C95">
      <w:pPr>
        <w:ind w:left="851"/>
        <w:rPr>
          <w:color w:val="000000"/>
          <w:sz w:val="24"/>
          <w:szCs w:val="24"/>
          <w:lang w:eastAsia="en-GB"/>
        </w:rPr>
      </w:pPr>
      <w:proofErr w:type="spellStart"/>
      <w:r w:rsidRPr="000F175B">
        <w:rPr>
          <w:color w:val="000000"/>
          <w:sz w:val="24"/>
          <w:szCs w:val="24"/>
          <w:u w:val="single"/>
          <w:lang w:eastAsia="en-GB"/>
        </w:rPr>
        <w:t>Hypertriglyceridæmi</w:t>
      </w:r>
      <w:proofErr w:type="spellEnd"/>
      <w:r w:rsidRPr="000F175B">
        <w:rPr>
          <w:color w:val="000000"/>
          <w:sz w:val="24"/>
          <w:szCs w:val="24"/>
          <w:lang w:eastAsia="en-GB"/>
        </w:rPr>
        <w:t xml:space="preserve"> </w:t>
      </w:r>
    </w:p>
    <w:p w14:paraId="3CFEDC59" w14:textId="77777777" w:rsidR="0035032A" w:rsidRPr="000F175B" w:rsidRDefault="0035032A" w:rsidP="00914C95">
      <w:pPr>
        <w:ind w:left="851"/>
        <w:rPr>
          <w:color w:val="000000"/>
          <w:sz w:val="24"/>
          <w:szCs w:val="24"/>
          <w:lang w:eastAsia="en-GB"/>
        </w:rPr>
      </w:pPr>
    </w:p>
    <w:p w14:paraId="185812E2" w14:textId="77777777" w:rsidR="0035032A" w:rsidRPr="000F175B" w:rsidRDefault="0035032A" w:rsidP="00914C95">
      <w:pPr>
        <w:ind w:left="851"/>
        <w:rPr>
          <w:color w:val="000000"/>
          <w:sz w:val="24"/>
          <w:szCs w:val="24"/>
          <w:lang w:eastAsia="en-GB"/>
        </w:rPr>
      </w:pPr>
      <w:r w:rsidRPr="000F175B">
        <w:rPr>
          <w:color w:val="000000"/>
          <w:sz w:val="24"/>
          <w:szCs w:val="24"/>
          <w:lang w:eastAsia="en-GB"/>
        </w:rPr>
        <w:t xml:space="preserve">Endogen </w:t>
      </w:r>
      <w:proofErr w:type="spellStart"/>
      <w:r w:rsidRPr="000F175B">
        <w:rPr>
          <w:color w:val="000000"/>
          <w:sz w:val="24"/>
          <w:szCs w:val="24"/>
          <w:lang w:eastAsia="en-GB"/>
        </w:rPr>
        <w:t>hypertriglyceridæmi</w:t>
      </w:r>
      <w:proofErr w:type="spellEnd"/>
      <w:r w:rsidRPr="000F175B">
        <w:rPr>
          <w:color w:val="000000"/>
          <w:sz w:val="24"/>
          <w:szCs w:val="24"/>
          <w:lang w:eastAsia="en-GB"/>
        </w:rPr>
        <w:t>: som kosttilskud, når kosttiltag alene er utilstrækkeligt til at give et passende respons:</w:t>
      </w:r>
    </w:p>
    <w:p w14:paraId="05D925B2" w14:textId="77777777" w:rsidR="0035032A" w:rsidRPr="000F175B" w:rsidRDefault="0035032A" w:rsidP="00914C95">
      <w:pPr>
        <w:numPr>
          <w:ilvl w:val="0"/>
          <w:numId w:val="6"/>
        </w:numPr>
        <w:ind w:left="1276" w:hanging="425"/>
        <w:rPr>
          <w:color w:val="000000"/>
          <w:sz w:val="24"/>
          <w:szCs w:val="24"/>
          <w:lang w:eastAsia="en-GB"/>
        </w:rPr>
      </w:pPr>
      <w:r w:rsidRPr="000F175B">
        <w:rPr>
          <w:color w:val="000000"/>
          <w:sz w:val="24"/>
          <w:szCs w:val="24"/>
          <w:lang w:eastAsia="en-GB"/>
        </w:rPr>
        <w:t>type IV i monoterapi</w:t>
      </w:r>
    </w:p>
    <w:p w14:paraId="7687DCFA" w14:textId="77777777" w:rsidR="0035032A" w:rsidRPr="000F175B" w:rsidRDefault="0035032A" w:rsidP="00914C95">
      <w:pPr>
        <w:numPr>
          <w:ilvl w:val="0"/>
          <w:numId w:val="6"/>
        </w:numPr>
        <w:ind w:left="1276" w:hanging="425"/>
        <w:rPr>
          <w:sz w:val="24"/>
          <w:szCs w:val="24"/>
          <w:lang w:eastAsia="fr-LU"/>
        </w:rPr>
      </w:pPr>
      <w:r w:rsidRPr="000F175B">
        <w:rPr>
          <w:color w:val="000000"/>
          <w:sz w:val="24"/>
          <w:szCs w:val="24"/>
          <w:lang w:eastAsia="en-GB"/>
        </w:rPr>
        <w:t xml:space="preserve">type </w:t>
      </w:r>
      <w:proofErr w:type="spellStart"/>
      <w:r w:rsidRPr="000F175B">
        <w:rPr>
          <w:color w:val="000000"/>
          <w:sz w:val="24"/>
          <w:szCs w:val="24"/>
          <w:lang w:eastAsia="en-GB"/>
        </w:rPr>
        <w:t>IIb</w:t>
      </w:r>
      <w:proofErr w:type="spellEnd"/>
      <w:r w:rsidRPr="000F175B">
        <w:rPr>
          <w:color w:val="000000"/>
          <w:sz w:val="24"/>
          <w:szCs w:val="24"/>
          <w:lang w:eastAsia="en-GB"/>
        </w:rPr>
        <w:t xml:space="preserve">/III i kombination med </w:t>
      </w:r>
      <w:proofErr w:type="spellStart"/>
      <w:r w:rsidRPr="000F175B">
        <w:rPr>
          <w:color w:val="000000"/>
          <w:sz w:val="24"/>
          <w:szCs w:val="24"/>
          <w:lang w:eastAsia="en-GB"/>
        </w:rPr>
        <w:t>statiner</w:t>
      </w:r>
      <w:proofErr w:type="spellEnd"/>
      <w:r w:rsidRPr="000F175B">
        <w:rPr>
          <w:color w:val="000000"/>
          <w:sz w:val="24"/>
          <w:szCs w:val="24"/>
          <w:lang w:eastAsia="en-GB"/>
        </w:rPr>
        <w:t xml:space="preserve">, når kontrol af triglycerider er utilstrækkelig. </w:t>
      </w:r>
    </w:p>
    <w:p w14:paraId="05BAF3E4" w14:textId="0407DEEC" w:rsidR="00E4253E" w:rsidRDefault="00E4253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CFFADB2" w14:textId="77777777" w:rsidR="009260DE" w:rsidRPr="000F175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02B1245" w14:textId="11B1FA86" w:rsidR="009260DE" w:rsidRPr="000F175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F175B">
        <w:rPr>
          <w:b/>
          <w:sz w:val="24"/>
          <w:szCs w:val="24"/>
        </w:rPr>
        <w:t>4.2</w:t>
      </w:r>
      <w:r w:rsidRPr="000F175B">
        <w:rPr>
          <w:b/>
          <w:sz w:val="24"/>
          <w:szCs w:val="24"/>
        </w:rPr>
        <w:tab/>
        <w:t xml:space="preserve">Dosering og </w:t>
      </w:r>
      <w:r w:rsidR="00593E52" w:rsidRPr="00593E52">
        <w:rPr>
          <w:b/>
          <w:sz w:val="24"/>
          <w:szCs w:val="24"/>
        </w:rPr>
        <w:t>administration</w:t>
      </w:r>
    </w:p>
    <w:p w14:paraId="487FA5DF" w14:textId="77777777" w:rsidR="00255779" w:rsidRDefault="00255779" w:rsidP="00914C95">
      <w:pPr>
        <w:ind w:left="851"/>
        <w:rPr>
          <w:sz w:val="24"/>
          <w:szCs w:val="24"/>
          <w:u w:val="single"/>
        </w:rPr>
      </w:pPr>
    </w:p>
    <w:p w14:paraId="4111DE64" w14:textId="75BF5729" w:rsidR="00A0096D" w:rsidRPr="000F175B" w:rsidRDefault="00A0096D" w:rsidP="00914C95">
      <w:pPr>
        <w:ind w:left="851"/>
        <w:rPr>
          <w:sz w:val="24"/>
          <w:szCs w:val="24"/>
          <w:u w:val="single"/>
          <w:lang w:eastAsia="fr-LU"/>
        </w:rPr>
      </w:pPr>
      <w:r w:rsidRPr="000F175B">
        <w:rPr>
          <w:sz w:val="24"/>
          <w:szCs w:val="24"/>
          <w:u w:val="single"/>
        </w:rPr>
        <w:t>Dosering</w:t>
      </w:r>
    </w:p>
    <w:p w14:paraId="658D842F" w14:textId="77777777" w:rsidR="00A0096D" w:rsidRPr="000F175B" w:rsidRDefault="00A0096D" w:rsidP="00914C95">
      <w:pPr>
        <w:ind w:left="851"/>
        <w:rPr>
          <w:i/>
          <w:color w:val="000000"/>
          <w:sz w:val="24"/>
          <w:szCs w:val="24"/>
          <w:u w:val="single"/>
          <w:lang w:eastAsia="en-GB"/>
        </w:rPr>
      </w:pPr>
    </w:p>
    <w:p w14:paraId="0114E176" w14:textId="77777777" w:rsidR="00A0096D" w:rsidRPr="000F175B" w:rsidRDefault="00A0096D" w:rsidP="00914C95">
      <w:pPr>
        <w:ind w:left="851"/>
        <w:rPr>
          <w:i/>
          <w:color w:val="000000"/>
          <w:sz w:val="24"/>
          <w:szCs w:val="24"/>
          <w:lang w:eastAsia="en-GB"/>
        </w:rPr>
      </w:pPr>
      <w:r w:rsidRPr="000F175B">
        <w:rPr>
          <w:i/>
          <w:color w:val="000000"/>
          <w:sz w:val="24"/>
          <w:szCs w:val="24"/>
          <w:lang w:eastAsia="en-GB"/>
        </w:rPr>
        <w:t xml:space="preserve">Voksne </w:t>
      </w:r>
    </w:p>
    <w:p w14:paraId="191A0BF0" w14:textId="77777777" w:rsidR="00A0096D" w:rsidRPr="000F175B" w:rsidRDefault="00A0096D" w:rsidP="00914C95">
      <w:pPr>
        <w:ind w:left="851"/>
        <w:rPr>
          <w:color w:val="000000"/>
          <w:sz w:val="24"/>
          <w:szCs w:val="24"/>
          <w:u w:val="single"/>
          <w:lang w:eastAsia="en-GB"/>
        </w:rPr>
      </w:pPr>
    </w:p>
    <w:p w14:paraId="1748C624" w14:textId="77777777" w:rsidR="00A0096D" w:rsidRPr="000F175B" w:rsidRDefault="00A0096D" w:rsidP="00914C95">
      <w:pPr>
        <w:ind w:left="851"/>
        <w:rPr>
          <w:color w:val="000000"/>
          <w:sz w:val="24"/>
          <w:szCs w:val="24"/>
          <w:lang w:eastAsia="en-GB"/>
        </w:rPr>
      </w:pPr>
      <w:proofErr w:type="spellStart"/>
      <w:r w:rsidRPr="000F175B">
        <w:rPr>
          <w:color w:val="000000"/>
          <w:sz w:val="24"/>
          <w:szCs w:val="24"/>
          <w:u w:val="single"/>
          <w:lang w:eastAsia="en-GB"/>
        </w:rPr>
        <w:t>Hypertriglyceridæmi</w:t>
      </w:r>
      <w:proofErr w:type="spellEnd"/>
      <w:r w:rsidRPr="000F175B">
        <w:rPr>
          <w:color w:val="000000"/>
          <w:sz w:val="24"/>
          <w:szCs w:val="24"/>
          <w:lang w:eastAsia="en-GB"/>
        </w:rPr>
        <w:t xml:space="preserve"> </w:t>
      </w:r>
    </w:p>
    <w:p w14:paraId="5DE60AC9" w14:textId="77777777" w:rsidR="00A0096D" w:rsidRPr="000F175B" w:rsidRDefault="00A0096D" w:rsidP="00914C95">
      <w:pPr>
        <w:ind w:left="851"/>
        <w:rPr>
          <w:color w:val="000000"/>
          <w:sz w:val="24"/>
          <w:szCs w:val="24"/>
          <w:lang w:eastAsia="en-GB"/>
        </w:rPr>
      </w:pPr>
    </w:p>
    <w:p w14:paraId="5D38AFF3" w14:textId="77777777" w:rsidR="00A0096D" w:rsidRPr="000F175B" w:rsidRDefault="00A0096D" w:rsidP="00914C95">
      <w:pPr>
        <w:ind w:left="851"/>
        <w:rPr>
          <w:color w:val="000000"/>
          <w:sz w:val="24"/>
          <w:szCs w:val="24"/>
          <w:lang w:eastAsia="en-GB"/>
        </w:rPr>
      </w:pPr>
      <w:r w:rsidRPr="000F175B">
        <w:rPr>
          <w:color w:val="000000"/>
          <w:sz w:val="24"/>
          <w:szCs w:val="24"/>
          <w:lang w:eastAsia="en-GB"/>
        </w:rPr>
        <w:t xml:space="preserve">Indledende behandling er to kapsler dagligt. Hvis der ikke opnås tilstrækkelig respons, kan dosis øges til fire kapsler dagligt. </w:t>
      </w:r>
    </w:p>
    <w:p w14:paraId="62C2E739" w14:textId="77777777" w:rsidR="00A0096D" w:rsidRPr="000F175B" w:rsidRDefault="00A0096D" w:rsidP="00914C95">
      <w:pPr>
        <w:ind w:left="851"/>
        <w:rPr>
          <w:color w:val="000000"/>
          <w:sz w:val="24"/>
          <w:szCs w:val="24"/>
          <w:lang w:eastAsia="en-GB"/>
        </w:rPr>
      </w:pPr>
    </w:p>
    <w:p w14:paraId="6A2D6FC3" w14:textId="77777777" w:rsidR="00A0096D" w:rsidRPr="000F175B" w:rsidRDefault="00A0096D" w:rsidP="00914C95">
      <w:pPr>
        <w:ind w:left="851"/>
        <w:rPr>
          <w:color w:val="000000"/>
          <w:sz w:val="24"/>
          <w:szCs w:val="24"/>
          <w:lang w:eastAsia="en-GB"/>
        </w:rPr>
      </w:pPr>
      <w:r w:rsidRPr="000F175B">
        <w:rPr>
          <w:color w:val="000000"/>
          <w:sz w:val="24"/>
          <w:szCs w:val="24"/>
          <w:lang w:eastAsia="en-GB"/>
        </w:rPr>
        <w:t xml:space="preserve">Kapslerne kan tages med mad for at undgå </w:t>
      </w:r>
      <w:proofErr w:type="spellStart"/>
      <w:r w:rsidRPr="000F175B">
        <w:rPr>
          <w:color w:val="000000"/>
          <w:sz w:val="24"/>
          <w:szCs w:val="24"/>
          <w:lang w:eastAsia="en-GB"/>
        </w:rPr>
        <w:t>gastrointestinale</w:t>
      </w:r>
      <w:proofErr w:type="spellEnd"/>
      <w:r w:rsidRPr="000F175B">
        <w:rPr>
          <w:color w:val="000000"/>
          <w:sz w:val="24"/>
          <w:szCs w:val="24"/>
          <w:lang w:eastAsia="en-GB"/>
        </w:rPr>
        <w:t xml:space="preserve"> forstyrrelser. </w:t>
      </w:r>
    </w:p>
    <w:p w14:paraId="6C2587EB" w14:textId="77777777" w:rsidR="00A0096D" w:rsidRPr="000F175B" w:rsidRDefault="00A0096D" w:rsidP="00914C95">
      <w:pPr>
        <w:ind w:left="851"/>
        <w:rPr>
          <w:i/>
          <w:sz w:val="24"/>
          <w:szCs w:val="24"/>
          <w:u w:val="single"/>
          <w:lang w:eastAsia="en-GB"/>
        </w:rPr>
      </w:pPr>
    </w:p>
    <w:p w14:paraId="76DC3AC7" w14:textId="77777777" w:rsidR="00A0096D" w:rsidRPr="000F175B" w:rsidRDefault="00A0096D" w:rsidP="00914C95">
      <w:pPr>
        <w:ind w:left="851"/>
        <w:rPr>
          <w:i/>
          <w:color w:val="000000"/>
          <w:sz w:val="24"/>
          <w:szCs w:val="24"/>
          <w:lang w:eastAsia="en-GB"/>
        </w:rPr>
      </w:pPr>
      <w:r w:rsidRPr="000F175B">
        <w:rPr>
          <w:i/>
          <w:sz w:val="24"/>
          <w:szCs w:val="24"/>
          <w:lang w:eastAsia="en-GB"/>
        </w:rPr>
        <w:t>Særlige populationer</w:t>
      </w:r>
    </w:p>
    <w:p w14:paraId="79C7E099" w14:textId="77777777" w:rsidR="00A0096D" w:rsidRPr="000F175B" w:rsidRDefault="00A0096D" w:rsidP="00914C95">
      <w:pPr>
        <w:ind w:left="851"/>
        <w:rPr>
          <w:color w:val="000000"/>
          <w:sz w:val="24"/>
          <w:szCs w:val="24"/>
          <w:lang w:eastAsia="en-GB"/>
        </w:rPr>
      </w:pPr>
    </w:p>
    <w:p w14:paraId="0400349D" w14:textId="7B4B4702" w:rsidR="00A0096D" w:rsidRPr="000F175B" w:rsidRDefault="00A0096D" w:rsidP="00914C95">
      <w:pPr>
        <w:ind w:left="851"/>
        <w:rPr>
          <w:color w:val="000000"/>
          <w:sz w:val="24"/>
          <w:szCs w:val="24"/>
          <w:lang w:eastAsia="en-GB"/>
        </w:rPr>
      </w:pPr>
      <w:r w:rsidRPr="000F175B">
        <w:rPr>
          <w:color w:val="000000"/>
          <w:sz w:val="24"/>
          <w:szCs w:val="24"/>
          <w:lang w:eastAsia="en-GB"/>
        </w:rPr>
        <w:t xml:space="preserve">Der er begrænsede kliniske data vedrørende brugen af </w:t>
      </w:r>
      <w:proofErr w:type="spellStart"/>
      <w:r w:rsidRPr="000F175B">
        <w:rPr>
          <w:color w:val="000000"/>
          <w:sz w:val="24"/>
          <w:szCs w:val="24"/>
          <w:lang w:eastAsia="en-GB"/>
        </w:rPr>
        <w:t>Lipomeg</w:t>
      </w:r>
      <w:proofErr w:type="spellEnd"/>
      <w:r w:rsidRPr="000F175B">
        <w:rPr>
          <w:color w:val="000000"/>
          <w:sz w:val="24"/>
          <w:szCs w:val="24"/>
          <w:lang w:eastAsia="en-GB"/>
        </w:rPr>
        <w:t xml:space="preserve"> 1000 mg bløde kapsler til ældre over 70 år og patienter med nedsat nyrefunktion (se pkt. 4.4). </w:t>
      </w:r>
    </w:p>
    <w:p w14:paraId="16EF1539" w14:textId="11F00F2A" w:rsidR="00A0096D" w:rsidRPr="000F175B" w:rsidRDefault="00A0096D" w:rsidP="00914C95">
      <w:pPr>
        <w:ind w:left="851"/>
        <w:rPr>
          <w:sz w:val="24"/>
          <w:szCs w:val="24"/>
          <w:lang w:eastAsia="fr-LU"/>
        </w:rPr>
      </w:pPr>
      <w:r w:rsidRPr="000F175B">
        <w:rPr>
          <w:color w:val="000000"/>
          <w:sz w:val="24"/>
          <w:szCs w:val="24"/>
          <w:lang w:eastAsia="en-GB"/>
        </w:rPr>
        <w:t xml:space="preserve">Der er ingen oplysninger om brugen af </w:t>
      </w:r>
      <w:proofErr w:type="spellStart"/>
      <w:r w:rsidRPr="000F175B">
        <w:rPr>
          <w:color w:val="000000"/>
          <w:sz w:val="24"/>
          <w:szCs w:val="24"/>
          <w:lang w:eastAsia="en-GB"/>
        </w:rPr>
        <w:t>Lipomeg</w:t>
      </w:r>
      <w:proofErr w:type="spellEnd"/>
      <w:r w:rsidRPr="000F175B">
        <w:rPr>
          <w:color w:val="000000"/>
          <w:sz w:val="24"/>
          <w:szCs w:val="24"/>
          <w:lang w:eastAsia="en-GB"/>
        </w:rPr>
        <w:t xml:space="preserve"> 1000 mg bløde kapsler til børn og unge eller til patienter med nedsat leverfunktion (se pkt. 4.4).</w:t>
      </w:r>
    </w:p>
    <w:p w14:paraId="33945CE3" w14:textId="77777777" w:rsidR="009260DE" w:rsidRPr="000F175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DBC529F" w14:textId="77777777" w:rsidR="009260DE" w:rsidRPr="000F175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F175B">
        <w:rPr>
          <w:b/>
          <w:sz w:val="24"/>
          <w:szCs w:val="24"/>
        </w:rPr>
        <w:t>4.3</w:t>
      </w:r>
      <w:r w:rsidRPr="000F175B">
        <w:rPr>
          <w:b/>
          <w:sz w:val="24"/>
          <w:szCs w:val="24"/>
        </w:rPr>
        <w:tab/>
        <w:t>Kontraindikationer</w:t>
      </w:r>
    </w:p>
    <w:p w14:paraId="78C42927" w14:textId="77777777" w:rsidR="004E5D96" w:rsidRPr="000F175B" w:rsidRDefault="00A0096D" w:rsidP="004E5D96">
      <w:pPr>
        <w:ind w:left="851"/>
        <w:rPr>
          <w:sz w:val="24"/>
          <w:szCs w:val="24"/>
          <w:lang w:eastAsia="fr-LU"/>
        </w:rPr>
      </w:pPr>
      <w:r w:rsidRPr="000F175B">
        <w:rPr>
          <w:sz w:val="24"/>
          <w:szCs w:val="24"/>
          <w:lang w:eastAsia="en-GB"/>
        </w:rPr>
        <w:t xml:space="preserve">Overfølsomhed over for </w:t>
      </w:r>
      <w:r w:rsidR="004E5D96" w:rsidRPr="000F175B">
        <w:rPr>
          <w:sz w:val="24"/>
          <w:szCs w:val="24"/>
          <w:lang w:eastAsia="en-GB"/>
        </w:rPr>
        <w:t>aktive stof eller over for et eller flere af hjælpestofferne anført i pkt. 6.1</w:t>
      </w:r>
      <w:r w:rsidR="004E5D96">
        <w:rPr>
          <w:sz w:val="24"/>
          <w:szCs w:val="24"/>
          <w:lang w:eastAsia="en-GB"/>
        </w:rPr>
        <w:t>.</w:t>
      </w:r>
    </w:p>
    <w:p w14:paraId="384063FB" w14:textId="0BC3FCC1" w:rsidR="009260DE" w:rsidRPr="000F175B" w:rsidRDefault="009260DE" w:rsidP="004E5D96">
      <w:pPr>
        <w:ind w:left="851"/>
        <w:rPr>
          <w:sz w:val="24"/>
          <w:szCs w:val="24"/>
        </w:rPr>
      </w:pPr>
    </w:p>
    <w:p w14:paraId="194865A2" w14:textId="77777777" w:rsidR="009260DE" w:rsidRPr="000F175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F175B">
        <w:rPr>
          <w:b/>
          <w:sz w:val="24"/>
          <w:szCs w:val="24"/>
        </w:rPr>
        <w:t>4.4</w:t>
      </w:r>
      <w:r w:rsidRPr="000F175B">
        <w:rPr>
          <w:b/>
          <w:sz w:val="24"/>
          <w:szCs w:val="24"/>
        </w:rPr>
        <w:tab/>
        <w:t>Særlige advarsler og forsigtighedsregler vedrørende brugen</w:t>
      </w:r>
    </w:p>
    <w:p w14:paraId="476B6746" w14:textId="77777777" w:rsidR="00255779" w:rsidRDefault="00255779" w:rsidP="00914C95">
      <w:pPr>
        <w:ind w:left="851"/>
        <w:rPr>
          <w:color w:val="000000"/>
          <w:sz w:val="24"/>
          <w:szCs w:val="24"/>
          <w:u w:val="single"/>
          <w:lang w:eastAsia="en-GB"/>
        </w:rPr>
      </w:pPr>
    </w:p>
    <w:p w14:paraId="0DDD3D9B" w14:textId="4182866A" w:rsidR="00A0096D" w:rsidRPr="000F175B" w:rsidRDefault="00A0096D" w:rsidP="00914C95">
      <w:pPr>
        <w:ind w:left="851"/>
        <w:rPr>
          <w:color w:val="000000"/>
          <w:sz w:val="24"/>
          <w:szCs w:val="24"/>
          <w:u w:val="single"/>
          <w:lang w:eastAsia="en-GB"/>
        </w:rPr>
      </w:pPr>
      <w:r w:rsidRPr="000F175B">
        <w:rPr>
          <w:color w:val="000000"/>
          <w:sz w:val="24"/>
          <w:szCs w:val="24"/>
          <w:u w:val="single"/>
          <w:lang w:eastAsia="en-GB"/>
        </w:rPr>
        <w:t xml:space="preserve">Advarsler </w:t>
      </w:r>
    </w:p>
    <w:p w14:paraId="7B912145" w14:textId="77777777" w:rsidR="00A0096D" w:rsidRPr="000F175B" w:rsidRDefault="00A0096D" w:rsidP="00914C95">
      <w:pPr>
        <w:ind w:left="851"/>
        <w:rPr>
          <w:color w:val="000000"/>
          <w:sz w:val="24"/>
          <w:szCs w:val="24"/>
          <w:lang w:eastAsia="en-GB"/>
        </w:rPr>
      </w:pPr>
      <w:r w:rsidRPr="000F175B">
        <w:rPr>
          <w:color w:val="000000"/>
          <w:sz w:val="24"/>
          <w:szCs w:val="24"/>
          <w:lang w:eastAsia="en-GB"/>
        </w:rPr>
        <w:t xml:space="preserve">På grund af den moderate stigning i blødningstid (med den høje dosis, dvs. 4 kapsler om dagen) skal patienter i antikoagulerende behandling overvåges, og doseringen af </w:t>
      </w:r>
      <w:proofErr w:type="spellStart"/>
      <w:r w:rsidRPr="000F175B">
        <w:rPr>
          <w:color w:val="000000"/>
          <w:sz w:val="24"/>
          <w:szCs w:val="24"/>
          <w:lang w:eastAsia="en-GB"/>
        </w:rPr>
        <w:t>antikoagulant</w:t>
      </w:r>
      <w:proofErr w:type="spellEnd"/>
      <w:r w:rsidRPr="000F175B">
        <w:rPr>
          <w:color w:val="000000"/>
          <w:sz w:val="24"/>
          <w:szCs w:val="24"/>
          <w:lang w:eastAsia="en-GB"/>
        </w:rPr>
        <w:t xml:space="preserve"> justeres om nødvendigt (se pkt. 4.5).</w:t>
      </w:r>
    </w:p>
    <w:p w14:paraId="09B65C97" w14:textId="77777777" w:rsidR="00A0096D" w:rsidRPr="000F175B" w:rsidRDefault="00A0096D" w:rsidP="00914C95">
      <w:pPr>
        <w:ind w:left="851"/>
        <w:rPr>
          <w:color w:val="000000"/>
          <w:sz w:val="24"/>
          <w:szCs w:val="24"/>
          <w:lang w:eastAsia="en-GB"/>
        </w:rPr>
      </w:pPr>
      <w:r w:rsidRPr="000F175B">
        <w:rPr>
          <w:color w:val="000000"/>
          <w:sz w:val="24"/>
          <w:szCs w:val="24"/>
          <w:lang w:eastAsia="en-GB"/>
        </w:rPr>
        <w:t xml:space="preserve">Brug af dette lægemiddel eliminerer ikke behovet for den overvågning, der normalt kræves for denne type patienter. </w:t>
      </w:r>
    </w:p>
    <w:p w14:paraId="340ABE89" w14:textId="77777777" w:rsidR="00A0096D" w:rsidRPr="000F175B" w:rsidRDefault="00A0096D" w:rsidP="00914C95">
      <w:pPr>
        <w:ind w:left="851"/>
        <w:rPr>
          <w:color w:val="000000"/>
          <w:sz w:val="24"/>
          <w:szCs w:val="24"/>
          <w:lang w:eastAsia="en-GB"/>
        </w:rPr>
      </w:pPr>
    </w:p>
    <w:p w14:paraId="1B3C51A8" w14:textId="77777777" w:rsidR="00A0096D" w:rsidRPr="000F175B" w:rsidRDefault="00A0096D" w:rsidP="00914C95">
      <w:pPr>
        <w:ind w:left="851"/>
        <w:rPr>
          <w:color w:val="000000"/>
          <w:sz w:val="24"/>
          <w:szCs w:val="24"/>
          <w:lang w:eastAsia="en-GB"/>
        </w:rPr>
      </w:pPr>
      <w:r w:rsidRPr="000F175B">
        <w:rPr>
          <w:color w:val="000000"/>
          <w:sz w:val="24"/>
          <w:szCs w:val="24"/>
          <w:lang w:eastAsia="en-GB"/>
        </w:rPr>
        <w:t xml:space="preserve">Der skal tages højde for den øgede blødningstid hos patienter med høj blødningsrisiko (på grund af alvorligt traume, kirurgisk indgreb, etc.). </w:t>
      </w:r>
    </w:p>
    <w:p w14:paraId="7415633C" w14:textId="77777777" w:rsidR="00A0096D" w:rsidRPr="000F175B" w:rsidRDefault="00A0096D" w:rsidP="00914C95">
      <w:pPr>
        <w:ind w:left="851"/>
        <w:rPr>
          <w:color w:val="000000"/>
          <w:sz w:val="24"/>
          <w:szCs w:val="24"/>
          <w:lang w:eastAsia="en-GB"/>
        </w:rPr>
      </w:pPr>
    </w:p>
    <w:p w14:paraId="75BE2A03" w14:textId="7E65CF4E" w:rsidR="00A0096D" w:rsidRPr="000F175B" w:rsidRDefault="00A0096D" w:rsidP="00914C95">
      <w:pPr>
        <w:ind w:left="851"/>
        <w:rPr>
          <w:color w:val="000000"/>
          <w:sz w:val="24"/>
          <w:szCs w:val="24"/>
          <w:lang w:eastAsia="en-GB"/>
        </w:rPr>
      </w:pPr>
      <w:proofErr w:type="spellStart"/>
      <w:r w:rsidRPr="000F175B">
        <w:rPr>
          <w:color w:val="000000"/>
          <w:sz w:val="24"/>
          <w:szCs w:val="24"/>
          <w:lang w:eastAsia="en-GB"/>
        </w:rPr>
        <w:t>Lipomeg</w:t>
      </w:r>
      <w:proofErr w:type="spellEnd"/>
      <w:r w:rsidRPr="000F175B">
        <w:rPr>
          <w:color w:val="000000"/>
          <w:sz w:val="24"/>
          <w:szCs w:val="24"/>
          <w:lang w:eastAsia="en-GB"/>
        </w:rPr>
        <w:t xml:space="preserve"> 1000 mg bløde kapsler skal anvendes med forsigtighed til patienter med kendt følsomhed eller allergi over for fisk.</w:t>
      </w:r>
    </w:p>
    <w:p w14:paraId="1B5EBCCA" w14:textId="77777777" w:rsidR="00A0096D" w:rsidRPr="000F175B" w:rsidRDefault="00A0096D" w:rsidP="00914C95">
      <w:pPr>
        <w:suppressAutoHyphens/>
        <w:ind w:left="851"/>
        <w:rPr>
          <w:sz w:val="24"/>
          <w:szCs w:val="24"/>
          <w:u w:val="single"/>
          <w:lang w:eastAsia="fr-LU"/>
        </w:rPr>
      </w:pPr>
    </w:p>
    <w:p w14:paraId="1C7D4310" w14:textId="77777777" w:rsidR="00A0096D" w:rsidRPr="00255779" w:rsidRDefault="00A0096D" w:rsidP="00255779">
      <w:pPr>
        <w:ind w:left="851"/>
        <w:rPr>
          <w:color w:val="000000"/>
          <w:sz w:val="24"/>
          <w:szCs w:val="24"/>
          <w:u w:val="single"/>
          <w:lang w:eastAsia="en-GB"/>
        </w:rPr>
      </w:pPr>
      <w:r w:rsidRPr="00255779">
        <w:rPr>
          <w:sz w:val="24"/>
          <w:szCs w:val="24"/>
          <w:u w:val="single"/>
          <w:lang w:eastAsia="en-GB"/>
        </w:rPr>
        <w:t>Pædiatrisk population</w:t>
      </w:r>
      <w:r w:rsidRPr="00255779">
        <w:rPr>
          <w:color w:val="000000"/>
          <w:sz w:val="24"/>
          <w:szCs w:val="24"/>
          <w:u w:val="single"/>
          <w:lang w:eastAsia="en-GB"/>
        </w:rPr>
        <w:t xml:space="preserve"> </w:t>
      </w:r>
    </w:p>
    <w:p w14:paraId="0C8280B3" w14:textId="77777777" w:rsidR="00A0096D" w:rsidRPr="000F175B" w:rsidRDefault="00A0096D" w:rsidP="00914C95">
      <w:pPr>
        <w:ind w:left="851"/>
        <w:rPr>
          <w:color w:val="000000"/>
          <w:sz w:val="24"/>
          <w:szCs w:val="24"/>
          <w:lang w:eastAsia="en-GB"/>
        </w:rPr>
      </w:pPr>
      <w:r w:rsidRPr="000F175B">
        <w:rPr>
          <w:color w:val="000000"/>
          <w:sz w:val="24"/>
          <w:szCs w:val="24"/>
          <w:lang w:eastAsia="en-GB"/>
        </w:rPr>
        <w:t>Anvendelse af dette lægemiddel er ikke anbefalet til børn og unge pga. manglende data for virkning og sikkerhed.</w:t>
      </w:r>
    </w:p>
    <w:p w14:paraId="05901C3C" w14:textId="77777777" w:rsidR="00A0096D" w:rsidRPr="000F175B" w:rsidRDefault="00A0096D" w:rsidP="00914C95">
      <w:pPr>
        <w:ind w:left="851"/>
        <w:rPr>
          <w:color w:val="000000"/>
          <w:sz w:val="24"/>
          <w:szCs w:val="24"/>
          <w:lang w:eastAsia="en-GB"/>
        </w:rPr>
      </w:pPr>
    </w:p>
    <w:p w14:paraId="0497EF09" w14:textId="77777777" w:rsidR="00A0096D" w:rsidRPr="000F175B" w:rsidRDefault="00A0096D" w:rsidP="00914C95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r w:rsidRPr="000F175B">
        <w:rPr>
          <w:sz w:val="24"/>
          <w:szCs w:val="24"/>
          <w:lang w:eastAsia="en-GB"/>
        </w:rPr>
        <w:t xml:space="preserve">Der sker et fald i </w:t>
      </w:r>
      <w:proofErr w:type="spellStart"/>
      <w:r w:rsidRPr="000F175B">
        <w:rPr>
          <w:sz w:val="24"/>
          <w:szCs w:val="24"/>
          <w:lang w:eastAsia="en-GB"/>
        </w:rPr>
        <w:t>tromboxan</w:t>
      </w:r>
      <w:proofErr w:type="spellEnd"/>
      <w:r w:rsidRPr="000F175B">
        <w:rPr>
          <w:sz w:val="24"/>
          <w:szCs w:val="24"/>
          <w:lang w:eastAsia="en-GB"/>
        </w:rPr>
        <w:t xml:space="preserve"> A2-produktion under behandling med omega-3-syreethylestre 90. Der er ikke observeret signifikant virkning på de andre koagulationsfaktorer. Nogle forsøg med omega-3-syrer viste en forlængelse af blødningstiden, men den indberettede blødningstid i disse forsøg har ikke overskredet normale grænser og frembragte ikke klinisk signifikante blødningsepisoder.</w:t>
      </w:r>
    </w:p>
    <w:p w14:paraId="53B9D973" w14:textId="7EB27E9F" w:rsidR="00A0096D" w:rsidRDefault="00A0096D" w:rsidP="00914C95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5853EE79" w14:textId="77777777" w:rsidR="00596720" w:rsidRDefault="00596720" w:rsidP="00596720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Systematiske undersøgelser og metaanalyser af randomiserede kontrollerede kliniske forsøg fremhævede en dosisafhængig øget risiko for atrieflimren hos patienter, med etablerede </w:t>
      </w:r>
      <w:proofErr w:type="spellStart"/>
      <w:r>
        <w:rPr>
          <w:sz w:val="24"/>
          <w:szCs w:val="24"/>
          <w:lang w:eastAsia="en-GB"/>
        </w:rPr>
        <w:t>kardiovaskulære</w:t>
      </w:r>
      <w:proofErr w:type="spellEnd"/>
      <w:r>
        <w:rPr>
          <w:sz w:val="24"/>
          <w:szCs w:val="24"/>
          <w:lang w:eastAsia="en-GB"/>
        </w:rPr>
        <w:t xml:space="preserve"> sygdomme eller </w:t>
      </w:r>
      <w:proofErr w:type="spellStart"/>
      <w:r>
        <w:rPr>
          <w:sz w:val="24"/>
          <w:szCs w:val="24"/>
          <w:lang w:eastAsia="en-GB"/>
        </w:rPr>
        <w:t>kardiovaskulære</w:t>
      </w:r>
      <w:proofErr w:type="spellEnd"/>
      <w:r>
        <w:rPr>
          <w:sz w:val="24"/>
          <w:szCs w:val="24"/>
          <w:lang w:eastAsia="en-GB"/>
        </w:rPr>
        <w:t xml:space="preserve"> risikofaktorer, behandlet med omega-3-syreethylestere sammenlignet med placebo. Den observerede risiko er højest med en dosis på 4 g dagligt (se pkt. 4.8). Hvis der udvikles atrieflimren, bør behandlingen seponeres permanent.</w:t>
      </w:r>
    </w:p>
    <w:p w14:paraId="20B09A1E" w14:textId="77777777" w:rsidR="00596720" w:rsidRPr="000F175B" w:rsidRDefault="00596720" w:rsidP="00914C95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1BD7FEED" w14:textId="77777777" w:rsidR="00A0096D" w:rsidRPr="000F175B" w:rsidRDefault="00A0096D" w:rsidP="00914C95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r w:rsidRPr="000F175B">
        <w:rPr>
          <w:sz w:val="24"/>
          <w:szCs w:val="24"/>
          <w:lang w:eastAsia="en-GB"/>
        </w:rPr>
        <w:lastRenderedPageBreak/>
        <w:t>Der er begrænsede kliniske data vedrørende brugen af omega-3-syreethylestre 90 hos ældre over 70 år.</w:t>
      </w:r>
    </w:p>
    <w:p w14:paraId="485B7E06" w14:textId="77777777" w:rsidR="00A0096D" w:rsidRPr="000F175B" w:rsidRDefault="00A0096D" w:rsidP="00914C95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78FE814C" w14:textId="77777777" w:rsidR="00A0096D" w:rsidRPr="000F175B" w:rsidRDefault="00A0096D" w:rsidP="00914C95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r w:rsidRPr="000F175B">
        <w:rPr>
          <w:sz w:val="24"/>
          <w:szCs w:val="24"/>
          <w:lang w:eastAsia="en-GB"/>
        </w:rPr>
        <w:t>Der er kun begrænsede oplysninger tilgængelige om brug hos patienter med nedsat nyrefunktion.</w:t>
      </w:r>
    </w:p>
    <w:p w14:paraId="56B327A2" w14:textId="77777777" w:rsidR="00A0096D" w:rsidRPr="000F175B" w:rsidRDefault="00A0096D" w:rsidP="00914C95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320468C4" w14:textId="77777777" w:rsidR="00A0096D" w:rsidRPr="000F175B" w:rsidRDefault="00A0096D" w:rsidP="00914C95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r w:rsidRPr="000F175B">
        <w:rPr>
          <w:sz w:val="24"/>
          <w:szCs w:val="24"/>
          <w:lang w:eastAsia="en-GB"/>
        </w:rPr>
        <w:t>Hos nogle patienter blev der indberettet en lille, men signifikant stigning (inden for normale værdier) i ASAT og ALAT, men der er ingen data, der indikerer en øget risiko for patienter med nedsat leverfunktion. ALAT- og ASAT-niveauer bør overvåges hos patienter med tegn på leverskader (især ved den høje dosis, dvs. 4 kapsler om dagen).</w:t>
      </w:r>
    </w:p>
    <w:p w14:paraId="6E33E4CB" w14:textId="77777777" w:rsidR="00A0096D" w:rsidRPr="000F175B" w:rsidRDefault="00A0096D" w:rsidP="00914C95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</w:p>
    <w:p w14:paraId="57DD256C" w14:textId="77777777" w:rsidR="00A0096D" w:rsidRPr="000F175B" w:rsidRDefault="00A0096D" w:rsidP="00914C95">
      <w:pPr>
        <w:ind w:left="851"/>
        <w:rPr>
          <w:color w:val="000000"/>
          <w:sz w:val="24"/>
          <w:szCs w:val="24"/>
          <w:lang w:eastAsia="en-GB"/>
        </w:rPr>
      </w:pPr>
      <w:r w:rsidRPr="000F175B">
        <w:rPr>
          <w:color w:val="000000"/>
          <w:sz w:val="24"/>
          <w:szCs w:val="24"/>
          <w:lang w:eastAsia="en-GB"/>
        </w:rPr>
        <w:t xml:space="preserve">Omega-3-syreethylestre 90 er ikke indiceret ved eksogen </w:t>
      </w:r>
      <w:proofErr w:type="spellStart"/>
      <w:r w:rsidRPr="000F175B">
        <w:rPr>
          <w:color w:val="000000"/>
          <w:sz w:val="24"/>
          <w:szCs w:val="24"/>
          <w:lang w:eastAsia="en-GB"/>
        </w:rPr>
        <w:t>hypertriglyceridæmi</w:t>
      </w:r>
      <w:proofErr w:type="spellEnd"/>
      <w:r w:rsidRPr="000F175B">
        <w:rPr>
          <w:color w:val="000000"/>
          <w:sz w:val="24"/>
          <w:szCs w:val="24"/>
          <w:lang w:eastAsia="en-GB"/>
        </w:rPr>
        <w:t xml:space="preserve"> (type 1 </w:t>
      </w:r>
      <w:proofErr w:type="spellStart"/>
      <w:r w:rsidRPr="000F175B">
        <w:rPr>
          <w:color w:val="000000"/>
          <w:sz w:val="24"/>
          <w:szCs w:val="24"/>
          <w:lang w:eastAsia="en-GB"/>
        </w:rPr>
        <w:t>hyperkylomikronæmi</w:t>
      </w:r>
      <w:proofErr w:type="spellEnd"/>
      <w:r w:rsidRPr="000F175B">
        <w:rPr>
          <w:color w:val="000000"/>
          <w:sz w:val="24"/>
          <w:szCs w:val="24"/>
          <w:lang w:eastAsia="en-GB"/>
        </w:rPr>
        <w:t xml:space="preserve">). Der er kun begrænset erfaring med sekundær endogen </w:t>
      </w:r>
      <w:proofErr w:type="spellStart"/>
      <w:r w:rsidRPr="000F175B">
        <w:rPr>
          <w:color w:val="000000"/>
          <w:sz w:val="24"/>
          <w:szCs w:val="24"/>
          <w:lang w:eastAsia="en-GB"/>
        </w:rPr>
        <w:t>hypertriglyceridæmi</w:t>
      </w:r>
      <w:proofErr w:type="spellEnd"/>
      <w:r w:rsidRPr="000F175B">
        <w:rPr>
          <w:color w:val="000000"/>
          <w:sz w:val="24"/>
          <w:szCs w:val="24"/>
          <w:lang w:eastAsia="en-GB"/>
        </w:rPr>
        <w:t xml:space="preserve"> (især ukontrolleret diabetes).</w:t>
      </w:r>
    </w:p>
    <w:p w14:paraId="59F18CCE" w14:textId="77777777" w:rsidR="00A0096D" w:rsidRPr="000F175B" w:rsidRDefault="00A0096D" w:rsidP="00914C95">
      <w:pPr>
        <w:ind w:left="851"/>
        <w:rPr>
          <w:color w:val="000000"/>
          <w:sz w:val="24"/>
          <w:szCs w:val="24"/>
          <w:lang w:eastAsia="en-GB"/>
        </w:rPr>
      </w:pPr>
    </w:p>
    <w:p w14:paraId="22B39C3F" w14:textId="77777777" w:rsidR="00A0096D" w:rsidRPr="00795CAE" w:rsidRDefault="00A0096D" w:rsidP="00914C95">
      <w:pPr>
        <w:suppressAutoHyphens/>
        <w:ind w:left="851"/>
        <w:rPr>
          <w:i/>
          <w:color w:val="000000"/>
          <w:sz w:val="24"/>
          <w:szCs w:val="24"/>
          <w:u w:val="single"/>
          <w:lang w:eastAsia="en-GB"/>
        </w:rPr>
      </w:pPr>
      <w:proofErr w:type="spellStart"/>
      <w:r w:rsidRPr="00795CAE">
        <w:rPr>
          <w:i/>
          <w:color w:val="000000"/>
          <w:sz w:val="24"/>
          <w:szCs w:val="24"/>
          <w:u w:val="single"/>
          <w:lang w:eastAsia="en-GB"/>
        </w:rPr>
        <w:t>Fibrater</w:t>
      </w:r>
      <w:proofErr w:type="spellEnd"/>
    </w:p>
    <w:p w14:paraId="5F7DD575" w14:textId="4A564EE5" w:rsidR="00A0096D" w:rsidRPr="00795CAE" w:rsidRDefault="00A0096D" w:rsidP="00914C95">
      <w:pPr>
        <w:suppressAutoHyphens/>
        <w:ind w:left="851"/>
        <w:rPr>
          <w:color w:val="000000"/>
          <w:sz w:val="24"/>
          <w:szCs w:val="24"/>
          <w:lang w:eastAsia="en-GB"/>
        </w:rPr>
      </w:pPr>
      <w:r w:rsidRPr="00795CAE">
        <w:rPr>
          <w:color w:val="000000"/>
          <w:sz w:val="24"/>
          <w:szCs w:val="24"/>
          <w:lang w:eastAsia="en-GB"/>
        </w:rPr>
        <w:t xml:space="preserve">Der er ingen erfaring med behandling af </w:t>
      </w:r>
      <w:proofErr w:type="spellStart"/>
      <w:r w:rsidRPr="00795CAE">
        <w:rPr>
          <w:color w:val="000000"/>
          <w:sz w:val="24"/>
          <w:szCs w:val="24"/>
          <w:lang w:eastAsia="en-GB"/>
        </w:rPr>
        <w:t>hypertriglyceridemi</w:t>
      </w:r>
      <w:proofErr w:type="spellEnd"/>
      <w:r w:rsidRPr="00795CAE">
        <w:rPr>
          <w:color w:val="000000"/>
          <w:sz w:val="24"/>
          <w:szCs w:val="24"/>
          <w:lang w:eastAsia="en-GB"/>
        </w:rPr>
        <w:t xml:space="preserve"> i kombination med </w:t>
      </w:r>
      <w:proofErr w:type="spellStart"/>
      <w:r w:rsidRPr="00795CAE">
        <w:rPr>
          <w:color w:val="000000"/>
          <w:sz w:val="24"/>
          <w:szCs w:val="24"/>
          <w:lang w:eastAsia="en-GB"/>
        </w:rPr>
        <w:t>fibrater</w:t>
      </w:r>
      <w:proofErr w:type="spellEnd"/>
      <w:r w:rsidRPr="00795CAE">
        <w:rPr>
          <w:color w:val="000000"/>
          <w:sz w:val="24"/>
          <w:szCs w:val="24"/>
          <w:lang w:eastAsia="en-GB"/>
        </w:rPr>
        <w:t>.</w:t>
      </w:r>
    </w:p>
    <w:p w14:paraId="6C1D836D" w14:textId="4347DD71" w:rsidR="004E5D96" w:rsidRPr="00795CAE" w:rsidRDefault="004E5D96" w:rsidP="00914C95">
      <w:pPr>
        <w:suppressAutoHyphens/>
        <w:ind w:left="851"/>
        <w:rPr>
          <w:sz w:val="24"/>
          <w:szCs w:val="24"/>
          <w:u w:val="single"/>
          <w:lang w:eastAsia="fr-LU"/>
        </w:rPr>
      </w:pPr>
    </w:p>
    <w:p w14:paraId="6E3F46D2" w14:textId="1E8D34F4" w:rsidR="004E5D96" w:rsidRPr="00795CAE" w:rsidRDefault="004E5D96" w:rsidP="004E5D96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795CAE">
        <w:rPr>
          <w:sz w:val="24"/>
          <w:szCs w:val="24"/>
        </w:rPr>
        <w:t>Lipomeg</w:t>
      </w:r>
      <w:proofErr w:type="spellEnd"/>
      <w:r w:rsidRPr="00795CAE">
        <w:rPr>
          <w:sz w:val="24"/>
          <w:szCs w:val="24"/>
        </w:rPr>
        <w:t xml:space="preserve"> kaps</w:t>
      </w:r>
      <w:r w:rsidR="00795CAE">
        <w:rPr>
          <w:sz w:val="24"/>
          <w:szCs w:val="24"/>
        </w:rPr>
        <w:t>ler</w:t>
      </w:r>
      <w:r w:rsidRPr="00795CAE">
        <w:rPr>
          <w:sz w:val="24"/>
          <w:szCs w:val="24"/>
        </w:rPr>
        <w:t xml:space="preserve"> indeholder propylenglycol.</w:t>
      </w:r>
    </w:p>
    <w:p w14:paraId="0C8CD5B6" w14:textId="59636CAE" w:rsidR="004E5D96" w:rsidRPr="00795CAE" w:rsidRDefault="004E5D96" w:rsidP="004E5D96">
      <w:pPr>
        <w:tabs>
          <w:tab w:val="left" w:pos="851"/>
        </w:tabs>
        <w:ind w:left="851"/>
        <w:rPr>
          <w:sz w:val="24"/>
          <w:szCs w:val="24"/>
        </w:rPr>
      </w:pPr>
      <w:r w:rsidRPr="00795CAE">
        <w:rPr>
          <w:sz w:val="24"/>
          <w:szCs w:val="24"/>
        </w:rPr>
        <w:t xml:space="preserve">Dette lægemiddel indeholder 1,38 mg propylenglycol i hver </w:t>
      </w:r>
      <w:r w:rsidRPr="00795CAE">
        <w:rPr>
          <w:color w:val="000000"/>
          <w:sz w:val="24"/>
          <w:szCs w:val="24"/>
        </w:rPr>
        <w:t>kaps</w:t>
      </w:r>
      <w:r w:rsidR="00A81456" w:rsidRPr="00795CAE">
        <w:rPr>
          <w:color w:val="000000"/>
          <w:sz w:val="24"/>
          <w:szCs w:val="24"/>
        </w:rPr>
        <w:t>el</w:t>
      </w:r>
      <w:r w:rsidRPr="00795CAE">
        <w:rPr>
          <w:sz w:val="24"/>
          <w:szCs w:val="24"/>
        </w:rPr>
        <w:t xml:space="preserve">. Samtidig administration med et hvilket som helst substrat til </w:t>
      </w:r>
      <w:proofErr w:type="spellStart"/>
      <w:r w:rsidRPr="00795CAE">
        <w:rPr>
          <w:sz w:val="24"/>
          <w:szCs w:val="24"/>
        </w:rPr>
        <w:t>alkoholdehydrogenase</w:t>
      </w:r>
      <w:proofErr w:type="spellEnd"/>
      <w:r w:rsidRPr="00795CAE">
        <w:rPr>
          <w:sz w:val="24"/>
          <w:szCs w:val="24"/>
        </w:rPr>
        <w:t xml:space="preserve">, såsom </w:t>
      </w:r>
      <w:proofErr w:type="spellStart"/>
      <w:r w:rsidRPr="00795CAE">
        <w:rPr>
          <w:sz w:val="24"/>
          <w:szCs w:val="24"/>
        </w:rPr>
        <w:t>ethanol</w:t>
      </w:r>
      <w:proofErr w:type="spellEnd"/>
      <w:r w:rsidRPr="00795CAE">
        <w:rPr>
          <w:sz w:val="24"/>
          <w:szCs w:val="24"/>
        </w:rPr>
        <w:t>, kan fremkalde alvorlige bivirkninger hos nyfødte.</w:t>
      </w:r>
    </w:p>
    <w:p w14:paraId="1E9909D5" w14:textId="77777777" w:rsidR="009260DE" w:rsidRPr="000F175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01AFB01" w14:textId="77777777" w:rsidR="009260DE" w:rsidRPr="000F175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F175B">
        <w:rPr>
          <w:b/>
          <w:sz w:val="24"/>
          <w:szCs w:val="24"/>
        </w:rPr>
        <w:t>4.5</w:t>
      </w:r>
      <w:r w:rsidRPr="000F175B">
        <w:rPr>
          <w:b/>
          <w:sz w:val="24"/>
          <w:szCs w:val="24"/>
        </w:rPr>
        <w:tab/>
        <w:t>Interaktion med andre lægemidler og andre former for interaktion</w:t>
      </w:r>
    </w:p>
    <w:p w14:paraId="2DDFF0D0" w14:textId="77777777" w:rsidR="00A0096D" w:rsidRPr="000F175B" w:rsidRDefault="00A0096D" w:rsidP="00914C95">
      <w:pPr>
        <w:ind w:left="851"/>
        <w:rPr>
          <w:color w:val="000000"/>
          <w:sz w:val="24"/>
          <w:szCs w:val="24"/>
          <w:lang w:eastAsia="en-GB"/>
        </w:rPr>
      </w:pPr>
      <w:r w:rsidRPr="000F175B">
        <w:rPr>
          <w:color w:val="000000"/>
          <w:sz w:val="24"/>
          <w:szCs w:val="24"/>
          <w:lang w:eastAsia="en-GB"/>
        </w:rPr>
        <w:t xml:space="preserve">Orale </w:t>
      </w:r>
      <w:proofErr w:type="spellStart"/>
      <w:r w:rsidRPr="000F175B">
        <w:rPr>
          <w:color w:val="000000"/>
          <w:sz w:val="24"/>
          <w:szCs w:val="24"/>
          <w:lang w:eastAsia="en-GB"/>
        </w:rPr>
        <w:t>antikoagulantia</w:t>
      </w:r>
      <w:proofErr w:type="spellEnd"/>
      <w:r w:rsidRPr="000F175B">
        <w:rPr>
          <w:color w:val="000000"/>
          <w:sz w:val="24"/>
          <w:szCs w:val="24"/>
          <w:lang w:eastAsia="en-GB"/>
        </w:rPr>
        <w:t>: Se pkt. 4.4.</w:t>
      </w:r>
    </w:p>
    <w:p w14:paraId="03263302" w14:textId="77777777" w:rsidR="00A0096D" w:rsidRPr="000F175B" w:rsidRDefault="00A0096D" w:rsidP="00914C95">
      <w:pPr>
        <w:ind w:left="851"/>
        <w:rPr>
          <w:color w:val="000000"/>
          <w:sz w:val="24"/>
          <w:szCs w:val="24"/>
          <w:lang w:eastAsia="en-GB"/>
        </w:rPr>
      </w:pPr>
    </w:p>
    <w:p w14:paraId="6B7F863A" w14:textId="77777777" w:rsidR="00A0096D" w:rsidRPr="000F175B" w:rsidRDefault="00A0096D" w:rsidP="00914C95">
      <w:pPr>
        <w:ind w:left="851"/>
        <w:rPr>
          <w:color w:val="000000"/>
          <w:sz w:val="24"/>
          <w:szCs w:val="24"/>
          <w:lang w:eastAsia="en-GB"/>
        </w:rPr>
      </w:pPr>
      <w:r w:rsidRPr="000F175B">
        <w:rPr>
          <w:color w:val="000000"/>
          <w:sz w:val="24"/>
          <w:szCs w:val="24"/>
          <w:lang w:eastAsia="en-GB"/>
        </w:rPr>
        <w:t xml:space="preserve">Omega-3-syreethylestre 90 er blevet givet i kombination med </w:t>
      </w:r>
      <w:proofErr w:type="spellStart"/>
      <w:r w:rsidRPr="000F175B">
        <w:rPr>
          <w:color w:val="000000"/>
          <w:sz w:val="24"/>
          <w:szCs w:val="24"/>
          <w:lang w:eastAsia="en-GB"/>
        </w:rPr>
        <w:t>warfarin</w:t>
      </w:r>
      <w:proofErr w:type="spellEnd"/>
      <w:r w:rsidRPr="000F175B">
        <w:rPr>
          <w:color w:val="000000"/>
          <w:sz w:val="24"/>
          <w:szCs w:val="24"/>
          <w:lang w:eastAsia="en-GB"/>
        </w:rPr>
        <w:t xml:space="preserve"> uden </w:t>
      </w:r>
      <w:proofErr w:type="spellStart"/>
      <w:r w:rsidRPr="000F175B">
        <w:rPr>
          <w:color w:val="000000"/>
          <w:sz w:val="24"/>
          <w:szCs w:val="24"/>
          <w:lang w:eastAsia="en-GB"/>
        </w:rPr>
        <w:t>hæmoragiske</w:t>
      </w:r>
      <w:proofErr w:type="spellEnd"/>
      <w:r w:rsidRPr="000F175B">
        <w:rPr>
          <w:color w:val="000000"/>
          <w:sz w:val="24"/>
          <w:szCs w:val="24"/>
          <w:lang w:eastAsia="en-GB"/>
        </w:rPr>
        <w:t xml:space="preserve"> komplikationer.</w:t>
      </w:r>
    </w:p>
    <w:p w14:paraId="164D4940" w14:textId="77777777" w:rsidR="00A0096D" w:rsidRPr="000F175B" w:rsidRDefault="00A0096D" w:rsidP="00914C95">
      <w:pPr>
        <w:ind w:left="851"/>
        <w:rPr>
          <w:color w:val="000000"/>
          <w:sz w:val="24"/>
          <w:szCs w:val="24"/>
          <w:lang w:eastAsia="en-GB"/>
        </w:rPr>
      </w:pPr>
      <w:proofErr w:type="spellStart"/>
      <w:r w:rsidRPr="000F175B">
        <w:rPr>
          <w:color w:val="000000"/>
          <w:sz w:val="24"/>
          <w:szCs w:val="24"/>
          <w:lang w:eastAsia="en-GB"/>
        </w:rPr>
        <w:t>Protrombintiden</w:t>
      </w:r>
      <w:proofErr w:type="spellEnd"/>
      <w:r w:rsidRPr="000F175B">
        <w:rPr>
          <w:color w:val="000000"/>
          <w:sz w:val="24"/>
          <w:szCs w:val="24"/>
          <w:lang w:eastAsia="en-GB"/>
        </w:rPr>
        <w:t xml:space="preserve"> skal dog kontrolleres, når omega-3-syreethylestre 90 kombineres med </w:t>
      </w:r>
      <w:proofErr w:type="spellStart"/>
      <w:r w:rsidRPr="000F175B">
        <w:rPr>
          <w:color w:val="000000"/>
          <w:sz w:val="24"/>
          <w:szCs w:val="24"/>
          <w:lang w:eastAsia="en-GB"/>
        </w:rPr>
        <w:t>warfarin</w:t>
      </w:r>
      <w:proofErr w:type="spellEnd"/>
      <w:r w:rsidRPr="000F175B">
        <w:rPr>
          <w:color w:val="000000"/>
          <w:sz w:val="24"/>
          <w:szCs w:val="24"/>
          <w:lang w:eastAsia="en-GB"/>
        </w:rPr>
        <w:t>, eller når behandling med omega-3-syreethylestre 90 stoppes.</w:t>
      </w:r>
    </w:p>
    <w:p w14:paraId="178CF31E" w14:textId="77777777" w:rsidR="009260DE" w:rsidRPr="000F175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5577568" w14:textId="157AD17A" w:rsidR="009260DE" w:rsidRPr="000F175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F175B">
        <w:rPr>
          <w:b/>
          <w:sz w:val="24"/>
          <w:szCs w:val="24"/>
        </w:rPr>
        <w:t>4.6</w:t>
      </w:r>
      <w:r w:rsidRPr="000F175B">
        <w:rPr>
          <w:b/>
          <w:sz w:val="24"/>
          <w:szCs w:val="24"/>
        </w:rPr>
        <w:tab/>
      </w:r>
      <w:r w:rsidR="00593E52">
        <w:rPr>
          <w:b/>
          <w:sz w:val="24"/>
          <w:szCs w:val="24"/>
        </w:rPr>
        <w:t>Fertilitet, g</w:t>
      </w:r>
      <w:r w:rsidRPr="000F175B">
        <w:rPr>
          <w:b/>
          <w:sz w:val="24"/>
          <w:szCs w:val="24"/>
        </w:rPr>
        <w:t>raviditet og amning</w:t>
      </w:r>
    </w:p>
    <w:p w14:paraId="39B3390A" w14:textId="77777777" w:rsidR="00A0096D" w:rsidRPr="000F175B" w:rsidRDefault="00A0096D" w:rsidP="00A81456">
      <w:pPr>
        <w:ind w:left="851"/>
        <w:rPr>
          <w:sz w:val="24"/>
          <w:szCs w:val="24"/>
          <w:u w:val="single"/>
          <w:lang w:eastAsia="fr-LU"/>
        </w:rPr>
      </w:pPr>
    </w:p>
    <w:p w14:paraId="2BA01092" w14:textId="77777777" w:rsidR="00A0096D" w:rsidRPr="000F175B" w:rsidRDefault="00A0096D" w:rsidP="00914C95">
      <w:pPr>
        <w:ind w:left="851"/>
        <w:rPr>
          <w:sz w:val="24"/>
          <w:szCs w:val="24"/>
          <w:u w:val="single"/>
        </w:rPr>
      </w:pPr>
      <w:r w:rsidRPr="000F175B">
        <w:rPr>
          <w:sz w:val="24"/>
          <w:szCs w:val="24"/>
          <w:u w:val="single"/>
        </w:rPr>
        <w:t>Graviditet</w:t>
      </w:r>
    </w:p>
    <w:p w14:paraId="1BB6D80C" w14:textId="508AFA62" w:rsidR="003C1147" w:rsidRDefault="00A0096D" w:rsidP="00914C95">
      <w:pPr>
        <w:ind w:left="851"/>
        <w:rPr>
          <w:color w:val="000000"/>
          <w:sz w:val="24"/>
          <w:szCs w:val="24"/>
        </w:rPr>
      </w:pPr>
      <w:r w:rsidRPr="000F175B">
        <w:rPr>
          <w:color w:val="000000"/>
          <w:sz w:val="24"/>
          <w:szCs w:val="24"/>
        </w:rPr>
        <w:t>Der er ikke tilstrækkelig</w:t>
      </w:r>
      <w:r w:rsidR="003C1147">
        <w:rPr>
          <w:color w:val="000000"/>
          <w:sz w:val="24"/>
          <w:szCs w:val="24"/>
        </w:rPr>
        <w:t>e</w:t>
      </w:r>
      <w:r w:rsidRPr="000F175B">
        <w:rPr>
          <w:color w:val="000000"/>
          <w:sz w:val="24"/>
          <w:szCs w:val="24"/>
        </w:rPr>
        <w:t xml:space="preserve"> data vedrørende anvendelse af omega-3-syreethylestre 90 til gravide kvinder.</w:t>
      </w:r>
    </w:p>
    <w:p w14:paraId="7A29D3D0" w14:textId="4F44C142" w:rsidR="00A0096D" w:rsidRPr="000F175B" w:rsidRDefault="00A0096D" w:rsidP="00914C95">
      <w:pPr>
        <w:ind w:left="851"/>
        <w:rPr>
          <w:color w:val="000000"/>
          <w:sz w:val="24"/>
          <w:szCs w:val="24"/>
          <w:lang w:eastAsia="en-GB"/>
        </w:rPr>
      </w:pPr>
      <w:r w:rsidRPr="000F175B">
        <w:rPr>
          <w:color w:val="000000"/>
          <w:sz w:val="24"/>
          <w:szCs w:val="24"/>
          <w:lang w:eastAsia="en-GB"/>
        </w:rPr>
        <w:t>Dyreforsøg indicerer ikke reproduktionstoksicitet.</w:t>
      </w:r>
    </w:p>
    <w:p w14:paraId="31AFD1A4" w14:textId="77777777" w:rsidR="00A0096D" w:rsidRPr="000F175B" w:rsidRDefault="00A0096D" w:rsidP="00914C95">
      <w:pPr>
        <w:ind w:left="851"/>
        <w:rPr>
          <w:color w:val="000000"/>
          <w:sz w:val="24"/>
          <w:szCs w:val="24"/>
          <w:lang w:eastAsia="en-GB"/>
        </w:rPr>
      </w:pPr>
      <w:r w:rsidRPr="000F175B">
        <w:rPr>
          <w:color w:val="000000"/>
          <w:sz w:val="24"/>
          <w:szCs w:val="24"/>
          <w:lang w:eastAsia="en-GB"/>
        </w:rPr>
        <w:t>Den potentielle risiko for mennesker kendes ikke og omega-3-syreethylestre 90 bør derfor ikke anvendes under graviditet, medmindre det er klart nødvendigt.</w:t>
      </w:r>
    </w:p>
    <w:p w14:paraId="410A5CD1" w14:textId="77777777" w:rsidR="00A0096D" w:rsidRPr="000F175B" w:rsidRDefault="00A0096D" w:rsidP="00914C95">
      <w:pPr>
        <w:ind w:left="851"/>
        <w:rPr>
          <w:sz w:val="24"/>
          <w:szCs w:val="24"/>
          <w:u w:val="single"/>
          <w:lang w:val="fr-LU" w:eastAsia="fr-LU"/>
        </w:rPr>
      </w:pPr>
    </w:p>
    <w:p w14:paraId="45978868" w14:textId="77777777" w:rsidR="00A0096D" w:rsidRPr="000F175B" w:rsidRDefault="00A0096D" w:rsidP="00914C95">
      <w:pPr>
        <w:ind w:left="851"/>
        <w:rPr>
          <w:color w:val="000000"/>
          <w:sz w:val="24"/>
          <w:szCs w:val="24"/>
          <w:lang w:eastAsia="en-GB"/>
        </w:rPr>
      </w:pPr>
      <w:r w:rsidRPr="000F175B">
        <w:rPr>
          <w:color w:val="000000"/>
          <w:sz w:val="24"/>
          <w:szCs w:val="24"/>
          <w:u w:val="single"/>
          <w:lang w:eastAsia="en-GB"/>
        </w:rPr>
        <w:t>Amning</w:t>
      </w:r>
      <w:r w:rsidRPr="000F175B">
        <w:rPr>
          <w:color w:val="000000"/>
          <w:sz w:val="24"/>
          <w:szCs w:val="24"/>
          <w:lang w:eastAsia="en-GB"/>
        </w:rPr>
        <w:t xml:space="preserve"> </w:t>
      </w:r>
    </w:p>
    <w:p w14:paraId="6158C663" w14:textId="77777777" w:rsidR="00A0096D" w:rsidRPr="000F175B" w:rsidRDefault="00A0096D" w:rsidP="00914C95">
      <w:pPr>
        <w:ind w:left="851"/>
        <w:rPr>
          <w:color w:val="000000"/>
          <w:sz w:val="24"/>
          <w:szCs w:val="24"/>
          <w:lang w:eastAsia="en-GB"/>
        </w:rPr>
      </w:pPr>
      <w:r w:rsidRPr="000F175B">
        <w:rPr>
          <w:color w:val="000000"/>
          <w:sz w:val="24"/>
          <w:szCs w:val="24"/>
          <w:lang w:eastAsia="en-GB"/>
        </w:rPr>
        <w:t xml:space="preserve">Der er ingen data om udskillelse af omega-3-syreethylestre 90 i mælken fra dyr eller mennesker. </w:t>
      </w:r>
    </w:p>
    <w:p w14:paraId="25BF9E2E" w14:textId="77777777" w:rsidR="00A0096D" w:rsidRPr="000F175B" w:rsidRDefault="00A0096D" w:rsidP="00914C95">
      <w:pPr>
        <w:ind w:left="851"/>
        <w:rPr>
          <w:color w:val="000000"/>
          <w:sz w:val="24"/>
          <w:szCs w:val="24"/>
          <w:lang w:eastAsia="en-GB"/>
        </w:rPr>
      </w:pPr>
    </w:p>
    <w:p w14:paraId="432418DC" w14:textId="77777777" w:rsidR="00A0096D" w:rsidRPr="000F175B" w:rsidRDefault="00A0096D" w:rsidP="00914C95">
      <w:pPr>
        <w:ind w:left="851"/>
        <w:rPr>
          <w:color w:val="000000"/>
          <w:sz w:val="24"/>
          <w:szCs w:val="24"/>
          <w:lang w:eastAsia="en-GB"/>
        </w:rPr>
      </w:pPr>
      <w:r w:rsidRPr="000F175B">
        <w:rPr>
          <w:color w:val="000000"/>
          <w:sz w:val="24"/>
          <w:szCs w:val="24"/>
          <w:lang w:eastAsia="en-GB"/>
        </w:rPr>
        <w:t xml:space="preserve">Omega-3-syreethylestre 90 bør ikke anvendes i </w:t>
      </w:r>
      <w:proofErr w:type="spellStart"/>
      <w:r w:rsidRPr="000F175B">
        <w:rPr>
          <w:color w:val="000000"/>
          <w:sz w:val="24"/>
          <w:szCs w:val="24"/>
          <w:lang w:eastAsia="en-GB"/>
        </w:rPr>
        <w:t>ammeperioden</w:t>
      </w:r>
      <w:proofErr w:type="spellEnd"/>
      <w:r w:rsidRPr="000F175B">
        <w:rPr>
          <w:color w:val="000000"/>
          <w:sz w:val="24"/>
          <w:szCs w:val="24"/>
          <w:lang w:eastAsia="en-GB"/>
        </w:rPr>
        <w:t>.</w:t>
      </w:r>
    </w:p>
    <w:p w14:paraId="5ADA9B11" w14:textId="77777777" w:rsidR="00A0096D" w:rsidRPr="000F175B" w:rsidRDefault="00A0096D" w:rsidP="00914C95">
      <w:pPr>
        <w:ind w:left="851"/>
        <w:rPr>
          <w:i/>
          <w:sz w:val="24"/>
          <w:szCs w:val="24"/>
          <w:lang w:eastAsia="fr-LU"/>
        </w:rPr>
      </w:pPr>
    </w:p>
    <w:p w14:paraId="0F7BD1A4" w14:textId="77777777" w:rsidR="00A0096D" w:rsidRPr="000F175B" w:rsidRDefault="00A0096D" w:rsidP="00914C95">
      <w:pPr>
        <w:ind w:left="851"/>
        <w:rPr>
          <w:color w:val="000000"/>
          <w:sz w:val="24"/>
          <w:szCs w:val="24"/>
          <w:u w:val="single"/>
          <w:lang w:eastAsia="en-GB"/>
        </w:rPr>
      </w:pPr>
      <w:r w:rsidRPr="000F175B">
        <w:rPr>
          <w:color w:val="000000"/>
          <w:sz w:val="24"/>
          <w:szCs w:val="24"/>
          <w:u w:val="single"/>
          <w:lang w:eastAsia="en-GB"/>
        </w:rPr>
        <w:t>Fertilitet</w:t>
      </w:r>
    </w:p>
    <w:p w14:paraId="1C263ABA" w14:textId="77777777" w:rsidR="00A0096D" w:rsidRPr="000F175B" w:rsidRDefault="00A0096D" w:rsidP="00914C95">
      <w:pPr>
        <w:ind w:left="851"/>
        <w:rPr>
          <w:color w:val="000000"/>
          <w:sz w:val="24"/>
          <w:szCs w:val="24"/>
          <w:lang w:eastAsia="en-GB"/>
        </w:rPr>
      </w:pPr>
      <w:r w:rsidRPr="000F175B">
        <w:rPr>
          <w:color w:val="000000"/>
          <w:sz w:val="24"/>
          <w:szCs w:val="24"/>
          <w:lang w:eastAsia="en-GB"/>
        </w:rPr>
        <w:t>Der foreligger ingen data.</w:t>
      </w:r>
    </w:p>
    <w:p w14:paraId="462ACD0B" w14:textId="77777777" w:rsidR="009260DE" w:rsidRPr="000F175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308FFBA" w14:textId="42CBB16D" w:rsidR="009260DE" w:rsidRPr="000F175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F175B">
        <w:rPr>
          <w:b/>
          <w:sz w:val="24"/>
          <w:szCs w:val="24"/>
        </w:rPr>
        <w:t>4.7</w:t>
      </w:r>
      <w:r w:rsidRPr="000F175B">
        <w:rPr>
          <w:b/>
          <w:sz w:val="24"/>
          <w:szCs w:val="24"/>
        </w:rPr>
        <w:tab/>
        <w:t xml:space="preserve">Virkning på evnen til at føre motorkøretøj </w:t>
      </w:r>
      <w:r w:rsidR="00593E52">
        <w:rPr>
          <w:b/>
          <w:sz w:val="24"/>
          <w:szCs w:val="24"/>
        </w:rPr>
        <w:t>og</w:t>
      </w:r>
      <w:r w:rsidRPr="000F175B">
        <w:rPr>
          <w:b/>
          <w:sz w:val="24"/>
          <w:szCs w:val="24"/>
        </w:rPr>
        <w:t xml:space="preserve"> betjene maskiner</w:t>
      </w:r>
    </w:p>
    <w:p w14:paraId="3E544C7D" w14:textId="77777777" w:rsidR="003C1147" w:rsidRDefault="003C1147" w:rsidP="00914C95">
      <w:pPr>
        <w:ind w:left="851"/>
        <w:rPr>
          <w:color w:val="000000"/>
          <w:sz w:val="24"/>
          <w:szCs w:val="24"/>
          <w:lang w:eastAsia="en-GB"/>
        </w:rPr>
      </w:pPr>
      <w:r>
        <w:rPr>
          <w:color w:val="000000"/>
          <w:sz w:val="24"/>
          <w:szCs w:val="24"/>
          <w:lang w:eastAsia="en-GB"/>
        </w:rPr>
        <w:t>Ikke mærkning.</w:t>
      </w:r>
    </w:p>
    <w:p w14:paraId="41FB2EC8" w14:textId="27CB53A3" w:rsidR="00A0096D" w:rsidRPr="000F175B" w:rsidRDefault="00A0096D" w:rsidP="00914C95">
      <w:pPr>
        <w:ind w:left="851"/>
        <w:rPr>
          <w:sz w:val="24"/>
          <w:szCs w:val="24"/>
          <w:lang w:eastAsia="fr-LU"/>
        </w:rPr>
      </w:pPr>
      <w:r w:rsidRPr="000F175B">
        <w:rPr>
          <w:color w:val="000000"/>
          <w:sz w:val="24"/>
          <w:szCs w:val="24"/>
          <w:lang w:eastAsia="en-GB"/>
        </w:rPr>
        <w:t>Der er ikke foretaget undersøgelser af virkningen på evnen til at føre motorkøretøj eller betjene maskiner. Omega-3-syreethylestre 90 forventes dog at have ingen eller ubetydelig påvirkning på evnen til at føre motorkøretøj eller betjene maskiner.</w:t>
      </w:r>
    </w:p>
    <w:p w14:paraId="3E8DF8FD" w14:textId="77777777" w:rsidR="009260DE" w:rsidRPr="000F175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795DA2C" w14:textId="77777777" w:rsidR="009260DE" w:rsidRPr="000F175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F175B">
        <w:rPr>
          <w:b/>
          <w:sz w:val="24"/>
          <w:szCs w:val="24"/>
        </w:rPr>
        <w:t>4.8</w:t>
      </w:r>
      <w:r w:rsidRPr="000F175B">
        <w:rPr>
          <w:b/>
          <w:sz w:val="24"/>
          <w:szCs w:val="24"/>
        </w:rPr>
        <w:tab/>
        <w:t>Bivirkninger</w:t>
      </w:r>
    </w:p>
    <w:p w14:paraId="01655657" w14:textId="77777777" w:rsidR="00A0096D" w:rsidRPr="000F175B" w:rsidRDefault="00A0096D" w:rsidP="00914C95">
      <w:pPr>
        <w:ind w:left="851"/>
        <w:rPr>
          <w:sz w:val="24"/>
          <w:szCs w:val="24"/>
          <w:lang w:eastAsia="en-GB"/>
        </w:rPr>
      </w:pPr>
      <w:r w:rsidRPr="000F175B">
        <w:rPr>
          <w:sz w:val="24"/>
          <w:szCs w:val="24"/>
          <w:lang w:eastAsia="en-GB"/>
        </w:rPr>
        <w:t>Bivirkningshyppighed er defineret på følgende måde: Meget almindelig (</w:t>
      </w:r>
      <w:r w:rsidRPr="000F175B">
        <w:rPr>
          <w:sz w:val="24"/>
          <w:szCs w:val="24"/>
          <w:lang w:eastAsia="en-GB"/>
        </w:rPr>
        <w:sym w:font="Symbol" w:char="F0B3"/>
      </w:r>
      <w:r w:rsidRPr="000F175B">
        <w:rPr>
          <w:sz w:val="24"/>
          <w:szCs w:val="24"/>
          <w:lang w:eastAsia="en-GB"/>
        </w:rPr>
        <w:t>1/10), almindelig (</w:t>
      </w:r>
      <w:r w:rsidRPr="000F175B">
        <w:rPr>
          <w:sz w:val="24"/>
          <w:szCs w:val="24"/>
          <w:lang w:eastAsia="en-GB"/>
        </w:rPr>
        <w:sym w:font="Symbol" w:char="F0B3"/>
      </w:r>
      <w:r w:rsidRPr="000F175B">
        <w:rPr>
          <w:sz w:val="24"/>
          <w:szCs w:val="24"/>
          <w:lang w:eastAsia="en-GB"/>
        </w:rPr>
        <w:t>1/100 til &lt;1/10), ikke almindelig (</w:t>
      </w:r>
      <w:r w:rsidRPr="000F175B">
        <w:rPr>
          <w:sz w:val="24"/>
          <w:szCs w:val="24"/>
          <w:lang w:eastAsia="en-GB"/>
        </w:rPr>
        <w:sym w:font="Symbol" w:char="F0B3"/>
      </w:r>
      <w:r w:rsidRPr="000F175B">
        <w:rPr>
          <w:sz w:val="24"/>
          <w:szCs w:val="24"/>
          <w:lang w:eastAsia="en-GB"/>
        </w:rPr>
        <w:t>1/1.000 til &lt;1/100), sjælden (</w:t>
      </w:r>
      <w:r w:rsidRPr="000F175B">
        <w:rPr>
          <w:sz w:val="24"/>
          <w:szCs w:val="24"/>
          <w:lang w:eastAsia="en-GB"/>
        </w:rPr>
        <w:sym w:font="Symbol" w:char="F0B3"/>
      </w:r>
      <w:r w:rsidRPr="000F175B">
        <w:rPr>
          <w:sz w:val="24"/>
          <w:szCs w:val="24"/>
          <w:lang w:eastAsia="en-GB"/>
        </w:rPr>
        <w:t xml:space="preserve">1/10.000 til &lt;1/1.000), meget sjælden (&lt;1/10.000), </w:t>
      </w:r>
      <w:r w:rsidRPr="000F175B">
        <w:rPr>
          <w:sz w:val="24"/>
          <w:szCs w:val="24"/>
        </w:rPr>
        <w:t>ikke kendt (kan ikke estimeres ud fra forhåndenværende data)</w:t>
      </w:r>
      <w:r w:rsidRPr="000F175B">
        <w:rPr>
          <w:sz w:val="24"/>
          <w:szCs w:val="24"/>
          <w:lang w:eastAsia="en-GB"/>
        </w:rPr>
        <w:t>.</w:t>
      </w:r>
    </w:p>
    <w:p w14:paraId="27AE01D4" w14:textId="77777777" w:rsidR="00A0096D" w:rsidRPr="000F175B" w:rsidRDefault="00A0096D" w:rsidP="00A0096D">
      <w:pPr>
        <w:rPr>
          <w:sz w:val="24"/>
          <w:szCs w:val="24"/>
          <w:u w:val="single"/>
          <w:lang w:eastAsia="fr-L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3"/>
        <w:gridCol w:w="1972"/>
        <w:gridCol w:w="4213"/>
      </w:tblGrid>
      <w:tr w:rsidR="00A0096D" w:rsidRPr="000F175B" w14:paraId="5E49635A" w14:textId="77777777" w:rsidTr="00665315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DAA9" w14:textId="77777777" w:rsidR="00A0096D" w:rsidRPr="000F175B" w:rsidRDefault="00A0096D">
            <w:pPr>
              <w:rPr>
                <w:sz w:val="24"/>
                <w:szCs w:val="24"/>
                <w:lang w:val="fr-LU"/>
              </w:rPr>
            </w:pPr>
            <w:r w:rsidRPr="000F175B">
              <w:rPr>
                <w:b/>
                <w:bCs/>
                <w:i/>
                <w:iCs/>
                <w:sz w:val="24"/>
                <w:szCs w:val="24"/>
              </w:rPr>
              <w:t xml:space="preserve">Systemorganklasser i henhold til </w:t>
            </w:r>
            <w:proofErr w:type="spellStart"/>
            <w:r w:rsidRPr="000F175B">
              <w:rPr>
                <w:b/>
                <w:bCs/>
                <w:i/>
                <w:iCs/>
                <w:sz w:val="24"/>
                <w:szCs w:val="24"/>
              </w:rPr>
              <w:t>MedDRA</w:t>
            </w:r>
            <w:proofErr w:type="spellEnd"/>
            <w:r w:rsidRPr="000F175B">
              <w:rPr>
                <w:b/>
                <w:bCs/>
                <w:i/>
                <w:iCs/>
                <w:sz w:val="24"/>
                <w:szCs w:val="24"/>
              </w:rPr>
              <w:t>-databasen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7705" w14:textId="77777777" w:rsidR="00A0096D" w:rsidRPr="000F175B" w:rsidRDefault="00A0096D">
            <w:pPr>
              <w:rPr>
                <w:sz w:val="24"/>
                <w:szCs w:val="24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F973" w14:textId="77777777" w:rsidR="00A0096D" w:rsidRPr="000F175B" w:rsidRDefault="00A0096D">
            <w:pPr>
              <w:rPr>
                <w:sz w:val="24"/>
                <w:szCs w:val="24"/>
                <w:lang w:eastAsia="da-DK"/>
              </w:rPr>
            </w:pPr>
          </w:p>
        </w:tc>
      </w:tr>
      <w:tr w:rsidR="00A0096D" w:rsidRPr="000F175B" w14:paraId="12AB3657" w14:textId="77777777" w:rsidTr="00665315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64D6" w14:textId="77777777" w:rsidR="00A0096D" w:rsidRPr="000F175B" w:rsidRDefault="00A0096D">
            <w:pPr>
              <w:rPr>
                <w:b/>
                <w:sz w:val="24"/>
                <w:szCs w:val="24"/>
                <w:lang w:val="fr-LU" w:eastAsia="fr-LU"/>
              </w:rPr>
            </w:pPr>
            <w:r w:rsidRPr="000F175B">
              <w:rPr>
                <w:b/>
                <w:sz w:val="24"/>
                <w:szCs w:val="24"/>
              </w:rPr>
              <w:t>Immunsystemet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4A38" w14:textId="77777777" w:rsidR="00A0096D" w:rsidRPr="000F175B" w:rsidRDefault="00A0096D">
            <w:pPr>
              <w:rPr>
                <w:sz w:val="24"/>
                <w:szCs w:val="24"/>
              </w:rPr>
            </w:pPr>
            <w:r w:rsidRPr="000F175B">
              <w:rPr>
                <w:sz w:val="24"/>
                <w:szCs w:val="24"/>
              </w:rPr>
              <w:t>Sjælden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3671" w14:textId="77777777" w:rsidR="00A0096D" w:rsidRPr="000F175B" w:rsidRDefault="00A0096D">
            <w:pPr>
              <w:rPr>
                <w:sz w:val="24"/>
                <w:szCs w:val="24"/>
              </w:rPr>
            </w:pPr>
            <w:r w:rsidRPr="000F175B">
              <w:rPr>
                <w:sz w:val="24"/>
                <w:szCs w:val="24"/>
              </w:rPr>
              <w:t>Overfølsomhed</w:t>
            </w:r>
          </w:p>
        </w:tc>
      </w:tr>
      <w:tr w:rsidR="00A0096D" w:rsidRPr="000F175B" w14:paraId="3C07E3BB" w14:textId="77777777" w:rsidTr="00665315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5E4D" w14:textId="77777777" w:rsidR="00A0096D" w:rsidRPr="000F175B" w:rsidRDefault="00A0096D">
            <w:pPr>
              <w:rPr>
                <w:b/>
                <w:sz w:val="24"/>
                <w:szCs w:val="24"/>
              </w:rPr>
            </w:pPr>
            <w:r w:rsidRPr="000F175B">
              <w:rPr>
                <w:b/>
                <w:sz w:val="24"/>
                <w:szCs w:val="24"/>
              </w:rPr>
              <w:t>Metabolisme og ernæring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A0BE" w14:textId="77777777" w:rsidR="00A0096D" w:rsidRPr="000F175B" w:rsidRDefault="00A0096D">
            <w:pPr>
              <w:rPr>
                <w:sz w:val="24"/>
                <w:szCs w:val="24"/>
              </w:rPr>
            </w:pPr>
            <w:r w:rsidRPr="000F175B">
              <w:rPr>
                <w:sz w:val="24"/>
                <w:szCs w:val="24"/>
                <w:lang w:eastAsia="en-GB"/>
              </w:rPr>
              <w:t>Ikke almindelig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5AA9" w14:textId="77777777" w:rsidR="00A0096D" w:rsidRPr="000F175B" w:rsidRDefault="00A0096D">
            <w:pPr>
              <w:rPr>
                <w:sz w:val="24"/>
                <w:szCs w:val="24"/>
              </w:rPr>
            </w:pPr>
            <w:proofErr w:type="spellStart"/>
            <w:r w:rsidRPr="000F175B">
              <w:rPr>
                <w:sz w:val="24"/>
                <w:szCs w:val="24"/>
                <w:lang w:eastAsia="en-GB"/>
              </w:rPr>
              <w:t>Hyperglykæmi</w:t>
            </w:r>
            <w:proofErr w:type="spellEnd"/>
            <w:r w:rsidRPr="000F175B">
              <w:rPr>
                <w:sz w:val="24"/>
                <w:szCs w:val="24"/>
                <w:lang w:eastAsia="en-GB"/>
              </w:rPr>
              <w:t>, urinsyregigt</w:t>
            </w:r>
          </w:p>
        </w:tc>
      </w:tr>
      <w:tr w:rsidR="00A0096D" w:rsidRPr="000F175B" w14:paraId="00C52CD3" w14:textId="77777777" w:rsidTr="00665315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4AB6" w14:textId="77777777" w:rsidR="00A0096D" w:rsidRPr="000F175B" w:rsidRDefault="00A0096D">
            <w:pPr>
              <w:rPr>
                <w:b/>
                <w:sz w:val="24"/>
                <w:szCs w:val="24"/>
              </w:rPr>
            </w:pPr>
            <w:r w:rsidRPr="000F175B">
              <w:rPr>
                <w:b/>
                <w:sz w:val="24"/>
                <w:szCs w:val="24"/>
              </w:rPr>
              <w:t>Nervesystemet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F06C" w14:textId="77777777" w:rsidR="00A0096D" w:rsidRPr="000F175B" w:rsidRDefault="00A0096D">
            <w:pPr>
              <w:rPr>
                <w:sz w:val="24"/>
                <w:szCs w:val="24"/>
              </w:rPr>
            </w:pPr>
            <w:r w:rsidRPr="000F175B">
              <w:rPr>
                <w:sz w:val="24"/>
                <w:szCs w:val="24"/>
                <w:lang w:eastAsia="en-GB"/>
              </w:rPr>
              <w:t>Ikke almindelig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43F0" w14:textId="77777777" w:rsidR="00A0096D" w:rsidRPr="000F175B" w:rsidRDefault="00A0096D">
            <w:pPr>
              <w:rPr>
                <w:sz w:val="24"/>
                <w:szCs w:val="24"/>
              </w:rPr>
            </w:pPr>
            <w:r w:rsidRPr="000F175B">
              <w:rPr>
                <w:sz w:val="24"/>
                <w:szCs w:val="24"/>
                <w:lang w:eastAsia="en-GB"/>
              </w:rPr>
              <w:t xml:space="preserve">Svimmelhed, </w:t>
            </w:r>
            <w:proofErr w:type="spellStart"/>
            <w:r w:rsidRPr="000F175B">
              <w:rPr>
                <w:sz w:val="24"/>
                <w:szCs w:val="24"/>
                <w:lang w:eastAsia="en-GB"/>
              </w:rPr>
              <w:t>dysgeusi</w:t>
            </w:r>
            <w:proofErr w:type="spellEnd"/>
            <w:r w:rsidRPr="000F175B">
              <w:rPr>
                <w:sz w:val="24"/>
                <w:szCs w:val="24"/>
                <w:lang w:eastAsia="en-GB"/>
              </w:rPr>
              <w:t>, hovedpine</w:t>
            </w:r>
          </w:p>
        </w:tc>
      </w:tr>
      <w:tr w:rsidR="00596720" w:rsidRPr="000F175B" w14:paraId="066D45CE" w14:textId="77777777" w:rsidTr="00665315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24F0" w14:textId="022479E4" w:rsidR="00596720" w:rsidRPr="000F175B" w:rsidRDefault="005967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Hjerte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E15A" w14:textId="02F4EA35" w:rsidR="00596720" w:rsidRPr="000F175B" w:rsidRDefault="00596720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Almindelig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358D" w14:textId="2E6C2AB6" w:rsidR="00596720" w:rsidRPr="000F175B" w:rsidRDefault="00596720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Atrieflimren</w:t>
            </w:r>
          </w:p>
        </w:tc>
      </w:tr>
      <w:tr w:rsidR="00A0096D" w:rsidRPr="000F175B" w14:paraId="6AB3E12D" w14:textId="77777777" w:rsidTr="00665315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5DF1" w14:textId="77777777" w:rsidR="00A0096D" w:rsidRPr="000F175B" w:rsidRDefault="00A0096D">
            <w:pPr>
              <w:rPr>
                <w:b/>
                <w:sz w:val="24"/>
                <w:szCs w:val="24"/>
              </w:rPr>
            </w:pPr>
            <w:proofErr w:type="spellStart"/>
            <w:r w:rsidRPr="000F175B">
              <w:rPr>
                <w:b/>
                <w:sz w:val="24"/>
                <w:szCs w:val="24"/>
              </w:rPr>
              <w:t>Vaskulære</w:t>
            </w:r>
            <w:proofErr w:type="spellEnd"/>
            <w:r w:rsidRPr="000F175B">
              <w:rPr>
                <w:b/>
                <w:sz w:val="24"/>
                <w:szCs w:val="24"/>
              </w:rPr>
              <w:t xml:space="preserve"> sygdomme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9E60" w14:textId="77777777" w:rsidR="00A0096D" w:rsidRPr="000F175B" w:rsidRDefault="00A0096D">
            <w:pPr>
              <w:rPr>
                <w:sz w:val="24"/>
                <w:szCs w:val="24"/>
              </w:rPr>
            </w:pPr>
            <w:r w:rsidRPr="000F175B">
              <w:rPr>
                <w:sz w:val="24"/>
                <w:szCs w:val="24"/>
                <w:lang w:eastAsia="en-GB"/>
              </w:rPr>
              <w:t>Ikke almindelig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9438" w14:textId="77777777" w:rsidR="00A0096D" w:rsidRPr="000F175B" w:rsidRDefault="00A0096D">
            <w:pPr>
              <w:rPr>
                <w:sz w:val="24"/>
                <w:szCs w:val="24"/>
              </w:rPr>
            </w:pPr>
            <w:r w:rsidRPr="000F175B">
              <w:rPr>
                <w:sz w:val="24"/>
                <w:szCs w:val="24"/>
                <w:lang w:eastAsia="en-GB"/>
              </w:rPr>
              <w:t>Hypotension</w:t>
            </w:r>
          </w:p>
        </w:tc>
      </w:tr>
      <w:tr w:rsidR="00A0096D" w:rsidRPr="000F175B" w14:paraId="50A53515" w14:textId="77777777" w:rsidTr="00665315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5FB8" w14:textId="77777777" w:rsidR="00A0096D" w:rsidRPr="000F175B" w:rsidRDefault="00A0096D">
            <w:pPr>
              <w:rPr>
                <w:b/>
                <w:sz w:val="24"/>
                <w:szCs w:val="24"/>
              </w:rPr>
            </w:pPr>
            <w:r w:rsidRPr="000F175B">
              <w:rPr>
                <w:b/>
                <w:noProof/>
                <w:sz w:val="24"/>
                <w:szCs w:val="24"/>
              </w:rPr>
              <w:t xml:space="preserve">Luftveje, thorax og mediastinum  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C1E7" w14:textId="77777777" w:rsidR="00A0096D" w:rsidRPr="000F175B" w:rsidRDefault="00A0096D">
            <w:pPr>
              <w:rPr>
                <w:sz w:val="24"/>
                <w:szCs w:val="24"/>
              </w:rPr>
            </w:pPr>
            <w:r w:rsidRPr="000F175B">
              <w:rPr>
                <w:sz w:val="24"/>
                <w:szCs w:val="24"/>
                <w:lang w:eastAsia="en-GB"/>
              </w:rPr>
              <w:t>Ikke almindelig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8D44" w14:textId="77777777" w:rsidR="00A0096D" w:rsidRPr="000F175B" w:rsidRDefault="00A0096D">
            <w:pPr>
              <w:rPr>
                <w:sz w:val="24"/>
                <w:szCs w:val="24"/>
              </w:rPr>
            </w:pPr>
            <w:r w:rsidRPr="000F175B">
              <w:rPr>
                <w:sz w:val="24"/>
                <w:szCs w:val="24"/>
              </w:rPr>
              <w:t>Næseblod</w:t>
            </w:r>
          </w:p>
        </w:tc>
      </w:tr>
      <w:tr w:rsidR="00A0096D" w:rsidRPr="000F175B" w14:paraId="350B01F7" w14:textId="77777777" w:rsidTr="00665315">
        <w:trPr>
          <w:trHeight w:val="342"/>
        </w:trPr>
        <w:tc>
          <w:tcPr>
            <w:tcW w:w="1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3620" w14:textId="77777777" w:rsidR="00A0096D" w:rsidRPr="000F175B" w:rsidRDefault="00A0096D">
            <w:pPr>
              <w:rPr>
                <w:b/>
                <w:sz w:val="24"/>
                <w:szCs w:val="24"/>
              </w:rPr>
            </w:pPr>
            <w:r w:rsidRPr="000F175B">
              <w:rPr>
                <w:b/>
                <w:sz w:val="24"/>
                <w:szCs w:val="24"/>
              </w:rPr>
              <w:t>Mave-tarm-kanalen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5F1D" w14:textId="77777777" w:rsidR="00A0096D" w:rsidRPr="000F175B" w:rsidRDefault="00A0096D">
            <w:pPr>
              <w:rPr>
                <w:sz w:val="24"/>
                <w:szCs w:val="24"/>
              </w:rPr>
            </w:pPr>
            <w:r w:rsidRPr="000F175B">
              <w:rPr>
                <w:sz w:val="24"/>
                <w:szCs w:val="24"/>
              </w:rPr>
              <w:t>Almindelig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AE2F" w14:textId="52F9BB6E" w:rsidR="00A0096D" w:rsidRPr="000F175B" w:rsidRDefault="00A0096D">
            <w:pPr>
              <w:rPr>
                <w:sz w:val="24"/>
                <w:szCs w:val="24"/>
              </w:rPr>
            </w:pPr>
            <w:proofErr w:type="spellStart"/>
            <w:r w:rsidRPr="000F175B">
              <w:rPr>
                <w:sz w:val="24"/>
                <w:szCs w:val="24"/>
                <w:lang w:eastAsia="en-GB"/>
              </w:rPr>
              <w:t>Gastrointestinale</w:t>
            </w:r>
            <w:proofErr w:type="spellEnd"/>
            <w:r w:rsidRPr="000F175B">
              <w:rPr>
                <w:sz w:val="24"/>
                <w:szCs w:val="24"/>
                <w:lang w:eastAsia="en-GB"/>
              </w:rPr>
              <w:t xml:space="preserve"> lidelser (herunder oppustethed, mavesmerter, forstoppelse, diarré, dyspepsi, </w:t>
            </w:r>
            <w:proofErr w:type="spellStart"/>
            <w:r w:rsidRPr="000F175B">
              <w:rPr>
                <w:sz w:val="24"/>
                <w:szCs w:val="24"/>
                <w:lang w:eastAsia="en-GB"/>
              </w:rPr>
              <w:t>flatulens</w:t>
            </w:r>
            <w:proofErr w:type="spellEnd"/>
            <w:r w:rsidRPr="000F175B">
              <w:rPr>
                <w:sz w:val="24"/>
                <w:szCs w:val="24"/>
                <w:lang w:eastAsia="en-GB"/>
              </w:rPr>
              <w:t xml:space="preserve">, opstød, </w:t>
            </w:r>
            <w:proofErr w:type="spellStart"/>
            <w:r w:rsidRPr="000F175B">
              <w:rPr>
                <w:sz w:val="24"/>
                <w:szCs w:val="24"/>
                <w:lang w:eastAsia="en-GB"/>
              </w:rPr>
              <w:t>gastroøsofageal</w:t>
            </w:r>
            <w:proofErr w:type="spellEnd"/>
            <w:r w:rsidRPr="000F175B">
              <w:rPr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F175B">
              <w:rPr>
                <w:sz w:val="24"/>
                <w:szCs w:val="24"/>
                <w:lang w:eastAsia="en-GB"/>
              </w:rPr>
              <w:t>reflukssygdom</w:t>
            </w:r>
            <w:proofErr w:type="spellEnd"/>
            <w:r w:rsidRPr="000F175B">
              <w:rPr>
                <w:sz w:val="24"/>
                <w:szCs w:val="24"/>
                <w:lang w:eastAsia="en-GB"/>
              </w:rPr>
              <w:t>, kvalme eller opkastning)</w:t>
            </w:r>
          </w:p>
        </w:tc>
      </w:tr>
      <w:tr w:rsidR="00A0096D" w:rsidRPr="000F175B" w14:paraId="09415EDE" w14:textId="77777777" w:rsidTr="00665315">
        <w:trPr>
          <w:trHeight w:val="342"/>
        </w:trPr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1FC0" w14:textId="77777777" w:rsidR="00A0096D" w:rsidRPr="000F175B" w:rsidRDefault="00A0096D">
            <w:pPr>
              <w:rPr>
                <w:b/>
                <w:sz w:val="24"/>
                <w:szCs w:val="24"/>
                <w:lang w:val="fr-LU" w:eastAsia="fr-LU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B302" w14:textId="77777777" w:rsidR="00A0096D" w:rsidRPr="000F175B" w:rsidRDefault="00A0096D">
            <w:pPr>
              <w:rPr>
                <w:sz w:val="24"/>
                <w:szCs w:val="24"/>
              </w:rPr>
            </w:pPr>
            <w:r w:rsidRPr="000F175B">
              <w:rPr>
                <w:sz w:val="24"/>
                <w:szCs w:val="24"/>
              </w:rPr>
              <w:t>Ikke almindelig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3EA6" w14:textId="77777777" w:rsidR="00A0096D" w:rsidRPr="000F175B" w:rsidRDefault="00A0096D">
            <w:pPr>
              <w:rPr>
                <w:sz w:val="24"/>
                <w:szCs w:val="24"/>
              </w:rPr>
            </w:pPr>
            <w:r w:rsidRPr="000F175B">
              <w:rPr>
                <w:sz w:val="24"/>
                <w:szCs w:val="24"/>
                <w:lang w:eastAsia="en-GB"/>
              </w:rPr>
              <w:t>Mave-tarm-blødning</w:t>
            </w:r>
          </w:p>
        </w:tc>
      </w:tr>
      <w:tr w:rsidR="00A0096D" w:rsidRPr="000F175B" w14:paraId="1C217D58" w14:textId="77777777" w:rsidTr="00665315"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12817" w14:textId="77777777" w:rsidR="00A0096D" w:rsidRPr="000F175B" w:rsidRDefault="00A0096D">
            <w:pPr>
              <w:rPr>
                <w:b/>
                <w:sz w:val="24"/>
                <w:szCs w:val="24"/>
              </w:rPr>
            </w:pPr>
            <w:r w:rsidRPr="000F175B">
              <w:rPr>
                <w:b/>
                <w:noProof/>
                <w:sz w:val="24"/>
                <w:szCs w:val="24"/>
              </w:rPr>
              <w:t>Lever og galdeveje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D218" w14:textId="77777777" w:rsidR="00A0096D" w:rsidRPr="000F175B" w:rsidRDefault="00A0096D">
            <w:pPr>
              <w:rPr>
                <w:sz w:val="24"/>
                <w:szCs w:val="24"/>
              </w:rPr>
            </w:pPr>
            <w:r w:rsidRPr="000F175B">
              <w:rPr>
                <w:sz w:val="24"/>
                <w:szCs w:val="24"/>
              </w:rPr>
              <w:t>Sjælden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7D775" w14:textId="77777777" w:rsidR="00A0096D" w:rsidRPr="000F175B" w:rsidRDefault="00A0096D">
            <w:pPr>
              <w:rPr>
                <w:sz w:val="24"/>
                <w:szCs w:val="24"/>
              </w:rPr>
            </w:pPr>
            <w:r w:rsidRPr="000F175B">
              <w:rPr>
                <w:sz w:val="24"/>
                <w:szCs w:val="24"/>
                <w:lang w:eastAsia="en-GB"/>
              </w:rPr>
              <w:t xml:space="preserve">Lidelser i leveren (herunder øgede </w:t>
            </w:r>
            <w:proofErr w:type="spellStart"/>
            <w:r w:rsidRPr="000F175B">
              <w:rPr>
                <w:sz w:val="24"/>
                <w:szCs w:val="24"/>
                <w:lang w:eastAsia="en-GB"/>
              </w:rPr>
              <w:t>transaminaser</w:t>
            </w:r>
            <w:proofErr w:type="spellEnd"/>
            <w:r w:rsidRPr="000F175B">
              <w:rPr>
                <w:sz w:val="24"/>
                <w:szCs w:val="24"/>
                <w:lang w:eastAsia="en-GB"/>
              </w:rPr>
              <w:t>, øget ALAT og øget ASAT)</w:t>
            </w:r>
          </w:p>
        </w:tc>
      </w:tr>
      <w:tr w:rsidR="00A0096D" w:rsidRPr="000F175B" w14:paraId="281A0B8B" w14:textId="77777777" w:rsidTr="00665315">
        <w:trPr>
          <w:trHeight w:val="76"/>
        </w:trPr>
        <w:tc>
          <w:tcPr>
            <w:tcW w:w="1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6AA4" w14:textId="77777777" w:rsidR="00A0096D" w:rsidRPr="000F175B" w:rsidRDefault="00A0096D">
            <w:pPr>
              <w:rPr>
                <w:b/>
                <w:sz w:val="24"/>
                <w:szCs w:val="24"/>
              </w:rPr>
            </w:pPr>
            <w:r w:rsidRPr="000F175B">
              <w:rPr>
                <w:b/>
                <w:noProof/>
                <w:sz w:val="24"/>
                <w:szCs w:val="24"/>
                <w:lang w:val="de-DE"/>
              </w:rPr>
              <w:t>Hud og subkutane væv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EEF7" w14:textId="77777777" w:rsidR="00A0096D" w:rsidRPr="000F175B" w:rsidRDefault="00A0096D">
            <w:pPr>
              <w:rPr>
                <w:sz w:val="24"/>
                <w:szCs w:val="24"/>
              </w:rPr>
            </w:pPr>
            <w:r w:rsidRPr="000F175B">
              <w:rPr>
                <w:sz w:val="24"/>
                <w:szCs w:val="24"/>
              </w:rPr>
              <w:t>Ikke almindelig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6E51" w14:textId="77777777" w:rsidR="00A0096D" w:rsidRPr="000F175B" w:rsidRDefault="00A0096D">
            <w:pPr>
              <w:rPr>
                <w:sz w:val="24"/>
                <w:szCs w:val="24"/>
              </w:rPr>
            </w:pPr>
            <w:r w:rsidRPr="000F175B">
              <w:rPr>
                <w:sz w:val="24"/>
                <w:szCs w:val="24"/>
              </w:rPr>
              <w:t>Udslæt</w:t>
            </w:r>
          </w:p>
        </w:tc>
      </w:tr>
      <w:tr w:rsidR="00A0096D" w:rsidRPr="000F175B" w14:paraId="1FC128F9" w14:textId="77777777" w:rsidTr="00665315">
        <w:trPr>
          <w:trHeight w:val="76"/>
        </w:trPr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9F8D" w14:textId="77777777" w:rsidR="00A0096D" w:rsidRPr="000F175B" w:rsidRDefault="00A0096D">
            <w:pPr>
              <w:rPr>
                <w:b/>
                <w:sz w:val="24"/>
                <w:szCs w:val="24"/>
                <w:lang w:val="fr-LU" w:eastAsia="fr-LU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A5B5" w14:textId="77777777" w:rsidR="00A0096D" w:rsidRPr="000F175B" w:rsidRDefault="00A0096D">
            <w:pPr>
              <w:rPr>
                <w:sz w:val="24"/>
                <w:szCs w:val="24"/>
              </w:rPr>
            </w:pPr>
            <w:r w:rsidRPr="000F175B">
              <w:rPr>
                <w:sz w:val="24"/>
                <w:szCs w:val="24"/>
              </w:rPr>
              <w:t>Sjælden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0784" w14:textId="77777777" w:rsidR="00A0096D" w:rsidRPr="000F175B" w:rsidRDefault="00A0096D">
            <w:pPr>
              <w:rPr>
                <w:sz w:val="24"/>
                <w:szCs w:val="24"/>
              </w:rPr>
            </w:pPr>
            <w:r w:rsidRPr="000F175B">
              <w:rPr>
                <w:sz w:val="24"/>
                <w:szCs w:val="24"/>
              </w:rPr>
              <w:t>Nældefeber</w:t>
            </w:r>
          </w:p>
        </w:tc>
      </w:tr>
      <w:tr w:rsidR="00A0096D" w:rsidRPr="000F175B" w14:paraId="7AE4A59B" w14:textId="77777777" w:rsidTr="00665315">
        <w:trPr>
          <w:trHeight w:val="76"/>
        </w:trPr>
        <w:tc>
          <w:tcPr>
            <w:tcW w:w="1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A003" w14:textId="77777777" w:rsidR="00A0096D" w:rsidRPr="000F175B" w:rsidRDefault="00A0096D">
            <w:pPr>
              <w:rPr>
                <w:b/>
                <w:sz w:val="24"/>
                <w:szCs w:val="24"/>
                <w:lang w:val="fr-LU" w:eastAsia="fr-LU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7ED6" w14:textId="77777777" w:rsidR="00A0096D" w:rsidRPr="000F175B" w:rsidRDefault="00A0096D">
            <w:pPr>
              <w:rPr>
                <w:sz w:val="24"/>
                <w:szCs w:val="24"/>
              </w:rPr>
            </w:pPr>
            <w:r w:rsidRPr="000F175B">
              <w:rPr>
                <w:sz w:val="24"/>
                <w:szCs w:val="24"/>
              </w:rPr>
              <w:t>Ikke kendt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B93A" w14:textId="77777777" w:rsidR="00A0096D" w:rsidRPr="000F175B" w:rsidRDefault="00A0096D">
            <w:pPr>
              <w:rPr>
                <w:sz w:val="24"/>
                <w:szCs w:val="24"/>
              </w:rPr>
            </w:pPr>
            <w:r w:rsidRPr="000F175B">
              <w:rPr>
                <w:sz w:val="24"/>
                <w:szCs w:val="24"/>
              </w:rPr>
              <w:t>Kløe</w:t>
            </w:r>
          </w:p>
        </w:tc>
      </w:tr>
    </w:tbl>
    <w:p w14:paraId="30B22CB6" w14:textId="77777777" w:rsidR="00A0096D" w:rsidRPr="000F175B" w:rsidRDefault="00A0096D" w:rsidP="00A0096D">
      <w:pPr>
        <w:rPr>
          <w:sz w:val="24"/>
          <w:szCs w:val="24"/>
          <w:u w:val="single"/>
          <w:lang w:eastAsia="fr-LU"/>
        </w:rPr>
      </w:pPr>
    </w:p>
    <w:p w14:paraId="3E6A1045" w14:textId="77777777" w:rsidR="00A0096D" w:rsidRPr="000F175B" w:rsidRDefault="00A0096D" w:rsidP="00914C95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0F175B">
        <w:rPr>
          <w:noProof/>
          <w:sz w:val="24"/>
          <w:szCs w:val="24"/>
          <w:u w:val="single"/>
        </w:rPr>
        <w:t>Indberetning af formodede bivirkninger</w:t>
      </w:r>
    </w:p>
    <w:p w14:paraId="05FEEBDB" w14:textId="781FB7F9" w:rsidR="00A0096D" w:rsidRDefault="00A0096D" w:rsidP="00914C95">
      <w:pPr>
        <w:tabs>
          <w:tab w:val="left" w:pos="567"/>
        </w:tabs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r w:rsidRPr="000F175B">
        <w:rPr>
          <w:noProof/>
          <w:sz w:val="24"/>
          <w:szCs w:val="24"/>
        </w:rPr>
        <w:t>Når lægemidlet er godkendt, er indberetning af formodede bivirkninger vigtig.</w:t>
      </w:r>
      <w:r w:rsidRPr="000F175B">
        <w:rPr>
          <w:sz w:val="24"/>
          <w:szCs w:val="24"/>
        </w:rPr>
        <w:t xml:space="preserve"> </w:t>
      </w:r>
      <w:r w:rsidRPr="000F175B">
        <w:rPr>
          <w:noProof/>
          <w:sz w:val="24"/>
          <w:szCs w:val="24"/>
        </w:rPr>
        <w:t>Det muliggør løbende overvågning af benefit/risk-forholdet for lægemidlet.</w:t>
      </w:r>
      <w:r w:rsidRPr="000F175B">
        <w:rPr>
          <w:sz w:val="24"/>
          <w:szCs w:val="24"/>
        </w:rPr>
        <w:t xml:space="preserve"> </w:t>
      </w:r>
      <w:r w:rsidR="003136BE">
        <w:rPr>
          <w:sz w:val="24"/>
          <w:szCs w:val="24"/>
        </w:rPr>
        <w:t>S</w:t>
      </w:r>
      <w:r w:rsidRPr="000F175B">
        <w:rPr>
          <w:noProof/>
          <w:sz w:val="24"/>
          <w:szCs w:val="24"/>
        </w:rPr>
        <w:t>undhedsperson</w:t>
      </w:r>
      <w:r w:rsidR="003136BE">
        <w:rPr>
          <w:noProof/>
          <w:sz w:val="24"/>
          <w:szCs w:val="24"/>
        </w:rPr>
        <w:t>er</w:t>
      </w:r>
      <w:r w:rsidRPr="000F175B">
        <w:rPr>
          <w:noProof/>
          <w:sz w:val="24"/>
          <w:szCs w:val="24"/>
        </w:rPr>
        <w:t xml:space="preserve"> anmodes om at indberette alle formodede bivirkninger via</w:t>
      </w:r>
    </w:p>
    <w:p w14:paraId="73E1C9B5" w14:textId="77777777" w:rsidR="003136BE" w:rsidRPr="000F175B" w:rsidRDefault="003136BE" w:rsidP="00914C95">
      <w:pPr>
        <w:tabs>
          <w:tab w:val="left" w:pos="567"/>
        </w:tabs>
        <w:autoSpaceDE w:val="0"/>
        <w:autoSpaceDN w:val="0"/>
        <w:adjustRightInd w:val="0"/>
        <w:ind w:left="851"/>
        <w:rPr>
          <w:noProof/>
          <w:sz w:val="24"/>
          <w:szCs w:val="24"/>
        </w:rPr>
      </w:pPr>
    </w:p>
    <w:p w14:paraId="1FAADA4C" w14:textId="77777777" w:rsidR="00A0096D" w:rsidRPr="000F175B" w:rsidRDefault="00A0096D" w:rsidP="00914C95">
      <w:pPr>
        <w:tabs>
          <w:tab w:val="left" w:pos="567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  <w:lang w:eastAsia="en-GB"/>
        </w:rPr>
      </w:pPr>
      <w:r w:rsidRPr="000F175B">
        <w:rPr>
          <w:color w:val="000000"/>
          <w:sz w:val="24"/>
          <w:szCs w:val="24"/>
          <w:lang w:eastAsia="en-GB"/>
        </w:rPr>
        <w:t>Lægemiddelstyrelsen</w:t>
      </w:r>
    </w:p>
    <w:p w14:paraId="78854FC0" w14:textId="77777777" w:rsidR="00A0096D" w:rsidRPr="000F175B" w:rsidRDefault="00A0096D" w:rsidP="00914C95">
      <w:pPr>
        <w:tabs>
          <w:tab w:val="left" w:pos="567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  <w:lang w:eastAsia="en-GB"/>
        </w:rPr>
      </w:pPr>
      <w:r w:rsidRPr="000F175B">
        <w:rPr>
          <w:color w:val="000000"/>
          <w:sz w:val="24"/>
          <w:szCs w:val="24"/>
          <w:lang w:eastAsia="en-GB"/>
        </w:rPr>
        <w:t>Axel Heides Gade 1</w:t>
      </w:r>
    </w:p>
    <w:p w14:paraId="2D517728" w14:textId="77777777" w:rsidR="00A0096D" w:rsidRPr="000F175B" w:rsidRDefault="00A0096D" w:rsidP="00914C95">
      <w:pPr>
        <w:tabs>
          <w:tab w:val="left" w:pos="567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  <w:lang w:eastAsia="en-GB"/>
        </w:rPr>
      </w:pPr>
      <w:r w:rsidRPr="000F175B">
        <w:rPr>
          <w:color w:val="000000"/>
          <w:sz w:val="24"/>
          <w:szCs w:val="24"/>
          <w:lang w:eastAsia="en-GB"/>
        </w:rPr>
        <w:t>DK-2300 København S</w:t>
      </w:r>
    </w:p>
    <w:p w14:paraId="2954FD7E" w14:textId="77777777" w:rsidR="00A0096D" w:rsidRPr="000F175B" w:rsidRDefault="00A0096D" w:rsidP="00914C95">
      <w:pPr>
        <w:tabs>
          <w:tab w:val="left" w:pos="567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  <w:lang w:eastAsia="en-GB"/>
        </w:rPr>
      </w:pPr>
      <w:r w:rsidRPr="000F175B">
        <w:rPr>
          <w:color w:val="000000"/>
          <w:sz w:val="24"/>
          <w:szCs w:val="24"/>
          <w:lang w:eastAsia="en-GB"/>
        </w:rPr>
        <w:t xml:space="preserve">Websted: </w:t>
      </w:r>
      <w:hyperlink r:id="rId8" w:history="1">
        <w:r w:rsidRPr="000F175B">
          <w:rPr>
            <w:rStyle w:val="Hyperlink"/>
            <w:sz w:val="24"/>
            <w:szCs w:val="24"/>
            <w:lang w:eastAsia="en-GB"/>
          </w:rPr>
          <w:t>www.meldenbivirkning.dk</w:t>
        </w:r>
      </w:hyperlink>
    </w:p>
    <w:p w14:paraId="763426EB" w14:textId="51984B9E" w:rsidR="00A81456" w:rsidRDefault="00A81456">
      <w:pPr>
        <w:rPr>
          <w:sz w:val="24"/>
          <w:szCs w:val="24"/>
          <w:lang w:eastAsia="da-DK"/>
        </w:rPr>
      </w:pPr>
      <w:r>
        <w:rPr>
          <w:szCs w:val="24"/>
        </w:rPr>
        <w:br w:type="page"/>
      </w:r>
    </w:p>
    <w:p w14:paraId="5A99D260" w14:textId="77777777" w:rsidR="009260DE" w:rsidRPr="000F175B" w:rsidRDefault="009260DE" w:rsidP="009260DE">
      <w:pPr>
        <w:pStyle w:val="Sidehoved"/>
        <w:tabs>
          <w:tab w:val="left" w:pos="851"/>
        </w:tabs>
        <w:ind w:left="851"/>
        <w:rPr>
          <w:szCs w:val="24"/>
        </w:rPr>
      </w:pPr>
    </w:p>
    <w:p w14:paraId="49C5F217" w14:textId="77777777" w:rsidR="009260DE" w:rsidRPr="000F175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F175B">
        <w:rPr>
          <w:b/>
          <w:sz w:val="24"/>
          <w:szCs w:val="24"/>
        </w:rPr>
        <w:t>4.9</w:t>
      </w:r>
      <w:r w:rsidRPr="000F175B">
        <w:rPr>
          <w:b/>
          <w:sz w:val="24"/>
          <w:szCs w:val="24"/>
        </w:rPr>
        <w:tab/>
        <w:t>Overdosering</w:t>
      </w:r>
    </w:p>
    <w:p w14:paraId="7CC8F73D" w14:textId="77777777" w:rsidR="00A0096D" w:rsidRPr="000F175B" w:rsidRDefault="00A0096D" w:rsidP="00914C95">
      <w:pPr>
        <w:ind w:left="851"/>
        <w:rPr>
          <w:sz w:val="24"/>
          <w:szCs w:val="24"/>
          <w:lang w:eastAsia="fr-LU"/>
        </w:rPr>
      </w:pPr>
      <w:r w:rsidRPr="000F175B">
        <w:rPr>
          <w:color w:val="000000"/>
          <w:sz w:val="24"/>
          <w:szCs w:val="24"/>
        </w:rPr>
        <w:t>Der er ingen særlige anbefalinger. Behandlingen bør være symptomatisk.</w:t>
      </w:r>
    </w:p>
    <w:p w14:paraId="7C98C896" w14:textId="77777777" w:rsidR="009260DE" w:rsidRPr="000F175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C5424A5" w14:textId="77777777" w:rsidR="009260DE" w:rsidRPr="000F175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F175B">
        <w:rPr>
          <w:b/>
          <w:sz w:val="24"/>
          <w:szCs w:val="24"/>
        </w:rPr>
        <w:t>4.10</w:t>
      </w:r>
      <w:r w:rsidRPr="000F175B">
        <w:rPr>
          <w:b/>
          <w:sz w:val="24"/>
          <w:szCs w:val="24"/>
        </w:rPr>
        <w:tab/>
        <w:t>Udlevering</w:t>
      </w:r>
    </w:p>
    <w:p w14:paraId="130E950D" w14:textId="0297FCDA" w:rsidR="009260DE" w:rsidRPr="000F175B" w:rsidRDefault="003C1147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</w:p>
    <w:p w14:paraId="3178D5A9" w14:textId="77777777" w:rsidR="009260DE" w:rsidRPr="000F175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ED41EFF" w14:textId="77777777" w:rsidR="009260DE" w:rsidRPr="000F175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9DC6FD1" w14:textId="77777777" w:rsidR="009260DE" w:rsidRPr="000F175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F175B">
        <w:rPr>
          <w:b/>
          <w:sz w:val="24"/>
          <w:szCs w:val="24"/>
        </w:rPr>
        <w:t>5.</w:t>
      </w:r>
      <w:r w:rsidRPr="000F175B">
        <w:rPr>
          <w:b/>
          <w:sz w:val="24"/>
          <w:szCs w:val="24"/>
        </w:rPr>
        <w:tab/>
        <w:t>FARMAKOLOGISKE EGENSKABER</w:t>
      </w:r>
    </w:p>
    <w:p w14:paraId="38BA6EBB" w14:textId="77777777" w:rsidR="009260DE" w:rsidRPr="000F175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E9BCA0A" w14:textId="77777777" w:rsidR="009260DE" w:rsidRPr="000F175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9A29FC1" w14:textId="232B68A5" w:rsidR="009260DE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0F175B">
        <w:rPr>
          <w:b/>
          <w:sz w:val="24"/>
          <w:szCs w:val="24"/>
        </w:rPr>
        <w:t>5.1</w:t>
      </w:r>
      <w:r w:rsidRPr="000F175B">
        <w:rPr>
          <w:b/>
          <w:sz w:val="24"/>
          <w:szCs w:val="24"/>
        </w:rPr>
        <w:tab/>
      </w:r>
      <w:proofErr w:type="spellStart"/>
      <w:r w:rsidRPr="000F175B">
        <w:rPr>
          <w:b/>
          <w:sz w:val="24"/>
          <w:szCs w:val="24"/>
        </w:rPr>
        <w:t>Farmakodynamiske</w:t>
      </w:r>
      <w:proofErr w:type="spellEnd"/>
      <w:r w:rsidRPr="000F175B">
        <w:rPr>
          <w:b/>
          <w:sz w:val="24"/>
          <w:szCs w:val="24"/>
        </w:rPr>
        <w:t xml:space="preserve"> egenskaber</w:t>
      </w:r>
    </w:p>
    <w:p w14:paraId="535A4CA5" w14:textId="16DC7B76" w:rsidR="00593E52" w:rsidRPr="00593E52" w:rsidRDefault="00593E52" w:rsidP="009260DE">
      <w:pPr>
        <w:tabs>
          <w:tab w:val="num" w:pos="851"/>
        </w:tabs>
        <w:ind w:left="851" w:hanging="851"/>
        <w:rPr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r w:rsidRPr="00C922B2">
        <w:rPr>
          <w:sz w:val="24"/>
          <w:szCs w:val="24"/>
        </w:rPr>
        <w:t>Farmakoterapeutisk</w:t>
      </w:r>
      <w:proofErr w:type="spellEnd"/>
      <w:r w:rsidRPr="00C922B2">
        <w:rPr>
          <w:sz w:val="24"/>
          <w:szCs w:val="24"/>
        </w:rPr>
        <w:t xml:space="preserve"> klassifikation</w:t>
      </w:r>
      <w:r>
        <w:rPr>
          <w:sz w:val="24"/>
          <w:szCs w:val="24"/>
        </w:rPr>
        <w:t xml:space="preserve">: </w:t>
      </w:r>
      <w:r w:rsidRPr="00593E52">
        <w:rPr>
          <w:sz w:val="24"/>
          <w:szCs w:val="24"/>
        </w:rPr>
        <w:t xml:space="preserve">Omega-3-triglycerider inkl. andre </w:t>
      </w:r>
      <w:proofErr w:type="spellStart"/>
      <w:r w:rsidRPr="00593E52">
        <w:rPr>
          <w:sz w:val="24"/>
          <w:szCs w:val="24"/>
        </w:rPr>
        <w:t>estre</w:t>
      </w:r>
      <w:proofErr w:type="spellEnd"/>
      <w:r w:rsidRPr="00593E52">
        <w:rPr>
          <w:sz w:val="24"/>
          <w:szCs w:val="24"/>
        </w:rPr>
        <w:t xml:space="preserve"> og syrer</w:t>
      </w:r>
      <w:r>
        <w:rPr>
          <w:sz w:val="24"/>
          <w:szCs w:val="24"/>
        </w:rPr>
        <w:t xml:space="preserve">, </w:t>
      </w:r>
      <w:r w:rsidRPr="00593E52">
        <w:rPr>
          <w:sz w:val="24"/>
          <w:szCs w:val="24"/>
        </w:rPr>
        <w:t>ATC-kode: C10AX06.</w:t>
      </w:r>
    </w:p>
    <w:p w14:paraId="5C31B6FD" w14:textId="77777777" w:rsidR="00593E52" w:rsidRPr="00A81456" w:rsidRDefault="00593E52" w:rsidP="00A81456">
      <w:pPr>
        <w:tabs>
          <w:tab w:val="num" w:pos="851"/>
        </w:tabs>
        <w:ind w:left="851"/>
        <w:rPr>
          <w:sz w:val="24"/>
          <w:szCs w:val="24"/>
        </w:rPr>
      </w:pPr>
    </w:p>
    <w:p w14:paraId="0C0DFCC2" w14:textId="77777777" w:rsidR="00A0096D" w:rsidRPr="000F175B" w:rsidRDefault="00A0096D" w:rsidP="00914C95">
      <w:pPr>
        <w:ind w:left="851"/>
        <w:rPr>
          <w:color w:val="000000"/>
          <w:sz w:val="24"/>
          <w:szCs w:val="24"/>
          <w:lang w:eastAsia="fr-LU"/>
        </w:rPr>
      </w:pPr>
      <w:r w:rsidRPr="000F175B">
        <w:rPr>
          <w:color w:val="000000"/>
          <w:sz w:val="24"/>
          <w:szCs w:val="24"/>
        </w:rPr>
        <w:t xml:space="preserve">Omega-3-serie flerumættet fedtsyrerne </w:t>
      </w:r>
      <w:proofErr w:type="spellStart"/>
      <w:r w:rsidRPr="000F175B">
        <w:rPr>
          <w:color w:val="000000"/>
          <w:sz w:val="24"/>
          <w:szCs w:val="24"/>
        </w:rPr>
        <w:t>eicosapentaensyre</w:t>
      </w:r>
      <w:proofErr w:type="spellEnd"/>
      <w:r w:rsidRPr="000F175B">
        <w:rPr>
          <w:color w:val="000000"/>
          <w:sz w:val="24"/>
          <w:szCs w:val="24"/>
        </w:rPr>
        <w:t xml:space="preserve"> (EPA) og </w:t>
      </w:r>
      <w:proofErr w:type="spellStart"/>
      <w:r w:rsidRPr="000F175B">
        <w:rPr>
          <w:color w:val="000000"/>
          <w:sz w:val="24"/>
          <w:szCs w:val="24"/>
        </w:rPr>
        <w:t>docosahexaensyre</w:t>
      </w:r>
      <w:proofErr w:type="spellEnd"/>
      <w:r w:rsidRPr="000F175B">
        <w:rPr>
          <w:color w:val="000000"/>
          <w:sz w:val="24"/>
          <w:szCs w:val="24"/>
        </w:rPr>
        <w:t xml:space="preserve"> (DHA), er essentielle fedtsyrer. </w:t>
      </w:r>
    </w:p>
    <w:p w14:paraId="0FA668E2" w14:textId="77777777" w:rsidR="00A0096D" w:rsidRPr="000F175B" w:rsidRDefault="00A0096D" w:rsidP="00914C95">
      <w:pPr>
        <w:ind w:left="851"/>
        <w:rPr>
          <w:sz w:val="24"/>
          <w:szCs w:val="24"/>
        </w:rPr>
      </w:pPr>
    </w:p>
    <w:p w14:paraId="7E1267BC" w14:textId="77777777" w:rsidR="00A0096D" w:rsidRPr="000F175B" w:rsidRDefault="00A0096D" w:rsidP="00914C95">
      <w:pPr>
        <w:suppressAutoHyphens/>
        <w:ind w:left="851"/>
        <w:rPr>
          <w:sz w:val="24"/>
          <w:szCs w:val="24"/>
          <w:u w:val="single"/>
        </w:rPr>
      </w:pPr>
      <w:r w:rsidRPr="000F175B">
        <w:rPr>
          <w:sz w:val="24"/>
          <w:szCs w:val="24"/>
          <w:u w:val="single"/>
        </w:rPr>
        <w:t>Virkningsmekanisme</w:t>
      </w:r>
    </w:p>
    <w:p w14:paraId="23229BFF" w14:textId="31A9C149" w:rsidR="00A0096D" w:rsidRPr="000F175B" w:rsidRDefault="00A0096D" w:rsidP="00914C95">
      <w:pPr>
        <w:suppressAutoHyphens/>
        <w:ind w:left="851"/>
        <w:rPr>
          <w:color w:val="000000"/>
          <w:sz w:val="24"/>
          <w:szCs w:val="24"/>
          <w:lang w:val="fr-LU"/>
        </w:rPr>
      </w:pPr>
      <w:r w:rsidRPr="000F175B">
        <w:rPr>
          <w:color w:val="000000"/>
          <w:sz w:val="24"/>
          <w:szCs w:val="24"/>
        </w:rPr>
        <w:t>Omega-3-syreethylestre 90 virker aktivt på plasmalipiderne ved at sænke triglycerid</w:t>
      </w:r>
      <w:r w:rsidR="00A81456">
        <w:rPr>
          <w:color w:val="000000"/>
          <w:sz w:val="24"/>
          <w:szCs w:val="24"/>
        </w:rPr>
        <w:softHyphen/>
      </w:r>
      <w:r w:rsidRPr="000F175B">
        <w:rPr>
          <w:color w:val="000000"/>
          <w:sz w:val="24"/>
          <w:szCs w:val="24"/>
        </w:rPr>
        <w:t>niveauerne som følge af et fald i VLDL (</w:t>
      </w:r>
      <w:proofErr w:type="spellStart"/>
      <w:r w:rsidRPr="000F175B">
        <w:rPr>
          <w:color w:val="000000"/>
          <w:sz w:val="24"/>
          <w:szCs w:val="24"/>
        </w:rPr>
        <w:t>very</w:t>
      </w:r>
      <w:proofErr w:type="spellEnd"/>
      <w:r w:rsidRPr="000F175B">
        <w:rPr>
          <w:color w:val="000000"/>
          <w:sz w:val="24"/>
          <w:szCs w:val="24"/>
        </w:rPr>
        <w:t xml:space="preserve"> low </w:t>
      </w:r>
      <w:proofErr w:type="spellStart"/>
      <w:r w:rsidRPr="000F175B">
        <w:rPr>
          <w:color w:val="000000"/>
          <w:sz w:val="24"/>
          <w:szCs w:val="24"/>
        </w:rPr>
        <w:t>density</w:t>
      </w:r>
      <w:proofErr w:type="spellEnd"/>
      <w:r w:rsidRPr="000F175B">
        <w:rPr>
          <w:color w:val="000000"/>
          <w:sz w:val="24"/>
          <w:szCs w:val="24"/>
        </w:rPr>
        <w:t xml:space="preserve"> </w:t>
      </w:r>
      <w:proofErr w:type="spellStart"/>
      <w:r w:rsidRPr="000F175B">
        <w:rPr>
          <w:color w:val="000000"/>
          <w:sz w:val="24"/>
          <w:szCs w:val="24"/>
        </w:rPr>
        <w:t>lipoprotein</w:t>
      </w:r>
      <w:proofErr w:type="spellEnd"/>
      <w:r w:rsidRPr="000F175B">
        <w:rPr>
          <w:color w:val="000000"/>
          <w:sz w:val="24"/>
          <w:szCs w:val="24"/>
        </w:rPr>
        <w:t xml:space="preserve">), og stoffet virker også aktivt på </w:t>
      </w:r>
      <w:proofErr w:type="spellStart"/>
      <w:r w:rsidRPr="000F175B">
        <w:rPr>
          <w:color w:val="000000"/>
          <w:sz w:val="24"/>
          <w:szCs w:val="24"/>
        </w:rPr>
        <w:t>hæmostase</w:t>
      </w:r>
      <w:proofErr w:type="spellEnd"/>
      <w:r w:rsidRPr="000F175B">
        <w:rPr>
          <w:color w:val="000000"/>
          <w:sz w:val="24"/>
          <w:szCs w:val="24"/>
        </w:rPr>
        <w:t xml:space="preserve"> og blodtryk.</w:t>
      </w:r>
    </w:p>
    <w:p w14:paraId="01C7537E" w14:textId="77777777" w:rsidR="00A0096D" w:rsidRPr="000F175B" w:rsidRDefault="00A0096D" w:rsidP="00914C95">
      <w:pPr>
        <w:suppressAutoHyphens/>
        <w:ind w:left="851"/>
        <w:rPr>
          <w:sz w:val="24"/>
          <w:szCs w:val="24"/>
          <w:u w:val="single"/>
        </w:rPr>
      </w:pPr>
    </w:p>
    <w:p w14:paraId="56DAB1AF" w14:textId="77777777" w:rsidR="00A0096D" w:rsidRPr="000F175B" w:rsidRDefault="00A0096D" w:rsidP="00914C95">
      <w:pPr>
        <w:suppressAutoHyphens/>
        <w:ind w:left="851"/>
        <w:rPr>
          <w:sz w:val="24"/>
          <w:szCs w:val="24"/>
          <w:u w:val="single"/>
        </w:rPr>
      </w:pPr>
      <w:proofErr w:type="spellStart"/>
      <w:r w:rsidRPr="000F175B">
        <w:rPr>
          <w:sz w:val="24"/>
          <w:szCs w:val="24"/>
          <w:u w:val="single"/>
        </w:rPr>
        <w:t>Farmakodynamisk</w:t>
      </w:r>
      <w:proofErr w:type="spellEnd"/>
      <w:r w:rsidRPr="000F175B">
        <w:rPr>
          <w:sz w:val="24"/>
          <w:szCs w:val="24"/>
          <w:u w:val="single"/>
        </w:rPr>
        <w:t xml:space="preserve"> virkning</w:t>
      </w:r>
    </w:p>
    <w:p w14:paraId="1EDF6729" w14:textId="77777777" w:rsidR="00A0096D" w:rsidRPr="000F175B" w:rsidRDefault="00A0096D" w:rsidP="00914C95">
      <w:pPr>
        <w:ind w:left="851"/>
        <w:rPr>
          <w:i/>
          <w:color w:val="000000"/>
          <w:sz w:val="24"/>
          <w:szCs w:val="24"/>
          <w:u w:val="single"/>
          <w:lang w:val="fr-LU"/>
        </w:rPr>
      </w:pPr>
      <w:r w:rsidRPr="000F175B">
        <w:rPr>
          <w:color w:val="000000"/>
          <w:sz w:val="24"/>
          <w:szCs w:val="24"/>
        </w:rPr>
        <w:t xml:space="preserve">Omega-3-syreethylestre 90 reducerer syntesen af triglycerider i leveren, fordi EPA og DHA er ringe substrater for enzymerne, der er ansvarlige for triglyceridsyntese, og de hæmmer </w:t>
      </w:r>
      <w:proofErr w:type="spellStart"/>
      <w:r w:rsidRPr="000F175B">
        <w:rPr>
          <w:color w:val="000000"/>
          <w:sz w:val="24"/>
          <w:szCs w:val="24"/>
        </w:rPr>
        <w:t>esterificering</w:t>
      </w:r>
      <w:proofErr w:type="spellEnd"/>
      <w:r w:rsidRPr="000F175B">
        <w:rPr>
          <w:color w:val="000000"/>
          <w:sz w:val="24"/>
          <w:szCs w:val="24"/>
        </w:rPr>
        <w:t xml:space="preserve"> af andre fedtsyrer. </w:t>
      </w:r>
    </w:p>
    <w:p w14:paraId="7B855F8A" w14:textId="77777777" w:rsidR="00A0096D" w:rsidRPr="000F175B" w:rsidRDefault="00A0096D" w:rsidP="00914C95">
      <w:pPr>
        <w:ind w:left="851"/>
        <w:rPr>
          <w:color w:val="000000"/>
          <w:sz w:val="24"/>
          <w:szCs w:val="24"/>
        </w:rPr>
      </w:pPr>
    </w:p>
    <w:p w14:paraId="46AF348F" w14:textId="77777777" w:rsidR="00A0096D" w:rsidRPr="000F175B" w:rsidRDefault="00A0096D" w:rsidP="00914C95">
      <w:pPr>
        <w:ind w:left="851"/>
        <w:rPr>
          <w:color w:val="000000"/>
          <w:sz w:val="24"/>
          <w:szCs w:val="24"/>
        </w:rPr>
      </w:pPr>
      <w:r w:rsidRPr="000F175B">
        <w:rPr>
          <w:color w:val="000000"/>
          <w:sz w:val="24"/>
          <w:szCs w:val="24"/>
        </w:rPr>
        <w:t xml:space="preserve">Stigningen i </w:t>
      </w:r>
      <w:proofErr w:type="spellStart"/>
      <w:r w:rsidRPr="000F175B">
        <w:rPr>
          <w:color w:val="000000"/>
          <w:sz w:val="24"/>
          <w:szCs w:val="24"/>
        </w:rPr>
        <w:t>peroxisomers</w:t>
      </w:r>
      <w:proofErr w:type="spellEnd"/>
      <w:r w:rsidRPr="000F175B">
        <w:rPr>
          <w:color w:val="000000"/>
          <w:sz w:val="24"/>
          <w:szCs w:val="24"/>
        </w:rPr>
        <w:t xml:space="preserve"> β-oxidering af fedtsyrer i leveren bidrager også til faldet i triglycerider ved at reducere mængden af frie fedtsyrer, der er tilgængelige for deres syntese. Hæmningen af denne syntese sænker VLDL. </w:t>
      </w:r>
    </w:p>
    <w:p w14:paraId="4A801C81" w14:textId="77777777" w:rsidR="00A0096D" w:rsidRPr="000F175B" w:rsidRDefault="00A0096D" w:rsidP="00914C95">
      <w:pPr>
        <w:ind w:left="851"/>
        <w:rPr>
          <w:color w:val="000000"/>
          <w:sz w:val="24"/>
          <w:szCs w:val="24"/>
        </w:rPr>
      </w:pPr>
    </w:p>
    <w:p w14:paraId="2FD25070" w14:textId="77777777" w:rsidR="00A0096D" w:rsidRPr="000F175B" w:rsidRDefault="00A0096D" w:rsidP="00914C95">
      <w:pPr>
        <w:ind w:left="851"/>
        <w:rPr>
          <w:color w:val="000000"/>
          <w:sz w:val="24"/>
          <w:szCs w:val="24"/>
        </w:rPr>
      </w:pPr>
      <w:r w:rsidRPr="000F175B">
        <w:rPr>
          <w:color w:val="000000"/>
          <w:sz w:val="24"/>
          <w:szCs w:val="24"/>
        </w:rPr>
        <w:t xml:space="preserve">Omega-3-syreethylestre 90 forøger LDL-kolesterol hos nogle patienter med </w:t>
      </w:r>
      <w:proofErr w:type="spellStart"/>
      <w:r w:rsidRPr="000F175B">
        <w:rPr>
          <w:color w:val="000000"/>
          <w:sz w:val="24"/>
          <w:szCs w:val="24"/>
        </w:rPr>
        <w:t>hypertriglyceridæmi</w:t>
      </w:r>
      <w:proofErr w:type="spellEnd"/>
      <w:r w:rsidRPr="000F175B">
        <w:rPr>
          <w:color w:val="000000"/>
          <w:sz w:val="24"/>
          <w:szCs w:val="24"/>
        </w:rPr>
        <w:t xml:space="preserve">. En stigning i HDL-kolesterol er kun lille, - signifikant mindre end set efter administration af </w:t>
      </w:r>
      <w:proofErr w:type="spellStart"/>
      <w:r w:rsidRPr="000F175B">
        <w:rPr>
          <w:color w:val="000000"/>
          <w:sz w:val="24"/>
          <w:szCs w:val="24"/>
        </w:rPr>
        <w:t>fibrater</w:t>
      </w:r>
      <w:proofErr w:type="spellEnd"/>
      <w:r w:rsidRPr="000F175B">
        <w:rPr>
          <w:color w:val="000000"/>
          <w:sz w:val="24"/>
          <w:szCs w:val="24"/>
        </w:rPr>
        <w:t xml:space="preserve">, og ikke konsistent. </w:t>
      </w:r>
    </w:p>
    <w:p w14:paraId="3264AEC8" w14:textId="77777777" w:rsidR="00A0096D" w:rsidRPr="000F175B" w:rsidRDefault="00A0096D" w:rsidP="00914C95">
      <w:pPr>
        <w:ind w:left="851"/>
        <w:rPr>
          <w:color w:val="000000"/>
          <w:sz w:val="24"/>
          <w:szCs w:val="24"/>
        </w:rPr>
      </w:pPr>
    </w:p>
    <w:p w14:paraId="5B91FD2E" w14:textId="77777777" w:rsidR="00A0096D" w:rsidRPr="000F175B" w:rsidRDefault="00A0096D" w:rsidP="00914C95">
      <w:pPr>
        <w:ind w:left="851"/>
        <w:rPr>
          <w:color w:val="000000"/>
          <w:sz w:val="24"/>
          <w:szCs w:val="24"/>
        </w:rPr>
      </w:pPr>
      <w:r w:rsidRPr="000F175B">
        <w:rPr>
          <w:color w:val="000000"/>
          <w:sz w:val="24"/>
          <w:szCs w:val="24"/>
        </w:rPr>
        <w:t xml:space="preserve">Den langsigtede lipidsænkende virkning (efter mere end et år) er ikke kendt. Ellers er der ingen stærke beviser for, at nedsættelse af triglycerider reducerer risikoen for iskæmisk hjertesygdom. </w:t>
      </w:r>
    </w:p>
    <w:p w14:paraId="0AAAB557" w14:textId="77777777" w:rsidR="00A0096D" w:rsidRPr="000F175B" w:rsidRDefault="00A0096D" w:rsidP="00914C95">
      <w:pPr>
        <w:suppressAutoHyphens/>
        <w:ind w:left="851"/>
        <w:rPr>
          <w:color w:val="000000"/>
          <w:sz w:val="24"/>
          <w:szCs w:val="24"/>
        </w:rPr>
      </w:pPr>
    </w:p>
    <w:p w14:paraId="51FB8619" w14:textId="77777777" w:rsidR="00A0096D" w:rsidRPr="000F175B" w:rsidRDefault="00A0096D" w:rsidP="00914C95">
      <w:pPr>
        <w:suppressAutoHyphens/>
        <w:ind w:left="851"/>
        <w:rPr>
          <w:sz w:val="24"/>
          <w:szCs w:val="24"/>
          <w:u w:val="single"/>
        </w:rPr>
      </w:pPr>
      <w:r w:rsidRPr="000F175B">
        <w:rPr>
          <w:color w:val="000000"/>
          <w:sz w:val="24"/>
          <w:szCs w:val="24"/>
        </w:rPr>
        <w:t xml:space="preserve">Der sker et fald i </w:t>
      </w:r>
      <w:proofErr w:type="spellStart"/>
      <w:r w:rsidRPr="000F175B">
        <w:rPr>
          <w:color w:val="000000"/>
          <w:sz w:val="24"/>
          <w:szCs w:val="24"/>
        </w:rPr>
        <w:t>tromboxan</w:t>
      </w:r>
      <w:proofErr w:type="spellEnd"/>
      <w:r w:rsidRPr="000F175B">
        <w:rPr>
          <w:color w:val="000000"/>
          <w:sz w:val="24"/>
          <w:szCs w:val="24"/>
        </w:rPr>
        <w:t xml:space="preserve"> A2-produktion og en svag stigning i blødningstid under behandling med omega-3-syreethylestre 90. Der er ikke observeret signifikant virkning på de andre koagulationsfaktorer.</w:t>
      </w:r>
    </w:p>
    <w:p w14:paraId="65840855" w14:textId="77777777" w:rsidR="009260DE" w:rsidRPr="000F175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54081F1" w14:textId="77777777" w:rsidR="009260DE" w:rsidRPr="000F175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F175B">
        <w:rPr>
          <w:b/>
          <w:sz w:val="24"/>
          <w:szCs w:val="24"/>
        </w:rPr>
        <w:t>5.2</w:t>
      </w:r>
      <w:r w:rsidRPr="000F175B">
        <w:rPr>
          <w:b/>
          <w:sz w:val="24"/>
          <w:szCs w:val="24"/>
        </w:rPr>
        <w:tab/>
      </w:r>
      <w:proofErr w:type="spellStart"/>
      <w:r w:rsidRPr="000F175B">
        <w:rPr>
          <w:b/>
          <w:sz w:val="24"/>
          <w:szCs w:val="24"/>
        </w:rPr>
        <w:t>Farmakokinetiske</w:t>
      </w:r>
      <w:proofErr w:type="spellEnd"/>
      <w:r w:rsidRPr="000F175B">
        <w:rPr>
          <w:b/>
          <w:sz w:val="24"/>
          <w:szCs w:val="24"/>
        </w:rPr>
        <w:t xml:space="preserve"> egenskaber</w:t>
      </w:r>
    </w:p>
    <w:p w14:paraId="052B9C5B" w14:textId="77777777" w:rsidR="00A0096D" w:rsidRPr="000F175B" w:rsidRDefault="00A0096D" w:rsidP="00914C95">
      <w:pPr>
        <w:ind w:left="851"/>
        <w:rPr>
          <w:color w:val="000000"/>
          <w:sz w:val="24"/>
          <w:szCs w:val="24"/>
          <w:lang w:eastAsia="fr-LU"/>
        </w:rPr>
      </w:pPr>
      <w:r w:rsidRPr="000F175B">
        <w:rPr>
          <w:color w:val="000000"/>
          <w:sz w:val="24"/>
          <w:szCs w:val="24"/>
        </w:rPr>
        <w:t xml:space="preserve">Under og efter absorption er der tre hovedveje for omega-3-fedtsyrernes </w:t>
      </w:r>
      <w:proofErr w:type="spellStart"/>
      <w:r w:rsidRPr="000F175B">
        <w:rPr>
          <w:color w:val="000000"/>
          <w:sz w:val="24"/>
          <w:szCs w:val="24"/>
        </w:rPr>
        <w:t>metabolisering</w:t>
      </w:r>
      <w:proofErr w:type="spellEnd"/>
      <w:r w:rsidRPr="000F175B">
        <w:rPr>
          <w:color w:val="000000"/>
          <w:sz w:val="24"/>
          <w:szCs w:val="24"/>
        </w:rPr>
        <w:t xml:space="preserve">: </w:t>
      </w:r>
    </w:p>
    <w:p w14:paraId="7519F6EB" w14:textId="77777777" w:rsidR="00A0096D" w:rsidRPr="000F175B" w:rsidRDefault="00A0096D" w:rsidP="00914C95">
      <w:pPr>
        <w:numPr>
          <w:ilvl w:val="0"/>
          <w:numId w:val="7"/>
        </w:numPr>
        <w:ind w:left="1276" w:hanging="425"/>
        <w:rPr>
          <w:color w:val="000000"/>
          <w:sz w:val="24"/>
          <w:szCs w:val="24"/>
        </w:rPr>
      </w:pPr>
      <w:r w:rsidRPr="000F175B">
        <w:rPr>
          <w:color w:val="000000"/>
          <w:sz w:val="24"/>
          <w:szCs w:val="24"/>
        </w:rPr>
        <w:t xml:space="preserve">fedtsyrerne transporteres først til leveren, hvor de indgår i forskellige kategorier af </w:t>
      </w:r>
      <w:proofErr w:type="spellStart"/>
      <w:r w:rsidRPr="000F175B">
        <w:rPr>
          <w:color w:val="000000"/>
          <w:sz w:val="24"/>
          <w:szCs w:val="24"/>
        </w:rPr>
        <w:t>lipoproteiner</w:t>
      </w:r>
      <w:proofErr w:type="spellEnd"/>
      <w:r w:rsidRPr="000F175B">
        <w:rPr>
          <w:color w:val="000000"/>
          <w:sz w:val="24"/>
          <w:szCs w:val="24"/>
        </w:rPr>
        <w:t xml:space="preserve"> og derefter kanaliseres til perifere lipiddepoter</w:t>
      </w:r>
    </w:p>
    <w:p w14:paraId="0022877E" w14:textId="77777777" w:rsidR="00A0096D" w:rsidRPr="000F175B" w:rsidRDefault="00A0096D" w:rsidP="00914C95">
      <w:pPr>
        <w:numPr>
          <w:ilvl w:val="0"/>
          <w:numId w:val="7"/>
        </w:numPr>
        <w:ind w:left="1276" w:hanging="425"/>
        <w:rPr>
          <w:color w:val="000000"/>
          <w:sz w:val="24"/>
          <w:szCs w:val="24"/>
        </w:rPr>
      </w:pPr>
      <w:r w:rsidRPr="000F175B">
        <w:rPr>
          <w:color w:val="000000"/>
          <w:sz w:val="24"/>
          <w:szCs w:val="24"/>
        </w:rPr>
        <w:t xml:space="preserve">cellemembranens </w:t>
      </w:r>
      <w:proofErr w:type="spellStart"/>
      <w:r w:rsidRPr="000F175B">
        <w:rPr>
          <w:color w:val="000000"/>
          <w:sz w:val="24"/>
          <w:szCs w:val="24"/>
        </w:rPr>
        <w:t>phospholipiderne</w:t>
      </w:r>
      <w:proofErr w:type="spellEnd"/>
      <w:r w:rsidRPr="000F175B">
        <w:rPr>
          <w:color w:val="000000"/>
          <w:sz w:val="24"/>
          <w:szCs w:val="24"/>
        </w:rPr>
        <w:t xml:space="preserve"> erstattes af </w:t>
      </w:r>
      <w:proofErr w:type="spellStart"/>
      <w:r w:rsidRPr="000F175B">
        <w:rPr>
          <w:color w:val="000000"/>
          <w:sz w:val="24"/>
          <w:szCs w:val="24"/>
        </w:rPr>
        <w:t>lipoproteinphospholipider</w:t>
      </w:r>
      <w:proofErr w:type="spellEnd"/>
      <w:r w:rsidRPr="000F175B">
        <w:rPr>
          <w:color w:val="000000"/>
          <w:sz w:val="24"/>
          <w:szCs w:val="24"/>
        </w:rPr>
        <w:t xml:space="preserve">, og fedtsyrerne kan så fungere som forstadier til forskellige </w:t>
      </w:r>
      <w:proofErr w:type="spellStart"/>
      <w:r w:rsidRPr="000F175B">
        <w:rPr>
          <w:color w:val="000000"/>
          <w:sz w:val="24"/>
          <w:szCs w:val="24"/>
        </w:rPr>
        <w:t>eicosanoider</w:t>
      </w:r>
      <w:proofErr w:type="spellEnd"/>
      <w:r w:rsidRPr="000F175B">
        <w:rPr>
          <w:color w:val="000000"/>
          <w:sz w:val="24"/>
          <w:szCs w:val="24"/>
        </w:rPr>
        <w:t xml:space="preserve"> </w:t>
      </w:r>
    </w:p>
    <w:p w14:paraId="47B49276" w14:textId="77777777" w:rsidR="00A0096D" w:rsidRPr="000F175B" w:rsidRDefault="00A0096D" w:rsidP="00914C95">
      <w:pPr>
        <w:numPr>
          <w:ilvl w:val="0"/>
          <w:numId w:val="7"/>
        </w:numPr>
        <w:ind w:left="1276" w:hanging="425"/>
        <w:rPr>
          <w:color w:val="000000"/>
          <w:sz w:val="24"/>
          <w:szCs w:val="24"/>
        </w:rPr>
      </w:pPr>
      <w:r w:rsidRPr="000F175B">
        <w:rPr>
          <w:color w:val="000000"/>
          <w:sz w:val="24"/>
          <w:szCs w:val="24"/>
        </w:rPr>
        <w:t xml:space="preserve">flertallet oxideres for at opfylde energibehovet. </w:t>
      </w:r>
    </w:p>
    <w:p w14:paraId="7563A0B7" w14:textId="77777777" w:rsidR="00A0096D" w:rsidRPr="000F175B" w:rsidRDefault="00A0096D" w:rsidP="00A81456">
      <w:pPr>
        <w:ind w:left="851"/>
        <w:rPr>
          <w:color w:val="000000"/>
          <w:sz w:val="24"/>
          <w:szCs w:val="24"/>
        </w:rPr>
      </w:pPr>
    </w:p>
    <w:p w14:paraId="0A1991A2" w14:textId="77777777" w:rsidR="00A0096D" w:rsidRPr="000F175B" w:rsidRDefault="00A0096D" w:rsidP="00914C95">
      <w:pPr>
        <w:ind w:left="851"/>
        <w:rPr>
          <w:color w:val="000000"/>
          <w:sz w:val="24"/>
          <w:szCs w:val="24"/>
        </w:rPr>
      </w:pPr>
      <w:r w:rsidRPr="000F175B">
        <w:rPr>
          <w:color w:val="000000"/>
          <w:sz w:val="24"/>
          <w:szCs w:val="24"/>
        </w:rPr>
        <w:t xml:space="preserve">Koncentrationen af omega-3 fedtsyrer, EPA og DHA, i </w:t>
      </w:r>
      <w:proofErr w:type="spellStart"/>
      <w:r w:rsidRPr="000F175B">
        <w:rPr>
          <w:color w:val="000000"/>
          <w:sz w:val="24"/>
          <w:szCs w:val="24"/>
        </w:rPr>
        <w:t>plasmaphospholipiderne</w:t>
      </w:r>
      <w:proofErr w:type="spellEnd"/>
      <w:r w:rsidRPr="000F175B">
        <w:rPr>
          <w:color w:val="000000"/>
          <w:sz w:val="24"/>
          <w:szCs w:val="24"/>
        </w:rPr>
        <w:t xml:space="preserve"> svarer til EPA og DHA inkorporeret i cellemembranerne. </w:t>
      </w:r>
    </w:p>
    <w:p w14:paraId="11F49ECA" w14:textId="77777777" w:rsidR="00A0096D" w:rsidRPr="000F175B" w:rsidRDefault="00A0096D" w:rsidP="00914C95">
      <w:pPr>
        <w:ind w:left="851"/>
        <w:rPr>
          <w:color w:val="000000"/>
          <w:sz w:val="24"/>
          <w:szCs w:val="24"/>
        </w:rPr>
      </w:pPr>
    </w:p>
    <w:p w14:paraId="707C61EE" w14:textId="77777777" w:rsidR="00A0096D" w:rsidRPr="000F175B" w:rsidRDefault="00A0096D" w:rsidP="00914C95">
      <w:pPr>
        <w:ind w:left="851"/>
        <w:rPr>
          <w:color w:val="000000"/>
          <w:sz w:val="24"/>
          <w:szCs w:val="24"/>
        </w:rPr>
      </w:pPr>
      <w:proofErr w:type="spellStart"/>
      <w:r w:rsidRPr="000F175B">
        <w:rPr>
          <w:color w:val="000000"/>
          <w:sz w:val="24"/>
          <w:szCs w:val="24"/>
        </w:rPr>
        <w:t>Farmakokinetiske</w:t>
      </w:r>
      <w:proofErr w:type="spellEnd"/>
      <w:r w:rsidRPr="000F175B">
        <w:rPr>
          <w:color w:val="000000"/>
          <w:sz w:val="24"/>
          <w:szCs w:val="24"/>
        </w:rPr>
        <w:t xml:space="preserve"> dyreforsøg har vist, at der er fuldstændig hydrolyse af </w:t>
      </w:r>
      <w:proofErr w:type="spellStart"/>
      <w:r w:rsidRPr="000F175B">
        <w:rPr>
          <w:color w:val="000000"/>
          <w:sz w:val="24"/>
          <w:szCs w:val="24"/>
        </w:rPr>
        <w:t>ethylesteren</w:t>
      </w:r>
      <w:proofErr w:type="spellEnd"/>
      <w:r w:rsidRPr="000F175B">
        <w:rPr>
          <w:color w:val="000000"/>
          <w:sz w:val="24"/>
          <w:szCs w:val="24"/>
        </w:rPr>
        <w:t xml:space="preserve"> ledsaget af tilfredsstillende absorption og inkorporering af EPA og DHA i plasmafosfolipiderne og </w:t>
      </w:r>
      <w:proofErr w:type="spellStart"/>
      <w:r w:rsidRPr="000F175B">
        <w:rPr>
          <w:color w:val="000000"/>
          <w:sz w:val="24"/>
          <w:szCs w:val="24"/>
        </w:rPr>
        <w:t>kolesterolestrene</w:t>
      </w:r>
      <w:proofErr w:type="spellEnd"/>
      <w:r w:rsidRPr="000F175B">
        <w:rPr>
          <w:color w:val="000000"/>
          <w:sz w:val="24"/>
          <w:szCs w:val="24"/>
        </w:rPr>
        <w:t>.</w:t>
      </w:r>
    </w:p>
    <w:p w14:paraId="4C21ACA4" w14:textId="77777777" w:rsidR="009260DE" w:rsidRPr="000F175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2E8EDEA" w14:textId="08796C19" w:rsidR="009260DE" w:rsidRPr="000F175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F175B">
        <w:rPr>
          <w:b/>
          <w:sz w:val="24"/>
          <w:szCs w:val="24"/>
        </w:rPr>
        <w:t>5.3</w:t>
      </w:r>
      <w:r w:rsidRPr="000F175B">
        <w:rPr>
          <w:b/>
          <w:sz w:val="24"/>
          <w:szCs w:val="24"/>
        </w:rPr>
        <w:tab/>
      </w:r>
      <w:r w:rsidR="00593E52" w:rsidRPr="00593E52">
        <w:rPr>
          <w:b/>
          <w:sz w:val="24"/>
          <w:szCs w:val="24"/>
        </w:rPr>
        <w:t xml:space="preserve">Non-kliniske </w:t>
      </w:r>
      <w:r w:rsidRPr="000F175B">
        <w:rPr>
          <w:b/>
          <w:sz w:val="24"/>
          <w:szCs w:val="24"/>
        </w:rPr>
        <w:t>sikkerhedsdata</w:t>
      </w:r>
    </w:p>
    <w:p w14:paraId="6523DD8E" w14:textId="5B6F40F5" w:rsidR="00A0096D" w:rsidRPr="000F175B" w:rsidRDefault="00A0096D" w:rsidP="00914C95">
      <w:pPr>
        <w:numPr>
          <w:ilvl w:val="12"/>
          <w:numId w:val="0"/>
        </w:numPr>
        <w:ind w:left="851" w:right="11"/>
        <w:rPr>
          <w:sz w:val="24"/>
          <w:szCs w:val="24"/>
          <w:lang w:eastAsia="fr-LU"/>
        </w:rPr>
      </w:pPr>
      <w:r w:rsidRPr="000F175B">
        <w:rPr>
          <w:color w:val="000000"/>
          <w:sz w:val="24"/>
          <w:szCs w:val="24"/>
        </w:rPr>
        <w:t xml:space="preserve">Prækliniske data viser ingen speciel risiko for mennesker vurderet ud fra konventionelle studier af toksicitet efter gentagne doser, genotoksicitet, </w:t>
      </w:r>
      <w:proofErr w:type="spellStart"/>
      <w:r w:rsidRPr="000F175B">
        <w:rPr>
          <w:color w:val="000000"/>
          <w:sz w:val="24"/>
          <w:szCs w:val="24"/>
        </w:rPr>
        <w:t>karcinogenicitet</w:t>
      </w:r>
      <w:proofErr w:type="spellEnd"/>
      <w:r w:rsidRPr="000F175B">
        <w:rPr>
          <w:color w:val="000000"/>
          <w:sz w:val="24"/>
          <w:szCs w:val="24"/>
        </w:rPr>
        <w:t xml:space="preserve"> samt reproduktions</w:t>
      </w:r>
      <w:r w:rsidR="00E915DF">
        <w:rPr>
          <w:color w:val="000000"/>
          <w:sz w:val="24"/>
          <w:szCs w:val="24"/>
        </w:rPr>
        <w:softHyphen/>
      </w:r>
      <w:r w:rsidRPr="000F175B">
        <w:rPr>
          <w:color w:val="000000"/>
          <w:sz w:val="24"/>
          <w:szCs w:val="24"/>
        </w:rPr>
        <w:t>toksicitet. Desuden indikerer non-klinisk litteraturdata om sikkerheds</w:t>
      </w:r>
      <w:r w:rsidR="00E915DF">
        <w:rPr>
          <w:color w:val="000000"/>
          <w:sz w:val="24"/>
          <w:szCs w:val="24"/>
        </w:rPr>
        <w:softHyphen/>
      </w:r>
      <w:r w:rsidRPr="000F175B">
        <w:rPr>
          <w:color w:val="000000"/>
          <w:sz w:val="24"/>
          <w:szCs w:val="24"/>
        </w:rPr>
        <w:t>farmakologi, at der ikke er nogen risiko for mennesker.</w:t>
      </w:r>
    </w:p>
    <w:p w14:paraId="7CFBF7C8" w14:textId="73F3A593" w:rsidR="009260DE" w:rsidRPr="000F175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8292EEE" w14:textId="77777777" w:rsidR="009260DE" w:rsidRPr="000F175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EFA4610" w14:textId="77777777" w:rsidR="009260DE" w:rsidRPr="000F175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F175B">
        <w:rPr>
          <w:b/>
          <w:sz w:val="24"/>
          <w:szCs w:val="24"/>
        </w:rPr>
        <w:t>6.</w:t>
      </w:r>
      <w:r w:rsidRPr="000F175B">
        <w:rPr>
          <w:b/>
          <w:sz w:val="24"/>
          <w:szCs w:val="24"/>
        </w:rPr>
        <w:tab/>
        <w:t>FARMACEUTISKE OPLYSNINGER</w:t>
      </w:r>
    </w:p>
    <w:p w14:paraId="125EB958" w14:textId="77777777" w:rsidR="009260DE" w:rsidRPr="000F175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6F91D3D" w14:textId="77777777" w:rsidR="009260DE" w:rsidRPr="000F175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F175B">
        <w:rPr>
          <w:b/>
          <w:sz w:val="24"/>
          <w:szCs w:val="24"/>
        </w:rPr>
        <w:t>6.1</w:t>
      </w:r>
      <w:r w:rsidRPr="000F175B">
        <w:rPr>
          <w:b/>
          <w:sz w:val="24"/>
          <w:szCs w:val="24"/>
        </w:rPr>
        <w:tab/>
        <w:t>Hjælpestoffer</w:t>
      </w:r>
    </w:p>
    <w:p w14:paraId="592AA0B3" w14:textId="77777777" w:rsidR="00795CAE" w:rsidRDefault="00795CAE" w:rsidP="00914C95">
      <w:pPr>
        <w:suppressAutoHyphens/>
        <w:ind w:left="851"/>
        <w:rPr>
          <w:i/>
          <w:sz w:val="24"/>
          <w:szCs w:val="24"/>
        </w:rPr>
      </w:pPr>
    </w:p>
    <w:p w14:paraId="0BF83821" w14:textId="2A35487D" w:rsidR="00A0096D" w:rsidRPr="000F175B" w:rsidRDefault="00A0096D" w:rsidP="00914C95">
      <w:pPr>
        <w:suppressAutoHyphens/>
        <w:ind w:left="851"/>
        <w:rPr>
          <w:i/>
          <w:sz w:val="24"/>
          <w:szCs w:val="24"/>
          <w:lang w:eastAsia="fr-LU"/>
        </w:rPr>
      </w:pPr>
      <w:bookmarkStart w:id="0" w:name="_GoBack"/>
      <w:bookmarkEnd w:id="0"/>
      <w:r w:rsidRPr="000F175B">
        <w:rPr>
          <w:i/>
          <w:sz w:val="24"/>
          <w:szCs w:val="24"/>
        </w:rPr>
        <w:t>Kapselkerne:</w:t>
      </w:r>
    </w:p>
    <w:p w14:paraId="4C8E03AF" w14:textId="77777777" w:rsidR="00A0096D" w:rsidRPr="000F175B" w:rsidRDefault="00A0096D" w:rsidP="00914C95">
      <w:pPr>
        <w:ind w:left="851"/>
        <w:rPr>
          <w:sz w:val="24"/>
          <w:szCs w:val="24"/>
          <w:lang w:val="fr-LU"/>
        </w:rPr>
      </w:pPr>
      <w:r w:rsidRPr="000F175B">
        <w:rPr>
          <w:sz w:val="24"/>
          <w:szCs w:val="24"/>
        </w:rPr>
        <w:t>Alfa-</w:t>
      </w:r>
      <w:proofErr w:type="spellStart"/>
      <w:r w:rsidRPr="000F175B">
        <w:rPr>
          <w:sz w:val="24"/>
          <w:szCs w:val="24"/>
        </w:rPr>
        <w:t>tocopherol</w:t>
      </w:r>
      <w:proofErr w:type="spellEnd"/>
    </w:p>
    <w:p w14:paraId="7F30252A" w14:textId="77777777" w:rsidR="00A0096D" w:rsidRPr="000F175B" w:rsidRDefault="00A0096D" w:rsidP="00914C95">
      <w:pPr>
        <w:ind w:left="851"/>
        <w:rPr>
          <w:sz w:val="24"/>
          <w:szCs w:val="24"/>
        </w:rPr>
      </w:pPr>
    </w:p>
    <w:p w14:paraId="750EBF3B" w14:textId="77777777" w:rsidR="00A0096D" w:rsidRPr="000F175B" w:rsidRDefault="00A0096D" w:rsidP="00914C95">
      <w:pPr>
        <w:ind w:left="851"/>
        <w:rPr>
          <w:i/>
          <w:iCs/>
          <w:sz w:val="24"/>
          <w:szCs w:val="24"/>
        </w:rPr>
      </w:pPr>
      <w:r w:rsidRPr="000F175B">
        <w:rPr>
          <w:i/>
          <w:iCs/>
          <w:sz w:val="24"/>
          <w:szCs w:val="24"/>
        </w:rPr>
        <w:t>Kapselskal:</w:t>
      </w:r>
    </w:p>
    <w:p w14:paraId="51CB27C1" w14:textId="77777777" w:rsidR="00A0096D" w:rsidRPr="000F175B" w:rsidRDefault="00A0096D" w:rsidP="00914C95">
      <w:pPr>
        <w:ind w:left="851"/>
        <w:rPr>
          <w:color w:val="000000"/>
          <w:sz w:val="24"/>
          <w:szCs w:val="24"/>
        </w:rPr>
      </w:pPr>
      <w:r w:rsidRPr="000F175B">
        <w:rPr>
          <w:color w:val="000000"/>
          <w:sz w:val="24"/>
          <w:szCs w:val="24"/>
        </w:rPr>
        <w:t xml:space="preserve">Gelatine </w:t>
      </w:r>
    </w:p>
    <w:p w14:paraId="79C0F18C" w14:textId="77777777" w:rsidR="00A0096D" w:rsidRPr="000F175B" w:rsidRDefault="00A0096D" w:rsidP="00914C95">
      <w:pPr>
        <w:ind w:left="851"/>
        <w:rPr>
          <w:color w:val="000000"/>
          <w:sz w:val="24"/>
          <w:szCs w:val="24"/>
        </w:rPr>
      </w:pPr>
      <w:r w:rsidRPr="000F175B">
        <w:rPr>
          <w:color w:val="000000"/>
          <w:sz w:val="24"/>
          <w:szCs w:val="24"/>
        </w:rPr>
        <w:t xml:space="preserve">Glycerol </w:t>
      </w:r>
    </w:p>
    <w:p w14:paraId="79FF9146" w14:textId="77777777" w:rsidR="00A0096D" w:rsidRPr="000F175B" w:rsidRDefault="00A0096D" w:rsidP="00914C95">
      <w:pPr>
        <w:ind w:left="851"/>
        <w:rPr>
          <w:color w:val="000000"/>
          <w:sz w:val="24"/>
          <w:szCs w:val="24"/>
        </w:rPr>
      </w:pPr>
      <w:r w:rsidRPr="000F175B">
        <w:rPr>
          <w:color w:val="000000"/>
          <w:sz w:val="24"/>
          <w:szCs w:val="24"/>
        </w:rPr>
        <w:t xml:space="preserve">Vand, renset </w:t>
      </w:r>
    </w:p>
    <w:p w14:paraId="5C752FBA" w14:textId="77777777" w:rsidR="00A0096D" w:rsidRPr="000F175B" w:rsidRDefault="00A0096D" w:rsidP="00914C95">
      <w:pPr>
        <w:ind w:left="851"/>
        <w:rPr>
          <w:color w:val="000000"/>
          <w:sz w:val="24"/>
          <w:szCs w:val="24"/>
        </w:rPr>
      </w:pPr>
      <w:r w:rsidRPr="000F175B">
        <w:rPr>
          <w:color w:val="000000"/>
          <w:sz w:val="24"/>
          <w:szCs w:val="24"/>
        </w:rPr>
        <w:t xml:space="preserve">Triglycerider, middelkædelængde </w:t>
      </w:r>
    </w:p>
    <w:p w14:paraId="16B4D1CF" w14:textId="77777777" w:rsidR="00A0096D" w:rsidRPr="000F175B" w:rsidRDefault="00A0096D" w:rsidP="00914C95">
      <w:pPr>
        <w:ind w:left="851"/>
        <w:rPr>
          <w:color w:val="000000"/>
          <w:sz w:val="24"/>
          <w:szCs w:val="24"/>
        </w:rPr>
      </w:pPr>
      <w:proofErr w:type="spellStart"/>
      <w:r w:rsidRPr="000F175B">
        <w:rPr>
          <w:color w:val="000000"/>
          <w:sz w:val="24"/>
          <w:szCs w:val="24"/>
        </w:rPr>
        <w:t>Isopropylalkohol</w:t>
      </w:r>
      <w:proofErr w:type="spellEnd"/>
    </w:p>
    <w:p w14:paraId="656DA65F" w14:textId="5C5FC1DF" w:rsidR="005A2568" w:rsidRPr="000F175B" w:rsidRDefault="00593E52" w:rsidP="005A2568">
      <w:pPr>
        <w:ind w:left="851"/>
        <w:rPr>
          <w:sz w:val="24"/>
          <w:szCs w:val="24"/>
        </w:rPr>
      </w:pPr>
      <w:r>
        <w:rPr>
          <w:color w:val="000000"/>
          <w:sz w:val="24"/>
          <w:szCs w:val="24"/>
        </w:rPr>
        <w:t>T</w:t>
      </w:r>
      <w:r w:rsidR="005A2568" w:rsidRPr="000F175B">
        <w:rPr>
          <w:color w:val="000000"/>
          <w:sz w:val="24"/>
          <w:szCs w:val="24"/>
        </w:rPr>
        <w:t>rykfarve</w:t>
      </w:r>
      <w:r w:rsidR="00ED42DC">
        <w:rPr>
          <w:color w:val="000000"/>
          <w:sz w:val="24"/>
          <w:szCs w:val="24"/>
        </w:rPr>
        <w:t xml:space="preserve"> </w:t>
      </w:r>
      <w:r w:rsidR="005A2568" w:rsidRPr="000F175B">
        <w:rPr>
          <w:color w:val="000000"/>
          <w:sz w:val="24"/>
          <w:szCs w:val="24"/>
        </w:rPr>
        <w:t xml:space="preserve">(blæk består af </w:t>
      </w:r>
      <w:proofErr w:type="spellStart"/>
      <w:r w:rsidR="005A2568" w:rsidRPr="00B06ABF">
        <w:rPr>
          <w:color w:val="000000"/>
          <w:sz w:val="24"/>
          <w:szCs w:val="24"/>
        </w:rPr>
        <w:t>afvokset</w:t>
      </w:r>
      <w:proofErr w:type="spellEnd"/>
      <w:r w:rsidR="005A2568" w:rsidRPr="00B06ABF">
        <w:rPr>
          <w:color w:val="000000"/>
          <w:sz w:val="24"/>
          <w:szCs w:val="24"/>
        </w:rPr>
        <w:t xml:space="preserve"> blegemiddel shellakharpiks, </w:t>
      </w:r>
      <w:proofErr w:type="spellStart"/>
      <w:r w:rsidR="005A2568" w:rsidRPr="00B06ABF">
        <w:rPr>
          <w:color w:val="000000"/>
          <w:sz w:val="24"/>
          <w:szCs w:val="24"/>
        </w:rPr>
        <w:t>isopropylalkohol</w:t>
      </w:r>
      <w:proofErr w:type="spellEnd"/>
      <w:r w:rsidR="005A2568" w:rsidRPr="00B06ABF">
        <w:rPr>
          <w:color w:val="000000"/>
          <w:sz w:val="24"/>
          <w:szCs w:val="24"/>
        </w:rPr>
        <w:t xml:space="preserve">, propylenglycol, titandioxid, </w:t>
      </w:r>
      <w:proofErr w:type="spellStart"/>
      <w:r w:rsidR="005A2568" w:rsidRPr="00B06ABF">
        <w:rPr>
          <w:color w:val="000000"/>
          <w:sz w:val="24"/>
          <w:szCs w:val="24"/>
        </w:rPr>
        <w:t>natriumlaurylsulfat</w:t>
      </w:r>
      <w:proofErr w:type="spellEnd"/>
      <w:r w:rsidR="005A2568" w:rsidRPr="00B06ABF">
        <w:rPr>
          <w:color w:val="000000"/>
          <w:sz w:val="24"/>
          <w:szCs w:val="24"/>
        </w:rPr>
        <w:t>, tvilling 80</w:t>
      </w:r>
      <w:r w:rsidR="005A2568">
        <w:rPr>
          <w:color w:val="000000"/>
          <w:sz w:val="24"/>
          <w:szCs w:val="24"/>
        </w:rPr>
        <w:t>.</w:t>
      </w:r>
    </w:p>
    <w:p w14:paraId="0F1D6163" w14:textId="77777777" w:rsidR="009260DE" w:rsidRPr="000F175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52DD2CD" w14:textId="77777777" w:rsidR="009260DE" w:rsidRPr="000F175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F175B">
        <w:rPr>
          <w:b/>
          <w:sz w:val="24"/>
          <w:szCs w:val="24"/>
        </w:rPr>
        <w:t>6.2</w:t>
      </w:r>
      <w:r w:rsidRPr="000F175B">
        <w:rPr>
          <w:b/>
          <w:sz w:val="24"/>
          <w:szCs w:val="24"/>
        </w:rPr>
        <w:tab/>
        <w:t>Uforligeligheder</w:t>
      </w:r>
    </w:p>
    <w:p w14:paraId="2BD8FE2D" w14:textId="77777777" w:rsidR="00A0096D" w:rsidRPr="000F175B" w:rsidRDefault="00A0096D" w:rsidP="00914C95">
      <w:pPr>
        <w:ind w:left="851"/>
        <w:rPr>
          <w:color w:val="000000"/>
          <w:sz w:val="24"/>
          <w:szCs w:val="24"/>
          <w:lang w:eastAsia="fr-LU"/>
        </w:rPr>
      </w:pPr>
      <w:r w:rsidRPr="000F175B">
        <w:rPr>
          <w:color w:val="000000"/>
          <w:sz w:val="24"/>
          <w:szCs w:val="24"/>
        </w:rPr>
        <w:t>Ikke relevant.</w:t>
      </w:r>
    </w:p>
    <w:p w14:paraId="78F808A1" w14:textId="77777777" w:rsidR="009260DE" w:rsidRPr="000F175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E6FF535" w14:textId="77777777" w:rsidR="009260DE" w:rsidRPr="000F175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F175B">
        <w:rPr>
          <w:b/>
          <w:sz w:val="24"/>
          <w:szCs w:val="24"/>
        </w:rPr>
        <w:t>6.3</w:t>
      </w:r>
      <w:r w:rsidRPr="000F175B">
        <w:rPr>
          <w:b/>
          <w:sz w:val="24"/>
          <w:szCs w:val="24"/>
        </w:rPr>
        <w:tab/>
        <w:t>Opbevaringstid</w:t>
      </w:r>
    </w:p>
    <w:p w14:paraId="746F2EBE" w14:textId="07DC5578" w:rsidR="00A0096D" w:rsidRPr="000F175B" w:rsidRDefault="00A0096D" w:rsidP="00914C95">
      <w:pPr>
        <w:ind w:left="851"/>
        <w:rPr>
          <w:color w:val="000000"/>
          <w:sz w:val="24"/>
          <w:szCs w:val="24"/>
          <w:lang w:eastAsia="fr-LU"/>
        </w:rPr>
      </w:pPr>
      <w:r w:rsidRPr="000F175B">
        <w:rPr>
          <w:color w:val="000000"/>
          <w:sz w:val="24"/>
          <w:szCs w:val="24"/>
        </w:rPr>
        <w:t>24 måneder</w:t>
      </w:r>
    </w:p>
    <w:p w14:paraId="68611513" w14:textId="77777777" w:rsidR="00A0096D" w:rsidRPr="000F175B" w:rsidRDefault="00A0096D" w:rsidP="00914C95">
      <w:pPr>
        <w:ind w:left="851"/>
        <w:rPr>
          <w:sz w:val="24"/>
          <w:szCs w:val="24"/>
        </w:rPr>
      </w:pPr>
      <w:r w:rsidRPr="000F175B">
        <w:rPr>
          <w:bCs/>
          <w:color w:val="000000"/>
          <w:sz w:val="24"/>
          <w:szCs w:val="24"/>
        </w:rPr>
        <w:t>Opbevaringstid efter første åbning af HDPE-beholder er 120 dage.</w:t>
      </w:r>
    </w:p>
    <w:p w14:paraId="23C46126" w14:textId="77777777" w:rsidR="009260DE" w:rsidRPr="000F175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FCFA43B" w14:textId="77777777" w:rsidR="009260DE" w:rsidRPr="000F175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F175B">
        <w:rPr>
          <w:b/>
          <w:sz w:val="24"/>
          <w:szCs w:val="24"/>
        </w:rPr>
        <w:t>6.4</w:t>
      </w:r>
      <w:r w:rsidRPr="000F175B">
        <w:rPr>
          <w:b/>
          <w:sz w:val="24"/>
          <w:szCs w:val="24"/>
        </w:rPr>
        <w:tab/>
        <w:t>Særlige opbevaringsforhold</w:t>
      </w:r>
    </w:p>
    <w:p w14:paraId="79B591B3" w14:textId="4635B48F" w:rsidR="004A2E36" w:rsidRPr="000F175B" w:rsidRDefault="004A2E36" w:rsidP="004A2E36">
      <w:pPr>
        <w:ind w:left="851"/>
        <w:rPr>
          <w:bCs/>
          <w:color w:val="000000"/>
          <w:sz w:val="24"/>
          <w:szCs w:val="24"/>
        </w:rPr>
      </w:pPr>
      <w:r w:rsidRPr="000F175B">
        <w:rPr>
          <w:color w:val="000000"/>
          <w:sz w:val="24"/>
          <w:szCs w:val="24"/>
        </w:rPr>
        <w:t>Må ikke opbevares over 30</w:t>
      </w:r>
      <w:r w:rsidR="003E553F">
        <w:rPr>
          <w:color w:val="000000"/>
          <w:sz w:val="24"/>
          <w:szCs w:val="24"/>
        </w:rPr>
        <w:t xml:space="preserve"> °</w:t>
      </w:r>
      <w:r w:rsidRPr="000F175B">
        <w:rPr>
          <w:color w:val="000000"/>
          <w:sz w:val="24"/>
          <w:szCs w:val="24"/>
        </w:rPr>
        <w:t>C</w:t>
      </w:r>
      <w:r w:rsidR="003E553F">
        <w:rPr>
          <w:color w:val="000000"/>
          <w:sz w:val="24"/>
          <w:szCs w:val="24"/>
        </w:rPr>
        <w:t>.</w:t>
      </w:r>
      <w:r w:rsidRPr="000F175B">
        <w:rPr>
          <w:bCs/>
          <w:color w:val="000000"/>
          <w:sz w:val="24"/>
          <w:szCs w:val="24"/>
        </w:rPr>
        <w:t xml:space="preserve"> </w:t>
      </w:r>
    </w:p>
    <w:p w14:paraId="72A83C07" w14:textId="35077238" w:rsidR="00A0096D" w:rsidRPr="000F175B" w:rsidRDefault="00A0096D" w:rsidP="004A2E36">
      <w:pPr>
        <w:ind w:left="851"/>
        <w:rPr>
          <w:bCs/>
          <w:color w:val="000000"/>
          <w:sz w:val="24"/>
          <w:szCs w:val="24"/>
          <w:lang w:val="fr-LU" w:eastAsia="fr-LU"/>
        </w:rPr>
      </w:pPr>
      <w:r w:rsidRPr="000F175B">
        <w:rPr>
          <w:bCs/>
          <w:color w:val="000000"/>
          <w:sz w:val="24"/>
          <w:szCs w:val="24"/>
        </w:rPr>
        <w:t>Opbevares i ydre karton for at beskytte mod lys.</w:t>
      </w:r>
      <w:r w:rsidRPr="000F175B">
        <w:rPr>
          <w:sz w:val="24"/>
          <w:szCs w:val="24"/>
        </w:rPr>
        <w:t xml:space="preserve"> For yderligere oplysninger om opbevaringstid</w:t>
      </w:r>
      <w:r w:rsidRPr="000F175B">
        <w:rPr>
          <w:bCs/>
          <w:color w:val="000000"/>
          <w:sz w:val="24"/>
          <w:szCs w:val="24"/>
        </w:rPr>
        <w:t xml:space="preserve"> efter første åbning af HDPE henvises til pkt. 6.3.</w:t>
      </w:r>
    </w:p>
    <w:p w14:paraId="6988E08F" w14:textId="77777777" w:rsidR="009260DE" w:rsidRPr="000F175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31BCC47" w14:textId="3534A63E" w:rsidR="009260DE" w:rsidRPr="000F175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F175B">
        <w:rPr>
          <w:b/>
          <w:sz w:val="24"/>
          <w:szCs w:val="24"/>
        </w:rPr>
        <w:t>6.5</w:t>
      </w:r>
      <w:r w:rsidRPr="000F175B">
        <w:rPr>
          <w:b/>
          <w:sz w:val="24"/>
          <w:szCs w:val="24"/>
        </w:rPr>
        <w:tab/>
        <w:t>Emballagetype og pakningsstørrelser</w:t>
      </w:r>
    </w:p>
    <w:p w14:paraId="1377EB06" w14:textId="77777777" w:rsidR="007A7C1D" w:rsidRPr="000F175B" w:rsidRDefault="007A7C1D" w:rsidP="004A2E36">
      <w:pPr>
        <w:suppressAutoHyphens/>
        <w:ind w:left="851"/>
        <w:rPr>
          <w:color w:val="000000"/>
          <w:sz w:val="24"/>
          <w:szCs w:val="24"/>
          <w:lang w:eastAsia="fr-LU"/>
        </w:rPr>
      </w:pPr>
      <w:r w:rsidRPr="000F175B">
        <w:rPr>
          <w:color w:val="000000"/>
          <w:sz w:val="24"/>
          <w:szCs w:val="24"/>
        </w:rPr>
        <w:t>Hvid uigennemsigtig HDPE-beholder med hvid uigennemsigtig HDPE-skruelukning med induktionsforsegling.</w:t>
      </w:r>
    </w:p>
    <w:p w14:paraId="7A7FF701" w14:textId="77777777" w:rsidR="007A7C1D" w:rsidRPr="000F175B" w:rsidRDefault="007A7C1D" w:rsidP="004A2E36">
      <w:pPr>
        <w:suppressAutoHyphens/>
        <w:ind w:left="851"/>
        <w:rPr>
          <w:color w:val="000000"/>
          <w:sz w:val="24"/>
          <w:szCs w:val="24"/>
        </w:rPr>
      </w:pPr>
    </w:p>
    <w:p w14:paraId="1A33D98D" w14:textId="77777777" w:rsidR="007A7C1D" w:rsidRPr="000F175B" w:rsidRDefault="007A7C1D" w:rsidP="004A2E36">
      <w:pPr>
        <w:suppressAutoHyphens/>
        <w:ind w:left="851"/>
        <w:rPr>
          <w:color w:val="000000"/>
          <w:sz w:val="24"/>
          <w:szCs w:val="24"/>
        </w:rPr>
      </w:pPr>
      <w:r w:rsidRPr="000F175B">
        <w:rPr>
          <w:color w:val="000000"/>
          <w:sz w:val="24"/>
          <w:szCs w:val="24"/>
        </w:rPr>
        <w:t>Hver flaske indeholder 20, 28, 100 eller 120 kapsler.</w:t>
      </w:r>
    </w:p>
    <w:p w14:paraId="522DB72F" w14:textId="77777777" w:rsidR="007A7C1D" w:rsidRPr="000F175B" w:rsidRDefault="007A7C1D" w:rsidP="004A2E36">
      <w:pPr>
        <w:suppressAutoHyphens/>
        <w:ind w:left="851"/>
        <w:rPr>
          <w:color w:val="000000"/>
          <w:sz w:val="24"/>
          <w:szCs w:val="24"/>
        </w:rPr>
      </w:pPr>
    </w:p>
    <w:p w14:paraId="3ED9726C" w14:textId="77777777" w:rsidR="007A7C1D" w:rsidRPr="000F175B" w:rsidRDefault="007A7C1D" w:rsidP="004A2E36">
      <w:pPr>
        <w:suppressAutoHyphens/>
        <w:ind w:left="851"/>
        <w:rPr>
          <w:sz w:val="24"/>
          <w:szCs w:val="24"/>
        </w:rPr>
      </w:pPr>
      <w:r w:rsidRPr="000F175B">
        <w:rPr>
          <w:bCs/>
          <w:color w:val="000000"/>
          <w:sz w:val="24"/>
          <w:szCs w:val="24"/>
        </w:rPr>
        <w:t>Ikke alle pakningsstørrelser er nødvendigvis markedsført.</w:t>
      </w:r>
    </w:p>
    <w:p w14:paraId="5B14DD3A" w14:textId="609D6A8A" w:rsidR="00A81456" w:rsidRDefault="00A8145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20D2ADE" w14:textId="77777777" w:rsidR="009260DE" w:rsidRPr="000F175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A77E54B" w14:textId="4EBE11B7" w:rsidR="009260DE" w:rsidRPr="000F175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F175B">
        <w:rPr>
          <w:b/>
          <w:sz w:val="24"/>
          <w:szCs w:val="24"/>
        </w:rPr>
        <w:t>6.6</w:t>
      </w:r>
      <w:r w:rsidRPr="000F175B">
        <w:rPr>
          <w:b/>
          <w:sz w:val="24"/>
          <w:szCs w:val="24"/>
        </w:rPr>
        <w:tab/>
        <w:t xml:space="preserve">Regler for </w:t>
      </w:r>
      <w:r w:rsidR="00593E52" w:rsidRPr="00593E52">
        <w:rPr>
          <w:b/>
          <w:sz w:val="24"/>
          <w:szCs w:val="24"/>
        </w:rPr>
        <w:t>bortskaffelse</w:t>
      </w:r>
      <w:r w:rsidRPr="000F175B">
        <w:rPr>
          <w:b/>
          <w:sz w:val="24"/>
          <w:szCs w:val="24"/>
        </w:rPr>
        <w:t xml:space="preserve"> og anden håndtering</w:t>
      </w:r>
    </w:p>
    <w:p w14:paraId="0DA93EBB" w14:textId="77777777" w:rsidR="007A7C1D" w:rsidRPr="000F175B" w:rsidRDefault="007A7C1D" w:rsidP="004A2E36">
      <w:pPr>
        <w:ind w:left="851"/>
        <w:rPr>
          <w:sz w:val="24"/>
          <w:szCs w:val="24"/>
          <w:lang w:eastAsia="fr-LU"/>
        </w:rPr>
      </w:pPr>
      <w:r w:rsidRPr="000F175B">
        <w:rPr>
          <w:sz w:val="24"/>
          <w:szCs w:val="24"/>
        </w:rPr>
        <w:t>Ikke anvendt lægemiddel samt affald heraf skal bortskaffes i henhold til lokale retningslinjer.</w:t>
      </w:r>
    </w:p>
    <w:p w14:paraId="21C69892" w14:textId="77777777" w:rsidR="009260DE" w:rsidRPr="000F175B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7A461644" w14:textId="77777777" w:rsidR="009260DE" w:rsidRPr="000F175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F175B">
        <w:rPr>
          <w:b/>
          <w:sz w:val="24"/>
          <w:szCs w:val="24"/>
        </w:rPr>
        <w:t>7.</w:t>
      </w:r>
      <w:r w:rsidRPr="000F175B">
        <w:rPr>
          <w:b/>
          <w:sz w:val="24"/>
          <w:szCs w:val="24"/>
        </w:rPr>
        <w:tab/>
        <w:t>INDEHAVER AF MARKEDSFØRINGSTILLADELSEN</w:t>
      </w:r>
    </w:p>
    <w:p w14:paraId="28333AAA" w14:textId="77777777" w:rsidR="00916D24" w:rsidRPr="009E6CB9" w:rsidRDefault="00916D24" w:rsidP="004A2E36">
      <w:pPr>
        <w:ind w:left="851"/>
        <w:rPr>
          <w:color w:val="000000"/>
          <w:sz w:val="24"/>
          <w:szCs w:val="24"/>
        </w:rPr>
      </w:pPr>
      <w:r w:rsidRPr="009E6CB9">
        <w:rPr>
          <w:color w:val="000000"/>
          <w:sz w:val="24"/>
          <w:szCs w:val="24"/>
        </w:rPr>
        <w:t>Strides Pharma (</w:t>
      </w:r>
      <w:proofErr w:type="spellStart"/>
      <w:r w:rsidRPr="009E6CB9">
        <w:rPr>
          <w:color w:val="000000"/>
          <w:sz w:val="24"/>
          <w:szCs w:val="24"/>
        </w:rPr>
        <w:t>Cyprus</w:t>
      </w:r>
      <w:proofErr w:type="spellEnd"/>
      <w:r w:rsidRPr="009E6CB9">
        <w:rPr>
          <w:color w:val="000000"/>
          <w:sz w:val="24"/>
          <w:szCs w:val="24"/>
        </w:rPr>
        <w:t>) Limited</w:t>
      </w:r>
    </w:p>
    <w:p w14:paraId="58CF10AA" w14:textId="37006DE0" w:rsidR="00916D24" w:rsidRDefault="00916D24" w:rsidP="004A2E36">
      <w:pPr>
        <w:ind w:left="851"/>
        <w:rPr>
          <w:color w:val="000000"/>
          <w:sz w:val="24"/>
          <w:szCs w:val="24"/>
          <w:lang w:val="en-US"/>
        </w:rPr>
      </w:pPr>
      <w:proofErr w:type="spellStart"/>
      <w:r w:rsidRPr="00916D24">
        <w:rPr>
          <w:color w:val="000000"/>
          <w:sz w:val="24"/>
          <w:szCs w:val="24"/>
          <w:lang w:val="en-US"/>
        </w:rPr>
        <w:t>Themistokli</w:t>
      </w:r>
      <w:proofErr w:type="spellEnd"/>
      <w:r w:rsidRPr="00916D24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916D24">
        <w:rPr>
          <w:color w:val="000000"/>
          <w:sz w:val="24"/>
          <w:szCs w:val="24"/>
          <w:lang w:val="en-US"/>
        </w:rPr>
        <w:t>Dervi</w:t>
      </w:r>
      <w:proofErr w:type="spellEnd"/>
      <w:r w:rsidRPr="00916D24">
        <w:rPr>
          <w:color w:val="000000"/>
          <w:sz w:val="24"/>
          <w:szCs w:val="24"/>
          <w:lang w:val="en-US"/>
        </w:rPr>
        <w:t xml:space="preserve">, 3 Julia </w:t>
      </w:r>
      <w:r>
        <w:rPr>
          <w:color w:val="000000"/>
          <w:sz w:val="24"/>
          <w:szCs w:val="24"/>
          <w:lang w:val="en-US"/>
        </w:rPr>
        <w:t>H</w:t>
      </w:r>
      <w:r w:rsidRPr="00916D24">
        <w:rPr>
          <w:color w:val="000000"/>
          <w:sz w:val="24"/>
          <w:szCs w:val="24"/>
          <w:lang w:val="en-US"/>
        </w:rPr>
        <w:t>ouse</w:t>
      </w:r>
      <w:r>
        <w:rPr>
          <w:color w:val="000000"/>
          <w:sz w:val="24"/>
          <w:szCs w:val="24"/>
          <w:lang w:val="en-US"/>
        </w:rPr>
        <w:t xml:space="preserve"> </w:t>
      </w:r>
      <w:r w:rsidRPr="00916D24">
        <w:rPr>
          <w:color w:val="000000"/>
          <w:sz w:val="24"/>
          <w:szCs w:val="24"/>
          <w:lang w:val="en-US"/>
        </w:rPr>
        <w:t>1st floor</w:t>
      </w:r>
    </w:p>
    <w:p w14:paraId="307F238C" w14:textId="40B5AB71" w:rsidR="007A7C1D" w:rsidRPr="000F175B" w:rsidRDefault="00916D24" w:rsidP="004A2E36">
      <w:pPr>
        <w:ind w:left="851"/>
        <w:rPr>
          <w:color w:val="000000"/>
          <w:sz w:val="24"/>
          <w:szCs w:val="24"/>
        </w:rPr>
      </w:pPr>
      <w:r w:rsidRPr="009E6CB9">
        <w:rPr>
          <w:color w:val="000000"/>
          <w:sz w:val="24"/>
          <w:szCs w:val="24"/>
        </w:rPr>
        <w:t>1066 Nicosia</w:t>
      </w:r>
    </w:p>
    <w:p w14:paraId="18837500" w14:textId="3744F766" w:rsidR="007A7C1D" w:rsidRPr="000F175B" w:rsidRDefault="00916D24" w:rsidP="004A2E36">
      <w:pPr>
        <w:ind w:left="851"/>
        <w:rPr>
          <w:sz w:val="24"/>
          <w:szCs w:val="24"/>
        </w:rPr>
      </w:pPr>
      <w:r>
        <w:rPr>
          <w:color w:val="000000"/>
          <w:sz w:val="24"/>
          <w:szCs w:val="24"/>
        </w:rPr>
        <w:t>Cypern</w:t>
      </w:r>
    </w:p>
    <w:p w14:paraId="0A3B4BE6" w14:textId="77777777" w:rsidR="009260DE" w:rsidRPr="000F175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FDB7E1D" w14:textId="02DB2867" w:rsidR="009260DE" w:rsidRPr="000F175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F175B">
        <w:rPr>
          <w:b/>
          <w:sz w:val="24"/>
          <w:szCs w:val="24"/>
        </w:rPr>
        <w:t>8.</w:t>
      </w:r>
      <w:r w:rsidRPr="000F175B">
        <w:rPr>
          <w:b/>
          <w:sz w:val="24"/>
          <w:szCs w:val="24"/>
        </w:rPr>
        <w:tab/>
        <w:t xml:space="preserve">MARKEDSFØRINGSTILLADELSESNUMMER </w:t>
      </w:r>
      <w:r w:rsidR="00593E52" w:rsidRPr="00593E52">
        <w:rPr>
          <w:b/>
          <w:sz w:val="24"/>
          <w:szCs w:val="24"/>
        </w:rPr>
        <w:t>(-NUMRE)</w:t>
      </w:r>
    </w:p>
    <w:p w14:paraId="4281E3EB" w14:textId="30609433" w:rsidR="009260DE" w:rsidRPr="000F175B" w:rsidRDefault="007A7C1D" w:rsidP="009260DE">
      <w:pPr>
        <w:tabs>
          <w:tab w:val="left" w:pos="851"/>
        </w:tabs>
        <w:ind w:left="851"/>
        <w:rPr>
          <w:sz w:val="24"/>
          <w:szCs w:val="24"/>
        </w:rPr>
      </w:pPr>
      <w:r w:rsidRPr="000F175B">
        <w:rPr>
          <w:sz w:val="24"/>
          <w:szCs w:val="24"/>
        </w:rPr>
        <w:t>60427</w:t>
      </w:r>
    </w:p>
    <w:p w14:paraId="0C118FDB" w14:textId="77777777" w:rsidR="009260DE" w:rsidRPr="000F175B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18C8841A" w14:textId="77777777" w:rsidR="009260DE" w:rsidRPr="000F175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F175B">
        <w:rPr>
          <w:b/>
          <w:sz w:val="24"/>
          <w:szCs w:val="24"/>
        </w:rPr>
        <w:t>9.</w:t>
      </w:r>
      <w:r w:rsidRPr="000F175B">
        <w:rPr>
          <w:b/>
          <w:sz w:val="24"/>
          <w:szCs w:val="24"/>
        </w:rPr>
        <w:tab/>
        <w:t>DATO FOR FØRSTE MARKEDSFØRINGSTILLADELSE</w:t>
      </w:r>
    </w:p>
    <w:p w14:paraId="5F808E1E" w14:textId="62FC3BBA" w:rsidR="009260DE" w:rsidRPr="000F175B" w:rsidRDefault="007A7C1D" w:rsidP="009260DE">
      <w:pPr>
        <w:tabs>
          <w:tab w:val="left" w:pos="851"/>
        </w:tabs>
        <w:ind w:left="851"/>
        <w:rPr>
          <w:sz w:val="24"/>
          <w:szCs w:val="24"/>
        </w:rPr>
      </w:pPr>
      <w:r w:rsidRPr="000F175B">
        <w:rPr>
          <w:sz w:val="24"/>
          <w:szCs w:val="24"/>
        </w:rPr>
        <w:t>27. marts 2019</w:t>
      </w:r>
    </w:p>
    <w:p w14:paraId="61D90956" w14:textId="77777777" w:rsidR="009260DE" w:rsidRPr="000F175B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E480C6B" w14:textId="77777777" w:rsidR="009260DE" w:rsidRPr="000F175B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F175B">
        <w:rPr>
          <w:b/>
          <w:sz w:val="24"/>
          <w:szCs w:val="24"/>
        </w:rPr>
        <w:t>10.</w:t>
      </w:r>
      <w:r w:rsidRPr="000F175B">
        <w:rPr>
          <w:b/>
          <w:sz w:val="24"/>
          <w:szCs w:val="24"/>
        </w:rPr>
        <w:tab/>
        <w:t>DATO FOR ÆNDRING AF TEKSTEN</w:t>
      </w:r>
    </w:p>
    <w:p w14:paraId="0D115F75" w14:textId="21085EB4" w:rsidR="009260DE" w:rsidRPr="000F175B" w:rsidRDefault="00A81456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14. marts 2024</w:t>
      </w:r>
    </w:p>
    <w:sectPr w:rsidR="009260DE" w:rsidRPr="000F175B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046B6" w14:textId="77777777" w:rsidR="0085282E" w:rsidRDefault="0085282E">
      <w:r>
        <w:separator/>
      </w:r>
    </w:p>
  </w:endnote>
  <w:endnote w:type="continuationSeparator" w:id="0">
    <w:p w14:paraId="6488B42B" w14:textId="77777777" w:rsidR="0085282E" w:rsidRDefault="0085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17C42" w14:textId="77777777" w:rsidR="000259B9" w:rsidRDefault="000259B9">
    <w:pPr>
      <w:pStyle w:val="Sidefod"/>
      <w:pBdr>
        <w:bottom w:val="single" w:sz="6" w:space="1" w:color="auto"/>
      </w:pBdr>
    </w:pPr>
  </w:p>
  <w:p w14:paraId="1A88E2FE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1078FD39" w14:textId="16877C4D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643AD8">
      <w:rPr>
        <w:i/>
        <w:noProof/>
        <w:sz w:val="18"/>
        <w:szCs w:val="18"/>
      </w:rPr>
      <w:t>Lipomeg, bløde kapsler 1000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3905A" w14:textId="77777777" w:rsidR="0085282E" w:rsidRDefault="0085282E">
      <w:r>
        <w:separator/>
      </w:r>
    </w:p>
  </w:footnote>
  <w:footnote w:type="continuationSeparator" w:id="0">
    <w:p w14:paraId="6E18CEC1" w14:textId="77777777" w:rsidR="0085282E" w:rsidRDefault="00852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56CF7B55"/>
    <w:multiLevelType w:val="hybridMultilevel"/>
    <w:tmpl w:val="6D9C803A"/>
    <w:lvl w:ilvl="0" w:tplc="5A5CF71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B400A"/>
    <w:multiLevelType w:val="hybridMultilevel"/>
    <w:tmpl w:val="E946BDE4"/>
    <w:lvl w:ilvl="0" w:tplc="5A5CF712">
      <w:start w:val="1"/>
      <w:numFmt w:val="bullet"/>
      <w:lvlText w:val="-"/>
      <w:lvlJc w:val="left"/>
      <w:pPr>
        <w:ind w:left="420" w:hanging="360"/>
      </w:pPr>
      <w:rPr>
        <w:rFonts w:ascii="Courier New" w:hAnsi="Courier New" w:cs="Times New Roman" w:hint="default"/>
      </w:rPr>
    </w:lvl>
    <w:lvl w:ilvl="1" w:tplc="0406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82E"/>
    <w:rsid w:val="000259B9"/>
    <w:rsid w:val="00041491"/>
    <w:rsid w:val="00050D16"/>
    <w:rsid w:val="00074F2A"/>
    <w:rsid w:val="000908FC"/>
    <w:rsid w:val="000A1CA8"/>
    <w:rsid w:val="000A466B"/>
    <w:rsid w:val="000B058C"/>
    <w:rsid w:val="000E4EE6"/>
    <w:rsid w:val="000F175B"/>
    <w:rsid w:val="001454E2"/>
    <w:rsid w:val="001D1786"/>
    <w:rsid w:val="00206CE8"/>
    <w:rsid w:val="0021526C"/>
    <w:rsid w:val="00255779"/>
    <w:rsid w:val="00283A2B"/>
    <w:rsid w:val="002B30AD"/>
    <w:rsid w:val="002C2C01"/>
    <w:rsid w:val="003136BE"/>
    <w:rsid w:val="0035032A"/>
    <w:rsid w:val="003A29AE"/>
    <w:rsid w:val="003A32D7"/>
    <w:rsid w:val="003B4074"/>
    <w:rsid w:val="003C1147"/>
    <w:rsid w:val="003C769A"/>
    <w:rsid w:val="003E553F"/>
    <w:rsid w:val="003F1838"/>
    <w:rsid w:val="0045746C"/>
    <w:rsid w:val="0049104B"/>
    <w:rsid w:val="004A2E36"/>
    <w:rsid w:val="004D6660"/>
    <w:rsid w:val="004E3B12"/>
    <w:rsid w:val="004E5D96"/>
    <w:rsid w:val="00532310"/>
    <w:rsid w:val="00565F0F"/>
    <w:rsid w:val="00593E52"/>
    <w:rsid w:val="00594A86"/>
    <w:rsid w:val="00596720"/>
    <w:rsid w:val="00596D86"/>
    <w:rsid w:val="005A2568"/>
    <w:rsid w:val="00637F5A"/>
    <w:rsid w:val="00643AD8"/>
    <w:rsid w:val="00645DC8"/>
    <w:rsid w:val="0065211C"/>
    <w:rsid w:val="006560B1"/>
    <w:rsid w:val="00665315"/>
    <w:rsid w:val="006756DD"/>
    <w:rsid w:val="00731196"/>
    <w:rsid w:val="00737275"/>
    <w:rsid w:val="00740EEC"/>
    <w:rsid w:val="0078011A"/>
    <w:rsid w:val="00782AF4"/>
    <w:rsid w:val="00790EE7"/>
    <w:rsid w:val="00795CAE"/>
    <w:rsid w:val="007A7C1D"/>
    <w:rsid w:val="007B6649"/>
    <w:rsid w:val="0082576E"/>
    <w:rsid w:val="0085282E"/>
    <w:rsid w:val="00907F75"/>
    <w:rsid w:val="00914C95"/>
    <w:rsid w:val="00916D24"/>
    <w:rsid w:val="009260DE"/>
    <w:rsid w:val="0093258A"/>
    <w:rsid w:val="009C7BA3"/>
    <w:rsid w:val="009D1F5A"/>
    <w:rsid w:val="009E6CB9"/>
    <w:rsid w:val="00A0096D"/>
    <w:rsid w:val="00A268FB"/>
    <w:rsid w:val="00A81456"/>
    <w:rsid w:val="00AE63E0"/>
    <w:rsid w:val="00B003BF"/>
    <w:rsid w:val="00B373D7"/>
    <w:rsid w:val="00B64620"/>
    <w:rsid w:val="00C36276"/>
    <w:rsid w:val="00C42586"/>
    <w:rsid w:val="00C60CCD"/>
    <w:rsid w:val="00C84483"/>
    <w:rsid w:val="00C95551"/>
    <w:rsid w:val="00CB20D7"/>
    <w:rsid w:val="00CF4DCE"/>
    <w:rsid w:val="00D020B0"/>
    <w:rsid w:val="00D11748"/>
    <w:rsid w:val="00D366CF"/>
    <w:rsid w:val="00DA4FE2"/>
    <w:rsid w:val="00E108AA"/>
    <w:rsid w:val="00E309A7"/>
    <w:rsid w:val="00E3749A"/>
    <w:rsid w:val="00E4253E"/>
    <w:rsid w:val="00E7437F"/>
    <w:rsid w:val="00E865B8"/>
    <w:rsid w:val="00E915DF"/>
    <w:rsid w:val="00EC0B9B"/>
    <w:rsid w:val="00ED42DC"/>
    <w:rsid w:val="00ED5E9F"/>
    <w:rsid w:val="00F66D4F"/>
    <w:rsid w:val="00FB6D01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1AEF6D"/>
  <w15:chartTrackingRefBased/>
  <w15:docId w15:val="{FBAEAB2C-0757-42E8-9F69-996495D6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uiPriority w:val="99"/>
    <w:semiHidden/>
    <w:unhideWhenUsed/>
    <w:rsid w:val="00A0096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1443</Words>
  <Characters>9950</Characters>
  <Application>Microsoft Office Word</Application>
  <DocSecurity>0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Jørgensen</dc:creator>
  <cp:keywords/>
  <dc:description>2024013191, var. 25, pkt. 4.4 og 4.8</dc:description>
  <cp:lastModifiedBy>Gitte Jørgensen</cp:lastModifiedBy>
  <cp:revision>8</cp:revision>
  <cp:lastPrinted>2020-07-28T12:06:00Z</cp:lastPrinted>
  <dcterms:created xsi:type="dcterms:W3CDTF">2024-03-14T11:59:00Z</dcterms:created>
  <dcterms:modified xsi:type="dcterms:W3CDTF">2024-03-14T12:09:00Z</dcterms:modified>
</cp:coreProperties>
</file>