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10B40" w14:textId="77777777" w:rsidR="004A3BF4" w:rsidRPr="002177D4" w:rsidRDefault="00056601" w:rsidP="004A3BF4">
      <w:pPr>
        <w:rPr>
          <w:sz w:val="24"/>
          <w:szCs w:val="24"/>
          <w:lang w:val="en-GB"/>
        </w:rPr>
      </w:pPr>
      <w:r w:rsidRPr="002177D4">
        <w:rPr>
          <w:noProof/>
          <w:sz w:val="24"/>
          <w:szCs w:val="24"/>
          <w:lang w:val="en-GB"/>
        </w:rPr>
        <w:drawing>
          <wp:inline distT="0" distB="0" distL="0" distR="0" wp14:anchorId="5994E551" wp14:editId="402E47B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1B97C87" w14:textId="77777777" w:rsidR="006B3847" w:rsidRPr="002177D4" w:rsidRDefault="006B3847" w:rsidP="006B3847">
      <w:pPr>
        <w:rPr>
          <w:sz w:val="24"/>
          <w:szCs w:val="24"/>
          <w:lang w:val="en-GB"/>
        </w:rPr>
      </w:pPr>
    </w:p>
    <w:p w14:paraId="23EB1EA3" w14:textId="45B825B3" w:rsidR="006B3847" w:rsidRPr="002177D4" w:rsidRDefault="006B3847" w:rsidP="006B3847">
      <w:pPr>
        <w:tabs>
          <w:tab w:val="right" w:pos="9356"/>
        </w:tabs>
        <w:rPr>
          <w:b/>
          <w:sz w:val="24"/>
          <w:szCs w:val="24"/>
          <w:lang w:val="en-GB"/>
        </w:rPr>
      </w:pPr>
      <w:r w:rsidRPr="002177D4">
        <w:rPr>
          <w:b/>
          <w:sz w:val="24"/>
          <w:szCs w:val="24"/>
          <w:lang w:val="en-GB"/>
        </w:rPr>
        <w:tab/>
      </w:r>
      <w:r w:rsidR="002E15A9">
        <w:rPr>
          <w:b/>
          <w:sz w:val="24"/>
          <w:szCs w:val="24"/>
          <w:lang w:val="en-GB"/>
        </w:rPr>
        <w:t>30 May 2024</w:t>
      </w:r>
    </w:p>
    <w:p w14:paraId="0E0313A8" w14:textId="77777777" w:rsidR="006B3847" w:rsidRPr="002177D4" w:rsidRDefault="006B3847" w:rsidP="006B3847">
      <w:pPr>
        <w:rPr>
          <w:sz w:val="24"/>
          <w:szCs w:val="24"/>
          <w:lang w:val="en-GB"/>
        </w:rPr>
      </w:pPr>
    </w:p>
    <w:p w14:paraId="2715CF9A" w14:textId="77777777" w:rsidR="007C5D2A" w:rsidRPr="002177D4" w:rsidRDefault="007C5D2A" w:rsidP="007C5D2A">
      <w:pPr>
        <w:rPr>
          <w:sz w:val="24"/>
          <w:szCs w:val="24"/>
          <w:lang w:val="en-GB"/>
        </w:rPr>
      </w:pPr>
    </w:p>
    <w:p w14:paraId="0ACA09EF" w14:textId="77777777" w:rsidR="007C5D2A" w:rsidRPr="002177D4" w:rsidRDefault="007C5D2A" w:rsidP="007C5D2A">
      <w:pPr>
        <w:rPr>
          <w:sz w:val="24"/>
          <w:szCs w:val="24"/>
          <w:lang w:val="en-GB"/>
        </w:rPr>
      </w:pPr>
    </w:p>
    <w:p w14:paraId="03EBD824" w14:textId="77777777" w:rsidR="007C5D2A" w:rsidRPr="002177D4" w:rsidRDefault="007C5D2A" w:rsidP="007C5D2A">
      <w:pPr>
        <w:jc w:val="center"/>
        <w:rPr>
          <w:b/>
          <w:sz w:val="24"/>
          <w:szCs w:val="24"/>
          <w:lang w:val="en-GB"/>
        </w:rPr>
      </w:pPr>
      <w:bookmarkStart w:id="0" w:name="_Hlk49158549"/>
      <w:r w:rsidRPr="002177D4">
        <w:rPr>
          <w:b/>
          <w:sz w:val="24"/>
          <w:szCs w:val="24"/>
          <w:lang w:val="en-GB"/>
        </w:rPr>
        <w:t>SUMMARY OF PRODUCT CHARACTERISTICS</w:t>
      </w:r>
    </w:p>
    <w:bookmarkEnd w:id="0"/>
    <w:p w14:paraId="09CF870B" w14:textId="77777777" w:rsidR="007C5D2A" w:rsidRPr="002177D4" w:rsidRDefault="007C5D2A" w:rsidP="007C5D2A">
      <w:pPr>
        <w:jc w:val="center"/>
        <w:rPr>
          <w:sz w:val="24"/>
          <w:szCs w:val="24"/>
          <w:lang w:val="en-GB"/>
        </w:rPr>
      </w:pPr>
    </w:p>
    <w:p w14:paraId="797C59AE" w14:textId="77777777" w:rsidR="007C5D2A" w:rsidRPr="002177D4" w:rsidRDefault="007C5D2A" w:rsidP="007C5D2A">
      <w:pPr>
        <w:jc w:val="center"/>
        <w:rPr>
          <w:b/>
          <w:sz w:val="24"/>
          <w:szCs w:val="24"/>
          <w:lang w:val="en-GB"/>
        </w:rPr>
      </w:pPr>
      <w:r w:rsidRPr="002177D4">
        <w:rPr>
          <w:b/>
          <w:sz w:val="24"/>
          <w:szCs w:val="24"/>
          <w:lang w:val="en-GB"/>
        </w:rPr>
        <w:t>for</w:t>
      </w:r>
    </w:p>
    <w:p w14:paraId="32895A41" w14:textId="77777777" w:rsidR="007C5D2A" w:rsidRPr="002177D4" w:rsidRDefault="007C5D2A" w:rsidP="007C5D2A">
      <w:pPr>
        <w:jc w:val="center"/>
        <w:rPr>
          <w:sz w:val="24"/>
          <w:szCs w:val="24"/>
          <w:lang w:val="en-GB"/>
        </w:rPr>
      </w:pPr>
    </w:p>
    <w:p w14:paraId="04ED5C83" w14:textId="3F73BABA" w:rsidR="007C5D2A" w:rsidRPr="002177D4" w:rsidRDefault="00C67A7D" w:rsidP="00C67A7D">
      <w:pPr>
        <w:jc w:val="center"/>
        <w:rPr>
          <w:b/>
          <w:sz w:val="24"/>
          <w:szCs w:val="24"/>
          <w:lang w:val="en-US"/>
        </w:rPr>
      </w:pPr>
      <w:proofErr w:type="spellStart"/>
      <w:r w:rsidRPr="002177D4">
        <w:rPr>
          <w:b/>
          <w:sz w:val="24"/>
          <w:szCs w:val="24"/>
          <w:lang w:val="en-US"/>
        </w:rPr>
        <w:t>Lissidexanz</w:t>
      </w:r>
      <w:proofErr w:type="spellEnd"/>
      <w:r w:rsidRPr="002177D4">
        <w:rPr>
          <w:b/>
          <w:sz w:val="24"/>
          <w:szCs w:val="24"/>
          <w:lang w:val="en-US"/>
        </w:rPr>
        <w:t>, hard capsules</w:t>
      </w:r>
    </w:p>
    <w:p w14:paraId="2102B322" w14:textId="77777777" w:rsidR="0042292D" w:rsidRPr="002177D4" w:rsidRDefault="0042292D" w:rsidP="007C5D2A">
      <w:pPr>
        <w:jc w:val="both"/>
        <w:rPr>
          <w:sz w:val="24"/>
          <w:szCs w:val="24"/>
          <w:lang w:val="en-GB"/>
        </w:rPr>
      </w:pPr>
    </w:p>
    <w:p w14:paraId="7F9ED2E6" w14:textId="77777777" w:rsidR="008F2F8C" w:rsidRPr="002177D4" w:rsidRDefault="008F2F8C" w:rsidP="008F2F8C">
      <w:pPr>
        <w:tabs>
          <w:tab w:val="left" w:pos="8222"/>
        </w:tabs>
        <w:ind w:left="851" w:hanging="851"/>
        <w:rPr>
          <w:b/>
          <w:sz w:val="24"/>
          <w:szCs w:val="24"/>
          <w:lang w:val="en-GB"/>
        </w:rPr>
      </w:pPr>
      <w:r w:rsidRPr="002177D4">
        <w:rPr>
          <w:b/>
          <w:sz w:val="24"/>
          <w:szCs w:val="24"/>
          <w:lang w:val="en-GB"/>
        </w:rPr>
        <w:t>0.</w:t>
      </w:r>
      <w:r w:rsidRPr="002177D4">
        <w:rPr>
          <w:b/>
          <w:sz w:val="24"/>
          <w:szCs w:val="24"/>
          <w:lang w:val="en-GB"/>
        </w:rPr>
        <w:tab/>
      </w:r>
      <w:proofErr w:type="gramStart"/>
      <w:r w:rsidRPr="002177D4">
        <w:rPr>
          <w:b/>
          <w:sz w:val="24"/>
          <w:szCs w:val="24"/>
          <w:lang w:val="en-GB"/>
        </w:rPr>
        <w:t>D.SP.NO</w:t>
      </w:r>
      <w:proofErr w:type="gramEnd"/>
      <w:r w:rsidRPr="002177D4">
        <w:rPr>
          <w:b/>
          <w:sz w:val="24"/>
          <w:szCs w:val="24"/>
          <w:lang w:val="en-GB"/>
        </w:rPr>
        <w:t>.</w:t>
      </w:r>
    </w:p>
    <w:p w14:paraId="0B0DC090" w14:textId="4A4FB91E" w:rsidR="008F2F8C" w:rsidRPr="002177D4" w:rsidRDefault="00C67A7D" w:rsidP="008F2F8C">
      <w:pPr>
        <w:tabs>
          <w:tab w:val="left" w:pos="8222"/>
        </w:tabs>
        <w:ind w:left="851"/>
        <w:rPr>
          <w:sz w:val="24"/>
          <w:szCs w:val="24"/>
          <w:lang w:val="en-GB"/>
        </w:rPr>
      </w:pPr>
      <w:r w:rsidRPr="002177D4">
        <w:rPr>
          <w:sz w:val="24"/>
          <w:szCs w:val="24"/>
          <w:lang w:val="en-GB"/>
        </w:rPr>
        <w:t>32926</w:t>
      </w:r>
    </w:p>
    <w:p w14:paraId="29A1034B" w14:textId="77777777" w:rsidR="007C5D2A" w:rsidRPr="002177D4" w:rsidRDefault="007C5D2A" w:rsidP="007C5D2A">
      <w:pPr>
        <w:tabs>
          <w:tab w:val="left" w:pos="851"/>
        </w:tabs>
        <w:jc w:val="both"/>
        <w:rPr>
          <w:sz w:val="24"/>
          <w:szCs w:val="24"/>
          <w:lang w:val="en-GB"/>
        </w:rPr>
      </w:pPr>
    </w:p>
    <w:p w14:paraId="210829D1" w14:textId="77777777" w:rsidR="007C5D2A" w:rsidRPr="002177D4" w:rsidRDefault="009925C9" w:rsidP="007C5D2A">
      <w:pPr>
        <w:tabs>
          <w:tab w:val="left" w:pos="851"/>
        </w:tabs>
        <w:ind w:left="851" w:hanging="851"/>
        <w:rPr>
          <w:sz w:val="24"/>
          <w:szCs w:val="24"/>
          <w:lang w:val="en-GB"/>
        </w:rPr>
      </w:pPr>
      <w:r w:rsidRPr="002177D4">
        <w:rPr>
          <w:b/>
          <w:sz w:val="24"/>
          <w:szCs w:val="24"/>
          <w:lang w:val="en-GB"/>
        </w:rPr>
        <w:t>1.</w:t>
      </w:r>
      <w:r w:rsidR="007C5D2A" w:rsidRPr="002177D4">
        <w:rPr>
          <w:b/>
          <w:sz w:val="24"/>
          <w:szCs w:val="24"/>
          <w:lang w:val="en-GB"/>
        </w:rPr>
        <w:tab/>
        <w:t>NAME OF THE MEDICINAL PRODUCT</w:t>
      </w:r>
    </w:p>
    <w:p w14:paraId="5138FB09" w14:textId="6D6AAA3B" w:rsidR="007C5D2A" w:rsidRPr="002177D4" w:rsidRDefault="00C67A7D" w:rsidP="004A3BF4">
      <w:pPr>
        <w:tabs>
          <w:tab w:val="left" w:pos="851"/>
        </w:tabs>
        <w:ind w:left="851"/>
        <w:rPr>
          <w:sz w:val="24"/>
          <w:szCs w:val="24"/>
          <w:lang w:val="en-US"/>
        </w:rPr>
      </w:pPr>
      <w:proofErr w:type="spellStart"/>
      <w:r w:rsidRPr="002177D4">
        <w:rPr>
          <w:sz w:val="24"/>
          <w:szCs w:val="24"/>
          <w:lang w:val="en-US"/>
        </w:rPr>
        <w:t>Lissidexanz</w:t>
      </w:r>
      <w:proofErr w:type="spellEnd"/>
    </w:p>
    <w:p w14:paraId="12036662" w14:textId="77777777" w:rsidR="007C5D2A" w:rsidRPr="002177D4" w:rsidRDefault="007C5D2A" w:rsidP="004A3BF4">
      <w:pPr>
        <w:tabs>
          <w:tab w:val="left" w:pos="851"/>
        </w:tabs>
        <w:ind w:left="851"/>
        <w:rPr>
          <w:sz w:val="24"/>
          <w:szCs w:val="24"/>
          <w:lang w:val="en-GB"/>
        </w:rPr>
      </w:pPr>
    </w:p>
    <w:p w14:paraId="277B7679" w14:textId="77777777" w:rsidR="007C5D2A" w:rsidRPr="002177D4" w:rsidRDefault="009925C9" w:rsidP="007C5D2A">
      <w:pPr>
        <w:ind w:left="851" w:hanging="851"/>
        <w:rPr>
          <w:b/>
          <w:sz w:val="24"/>
          <w:szCs w:val="24"/>
          <w:lang w:val="en-GB"/>
        </w:rPr>
      </w:pPr>
      <w:r w:rsidRPr="002177D4">
        <w:rPr>
          <w:b/>
          <w:sz w:val="24"/>
          <w:szCs w:val="24"/>
          <w:lang w:val="en-GB"/>
        </w:rPr>
        <w:t>2.</w:t>
      </w:r>
      <w:r w:rsidR="007C5D2A" w:rsidRPr="002177D4">
        <w:rPr>
          <w:b/>
          <w:sz w:val="24"/>
          <w:szCs w:val="24"/>
          <w:lang w:val="en-GB"/>
        </w:rPr>
        <w:tab/>
        <w:t>QUALITATIVE AND QUANTITATIVE COMPOSITION</w:t>
      </w:r>
    </w:p>
    <w:p w14:paraId="28E5C609" w14:textId="77777777" w:rsidR="002746A7" w:rsidRPr="002177D4" w:rsidRDefault="002746A7" w:rsidP="006D0C86">
      <w:pPr>
        <w:ind w:left="851"/>
        <w:rPr>
          <w:sz w:val="24"/>
          <w:szCs w:val="24"/>
          <w:lang w:val="en-GB"/>
        </w:rPr>
      </w:pPr>
      <w:bookmarkStart w:id="1" w:name="_Hlk94620594"/>
      <w:r w:rsidRPr="002177D4">
        <w:rPr>
          <w:sz w:val="24"/>
          <w:szCs w:val="24"/>
          <w:lang w:val="en-GB"/>
        </w:rPr>
        <w:t>30 mg:</w:t>
      </w:r>
    </w:p>
    <w:bookmarkEnd w:id="1"/>
    <w:p w14:paraId="11EB15CC" w14:textId="77777777" w:rsidR="002746A7" w:rsidRPr="002177D4" w:rsidRDefault="002746A7" w:rsidP="006D0C86">
      <w:pPr>
        <w:ind w:left="851"/>
        <w:rPr>
          <w:color w:val="000000"/>
          <w:sz w:val="24"/>
          <w:szCs w:val="24"/>
          <w:lang w:val="en-GB"/>
        </w:rPr>
      </w:pPr>
      <w:r w:rsidRPr="002177D4">
        <w:rPr>
          <w:color w:val="000000"/>
          <w:sz w:val="24"/>
          <w:szCs w:val="24"/>
          <w:lang w:val="en-GB"/>
        </w:rPr>
        <w:t xml:space="preserve">Each hard capsule contains 36.6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diadipate</w:t>
      </w:r>
      <w:proofErr w:type="spellEnd"/>
      <w:r w:rsidRPr="002177D4">
        <w:rPr>
          <w:color w:val="000000"/>
          <w:sz w:val="24"/>
          <w:szCs w:val="24"/>
          <w:lang w:val="en-GB"/>
        </w:rPr>
        <w:t xml:space="preserve">, corresponding to 30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dimesylate</w:t>
      </w:r>
      <w:proofErr w:type="spellEnd"/>
      <w:r w:rsidRPr="002177D4">
        <w:rPr>
          <w:color w:val="000000"/>
          <w:sz w:val="24"/>
          <w:szCs w:val="24"/>
          <w:lang w:val="en-GB"/>
        </w:rPr>
        <w:t xml:space="preserve"> and to 8.9 mg of </w:t>
      </w:r>
      <w:proofErr w:type="spellStart"/>
      <w:r w:rsidRPr="002177D4">
        <w:rPr>
          <w:color w:val="000000"/>
          <w:sz w:val="24"/>
          <w:szCs w:val="24"/>
          <w:lang w:val="en-GB"/>
        </w:rPr>
        <w:t>dexamfetamine</w:t>
      </w:r>
      <w:proofErr w:type="spellEnd"/>
      <w:r w:rsidRPr="002177D4">
        <w:rPr>
          <w:color w:val="000000"/>
          <w:sz w:val="24"/>
          <w:szCs w:val="24"/>
          <w:lang w:val="en-GB"/>
        </w:rPr>
        <w:t>.</w:t>
      </w:r>
    </w:p>
    <w:p w14:paraId="02AFF460" w14:textId="77777777" w:rsidR="002746A7" w:rsidRPr="002177D4" w:rsidRDefault="002746A7" w:rsidP="006D0C86">
      <w:pPr>
        <w:ind w:left="851"/>
        <w:rPr>
          <w:color w:val="000000"/>
          <w:sz w:val="24"/>
          <w:szCs w:val="24"/>
          <w:lang w:val="en-GB"/>
        </w:rPr>
      </w:pPr>
    </w:p>
    <w:p w14:paraId="333EC25F" w14:textId="77777777" w:rsidR="002746A7" w:rsidRPr="002177D4" w:rsidRDefault="002746A7" w:rsidP="006D0C86">
      <w:pPr>
        <w:ind w:left="851"/>
        <w:rPr>
          <w:sz w:val="24"/>
          <w:szCs w:val="24"/>
          <w:lang w:val="en-GB"/>
        </w:rPr>
      </w:pPr>
      <w:bookmarkStart w:id="2" w:name="_Hlk94620606"/>
      <w:r w:rsidRPr="002177D4">
        <w:rPr>
          <w:sz w:val="24"/>
          <w:szCs w:val="24"/>
          <w:lang w:val="en-GB"/>
        </w:rPr>
        <w:t>50 mg:</w:t>
      </w:r>
    </w:p>
    <w:bookmarkEnd w:id="2"/>
    <w:p w14:paraId="09B37289" w14:textId="77777777" w:rsidR="002746A7" w:rsidRPr="002177D4" w:rsidRDefault="002746A7" w:rsidP="006D0C86">
      <w:pPr>
        <w:ind w:left="851"/>
        <w:rPr>
          <w:color w:val="000000"/>
          <w:sz w:val="24"/>
          <w:szCs w:val="24"/>
          <w:lang w:val="en-GB"/>
        </w:rPr>
      </w:pPr>
      <w:r w:rsidRPr="002177D4">
        <w:rPr>
          <w:color w:val="000000"/>
          <w:sz w:val="24"/>
          <w:szCs w:val="24"/>
          <w:lang w:val="en-GB"/>
        </w:rPr>
        <w:t xml:space="preserve">Each hard capsule contains 61.0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diadipate</w:t>
      </w:r>
      <w:proofErr w:type="spellEnd"/>
      <w:r w:rsidRPr="002177D4">
        <w:rPr>
          <w:color w:val="000000"/>
          <w:sz w:val="24"/>
          <w:szCs w:val="24"/>
          <w:lang w:val="en-GB"/>
        </w:rPr>
        <w:t xml:space="preserve">, corresponding to 50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dimesylate</w:t>
      </w:r>
      <w:proofErr w:type="spellEnd"/>
      <w:r w:rsidRPr="002177D4">
        <w:rPr>
          <w:color w:val="000000"/>
          <w:sz w:val="24"/>
          <w:szCs w:val="24"/>
          <w:lang w:val="en-GB"/>
        </w:rPr>
        <w:t xml:space="preserve"> and to 14.8 mg of </w:t>
      </w:r>
      <w:proofErr w:type="spellStart"/>
      <w:r w:rsidRPr="002177D4">
        <w:rPr>
          <w:color w:val="000000"/>
          <w:sz w:val="24"/>
          <w:szCs w:val="24"/>
          <w:lang w:val="en-GB"/>
        </w:rPr>
        <w:t>dexamfetamine</w:t>
      </w:r>
      <w:proofErr w:type="spellEnd"/>
      <w:r w:rsidRPr="002177D4">
        <w:rPr>
          <w:color w:val="000000"/>
          <w:sz w:val="24"/>
          <w:szCs w:val="24"/>
          <w:lang w:val="en-GB"/>
        </w:rPr>
        <w:t>.</w:t>
      </w:r>
    </w:p>
    <w:p w14:paraId="443DA8D8" w14:textId="77777777" w:rsidR="002746A7" w:rsidRPr="002177D4" w:rsidRDefault="002746A7" w:rsidP="006D0C86">
      <w:pPr>
        <w:ind w:left="851"/>
        <w:rPr>
          <w:color w:val="000000"/>
          <w:sz w:val="24"/>
          <w:szCs w:val="24"/>
          <w:lang w:val="en-GB"/>
        </w:rPr>
      </w:pPr>
    </w:p>
    <w:p w14:paraId="0C832D5B" w14:textId="77777777" w:rsidR="002746A7" w:rsidRPr="002177D4" w:rsidRDefault="002746A7" w:rsidP="006D0C86">
      <w:pPr>
        <w:ind w:left="851"/>
        <w:rPr>
          <w:sz w:val="24"/>
          <w:szCs w:val="24"/>
          <w:lang w:val="en-GB"/>
        </w:rPr>
      </w:pPr>
      <w:bookmarkStart w:id="3" w:name="_Hlk94620635"/>
      <w:r w:rsidRPr="002177D4">
        <w:rPr>
          <w:sz w:val="24"/>
          <w:szCs w:val="24"/>
          <w:lang w:val="en-GB"/>
        </w:rPr>
        <w:t>70 mg:</w:t>
      </w:r>
    </w:p>
    <w:bookmarkEnd w:id="3"/>
    <w:p w14:paraId="1F6FA918" w14:textId="77777777" w:rsidR="002746A7" w:rsidRPr="002177D4" w:rsidRDefault="002746A7" w:rsidP="006D0C86">
      <w:pPr>
        <w:ind w:left="851"/>
        <w:rPr>
          <w:color w:val="000000"/>
          <w:sz w:val="24"/>
          <w:szCs w:val="24"/>
          <w:lang w:val="en-GB"/>
        </w:rPr>
      </w:pPr>
      <w:r w:rsidRPr="002177D4">
        <w:rPr>
          <w:color w:val="000000"/>
          <w:sz w:val="24"/>
          <w:szCs w:val="24"/>
          <w:lang w:val="en-GB"/>
        </w:rPr>
        <w:t xml:space="preserve">Each hard capsule contains 85.4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diadipate</w:t>
      </w:r>
      <w:proofErr w:type="spellEnd"/>
      <w:r w:rsidRPr="002177D4">
        <w:rPr>
          <w:color w:val="000000"/>
          <w:sz w:val="24"/>
          <w:szCs w:val="24"/>
          <w:lang w:val="en-GB"/>
        </w:rPr>
        <w:t xml:space="preserve">, corresponding to 70 mg </w:t>
      </w:r>
      <w:proofErr w:type="spellStart"/>
      <w:r w:rsidRPr="002177D4">
        <w:rPr>
          <w:color w:val="000000"/>
          <w:sz w:val="24"/>
          <w:szCs w:val="24"/>
          <w:lang w:val="en-GB"/>
        </w:rPr>
        <w:t>lisdexamfetamine</w:t>
      </w:r>
      <w:proofErr w:type="spellEnd"/>
      <w:r w:rsidRPr="002177D4">
        <w:rPr>
          <w:color w:val="000000"/>
          <w:sz w:val="24"/>
          <w:szCs w:val="24"/>
          <w:lang w:val="en-GB"/>
        </w:rPr>
        <w:t xml:space="preserve"> </w:t>
      </w:r>
      <w:proofErr w:type="spellStart"/>
      <w:r w:rsidRPr="002177D4">
        <w:rPr>
          <w:color w:val="000000"/>
          <w:sz w:val="24"/>
          <w:szCs w:val="24"/>
          <w:lang w:val="en-GB"/>
        </w:rPr>
        <w:t>dimesylate</w:t>
      </w:r>
      <w:proofErr w:type="spellEnd"/>
      <w:r w:rsidRPr="002177D4">
        <w:rPr>
          <w:color w:val="000000"/>
          <w:sz w:val="24"/>
          <w:szCs w:val="24"/>
          <w:lang w:val="en-GB"/>
        </w:rPr>
        <w:t xml:space="preserve"> and to 20.8 mg of </w:t>
      </w:r>
      <w:proofErr w:type="spellStart"/>
      <w:r w:rsidRPr="002177D4">
        <w:rPr>
          <w:color w:val="000000"/>
          <w:sz w:val="24"/>
          <w:szCs w:val="24"/>
          <w:lang w:val="en-GB"/>
        </w:rPr>
        <w:t>dexamfetamine</w:t>
      </w:r>
      <w:proofErr w:type="spellEnd"/>
      <w:r w:rsidRPr="002177D4">
        <w:rPr>
          <w:color w:val="000000"/>
          <w:sz w:val="24"/>
          <w:szCs w:val="24"/>
          <w:lang w:val="en-GB"/>
        </w:rPr>
        <w:t>.</w:t>
      </w:r>
    </w:p>
    <w:p w14:paraId="19B6B791" w14:textId="77777777" w:rsidR="002746A7" w:rsidRPr="002177D4" w:rsidRDefault="002746A7" w:rsidP="006D0C86">
      <w:pPr>
        <w:ind w:left="851"/>
        <w:rPr>
          <w:color w:val="000000"/>
          <w:sz w:val="24"/>
          <w:szCs w:val="24"/>
          <w:lang w:val="en-GB"/>
        </w:rPr>
      </w:pPr>
    </w:p>
    <w:p w14:paraId="11ACF1D9" w14:textId="77777777" w:rsidR="002746A7" w:rsidRPr="002177D4" w:rsidRDefault="002746A7" w:rsidP="006D0C86">
      <w:pPr>
        <w:ind w:left="851"/>
        <w:rPr>
          <w:sz w:val="24"/>
          <w:szCs w:val="24"/>
          <w:lang w:val="en-GB"/>
        </w:rPr>
      </w:pPr>
      <w:r w:rsidRPr="002177D4">
        <w:rPr>
          <w:sz w:val="24"/>
          <w:szCs w:val="24"/>
          <w:lang w:val="en-GB"/>
        </w:rPr>
        <w:t>For the full list of excipients, see section 6.1.</w:t>
      </w:r>
    </w:p>
    <w:p w14:paraId="3DF5E1B5" w14:textId="77777777" w:rsidR="007C5D2A" w:rsidRPr="002177D4" w:rsidRDefault="007C5D2A" w:rsidP="004A3BF4">
      <w:pPr>
        <w:tabs>
          <w:tab w:val="left" w:pos="851"/>
        </w:tabs>
        <w:ind w:left="851"/>
        <w:rPr>
          <w:sz w:val="24"/>
          <w:szCs w:val="24"/>
          <w:lang w:val="en-GB"/>
        </w:rPr>
      </w:pPr>
    </w:p>
    <w:p w14:paraId="1CE09F98"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3.</w:t>
      </w:r>
      <w:r w:rsidRPr="002177D4">
        <w:rPr>
          <w:b/>
          <w:sz w:val="24"/>
          <w:szCs w:val="24"/>
          <w:lang w:val="en-GB"/>
        </w:rPr>
        <w:tab/>
        <w:t>PHARMACEUTICAL FORM</w:t>
      </w:r>
    </w:p>
    <w:p w14:paraId="2D7A58E6" w14:textId="3F9086D3" w:rsidR="002746A7" w:rsidRDefault="002746A7" w:rsidP="006D0C86">
      <w:pPr>
        <w:ind w:left="851"/>
        <w:rPr>
          <w:sz w:val="24"/>
          <w:szCs w:val="24"/>
          <w:lang w:val="en-GB"/>
        </w:rPr>
      </w:pPr>
      <w:r w:rsidRPr="002177D4">
        <w:rPr>
          <w:sz w:val="24"/>
          <w:szCs w:val="24"/>
          <w:lang w:val="en-GB"/>
        </w:rPr>
        <w:t>Hard capsules</w:t>
      </w:r>
    </w:p>
    <w:p w14:paraId="2691151C" w14:textId="77777777" w:rsidR="002177D4" w:rsidRPr="002177D4" w:rsidRDefault="002177D4" w:rsidP="006D0C86">
      <w:pPr>
        <w:ind w:left="851"/>
        <w:rPr>
          <w:sz w:val="24"/>
          <w:szCs w:val="24"/>
          <w:lang w:val="en-GB"/>
        </w:rPr>
      </w:pPr>
    </w:p>
    <w:p w14:paraId="49B13BFB" w14:textId="77777777" w:rsidR="002746A7" w:rsidRPr="002177D4" w:rsidRDefault="002746A7" w:rsidP="006D0C86">
      <w:pPr>
        <w:ind w:left="851"/>
        <w:rPr>
          <w:sz w:val="24"/>
          <w:szCs w:val="24"/>
          <w:lang w:val="en-GB"/>
        </w:rPr>
      </w:pPr>
      <w:r w:rsidRPr="002177D4">
        <w:rPr>
          <w:sz w:val="24"/>
          <w:szCs w:val="24"/>
          <w:lang w:val="en-GB"/>
        </w:rPr>
        <w:t>30 mg:</w:t>
      </w:r>
    </w:p>
    <w:p w14:paraId="2F56F084" w14:textId="77777777" w:rsidR="002746A7" w:rsidRPr="002177D4" w:rsidRDefault="002746A7" w:rsidP="006D0C86">
      <w:pPr>
        <w:ind w:left="851"/>
        <w:rPr>
          <w:sz w:val="24"/>
          <w:szCs w:val="24"/>
          <w:lang w:val="en-GB"/>
        </w:rPr>
      </w:pPr>
      <w:r w:rsidRPr="002177D4">
        <w:rPr>
          <w:sz w:val="24"/>
          <w:szCs w:val="24"/>
          <w:lang w:val="en-GB"/>
        </w:rPr>
        <w:t>Pink, opaque</w:t>
      </w:r>
      <w:bookmarkStart w:id="4" w:name="_Hlk96439045"/>
      <w:r w:rsidRPr="002177D4">
        <w:rPr>
          <w:sz w:val="24"/>
          <w:szCs w:val="24"/>
          <w:lang w:val="en-GB"/>
        </w:rPr>
        <w:t xml:space="preserve"> </w:t>
      </w:r>
      <w:bookmarkEnd w:id="4"/>
      <w:r w:rsidRPr="002177D4">
        <w:rPr>
          <w:sz w:val="24"/>
          <w:szCs w:val="24"/>
          <w:lang w:val="en-GB"/>
        </w:rPr>
        <w:t>hard capsules, approximately 16 mm of length, with black imprint ‘30’ on body and ‘LI’ on cap, filled with white to off white powder.</w:t>
      </w:r>
    </w:p>
    <w:p w14:paraId="3555B3BF" w14:textId="77777777" w:rsidR="002746A7" w:rsidRPr="002177D4" w:rsidRDefault="002746A7" w:rsidP="006D0C86">
      <w:pPr>
        <w:ind w:left="851"/>
        <w:rPr>
          <w:sz w:val="24"/>
          <w:szCs w:val="24"/>
          <w:lang w:val="en-GB"/>
        </w:rPr>
      </w:pPr>
    </w:p>
    <w:p w14:paraId="33DD7E47" w14:textId="77777777" w:rsidR="002746A7" w:rsidRPr="002177D4" w:rsidRDefault="002746A7" w:rsidP="006D0C86">
      <w:pPr>
        <w:ind w:left="851"/>
        <w:rPr>
          <w:sz w:val="24"/>
          <w:szCs w:val="24"/>
          <w:lang w:val="en-GB"/>
        </w:rPr>
      </w:pPr>
      <w:r w:rsidRPr="002177D4">
        <w:rPr>
          <w:sz w:val="24"/>
          <w:szCs w:val="24"/>
          <w:lang w:val="en-GB"/>
        </w:rPr>
        <w:t>50 mg:</w:t>
      </w:r>
    </w:p>
    <w:p w14:paraId="5342461B" w14:textId="77777777" w:rsidR="002746A7" w:rsidRPr="002177D4" w:rsidRDefault="002746A7" w:rsidP="006D0C86">
      <w:pPr>
        <w:ind w:left="851"/>
        <w:rPr>
          <w:sz w:val="24"/>
          <w:szCs w:val="24"/>
          <w:lang w:val="en-GB"/>
        </w:rPr>
      </w:pPr>
      <w:r w:rsidRPr="002177D4">
        <w:rPr>
          <w:sz w:val="24"/>
          <w:szCs w:val="24"/>
          <w:lang w:val="en-GB"/>
        </w:rPr>
        <w:t>Light blue, opaque hard capsules, approximately 16 mm of length, with black imprint ‘50’ on body and ‘LI’ on cap, filled with white to off white powder.</w:t>
      </w:r>
    </w:p>
    <w:p w14:paraId="30884B42" w14:textId="77777777" w:rsidR="002746A7" w:rsidRPr="002177D4" w:rsidRDefault="002746A7" w:rsidP="006D0C86">
      <w:pPr>
        <w:ind w:left="851"/>
        <w:rPr>
          <w:sz w:val="24"/>
          <w:szCs w:val="24"/>
          <w:lang w:val="en-GB"/>
        </w:rPr>
      </w:pPr>
    </w:p>
    <w:p w14:paraId="77BBE775" w14:textId="77777777" w:rsidR="002746A7" w:rsidRPr="002177D4" w:rsidRDefault="002746A7" w:rsidP="006D0C86">
      <w:pPr>
        <w:ind w:left="851"/>
        <w:rPr>
          <w:sz w:val="24"/>
          <w:szCs w:val="24"/>
          <w:lang w:val="en-GB"/>
        </w:rPr>
      </w:pPr>
      <w:r w:rsidRPr="002177D4">
        <w:rPr>
          <w:sz w:val="24"/>
          <w:szCs w:val="24"/>
          <w:lang w:val="en-GB"/>
        </w:rPr>
        <w:t>70 mg:</w:t>
      </w:r>
    </w:p>
    <w:p w14:paraId="7EAB7474" w14:textId="77777777" w:rsidR="002746A7" w:rsidRPr="002177D4" w:rsidRDefault="002746A7" w:rsidP="006D0C86">
      <w:pPr>
        <w:ind w:left="851"/>
        <w:rPr>
          <w:sz w:val="24"/>
          <w:szCs w:val="24"/>
          <w:lang w:val="en-GB"/>
        </w:rPr>
      </w:pPr>
      <w:r w:rsidRPr="002177D4">
        <w:rPr>
          <w:sz w:val="24"/>
          <w:szCs w:val="24"/>
          <w:lang w:val="en-GB"/>
        </w:rPr>
        <w:t>Brown, opaque hard capsules, approximately 16 mm of length, with black imprint ‘70’ on body and ‘LI’ on cap, filled with white to off white powder.</w:t>
      </w:r>
    </w:p>
    <w:p w14:paraId="5E0925C8" w14:textId="77777777" w:rsidR="007C5D2A" w:rsidRPr="002177D4" w:rsidRDefault="007C5D2A" w:rsidP="004A3BF4">
      <w:pPr>
        <w:tabs>
          <w:tab w:val="left" w:pos="851"/>
        </w:tabs>
        <w:ind w:left="851"/>
        <w:rPr>
          <w:sz w:val="24"/>
          <w:szCs w:val="24"/>
          <w:lang w:val="en-GB"/>
        </w:rPr>
      </w:pPr>
    </w:p>
    <w:p w14:paraId="1FFB5E79" w14:textId="77777777" w:rsidR="007C5D2A" w:rsidRPr="002177D4" w:rsidRDefault="007C5D2A" w:rsidP="004A3BF4">
      <w:pPr>
        <w:tabs>
          <w:tab w:val="left" w:pos="851"/>
        </w:tabs>
        <w:ind w:left="851"/>
        <w:rPr>
          <w:sz w:val="24"/>
          <w:szCs w:val="24"/>
          <w:lang w:val="en-GB"/>
        </w:rPr>
      </w:pPr>
    </w:p>
    <w:p w14:paraId="09640241" w14:textId="77777777" w:rsidR="007C5D2A" w:rsidRPr="002177D4" w:rsidRDefault="007C5D2A" w:rsidP="007C5D2A">
      <w:pPr>
        <w:ind w:left="851" w:hanging="851"/>
        <w:rPr>
          <w:b/>
          <w:sz w:val="24"/>
          <w:szCs w:val="24"/>
          <w:lang w:val="en-GB"/>
        </w:rPr>
      </w:pPr>
      <w:r w:rsidRPr="002177D4">
        <w:rPr>
          <w:b/>
          <w:sz w:val="24"/>
          <w:szCs w:val="24"/>
          <w:lang w:val="en-GB"/>
        </w:rPr>
        <w:t>4.</w:t>
      </w:r>
      <w:r w:rsidRPr="002177D4">
        <w:rPr>
          <w:b/>
          <w:sz w:val="24"/>
          <w:szCs w:val="24"/>
          <w:lang w:val="en-GB"/>
        </w:rPr>
        <w:tab/>
        <w:t>CLINICAL PARTICULARS</w:t>
      </w:r>
    </w:p>
    <w:p w14:paraId="5CB7373A" w14:textId="77777777" w:rsidR="007C5D2A" w:rsidRPr="002177D4" w:rsidRDefault="007C5D2A" w:rsidP="004A3BF4">
      <w:pPr>
        <w:tabs>
          <w:tab w:val="left" w:pos="851"/>
        </w:tabs>
        <w:ind w:left="851"/>
        <w:rPr>
          <w:sz w:val="24"/>
          <w:szCs w:val="24"/>
          <w:lang w:val="en-GB"/>
        </w:rPr>
      </w:pPr>
    </w:p>
    <w:p w14:paraId="7BCE8E13" w14:textId="77777777" w:rsidR="007C5D2A" w:rsidRPr="002177D4" w:rsidRDefault="007C5D2A" w:rsidP="007C5D2A">
      <w:pPr>
        <w:ind w:left="851" w:hanging="851"/>
        <w:rPr>
          <w:b/>
          <w:sz w:val="24"/>
          <w:szCs w:val="24"/>
          <w:u w:val="single"/>
          <w:lang w:val="en-GB"/>
        </w:rPr>
      </w:pPr>
      <w:r w:rsidRPr="002177D4">
        <w:rPr>
          <w:b/>
          <w:sz w:val="24"/>
          <w:szCs w:val="24"/>
          <w:lang w:val="en-GB"/>
        </w:rPr>
        <w:t>4.1</w:t>
      </w:r>
      <w:r w:rsidRPr="002177D4">
        <w:rPr>
          <w:b/>
          <w:sz w:val="24"/>
          <w:szCs w:val="24"/>
          <w:lang w:val="en-GB"/>
        </w:rPr>
        <w:tab/>
        <w:t>Therapeutic indications</w:t>
      </w:r>
    </w:p>
    <w:p w14:paraId="1CD127A5" w14:textId="5F09D3DD"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is indicated as part of a comprehensive treatment programme for attention deficit/hyperactivity disorder (ADHD) in adults.</w:t>
      </w:r>
    </w:p>
    <w:p w14:paraId="1EEA9B91" w14:textId="77777777" w:rsidR="002746A7" w:rsidRPr="002177D4" w:rsidRDefault="002746A7" w:rsidP="006D0C86">
      <w:pPr>
        <w:ind w:left="851"/>
        <w:rPr>
          <w:sz w:val="24"/>
          <w:szCs w:val="24"/>
          <w:lang w:val="en-GB"/>
        </w:rPr>
      </w:pPr>
    </w:p>
    <w:p w14:paraId="295ECD1D" w14:textId="1F032765"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is not indicated in all adult patients and the decision to use the medicinal product must take into consideration the profile of the patient, including a thorough assessment of the severity and chronicity of the patient’s symptoms, the potential for abuse, misuse or diversion and clinical response to any previous pharmacotherapies for the treatment of ADHD.</w:t>
      </w:r>
    </w:p>
    <w:p w14:paraId="34EF974B" w14:textId="77777777" w:rsidR="002746A7" w:rsidRPr="002177D4" w:rsidRDefault="002746A7" w:rsidP="006D0C86">
      <w:pPr>
        <w:ind w:left="851"/>
        <w:rPr>
          <w:sz w:val="24"/>
          <w:szCs w:val="24"/>
          <w:lang w:val="en-GB"/>
        </w:rPr>
      </w:pPr>
    </w:p>
    <w:p w14:paraId="668BF634" w14:textId="77777777" w:rsidR="002746A7" w:rsidRPr="002177D4" w:rsidRDefault="002746A7" w:rsidP="006D0C86">
      <w:pPr>
        <w:ind w:left="851"/>
        <w:rPr>
          <w:sz w:val="24"/>
          <w:szCs w:val="24"/>
          <w:lang w:val="en-GB"/>
        </w:rPr>
      </w:pPr>
      <w:r w:rsidRPr="002177D4">
        <w:rPr>
          <w:sz w:val="24"/>
          <w:szCs w:val="24"/>
          <w:lang w:val="en-GB"/>
        </w:rPr>
        <w:t>Treatment must be under the supervision of a specialist in behavioural disorders. Diagnosis should be based on a complete history and evaluation of the patient according to current DSM criteria or ICD guidelines. Diagnosis cannot be made solely on the presence of one or more symptom. In adults, the presence of symptoms of ADHD that were pre-existing in childhood is required and should be confirmed retrospectively (according to the patient’s medical record or, if not available, through appropriate and structured instruments or interviews). Based on clinical judgment, patients should have ADHD of at least moderate severity as indicated by at least moderate functional impairment in two or more settings (for example, social, academic, and/or occupational functioning), affecting several aspects of an individual's life.</w:t>
      </w:r>
    </w:p>
    <w:p w14:paraId="2271208E" w14:textId="77777777" w:rsidR="002746A7" w:rsidRPr="002177D4" w:rsidRDefault="002746A7" w:rsidP="006D0C86">
      <w:pPr>
        <w:ind w:left="851"/>
        <w:rPr>
          <w:sz w:val="24"/>
          <w:szCs w:val="24"/>
          <w:lang w:val="en-GB"/>
        </w:rPr>
      </w:pPr>
    </w:p>
    <w:p w14:paraId="68FA9E22" w14:textId="77777777" w:rsidR="002746A7" w:rsidRPr="002177D4" w:rsidRDefault="002746A7" w:rsidP="006D0C86">
      <w:pPr>
        <w:ind w:left="851"/>
        <w:rPr>
          <w:sz w:val="24"/>
          <w:szCs w:val="24"/>
          <w:lang w:val="en-GB"/>
        </w:rPr>
      </w:pPr>
      <w:r w:rsidRPr="002177D4">
        <w:rPr>
          <w:sz w:val="24"/>
          <w:szCs w:val="24"/>
          <w:lang w:val="en-GB"/>
        </w:rPr>
        <w:t xml:space="preserve">The specific aetiology of this syndrome is unknown, and there is no single diagnostic test. Adequate diagnosis requires the use of medical and specialised psychological, educational, and social resources. </w:t>
      </w:r>
    </w:p>
    <w:p w14:paraId="7191612E" w14:textId="77777777" w:rsidR="002746A7" w:rsidRPr="002177D4" w:rsidRDefault="002746A7" w:rsidP="006D0C86">
      <w:pPr>
        <w:ind w:left="851"/>
        <w:rPr>
          <w:sz w:val="24"/>
          <w:szCs w:val="24"/>
          <w:lang w:val="en-GB"/>
        </w:rPr>
      </w:pPr>
    </w:p>
    <w:p w14:paraId="714A11F3" w14:textId="77777777" w:rsidR="002746A7" w:rsidRPr="002177D4" w:rsidRDefault="002746A7" w:rsidP="006D0C86">
      <w:pPr>
        <w:ind w:left="851"/>
        <w:rPr>
          <w:sz w:val="24"/>
          <w:szCs w:val="24"/>
          <w:lang w:val="en-GB"/>
        </w:rPr>
      </w:pPr>
      <w:r w:rsidRPr="002177D4">
        <w:rPr>
          <w:sz w:val="24"/>
          <w:szCs w:val="24"/>
          <w:lang w:val="en-GB"/>
        </w:rPr>
        <w:t>A comprehensive treatment programme typically includes psychological, educational, behavioural, occupational and social measures as well as pharmacotherapy and is aimed at stabilising the adult patient with a behavioural syndrome characterised by symptoms which may include chronic history of short attention span, distractibility, impulsivity and hyperactivity.</w:t>
      </w:r>
    </w:p>
    <w:p w14:paraId="6DAACBF8" w14:textId="77777777" w:rsidR="007C5D2A" w:rsidRPr="002177D4" w:rsidRDefault="007C5D2A" w:rsidP="00A85D26">
      <w:pPr>
        <w:tabs>
          <w:tab w:val="left" w:pos="851"/>
        </w:tabs>
        <w:ind w:left="851"/>
        <w:rPr>
          <w:sz w:val="24"/>
          <w:szCs w:val="24"/>
          <w:lang w:val="en-GB"/>
        </w:rPr>
      </w:pPr>
    </w:p>
    <w:p w14:paraId="4C5FE71F" w14:textId="77777777" w:rsidR="007C5D2A" w:rsidRPr="002177D4" w:rsidRDefault="009925C9" w:rsidP="007C5D2A">
      <w:pPr>
        <w:tabs>
          <w:tab w:val="left" w:pos="851"/>
        </w:tabs>
        <w:ind w:left="851" w:hanging="851"/>
        <w:rPr>
          <w:sz w:val="24"/>
          <w:szCs w:val="24"/>
          <w:lang w:val="en-GB"/>
        </w:rPr>
      </w:pPr>
      <w:r w:rsidRPr="002177D4">
        <w:rPr>
          <w:b/>
          <w:sz w:val="24"/>
          <w:szCs w:val="24"/>
          <w:lang w:val="en-GB"/>
        </w:rPr>
        <w:t>4.2</w:t>
      </w:r>
      <w:r w:rsidR="007C5D2A" w:rsidRPr="002177D4">
        <w:rPr>
          <w:b/>
          <w:sz w:val="24"/>
          <w:szCs w:val="24"/>
          <w:lang w:val="en-GB"/>
        </w:rPr>
        <w:tab/>
        <w:t>Posology and method of administration</w:t>
      </w:r>
    </w:p>
    <w:p w14:paraId="310C0121" w14:textId="77777777" w:rsidR="002746A7" w:rsidRPr="002177D4" w:rsidRDefault="002746A7" w:rsidP="006D0C86">
      <w:pPr>
        <w:ind w:left="851"/>
        <w:rPr>
          <w:sz w:val="24"/>
          <w:szCs w:val="24"/>
          <w:lang w:val="en-GB"/>
        </w:rPr>
      </w:pPr>
      <w:r w:rsidRPr="002177D4">
        <w:rPr>
          <w:sz w:val="24"/>
          <w:szCs w:val="24"/>
          <w:lang w:val="en-GB"/>
        </w:rPr>
        <w:t>Treatment must be initiated under the supervision of an appropriate specialist in behavioural disorders.</w:t>
      </w:r>
    </w:p>
    <w:p w14:paraId="349429F4" w14:textId="77777777" w:rsidR="002746A7" w:rsidRPr="002177D4" w:rsidRDefault="002746A7" w:rsidP="006D0C86">
      <w:pPr>
        <w:ind w:left="851"/>
        <w:rPr>
          <w:sz w:val="24"/>
          <w:szCs w:val="24"/>
          <w:lang w:val="en-GB"/>
        </w:rPr>
      </w:pPr>
    </w:p>
    <w:p w14:paraId="331A3CC0" w14:textId="77777777" w:rsidR="002746A7" w:rsidRPr="002177D4" w:rsidRDefault="002746A7" w:rsidP="006D0C86">
      <w:pPr>
        <w:ind w:left="851"/>
        <w:rPr>
          <w:sz w:val="24"/>
          <w:szCs w:val="24"/>
          <w:u w:val="single"/>
          <w:lang w:val="en-GB"/>
        </w:rPr>
      </w:pPr>
      <w:r w:rsidRPr="002177D4">
        <w:rPr>
          <w:sz w:val="24"/>
          <w:szCs w:val="24"/>
          <w:u w:val="single"/>
          <w:lang w:val="en-GB"/>
        </w:rPr>
        <w:t>Pre-treatment evaluation</w:t>
      </w:r>
    </w:p>
    <w:p w14:paraId="109953B1" w14:textId="77777777" w:rsidR="002746A7" w:rsidRPr="002177D4" w:rsidRDefault="002746A7" w:rsidP="006D0C86">
      <w:pPr>
        <w:ind w:left="851"/>
        <w:rPr>
          <w:sz w:val="24"/>
          <w:szCs w:val="24"/>
          <w:u w:val="single"/>
          <w:lang w:val="en-GB"/>
        </w:rPr>
      </w:pPr>
    </w:p>
    <w:p w14:paraId="652C5AC8" w14:textId="77777777" w:rsidR="002746A7" w:rsidRPr="002177D4" w:rsidRDefault="002746A7" w:rsidP="006D0C86">
      <w:pPr>
        <w:ind w:left="851"/>
        <w:rPr>
          <w:sz w:val="24"/>
          <w:szCs w:val="24"/>
          <w:lang w:val="en-GB"/>
        </w:rPr>
      </w:pPr>
      <w:r w:rsidRPr="002177D4">
        <w:rPr>
          <w:sz w:val="24"/>
          <w:szCs w:val="24"/>
          <w:lang w:val="en-GB"/>
        </w:rPr>
        <w:t xml:space="preserve">Prior to prescribing, it is necessary to conduct a baseline evaluation of a patient’s cardiovascular status including blood pressure and heart rate. A comprehensive history should document concomitant medications, past and present co-morbid medical and psychiatric disorders or symptoms, family history of sudden cardiac/unexplained death, and accurate recording of pre-treatment weight (see section 4.4). </w:t>
      </w:r>
    </w:p>
    <w:p w14:paraId="71A38E4F" w14:textId="77777777" w:rsidR="002746A7" w:rsidRPr="002177D4" w:rsidRDefault="002746A7" w:rsidP="006D0C86">
      <w:pPr>
        <w:ind w:left="851"/>
        <w:rPr>
          <w:sz w:val="24"/>
          <w:szCs w:val="24"/>
          <w:lang w:val="en-GB"/>
        </w:rPr>
      </w:pPr>
    </w:p>
    <w:p w14:paraId="2A975CDE" w14:textId="27445C4F" w:rsidR="002746A7" w:rsidRPr="002177D4" w:rsidRDefault="002746A7" w:rsidP="006D0C86">
      <w:pPr>
        <w:ind w:left="851"/>
        <w:rPr>
          <w:sz w:val="24"/>
          <w:szCs w:val="24"/>
          <w:lang w:val="en-GB"/>
        </w:rPr>
      </w:pPr>
      <w:r w:rsidRPr="002177D4">
        <w:rPr>
          <w:sz w:val="24"/>
          <w:szCs w:val="24"/>
          <w:lang w:val="en-GB"/>
        </w:rPr>
        <w:t xml:space="preserve">Consistent with other stimulants, the potential for abuse, misuse or diversion of </w:t>
      </w:r>
      <w:proofErr w:type="spellStart"/>
      <w:r w:rsidR="004C14A1">
        <w:rPr>
          <w:sz w:val="24"/>
          <w:szCs w:val="24"/>
          <w:lang w:val="en-GB"/>
        </w:rPr>
        <w:t>Lissidexanz</w:t>
      </w:r>
      <w:proofErr w:type="spellEnd"/>
      <w:r w:rsidRPr="002177D4">
        <w:rPr>
          <w:sz w:val="24"/>
          <w:szCs w:val="24"/>
          <w:lang w:val="en-GB"/>
        </w:rPr>
        <w:t xml:space="preserve"> should be considered prior to prescribing (see section 4.4).</w:t>
      </w:r>
    </w:p>
    <w:p w14:paraId="0BD28758" w14:textId="570B1CE4" w:rsidR="004C14A1" w:rsidRDefault="004C14A1">
      <w:pPr>
        <w:rPr>
          <w:sz w:val="24"/>
          <w:szCs w:val="24"/>
          <w:lang w:val="en-GB"/>
        </w:rPr>
      </w:pPr>
      <w:r>
        <w:rPr>
          <w:sz w:val="24"/>
          <w:szCs w:val="24"/>
          <w:lang w:val="en-GB"/>
        </w:rPr>
        <w:br w:type="page"/>
      </w:r>
    </w:p>
    <w:p w14:paraId="60603071" w14:textId="77777777" w:rsidR="002746A7" w:rsidRPr="002177D4" w:rsidRDefault="002746A7" w:rsidP="006D0C86">
      <w:pPr>
        <w:ind w:left="851"/>
        <w:rPr>
          <w:sz w:val="24"/>
          <w:szCs w:val="24"/>
          <w:lang w:val="en-GB"/>
        </w:rPr>
      </w:pPr>
    </w:p>
    <w:p w14:paraId="269EF484" w14:textId="77777777" w:rsidR="002746A7" w:rsidRPr="002177D4" w:rsidRDefault="002746A7" w:rsidP="006D0C86">
      <w:pPr>
        <w:ind w:left="851"/>
        <w:rPr>
          <w:sz w:val="24"/>
          <w:szCs w:val="24"/>
          <w:u w:val="single"/>
          <w:lang w:val="en-GB"/>
        </w:rPr>
      </w:pPr>
      <w:r w:rsidRPr="002177D4">
        <w:rPr>
          <w:sz w:val="24"/>
          <w:szCs w:val="24"/>
          <w:u w:val="single"/>
          <w:lang w:val="en-GB"/>
        </w:rPr>
        <w:t>Ongoing monitoring</w:t>
      </w:r>
    </w:p>
    <w:p w14:paraId="3B17329C" w14:textId="77777777" w:rsidR="002746A7" w:rsidRPr="002177D4" w:rsidRDefault="002746A7" w:rsidP="006D0C86">
      <w:pPr>
        <w:ind w:left="851"/>
        <w:rPr>
          <w:sz w:val="24"/>
          <w:szCs w:val="24"/>
          <w:u w:val="single"/>
          <w:lang w:val="en-GB"/>
        </w:rPr>
      </w:pPr>
    </w:p>
    <w:p w14:paraId="03FD6F88" w14:textId="77777777" w:rsidR="002746A7" w:rsidRPr="002177D4" w:rsidRDefault="002746A7" w:rsidP="006D0C86">
      <w:pPr>
        <w:ind w:left="851"/>
        <w:rPr>
          <w:sz w:val="24"/>
          <w:szCs w:val="24"/>
          <w:lang w:val="en-GB"/>
        </w:rPr>
      </w:pPr>
      <w:r w:rsidRPr="002177D4">
        <w:rPr>
          <w:sz w:val="24"/>
          <w:szCs w:val="24"/>
          <w:lang w:val="en-GB"/>
        </w:rPr>
        <w:t>Psychiatric, and cardiovascular status should be continually monitored (see also section 4.4).</w:t>
      </w:r>
    </w:p>
    <w:p w14:paraId="2CAC5441" w14:textId="77777777" w:rsidR="002746A7" w:rsidRPr="002177D4" w:rsidRDefault="002746A7" w:rsidP="006D0C86">
      <w:pPr>
        <w:ind w:left="851"/>
        <w:rPr>
          <w:sz w:val="24"/>
          <w:szCs w:val="24"/>
          <w:lang w:val="en-GB"/>
        </w:rPr>
      </w:pPr>
    </w:p>
    <w:p w14:paraId="6A28FCA8" w14:textId="77777777" w:rsidR="002746A7" w:rsidRPr="00C6604D" w:rsidRDefault="002746A7" w:rsidP="00C6604D">
      <w:pPr>
        <w:pStyle w:val="Listeafsnit"/>
        <w:numPr>
          <w:ilvl w:val="0"/>
          <w:numId w:val="7"/>
        </w:numPr>
        <w:ind w:left="1276" w:hanging="425"/>
        <w:rPr>
          <w:lang w:val="en-GB"/>
        </w:rPr>
      </w:pPr>
      <w:r w:rsidRPr="00C6604D">
        <w:rPr>
          <w:lang w:val="en-GB"/>
        </w:rPr>
        <w:t>Blood pressure and pulse should be recorded at each adjustment of dose and at least every six months.</w:t>
      </w:r>
    </w:p>
    <w:p w14:paraId="417197F7" w14:textId="77777777" w:rsidR="002746A7" w:rsidRPr="00C6604D" w:rsidRDefault="002746A7" w:rsidP="00C6604D">
      <w:pPr>
        <w:pStyle w:val="Listeafsnit"/>
        <w:numPr>
          <w:ilvl w:val="0"/>
          <w:numId w:val="7"/>
        </w:numPr>
        <w:ind w:left="1276" w:hanging="425"/>
        <w:rPr>
          <w:lang w:val="en-GB"/>
        </w:rPr>
      </w:pPr>
      <w:r w:rsidRPr="00C6604D">
        <w:rPr>
          <w:lang w:val="en-GB"/>
        </w:rPr>
        <w:t>Development of de novo or worsening of pre-existing psychiatric disorders should be monitored at every adjustment of dose and then at least every six months and at every visit.</w:t>
      </w:r>
    </w:p>
    <w:p w14:paraId="3DDFBDE4" w14:textId="77777777" w:rsidR="002746A7" w:rsidRPr="002177D4" w:rsidRDefault="002746A7" w:rsidP="006D0C86">
      <w:pPr>
        <w:ind w:left="851"/>
        <w:rPr>
          <w:sz w:val="24"/>
          <w:szCs w:val="24"/>
          <w:lang w:val="en-GB"/>
        </w:rPr>
      </w:pPr>
    </w:p>
    <w:p w14:paraId="4B84A187" w14:textId="0CFA1582" w:rsidR="002746A7" w:rsidRPr="002177D4" w:rsidRDefault="002746A7" w:rsidP="006D0C86">
      <w:pPr>
        <w:ind w:left="851"/>
        <w:rPr>
          <w:sz w:val="24"/>
          <w:szCs w:val="24"/>
          <w:lang w:val="en-GB"/>
        </w:rPr>
      </w:pPr>
      <w:r w:rsidRPr="002177D4">
        <w:rPr>
          <w:sz w:val="24"/>
          <w:szCs w:val="24"/>
          <w:lang w:val="en-GB"/>
        </w:rPr>
        <w:t xml:space="preserve">Patients should be monitored for the risk of diversion, misuse, and abuse of </w:t>
      </w:r>
      <w:proofErr w:type="spellStart"/>
      <w:r w:rsidR="004C14A1">
        <w:rPr>
          <w:sz w:val="24"/>
          <w:szCs w:val="24"/>
          <w:lang w:val="en-GB"/>
        </w:rPr>
        <w:t>Lissidexanz</w:t>
      </w:r>
      <w:proofErr w:type="spellEnd"/>
      <w:r w:rsidRPr="002177D4">
        <w:rPr>
          <w:sz w:val="24"/>
          <w:szCs w:val="24"/>
          <w:lang w:val="en-GB"/>
        </w:rPr>
        <w:t>.</w:t>
      </w:r>
    </w:p>
    <w:p w14:paraId="3A359FBF" w14:textId="77777777" w:rsidR="002746A7" w:rsidRPr="002177D4" w:rsidRDefault="002746A7" w:rsidP="006D0C86">
      <w:pPr>
        <w:ind w:left="851"/>
        <w:rPr>
          <w:sz w:val="24"/>
          <w:szCs w:val="24"/>
          <w:lang w:val="en-GB"/>
        </w:rPr>
      </w:pPr>
    </w:p>
    <w:p w14:paraId="363E24D9" w14:textId="77777777" w:rsidR="002746A7" w:rsidRPr="002177D4" w:rsidRDefault="002746A7" w:rsidP="006D0C86">
      <w:pPr>
        <w:ind w:left="851"/>
        <w:rPr>
          <w:sz w:val="24"/>
          <w:szCs w:val="24"/>
          <w:u w:val="single"/>
          <w:lang w:val="en-GB"/>
        </w:rPr>
      </w:pPr>
      <w:r w:rsidRPr="002177D4">
        <w:rPr>
          <w:sz w:val="24"/>
          <w:szCs w:val="24"/>
          <w:u w:val="single"/>
          <w:lang w:val="en-GB"/>
        </w:rPr>
        <w:t>Posology</w:t>
      </w:r>
    </w:p>
    <w:p w14:paraId="09187718" w14:textId="77777777" w:rsidR="002746A7" w:rsidRPr="002177D4" w:rsidRDefault="002746A7" w:rsidP="006D0C86">
      <w:pPr>
        <w:ind w:left="851"/>
        <w:rPr>
          <w:sz w:val="24"/>
          <w:szCs w:val="24"/>
          <w:u w:val="single"/>
          <w:lang w:val="en-GB"/>
        </w:rPr>
      </w:pPr>
    </w:p>
    <w:p w14:paraId="0A9D9A88" w14:textId="39CA1B17" w:rsidR="002746A7" w:rsidRPr="002177D4" w:rsidRDefault="002746A7" w:rsidP="006D0C86">
      <w:pPr>
        <w:ind w:left="851"/>
        <w:rPr>
          <w:sz w:val="24"/>
          <w:szCs w:val="24"/>
          <w:lang w:val="en-GB"/>
        </w:rPr>
      </w:pPr>
      <w:r w:rsidRPr="002177D4">
        <w:rPr>
          <w:sz w:val="24"/>
          <w:szCs w:val="24"/>
          <w:lang w:val="en-GB"/>
        </w:rPr>
        <w:t xml:space="preserve">Dosage should be individualised according to the therapeutic needs and response of the patient. Careful dose titration is necessary at the start of treatment with </w:t>
      </w:r>
      <w:proofErr w:type="spellStart"/>
      <w:r w:rsidR="004C14A1">
        <w:rPr>
          <w:sz w:val="24"/>
          <w:szCs w:val="24"/>
          <w:lang w:val="en-GB"/>
        </w:rPr>
        <w:t>Lissidexanz</w:t>
      </w:r>
      <w:proofErr w:type="spellEnd"/>
      <w:r w:rsidRPr="002177D4">
        <w:rPr>
          <w:sz w:val="24"/>
          <w:szCs w:val="24"/>
          <w:lang w:val="en-GB"/>
        </w:rPr>
        <w:t>.</w:t>
      </w:r>
    </w:p>
    <w:p w14:paraId="5B3DF978" w14:textId="77777777" w:rsidR="002746A7" w:rsidRPr="002177D4" w:rsidRDefault="002746A7" w:rsidP="006D0C86">
      <w:pPr>
        <w:ind w:left="851"/>
        <w:rPr>
          <w:sz w:val="24"/>
          <w:szCs w:val="24"/>
          <w:lang w:val="en-GB"/>
        </w:rPr>
      </w:pPr>
    </w:p>
    <w:p w14:paraId="739854EB" w14:textId="1322FEA7" w:rsidR="002746A7" w:rsidRPr="002177D4" w:rsidRDefault="002746A7" w:rsidP="006D0C86">
      <w:pPr>
        <w:ind w:left="851"/>
        <w:rPr>
          <w:sz w:val="24"/>
          <w:szCs w:val="24"/>
          <w:lang w:val="en-GB"/>
        </w:rPr>
      </w:pPr>
      <w:r w:rsidRPr="002177D4">
        <w:rPr>
          <w:sz w:val="24"/>
          <w:szCs w:val="24"/>
          <w:lang w:val="en-GB"/>
        </w:rPr>
        <w:t xml:space="preserve">The starting dose is 30 mg taken once daily in the morning. When in judgement of the clinician a lower dose is appropriate, patients may begin treatment with 20 mg once daily in the morning. The dose may be increased by 10 or 20 mg increments, at approximately weekly intervals. </w:t>
      </w:r>
      <w:proofErr w:type="spellStart"/>
      <w:r w:rsidR="004C14A1">
        <w:rPr>
          <w:sz w:val="24"/>
          <w:szCs w:val="24"/>
          <w:lang w:val="en-GB"/>
        </w:rPr>
        <w:t>Lissidexanz</w:t>
      </w:r>
      <w:proofErr w:type="spellEnd"/>
      <w:r w:rsidRPr="002177D4">
        <w:rPr>
          <w:sz w:val="24"/>
          <w:szCs w:val="24"/>
          <w:lang w:val="en-GB"/>
        </w:rPr>
        <w:t xml:space="preserve"> should be administered orally at the lowest effective dose. </w:t>
      </w:r>
    </w:p>
    <w:p w14:paraId="35FEC3E4" w14:textId="77777777" w:rsidR="002746A7" w:rsidRPr="002177D4" w:rsidRDefault="002746A7" w:rsidP="006D0C86">
      <w:pPr>
        <w:ind w:left="851"/>
        <w:rPr>
          <w:sz w:val="24"/>
          <w:szCs w:val="24"/>
          <w:lang w:val="en-GB"/>
        </w:rPr>
      </w:pPr>
    </w:p>
    <w:p w14:paraId="09ADD9DF" w14:textId="77777777" w:rsidR="002746A7" w:rsidRPr="002177D4" w:rsidRDefault="002746A7" w:rsidP="006D0C86">
      <w:pPr>
        <w:ind w:left="851"/>
        <w:rPr>
          <w:sz w:val="24"/>
          <w:szCs w:val="24"/>
          <w:lang w:val="en-GB"/>
        </w:rPr>
      </w:pPr>
      <w:r w:rsidRPr="002177D4">
        <w:rPr>
          <w:sz w:val="24"/>
          <w:szCs w:val="24"/>
          <w:lang w:val="en-GB"/>
        </w:rPr>
        <w:t>The maximum recommended dose is 70 mg/day; higher doses have not been studied.</w:t>
      </w:r>
    </w:p>
    <w:p w14:paraId="6D8C03E5" w14:textId="77777777" w:rsidR="002746A7" w:rsidRPr="002177D4" w:rsidRDefault="002746A7" w:rsidP="006D0C86">
      <w:pPr>
        <w:ind w:left="851"/>
        <w:rPr>
          <w:sz w:val="24"/>
          <w:szCs w:val="24"/>
          <w:lang w:val="en-GB"/>
        </w:rPr>
      </w:pPr>
    </w:p>
    <w:p w14:paraId="2F7E57C3" w14:textId="77777777" w:rsidR="002746A7" w:rsidRPr="002177D4" w:rsidRDefault="002746A7" w:rsidP="006D0C86">
      <w:pPr>
        <w:ind w:left="851"/>
        <w:rPr>
          <w:sz w:val="24"/>
          <w:szCs w:val="24"/>
          <w:lang w:val="en-GB"/>
        </w:rPr>
      </w:pPr>
      <w:r w:rsidRPr="002177D4">
        <w:rPr>
          <w:sz w:val="24"/>
          <w:szCs w:val="24"/>
          <w:lang w:val="en-GB"/>
        </w:rPr>
        <w:t>In patients with severe renal insufficiency (GFR 15 to &lt;30 mL/min/1.73 m</w:t>
      </w:r>
      <w:r w:rsidRPr="002177D4">
        <w:rPr>
          <w:sz w:val="24"/>
          <w:szCs w:val="24"/>
          <w:vertAlign w:val="superscript"/>
          <w:lang w:val="en-GB"/>
        </w:rPr>
        <w:t>2</w:t>
      </w:r>
      <w:r w:rsidRPr="002177D4">
        <w:rPr>
          <w:sz w:val="24"/>
          <w:szCs w:val="24"/>
          <w:lang w:val="en-GB"/>
        </w:rPr>
        <w:t xml:space="preserve"> or </w:t>
      </w:r>
      <w:proofErr w:type="spellStart"/>
      <w:r w:rsidRPr="002177D4">
        <w:rPr>
          <w:sz w:val="24"/>
          <w:szCs w:val="24"/>
          <w:lang w:val="en-GB"/>
        </w:rPr>
        <w:t>CrCl</w:t>
      </w:r>
      <w:proofErr w:type="spellEnd"/>
      <w:r w:rsidRPr="002177D4">
        <w:rPr>
          <w:sz w:val="24"/>
          <w:szCs w:val="24"/>
          <w:lang w:val="en-GB"/>
        </w:rPr>
        <w:t xml:space="preserve"> &lt;30 mL/min) the maximum dose should not exceed 50 mg/day. Further dose reduction should be considered in patients undergoing dialysis (see section 5.2).</w:t>
      </w:r>
    </w:p>
    <w:p w14:paraId="1CF99927" w14:textId="77777777" w:rsidR="002746A7" w:rsidRPr="002177D4" w:rsidRDefault="002746A7" w:rsidP="006D0C86">
      <w:pPr>
        <w:ind w:left="851"/>
        <w:rPr>
          <w:sz w:val="24"/>
          <w:szCs w:val="24"/>
          <w:lang w:val="en-GB"/>
        </w:rPr>
      </w:pPr>
    </w:p>
    <w:p w14:paraId="2E752152" w14:textId="77777777" w:rsidR="002746A7" w:rsidRPr="002177D4" w:rsidRDefault="002746A7" w:rsidP="006D0C86">
      <w:pPr>
        <w:ind w:left="851"/>
        <w:rPr>
          <w:sz w:val="24"/>
          <w:szCs w:val="24"/>
          <w:lang w:val="en-GB"/>
        </w:rPr>
      </w:pPr>
      <w:r w:rsidRPr="002177D4">
        <w:rPr>
          <w:sz w:val="24"/>
          <w:szCs w:val="24"/>
          <w:lang w:val="en-GB"/>
        </w:rPr>
        <w:t>Treatment must be stopped if the symptoms do not improve after appropriate dose adjustment over a 1-month period. If paradoxical aggravation of symptoms or other intolerable adverse events occur, the dose should be reduced or discontinued.</w:t>
      </w:r>
    </w:p>
    <w:p w14:paraId="5E8C0A73" w14:textId="77777777" w:rsidR="002746A7" w:rsidRPr="002177D4" w:rsidRDefault="002746A7" w:rsidP="006D0C86">
      <w:pPr>
        <w:ind w:left="851"/>
        <w:rPr>
          <w:sz w:val="24"/>
          <w:szCs w:val="24"/>
          <w:lang w:val="en-GB"/>
        </w:rPr>
      </w:pPr>
    </w:p>
    <w:p w14:paraId="3D79B871" w14:textId="77777777" w:rsidR="002746A7" w:rsidRPr="002177D4" w:rsidRDefault="002746A7" w:rsidP="006D0C86">
      <w:pPr>
        <w:ind w:left="851"/>
        <w:rPr>
          <w:sz w:val="24"/>
          <w:szCs w:val="24"/>
          <w:u w:val="single"/>
          <w:lang w:val="en-GB"/>
        </w:rPr>
      </w:pPr>
      <w:r w:rsidRPr="002177D4">
        <w:rPr>
          <w:sz w:val="24"/>
          <w:szCs w:val="24"/>
          <w:u w:val="single"/>
          <w:lang w:val="en-GB"/>
        </w:rPr>
        <w:t>Elderly people</w:t>
      </w:r>
    </w:p>
    <w:p w14:paraId="01A598A7" w14:textId="77777777" w:rsidR="002746A7" w:rsidRPr="002177D4" w:rsidRDefault="002746A7" w:rsidP="006D0C86">
      <w:pPr>
        <w:ind w:left="851"/>
        <w:rPr>
          <w:sz w:val="24"/>
          <w:szCs w:val="24"/>
          <w:u w:val="single"/>
          <w:lang w:val="en-GB"/>
        </w:rPr>
      </w:pPr>
    </w:p>
    <w:p w14:paraId="48DDEABA" w14:textId="77777777" w:rsidR="002746A7" w:rsidRPr="002177D4" w:rsidRDefault="002746A7" w:rsidP="006D0C86">
      <w:pPr>
        <w:ind w:left="851"/>
        <w:rPr>
          <w:sz w:val="24"/>
          <w:szCs w:val="24"/>
          <w:lang w:val="en-GB"/>
        </w:rPr>
      </w:pPr>
      <w:proofErr w:type="spellStart"/>
      <w:r w:rsidRPr="002177D4">
        <w:rPr>
          <w:sz w:val="24"/>
          <w:szCs w:val="24"/>
          <w:lang w:val="en-GB"/>
        </w:rPr>
        <w:t>Dexamfetamine</w:t>
      </w:r>
      <w:proofErr w:type="spellEnd"/>
      <w:r w:rsidRPr="002177D4">
        <w:rPr>
          <w:sz w:val="24"/>
          <w:szCs w:val="24"/>
          <w:lang w:val="en-GB"/>
        </w:rPr>
        <w:t xml:space="preserve"> clearance is reduced in the elderly, therefore dose adjustment may be required (see section 5.2).</w:t>
      </w:r>
    </w:p>
    <w:p w14:paraId="0482B3EC" w14:textId="77777777" w:rsidR="002746A7" w:rsidRPr="002177D4" w:rsidRDefault="002746A7" w:rsidP="006D0C86">
      <w:pPr>
        <w:ind w:left="851"/>
        <w:rPr>
          <w:sz w:val="24"/>
          <w:szCs w:val="24"/>
          <w:lang w:val="en-GB"/>
        </w:rPr>
      </w:pPr>
    </w:p>
    <w:p w14:paraId="253D1537" w14:textId="77777777" w:rsidR="002746A7" w:rsidRPr="002177D4" w:rsidRDefault="002746A7" w:rsidP="006D0C86">
      <w:pPr>
        <w:ind w:left="851"/>
        <w:rPr>
          <w:sz w:val="24"/>
          <w:szCs w:val="24"/>
          <w:u w:val="single"/>
          <w:lang w:val="en-GB"/>
        </w:rPr>
      </w:pPr>
      <w:r w:rsidRPr="002177D4">
        <w:rPr>
          <w:sz w:val="24"/>
          <w:szCs w:val="24"/>
          <w:u w:val="single"/>
          <w:lang w:val="en-GB"/>
        </w:rPr>
        <w:t>Patients with renal impairment</w:t>
      </w:r>
    </w:p>
    <w:p w14:paraId="3363A677" w14:textId="77777777" w:rsidR="002746A7" w:rsidRPr="002177D4" w:rsidRDefault="002746A7" w:rsidP="006D0C86">
      <w:pPr>
        <w:ind w:left="851"/>
        <w:rPr>
          <w:sz w:val="24"/>
          <w:szCs w:val="24"/>
          <w:u w:val="single"/>
          <w:lang w:val="en-GB"/>
        </w:rPr>
      </w:pPr>
    </w:p>
    <w:p w14:paraId="10F5E1A6" w14:textId="7F9D427B" w:rsidR="002746A7" w:rsidRPr="002177D4" w:rsidRDefault="002746A7" w:rsidP="006D0C86">
      <w:pPr>
        <w:ind w:left="851"/>
        <w:rPr>
          <w:sz w:val="24"/>
          <w:szCs w:val="24"/>
          <w:lang w:val="en-GB"/>
        </w:rPr>
      </w:pPr>
      <w:r w:rsidRPr="002177D4">
        <w:rPr>
          <w:sz w:val="24"/>
          <w:szCs w:val="24"/>
          <w:lang w:val="en-GB"/>
        </w:rPr>
        <w:t>Due to reduced clearance in patients with severe renal insufficiency (GFR 15 to &lt; 30</w:t>
      </w:r>
      <w:r w:rsidR="00C6604D">
        <w:rPr>
          <w:sz w:val="24"/>
          <w:szCs w:val="24"/>
          <w:lang w:val="en-GB"/>
        </w:rPr>
        <w:t> </w:t>
      </w:r>
      <w:r w:rsidRPr="002177D4">
        <w:rPr>
          <w:sz w:val="24"/>
          <w:szCs w:val="24"/>
          <w:lang w:val="en-GB"/>
        </w:rPr>
        <w:t>mL/min/1.73 m</w:t>
      </w:r>
      <w:r w:rsidRPr="002177D4">
        <w:rPr>
          <w:sz w:val="24"/>
          <w:szCs w:val="24"/>
          <w:vertAlign w:val="superscript"/>
          <w:lang w:val="en-GB"/>
        </w:rPr>
        <w:t>2</w:t>
      </w:r>
      <w:r w:rsidRPr="002177D4">
        <w:rPr>
          <w:sz w:val="24"/>
          <w:szCs w:val="24"/>
          <w:lang w:val="en-GB"/>
        </w:rPr>
        <w:t xml:space="preserve"> or </w:t>
      </w:r>
      <w:proofErr w:type="spellStart"/>
      <w:r w:rsidRPr="002177D4">
        <w:rPr>
          <w:sz w:val="24"/>
          <w:szCs w:val="24"/>
          <w:lang w:val="en-GB"/>
        </w:rPr>
        <w:t>CrCl</w:t>
      </w:r>
      <w:proofErr w:type="spellEnd"/>
      <w:r w:rsidRPr="002177D4">
        <w:rPr>
          <w:sz w:val="24"/>
          <w:szCs w:val="24"/>
          <w:lang w:val="en-GB"/>
        </w:rPr>
        <w:t xml:space="preserve"> &lt; 30 mL/min) the maximum dose should not exceed 50 mg/day. Further dose reduction should be considered in patients undergoing dialysis. </w:t>
      </w:r>
      <w:proofErr w:type="spellStart"/>
      <w:r w:rsidRPr="002177D4">
        <w:rPr>
          <w:sz w:val="24"/>
          <w:szCs w:val="24"/>
          <w:lang w:val="en-GB"/>
        </w:rPr>
        <w:t>Lisdexamfetamine</w:t>
      </w:r>
      <w:proofErr w:type="spellEnd"/>
      <w:r w:rsidRPr="002177D4">
        <w:rPr>
          <w:sz w:val="24"/>
          <w:szCs w:val="24"/>
          <w:lang w:val="en-GB"/>
        </w:rPr>
        <w:t xml:space="preserve"> and </w:t>
      </w:r>
      <w:proofErr w:type="spellStart"/>
      <w:r w:rsidRPr="002177D4">
        <w:rPr>
          <w:sz w:val="24"/>
          <w:szCs w:val="24"/>
          <w:lang w:val="en-GB"/>
        </w:rPr>
        <w:t>dexamfetamine</w:t>
      </w:r>
      <w:proofErr w:type="spellEnd"/>
      <w:r w:rsidRPr="002177D4">
        <w:rPr>
          <w:sz w:val="24"/>
          <w:szCs w:val="24"/>
          <w:lang w:val="en-GB"/>
        </w:rPr>
        <w:t xml:space="preserve"> are not </w:t>
      </w:r>
      <w:proofErr w:type="spellStart"/>
      <w:r w:rsidRPr="002177D4">
        <w:rPr>
          <w:sz w:val="24"/>
          <w:szCs w:val="24"/>
          <w:lang w:val="en-GB"/>
        </w:rPr>
        <w:t>dialysable</w:t>
      </w:r>
      <w:proofErr w:type="spellEnd"/>
      <w:r w:rsidRPr="002177D4">
        <w:rPr>
          <w:sz w:val="24"/>
          <w:szCs w:val="24"/>
          <w:lang w:val="en-GB"/>
        </w:rPr>
        <w:t>.</w:t>
      </w:r>
    </w:p>
    <w:p w14:paraId="43DE5C8B" w14:textId="77777777" w:rsidR="002746A7" w:rsidRPr="002177D4" w:rsidRDefault="002746A7" w:rsidP="006D0C86">
      <w:pPr>
        <w:ind w:left="851"/>
        <w:rPr>
          <w:sz w:val="24"/>
          <w:szCs w:val="24"/>
          <w:lang w:val="en-GB"/>
        </w:rPr>
      </w:pPr>
    </w:p>
    <w:p w14:paraId="44912606" w14:textId="77777777" w:rsidR="002746A7" w:rsidRPr="002177D4" w:rsidRDefault="002746A7" w:rsidP="006D0C86">
      <w:pPr>
        <w:ind w:left="851"/>
        <w:rPr>
          <w:sz w:val="24"/>
          <w:szCs w:val="24"/>
          <w:u w:val="single"/>
          <w:lang w:val="en-GB"/>
        </w:rPr>
      </w:pPr>
      <w:r w:rsidRPr="002177D4">
        <w:rPr>
          <w:sz w:val="24"/>
          <w:szCs w:val="24"/>
          <w:u w:val="single"/>
          <w:lang w:val="en-GB"/>
        </w:rPr>
        <w:t>Patients with hepatic impairment</w:t>
      </w:r>
    </w:p>
    <w:p w14:paraId="0F6C92BE" w14:textId="77777777" w:rsidR="002746A7" w:rsidRPr="002177D4" w:rsidRDefault="002746A7" w:rsidP="006D0C86">
      <w:pPr>
        <w:ind w:left="851"/>
        <w:rPr>
          <w:sz w:val="24"/>
          <w:szCs w:val="24"/>
          <w:u w:val="single"/>
          <w:lang w:val="en-GB"/>
        </w:rPr>
      </w:pPr>
    </w:p>
    <w:p w14:paraId="53463F57" w14:textId="77777777" w:rsidR="002746A7" w:rsidRPr="002177D4" w:rsidRDefault="002746A7" w:rsidP="006D0C86">
      <w:pPr>
        <w:ind w:left="851"/>
        <w:rPr>
          <w:sz w:val="24"/>
          <w:szCs w:val="24"/>
          <w:lang w:val="en-GB"/>
        </w:rPr>
      </w:pPr>
      <w:r w:rsidRPr="002177D4">
        <w:rPr>
          <w:sz w:val="24"/>
          <w:szCs w:val="24"/>
          <w:lang w:val="en-GB"/>
        </w:rPr>
        <w:t>No studies have been conducted in patients with hepatic impairment.</w:t>
      </w:r>
    </w:p>
    <w:p w14:paraId="48F8CEE9" w14:textId="3EE1F81B" w:rsidR="00200AAD" w:rsidRDefault="00200AAD">
      <w:pPr>
        <w:rPr>
          <w:sz w:val="24"/>
          <w:szCs w:val="24"/>
          <w:lang w:val="en-GB"/>
        </w:rPr>
      </w:pPr>
      <w:r>
        <w:rPr>
          <w:sz w:val="24"/>
          <w:szCs w:val="24"/>
          <w:lang w:val="en-GB"/>
        </w:rPr>
        <w:br w:type="page"/>
      </w:r>
    </w:p>
    <w:p w14:paraId="7DF7FE8B" w14:textId="77777777" w:rsidR="002746A7" w:rsidRPr="002177D4" w:rsidRDefault="002746A7" w:rsidP="006D0C86">
      <w:pPr>
        <w:ind w:left="851"/>
        <w:rPr>
          <w:sz w:val="24"/>
          <w:szCs w:val="24"/>
          <w:lang w:val="en-GB"/>
        </w:rPr>
      </w:pPr>
    </w:p>
    <w:p w14:paraId="0C26A67A" w14:textId="77777777" w:rsidR="002746A7" w:rsidRPr="002177D4" w:rsidRDefault="002746A7" w:rsidP="006D0C86">
      <w:pPr>
        <w:ind w:left="851"/>
        <w:rPr>
          <w:sz w:val="24"/>
          <w:szCs w:val="24"/>
          <w:u w:val="single"/>
          <w:lang w:val="en-GB"/>
        </w:rPr>
      </w:pPr>
      <w:r w:rsidRPr="002177D4">
        <w:rPr>
          <w:sz w:val="24"/>
          <w:szCs w:val="24"/>
          <w:u w:val="single"/>
          <w:lang w:val="en-GB"/>
        </w:rPr>
        <w:t>Paediatric population</w:t>
      </w:r>
    </w:p>
    <w:p w14:paraId="41CD4407" w14:textId="77777777" w:rsidR="002746A7" w:rsidRPr="002177D4" w:rsidRDefault="002746A7" w:rsidP="006D0C86">
      <w:pPr>
        <w:ind w:left="851"/>
        <w:rPr>
          <w:sz w:val="24"/>
          <w:szCs w:val="24"/>
          <w:u w:val="single"/>
          <w:lang w:val="en-GB"/>
        </w:rPr>
      </w:pPr>
    </w:p>
    <w:p w14:paraId="7AB792BC" w14:textId="71C3C1B2"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is indicated for adults. </w:t>
      </w:r>
    </w:p>
    <w:p w14:paraId="6F854076" w14:textId="77777777" w:rsidR="002746A7" w:rsidRPr="002177D4" w:rsidRDefault="002746A7" w:rsidP="006D0C86">
      <w:pPr>
        <w:ind w:left="851"/>
        <w:rPr>
          <w:sz w:val="24"/>
          <w:szCs w:val="24"/>
          <w:lang w:val="en-GB"/>
        </w:rPr>
      </w:pPr>
    </w:p>
    <w:p w14:paraId="6606ECF8" w14:textId="77777777" w:rsidR="002746A7" w:rsidRPr="002177D4" w:rsidRDefault="002746A7" w:rsidP="006D0C86">
      <w:pPr>
        <w:ind w:left="851"/>
        <w:rPr>
          <w:sz w:val="24"/>
          <w:szCs w:val="24"/>
          <w:lang w:val="en-GB"/>
        </w:rPr>
      </w:pPr>
      <w:r w:rsidRPr="002177D4">
        <w:rPr>
          <w:sz w:val="24"/>
          <w:szCs w:val="24"/>
          <w:lang w:val="en-GB"/>
        </w:rPr>
        <w:t xml:space="preserve">For children and adolescents aged 6 to 17 years, another product containing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dymesilate</w:t>
      </w:r>
      <w:proofErr w:type="spellEnd"/>
      <w:r w:rsidRPr="002177D4">
        <w:rPr>
          <w:sz w:val="24"/>
          <w:szCs w:val="24"/>
          <w:lang w:val="en-GB"/>
        </w:rPr>
        <w:t xml:space="preserve"> is available. Currently available data are described in sections 4.8, 5.1 and 5.2.</w:t>
      </w:r>
    </w:p>
    <w:p w14:paraId="32BDDAE8" w14:textId="77777777" w:rsidR="002746A7" w:rsidRPr="002177D4" w:rsidRDefault="002746A7" w:rsidP="006D0C86">
      <w:pPr>
        <w:ind w:left="851"/>
        <w:rPr>
          <w:sz w:val="24"/>
          <w:szCs w:val="24"/>
          <w:lang w:val="en-GB"/>
        </w:rPr>
      </w:pPr>
    </w:p>
    <w:p w14:paraId="3883D6F1" w14:textId="2ECB8F63"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should not be used in children under the age of 6 years. Safety and efficacy in this age group has not been established. Currently available data are described in sections 4.8, 5.1 and 5.2 but no recommendation on a posology can be made. </w:t>
      </w:r>
    </w:p>
    <w:p w14:paraId="34D99B2A" w14:textId="77777777" w:rsidR="002746A7" w:rsidRPr="002177D4" w:rsidRDefault="002746A7" w:rsidP="006D0C86">
      <w:pPr>
        <w:ind w:left="851"/>
        <w:rPr>
          <w:sz w:val="24"/>
          <w:szCs w:val="24"/>
          <w:lang w:val="en-GB"/>
        </w:rPr>
      </w:pPr>
    </w:p>
    <w:p w14:paraId="1B227C44" w14:textId="77777777" w:rsidR="002746A7" w:rsidRPr="002177D4" w:rsidRDefault="002746A7" w:rsidP="006D0C86">
      <w:pPr>
        <w:ind w:left="851"/>
        <w:rPr>
          <w:sz w:val="24"/>
          <w:szCs w:val="24"/>
          <w:u w:val="single"/>
          <w:lang w:val="en-GB"/>
        </w:rPr>
      </w:pPr>
      <w:r w:rsidRPr="002177D4">
        <w:rPr>
          <w:sz w:val="24"/>
          <w:szCs w:val="24"/>
          <w:u w:val="single"/>
          <w:lang w:val="en-GB"/>
        </w:rPr>
        <w:t>Method of administration</w:t>
      </w:r>
    </w:p>
    <w:p w14:paraId="150606A9" w14:textId="77777777" w:rsidR="002746A7" w:rsidRPr="002177D4" w:rsidRDefault="002746A7" w:rsidP="006D0C86">
      <w:pPr>
        <w:ind w:left="851"/>
        <w:rPr>
          <w:sz w:val="24"/>
          <w:szCs w:val="24"/>
          <w:u w:val="single"/>
          <w:lang w:val="en-GB"/>
        </w:rPr>
      </w:pPr>
    </w:p>
    <w:p w14:paraId="233A3F96" w14:textId="43E5F52F"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may be taken with or without food.</w:t>
      </w:r>
    </w:p>
    <w:p w14:paraId="0CA62E32" w14:textId="77777777" w:rsidR="002746A7" w:rsidRPr="002177D4" w:rsidRDefault="002746A7" w:rsidP="006D0C86">
      <w:pPr>
        <w:ind w:left="851"/>
        <w:rPr>
          <w:sz w:val="24"/>
          <w:szCs w:val="24"/>
          <w:lang w:val="en-GB"/>
        </w:rPr>
      </w:pPr>
    </w:p>
    <w:p w14:paraId="5E46D954" w14:textId="4833F6B6"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may be swallowed whole, or the capsule opened and the entire contents emptied and mixed with a soft food such as yogurt or in a glass of water or orange juice. If the contents include any compacted powder, a spoon may be used to break apart the powder in the soft food or liquid. The contents should be stirred until completely dispersed. The patient should consume the entire mixture of soft food or liquid immediately; it should not be stored. The active substance dissolves completely once dispersed; however, a film containing with the excipients may remain in the glass or container once the mixture is consumed. </w:t>
      </w:r>
    </w:p>
    <w:p w14:paraId="5F0C48F3" w14:textId="77777777" w:rsidR="002746A7" w:rsidRPr="002177D4" w:rsidRDefault="002746A7" w:rsidP="006D0C86">
      <w:pPr>
        <w:ind w:left="851"/>
        <w:rPr>
          <w:sz w:val="24"/>
          <w:szCs w:val="24"/>
          <w:lang w:val="en-GB"/>
        </w:rPr>
      </w:pPr>
    </w:p>
    <w:p w14:paraId="75577F85" w14:textId="77777777" w:rsidR="002746A7" w:rsidRPr="002177D4" w:rsidRDefault="002746A7" w:rsidP="006D0C86">
      <w:pPr>
        <w:ind w:left="851"/>
        <w:rPr>
          <w:sz w:val="24"/>
          <w:szCs w:val="24"/>
          <w:lang w:val="en-GB"/>
        </w:rPr>
      </w:pPr>
      <w:r w:rsidRPr="002177D4">
        <w:rPr>
          <w:sz w:val="24"/>
          <w:szCs w:val="24"/>
          <w:lang w:val="en-GB"/>
        </w:rPr>
        <w:t>The patient should not take anything less than one capsule per day and a single capsule should not be divided.</w:t>
      </w:r>
    </w:p>
    <w:p w14:paraId="38C40B13" w14:textId="77777777" w:rsidR="002746A7" w:rsidRPr="002177D4" w:rsidRDefault="002746A7" w:rsidP="006D0C86">
      <w:pPr>
        <w:ind w:left="851"/>
        <w:rPr>
          <w:sz w:val="24"/>
          <w:szCs w:val="24"/>
          <w:lang w:val="en-GB"/>
        </w:rPr>
      </w:pPr>
    </w:p>
    <w:p w14:paraId="53E9B82F" w14:textId="045BB698" w:rsidR="002746A7" w:rsidRPr="002177D4" w:rsidRDefault="002746A7" w:rsidP="006D0C86">
      <w:pPr>
        <w:ind w:left="851"/>
        <w:rPr>
          <w:sz w:val="24"/>
          <w:szCs w:val="24"/>
          <w:lang w:val="en-GB"/>
        </w:rPr>
      </w:pPr>
      <w:r w:rsidRPr="002177D4">
        <w:rPr>
          <w:sz w:val="24"/>
          <w:szCs w:val="24"/>
          <w:lang w:val="en-GB"/>
        </w:rPr>
        <w:t xml:space="preserve">In the event of a missed dose, </w:t>
      </w:r>
      <w:proofErr w:type="spellStart"/>
      <w:r w:rsidR="004C14A1">
        <w:rPr>
          <w:sz w:val="24"/>
          <w:szCs w:val="24"/>
          <w:lang w:val="en-GB"/>
        </w:rPr>
        <w:t>Lissidexanz</w:t>
      </w:r>
      <w:proofErr w:type="spellEnd"/>
      <w:r w:rsidRPr="002177D4">
        <w:rPr>
          <w:sz w:val="24"/>
          <w:szCs w:val="24"/>
          <w:lang w:val="en-GB"/>
        </w:rPr>
        <w:t xml:space="preserve"> dosing can resume the next day. Afternoon doses should be avoided because of the potential for insomnia.</w:t>
      </w:r>
    </w:p>
    <w:p w14:paraId="484BCC93" w14:textId="77777777" w:rsidR="002746A7" w:rsidRPr="002177D4" w:rsidRDefault="002746A7" w:rsidP="006D0C86">
      <w:pPr>
        <w:ind w:left="851"/>
        <w:rPr>
          <w:sz w:val="24"/>
          <w:szCs w:val="24"/>
          <w:lang w:val="en-GB"/>
        </w:rPr>
      </w:pPr>
    </w:p>
    <w:p w14:paraId="1EF3F3A7" w14:textId="77777777" w:rsidR="002746A7" w:rsidRPr="002177D4" w:rsidRDefault="002746A7" w:rsidP="006D0C86">
      <w:pPr>
        <w:ind w:left="851"/>
        <w:rPr>
          <w:sz w:val="24"/>
          <w:szCs w:val="24"/>
          <w:u w:val="single"/>
          <w:lang w:val="en-GB"/>
        </w:rPr>
      </w:pPr>
      <w:r w:rsidRPr="002177D4">
        <w:rPr>
          <w:sz w:val="24"/>
          <w:szCs w:val="24"/>
          <w:u w:val="single"/>
          <w:lang w:val="en-GB"/>
        </w:rPr>
        <w:t>Long-term use</w:t>
      </w:r>
    </w:p>
    <w:p w14:paraId="0FD715C1" w14:textId="77777777" w:rsidR="002746A7" w:rsidRPr="002177D4" w:rsidRDefault="002746A7" w:rsidP="006D0C86">
      <w:pPr>
        <w:ind w:left="851"/>
        <w:rPr>
          <w:sz w:val="24"/>
          <w:szCs w:val="24"/>
          <w:u w:val="single"/>
          <w:lang w:val="en-GB"/>
        </w:rPr>
      </w:pPr>
    </w:p>
    <w:p w14:paraId="496A368C" w14:textId="3A448E61" w:rsidR="002746A7" w:rsidRPr="002177D4" w:rsidRDefault="002746A7" w:rsidP="006D0C86">
      <w:pPr>
        <w:ind w:left="851"/>
        <w:rPr>
          <w:sz w:val="24"/>
          <w:szCs w:val="24"/>
          <w:lang w:val="en-GB"/>
        </w:rPr>
      </w:pPr>
      <w:r w:rsidRPr="002177D4">
        <w:rPr>
          <w:sz w:val="24"/>
          <w:szCs w:val="24"/>
          <w:lang w:val="en-GB"/>
        </w:rPr>
        <w:t xml:space="preserve">Pharmacological treatment of ADHD may be needed for extended periods. The physician who elects to use </w:t>
      </w:r>
      <w:proofErr w:type="spellStart"/>
      <w:r w:rsidR="004C14A1">
        <w:rPr>
          <w:sz w:val="24"/>
          <w:szCs w:val="24"/>
          <w:lang w:val="en-GB"/>
        </w:rPr>
        <w:t>Lissidexanz</w:t>
      </w:r>
      <w:proofErr w:type="spellEnd"/>
      <w:r w:rsidRPr="002177D4">
        <w:rPr>
          <w:sz w:val="24"/>
          <w:szCs w:val="24"/>
          <w:lang w:val="en-GB"/>
        </w:rPr>
        <w:t xml:space="preserve"> for extended periods (over 12 months) should re-evaluate the usefulness of </w:t>
      </w:r>
      <w:proofErr w:type="spellStart"/>
      <w:r w:rsidR="004C14A1">
        <w:rPr>
          <w:sz w:val="24"/>
          <w:szCs w:val="24"/>
          <w:lang w:val="en-GB"/>
        </w:rPr>
        <w:t>Lissidexanz</w:t>
      </w:r>
      <w:proofErr w:type="spellEnd"/>
      <w:r w:rsidRPr="002177D4">
        <w:rPr>
          <w:sz w:val="24"/>
          <w:szCs w:val="24"/>
          <w:lang w:val="en-GB"/>
        </w:rPr>
        <w:t xml:space="preserve"> at least yearly, and consider trial periods off medication to assess the patient’s functioning without pharmacotherapy.</w:t>
      </w:r>
    </w:p>
    <w:p w14:paraId="2A1F9676" w14:textId="77777777" w:rsidR="007C5D2A" w:rsidRPr="002177D4" w:rsidRDefault="007C5D2A" w:rsidP="00A85D26">
      <w:pPr>
        <w:tabs>
          <w:tab w:val="left" w:pos="851"/>
        </w:tabs>
        <w:ind w:left="851"/>
        <w:rPr>
          <w:sz w:val="24"/>
          <w:szCs w:val="24"/>
          <w:lang w:val="en-GB"/>
        </w:rPr>
      </w:pPr>
    </w:p>
    <w:p w14:paraId="18DBE7FD"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4.3</w:t>
      </w:r>
      <w:r w:rsidRPr="002177D4">
        <w:rPr>
          <w:b/>
          <w:sz w:val="24"/>
          <w:szCs w:val="24"/>
          <w:lang w:val="en-GB"/>
        </w:rPr>
        <w:tab/>
        <w:t>Contraindications</w:t>
      </w:r>
    </w:p>
    <w:p w14:paraId="35B8DED5" w14:textId="77777777" w:rsidR="002746A7" w:rsidRPr="002177D4" w:rsidRDefault="002746A7" w:rsidP="006D0C86">
      <w:pPr>
        <w:ind w:left="851"/>
        <w:rPr>
          <w:sz w:val="24"/>
          <w:szCs w:val="24"/>
          <w:lang w:val="en-GB"/>
        </w:rPr>
      </w:pPr>
      <w:r w:rsidRPr="002177D4">
        <w:rPr>
          <w:sz w:val="24"/>
          <w:szCs w:val="24"/>
          <w:lang w:val="en-GB"/>
        </w:rPr>
        <w:t>Hypersensitivity to sympathomimetic amines or any of the excipients listed in section 6.1.</w:t>
      </w:r>
    </w:p>
    <w:p w14:paraId="10495F75" w14:textId="77777777" w:rsidR="002746A7" w:rsidRPr="002177D4" w:rsidRDefault="002746A7" w:rsidP="006D0C86">
      <w:pPr>
        <w:ind w:left="851"/>
        <w:rPr>
          <w:sz w:val="24"/>
          <w:szCs w:val="24"/>
          <w:lang w:val="en-GB"/>
        </w:rPr>
      </w:pPr>
      <w:r w:rsidRPr="002177D4">
        <w:rPr>
          <w:sz w:val="24"/>
          <w:szCs w:val="24"/>
          <w:lang w:val="en-GB"/>
        </w:rPr>
        <w:t>Concomitant use of monoamine oxidase inhibitors (MAOI) or within 14 days after MAOI treatment (hypertensive crisis may result; see section 4.5).</w:t>
      </w:r>
    </w:p>
    <w:p w14:paraId="69DFC951" w14:textId="77777777" w:rsidR="002746A7" w:rsidRPr="002177D4" w:rsidRDefault="002746A7" w:rsidP="006D0C86">
      <w:pPr>
        <w:ind w:left="851"/>
        <w:rPr>
          <w:sz w:val="24"/>
          <w:szCs w:val="24"/>
          <w:lang w:val="en-GB"/>
        </w:rPr>
      </w:pPr>
      <w:r w:rsidRPr="002177D4">
        <w:rPr>
          <w:sz w:val="24"/>
          <w:szCs w:val="24"/>
          <w:lang w:val="en-GB"/>
        </w:rPr>
        <w:t>Hyperthyroidism or thyrotoxicosis.</w:t>
      </w:r>
    </w:p>
    <w:p w14:paraId="493B2302" w14:textId="77777777" w:rsidR="002746A7" w:rsidRPr="002177D4" w:rsidRDefault="002746A7" w:rsidP="006D0C86">
      <w:pPr>
        <w:ind w:left="851"/>
        <w:rPr>
          <w:sz w:val="24"/>
          <w:szCs w:val="24"/>
          <w:lang w:val="en-GB"/>
        </w:rPr>
      </w:pPr>
      <w:r w:rsidRPr="002177D4">
        <w:rPr>
          <w:sz w:val="24"/>
          <w:szCs w:val="24"/>
          <w:lang w:val="en-GB"/>
        </w:rPr>
        <w:t>Agitated states.</w:t>
      </w:r>
    </w:p>
    <w:p w14:paraId="7CBAE3DB" w14:textId="77777777" w:rsidR="002746A7" w:rsidRPr="002177D4" w:rsidRDefault="002746A7" w:rsidP="006D0C86">
      <w:pPr>
        <w:ind w:left="851"/>
        <w:rPr>
          <w:sz w:val="24"/>
          <w:szCs w:val="24"/>
          <w:lang w:val="en-GB"/>
        </w:rPr>
      </w:pPr>
      <w:r w:rsidRPr="002177D4">
        <w:rPr>
          <w:sz w:val="24"/>
          <w:szCs w:val="24"/>
          <w:lang w:val="en-GB"/>
        </w:rPr>
        <w:t>Symptomatic cardiovascular disease.</w:t>
      </w:r>
    </w:p>
    <w:p w14:paraId="28C44A7C" w14:textId="77777777" w:rsidR="002746A7" w:rsidRPr="002177D4" w:rsidRDefault="002746A7" w:rsidP="006D0C86">
      <w:pPr>
        <w:ind w:left="851"/>
        <w:rPr>
          <w:sz w:val="24"/>
          <w:szCs w:val="24"/>
          <w:lang w:val="en-GB"/>
        </w:rPr>
      </w:pPr>
      <w:r w:rsidRPr="002177D4">
        <w:rPr>
          <w:sz w:val="24"/>
          <w:szCs w:val="24"/>
          <w:lang w:val="en-GB"/>
        </w:rPr>
        <w:t>Advanced arteriosclerosis.</w:t>
      </w:r>
    </w:p>
    <w:p w14:paraId="0D6A4FB1" w14:textId="77777777" w:rsidR="002746A7" w:rsidRPr="002177D4" w:rsidRDefault="002746A7" w:rsidP="006D0C86">
      <w:pPr>
        <w:ind w:left="851"/>
        <w:rPr>
          <w:sz w:val="24"/>
          <w:szCs w:val="24"/>
          <w:lang w:val="en-GB"/>
        </w:rPr>
      </w:pPr>
      <w:r w:rsidRPr="002177D4">
        <w:rPr>
          <w:sz w:val="24"/>
          <w:szCs w:val="24"/>
          <w:lang w:val="en-GB"/>
        </w:rPr>
        <w:t>Moderate to severe hypertension.</w:t>
      </w:r>
    </w:p>
    <w:p w14:paraId="427FE835" w14:textId="77777777" w:rsidR="002746A7" w:rsidRPr="002177D4" w:rsidRDefault="002746A7" w:rsidP="006D0C86">
      <w:pPr>
        <w:ind w:left="851"/>
        <w:rPr>
          <w:sz w:val="24"/>
          <w:szCs w:val="24"/>
          <w:lang w:val="en-GB"/>
        </w:rPr>
      </w:pPr>
      <w:r w:rsidRPr="002177D4">
        <w:rPr>
          <w:sz w:val="24"/>
          <w:szCs w:val="24"/>
          <w:lang w:val="en-GB"/>
        </w:rPr>
        <w:t>Glaucoma.</w:t>
      </w:r>
    </w:p>
    <w:p w14:paraId="38CEDAD1" w14:textId="2DED196D" w:rsidR="00200AAD" w:rsidRDefault="00200AAD">
      <w:pPr>
        <w:rPr>
          <w:sz w:val="24"/>
          <w:szCs w:val="24"/>
          <w:lang w:val="en-GB"/>
        </w:rPr>
      </w:pPr>
      <w:r>
        <w:rPr>
          <w:sz w:val="24"/>
          <w:szCs w:val="24"/>
          <w:lang w:val="en-GB"/>
        </w:rPr>
        <w:br w:type="page"/>
      </w:r>
    </w:p>
    <w:p w14:paraId="7BF5390B" w14:textId="77777777" w:rsidR="007C5D2A" w:rsidRPr="002177D4" w:rsidRDefault="007C5D2A" w:rsidP="003E0341">
      <w:pPr>
        <w:tabs>
          <w:tab w:val="left" w:pos="851"/>
        </w:tabs>
        <w:ind w:left="851"/>
        <w:rPr>
          <w:sz w:val="24"/>
          <w:szCs w:val="24"/>
          <w:lang w:val="en-GB"/>
        </w:rPr>
      </w:pPr>
    </w:p>
    <w:p w14:paraId="72AD5200" w14:textId="77777777" w:rsidR="007C5D2A" w:rsidRPr="002177D4" w:rsidRDefault="007C5D2A" w:rsidP="007C5D2A">
      <w:pPr>
        <w:tabs>
          <w:tab w:val="left" w:pos="851"/>
        </w:tabs>
        <w:rPr>
          <w:b/>
          <w:sz w:val="24"/>
          <w:szCs w:val="24"/>
          <w:lang w:val="en-GB"/>
        </w:rPr>
      </w:pPr>
      <w:r w:rsidRPr="002177D4">
        <w:rPr>
          <w:b/>
          <w:sz w:val="24"/>
          <w:szCs w:val="24"/>
          <w:lang w:val="en-GB"/>
        </w:rPr>
        <w:t>4.4</w:t>
      </w:r>
      <w:r w:rsidRPr="002177D4">
        <w:rPr>
          <w:b/>
          <w:sz w:val="24"/>
          <w:szCs w:val="24"/>
          <w:lang w:val="en-GB"/>
        </w:rPr>
        <w:tab/>
        <w:t>Special warnings and precautions for use</w:t>
      </w:r>
    </w:p>
    <w:p w14:paraId="3109E409" w14:textId="77777777" w:rsidR="002746A7" w:rsidRPr="002177D4" w:rsidRDefault="002746A7" w:rsidP="002746A7">
      <w:pPr>
        <w:rPr>
          <w:sz w:val="24"/>
          <w:szCs w:val="24"/>
          <w:lang w:val="en-GB"/>
        </w:rPr>
      </w:pPr>
    </w:p>
    <w:p w14:paraId="637DEE9B" w14:textId="77777777" w:rsidR="002746A7" w:rsidRPr="00C6604D" w:rsidRDefault="002746A7" w:rsidP="006D0C86">
      <w:pPr>
        <w:ind w:left="851"/>
        <w:rPr>
          <w:sz w:val="24"/>
          <w:szCs w:val="24"/>
          <w:u w:val="single"/>
          <w:lang w:val="en-GB"/>
        </w:rPr>
      </w:pPr>
      <w:r w:rsidRPr="00C6604D">
        <w:rPr>
          <w:sz w:val="24"/>
          <w:szCs w:val="24"/>
          <w:u w:val="single"/>
          <w:lang w:val="en-GB"/>
        </w:rPr>
        <w:t>Abuse and dependence</w:t>
      </w:r>
    </w:p>
    <w:p w14:paraId="71379921" w14:textId="77777777" w:rsidR="002746A7" w:rsidRPr="002177D4" w:rsidRDefault="002746A7" w:rsidP="006D0C86">
      <w:pPr>
        <w:ind w:left="851"/>
        <w:rPr>
          <w:sz w:val="24"/>
          <w:szCs w:val="24"/>
          <w:lang w:val="en-GB"/>
        </w:rPr>
      </w:pPr>
    </w:p>
    <w:p w14:paraId="7CFA8B9C" w14:textId="4F81726D" w:rsidR="002746A7" w:rsidRPr="002177D4" w:rsidRDefault="002746A7" w:rsidP="006D0C86">
      <w:pPr>
        <w:ind w:left="851"/>
        <w:rPr>
          <w:sz w:val="24"/>
          <w:szCs w:val="24"/>
          <w:lang w:val="en-GB"/>
        </w:rPr>
      </w:pPr>
      <w:r w:rsidRPr="002177D4">
        <w:rPr>
          <w:sz w:val="24"/>
          <w:szCs w:val="24"/>
          <w:lang w:val="en-GB"/>
        </w:rPr>
        <w:t xml:space="preserve">Stimulants including </w:t>
      </w:r>
      <w:proofErr w:type="spellStart"/>
      <w:r w:rsidR="004C14A1">
        <w:rPr>
          <w:sz w:val="24"/>
          <w:szCs w:val="24"/>
          <w:lang w:val="en-GB"/>
        </w:rPr>
        <w:t>Lissidexanz</w:t>
      </w:r>
      <w:proofErr w:type="spellEnd"/>
      <w:r w:rsidRPr="002177D4">
        <w:rPr>
          <w:sz w:val="24"/>
          <w:szCs w:val="24"/>
          <w:lang w:val="en-GB"/>
        </w:rPr>
        <w:t xml:space="preserve"> have a potential for abuse, misuse, or diversion that physicians should consider when prescribing this product. The risk of misuse may be greater in adults (especially young adults) than in paediatric use. Stimulants should be prescribed cautiously to patients with a history of substance abuse or dependence.</w:t>
      </w:r>
    </w:p>
    <w:p w14:paraId="32CACCFE" w14:textId="77777777" w:rsidR="002746A7" w:rsidRPr="002177D4" w:rsidRDefault="002746A7" w:rsidP="006D0C86">
      <w:pPr>
        <w:ind w:left="851"/>
        <w:rPr>
          <w:sz w:val="24"/>
          <w:szCs w:val="24"/>
          <w:lang w:val="en-GB"/>
        </w:rPr>
      </w:pPr>
    </w:p>
    <w:p w14:paraId="292706B7" w14:textId="77777777" w:rsidR="002746A7" w:rsidRPr="002177D4" w:rsidRDefault="002746A7" w:rsidP="006D0C86">
      <w:pPr>
        <w:ind w:left="851"/>
        <w:rPr>
          <w:sz w:val="24"/>
          <w:szCs w:val="24"/>
          <w:lang w:val="en-GB"/>
        </w:rPr>
      </w:pPr>
      <w:r w:rsidRPr="002177D4">
        <w:rPr>
          <w:sz w:val="24"/>
          <w:szCs w:val="24"/>
          <w:lang w:val="en-GB"/>
        </w:rPr>
        <w:t xml:space="preserve">Abuse of </w:t>
      </w:r>
      <w:proofErr w:type="spellStart"/>
      <w:r w:rsidRPr="002177D4">
        <w:rPr>
          <w:sz w:val="24"/>
          <w:szCs w:val="24"/>
          <w:lang w:val="en-GB"/>
        </w:rPr>
        <w:t>amfetamines</w:t>
      </w:r>
      <w:proofErr w:type="spellEnd"/>
      <w:r w:rsidRPr="002177D4">
        <w:rPr>
          <w:sz w:val="24"/>
          <w:szCs w:val="24"/>
          <w:lang w:val="en-GB"/>
        </w:rPr>
        <w:t xml:space="preserve"> can lead to tolerance, and psychological dependence with varying degrees of abnormal behaviour. Symptoms of </w:t>
      </w:r>
      <w:proofErr w:type="spellStart"/>
      <w:r w:rsidRPr="002177D4">
        <w:rPr>
          <w:sz w:val="24"/>
          <w:szCs w:val="24"/>
          <w:lang w:val="en-GB"/>
        </w:rPr>
        <w:t>amfetamine</w:t>
      </w:r>
      <w:proofErr w:type="spellEnd"/>
      <w:r w:rsidRPr="002177D4">
        <w:rPr>
          <w:sz w:val="24"/>
          <w:szCs w:val="24"/>
          <w:lang w:val="en-GB"/>
        </w:rPr>
        <w:t xml:space="preserve"> abuse may include dermatoses, insomnia, irritability, hyperactivity, emotional lability and psychosis. Withdrawal symptoms such as fatigue and depression have been reported. </w:t>
      </w:r>
    </w:p>
    <w:p w14:paraId="5939572C" w14:textId="77777777" w:rsidR="002746A7" w:rsidRPr="002177D4" w:rsidRDefault="002746A7" w:rsidP="006D0C86">
      <w:pPr>
        <w:ind w:left="851"/>
        <w:rPr>
          <w:sz w:val="24"/>
          <w:szCs w:val="24"/>
          <w:lang w:val="en-GB"/>
        </w:rPr>
      </w:pPr>
    </w:p>
    <w:p w14:paraId="07D211C6" w14:textId="77777777" w:rsidR="002746A7" w:rsidRPr="00C6604D" w:rsidRDefault="002746A7" w:rsidP="006D0C86">
      <w:pPr>
        <w:ind w:left="851"/>
        <w:rPr>
          <w:sz w:val="24"/>
          <w:szCs w:val="24"/>
          <w:u w:val="single"/>
          <w:lang w:val="en-GB"/>
        </w:rPr>
      </w:pPr>
      <w:r w:rsidRPr="00C6604D">
        <w:rPr>
          <w:sz w:val="24"/>
          <w:szCs w:val="24"/>
          <w:u w:val="single"/>
          <w:lang w:val="en-GB"/>
        </w:rPr>
        <w:t>Cardiovascular adverse events</w:t>
      </w:r>
    </w:p>
    <w:p w14:paraId="210083CA" w14:textId="77777777" w:rsidR="002746A7" w:rsidRPr="002177D4" w:rsidRDefault="002746A7" w:rsidP="006D0C86">
      <w:pPr>
        <w:ind w:left="851"/>
        <w:rPr>
          <w:sz w:val="24"/>
          <w:szCs w:val="24"/>
          <w:lang w:val="en-GB"/>
        </w:rPr>
      </w:pPr>
    </w:p>
    <w:p w14:paraId="2BCCB254" w14:textId="77777777" w:rsidR="002746A7" w:rsidRPr="002177D4" w:rsidRDefault="002746A7" w:rsidP="006D0C86">
      <w:pPr>
        <w:ind w:left="851"/>
        <w:rPr>
          <w:i/>
          <w:sz w:val="24"/>
          <w:szCs w:val="24"/>
          <w:lang w:val="en-GB"/>
        </w:rPr>
      </w:pPr>
      <w:r w:rsidRPr="002177D4">
        <w:rPr>
          <w:i/>
          <w:sz w:val="24"/>
          <w:szCs w:val="24"/>
          <w:lang w:val="en-GB"/>
        </w:rPr>
        <w:t>Sudden death and pre-existing structural cardiac abnormalities or other serious heart problems</w:t>
      </w:r>
    </w:p>
    <w:p w14:paraId="66E2011A" w14:textId="77777777" w:rsidR="002746A7" w:rsidRPr="002177D4" w:rsidRDefault="002746A7" w:rsidP="006D0C86">
      <w:pPr>
        <w:ind w:left="851"/>
        <w:rPr>
          <w:i/>
          <w:sz w:val="24"/>
          <w:szCs w:val="24"/>
          <w:lang w:val="en-GB"/>
        </w:rPr>
      </w:pPr>
    </w:p>
    <w:p w14:paraId="07513251" w14:textId="77777777" w:rsidR="002746A7" w:rsidRPr="002177D4" w:rsidRDefault="002746A7" w:rsidP="006D0C86">
      <w:pPr>
        <w:ind w:left="851"/>
        <w:rPr>
          <w:sz w:val="24"/>
          <w:szCs w:val="24"/>
          <w:lang w:val="en-GB"/>
        </w:rPr>
      </w:pPr>
      <w:r w:rsidRPr="002177D4">
        <w:rPr>
          <w:sz w:val="24"/>
          <w:szCs w:val="24"/>
          <w:lang w:val="en-GB"/>
        </w:rPr>
        <w:t xml:space="preserve">Children and adolescents: Sudden death has been reported in children and adolescents taking CNS stimulants, including those with structural cardiac abnormalities or other serious heart problems. </w:t>
      </w:r>
    </w:p>
    <w:p w14:paraId="5104082B" w14:textId="77777777" w:rsidR="002746A7" w:rsidRPr="002177D4" w:rsidRDefault="002746A7" w:rsidP="006D0C86">
      <w:pPr>
        <w:ind w:left="851"/>
        <w:rPr>
          <w:sz w:val="24"/>
          <w:szCs w:val="24"/>
          <w:lang w:val="en-GB"/>
        </w:rPr>
      </w:pPr>
      <w:r w:rsidRPr="002177D4">
        <w:rPr>
          <w:sz w:val="24"/>
          <w:szCs w:val="24"/>
          <w:lang w:val="en-GB"/>
        </w:rPr>
        <w:t>Although some serious heart problems alone carry an increased risk of sudden death, stimulant products generally should not be used in children or adolescents with known serious structural cardiac abnormalities, cardiomyopathy, serious heart rhythm abnormalities, or other serious cardiac problems that may place them at increased vulnerability to the sympathomimetic effects of a stimulant medicinal product.</w:t>
      </w:r>
    </w:p>
    <w:p w14:paraId="22BA430C" w14:textId="77777777" w:rsidR="002746A7" w:rsidRPr="002177D4" w:rsidRDefault="002746A7" w:rsidP="006D0C86">
      <w:pPr>
        <w:ind w:left="851"/>
        <w:rPr>
          <w:sz w:val="24"/>
          <w:szCs w:val="24"/>
          <w:lang w:val="en-GB"/>
        </w:rPr>
      </w:pPr>
    </w:p>
    <w:p w14:paraId="5EAAECA3" w14:textId="77777777" w:rsidR="002746A7" w:rsidRPr="002177D4" w:rsidRDefault="002746A7" w:rsidP="006D0C86">
      <w:pPr>
        <w:ind w:left="851"/>
        <w:rPr>
          <w:sz w:val="24"/>
          <w:szCs w:val="24"/>
          <w:lang w:val="en-GB"/>
        </w:rPr>
      </w:pPr>
      <w:r w:rsidRPr="002177D4">
        <w:rPr>
          <w:sz w:val="24"/>
          <w:szCs w:val="24"/>
          <w:lang w:val="en-GB"/>
        </w:rPr>
        <w:t>Adults: Sudden deaths, stroke, and myocardial infarction have been reported in adults taking stimulant medicinal products at usual doses for ADHD. Although the role of stimulants in these adult cases is unknown, adults have a greater likelihood than children of having serious structural cardiac abnormalities, cardiomyopathy, serious heart rhythm abnormalities, coronary artery disease, or other serious cardiac problems. Adults with such abnormalities should also generally not be treated with stimulant medicinal products.</w:t>
      </w:r>
    </w:p>
    <w:p w14:paraId="5E451BC7" w14:textId="77777777" w:rsidR="002746A7" w:rsidRPr="002177D4" w:rsidRDefault="002746A7" w:rsidP="006D0C86">
      <w:pPr>
        <w:ind w:left="851"/>
        <w:rPr>
          <w:sz w:val="24"/>
          <w:szCs w:val="24"/>
          <w:lang w:val="en-GB"/>
        </w:rPr>
      </w:pPr>
    </w:p>
    <w:p w14:paraId="1C479715" w14:textId="77777777" w:rsidR="002746A7" w:rsidRPr="002177D4" w:rsidRDefault="002746A7" w:rsidP="006D0C86">
      <w:pPr>
        <w:ind w:left="851"/>
        <w:rPr>
          <w:i/>
          <w:sz w:val="24"/>
          <w:szCs w:val="24"/>
          <w:lang w:val="en-GB"/>
        </w:rPr>
      </w:pPr>
      <w:r w:rsidRPr="002177D4">
        <w:rPr>
          <w:i/>
          <w:sz w:val="24"/>
          <w:szCs w:val="24"/>
          <w:lang w:val="en-GB"/>
        </w:rPr>
        <w:t>Hypertension and other cardiovascular conditions</w:t>
      </w:r>
    </w:p>
    <w:p w14:paraId="017BC8CA" w14:textId="77777777" w:rsidR="002746A7" w:rsidRPr="002177D4" w:rsidRDefault="002746A7" w:rsidP="006D0C86">
      <w:pPr>
        <w:ind w:left="851"/>
        <w:rPr>
          <w:sz w:val="24"/>
          <w:szCs w:val="24"/>
          <w:lang w:val="en-GB"/>
        </w:rPr>
      </w:pPr>
    </w:p>
    <w:p w14:paraId="04D29DCA" w14:textId="77777777" w:rsidR="002746A7" w:rsidRPr="002177D4" w:rsidRDefault="002746A7" w:rsidP="006D0C86">
      <w:pPr>
        <w:ind w:left="851"/>
        <w:rPr>
          <w:sz w:val="24"/>
          <w:szCs w:val="24"/>
          <w:lang w:val="en-GB"/>
        </w:rPr>
      </w:pPr>
      <w:r w:rsidRPr="002177D4">
        <w:rPr>
          <w:sz w:val="24"/>
          <w:szCs w:val="24"/>
          <w:lang w:val="en-GB"/>
        </w:rPr>
        <w:t xml:space="preserve">Stimulant medications cause a modest increase in average blood pressure (about 2-4 mmHg) and average heart rate (about 3-6 bpm), and individuals may have larger increases. While the mean changes alone would not be expected to have short-term consequences, all patients should be monitored for changes in heart rate and blood pressure. Caution is indicated in treating patients whose underlying medical conditions might be compromised by increases in blood pressure or heart rate, </w:t>
      </w:r>
    </w:p>
    <w:p w14:paraId="1EFC0EE6" w14:textId="77777777" w:rsidR="002746A7" w:rsidRPr="002177D4" w:rsidRDefault="002746A7" w:rsidP="006D0C86">
      <w:pPr>
        <w:ind w:left="851"/>
        <w:rPr>
          <w:sz w:val="24"/>
          <w:szCs w:val="24"/>
          <w:lang w:val="en-GB"/>
        </w:rPr>
      </w:pPr>
      <w:r w:rsidRPr="002177D4">
        <w:rPr>
          <w:sz w:val="24"/>
          <w:szCs w:val="24"/>
          <w:lang w:val="en-GB"/>
        </w:rPr>
        <w:t>e.g., those with pre-existing hypertension, heart failure, recent myocardial infarction, or ventricular arrhythmia.</w:t>
      </w:r>
    </w:p>
    <w:p w14:paraId="46D45B96" w14:textId="77777777" w:rsidR="002746A7" w:rsidRPr="002177D4" w:rsidRDefault="002746A7" w:rsidP="006D0C86">
      <w:pPr>
        <w:ind w:left="851"/>
        <w:rPr>
          <w:sz w:val="24"/>
          <w:szCs w:val="24"/>
          <w:lang w:val="en-GB"/>
        </w:rPr>
      </w:pPr>
    </w:p>
    <w:p w14:paraId="5BCA75BA" w14:textId="77777777" w:rsidR="002746A7" w:rsidRPr="002177D4" w:rsidRDefault="002746A7" w:rsidP="006D0C86">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has shown to prolong the QT</w:t>
      </w:r>
      <w:r w:rsidRPr="002177D4">
        <w:rPr>
          <w:sz w:val="24"/>
          <w:szCs w:val="24"/>
          <w:vertAlign w:val="subscript"/>
          <w:lang w:val="en-GB"/>
        </w:rPr>
        <w:t>c</w:t>
      </w:r>
      <w:r w:rsidRPr="002177D4">
        <w:rPr>
          <w:sz w:val="24"/>
          <w:szCs w:val="24"/>
          <w:lang w:val="en-GB"/>
        </w:rPr>
        <w:t xml:space="preserve"> interval in some patients. It should be used with caution in patients with prolongation of the QT</w:t>
      </w:r>
      <w:r w:rsidRPr="002177D4">
        <w:rPr>
          <w:sz w:val="24"/>
          <w:szCs w:val="24"/>
          <w:vertAlign w:val="subscript"/>
          <w:lang w:val="en-GB"/>
        </w:rPr>
        <w:t>c</w:t>
      </w:r>
      <w:r w:rsidRPr="002177D4">
        <w:rPr>
          <w:sz w:val="24"/>
          <w:szCs w:val="24"/>
          <w:lang w:val="en-GB"/>
        </w:rPr>
        <w:t xml:space="preserve"> interval, in patients treated with medicinal products affecting the QT</w:t>
      </w:r>
      <w:r w:rsidRPr="002177D4">
        <w:rPr>
          <w:sz w:val="24"/>
          <w:szCs w:val="24"/>
          <w:vertAlign w:val="subscript"/>
          <w:lang w:val="en-GB"/>
        </w:rPr>
        <w:t>c</w:t>
      </w:r>
      <w:r w:rsidRPr="002177D4">
        <w:rPr>
          <w:sz w:val="24"/>
          <w:szCs w:val="24"/>
          <w:lang w:val="en-GB"/>
        </w:rPr>
        <w:t xml:space="preserve"> interval, or in patients with relevant pre-existing cardiac disease or electrolyte disturbances.</w:t>
      </w:r>
    </w:p>
    <w:p w14:paraId="011335D8" w14:textId="77777777" w:rsidR="002746A7" w:rsidRPr="002177D4" w:rsidRDefault="002746A7" w:rsidP="006D0C86">
      <w:pPr>
        <w:ind w:left="851"/>
        <w:rPr>
          <w:sz w:val="24"/>
          <w:szCs w:val="24"/>
          <w:lang w:val="en-GB"/>
        </w:rPr>
      </w:pPr>
    </w:p>
    <w:p w14:paraId="590547B4" w14:textId="552DB2FB" w:rsidR="002746A7" w:rsidRPr="002177D4" w:rsidRDefault="002746A7" w:rsidP="006D0C86">
      <w:pPr>
        <w:ind w:left="851"/>
        <w:rPr>
          <w:sz w:val="24"/>
          <w:szCs w:val="24"/>
          <w:lang w:val="en-GB"/>
        </w:rPr>
      </w:pPr>
      <w:r w:rsidRPr="002177D4">
        <w:rPr>
          <w:sz w:val="24"/>
          <w:szCs w:val="24"/>
          <w:lang w:val="en-GB"/>
        </w:rPr>
        <w:t xml:space="preserve">The use of </w:t>
      </w:r>
      <w:proofErr w:type="spellStart"/>
      <w:r w:rsidR="004C14A1">
        <w:rPr>
          <w:sz w:val="24"/>
          <w:szCs w:val="24"/>
          <w:lang w:val="en-GB"/>
        </w:rPr>
        <w:t>Lissidexanz</w:t>
      </w:r>
      <w:proofErr w:type="spellEnd"/>
      <w:r w:rsidRPr="002177D4">
        <w:rPr>
          <w:sz w:val="24"/>
          <w:szCs w:val="24"/>
          <w:lang w:val="en-GB"/>
        </w:rPr>
        <w:t xml:space="preserve"> is contraindicated in patients with symptomatic cardiovascular disease and also in those patients with moderate to severe hypertension (see section 4.3).</w:t>
      </w:r>
    </w:p>
    <w:p w14:paraId="3A9CB2FD" w14:textId="77777777" w:rsidR="002746A7" w:rsidRPr="002177D4" w:rsidRDefault="002746A7" w:rsidP="006D0C86">
      <w:pPr>
        <w:ind w:left="851"/>
        <w:rPr>
          <w:sz w:val="24"/>
          <w:szCs w:val="24"/>
          <w:lang w:val="en-GB"/>
        </w:rPr>
      </w:pPr>
    </w:p>
    <w:p w14:paraId="288B56BF" w14:textId="77777777" w:rsidR="002746A7" w:rsidRPr="002177D4" w:rsidRDefault="002746A7" w:rsidP="006D0C86">
      <w:pPr>
        <w:ind w:left="851"/>
        <w:rPr>
          <w:i/>
          <w:sz w:val="24"/>
          <w:szCs w:val="24"/>
          <w:lang w:val="en-GB"/>
        </w:rPr>
      </w:pPr>
      <w:r w:rsidRPr="002177D4">
        <w:rPr>
          <w:i/>
          <w:sz w:val="24"/>
          <w:szCs w:val="24"/>
          <w:lang w:val="en-GB"/>
        </w:rPr>
        <w:t>Cardiomyopathy</w:t>
      </w:r>
    </w:p>
    <w:p w14:paraId="048BB821" w14:textId="77777777" w:rsidR="002746A7" w:rsidRPr="002177D4" w:rsidRDefault="002746A7" w:rsidP="006D0C86">
      <w:pPr>
        <w:ind w:left="851"/>
        <w:rPr>
          <w:sz w:val="24"/>
          <w:szCs w:val="24"/>
          <w:lang w:val="en-GB"/>
        </w:rPr>
      </w:pPr>
    </w:p>
    <w:p w14:paraId="7F237C30" w14:textId="77777777" w:rsidR="002746A7" w:rsidRPr="002177D4" w:rsidRDefault="002746A7" w:rsidP="006D0C86">
      <w:pPr>
        <w:ind w:left="851"/>
        <w:rPr>
          <w:sz w:val="24"/>
          <w:szCs w:val="24"/>
          <w:lang w:val="en-GB"/>
        </w:rPr>
      </w:pPr>
      <w:r w:rsidRPr="002177D4">
        <w:rPr>
          <w:sz w:val="24"/>
          <w:szCs w:val="24"/>
          <w:lang w:val="en-GB"/>
        </w:rPr>
        <w:t xml:space="preserve">Cardiomyopathy has been reported with chronic </w:t>
      </w:r>
      <w:proofErr w:type="spellStart"/>
      <w:r w:rsidRPr="002177D4">
        <w:rPr>
          <w:sz w:val="24"/>
          <w:szCs w:val="24"/>
          <w:lang w:val="en-GB"/>
        </w:rPr>
        <w:t>amfetamine</w:t>
      </w:r>
      <w:proofErr w:type="spellEnd"/>
      <w:r w:rsidRPr="002177D4">
        <w:rPr>
          <w:sz w:val="24"/>
          <w:szCs w:val="24"/>
          <w:lang w:val="en-GB"/>
        </w:rPr>
        <w:t xml:space="preserve"> use. It has also been reported with </w:t>
      </w:r>
      <w:proofErr w:type="spellStart"/>
      <w:r w:rsidRPr="002177D4">
        <w:rPr>
          <w:sz w:val="24"/>
          <w:szCs w:val="24"/>
          <w:lang w:val="en-GB"/>
        </w:rPr>
        <w:t>lisdexamfetamine</w:t>
      </w:r>
      <w:proofErr w:type="spellEnd"/>
      <w:r w:rsidRPr="002177D4">
        <w:rPr>
          <w:sz w:val="24"/>
          <w:szCs w:val="24"/>
          <w:lang w:val="en-GB"/>
        </w:rPr>
        <w:t>-containing medicinal products.</w:t>
      </w:r>
    </w:p>
    <w:p w14:paraId="0F60321B" w14:textId="77777777" w:rsidR="002746A7" w:rsidRPr="002177D4" w:rsidRDefault="002746A7" w:rsidP="006D0C86">
      <w:pPr>
        <w:ind w:left="851"/>
        <w:rPr>
          <w:sz w:val="24"/>
          <w:szCs w:val="24"/>
          <w:lang w:val="en-GB"/>
        </w:rPr>
      </w:pPr>
    </w:p>
    <w:p w14:paraId="786EE23D" w14:textId="77777777" w:rsidR="002746A7" w:rsidRPr="002177D4" w:rsidRDefault="002746A7" w:rsidP="006D0C86">
      <w:pPr>
        <w:ind w:left="851"/>
        <w:rPr>
          <w:i/>
          <w:sz w:val="24"/>
          <w:szCs w:val="24"/>
          <w:lang w:val="en-GB"/>
        </w:rPr>
      </w:pPr>
      <w:r w:rsidRPr="002177D4">
        <w:rPr>
          <w:i/>
          <w:sz w:val="24"/>
          <w:szCs w:val="24"/>
          <w:lang w:val="en-GB"/>
        </w:rPr>
        <w:t>Assessing cardiovascular status in patients being treated with stimulant medications</w:t>
      </w:r>
    </w:p>
    <w:p w14:paraId="50EA3359" w14:textId="77777777" w:rsidR="002746A7" w:rsidRPr="002177D4" w:rsidRDefault="002746A7" w:rsidP="006D0C86">
      <w:pPr>
        <w:ind w:left="851"/>
        <w:rPr>
          <w:sz w:val="24"/>
          <w:szCs w:val="24"/>
          <w:lang w:val="en-GB"/>
        </w:rPr>
      </w:pPr>
    </w:p>
    <w:p w14:paraId="43C0BA78" w14:textId="77777777" w:rsidR="002746A7" w:rsidRPr="002177D4" w:rsidRDefault="002746A7" w:rsidP="006D0C86">
      <w:pPr>
        <w:ind w:left="851"/>
        <w:rPr>
          <w:sz w:val="24"/>
          <w:szCs w:val="24"/>
          <w:lang w:val="en-GB"/>
        </w:rPr>
      </w:pPr>
      <w:r w:rsidRPr="002177D4">
        <w:rPr>
          <w:sz w:val="24"/>
          <w:szCs w:val="24"/>
          <w:lang w:val="en-GB"/>
        </w:rPr>
        <w:t>All patients who are being considered for treatment with stimulant medications should have a careful history (including assessment for a family history of sudden death or ventricular arrhythmia) and physical exam to assess for the presence of cardiac disease, and should receive further cardiac evaluation if findings suggest such disease (e.g., electrocardiogram or echocardiogram). Patients who develop symptoms such as exertional chest pain, unexplained syncope, or other symptoms suggestive of cardiac disease during stimulant treatment should undergo a prompt cardiac evaluation.</w:t>
      </w:r>
    </w:p>
    <w:p w14:paraId="53BE5EF7" w14:textId="77777777" w:rsidR="002746A7" w:rsidRPr="002177D4" w:rsidRDefault="002746A7" w:rsidP="006D0C86">
      <w:pPr>
        <w:ind w:left="851"/>
        <w:rPr>
          <w:sz w:val="24"/>
          <w:szCs w:val="24"/>
          <w:lang w:val="en-GB"/>
        </w:rPr>
      </w:pPr>
    </w:p>
    <w:p w14:paraId="494E0D9C" w14:textId="77777777" w:rsidR="002746A7" w:rsidRPr="00C6604D" w:rsidRDefault="002746A7" w:rsidP="006D0C86">
      <w:pPr>
        <w:ind w:left="851"/>
        <w:rPr>
          <w:sz w:val="24"/>
          <w:szCs w:val="24"/>
          <w:u w:val="single"/>
          <w:lang w:val="en-GB"/>
        </w:rPr>
      </w:pPr>
      <w:r w:rsidRPr="00C6604D">
        <w:rPr>
          <w:sz w:val="24"/>
          <w:szCs w:val="24"/>
          <w:u w:val="single"/>
          <w:lang w:val="en-GB"/>
        </w:rPr>
        <w:t>Psychiatric adverse events</w:t>
      </w:r>
    </w:p>
    <w:p w14:paraId="526CF861" w14:textId="77777777" w:rsidR="002746A7" w:rsidRPr="002177D4" w:rsidRDefault="002746A7" w:rsidP="006D0C86">
      <w:pPr>
        <w:ind w:left="851"/>
        <w:rPr>
          <w:i/>
          <w:sz w:val="24"/>
          <w:szCs w:val="24"/>
          <w:lang w:val="en-GB"/>
        </w:rPr>
      </w:pPr>
    </w:p>
    <w:p w14:paraId="398191DB" w14:textId="77777777" w:rsidR="002746A7" w:rsidRPr="002177D4" w:rsidRDefault="002746A7" w:rsidP="006D0C86">
      <w:pPr>
        <w:ind w:left="851"/>
        <w:rPr>
          <w:i/>
          <w:sz w:val="24"/>
          <w:szCs w:val="24"/>
          <w:lang w:val="en-GB"/>
        </w:rPr>
      </w:pPr>
      <w:r w:rsidRPr="002177D4">
        <w:rPr>
          <w:i/>
          <w:sz w:val="24"/>
          <w:szCs w:val="24"/>
          <w:lang w:val="en-GB"/>
        </w:rPr>
        <w:t>Pre-existing psychosis</w:t>
      </w:r>
    </w:p>
    <w:p w14:paraId="3AC5589F" w14:textId="77777777" w:rsidR="002746A7" w:rsidRPr="002177D4" w:rsidRDefault="002746A7" w:rsidP="006D0C86">
      <w:pPr>
        <w:ind w:left="851"/>
        <w:rPr>
          <w:sz w:val="24"/>
          <w:szCs w:val="24"/>
          <w:lang w:val="en-GB"/>
        </w:rPr>
      </w:pPr>
    </w:p>
    <w:p w14:paraId="3FE5B257" w14:textId="77777777" w:rsidR="002746A7" w:rsidRPr="002177D4" w:rsidRDefault="002746A7" w:rsidP="006D0C86">
      <w:pPr>
        <w:ind w:left="851"/>
        <w:rPr>
          <w:sz w:val="24"/>
          <w:szCs w:val="24"/>
          <w:lang w:val="en-GB"/>
        </w:rPr>
      </w:pPr>
      <w:r w:rsidRPr="002177D4">
        <w:rPr>
          <w:sz w:val="24"/>
          <w:szCs w:val="24"/>
          <w:lang w:val="en-GB"/>
        </w:rPr>
        <w:t>Administration of stimulants may exacerbate symptoms of behaviour disturbance and thought disorder in patients with pre-existing psychotic disorders.</w:t>
      </w:r>
    </w:p>
    <w:p w14:paraId="69F780A1" w14:textId="77777777" w:rsidR="002746A7" w:rsidRPr="002177D4" w:rsidRDefault="002746A7" w:rsidP="006D0C86">
      <w:pPr>
        <w:ind w:left="851"/>
        <w:rPr>
          <w:sz w:val="24"/>
          <w:szCs w:val="24"/>
          <w:lang w:val="en-GB"/>
        </w:rPr>
      </w:pPr>
    </w:p>
    <w:p w14:paraId="570E9633" w14:textId="77777777" w:rsidR="002746A7" w:rsidRPr="002177D4" w:rsidRDefault="002746A7" w:rsidP="006D0C86">
      <w:pPr>
        <w:ind w:left="851"/>
        <w:rPr>
          <w:i/>
          <w:sz w:val="24"/>
          <w:szCs w:val="24"/>
          <w:lang w:val="en-GB"/>
        </w:rPr>
      </w:pPr>
      <w:r w:rsidRPr="002177D4">
        <w:rPr>
          <w:i/>
          <w:sz w:val="24"/>
          <w:szCs w:val="24"/>
          <w:lang w:val="en-GB"/>
        </w:rPr>
        <w:t>Bipolar illness</w:t>
      </w:r>
    </w:p>
    <w:p w14:paraId="65A50A14" w14:textId="77777777" w:rsidR="002746A7" w:rsidRPr="002177D4" w:rsidRDefault="002746A7" w:rsidP="006D0C86">
      <w:pPr>
        <w:ind w:left="851"/>
        <w:rPr>
          <w:sz w:val="24"/>
          <w:szCs w:val="24"/>
          <w:lang w:val="en-GB"/>
        </w:rPr>
      </w:pPr>
    </w:p>
    <w:p w14:paraId="07807C28" w14:textId="77777777" w:rsidR="002746A7" w:rsidRPr="002177D4" w:rsidRDefault="002746A7" w:rsidP="006D0C86">
      <w:pPr>
        <w:ind w:left="851"/>
        <w:rPr>
          <w:sz w:val="24"/>
          <w:szCs w:val="24"/>
          <w:lang w:val="en-GB"/>
        </w:rPr>
      </w:pPr>
      <w:r w:rsidRPr="002177D4">
        <w:rPr>
          <w:sz w:val="24"/>
          <w:szCs w:val="24"/>
          <w:lang w:val="en-GB"/>
        </w:rPr>
        <w:t>Particular care should be taken in using stimulants to treat ADHD patients with comorbid bipolar disorder because of concern for possible induction of mixed/manic episode in such patients. Prior to initiating treatment with a stimulant, patients with comorbid depressive symptoms should be adequately screened to determine if they are at risk for bipolar disorder; such screening should include a detailed psychiatric history, including a family history of suicide, bipolar disorder, and depression.</w:t>
      </w:r>
    </w:p>
    <w:p w14:paraId="6727CAAB" w14:textId="77777777" w:rsidR="002746A7" w:rsidRPr="002177D4" w:rsidRDefault="002746A7" w:rsidP="006D0C86">
      <w:pPr>
        <w:ind w:left="851"/>
        <w:rPr>
          <w:sz w:val="24"/>
          <w:szCs w:val="24"/>
          <w:lang w:val="en-GB"/>
        </w:rPr>
      </w:pPr>
    </w:p>
    <w:p w14:paraId="7C96EE8A" w14:textId="77777777" w:rsidR="002746A7" w:rsidRPr="002177D4" w:rsidRDefault="002746A7" w:rsidP="006D0C86">
      <w:pPr>
        <w:ind w:left="851"/>
        <w:rPr>
          <w:i/>
          <w:sz w:val="24"/>
          <w:szCs w:val="24"/>
          <w:lang w:val="en-GB"/>
        </w:rPr>
      </w:pPr>
      <w:r w:rsidRPr="002177D4">
        <w:rPr>
          <w:i/>
          <w:sz w:val="24"/>
          <w:szCs w:val="24"/>
          <w:lang w:val="en-GB"/>
        </w:rPr>
        <w:t>Emergence of new psychotic or manic symptoms</w:t>
      </w:r>
    </w:p>
    <w:p w14:paraId="454A1DF7" w14:textId="77777777" w:rsidR="002746A7" w:rsidRPr="002177D4" w:rsidRDefault="002746A7" w:rsidP="006D0C86">
      <w:pPr>
        <w:ind w:left="851"/>
        <w:rPr>
          <w:sz w:val="24"/>
          <w:szCs w:val="24"/>
          <w:lang w:val="en-GB"/>
        </w:rPr>
      </w:pPr>
    </w:p>
    <w:p w14:paraId="476C740E" w14:textId="77777777" w:rsidR="002746A7" w:rsidRPr="002177D4" w:rsidRDefault="002746A7" w:rsidP="006D0C86">
      <w:pPr>
        <w:ind w:left="851"/>
        <w:rPr>
          <w:sz w:val="24"/>
          <w:szCs w:val="24"/>
          <w:lang w:val="en-GB"/>
        </w:rPr>
      </w:pPr>
      <w:r w:rsidRPr="002177D4">
        <w:rPr>
          <w:sz w:val="24"/>
          <w:szCs w:val="24"/>
          <w:lang w:val="en-GB"/>
        </w:rPr>
        <w:t>Treatment emergent psychotic or manic symptoms, e.g., hallucinations, delusional thinking, or mania in children and adolescents without prior history of psychotic illness or mania can be caused by stimulants at usual doses. If such symptoms occur, consideration should be given to a possible causal role of the stimulant, and discontinuation of treatment may be appropriate.</w:t>
      </w:r>
    </w:p>
    <w:p w14:paraId="26AD296F" w14:textId="77777777" w:rsidR="002746A7" w:rsidRPr="002177D4" w:rsidRDefault="002746A7" w:rsidP="006D0C86">
      <w:pPr>
        <w:ind w:left="851"/>
        <w:rPr>
          <w:sz w:val="24"/>
          <w:szCs w:val="24"/>
          <w:lang w:val="en-GB"/>
        </w:rPr>
      </w:pPr>
    </w:p>
    <w:p w14:paraId="5C1B53D3" w14:textId="77777777" w:rsidR="002746A7" w:rsidRPr="002177D4" w:rsidRDefault="002746A7" w:rsidP="006D0C86">
      <w:pPr>
        <w:ind w:left="851"/>
        <w:rPr>
          <w:i/>
          <w:sz w:val="24"/>
          <w:szCs w:val="24"/>
          <w:lang w:val="en-GB"/>
        </w:rPr>
      </w:pPr>
      <w:r w:rsidRPr="002177D4">
        <w:rPr>
          <w:i/>
          <w:sz w:val="24"/>
          <w:szCs w:val="24"/>
          <w:lang w:val="en-GB"/>
        </w:rPr>
        <w:t>Aggression</w:t>
      </w:r>
    </w:p>
    <w:p w14:paraId="1F6BB0F4" w14:textId="77777777" w:rsidR="002746A7" w:rsidRPr="002177D4" w:rsidRDefault="002746A7" w:rsidP="006D0C86">
      <w:pPr>
        <w:ind w:left="851"/>
        <w:rPr>
          <w:sz w:val="24"/>
          <w:szCs w:val="24"/>
          <w:lang w:val="en-GB"/>
        </w:rPr>
      </w:pPr>
    </w:p>
    <w:p w14:paraId="01703851" w14:textId="77777777" w:rsidR="002746A7" w:rsidRPr="002177D4" w:rsidRDefault="002746A7" w:rsidP="006D0C86">
      <w:pPr>
        <w:ind w:left="851"/>
        <w:rPr>
          <w:sz w:val="24"/>
          <w:szCs w:val="24"/>
          <w:lang w:val="en-GB"/>
        </w:rPr>
      </w:pPr>
      <w:r w:rsidRPr="002177D4">
        <w:rPr>
          <w:sz w:val="24"/>
          <w:szCs w:val="24"/>
          <w:lang w:val="en-GB"/>
        </w:rPr>
        <w:t xml:space="preserve">Aggressive behaviour or hostility is often observed in children and adolescents with ADHD, and has been reported in clinical trials and the </w:t>
      </w:r>
      <w:proofErr w:type="spellStart"/>
      <w:r w:rsidRPr="002177D4">
        <w:rPr>
          <w:sz w:val="24"/>
          <w:szCs w:val="24"/>
          <w:lang w:val="en-GB"/>
        </w:rPr>
        <w:t>postmarketing</w:t>
      </w:r>
      <w:proofErr w:type="spellEnd"/>
      <w:r w:rsidRPr="002177D4">
        <w:rPr>
          <w:sz w:val="24"/>
          <w:szCs w:val="24"/>
          <w:lang w:val="en-GB"/>
        </w:rPr>
        <w:t xml:space="preserve"> experience of some medications indicated for the treatment of ADHD including </w:t>
      </w:r>
      <w:proofErr w:type="spellStart"/>
      <w:r w:rsidRPr="002177D4">
        <w:rPr>
          <w:sz w:val="24"/>
          <w:szCs w:val="24"/>
          <w:lang w:val="en-GB"/>
        </w:rPr>
        <w:t>lisdexamfetamine</w:t>
      </w:r>
      <w:proofErr w:type="spellEnd"/>
      <w:r w:rsidRPr="002177D4">
        <w:rPr>
          <w:sz w:val="24"/>
          <w:szCs w:val="24"/>
          <w:lang w:val="en-GB"/>
        </w:rPr>
        <w:t>-products. Stimulants may cause aggressive behaviour or hostility. Patients beginning treatment for ADHD should be monitored for the appearance of or worsening of aggressive behaviour or hostility.</w:t>
      </w:r>
    </w:p>
    <w:p w14:paraId="492D2D54" w14:textId="77777777" w:rsidR="002746A7" w:rsidRPr="002177D4" w:rsidRDefault="002746A7" w:rsidP="006D0C86">
      <w:pPr>
        <w:ind w:left="851"/>
        <w:rPr>
          <w:sz w:val="24"/>
          <w:szCs w:val="24"/>
          <w:lang w:val="en-GB"/>
        </w:rPr>
      </w:pPr>
    </w:p>
    <w:p w14:paraId="6530C84E" w14:textId="77777777" w:rsidR="002746A7" w:rsidRPr="00C6604D" w:rsidRDefault="002746A7" w:rsidP="006D0C86">
      <w:pPr>
        <w:ind w:left="851"/>
        <w:rPr>
          <w:sz w:val="24"/>
          <w:szCs w:val="24"/>
          <w:u w:val="single"/>
          <w:lang w:val="en-GB"/>
        </w:rPr>
      </w:pPr>
      <w:r w:rsidRPr="00C6604D">
        <w:rPr>
          <w:sz w:val="24"/>
          <w:szCs w:val="24"/>
          <w:u w:val="single"/>
          <w:lang w:val="en-GB"/>
        </w:rPr>
        <w:t>Tics</w:t>
      </w:r>
    </w:p>
    <w:p w14:paraId="1B814702" w14:textId="77777777" w:rsidR="002746A7" w:rsidRPr="002177D4" w:rsidRDefault="002746A7" w:rsidP="006D0C86">
      <w:pPr>
        <w:ind w:left="851"/>
        <w:rPr>
          <w:sz w:val="24"/>
          <w:szCs w:val="24"/>
          <w:lang w:val="en-GB"/>
        </w:rPr>
      </w:pPr>
    </w:p>
    <w:p w14:paraId="498DD611" w14:textId="77777777" w:rsidR="002746A7" w:rsidRPr="002177D4" w:rsidRDefault="002746A7" w:rsidP="006D0C86">
      <w:pPr>
        <w:ind w:left="851"/>
        <w:rPr>
          <w:sz w:val="24"/>
          <w:szCs w:val="24"/>
          <w:lang w:val="en-GB"/>
        </w:rPr>
      </w:pPr>
      <w:r w:rsidRPr="002177D4">
        <w:rPr>
          <w:sz w:val="24"/>
          <w:szCs w:val="24"/>
          <w:lang w:val="en-GB"/>
        </w:rPr>
        <w:t>Stimulants have been reported to exacerbate motor and phonic tics and Tourette’s syndrome. Therefore, clinical evaluation for tics and Tourette’s syndrome should precede use of stimulant medications.</w:t>
      </w:r>
    </w:p>
    <w:p w14:paraId="615A28CF" w14:textId="77777777" w:rsidR="002746A7" w:rsidRPr="002177D4" w:rsidRDefault="002746A7" w:rsidP="006D0C86">
      <w:pPr>
        <w:ind w:left="851"/>
        <w:rPr>
          <w:sz w:val="24"/>
          <w:szCs w:val="24"/>
          <w:lang w:val="en-GB"/>
        </w:rPr>
      </w:pPr>
    </w:p>
    <w:p w14:paraId="5ADC76D9" w14:textId="77777777" w:rsidR="002746A7" w:rsidRPr="00C6604D" w:rsidRDefault="002746A7" w:rsidP="006D0C86">
      <w:pPr>
        <w:ind w:left="851"/>
        <w:rPr>
          <w:sz w:val="24"/>
          <w:szCs w:val="24"/>
          <w:u w:val="single"/>
          <w:lang w:val="en-GB"/>
        </w:rPr>
      </w:pPr>
      <w:r w:rsidRPr="00C6604D">
        <w:rPr>
          <w:sz w:val="24"/>
          <w:szCs w:val="24"/>
          <w:u w:val="single"/>
          <w:lang w:val="en-GB"/>
        </w:rPr>
        <w:t>Long-term effect on weight</w:t>
      </w:r>
    </w:p>
    <w:p w14:paraId="56C84104" w14:textId="77777777" w:rsidR="002746A7" w:rsidRPr="002177D4" w:rsidRDefault="002746A7" w:rsidP="006D0C86">
      <w:pPr>
        <w:ind w:left="851"/>
        <w:rPr>
          <w:sz w:val="24"/>
          <w:szCs w:val="24"/>
          <w:lang w:val="en-GB"/>
        </w:rPr>
      </w:pPr>
    </w:p>
    <w:p w14:paraId="5B731CA7" w14:textId="77777777" w:rsidR="002746A7" w:rsidRPr="002177D4" w:rsidRDefault="002746A7" w:rsidP="006D0C86">
      <w:pPr>
        <w:ind w:left="851"/>
        <w:rPr>
          <w:sz w:val="24"/>
          <w:szCs w:val="24"/>
          <w:lang w:val="en-GB"/>
        </w:rPr>
      </w:pPr>
      <w:r w:rsidRPr="002177D4">
        <w:rPr>
          <w:sz w:val="24"/>
          <w:szCs w:val="24"/>
          <w:lang w:val="en-GB"/>
        </w:rPr>
        <w:t>Stimulants have been associated with weight loss. Weight should be monitored during treatment with stimulants, and patients who are losing weight may need to have their treatment interrupted</w:t>
      </w:r>
    </w:p>
    <w:p w14:paraId="6A1F2994" w14:textId="77777777" w:rsidR="002746A7" w:rsidRPr="002177D4" w:rsidRDefault="002746A7" w:rsidP="006D0C86">
      <w:pPr>
        <w:ind w:left="851"/>
        <w:rPr>
          <w:sz w:val="24"/>
          <w:szCs w:val="24"/>
          <w:lang w:val="en-GB"/>
        </w:rPr>
      </w:pPr>
    </w:p>
    <w:p w14:paraId="488AF6B8" w14:textId="77777777" w:rsidR="002746A7" w:rsidRPr="00C6604D" w:rsidRDefault="002746A7" w:rsidP="006D0C86">
      <w:pPr>
        <w:ind w:left="851"/>
        <w:rPr>
          <w:sz w:val="24"/>
          <w:szCs w:val="24"/>
          <w:u w:val="single"/>
          <w:lang w:val="en-GB"/>
        </w:rPr>
      </w:pPr>
      <w:r w:rsidRPr="00C6604D">
        <w:rPr>
          <w:sz w:val="24"/>
          <w:szCs w:val="24"/>
          <w:u w:val="single"/>
          <w:lang w:val="en-GB"/>
        </w:rPr>
        <w:t>Seizures</w:t>
      </w:r>
    </w:p>
    <w:p w14:paraId="1627D686" w14:textId="77777777" w:rsidR="002746A7" w:rsidRPr="002177D4" w:rsidRDefault="002746A7" w:rsidP="006D0C86">
      <w:pPr>
        <w:ind w:left="851"/>
        <w:rPr>
          <w:sz w:val="24"/>
          <w:szCs w:val="24"/>
          <w:lang w:val="en-GB"/>
        </w:rPr>
      </w:pPr>
    </w:p>
    <w:p w14:paraId="115D98D1" w14:textId="77777777" w:rsidR="002746A7" w:rsidRPr="002177D4" w:rsidRDefault="002746A7" w:rsidP="006D0C86">
      <w:pPr>
        <w:ind w:left="851"/>
        <w:rPr>
          <w:sz w:val="24"/>
          <w:szCs w:val="24"/>
          <w:lang w:val="en-GB"/>
        </w:rPr>
      </w:pPr>
      <w:r w:rsidRPr="002177D4">
        <w:rPr>
          <w:sz w:val="24"/>
          <w:szCs w:val="24"/>
          <w:lang w:val="en-GB"/>
        </w:rPr>
        <w:t>There is some clinical evidence that stimulants may lower the convulsive threshold in patients with prior history of seizure, in patients with prior EEG abnormalities in absence of seizures, and very rarely, in patients without a history of seizures and no prior EEG evidence of seizures. In the presence of seizures, the medicinal product should be discontinued.</w:t>
      </w:r>
    </w:p>
    <w:p w14:paraId="4EBC3E00" w14:textId="77777777" w:rsidR="002746A7" w:rsidRPr="002177D4" w:rsidRDefault="002746A7" w:rsidP="006D0C86">
      <w:pPr>
        <w:ind w:left="851"/>
        <w:rPr>
          <w:sz w:val="24"/>
          <w:szCs w:val="24"/>
          <w:lang w:val="en-GB"/>
        </w:rPr>
      </w:pPr>
    </w:p>
    <w:p w14:paraId="26A3690F" w14:textId="77777777" w:rsidR="002746A7" w:rsidRPr="00C6604D" w:rsidRDefault="002746A7" w:rsidP="006D0C86">
      <w:pPr>
        <w:ind w:left="851"/>
        <w:rPr>
          <w:sz w:val="24"/>
          <w:szCs w:val="24"/>
          <w:u w:val="single"/>
          <w:lang w:val="en-GB"/>
        </w:rPr>
      </w:pPr>
      <w:r w:rsidRPr="00C6604D">
        <w:rPr>
          <w:sz w:val="24"/>
          <w:szCs w:val="24"/>
          <w:u w:val="single"/>
          <w:lang w:val="en-GB"/>
        </w:rPr>
        <w:t>Visual disturbance</w:t>
      </w:r>
    </w:p>
    <w:p w14:paraId="66021CDE" w14:textId="77777777" w:rsidR="002746A7" w:rsidRPr="002177D4" w:rsidRDefault="002746A7" w:rsidP="006D0C86">
      <w:pPr>
        <w:ind w:left="851"/>
        <w:rPr>
          <w:sz w:val="24"/>
          <w:szCs w:val="24"/>
          <w:lang w:val="en-GB"/>
        </w:rPr>
      </w:pPr>
    </w:p>
    <w:p w14:paraId="7A1A683B" w14:textId="77777777" w:rsidR="002746A7" w:rsidRPr="002177D4" w:rsidRDefault="002746A7" w:rsidP="006D0C86">
      <w:pPr>
        <w:ind w:left="851"/>
        <w:rPr>
          <w:sz w:val="24"/>
          <w:szCs w:val="24"/>
          <w:lang w:val="en-GB"/>
        </w:rPr>
      </w:pPr>
      <w:r w:rsidRPr="002177D4">
        <w:rPr>
          <w:sz w:val="24"/>
          <w:szCs w:val="24"/>
          <w:lang w:val="en-GB"/>
        </w:rPr>
        <w:t>Difficulties with accommodation and blurring of vision have been reported with stimulant treatment.</w:t>
      </w:r>
    </w:p>
    <w:p w14:paraId="621D9BBD" w14:textId="77777777" w:rsidR="002746A7" w:rsidRPr="002177D4" w:rsidRDefault="002746A7" w:rsidP="006D0C86">
      <w:pPr>
        <w:ind w:left="851"/>
        <w:rPr>
          <w:sz w:val="24"/>
          <w:szCs w:val="24"/>
          <w:lang w:val="en-GB"/>
        </w:rPr>
      </w:pPr>
    </w:p>
    <w:p w14:paraId="24EC88B0" w14:textId="77777777" w:rsidR="002746A7" w:rsidRPr="00C6604D" w:rsidRDefault="002746A7" w:rsidP="006D0C86">
      <w:pPr>
        <w:ind w:left="851"/>
        <w:rPr>
          <w:sz w:val="24"/>
          <w:szCs w:val="24"/>
          <w:u w:val="single"/>
          <w:lang w:val="en-GB"/>
        </w:rPr>
      </w:pPr>
      <w:r w:rsidRPr="00C6604D">
        <w:rPr>
          <w:sz w:val="24"/>
          <w:szCs w:val="24"/>
          <w:u w:val="single"/>
          <w:lang w:val="en-GB"/>
        </w:rPr>
        <w:t>Prescribing and dispensing</w:t>
      </w:r>
    </w:p>
    <w:p w14:paraId="2144986A" w14:textId="77777777" w:rsidR="002746A7" w:rsidRPr="002177D4" w:rsidRDefault="002746A7" w:rsidP="006D0C86">
      <w:pPr>
        <w:ind w:left="851"/>
        <w:rPr>
          <w:sz w:val="24"/>
          <w:szCs w:val="24"/>
          <w:lang w:val="en-GB"/>
        </w:rPr>
      </w:pPr>
    </w:p>
    <w:p w14:paraId="5F97D121" w14:textId="6551F51C" w:rsidR="002746A7" w:rsidRPr="002177D4" w:rsidRDefault="002746A7" w:rsidP="006D0C86">
      <w:pPr>
        <w:ind w:left="851"/>
        <w:rPr>
          <w:sz w:val="24"/>
          <w:szCs w:val="24"/>
          <w:lang w:val="en-GB"/>
        </w:rPr>
      </w:pPr>
      <w:r w:rsidRPr="002177D4">
        <w:rPr>
          <w:sz w:val="24"/>
          <w:szCs w:val="24"/>
          <w:lang w:val="en-GB"/>
        </w:rPr>
        <w:t xml:space="preserve">The least amount of </w:t>
      </w:r>
      <w:proofErr w:type="spellStart"/>
      <w:r w:rsidR="004C14A1">
        <w:rPr>
          <w:sz w:val="24"/>
          <w:szCs w:val="24"/>
          <w:lang w:val="en-GB"/>
        </w:rPr>
        <w:t>Lissidexanz</w:t>
      </w:r>
      <w:proofErr w:type="spellEnd"/>
      <w:r w:rsidRPr="002177D4">
        <w:rPr>
          <w:sz w:val="24"/>
          <w:szCs w:val="24"/>
          <w:lang w:val="en-GB"/>
        </w:rPr>
        <w:t xml:space="preserve"> feasible should be prescribed or dispensed in order to minimise the risk of possible overdose by the patient.</w:t>
      </w:r>
    </w:p>
    <w:p w14:paraId="5E3EC8C9" w14:textId="77777777" w:rsidR="002746A7" w:rsidRPr="002177D4" w:rsidRDefault="002746A7" w:rsidP="006D0C86">
      <w:pPr>
        <w:ind w:left="851"/>
        <w:rPr>
          <w:sz w:val="24"/>
          <w:szCs w:val="24"/>
          <w:lang w:val="en-GB"/>
        </w:rPr>
      </w:pPr>
    </w:p>
    <w:p w14:paraId="29A9B325" w14:textId="77777777" w:rsidR="002746A7" w:rsidRPr="00C6604D" w:rsidRDefault="002746A7" w:rsidP="006D0C86">
      <w:pPr>
        <w:ind w:left="851"/>
        <w:rPr>
          <w:sz w:val="24"/>
          <w:szCs w:val="24"/>
          <w:u w:val="single"/>
          <w:lang w:val="en-GB"/>
        </w:rPr>
      </w:pPr>
      <w:r w:rsidRPr="00C6604D">
        <w:rPr>
          <w:sz w:val="24"/>
          <w:szCs w:val="24"/>
          <w:u w:val="single"/>
          <w:lang w:val="en-GB"/>
        </w:rPr>
        <w:t>Use with other sympathomimetic medicinal products</w:t>
      </w:r>
    </w:p>
    <w:p w14:paraId="6E4A4A09" w14:textId="77777777" w:rsidR="002746A7" w:rsidRPr="002177D4" w:rsidRDefault="002746A7" w:rsidP="006D0C86">
      <w:pPr>
        <w:ind w:left="851"/>
        <w:rPr>
          <w:sz w:val="24"/>
          <w:szCs w:val="24"/>
          <w:lang w:val="en-GB"/>
        </w:rPr>
      </w:pPr>
    </w:p>
    <w:p w14:paraId="330732EE" w14:textId="536BF050" w:rsidR="002746A7" w:rsidRPr="002177D4" w:rsidRDefault="004C14A1" w:rsidP="006D0C86">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should be used with caution in patients who use other sympathomimetic medicinal products (see section 4.5).</w:t>
      </w:r>
    </w:p>
    <w:p w14:paraId="3639B173" w14:textId="77777777" w:rsidR="002746A7" w:rsidRPr="002177D4" w:rsidRDefault="002746A7" w:rsidP="006D0C86">
      <w:pPr>
        <w:ind w:left="851"/>
        <w:rPr>
          <w:sz w:val="24"/>
          <w:szCs w:val="24"/>
          <w:lang w:val="en-GB"/>
        </w:rPr>
      </w:pPr>
    </w:p>
    <w:p w14:paraId="5E594C36" w14:textId="61DA69BF" w:rsidR="002746A7" w:rsidRPr="00C6604D" w:rsidRDefault="004C14A1" w:rsidP="006D0C86">
      <w:pPr>
        <w:ind w:left="851"/>
        <w:rPr>
          <w:sz w:val="24"/>
          <w:szCs w:val="24"/>
          <w:u w:val="single"/>
          <w:lang w:val="en-GB"/>
        </w:rPr>
      </w:pPr>
      <w:proofErr w:type="spellStart"/>
      <w:r>
        <w:rPr>
          <w:sz w:val="24"/>
          <w:szCs w:val="24"/>
          <w:u w:val="single"/>
          <w:lang w:val="en-GB"/>
        </w:rPr>
        <w:t>Lissidexanz</w:t>
      </w:r>
      <w:proofErr w:type="spellEnd"/>
      <w:r w:rsidR="002746A7" w:rsidRPr="00C6604D">
        <w:rPr>
          <w:sz w:val="24"/>
          <w:szCs w:val="24"/>
          <w:u w:val="single"/>
          <w:lang w:val="en-GB"/>
        </w:rPr>
        <w:t xml:space="preserve"> contains sodium</w:t>
      </w:r>
    </w:p>
    <w:p w14:paraId="22CD9FBE" w14:textId="77777777" w:rsidR="002746A7" w:rsidRPr="002177D4" w:rsidRDefault="002746A7" w:rsidP="006D0C86">
      <w:pPr>
        <w:ind w:left="851"/>
        <w:rPr>
          <w:sz w:val="24"/>
          <w:szCs w:val="24"/>
          <w:lang w:val="en-GB"/>
        </w:rPr>
      </w:pPr>
    </w:p>
    <w:p w14:paraId="4575F39F" w14:textId="77777777" w:rsidR="002746A7" w:rsidRPr="002177D4" w:rsidRDefault="002746A7" w:rsidP="006D0C86">
      <w:pPr>
        <w:ind w:left="851"/>
        <w:rPr>
          <w:sz w:val="24"/>
          <w:szCs w:val="24"/>
          <w:lang w:val="en-GB"/>
        </w:rPr>
      </w:pPr>
      <w:r w:rsidRPr="002177D4">
        <w:rPr>
          <w:sz w:val="24"/>
          <w:szCs w:val="24"/>
          <w:lang w:val="en-GB"/>
        </w:rPr>
        <w:t>This medicine contains less than 1 mmol sodium (23 mg) per capsule, that is to say essentially ‘sodium-free’.</w:t>
      </w:r>
    </w:p>
    <w:p w14:paraId="0639EF02" w14:textId="77777777" w:rsidR="007C5D2A" w:rsidRPr="002177D4" w:rsidRDefault="007C5D2A" w:rsidP="003E0341">
      <w:pPr>
        <w:tabs>
          <w:tab w:val="left" w:pos="851"/>
        </w:tabs>
        <w:ind w:left="851"/>
        <w:rPr>
          <w:sz w:val="24"/>
          <w:szCs w:val="24"/>
          <w:lang w:val="en-GB"/>
        </w:rPr>
      </w:pPr>
    </w:p>
    <w:p w14:paraId="7792E089" w14:textId="77777777" w:rsidR="007C5D2A" w:rsidRPr="002177D4" w:rsidRDefault="007C5D2A" w:rsidP="007C5D2A">
      <w:pPr>
        <w:ind w:left="851" w:hanging="851"/>
        <w:rPr>
          <w:b/>
          <w:sz w:val="24"/>
          <w:szCs w:val="24"/>
          <w:lang w:val="en-GB"/>
        </w:rPr>
      </w:pPr>
      <w:r w:rsidRPr="002177D4">
        <w:rPr>
          <w:b/>
          <w:sz w:val="24"/>
          <w:szCs w:val="24"/>
          <w:lang w:val="en-GB"/>
        </w:rPr>
        <w:t>4.5</w:t>
      </w:r>
      <w:r w:rsidRPr="002177D4">
        <w:rPr>
          <w:b/>
          <w:sz w:val="24"/>
          <w:szCs w:val="24"/>
          <w:lang w:val="en-GB"/>
        </w:rPr>
        <w:tab/>
        <w:t>Interaction with other medicinal products and other forms of interaction</w:t>
      </w:r>
    </w:p>
    <w:p w14:paraId="2B992D59" w14:textId="77777777" w:rsidR="00C6604D" w:rsidRDefault="00C6604D" w:rsidP="00EC2189">
      <w:pPr>
        <w:ind w:left="851"/>
        <w:rPr>
          <w:i/>
          <w:sz w:val="24"/>
          <w:szCs w:val="24"/>
          <w:lang w:val="en-GB"/>
        </w:rPr>
      </w:pPr>
    </w:p>
    <w:p w14:paraId="61DC92FB" w14:textId="4F0C72B3" w:rsidR="002746A7" w:rsidRPr="00C6604D" w:rsidRDefault="002746A7" w:rsidP="00EC2189">
      <w:pPr>
        <w:ind w:left="851"/>
        <w:rPr>
          <w:sz w:val="24"/>
          <w:szCs w:val="24"/>
          <w:u w:val="single"/>
          <w:lang w:val="en-GB"/>
        </w:rPr>
      </w:pPr>
      <w:r w:rsidRPr="00C6604D">
        <w:rPr>
          <w:i/>
          <w:sz w:val="24"/>
          <w:szCs w:val="24"/>
          <w:u w:val="single"/>
          <w:lang w:val="en-GB"/>
        </w:rPr>
        <w:t>In vitro</w:t>
      </w:r>
      <w:r w:rsidRPr="00C6604D">
        <w:rPr>
          <w:sz w:val="24"/>
          <w:szCs w:val="24"/>
          <w:u w:val="single"/>
          <w:lang w:val="en-GB"/>
        </w:rPr>
        <w:t xml:space="preserve"> enzyme inhibition </w:t>
      </w:r>
    </w:p>
    <w:p w14:paraId="65FF9494" w14:textId="77777777" w:rsidR="002746A7" w:rsidRPr="002177D4" w:rsidRDefault="002746A7" w:rsidP="00EC2189">
      <w:pPr>
        <w:ind w:left="851"/>
        <w:rPr>
          <w:sz w:val="24"/>
          <w:szCs w:val="24"/>
          <w:lang w:val="en-GB"/>
        </w:rPr>
      </w:pPr>
    </w:p>
    <w:p w14:paraId="18F3D31A" w14:textId="77777777" w:rsidR="002746A7" w:rsidRPr="002177D4" w:rsidRDefault="002746A7" w:rsidP="00EC2189">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was not an </w:t>
      </w:r>
      <w:r w:rsidRPr="002177D4">
        <w:rPr>
          <w:i/>
          <w:sz w:val="24"/>
          <w:szCs w:val="24"/>
          <w:lang w:val="en-GB"/>
        </w:rPr>
        <w:t>in vitro</w:t>
      </w:r>
      <w:r w:rsidRPr="002177D4">
        <w:rPr>
          <w:sz w:val="24"/>
          <w:szCs w:val="24"/>
          <w:lang w:val="en-GB"/>
        </w:rPr>
        <w:t xml:space="preserve"> inhibitor of the major human CYP450 isoforms (CYP1A2, CYP2A6, CYP2B6, CYP2C8, CYP2C9, CYP2C19, CYP2D6, and CYP3A4) in human hepatic microsomal suspensions, nor was it an </w:t>
      </w:r>
      <w:r w:rsidRPr="002177D4">
        <w:rPr>
          <w:i/>
          <w:sz w:val="24"/>
          <w:szCs w:val="24"/>
          <w:lang w:val="en-GB"/>
        </w:rPr>
        <w:t>in vitro</w:t>
      </w:r>
      <w:r w:rsidRPr="002177D4">
        <w:rPr>
          <w:sz w:val="24"/>
          <w:szCs w:val="24"/>
          <w:lang w:val="en-GB"/>
        </w:rPr>
        <w:t xml:space="preserve"> inducer of CYP1A2, CYP2B6 or CYP3A4/5 in cultured fresh human hepatocytes. </w:t>
      </w:r>
      <w:proofErr w:type="spellStart"/>
      <w:r w:rsidRPr="002177D4">
        <w:rPr>
          <w:sz w:val="24"/>
          <w:szCs w:val="24"/>
          <w:lang w:val="en-GB"/>
        </w:rPr>
        <w:t>Lisdexamfetamine</w:t>
      </w:r>
      <w:proofErr w:type="spellEnd"/>
      <w:r w:rsidRPr="002177D4">
        <w:rPr>
          <w:sz w:val="24"/>
          <w:szCs w:val="24"/>
          <w:lang w:val="en-GB"/>
        </w:rPr>
        <w:t xml:space="preserve"> was not an </w:t>
      </w:r>
      <w:r w:rsidRPr="002177D4">
        <w:rPr>
          <w:i/>
          <w:sz w:val="24"/>
          <w:szCs w:val="24"/>
          <w:lang w:val="en-GB"/>
        </w:rPr>
        <w:t>in vitro</w:t>
      </w:r>
      <w:r w:rsidRPr="002177D4">
        <w:rPr>
          <w:sz w:val="24"/>
          <w:szCs w:val="24"/>
          <w:lang w:val="en-GB"/>
        </w:rPr>
        <w:t xml:space="preserve"> substrate for P-</w:t>
      </w:r>
      <w:proofErr w:type="spellStart"/>
      <w:r w:rsidRPr="002177D4">
        <w:rPr>
          <w:sz w:val="24"/>
          <w:szCs w:val="24"/>
          <w:lang w:val="en-GB"/>
        </w:rPr>
        <w:t>gp</w:t>
      </w:r>
      <w:proofErr w:type="spellEnd"/>
      <w:r w:rsidRPr="002177D4">
        <w:rPr>
          <w:sz w:val="24"/>
          <w:szCs w:val="24"/>
          <w:lang w:val="en-GB"/>
        </w:rPr>
        <w:t xml:space="preserve"> in MDCKII cells nor an </w:t>
      </w:r>
      <w:r w:rsidRPr="002177D4">
        <w:rPr>
          <w:i/>
          <w:sz w:val="24"/>
          <w:szCs w:val="24"/>
          <w:lang w:val="en-GB"/>
        </w:rPr>
        <w:t>in vitro</w:t>
      </w:r>
      <w:r w:rsidRPr="002177D4">
        <w:rPr>
          <w:sz w:val="24"/>
          <w:szCs w:val="24"/>
          <w:lang w:val="en-GB"/>
        </w:rPr>
        <w:t xml:space="preserve"> inhibitor of P-</w:t>
      </w:r>
      <w:proofErr w:type="spellStart"/>
      <w:r w:rsidRPr="002177D4">
        <w:rPr>
          <w:sz w:val="24"/>
          <w:szCs w:val="24"/>
          <w:lang w:val="en-GB"/>
        </w:rPr>
        <w:t>gp</w:t>
      </w:r>
      <w:proofErr w:type="spellEnd"/>
      <w:r w:rsidRPr="002177D4">
        <w:rPr>
          <w:sz w:val="24"/>
          <w:szCs w:val="24"/>
          <w:lang w:val="en-GB"/>
        </w:rPr>
        <w:t xml:space="preserve"> in Caco-2 cells and is therefore unlikely to be involved in clinical interactions with medicinal products transported by the P-</w:t>
      </w:r>
      <w:proofErr w:type="spellStart"/>
      <w:r w:rsidRPr="002177D4">
        <w:rPr>
          <w:sz w:val="24"/>
          <w:szCs w:val="24"/>
          <w:lang w:val="en-GB"/>
        </w:rPr>
        <w:t>gp</w:t>
      </w:r>
      <w:proofErr w:type="spellEnd"/>
      <w:r w:rsidRPr="002177D4">
        <w:rPr>
          <w:sz w:val="24"/>
          <w:szCs w:val="24"/>
          <w:lang w:val="en-GB"/>
        </w:rPr>
        <w:t xml:space="preserve"> pump.</w:t>
      </w:r>
    </w:p>
    <w:p w14:paraId="5CF63E0C" w14:textId="77777777" w:rsidR="002746A7" w:rsidRPr="002177D4" w:rsidRDefault="002746A7" w:rsidP="00EC2189">
      <w:pPr>
        <w:ind w:left="851"/>
        <w:rPr>
          <w:sz w:val="24"/>
          <w:szCs w:val="24"/>
          <w:lang w:val="en-GB"/>
        </w:rPr>
      </w:pPr>
    </w:p>
    <w:p w14:paraId="6DB735A3" w14:textId="77777777" w:rsidR="002746A7" w:rsidRPr="002177D4" w:rsidRDefault="002746A7" w:rsidP="00EC2189">
      <w:pPr>
        <w:ind w:left="851"/>
        <w:rPr>
          <w:sz w:val="24"/>
          <w:szCs w:val="24"/>
          <w:lang w:val="en-GB"/>
        </w:rPr>
      </w:pPr>
      <w:r w:rsidRPr="002177D4">
        <w:rPr>
          <w:sz w:val="24"/>
          <w:szCs w:val="24"/>
          <w:lang w:val="en-GB"/>
        </w:rPr>
        <w:t xml:space="preserve">An </w:t>
      </w:r>
      <w:r w:rsidRPr="002177D4">
        <w:rPr>
          <w:i/>
          <w:sz w:val="24"/>
          <w:szCs w:val="24"/>
          <w:lang w:val="en-GB"/>
        </w:rPr>
        <w:t xml:space="preserve">in vivo </w:t>
      </w:r>
      <w:r w:rsidRPr="002177D4">
        <w:rPr>
          <w:sz w:val="24"/>
          <w:szCs w:val="24"/>
          <w:lang w:val="en-GB"/>
        </w:rPr>
        <w:t xml:space="preserve">human study of </w:t>
      </w:r>
      <w:proofErr w:type="spellStart"/>
      <w:r w:rsidRPr="002177D4">
        <w:rPr>
          <w:sz w:val="24"/>
          <w:szCs w:val="24"/>
          <w:lang w:val="en-GB"/>
        </w:rPr>
        <w:t>lisdexamfetamine</w:t>
      </w:r>
      <w:proofErr w:type="spellEnd"/>
      <w:r w:rsidRPr="002177D4">
        <w:rPr>
          <w:sz w:val="24"/>
          <w:szCs w:val="24"/>
          <w:lang w:val="en-GB"/>
        </w:rPr>
        <w:t xml:space="preserve"> did not result in any clinically meaningful effect on the pharmacokinetics of medicinal products metabolized by CYP1A2, CYP2D6, CYP2C19, or CYP3A.</w:t>
      </w:r>
    </w:p>
    <w:p w14:paraId="2891A1E8" w14:textId="77777777" w:rsidR="002746A7" w:rsidRPr="002177D4" w:rsidRDefault="002746A7" w:rsidP="00EC2189">
      <w:pPr>
        <w:ind w:left="851"/>
        <w:rPr>
          <w:sz w:val="24"/>
          <w:szCs w:val="24"/>
          <w:lang w:val="en-GB"/>
        </w:rPr>
      </w:pPr>
    </w:p>
    <w:p w14:paraId="75FD0623" w14:textId="77777777" w:rsidR="002746A7" w:rsidRPr="00C6604D" w:rsidRDefault="002746A7" w:rsidP="00EC2189">
      <w:pPr>
        <w:ind w:left="851"/>
        <w:rPr>
          <w:sz w:val="24"/>
          <w:szCs w:val="24"/>
          <w:u w:val="single"/>
          <w:lang w:val="en-GB"/>
        </w:rPr>
      </w:pPr>
      <w:r w:rsidRPr="00C6604D">
        <w:rPr>
          <w:sz w:val="24"/>
          <w:szCs w:val="24"/>
          <w:u w:val="single"/>
          <w:lang w:val="en-GB"/>
        </w:rPr>
        <w:t xml:space="preserve">Agents whose blood levels may be impacted by </w:t>
      </w:r>
      <w:proofErr w:type="spellStart"/>
      <w:r w:rsidRPr="00C6604D">
        <w:rPr>
          <w:sz w:val="24"/>
          <w:szCs w:val="24"/>
          <w:u w:val="single"/>
          <w:lang w:val="en-GB"/>
        </w:rPr>
        <w:t>lisdexamfetamine</w:t>
      </w:r>
      <w:proofErr w:type="spellEnd"/>
      <w:r w:rsidRPr="00C6604D">
        <w:rPr>
          <w:sz w:val="24"/>
          <w:szCs w:val="24"/>
          <w:u w:val="single"/>
          <w:lang w:val="en-GB"/>
        </w:rPr>
        <w:t>-containing medicinal products</w:t>
      </w:r>
    </w:p>
    <w:p w14:paraId="06E16A26" w14:textId="77777777" w:rsidR="002746A7" w:rsidRPr="002177D4" w:rsidRDefault="002746A7" w:rsidP="00EC2189">
      <w:pPr>
        <w:ind w:left="851"/>
        <w:rPr>
          <w:sz w:val="24"/>
          <w:szCs w:val="24"/>
          <w:lang w:val="en-GB"/>
        </w:rPr>
      </w:pPr>
    </w:p>
    <w:p w14:paraId="10B1E9FB" w14:textId="77777777" w:rsidR="002746A7" w:rsidRPr="002177D4" w:rsidRDefault="002746A7" w:rsidP="00EC2189">
      <w:pPr>
        <w:ind w:left="851"/>
        <w:rPr>
          <w:sz w:val="24"/>
          <w:szCs w:val="24"/>
          <w:lang w:val="en-GB"/>
        </w:rPr>
      </w:pPr>
      <w:r w:rsidRPr="002177D4">
        <w:rPr>
          <w:sz w:val="24"/>
          <w:szCs w:val="24"/>
          <w:lang w:val="en-GB"/>
        </w:rPr>
        <w:t xml:space="preserve">Extended release guanfacine: In a drug interaction study, administration of an extended release guanfacine in combination with </w:t>
      </w:r>
      <w:proofErr w:type="spellStart"/>
      <w:r w:rsidRPr="002177D4">
        <w:rPr>
          <w:sz w:val="24"/>
          <w:szCs w:val="24"/>
          <w:lang w:val="en-GB"/>
        </w:rPr>
        <w:t>lisdexamfetamine</w:t>
      </w:r>
      <w:proofErr w:type="spellEnd"/>
      <w:r w:rsidRPr="002177D4">
        <w:rPr>
          <w:sz w:val="24"/>
          <w:szCs w:val="24"/>
          <w:lang w:val="en-GB"/>
        </w:rPr>
        <w:t xml:space="preserve"> induced a 19% increase in guanfacine maximum plasma concentrations </w:t>
      </w:r>
      <w:r w:rsidRPr="002E15A9">
        <w:rPr>
          <w:sz w:val="24"/>
          <w:szCs w:val="24"/>
          <w:lang w:val="en-US"/>
        </w:rPr>
        <w:t>(</w:t>
      </w:r>
      <w:proofErr w:type="spellStart"/>
      <w:r w:rsidRPr="002E15A9">
        <w:rPr>
          <w:sz w:val="24"/>
          <w:szCs w:val="24"/>
          <w:lang w:val="en-US"/>
        </w:rPr>
        <w:t>C</w:t>
      </w:r>
      <w:r w:rsidRPr="002E15A9">
        <w:rPr>
          <w:sz w:val="24"/>
          <w:szCs w:val="24"/>
          <w:vertAlign w:val="subscript"/>
          <w:lang w:val="en-US"/>
        </w:rPr>
        <w:t>max</w:t>
      </w:r>
      <w:proofErr w:type="spellEnd"/>
      <w:r w:rsidRPr="002E15A9">
        <w:rPr>
          <w:sz w:val="24"/>
          <w:szCs w:val="24"/>
          <w:lang w:val="en-US"/>
        </w:rPr>
        <w:t>)</w:t>
      </w:r>
      <w:r w:rsidRPr="002177D4">
        <w:rPr>
          <w:sz w:val="24"/>
          <w:szCs w:val="24"/>
          <w:lang w:val="en-GB"/>
        </w:rPr>
        <w:t xml:space="preserve">, whereas, exposure (area under the curve; AUC) was increased by 7%. These small changes are not expected to be clinically meaningful. In this study, no effect on </w:t>
      </w:r>
      <w:proofErr w:type="spellStart"/>
      <w:r w:rsidRPr="002177D4">
        <w:rPr>
          <w:sz w:val="24"/>
          <w:szCs w:val="24"/>
          <w:lang w:val="en-GB"/>
        </w:rPr>
        <w:t>dexamfetamine</w:t>
      </w:r>
      <w:proofErr w:type="spellEnd"/>
      <w:r w:rsidRPr="002177D4">
        <w:rPr>
          <w:sz w:val="24"/>
          <w:szCs w:val="24"/>
          <w:lang w:val="en-GB"/>
        </w:rPr>
        <w:t xml:space="preserve"> exposure was observed following co-administration of extended release guanfacine and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w:t>
      </w:r>
    </w:p>
    <w:p w14:paraId="146A022D" w14:textId="77777777" w:rsidR="002746A7" w:rsidRPr="002177D4" w:rsidRDefault="002746A7" w:rsidP="00EC2189">
      <w:pPr>
        <w:ind w:left="851"/>
        <w:rPr>
          <w:sz w:val="24"/>
          <w:szCs w:val="24"/>
          <w:lang w:val="en-GB"/>
        </w:rPr>
      </w:pPr>
    </w:p>
    <w:p w14:paraId="41E23078" w14:textId="77777777" w:rsidR="002746A7" w:rsidRPr="002177D4" w:rsidRDefault="002746A7" w:rsidP="00EC2189">
      <w:pPr>
        <w:ind w:left="851"/>
        <w:rPr>
          <w:sz w:val="24"/>
          <w:szCs w:val="24"/>
          <w:lang w:val="en-GB"/>
        </w:rPr>
      </w:pPr>
      <w:r w:rsidRPr="002177D4">
        <w:rPr>
          <w:sz w:val="24"/>
          <w:szCs w:val="24"/>
          <w:lang w:val="en-GB"/>
        </w:rPr>
        <w:t xml:space="preserve">Extended release venlafaxine: In a drug interaction study, administration of 225 mg extended release venlafaxine, a CYP2D6 substrate, in combination with 70 mg </w:t>
      </w:r>
      <w:proofErr w:type="spellStart"/>
      <w:r w:rsidRPr="002177D4">
        <w:rPr>
          <w:sz w:val="24"/>
          <w:szCs w:val="24"/>
          <w:lang w:val="en-GB"/>
        </w:rPr>
        <w:t>lisdexamfetamine</w:t>
      </w:r>
      <w:proofErr w:type="spellEnd"/>
      <w:r w:rsidRPr="002177D4">
        <w:rPr>
          <w:sz w:val="24"/>
          <w:szCs w:val="24"/>
          <w:lang w:val="en-GB"/>
        </w:rPr>
        <w:t xml:space="preserve"> induced a 9% decrease in the </w:t>
      </w:r>
      <w:proofErr w:type="spellStart"/>
      <w:r w:rsidRPr="002177D4">
        <w:rPr>
          <w:sz w:val="24"/>
          <w:szCs w:val="24"/>
          <w:lang w:val="en-GB"/>
        </w:rPr>
        <w:t>C</w:t>
      </w:r>
      <w:r w:rsidRPr="002177D4">
        <w:rPr>
          <w:sz w:val="24"/>
          <w:szCs w:val="24"/>
          <w:vertAlign w:val="subscript"/>
          <w:lang w:val="en-GB"/>
        </w:rPr>
        <w:t>max</w:t>
      </w:r>
      <w:proofErr w:type="spellEnd"/>
      <w:r w:rsidRPr="002177D4">
        <w:rPr>
          <w:sz w:val="24"/>
          <w:szCs w:val="24"/>
          <w:lang w:val="en-GB"/>
        </w:rPr>
        <w:t xml:space="preserve"> and 17% decrease in the AUC for the primary active metabolite o-</w:t>
      </w:r>
      <w:proofErr w:type="spellStart"/>
      <w:r w:rsidRPr="002177D4">
        <w:rPr>
          <w:sz w:val="24"/>
          <w:szCs w:val="24"/>
          <w:lang w:val="en-GB"/>
        </w:rPr>
        <w:t>desmethylvenlafaxine</w:t>
      </w:r>
      <w:proofErr w:type="spellEnd"/>
      <w:r w:rsidRPr="002177D4">
        <w:rPr>
          <w:sz w:val="24"/>
          <w:szCs w:val="24"/>
          <w:lang w:val="en-GB"/>
        </w:rPr>
        <w:t xml:space="preserve"> and a 10% increase in </w:t>
      </w:r>
      <w:proofErr w:type="spellStart"/>
      <w:r w:rsidRPr="002177D4">
        <w:rPr>
          <w:sz w:val="24"/>
          <w:szCs w:val="24"/>
          <w:lang w:val="en-GB"/>
        </w:rPr>
        <w:t>C</w:t>
      </w:r>
      <w:r w:rsidRPr="002177D4">
        <w:rPr>
          <w:sz w:val="24"/>
          <w:szCs w:val="24"/>
          <w:vertAlign w:val="subscript"/>
          <w:lang w:val="en-GB"/>
        </w:rPr>
        <w:t>max</w:t>
      </w:r>
      <w:proofErr w:type="spellEnd"/>
      <w:r w:rsidRPr="002177D4">
        <w:rPr>
          <w:sz w:val="24"/>
          <w:szCs w:val="24"/>
          <w:lang w:val="en-GB"/>
        </w:rPr>
        <w:t xml:space="preserve"> and 13% increase in AUC for venlafaxine. </w:t>
      </w:r>
      <w:proofErr w:type="spellStart"/>
      <w:r w:rsidRPr="002177D4">
        <w:rPr>
          <w:sz w:val="24"/>
          <w:szCs w:val="24"/>
          <w:lang w:val="en-GB"/>
        </w:rPr>
        <w:t>Dexamfetamine</w:t>
      </w:r>
      <w:proofErr w:type="spellEnd"/>
      <w:r w:rsidRPr="002177D4">
        <w:rPr>
          <w:sz w:val="24"/>
          <w:szCs w:val="24"/>
          <w:lang w:val="en-GB"/>
        </w:rPr>
        <w:t xml:space="preserve"> may be a weak inhibitor of CYP2D6. </w:t>
      </w:r>
      <w:proofErr w:type="spellStart"/>
      <w:r w:rsidRPr="002177D4">
        <w:rPr>
          <w:sz w:val="24"/>
          <w:szCs w:val="24"/>
          <w:lang w:val="en-GB"/>
        </w:rPr>
        <w:t>Lisdexamfetamine</w:t>
      </w:r>
      <w:proofErr w:type="spellEnd"/>
      <w:r w:rsidRPr="002177D4">
        <w:rPr>
          <w:sz w:val="24"/>
          <w:szCs w:val="24"/>
          <w:lang w:val="en-GB"/>
        </w:rPr>
        <w:t xml:space="preserve"> has no effect on the AUC and </w:t>
      </w:r>
      <w:proofErr w:type="spellStart"/>
      <w:r w:rsidRPr="002177D4">
        <w:rPr>
          <w:sz w:val="24"/>
          <w:szCs w:val="24"/>
          <w:lang w:val="en-GB"/>
        </w:rPr>
        <w:t>C</w:t>
      </w:r>
      <w:r w:rsidRPr="002177D4">
        <w:rPr>
          <w:sz w:val="24"/>
          <w:szCs w:val="24"/>
          <w:vertAlign w:val="subscript"/>
          <w:lang w:val="en-GB"/>
        </w:rPr>
        <w:t>ma</w:t>
      </w:r>
      <w:r w:rsidRPr="002177D4">
        <w:rPr>
          <w:sz w:val="24"/>
          <w:szCs w:val="24"/>
          <w:lang w:val="en-GB"/>
        </w:rPr>
        <w:t>x</w:t>
      </w:r>
      <w:proofErr w:type="spellEnd"/>
      <w:r w:rsidRPr="002177D4">
        <w:rPr>
          <w:sz w:val="24"/>
          <w:szCs w:val="24"/>
          <w:lang w:val="en-GB"/>
        </w:rPr>
        <w:t xml:space="preserve"> of the composite of venlafaxine and o-</w:t>
      </w:r>
      <w:proofErr w:type="spellStart"/>
      <w:r w:rsidRPr="002177D4">
        <w:rPr>
          <w:sz w:val="24"/>
          <w:szCs w:val="24"/>
          <w:lang w:val="en-GB"/>
        </w:rPr>
        <w:t>desmethylvenlafaxine</w:t>
      </w:r>
      <w:proofErr w:type="spellEnd"/>
      <w:r w:rsidRPr="002177D4">
        <w:rPr>
          <w:sz w:val="24"/>
          <w:szCs w:val="24"/>
          <w:lang w:val="en-GB"/>
        </w:rPr>
        <w:t xml:space="preserve">. These small changes are not expected to be clinically meaningful. In this study, no effect on </w:t>
      </w:r>
      <w:proofErr w:type="spellStart"/>
      <w:r w:rsidRPr="002177D4">
        <w:rPr>
          <w:sz w:val="24"/>
          <w:szCs w:val="24"/>
          <w:lang w:val="en-GB"/>
        </w:rPr>
        <w:t>dexamfetamine</w:t>
      </w:r>
      <w:proofErr w:type="spellEnd"/>
      <w:r w:rsidRPr="002177D4">
        <w:rPr>
          <w:sz w:val="24"/>
          <w:szCs w:val="24"/>
          <w:lang w:val="en-GB"/>
        </w:rPr>
        <w:t xml:space="preserve"> exposure was observed following co-administration of extended release venlafaxine and </w:t>
      </w:r>
      <w:proofErr w:type="spellStart"/>
      <w:r w:rsidRPr="002177D4">
        <w:rPr>
          <w:sz w:val="24"/>
          <w:szCs w:val="24"/>
          <w:lang w:val="en-GB"/>
        </w:rPr>
        <w:t>lisdexamfetamine</w:t>
      </w:r>
      <w:proofErr w:type="spellEnd"/>
      <w:r w:rsidRPr="002177D4">
        <w:rPr>
          <w:sz w:val="24"/>
          <w:szCs w:val="24"/>
          <w:lang w:val="en-GB"/>
        </w:rPr>
        <w:t>.</w:t>
      </w:r>
    </w:p>
    <w:p w14:paraId="1D6A474F" w14:textId="77777777" w:rsidR="002746A7" w:rsidRPr="002177D4" w:rsidRDefault="002746A7" w:rsidP="00EC2189">
      <w:pPr>
        <w:ind w:left="851"/>
        <w:rPr>
          <w:sz w:val="24"/>
          <w:szCs w:val="24"/>
          <w:lang w:val="en-GB"/>
        </w:rPr>
      </w:pPr>
    </w:p>
    <w:p w14:paraId="113E61C4" w14:textId="77777777" w:rsidR="002746A7" w:rsidRPr="00C6604D" w:rsidRDefault="002746A7" w:rsidP="00EC2189">
      <w:pPr>
        <w:ind w:left="851"/>
        <w:rPr>
          <w:sz w:val="24"/>
          <w:szCs w:val="24"/>
          <w:u w:val="single"/>
          <w:lang w:val="en-GB"/>
        </w:rPr>
      </w:pPr>
      <w:r w:rsidRPr="00C6604D">
        <w:rPr>
          <w:sz w:val="24"/>
          <w:szCs w:val="24"/>
          <w:u w:val="single"/>
          <w:lang w:val="en-GB"/>
        </w:rPr>
        <w:t xml:space="preserve">Agents and conditions that alter urinary pH and impact the urinary excretion and half-life of </w:t>
      </w:r>
      <w:proofErr w:type="spellStart"/>
      <w:r w:rsidRPr="00C6604D">
        <w:rPr>
          <w:sz w:val="24"/>
          <w:szCs w:val="24"/>
          <w:u w:val="single"/>
          <w:lang w:val="en-GB"/>
        </w:rPr>
        <w:t>amfetamine</w:t>
      </w:r>
      <w:proofErr w:type="spellEnd"/>
    </w:p>
    <w:p w14:paraId="21395B4C" w14:textId="77777777" w:rsidR="002746A7" w:rsidRPr="002177D4" w:rsidRDefault="002746A7" w:rsidP="00EC2189">
      <w:pPr>
        <w:ind w:left="851"/>
        <w:rPr>
          <w:sz w:val="24"/>
          <w:szCs w:val="24"/>
          <w:lang w:val="en-GB"/>
        </w:rPr>
      </w:pPr>
    </w:p>
    <w:p w14:paraId="307023D7" w14:textId="77777777" w:rsidR="002746A7" w:rsidRPr="002177D4" w:rsidRDefault="002746A7" w:rsidP="00EC2189">
      <w:pPr>
        <w:ind w:left="851"/>
        <w:rPr>
          <w:sz w:val="24"/>
          <w:szCs w:val="24"/>
          <w:lang w:val="en-GB"/>
        </w:rPr>
      </w:pPr>
      <w:r w:rsidRPr="002177D4">
        <w:rPr>
          <w:sz w:val="24"/>
          <w:szCs w:val="24"/>
          <w:lang w:val="en-GB"/>
        </w:rPr>
        <w:t xml:space="preserve">Ascorbic acid and other agents and conditions (thiazide diuretics, diets high in animal protein, diabetes, respiratory acidosis) that acidify urine increase urinary excretion and decrease the half-life of </w:t>
      </w:r>
      <w:proofErr w:type="spellStart"/>
      <w:r w:rsidRPr="002177D4">
        <w:rPr>
          <w:sz w:val="24"/>
          <w:szCs w:val="24"/>
          <w:lang w:val="en-GB"/>
        </w:rPr>
        <w:t>amfetamine</w:t>
      </w:r>
      <w:proofErr w:type="spellEnd"/>
      <w:r w:rsidRPr="002177D4">
        <w:rPr>
          <w:sz w:val="24"/>
          <w:szCs w:val="24"/>
          <w:lang w:val="en-GB"/>
        </w:rPr>
        <w:t xml:space="preserve">. Sodium bicarbonate and other agents and conditions (diets high in fruits and </w:t>
      </w:r>
      <w:proofErr w:type="spellStart"/>
      <w:proofErr w:type="gramStart"/>
      <w:r w:rsidRPr="002177D4">
        <w:rPr>
          <w:sz w:val="24"/>
          <w:szCs w:val="24"/>
          <w:lang w:val="en-GB"/>
        </w:rPr>
        <w:t>vegetables,urinary</w:t>
      </w:r>
      <w:proofErr w:type="spellEnd"/>
      <w:proofErr w:type="gramEnd"/>
      <w:r w:rsidRPr="002177D4">
        <w:rPr>
          <w:sz w:val="24"/>
          <w:szCs w:val="24"/>
          <w:lang w:val="en-GB"/>
        </w:rPr>
        <w:t xml:space="preserve"> tract infections and vomiting) that alkalinise urine decrease urinary excretion and extend the half-life of </w:t>
      </w:r>
      <w:proofErr w:type="spellStart"/>
      <w:r w:rsidRPr="002177D4">
        <w:rPr>
          <w:sz w:val="24"/>
          <w:szCs w:val="24"/>
          <w:lang w:val="en-GB"/>
        </w:rPr>
        <w:t>amfetamine</w:t>
      </w:r>
      <w:proofErr w:type="spellEnd"/>
      <w:r w:rsidRPr="002177D4">
        <w:rPr>
          <w:sz w:val="24"/>
          <w:szCs w:val="24"/>
          <w:lang w:val="en-GB"/>
        </w:rPr>
        <w:t>.</w:t>
      </w:r>
    </w:p>
    <w:p w14:paraId="591BAF8B" w14:textId="77777777" w:rsidR="002746A7" w:rsidRPr="002177D4" w:rsidRDefault="002746A7" w:rsidP="00EC2189">
      <w:pPr>
        <w:ind w:left="851"/>
        <w:rPr>
          <w:sz w:val="24"/>
          <w:szCs w:val="24"/>
          <w:lang w:val="en-GB"/>
        </w:rPr>
      </w:pPr>
    </w:p>
    <w:p w14:paraId="162A496E" w14:textId="77777777" w:rsidR="002746A7" w:rsidRPr="00C6604D" w:rsidRDefault="002746A7" w:rsidP="00EC2189">
      <w:pPr>
        <w:ind w:left="851"/>
        <w:rPr>
          <w:sz w:val="24"/>
          <w:szCs w:val="24"/>
          <w:u w:val="single"/>
          <w:lang w:val="en-GB"/>
        </w:rPr>
      </w:pPr>
      <w:r w:rsidRPr="00C6604D">
        <w:rPr>
          <w:sz w:val="24"/>
          <w:szCs w:val="24"/>
          <w:u w:val="single"/>
          <w:lang w:val="en-GB"/>
        </w:rPr>
        <w:t>Monoamine oxidase inhibitors</w:t>
      </w:r>
    </w:p>
    <w:p w14:paraId="6F4FC3F2" w14:textId="77777777" w:rsidR="002746A7" w:rsidRPr="002177D4" w:rsidRDefault="002746A7" w:rsidP="00EC2189">
      <w:pPr>
        <w:ind w:left="851"/>
        <w:rPr>
          <w:sz w:val="24"/>
          <w:szCs w:val="24"/>
          <w:lang w:val="en-GB"/>
        </w:rPr>
      </w:pPr>
    </w:p>
    <w:p w14:paraId="621D0396" w14:textId="77777777" w:rsidR="002746A7" w:rsidRPr="002177D4" w:rsidRDefault="002746A7" w:rsidP="00EC2189">
      <w:pPr>
        <w:ind w:left="851"/>
        <w:rPr>
          <w:sz w:val="24"/>
          <w:szCs w:val="24"/>
          <w:lang w:val="en-GB"/>
        </w:rPr>
      </w:pPr>
      <w:proofErr w:type="spellStart"/>
      <w:r w:rsidRPr="002177D4">
        <w:rPr>
          <w:sz w:val="24"/>
          <w:szCs w:val="24"/>
          <w:lang w:val="en-GB"/>
        </w:rPr>
        <w:t>Amfetamine</w:t>
      </w:r>
      <w:proofErr w:type="spellEnd"/>
      <w:r w:rsidRPr="002177D4">
        <w:rPr>
          <w:sz w:val="24"/>
          <w:szCs w:val="24"/>
          <w:lang w:val="en-GB"/>
        </w:rPr>
        <w:t xml:space="preserve"> should not be administered during or within 14 days following the administration of monoamine oxidase inhibitors (MAOI) because it can increase the release of norepinephrine and other monoamines. This can cause severe headaches and other signs of hypertensive crisis. A variety of toxic neurological effects and malignant hyperpyrexia can occur, sometimes with fatal outcomes (see section 4.3).</w:t>
      </w:r>
    </w:p>
    <w:p w14:paraId="0E1F8842" w14:textId="77777777" w:rsidR="002746A7" w:rsidRPr="002177D4" w:rsidRDefault="002746A7" w:rsidP="00EC2189">
      <w:pPr>
        <w:ind w:left="851"/>
        <w:rPr>
          <w:sz w:val="24"/>
          <w:szCs w:val="24"/>
          <w:lang w:val="en-GB"/>
        </w:rPr>
      </w:pPr>
    </w:p>
    <w:p w14:paraId="6ABAFBA1" w14:textId="77777777" w:rsidR="002746A7" w:rsidRPr="00C6604D" w:rsidRDefault="002746A7" w:rsidP="00EC2189">
      <w:pPr>
        <w:ind w:left="851"/>
        <w:rPr>
          <w:sz w:val="24"/>
          <w:szCs w:val="24"/>
          <w:u w:val="single"/>
          <w:lang w:val="en-GB"/>
        </w:rPr>
      </w:pPr>
      <w:r w:rsidRPr="00C6604D">
        <w:rPr>
          <w:sz w:val="24"/>
          <w:szCs w:val="24"/>
          <w:u w:val="single"/>
          <w:lang w:val="en-GB"/>
        </w:rPr>
        <w:t>Serotonergic medicinal products</w:t>
      </w:r>
    </w:p>
    <w:p w14:paraId="22543D69" w14:textId="77777777" w:rsidR="002746A7" w:rsidRPr="002177D4" w:rsidRDefault="002746A7" w:rsidP="00EC2189">
      <w:pPr>
        <w:ind w:left="851"/>
        <w:rPr>
          <w:sz w:val="24"/>
          <w:szCs w:val="24"/>
          <w:lang w:val="en-GB"/>
        </w:rPr>
      </w:pPr>
    </w:p>
    <w:p w14:paraId="14C4AA88" w14:textId="77777777" w:rsidR="002746A7" w:rsidRPr="002177D4" w:rsidRDefault="002746A7" w:rsidP="00EC2189">
      <w:pPr>
        <w:ind w:left="851"/>
        <w:rPr>
          <w:sz w:val="24"/>
          <w:szCs w:val="24"/>
          <w:lang w:val="en-GB"/>
        </w:rPr>
      </w:pPr>
      <w:r w:rsidRPr="002177D4">
        <w:rPr>
          <w:sz w:val="24"/>
          <w:szCs w:val="24"/>
          <w:lang w:val="en-GB"/>
        </w:rPr>
        <w:t xml:space="preserve">Serotonin syndrome has rarely occurred in association with the use of </w:t>
      </w:r>
      <w:proofErr w:type="spellStart"/>
      <w:r w:rsidRPr="002177D4">
        <w:rPr>
          <w:sz w:val="24"/>
          <w:szCs w:val="24"/>
          <w:lang w:val="en-GB"/>
        </w:rPr>
        <w:t>amfetamines</w:t>
      </w:r>
      <w:proofErr w:type="spellEnd"/>
      <w:r w:rsidRPr="002177D4">
        <w:rPr>
          <w:sz w:val="24"/>
          <w:szCs w:val="24"/>
          <w:lang w:val="en-GB"/>
        </w:rPr>
        <w:t xml:space="preserve"> such as </w:t>
      </w:r>
    </w:p>
    <w:p w14:paraId="57CEDE86" w14:textId="099A6205" w:rsidR="002746A7" w:rsidRPr="002177D4" w:rsidRDefault="002746A7" w:rsidP="00EC2189">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when given in conjunction with serotonergic medicinal products, including selective serotonin reuptake inhibitors (SSRIs) and serotonin and noradrenaline reuptake inhibitors (SNRIs). It has also been reported in association with overdose of </w:t>
      </w:r>
      <w:proofErr w:type="spellStart"/>
      <w:r w:rsidRPr="002177D4">
        <w:rPr>
          <w:sz w:val="24"/>
          <w:szCs w:val="24"/>
          <w:lang w:val="en-GB"/>
        </w:rPr>
        <w:t>amfetamines</w:t>
      </w:r>
      <w:proofErr w:type="spellEnd"/>
      <w:r w:rsidRPr="002177D4">
        <w:rPr>
          <w:sz w:val="24"/>
          <w:szCs w:val="24"/>
          <w:lang w:val="en-GB"/>
        </w:rPr>
        <w:t xml:space="preserve">, including </w:t>
      </w:r>
      <w:proofErr w:type="spellStart"/>
      <w:r w:rsidRPr="002177D4">
        <w:rPr>
          <w:sz w:val="24"/>
          <w:szCs w:val="24"/>
          <w:lang w:val="en-GB"/>
        </w:rPr>
        <w:t>lisdexamfetamine</w:t>
      </w:r>
      <w:proofErr w:type="spellEnd"/>
      <w:r w:rsidRPr="002177D4">
        <w:rPr>
          <w:sz w:val="24"/>
          <w:szCs w:val="24"/>
          <w:lang w:val="en-GB"/>
        </w:rPr>
        <w:t xml:space="preserve"> (see section 4.9).</w:t>
      </w:r>
    </w:p>
    <w:p w14:paraId="363BA095" w14:textId="77777777" w:rsidR="002746A7" w:rsidRPr="002177D4" w:rsidRDefault="002746A7" w:rsidP="00EC2189">
      <w:pPr>
        <w:ind w:left="851"/>
        <w:rPr>
          <w:sz w:val="24"/>
          <w:szCs w:val="24"/>
          <w:lang w:val="en-GB"/>
        </w:rPr>
      </w:pPr>
    </w:p>
    <w:p w14:paraId="288C4F2B" w14:textId="77777777" w:rsidR="002746A7" w:rsidRPr="00C6604D" w:rsidRDefault="002746A7" w:rsidP="00EC2189">
      <w:pPr>
        <w:ind w:left="851"/>
        <w:rPr>
          <w:sz w:val="24"/>
          <w:szCs w:val="24"/>
          <w:u w:val="single"/>
          <w:lang w:val="en-GB"/>
        </w:rPr>
      </w:pPr>
      <w:r w:rsidRPr="00C6604D">
        <w:rPr>
          <w:sz w:val="24"/>
          <w:szCs w:val="24"/>
          <w:u w:val="single"/>
          <w:lang w:val="en-GB"/>
        </w:rPr>
        <w:t xml:space="preserve">Agents whose effects may be reduced by </w:t>
      </w:r>
      <w:proofErr w:type="spellStart"/>
      <w:r w:rsidRPr="00C6604D">
        <w:rPr>
          <w:sz w:val="24"/>
          <w:szCs w:val="24"/>
          <w:u w:val="single"/>
          <w:lang w:val="en-GB"/>
        </w:rPr>
        <w:t>amfetamines</w:t>
      </w:r>
      <w:proofErr w:type="spellEnd"/>
    </w:p>
    <w:p w14:paraId="29C5F2B3" w14:textId="77777777" w:rsidR="002746A7" w:rsidRPr="002177D4" w:rsidRDefault="002746A7" w:rsidP="00EC2189">
      <w:pPr>
        <w:ind w:left="851"/>
        <w:rPr>
          <w:sz w:val="24"/>
          <w:szCs w:val="24"/>
          <w:lang w:val="en-GB"/>
        </w:rPr>
      </w:pPr>
    </w:p>
    <w:p w14:paraId="29FC7AD8" w14:textId="77777777" w:rsidR="002746A7" w:rsidRPr="002177D4" w:rsidRDefault="002746A7" w:rsidP="00EC2189">
      <w:pPr>
        <w:ind w:left="851"/>
        <w:rPr>
          <w:sz w:val="24"/>
          <w:szCs w:val="24"/>
          <w:lang w:val="en-GB"/>
        </w:rPr>
      </w:pPr>
      <w:r w:rsidRPr="002177D4">
        <w:rPr>
          <w:sz w:val="24"/>
          <w:szCs w:val="24"/>
          <w:lang w:val="en-GB"/>
        </w:rPr>
        <w:t xml:space="preserve">Antihypertensives: </w:t>
      </w:r>
      <w:proofErr w:type="spellStart"/>
      <w:r w:rsidRPr="002177D4">
        <w:rPr>
          <w:sz w:val="24"/>
          <w:szCs w:val="24"/>
          <w:lang w:val="en-GB"/>
        </w:rPr>
        <w:t>Amfetamines</w:t>
      </w:r>
      <w:proofErr w:type="spellEnd"/>
      <w:r w:rsidRPr="002177D4">
        <w:rPr>
          <w:sz w:val="24"/>
          <w:szCs w:val="24"/>
          <w:lang w:val="en-GB"/>
        </w:rPr>
        <w:t xml:space="preserve"> may decrease the effectiveness of guanethidine or other antihypertensive medications.</w:t>
      </w:r>
    </w:p>
    <w:p w14:paraId="560184B0" w14:textId="77777777" w:rsidR="002746A7" w:rsidRPr="002177D4" w:rsidRDefault="002746A7" w:rsidP="00EC2189">
      <w:pPr>
        <w:ind w:left="851"/>
        <w:rPr>
          <w:sz w:val="24"/>
          <w:szCs w:val="24"/>
          <w:lang w:val="en-GB"/>
        </w:rPr>
      </w:pPr>
    </w:p>
    <w:p w14:paraId="134C3413" w14:textId="77777777" w:rsidR="002746A7" w:rsidRPr="00C6604D" w:rsidRDefault="002746A7" w:rsidP="00EC2189">
      <w:pPr>
        <w:ind w:left="851"/>
        <w:rPr>
          <w:sz w:val="24"/>
          <w:szCs w:val="24"/>
          <w:u w:val="single"/>
          <w:lang w:val="en-GB"/>
        </w:rPr>
      </w:pPr>
      <w:r w:rsidRPr="00C6604D">
        <w:rPr>
          <w:sz w:val="24"/>
          <w:szCs w:val="24"/>
          <w:u w:val="single"/>
          <w:lang w:val="en-GB"/>
        </w:rPr>
        <w:t xml:space="preserve">Agents whose effects may be potentiated by </w:t>
      </w:r>
      <w:proofErr w:type="spellStart"/>
      <w:r w:rsidRPr="00C6604D">
        <w:rPr>
          <w:sz w:val="24"/>
          <w:szCs w:val="24"/>
          <w:u w:val="single"/>
          <w:lang w:val="en-GB"/>
        </w:rPr>
        <w:t>amfetamines</w:t>
      </w:r>
      <w:proofErr w:type="spellEnd"/>
    </w:p>
    <w:p w14:paraId="6D767219" w14:textId="77777777" w:rsidR="002746A7" w:rsidRPr="002177D4" w:rsidRDefault="002746A7" w:rsidP="00EC2189">
      <w:pPr>
        <w:ind w:left="851"/>
        <w:rPr>
          <w:sz w:val="24"/>
          <w:szCs w:val="24"/>
          <w:lang w:val="en-GB"/>
        </w:rPr>
      </w:pPr>
    </w:p>
    <w:p w14:paraId="740427EF" w14:textId="77777777" w:rsidR="002746A7" w:rsidRPr="002177D4" w:rsidRDefault="002746A7" w:rsidP="00EC2189">
      <w:pPr>
        <w:ind w:left="851"/>
        <w:rPr>
          <w:sz w:val="24"/>
          <w:szCs w:val="24"/>
          <w:lang w:val="en-GB"/>
        </w:rPr>
      </w:pPr>
      <w:proofErr w:type="spellStart"/>
      <w:r w:rsidRPr="002177D4">
        <w:rPr>
          <w:sz w:val="24"/>
          <w:szCs w:val="24"/>
          <w:lang w:val="en-GB"/>
        </w:rPr>
        <w:t>Amfetamines</w:t>
      </w:r>
      <w:proofErr w:type="spellEnd"/>
      <w:r w:rsidRPr="002177D4">
        <w:rPr>
          <w:sz w:val="24"/>
          <w:szCs w:val="24"/>
          <w:lang w:val="en-GB"/>
        </w:rPr>
        <w:t xml:space="preserve"> potentiate the analgesic effect of narcotic analgesics.</w:t>
      </w:r>
    </w:p>
    <w:p w14:paraId="5E7CE998" w14:textId="77777777" w:rsidR="002746A7" w:rsidRPr="002177D4" w:rsidRDefault="002746A7" w:rsidP="00EC2189">
      <w:pPr>
        <w:ind w:left="851"/>
        <w:rPr>
          <w:sz w:val="24"/>
          <w:szCs w:val="24"/>
          <w:lang w:val="en-GB"/>
        </w:rPr>
      </w:pPr>
    </w:p>
    <w:p w14:paraId="791A4A1A" w14:textId="77777777" w:rsidR="002746A7" w:rsidRPr="00C6604D" w:rsidRDefault="002746A7" w:rsidP="00EC2189">
      <w:pPr>
        <w:ind w:left="851"/>
        <w:rPr>
          <w:sz w:val="24"/>
          <w:szCs w:val="24"/>
          <w:u w:val="single"/>
          <w:lang w:val="en-GB"/>
        </w:rPr>
      </w:pPr>
      <w:r w:rsidRPr="00C6604D">
        <w:rPr>
          <w:sz w:val="24"/>
          <w:szCs w:val="24"/>
          <w:u w:val="single"/>
          <w:lang w:val="en-GB"/>
        </w:rPr>
        <w:t xml:space="preserve">Agents that may reduce the effects of </w:t>
      </w:r>
      <w:proofErr w:type="spellStart"/>
      <w:r w:rsidRPr="00C6604D">
        <w:rPr>
          <w:sz w:val="24"/>
          <w:szCs w:val="24"/>
          <w:u w:val="single"/>
          <w:lang w:val="en-GB"/>
        </w:rPr>
        <w:t>amfetamines</w:t>
      </w:r>
      <w:proofErr w:type="spellEnd"/>
    </w:p>
    <w:p w14:paraId="0099B824" w14:textId="77777777" w:rsidR="002746A7" w:rsidRPr="002177D4" w:rsidRDefault="002746A7" w:rsidP="00EC2189">
      <w:pPr>
        <w:ind w:left="851"/>
        <w:rPr>
          <w:sz w:val="24"/>
          <w:szCs w:val="24"/>
          <w:lang w:val="en-GB"/>
        </w:rPr>
      </w:pPr>
    </w:p>
    <w:p w14:paraId="2439F7C0" w14:textId="77777777" w:rsidR="002746A7" w:rsidRPr="002177D4" w:rsidRDefault="002746A7" w:rsidP="00EC2189">
      <w:pPr>
        <w:ind w:left="851"/>
        <w:rPr>
          <w:sz w:val="24"/>
          <w:szCs w:val="24"/>
          <w:lang w:val="en-GB"/>
        </w:rPr>
      </w:pPr>
      <w:r w:rsidRPr="002177D4">
        <w:rPr>
          <w:sz w:val="24"/>
          <w:szCs w:val="24"/>
          <w:lang w:val="en-GB"/>
        </w:rPr>
        <w:t xml:space="preserve">Chlorpromazine: Chlorpromazine blocks dopamine and norepinephrine receptors, thus inhibiting the central stimulant effects of </w:t>
      </w:r>
      <w:proofErr w:type="spellStart"/>
      <w:r w:rsidRPr="002177D4">
        <w:rPr>
          <w:sz w:val="24"/>
          <w:szCs w:val="24"/>
          <w:lang w:val="en-GB"/>
        </w:rPr>
        <w:t>amfetamines</w:t>
      </w:r>
      <w:proofErr w:type="spellEnd"/>
      <w:r w:rsidRPr="002177D4">
        <w:rPr>
          <w:sz w:val="24"/>
          <w:szCs w:val="24"/>
          <w:lang w:val="en-GB"/>
        </w:rPr>
        <w:t>.</w:t>
      </w:r>
    </w:p>
    <w:p w14:paraId="5EE23CD8" w14:textId="77777777" w:rsidR="002746A7" w:rsidRPr="002177D4" w:rsidRDefault="002746A7" w:rsidP="00EC2189">
      <w:pPr>
        <w:ind w:left="851"/>
        <w:rPr>
          <w:sz w:val="24"/>
          <w:szCs w:val="24"/>
          <w:lang w:val="en-GB"/>
        </w:rPr>
      </w:pPr>
    </w:p>
    <w:p w14:paraId="2845035F" w14:textId="2E6D6D86" w:rsidR="002746A7" w:rsidRPr="002177D4" w:rsidRDefault="002746A7" w:rsidP="00EC2189">
      <w:pPr>
        <w:ind w:left="851"/>
        <w:rPr>
          <w:sz w:val="24"/>
          <w:szCs w:val="24"/>
          <w:lang w:val="en-GB"/>
        </w:rPr>
      </w:pPr>
      <w:r w:rsidRPr="002177D4">
        <w:rPr>
          <w:sz w:val="24"/>
          <w:szCs w:val="24"/>
          <w:lang w:val="en-GB"/>
        </w:rPr>
        <w:t xml:space="preserve">Haloperidol: Haloperidol blocks dopamine receptors, thus inhibiting the central stimulant effects of </w:t>
      </w:r>
      <w:proofErr w:type="spellStart"/>
      <w:r w:rsidRPr="002177D4">
        <w:rPr>
          <w:sz w:val="24"/>
          <w:szCs w:val="24"/>
          <w:lang w:val="en-GB"/>
        </w:rPr>
        <w:t>amfetamines</w:t>
      </w:r>
      <w:proofErr w:type="spellEnd"/>
      <w:r w:rsidRPr="002177D4">
        <w:rPr>
          <w:sz w:val="24"/>
          <w:szCs w:val="24"/>
          <w:lang w:val="en-GB"/>
        </w:rPr>
        <w:t>.</w:t>
      </w:r>
    </w:p>
    <w:p w14:paraId="7A9F2E06" w14:textId="77777777" w:rsidR="002746A7" w:rsidRPr="002177D4" w:rsidRDefault="002746A7" w:rsidP="00EC2189">
      <w:pPr>
        <w:ind w:left="851"/>
        <w:rPr>
          <w:sz w:val="24"/>
          <w:szCs w:val="24"/>
          <w:lang w:val="en-GB"/>
        </w:rPr>
      </w:pPr>
    </w:p>
    <w:p w14:paraId="47B58634" w14:textId="77777777" w:rsidR="002746A7" w:rsidRPr="002177D4" w:rsidRDefault="002746A7" w:rsidP="00EC2189">
      <w:pPr>
        <w:ind w:left="851"/>
        <w:rPr>
          <w:sz w:val="24"/>
          <w:szCs w:val="24"/>
          <w:lang w:val="en-GB"/>
        </w:rPr>
      </w:pPr>
      <w:r w:rsidRPr="002177D4">
        <w:rPr>
          <w:sz w:val="24"/>
          <w:szCs w:val="24"/>
          <w:lang w:val="en-GB"/>
        </w:rPr>
        <w:t xml:space="preserve">Lithium carbonate: The anorectic and stimulatory effects of </w:t>
      </w:r>
      <w:proofErr w:type="spellStart"/>
      <w:r w:rsidRPr="002177D4">
        <w:rPr>
          <w:sz w:val="24"/>
          <w:szCs w:val="24"/>
          <w:lang w:val="en-GB"/>
        </w:rPr>
        <w:t>amfetamines</w:t>
      </w:r>
      <w:proofErr w:type="spellEnd"/>
      <w:r w:rsidRPr="002177D4">
        <w:rPr>
          <w:sz w:val="24"/>
          <w:szCs w:val="24"/>
          <w:lang w:val="en-GB"/>
        </w:rPr>
        <w:t xml:space="preserve"> may be inhibited by lithium carbonate.</w:t>
      </w:r>
    </w:p>
    <w:p w14:paraId="19EA53A2" w14:textId="77777777" w:rsidR="002746A7" w:rsidRPr="002177D4" w:rsidRDefault="002746A7" w:rsidP="00EC2189">
      <w:pPr>
        <w:ind w:left="851"/>
        <w:rPr>
          <w:sz w:val="24"/>
          <w:szCs w:val="24"/>
          <w:lang w:val="en-GB"/>
        </w:rPr>
      </w:pPr>
    </w:p>
    <w:p w14:paraId="4D97200E" w14:textId="77777777" w:rsidR="002746A7" w:rsidRPr="00C6604D" w:rsidRDefault="002746A7" w:rsidP="00EC2189">
      <w:pPr>
        <w:ind w:left="851"/>
        <w:rPr>
          <w:sz w:val="24"/>
          <w:szCs w:val="24"/>
          <w:u w:val="single"/>
          <w:lang w:val="en-GB"/>
        </w:rPr>
      </w:pPr>
      <w:r w:rsidRPr="00C6604D">
        <w:rPr>
          <w:sz w:val="24"/>
          <w:szCs w:val="24"/>
          <w:u w:val="single"/>
          <w:lang w:val="en-GB"/>
        </w:rPr>
        <w:t>Use with alcohol</w:t>
      </w:r>
    </w:p>
    <w:p w14:paraId="39B58763" w14:textId="77777777" w:rsidR="002746A7" w:rsidRPr="002177D4" w:rsidRDefault="002746A7" w:rsidP="00EC2189">
      <w:pPr>
        <w:ind w:left="851"/>
        <w:rPr>
          <w:sz w:val="24"/>
          <w:szCs w:val="24"/>
          <w:lang w:val="en-GB"/>
        </w:rPr>
      </w:pPr>
    </w:p>
    <w:p w14:paraId="0417B3B1" w14:textId="77777777" w:rsidR="002746A7" w:rsidRPr="002177D4" w:rsidRDefault="002746A7" w:rsidP="00EC2189">
      <w:pPr>
        <w:ind w:left="851"/>
        <w:rPr>
          <w:sz w:val="24"/>
          <w:szCs w:val="24"/>
          <w:lang w:val="en-GB"/>
        </w:rPr>
      </w:pPr>
      <w:r w:rsidRPr="002177D4">
        <w:rPr>
          <w:sz w:val="24"/>
          <w:szCs w:val="24"/>
          <w:lang w:val="en-GB"/>
        </w:rPr>
        <w:t>There are limited data on the possible interaction with alcohol.</w:t>
      </w:r>
    </w:p>
    <w:p w14:paraId="1C552ECC" w14:textId="77777777" w:rsidR="002746A7" w:rsidRPr="002177D4" w:rsidRDefault="002746A7" w:rsidP="00EC2189">
      <w:pPr>
        <w:ind w:left="851"/>
        <w:rPr>
          <w:sz w:val="24"/>
          <w:szCs w:val="24"/>
          <w:lang w:val="en-GB"/>
        </w:rPr>
      </w:pPr>
    </w:p>
    <w:p w14:paraId="0AF10302" w14:textId="77777777" w:rsidR="002746A7" w:rsidRPr="00000FB7" w:rsidRDefault="002746A7" w:rsidP="00EC2189">
      <w:pPr>
        <w:ind w:left="851"/>
        <w:rPr>
          <w:sz w:val="24"/>
          <w:szCs w:val="24"/>
          <w:u w:val="single"/>
          <w:lang w:val="en-GB"/>
        </w:rPr>
      </w:pPr>
      <w:r w:rsidRPr="00000FB7">
        <w:rPr>
          <w:sz w:val="24"/>
          <w:szCs w:val="24"/>
          <w:u w:val="single"/>
          <w:lang w:val="en-GB"/>
        </w:rPr>
        <w:t>Drug/laboratory test interactions</w:t>
      </w:r>
    </w:p>
    <w:p w14:paraId="5B0D0E5C" w14:textId="77777777" w:rsidR="002746A7" w:rsidRPr="002177D4" w:rsidRDefault="002746A7" w:rsidP="00EC2189">
      <w:pPr>
        <w:ind w:left="851"/>
        <w:rPr>
          <w:sz w:val="24"/>
          <w:szCs w:val="24"/>
          <w:lang w:val="en-GB"/>
        </w:rPr>
      </w:pPr>
    </w:p>
    <w:p w14:paraId="1EECC6D3" w14:textId="77777777" w:rsidR="002746A7" w:rsidRPr="002177D4" w:rsidRDefault="002746A7" w:rsidP="00EC2189">
      <w:pPr>
        <w:ind w:left="851"/>
        <w:rPr>
          <w:sz w:val="24"/>
          <w:szCs w:val="24"/>
          <w:lang w:val="en-GB"/>
        </w:rPr>
      </w:pPr>
      <w:proofErr w:type="spellStart"/>
      <w:r w:rsidRPr="002177D4">
        <w:rPr>
          <w:sz w:val="24"/>
          <w:szCs w:val="24"/>
          <w:lang w:val="en-GB"/>
        </w:rPr>
        <w:t>Amfetamines</w:t>
      </w:r>
      <w:proofErr w:type="spellEnd"/>
      <w:r w:rsidRPr="002177D4">
        <w:rPr>
          <w:sz w:val="24"/>
          <w:szCs w:val="24"/>
          <w:lang w:val="en-GB"/>
        </w:rPr>
        <w:t xml:space="preserve"> can cause a significant elevation in plasma corticosteroid levels. This increase is greatest in the evening. </w:t>
      </w:r>
      <w:proofErr w:type="spellStart"/>
      <w:r w:rsidRPr="002177D4">
        <w:rPr>
          <w:sz w:val="24"/>
          <w:szCs w:val="24"/>
          <w:lang w:val="en-GB"/>
        </w:rPr>
        <w:t>Amfetamine</w:t>
      </w:r>
      <w:proofErr w:type="spellEnd"/>
      <w:r w:rsidRPr="002177D4">
        <w:rPr>
          <w:sz w:val="24"/>
          <w:szCs w:val="24"/>
          <w:lang w:val="en-GB"/>
        </w:rPr>
        <w:t xml:space="preserve"> may interfere with urinary steroid determinations.</w:t>
      </w:r>
    </w:p>
    <w:p w14:paraId="62CB653D" w14:textId="77777777" w:rsidR="007C5D2A" w:rsidRPr="002177D4" w:rsidRDefault="007C5D2A" w:rsidP="003E0341">
      <w:pPr>
        <w:tabs>
          <w:tab w:val="left" w:pos="851"/>
        </w:tabs>
        <w:ind w:left="851"/>
        <w:rPr>
          <w:sz w:val="24"/>
          <w:szCs w:val="24"/>
          <w:lang w:val="en-GB"/>
        </w:rPr>
      </w:pPr>
    </w:p>
    <w:p w14:paraId="2FF7BFB6"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4.6</w:t>
      </w:r>
      <w:r w:rsidRPr="002177D4">
        <w:rPr>
          <w:b/>
          <w:sz w:val="24"/>
          <w:szCs w:val="24"/>
          <w:lang w:val="en-GB"/>
        </w:rPr>
        <w:tab/>
      </w:r>
      <w:r w:rsidR="004860D3" w:rsidRPr="002177D4">
        <w:rPr>
          <w:b/>
          <w:sz w:val="24"/>
          <w:szCs w:val="24"/>
          <w:lang w:val="en-GB"/>
        </w:rPr>
        <w:t>Fertility, p</w:t>
      </w:r>
      <w:r w:rsidRPr="002177D4">
        <w:rPr>
          <w:b/>
          <w:sz w:val="24"/>
          <w:szCs w:val="24"/>
          <w:lang w:val="en-GB"/>
        </w:rPr>
        <w:t>regnancy and lactation</w:t>
      </w:r>
    </w:p>
    <w:p w14:paraId="21355120" w14:textId="77777777" w:rsidR="003F2F35" w:rsidRDefault="003F2F35" w:rsidP="00EC2189">
      <w:pPr>
        <w:ind w:left="851"/>
        <w:rPr>
          <w:sz w:val="24"/>
          <w:szCs w:val="24"/>
          <w:lang w:val="en-GB"/>
        </w:rPr>
      </w:pPr>
    </w:p>
    <w:p w14:paraId="131AB136" w14:textId="3F5B00AA" w:rsidR="002746A7" w:rsidRPr="003F2F35" w:rsidRDefault="002746A7" w:rsidP="00EC2189">
      <w:pPr>
        <w:ind w:left="851"/>
        <w:rPr>
          <w:sz w:val="24"/>
          <w:szCs w:val="24"/>
          <w:u w:val="single"/>
          <w:lang w:val="en-GB"/>
        </w:rPr>
      </w:pPr>
      <w:r w:rsidRPr="003F2F35">
        <w:rPr>
          <w:sz w:val="24"/>
          <w:szCs w:val="24"/>
          <w:u w:val="single"/>
          <w:lang w:val="en-GB"/>
        </w:rPr>
        <w:t>Pregnancy</w:t>
      </w:r>
    </w:p>
    <w:p w14:paraId="020D0ECE" w14:textId="77777777" w:rsidR="002746A7" w:rsidRPr="002177D4" w:rsidRDefault="002746A7" w:rsidP="00EC2189">
      <w:pPr>
        <w:ind w:left="851"/>
        <w:rPr>
          <w:sz w:val="24"/>
          <w:szCs w:val="24"/>
          <w:lang w:val="en-GB"/>
        </w:rPr>
      </w:pPr>
    </w:p>
    <w:p w14:paraId="49FDB26D" w14:textId="77777777" w:rsidR="002746A7" w:rsidRPr="002177D4" w:rsidRDefault="002746A7" w:rsidP="00EC2189">
      <w:pPr>
        <w:ind w:left="851"/>
        <w:rPr>
          <w:sz w:val="24"/>
          <w:szCs w:val="24"/>
          <w:lang w:val="en-GB"/>
        </w:rPr>
      </w:pPr>
      <w:proofErr w:type="spellStart"/>
      <w:r w:rsidRPr="002177D4">
        <w:rPr>
          <w:sz w:val="24"/>
          <w:szCs w:val="24"/>
          <w:lang w:val="en-GB"/>
        </w:rPr>
        <w:t>Dexamfetamine</w:t>
      </w:r>
      <w:proofErr w:type="spellEnd"/>
      <w:r w:rsidRPr="002177D4">
        <w:rPr>
          <w:sz w:val="24"/>
          <w:szCs w:val="24"/>
          <w:lang w:val="en-GB"/>
        </w:rPr>
        <w:t xml:space="preserve">, the active metabolite of </w:t>
      </w:r>
      <w:proofErr w:type="spellStart"/>
      <w:r w:rsidRPr="002177D4">
        <w:rPr>
          <w:sz w:val="24"/>
          <w:szCs w:val="24"/>
          <w:lang w:val="en-GB"/>
        </w:rPr>
        <w:t>lisdexamfetamine</w:t>
      </w:r>
      <w:proofErr w:type="spellEnd"/>
      <w:r w:rsidRPr="002177D4">
        <w:rPr>
          <w:sz w:val="24"/>
          <w:szCs w:val="24"/>
          <w:lang w:val="en-GB"/>
        </w:rPr>
        <w:t xml:space="preserve">, crosses the placenta. Data from a cohort study of in total approximately 5570 pregnancies exposed to </w:t>
      </w:r>
      <w:proofErr w:type="spellStart"/>
      <w:r w:rsidRPr="002177D4">
        <w:rPr>
          <w:sz w:val="24"/>
          <w:szCs w:val="24"/>
          <w:lang w:val="en-GB"/>
        </w:rPr>
        <w:t>amfetamine</w:t>
      </w:r>
      <w:proofErr w:type="spellEnd"/>
      <w:r w:rsidRPr="002177D4">
        <w:rPr>
          <w:sz w:val="24"/>
          <w:szCs w:val="24"/>
          <w:lang w:val="en-GB"/>
        </w:rPr>
        <w:t xml:space="preserve"> in the first trimester do not suggest an increased risk of congenital malformation. Data from another cohort study in approximately 3100 pregnancies exposed to </w:t>
      </w:r>
      <w:proofErr w:type="spellStart"/>
      <w:r w:rsidRPr="002177D4">
        <w:rPr>
          <w:sz w:val="24"/>
          <w:szCs w:val="24"/>
          <w:lang w:val="en-GB"/>
        </w:rPr>
        <w:t>amfetamine</w:t>
      </w:r>
      <w:proofErr w:type="spellEnd"/>
      <w:r w:rsidRPr="002177D4">
        <w:rPr>
          <w:sz w:val="24"/>
          <w:szCs w:val="24"/>
          <w:lang w:val="en-GB"/>
        </w:rPr>
        <w:t xml:space="preserve"> during the first 20 weeks of pregnancy, suggest an increased risk of preeclampsia, and preterm birth. </w:t>
      </w:r>
      <w:proofErr w:type="spellStart"/>
      <w:r w:rsidRPr="002177D4">
        <w:rPr>
          <w:sz w:val="24"/>
          <w:szCs w:val="24"/>
          <w:lang w:val="en-GB"/>
        </w:rPr>
        <w:t>Newborns</w:t>
      </w:r>
      <w:proofErr w:type="spellEnd"/>
      <w:r w:rsidRPr="002177D4">
        <w:rPr>
          <w:sz w:val="24"/>
          <w:szCs w:val="24"/>
          <w:lang w:val="en-GB"/>
        </w:rPr>
        <w:t xml:space="preserve"> exposed to </w:t>
      </w:r>
      <w:proofErr w:type="spellStart"/>
      <w:r w:rsidRPr="002177D4">
        <w:rPr>
          <w:sz w:val="24"/>
          <w:szCs w:val="24"/>
          <w:lang w:val="en-GB"/>
        </w:rPr>
        <w:t>amfetamine</w:t>
      </w:r>
      <w:proofErr w:type="spellEnd"/>
      <w:r w:rsidRPr="002177D4">
        <w:rPr>
          <w:sz w:val="24"/>
          <w:szCs w:val="24"/>
          <w:lang w:val="en-GB"/>
        </w:rPr>
        <w:t xml:space="preserve"> during pregnancy may experience withdrawal symptoms.</w:t>
      </w:r>
    </w:p>
    <w:p w14:paraId="24B2E548" w14:textId="77777777" w:rsidR="002746A7" w:rsidRPr="002177D4" w:rsidRDefault="002746A7" w:rsidP="00EC2189">
      <w:pPr>
        <w:ind w:left="851"/>
        <w:rPr>
          <w:sz w:val="24"/>
          <w:szCs w:val="24"/>
          <w:lang w:val="en-GB"/>
        </w:rPr>
      </w:pPr>
    </w:p>
    <w:p w14:paraId="7E12B1ED" w14:textId="77777777" w:rsidR="002746A7" w:rsidRPr="002177D4" w:rsidRDefault="002746A7" w:rsidP="00EC2189">
      <w:pPr>
        <w:ind w:left="851"/>
        <w:rPr>
          <w:sz w:val="24"/>
          <w:szCs w:val="24"/>
          <w:lang w:val="en-GB"/>
        </w:rPr>
      </w:pPr>
      <w:r w:rsidRPr="002E15A9">
        <w:rPr>
          <w:sz w:val="24"/>
          <w:szCs w:val="24"/>
          <w:lang w:val="en-US"/>
        </w:rPr>
        <w:t xml:space="preserve">In animal reproduction studies,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had no effect on </w:t>
      </w:r>
      <w:proofErr w:type="spellStart"/>
      <w:r w:rsidRPr="002E15A9">
        <w:rPr>
          <w:sz w:val="24"/>
          <w:szCs w:val="24"/>
          <w:lang w:val="en-US"/>
        </w:rPr>
        <w:t>embryofoetal</w:t>
      </w:r>
      <w:proofErr w:type="spellEnd"/>
      <w:r w:rsidRPr="002E15A9">
        <w:rPr>
          <w:sz w:val="24"/>
          <w:szCs w:val="24"/>
          <w:lang w:val="en-US"/>
        </w:rPr>
        <w:t xml:space="preserve"> development or survival when administered orally to pregnant rats and rabbits (see section 5.3). Administration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to juvenile rats was associated with reductions in growth measurements at clinically relevant exposures.</w:t>
      </w:r>
    </w:p>
    <w:p w14:paraId="2E40C8D6" w14:textId="77777777" w:rsidR="002746A7" w:rsidRPr="002177D4" w:rsidRDefault="002746A7" w:rsidP="00EC2189">
      <w:pPr>
        <w:ind w:left="851"/>
        <w:rPr>
          <w:sz w:val="24"/>
          <w:szCs w:val="24"/>
          <w:lang w:val="en-GB"/>
        </w:rPr>
      </w:pPr>
    </w:p>
    <w:p w14:paraId="06657769" w14:textId="5C2C6BA7" w:rsidR="002746A7" w:rsidRPr="002177D4" w:rsidRDefault="002746A7" w:rsidP="00EC2189">
      <w:pPr>
        <w:ind w:left="851"/>
        <w:rPr>
          <w:sz w:val="24"/>
          <w:szCs w:val="24"/>
          <w:lang w:val="en-GB"/>
        </w:rPr>
      </w:pPr>
      <w:r w:rsidRPr="002177D4">
        <w:rPr>
          <w:sz w:val="24"/>
          <w:szCs w:val="24"/>
          <w:lang w:val="en-GB"/>
        </w:rPr>
        <w:t xml:space="preserve">The physician should discuss </w:t>
      </w:r>
      <w:proofErr w:type="spellStart"/>
      <w:r w:rsidR="004C14A1">
        <w:rPr>
          <w:sz w:val="24"/>
          <w:szCs w:val="24"/>
          <w:lang w:val="en-GB"/>
        </w:rPr>
        <w:t>Lissidexanz</w:t>
      </w:r>
      <w:proofErr w:type="spellEnd"/>
      <w:r w:rsidRPr="002177D4">
        <w:rPr>
          <w:sz w:val="24"/>
          <w:szCs w:val="24"/>
          <w:lang w:val="en-GB"/>
        </w:rPr>
        <w:t xml:space="preserve"> treatment in the context of potential pregnancy or lactation with female patients of child-bearing potential. </w:t>
      </w:r>
      <w:proofErr w:type="spellStart"/>
      <w:r w:rsidR="004C14A1">
        <w:rPr>
          <w:sz w:val="24"/>
          <w:szCs w:val="24"/>
          <w:lang w:val="en-GB"/>
        </w:rPr>
        <w:t>Lissidexanz</w:t>
      </w:r>
      <w:proofErr w:type="spellEnd"/>
      <w:r w:rsidRPr="002177D4">
        <w:rPr>
          <w:sz w:val="24"/>
          <w:szCs w:val="24"/>
          <w:lang w:val="en-GB"/>
        </w:rPr>
        <w:t xml:space="preserve"> should only be used during pregnancy if the potential benefit justifies the potential risk to the foetus.</w:t>
      </w:r>
    </w:p>
    <w:p w14:paraId="7DA2BD6D" w14:textId="77777777" w:rsidR="002746A7" w:rsidRPr="002177D4" w:rsidRDefault="002746A7" w:rsidP="00EC2189">
      <w:pPr>
        <w:ind w:left="851"/>
        <w:rPr>
          <w:sz w:val="24"/>
          <w:szCs w:val="24"/>
          <w:lang w:val="en-GB"/>
        </w:rPr>
      </w:pPr>
    </w:p>
    <w:p w14:paraId="6749E6F8" w14:textId="77777777" w:rsidR="002746A7" w:rsidRPr="003F2F35" w:rsidRDefault="002746A7" w:rsidP="00EC2189">
      <w:pPr>
        <w:ind w:left="851"/>
        <w:rPr>
          <w:sz w:val="24"/>
          <w:szCs w:val="24"/>
          <w:u w:val="single"/>
          <w:lang w:val="en-GB"/>
        </w:rPr>
      </w:pPr>
      <w:r w:rsidRPr="003F2F35">
        <w:rPr>
          <w:sz w:val="24"/>
          <w:szCs w:val="24"/>
          <w:u w:val="single"/>
          <w:lang w:val="en-GB"/>
        </w:rPr>
        <w:t>Breast-feeding</w:t>
      </w:r>
    </w:p>
    <w:p w14:paraId="192EB959" w14:textId="77777777" w:rsidR="002746A7" w:rsidRPr="002177D4" w:rsidRDefault="002746A7" w:rsidP="00EC2189">
      <w:pPr>
        <w:ind w:left="851"/>
        <w:rPr>
          <w:sz w:val="24"/>
          <w:szCs w:val="24"/>
          <w:lang w:val="en-GB"/>
        </w:rPr>
      </w:pPr>
    </w:p>
    <w:p w14:paraId="30894B79" w14:textId="196B8896" w:rsidR="002746A7" w:rsidRPr="002177D4" w:rsidRDefault="002746A7" w:rsidP="00EC2189">
      <w:pPr>
        <w:ind w:left="851"/>
        <w:rPr>
          <w:sz w:val="24"/>
          <w:szCs w:val="24"/>
          <w:lang w:val="en-GB"/>
        </w:rPr>
      </w:pPr>
      <w:proofErr w:type="spellStart"/>
      <w:r w:rsidRPr="002177D4">
        <w:rPr>
          <w:sz w:val="24"/>
          <w:szCs w:val="24"/>
          <w:lang w:val="en-GB"/>
        </w:rPr>
        <w:t>Amfetamines</w:t>
      </w:r>
      <w:proofErr w:type="spellEnd"/>
      <w:r w:rsidRPr="002177D4">
        <w:rPr>
          <w:sz w:val="24"/>
          <w:szCs w:val="24"/>
          <w:lang w:val="en-GB"/>
        </w:rPr>
        <w:t xml:space="preserve"> are excreted in human milk. </w:t>
      </w:r>
      <w:proofErr w:type="spellStart"/>
      <w:r w:rsidR="004C14A1">
        <w:rPr>
          <w:sz w:val="24"/>
          <w:szCs w:val="24"/>
          <w:lang w:val="en-GB"/>
        </w:rPr>
        <w:t>Lissidexanz</w:t>
      </w:r>
      <w:proofErr w:type="spellEnd"/>
      <w:r w:rsidRPr="002177D4">
        <w:rPr>
          <w:sz w:val="24"/>
          <w:szCs w:val="24"/>
          <w:lang w:val="en-GB"/>
        </w:rPr>
        <w:t xml:space="preserve"> should not be used during breast-feeding.</w:t>
      </w:r>
    </w:p>
    <w:p w14:paraId="1E212704" w14:textId="77777777" w:rsidR="002746A7" w:rsidRPr="002177D4" w:rsidRDefault="002746A7" w:rsidP="00EC2189">
      <w:pPr>
        <w:ind w:left="851"/>
        <w:rPr>
          <w:sz w:val="24"/>
          <w:szCs w:val="24"/>
          <w:lang w:val="en-GB"/>
        </w:rPr>
      </w:pPr>
    </w:p>
    <w:p w14:paraId="78E297EC" w14:textId="77777777" w:rsidR="002746A7" w:rsidRPr="003F2F35" w:rsidRDefault="002746A7" w:rsidP="00EC2189">
      <w:pPr>
        <w:ind w:left="851"/>
        <w:rPr>
          <w:sz w:val="24"/>
          <w:szCs w:val="24"/>
          <w:u w:val="single"/>
          <w:lang w:val="en-GB"/>
        </w:rPr>
      </w:pPr>
      <w:r w:rsidRPr="003F2F35">
        <w:rPr>
          <w:sz w:val="24"/>
          <w:szCs w:val="24"/>
          <w:u w:val="single"/>
          <w:lang w:val="en-GB"/>
        </w:rPr>
        <w:t>Fertility</w:t>
      </w:r>
    </w:p>
    <w:p w14:paraId="27EB1FEA" w14:textId="77777777" w:rsidR="002746A7" w:rsidRPr="002177D4" w:rsidRDefault="002746A7" w:rsidP="00EC2189">
      <w:pPr>
        <w:ind w:left="851"/>
        <w:rPr>
          <w:sz w:val="24"/>
          <w:szCs w:val="24"/>
          <w:lang w:val="en-GB"/>
        </w:rPr>
      </w:pPr>
    </w:p>
    <w:p w14:paraId="02340C22" w14:textId="77777777" w:rsidR="002746A7" w:rsidRPr="002177D4" w:rsidRDefault="002746A7" w:rsidP="00EC2189">
      <w:pPr>
        <w:ind w:left="851"/>
        <w:rPr>
          <w:sz w:val="24"/>
          <w:szCs w:val="24"/>
          <w:lang w:val="en-GB"/>
        </w:rPr>
      </w:pPr>
      <w:r w:rsidRPr="002E15A9">
        <w:rPr>
          <w:sz w:val="24"/>
          <w:szCs w:val="24"/>
          <w:lang w:val="en-US"/>
        </w:rPr>
        <w:t xml:space="preserve">The effects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on fertility and early embryonic development have not been investigated in animal reproductive studies. </w:t>
      </w:r>
      <w:proofErr w:type="spellStart"/>
      <w:r w:rsidRPr="002E15A9">
        <w:rPr>
          <w:sz w:val="24"/>
          <w:szCs w:val="24"/>
          <w:lang w:val="en-US"/>
        </w:rPr>
        <w:t>Amfetamine</w:t>
      </w:r>
      <w:proofErr w:type="spellEnd"/>
      <w:r w:rsidRPr="002E15A9">
        <w:rPr>
          <w:sz w:val="24"/>
          <w:szCs w:val="24"/>
          <w:lang w:val="en-US"/>
        </w:rPr>
        <w:t xml:space="preserve"> has shown no harmful effects on fertility in a rat study (see section 5.3). The effects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on human fertility has not been investigated.</w:t>
      </w:r>
    </w:p>
    <w:p w14:paraId="7BD6317D" w14:textId="77777777" w:rsidR="007C5D2A" w:rsidRPr="002177D4" w:rsidRDefault="007C5D2A" w:rsidP="003E0341">
      <w:pPr>
        <w:tabs>
          <w:tab w:val="left" w:pos="851"/>
        </w:tabs>
        <w:ind w:left="851"/>
        <w:rPr>
          <w:sz w:val="24"/>
          <w:szCs w:val="24"/>
          <w:lang w:val="en-GB"/>
        </w:rPr>
      </w:pPr>
    </w:p>
    <w:p w14:paraId="633583D1"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4.7</w:t>
      </w:r>
      <w:r w:rsidRPr="002177D4">
        <w:rPr>
          <w:b/>
          <w:sz w:val="24"/>
          <w:szCs w:val="24"/>
          <w:lang w:val="en-GB"/>
        </w:rPr>
        <w:tab/>
        <w:t>Effects on ability to drive and use machines</w:t>
      </w:r>
    </w:p>
    <w:p w14:paraId="423A17C1" w14:textId="77777777" w:rsidR="00EC2189" w:rsidRPr="002177D4" w:rsidRDefault="00EC2189" w:rsidP="00EC2189">
      <w:pPr>
        <w:ind w:left="851"/>
        <w:rPr>
          <w:sz w:val="24"/>
          <w:szCs w:val="24"/>
          <w:lang w:val="en-GB"/>
        </w:rPr>
      </w:pPr>
      <w:r w:rsidRPr="002177D4">
        <w:rPr>
          <w:sz w:val="24"/>
          <w:szCs w:val="24"/>
          <w:lang w:val="en-GB"/>
        </w:rPr>
        <w:t>Traffic warning.</w:t>
      </w:r>
    </w:p>
    <w:p w14:paraId="0E57BCE5" w14:textId="0265C6C9" w:rsidR="002746A7" w:rsidRPr="002177D4" w:rsidRDefault="004C14A1" w:rsidP="00EC2189">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can cause dizziness, drowsiness and visual disturbances including difficulties with accommodation, and blurred vision. These could have a moderate influence on the ability to drive and use machines. Patients should be warned of these possible effects and advised that if affected, they should avoid potentially hazardous activities such as driving or operating machinery.</w:t>
      </w:r>
    </w:p>
    <w:p w14:paraId="2D442003" w14:textId="77777777" w:rsidR="007C5D2A" w:rsidRPr="002177D4" w:rsidRDefault="007C5D2A" w:rsidP="003E0341">
      <w:pPr>
        <w:tabs>
          <w:tab w:val="left" w:pos="851"/>
        </w:tabs>
        <w:ind w:left="851"/>
        <w:rPr>
          <w:sz w:val="24"/>
          <w:szCs w:val="24"/>
          <w:lang w:val="en-GB"/>
        </w:rPr>
      </w:pPr>
    </w:p>
    <w:p w14:paraId="298CEB95"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4.8</w:t>
      </w:r>
      <w:r w:rsidRPr="002177D4">
        <w:rPr>
          <w:b/>
          <w:sz w:val="24"/>
          <w:szCs w:val="24"/>
          <w:lang w:val="en-GB"/>
        </w:rPr>
        <w:tab/>
        <w:t>Undesirable effects</w:t>
      </w:r>
    </w:p>
    <w:p w14:paraId="6C7E7E9C" w14:textId="77777777" w:rsidR="003F2F35" w:rsidRDefault="003F2F35" w:rsidP="00EC2189">
      <w:pPr>
        <w:ind w:left="851"/>
        <w:rPr>
          <w:sz w:val="24"/>
          <w:szCs w:val="24"/>
          <w:lang w:val="en-GB"/>
        </w:rPr>
      </w:pPr>
    </w:p>
    <w:p w14:paraId="1CC04B66" w14:textId="15760A86" w:rsidR="002746A7" w:rsidRPr="003F2F35" w:rsidRDefault="002746A7" w:rsidP="00EC2189">
      <w:pPr>
        <w:ind w:left="851"/>
        <w:rPr>
          <w:sz w:val="24"/>
          <w:szCs w:val="24"/>
          <w:u w:val="single"/>
          <w:lang w:val="en-GB"/>
        </w:rPr>
      </w:pPr>
      <w:r w:rsidRPr="003F2F35">
        <w:rPr>
          <w:sz w:val="24"/>
          <w:szCs w:val="24"/>
          <w:u w:val="single"/>
          <w:lang w:val="en-GB"/>
        </w:rPr>
        <w:t>Summary of the safety profile</w:t>
      </w:r>
    </w:p>
    <w:p w14:paraId="1819548F" w14:textId="77777777" w:rsidR="002746A7" w:rsidRPr="002177D4" w:rsidRDefault="002746A7" w:rsidP="00EC2189">
      <w:pPr>
        <w:ind w:left="851"/>
        <w:rPr>
          <w:sz w:val="24"/>
          <w:szCs w:val="24"/>
          <w:lang w:val="en-GB"/>
        </w:rPr>
      </w:pPr>
    </w:p>
    <w:p w14:paraId="1ECDB6E3" w14:textId="77777777" w:rsidR="002746A7" w:rsidRPr="002177D4" w:rsidRDefault="002746A7" w:rsidP="00EC2189">
      <w:pPr>
        <w:ind w:left="851"/>
        <w:rPr>
          <w:sz w:val="24"/>
          <w:szCs w:val="24"/>
          <w:lang w:val="en-GB"/>
        </w:rPr>
      </w:pPr>
      <w:r w:rsidRPr="002177D4">
        <w:rPr>
          <w:sz w:val="24"/>
          <w:szCs w:val="24"/>
          <w:lang w:val="en-GB"/>
        </w:rPr>
        <w:t xml:space="preserve">Adverse reactions observed with </w:t>
      </w:r>
      <w:proofErr w:type="spellStart"/>
      <w:r w:rsidRPr="002177D4">
        <w:rPr>
          <w:sz w:val="24"/>
          <w:szCs w:val="24"/>
          <w:lang w:val="en-GB"/>
        </w:rPr>
        <w:t>lisdexamfetamine</w:t>
      </w:r>
      <w:proofErr w:type="spellEnd"/>
      <w:r w:rsidRPr="002177D4">
        <w:rPr>
          <w:sz w:val="24"/>
          <w:szCs w:val="24"/>
          <w:lang w:val="en-GB"/>
        </w:rPr>
        <w:t>-containing medicinal products mainly reflect side effects commonly associated with stimulant use. Very common adverse reactions seen in adults include decreased appetite, insomnia, dry mouth and headache.</w:t>
      </w:r>
    </w:p>
    <w:p w14:paraId="54EDDA23" w14:textId="77777777" w:rsidR="002746A7" w:rsidRPr="002177D4" w:rsidRDefault="002746A7" w:rsidP="00EC2189">
      <w:pPr>
        <w:ind w:left="851"/>
        <w:rPr>
          <w:sz w:val="24"/>
          <w:szCs w:val="24"/>
          <w:lang w:val="en-GB"/>
        </w:rPr>
      </w:pPr>
    </w:p>
    <w:p w14:paraId="43D648FB" w14:textId="77777777" w:rsidR="002746A7" w:rsidRPr="003F2F35" w:rsidRDefault="002746A7" w:rsidP="00EC2189">
      <w:pPr>
        <w:ind w:left="851"/>
        <w:rPr>
          <w:sz w:val="24"/>
          <w:szCs w:val="24"/>
          <w:u w:val="single"/>
          <w:lang w:val="en-GB"/>
        </w:rPr>
      </w:pPr>
      <w:r w:rsidRPr="003F2F35">
        <w:rPr>
          <w:sz w:val="24"/>
          <w:szCs w:val="24"/>
          <w:u w:val="single"/>
          <w:lang w:val="en-GB"/>
        </w:rPr>
        <w:t>Tabulated summary of adverse reactions</w:t>
      </w:r>
    </w:p>
    <w:p w14:paraId="0EBA9DFA" w14:textId="77777777" w:rsidR="002746A7" w:rsidRPr="002177D4" w:rsidRDefault="002746A7" w:rsidP="00EC2189">
      <w:pPr>
        <w:ind w:left="851"/>
        <w:rPr>
          <w:sz w:val="24"/>
          <w:szCs w:val="24"/>
          <w:lang w:val="en-GB"/>
        </w:rPr>
      </w:pPr>
      <w:r w:rsidRPr="002177D4">
        <w:rPr>
          <w:sz w:val="24"/>
          <w:szCs w:val="24"/>
          <w:lang w:val="en-GB"/>
        </w:rPr>
        <w:t>The following table presents all adverse reactions based on clinical trials and spontaneous reporting.</w:t>
      </w:r>
    </w:p>
    <w:p w14:paraId="284B3CAA" w14:textId="77777777" w:rsidR="002746A7" w:rsidRPr="002177D4" w:rsidRDefault="002746A7" w:rsidP="00EC2189">
      <w:pPr>
        <w:ind w:left="851"/>
        <w:rPr>
          <w:sz w:val="24"/>
          <w:szCs w:val="24"/>
          <w:lang w:val="en-GB"/>
        </w:rPr>
      </w:pPr>
    </w:p>
    <w:p w14:paraId="69630C1D" w14:textId="77777777" w:rsidR="002746A7" w:rsidRPr="002177D4" w:rsidRDefault="002746A7" w:rsidP="00EC2189">
      <w:pPr>
        <w:ind w:left="851"/>
        <w:rPr>
          <w:sz w:val="24"/>
          <w:szCs w:val="24"/>
          <w:lang w:val="en-GB"/>
        </w:rPr>
      </w:pPr>
      <w:r w:rsidRPr="002177D4">
        <w:rPr>
          <w:sz w:val="24"/>
          <w:szCs w:val="24"/>
          <w:lang w:val="en-GB"/>
        </w:rPr>
        <w:t>The following definitions apply to the frequency terminology used hereafter:</w:t>
      </w:r>
    </w:p>
    <w:p w14:paraId="17D4A3E2" w14:textId="77777777" w:rsidR="002746A7" w:rsidRPr="002177D4" w:rsidRDefault="002746A7" w:rsidP="00EC2189">
      <w:pPr>
        <w:ind w:left="851"/>
        <w:rPr>
          <w:sz w:val="24"/>
          <w:szCs w:val="24"/>
          <w:lang w:val="en-GB"/>
        </w:rPr>
      </w:pPr>
      <w:r w:rsidRPr="002177D4">
        <w:rPr>
          <w:sz w:val="24"/>
          <w:szCs w:val="24"/>
          <w:lang w:val="en-GB"/>
        </w:rPr>
        <w:t>Very common (≥ 1/10)</w:t>
      </w:r>
    </w:p>
    <w:p w14:paraId="539FC56E" w14:textId="77777777" w:rsidR="002746A7" w:rsidRPr="002177D4" w:rsidRDefault="002746A7" w:rsidP="00EC2189">
      <w:pPr>
        <w:ind w:left="851"/>
        <w:rPr>
          <w:sz w:val="24"/>
          <w:szCs w:val="24"/>
          <w:lang w:val="en-GB"/>
        </w:rPr>
      </w:pPr>
      <w:r w:rsidRPr="002177D4">
        <w:rPr>
          <w:sz w:val="24"/>
          <w:szCs w:val="24"/>
          <w:lang w:val="en-GB"/>
        </w:rPr>
        <w:t>Common (≥ 1/100 to &lt; 1/10)</w:t>
      </w:r>
    </w:p>
    <w:p w14:paraId="3365ECDF" w14:textId="77777777" w:rsidR="002746A7" w:rsidRPr="002177D4" w:rsidRDefault="002746A7" w:rsidP="00EC2189">
      <w:pPr>
        <w:ind w:left="851"/>
        <w:rPr>
          <w:sz w:val="24"/>
          <w:szCs w:val="24"/>
          <w:lang w:val="en-GB"/>
        </w:rPr>
      </w:pPr>
      <w:r w:rsidRPr="002177D4">
        <w:rPr>
          <w:sz w:val="24"/>
          <w:szCs w:val="24"/>
          <w:lang w:val="en-GB"/>
        </w:rPr>
        <w:t>Uncommon (≥ 1/1,000 to &lt; 1/100)</w:t>
      </w:r>
    </w:p>
    <w:p w14:paraId="683CEDAB" w14:textId="77777777" w:rsidR="002746A7" w:rsidRPr="002177D4" w:rsidRDefault="002746A7" w:rsidP="00EC2189">
      <w:pPr>
        <w:ind w:left="851"/>
        <w:rPr>
          <w:sz w:val="24"/>
          <w:szCs w:val="24"/>
          <w:lang w:val="en-GB"/>
        </w:rPr>
      </w:pPr>
      <w:r w:rsidRPr="002177D4">
        <w:rPr>
          <w:sz w:val="24"/>
          <w:szCs w:val="24"/>
          <w:lang w:val="en-GB"/>
        </w:rPr>
        <w:t>Rare (≥ 1/10,000 to &lt; 1/1,000)</w:t>
      </w:r>
    </w:p>
    <w:p w14:paraId="04769DFB" w14:textId="77777777" w:rsidR="002746A7" w:rsidRPr="002177D4" w:rsidRDefault="002746A7" w:rsidP="00EC2189">
      <w:pPr>
        <w:ind w:left="851"/>
        <w:rPr>
          <w:sz w:val="24"/>
          <w:szCs w:val="24"/>
          <w:lang w:val="en-GB"/>
        </w:rPr>
      </w:pPr>
      <w:r w:rsidRPr="002177D4">
        <w:rPr>
          <w:sz w:val="24"/>
          <w:szCs w:val="24"/>
          <w:lang w:val="en-GB"/>
        </w:rPr>
        <w:t>Very rare (&lt; 1/10,000)</w:t>
      </w:r>
    </w:p>
    <w:p w14:paraId="55974607" w14:textId="77777777" w:rsidR="002746A7" w:rsidRPr="002177D4" w:rsidRDefault="002746A7" w:rsidP="00EC2189">
      <w:pPr>
        <w:ind w:left="851"/>
        <w:rPr>
          <w:sz w:val="24"/>
          <w:szCs w:val="24"/>
          <w:lang w:val="en-GB"/>
        </w:rPr>
      </w:pPr>
      <w:r w:rsidRPr="002177D4">
        <w:rPr>
          <w:sz w:val="24"/>
          <w:szCs w:val="24"/>
          <w:lang w:val="en-GB"/>
        </w:rPr>
        <w:t>Frequency not known (cannot be estimated from the available data).</w:t>
      </w:r>
    </w:p>
    <w:p w14:paraId="27665BF4" w14:textId="77777777" w:rsidR="002746A7" w:rsidRPr="002177D4" w:rsidRDefault="002746A7" w:rsidP="00EC2189">
      <w:pPr>
        <w:ind w:left="851"/>
        <w:rPr>
          <w:sz w:val="24"/>
          <w:szCs w:val="24"/>
          <w:lang w:val="en-GB"/>
        </w:rPr>
      </w:pPr>
    </w:p>
    <w:p w14:paraId="1CE25837" w14:textId="77777777" w:rsidR="002746A7" w:rsidRPr="002177D4" w:rsidRDefault="002746A7" w:rsidP="00EC2189">
      <w:pPr>
        <w:ind w:left="851"/>
        <w:rPr>
          <w:sz w:val="24"/>
          <w:szCs w:val="24"/>
          <w:lang w:val="en-GB"/>
        </w:rPr>
      </w:pPr>
      <w:r w:rsidRPr="002177D4">
        <w:rPr>
          <w:sz w:val="24"/>
          <w:szCs w:val="24"/>
          <w:lang w:val="en-GB"/>
        </w:rPr>
        <w:t>An asterisk (*) indicates that additional information on the respective adverse reaction is provided below the table.</w:t>
      </w:r>
    </w:p>
    <w:p w14:paraId="325EEEC7" w14:textId="77777777" w:rsidR="002746A7" w:rsidRPr="00F57777" w:rsidRDefault="002746A7" w:rsidP="002746A7">
      <w:pPr>
        <w:pStyle w:val="Default"/>
        <w:rPr>
          <w:i/>
          <w:color w:val="auto"/>
          <w:lang w:val="en-GB"/>
        </w:rPr>
      </w:pPr>
    </w:p>
    <w:tbl>
      <w:tblPr>
        <w:tblW w:w="5000" w:type="pct"/>
        <w:tblCellMar>
          <w:left w:w="0" w:type="dxa"/>
          <w:right w:w="0" w:type="dxa"/>
        </w:tblCellMar>
        <w:tblLook w:val="04A0" w:firstRow="1" w:lastRow="0" w:firstColumn="1" w:lastColumn="0" w:noHBand="0" w:noVBand="1"/>
      </w:tblPr>
      <w:tblGrid>
        <w:gridCol w:w="1945"/>
        <w:gridCol w:w="2026"/>
        <w:gridCol w:w="1879"/>
        <w:gridCol w:w="1880"/>
        <w:gridCol w:w="1898"/>
      </w:tblGrid>
      <w:tr w:rsidR="002746A7" w:rsidRPr="002177D4" w14:paraId="76B2ADD0" w14:textId="77777777" w:rsidTr="00EC2189">
        <w:trPr>
          <w:trHeight w:val="451"/>
        </w:trPr>
        <w:tc>
          <w:tcPr>
            <w:tcW w:w="946" w:type="pct"/>
            <w:tcBorders>
              <w:top w:val="single" w:sz="4" w:space="0" w:color="000000"/>
              <w:left w:val="single" w:sz="4" w:space="0" w:color="000000"/>
              <w:bottom w:val="single" w:sz="4" w:space="0" w:color="000000"/>
              <w:right w:val="single" w:sz="4" w:space="0" w:color="000000"/>
            </w:tcBorders>
            <w:hideMark/>
          </w:tcPr>
          <w:p w14:paraId="7EFB15FD" w14:textId="77777777" w:rsidR="002746A7" w:rsidRPr="00F57777" w:rsidRDefault="002746A7" w:rsidP="00F57777">
            <w:pPr>
              <w:widowControl w:val="0"/>
              <w:kinsoku w:val="0"/>
              <w:overflowPunct w:val="0"/>
              <w:autoSpaceDE w:val="0"/>
              <w:autoSpaceDN w:val="0"/>
              <w:adjustRightInd w:val="0"/>
              <w:ind w:left="56"/>
              <w:rPr>
                <w:b/>
                <w:bCs/>
                <w:sz w:val="22"/>
                <w:szCs w:val="22"/>
                <w:lang w:val="en-US"/>
              </w:rPr>
            </w:pPr>
            <w:r w:rsidRPr="00F57777">
              <w:rPr>
                <w:b/>
                <w:bCs/>
                <w:sz w:val="22"/>
                <w:szCs w:val="22"/>
              </w:rPr>
              <w:t>System/Organ</w:t>
            </w:r>
            <w:r w:rsidRPr="00F57777">
              <w:rPr>
                <w:b/>
                <w:bCs/>
                <w:spacing w:val="-5"/>
                <w:sz w:val="22"/>
                <w:szCs w:val="22"/>
              </w:rPr>
              <w:t xml:space="preserve"> </w:t>
            </w:r>
            <w:r w:rsidRPr="00F57777">
              <w:rPr>
                <w:b/>
                <w:bCs/>
                <w:sz w:val="22"/>
                <w:szCs w:val="22"/>
              </w:rPr>
              <w:t>Class</w:t>
            </w:r>
          </w:p>
        </w:tc>
        <w:tc>
          <w:tcPr>
            <w:tcW w:w="1068" w:type="pct"/>
            <w:tcBorders>
              <w:top w:val="single" w:sz="4" w:space="0" w:color="000000"/>
              <w:left w:val="single" w:sz="4" w:space="0" w:color="000000"/>
              <w:bottom w:val="single" w:sz="4" w:space="0" w:color="000000"/>
              <w:right w:val="single" w:sz="4" w:space="0" w:color="000000"/>
            </w:tcBorders>
            <w:hideMark/>
          </w:tcPr>
          <w:p w14:paraId="018798FA" w14:textId="77777777" w:rsidR="002746A7" w:rsidRPr="00F57777" w:rsidRDefault="002746A7" w:rsidP="00F57777">
            <w:pPr>
              <w:widowControl w:val="0"/>
              <w:kinsoku w:val="0"/>
              <w:overflowPunct w:val="0"/>
              <w:autoSpaceDE w:val="0"/>
              <w:autoSpaceDN w:val="0"/>
              <w:adjustRightInd w:val="0"/>
              <w:ind w:left="57"/>
              <w:rPr>
                <w:b/>
                <w:bCs/>
                <w:sz w:val="22"/>
                <w:szCs w:val="22"/>
              </w:rPr>
            </w:pPr>
            <w:proofErr w:type="spellStart"/>
            <w:r w:rsidRPr="00F57777">
              <w:rPr>
                <w:b/>
                <w:bCs/>
                <w:sz w:val="22"/>
                <w:szCs w:val="22"/>
              </w:rPr>
              <w:t>Adverse</w:t>
            </w:r>
            <w:proofErr w:type="spellEnd"/>
            <w:r w:rsidRPr="00F57777">
              <w:rPr>
                <w:b/>
                <w:bCs/>
                <w:spacing w:val="-4"/>
                <w:sz w:val="22"/>
                <w:szCs w:val="22"/>
              </w:rPr>
              <w:t xml:space="preserve"> </w:t>
            </w:r>
            <w:proofErr w:type="spellStart"/>
            <w:r w:rsidRPr="00F57777">
              <w:rPr>
                <w:b/>
                <w:bCs/>
                <w:sz w:val="22"/>
                <w:szCs w:val="22"/>
              </w:rPr>
              <w:t>Reaction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4A047148" w14:textId="77777777" w:rsidR="002746A7" w:rsidRPr="00F57777" w:rsidRDefault="002746A7" w:rsidP="00F57777">
            <w:pPr>
              <w:widowControl w:val="0"/>
              <w:kinsoku w:val="0"/>
              <w:overflowPunct w:val="0"/>
              <w:autoSpaceDE w:val="0"/>
              <w:autoSpaceDN w:val="0"/>
              <w:adjustRightInd w:val="0"/>
              <w:ind w:left="56"/>
              <w:rPr>
                <w:b/>
                <w:bCs/>
                <w:sz w:val="22"/>
                <w:szCs w:val="22"/>
              </w:rPr>
            </w:pPr>
            <w:proofErr w:type="spellStart"/>
            <w:r w:rsidRPr="00F57777">
              <w:rPr>
                <w:b/>
                <w:bCs/>
                <w:sz w:val="22"/>
                <w:szCs w:val="22"/>
              </w:rPr>
              <w:t>Children</w:t>
            </w:r>
            <w:proofErr w:type="spellEnd"/>
          </w:p>
          <w:p w14:paraId="277AB56B" w14:textId="77777777" w:rsidR="002746A7" w:rsidRPr="00F57777" w:rsidRDefault="002746A7" w:rsidP="00F57777">
            <w:pPr>
              <w:widowControl w:val="0"/>
              <w:kinsoku w:val="0"/>
              <w:overflowPunct w:val="0"/>
              <w:autoSpaceDE w:val="0"/>
              <w:autoSpaceDN w:val="0"/>
              <w:adjustRightInd w:val="0"/>
              <w:ind w:left="56"/>
              <w:rPr>
                <w:b/>
                <w:bCs/>
                <w:sz w:val="22"/>
                <w:szCs w:val="22"/>
              </w:rPr>
            </w:pPr>
            <w:r w:rsidRPr="00F57777">
              <w:rPr>
                <w:b/>
                <w:bCs/>
                <w:sz w:val="22"/>
                <w:szCs w:val="22"/>
              </w:rPr>
              <w:t xml:space="preserve">(6 to 12 </w:t>
            </w:r>
            <w:proofErr w:type="spellStart"/>
            <w:r w:rsidRPr="00F57777">
              <w:rPr>
                <w:b/>
                <w:bCs/>
                <w:sz w:val="22"/>
                <w:szCs w:val="22"/>
              </w:rPr>
              <w:t>years</w:t>
            </w:r>
            <w:proofErr w:type="spellEnd"/>
            <w:r w:rsidRPr="00F57777">
              <w:rPr>
                <w:b/>
                <w:bCs/>
                <w:sz w:val="22"/>
                <w:szCs w:val="22"/>
              </w:rPr>
              <w:t>)</w:t>
            </w:r>
          </w:p>
        </w:tc>
        <w:tc>
          <w:tcPr>
            <w:tcW w:w="992" w:type="pct"/>
            <w:tcBorders>
              <w:top w:val="single" w:sz="4" w:space="0" w:color="000000"/>
              <w:left w:val="single" w:sz="4" w:space="0" w:color="000000"/>
              <w:bottom w:val="single" w:sz="4" w:space="0" w:color="000000"/>
              <w:right w:val="single" w:sz="4" w:space="0" w:color="000000"/>
            </w:tcBorders>
            <w:hideMark/>
          </w:tcPr>
          <w:p w14:paraId="298E9C25" w14:textId="77777777" w:rsidR="002746A7" w:rsidRPr="00F57777" w:rsidRDefault="002746A7" w:rsidP="00F57777">
            <w:pPr>
              <w:widowControl w:val="0"/>
              <w:kinsoku w:val="0"/>
              <w:overflowPunct w:val="0"/>
              <w:autoSpaceDE w:val="0"/>
              <w:autoSpaceDN w:val="0"/>
              <w:adjustRightInd w:val="0"/>
              <w:ind w:left="56" w:right="526"/>
              <w:rPr>
                <w:b/>
                <w:bCs/>
                <w:sz w:val="22"/>
                <w:szCs w:val="22"/>
              </w:rPr>
            </w:pPr>
            <w:proofErr w:type="spellStart"/>
            <w:r w:rsidRPr="00F57777">
              <w:rPr>
                <w:b/>
                <w:bCs/>
                <w:sz w:val="22"/>
                <w:szCs w:val="22"/>
              </w:rPr>
              <w:t>Adolescents</w:t>
            </w:r>
            <w:proofErr w:type="spellEnd"/>
            <w:r w:rsidRPr="00F57777">
              <w:rPr>
                <w:b/>
                <w:bCs/>
                <w:spacing w:val="1"/>
                <w:sz w:val="22"/>
                <w:szCs w:val="22"/>
              </w:rPr>
              <w:t xml:space="preserve"> </w:t>
            </w:r>
            <w:r w:rsidRPr="00F57777">
              <w:rPr>
                <w:b/>
                <w:bCs/>
                <w:sz w:val="22"/>
                <w:szCs w:val="22"/>
              </w:rPr>
              <w:t xml:space="preserve">(13 to 17 </w:t>
            </w:r>
            <w:proofErr w:type="spellStart"/>
            <w:r w:rsidRPr="00F57777">
              <w:rPr>
                <w:b/>
                <w:bCs/>
                <w:sz w:val="22"/>
                <w:szCs w:val="22"/>
              </w:rPr>
              <w:t>years</w:t>
            </w:r>
            <w:proofErr w:type="spellEnd"/>
            <w:r w:rsidRPr="00F57777">
              <w:rPr>
                <w:b/>
                <w:bCs/>
                <w:sz w:val="22"/>
                <w:szCs w:val="22"/>
              </w:rPr>
              <w:t>)</w:t>
            </w:r>
          </w:p>
        </w:tc>
        <w:tc>
          <w:tcPr>
            <w:tcW w:w="1001" w:type="pct"/>
            <w:tcBorders>
              <w:top w:val="single" w:sz="4" w:space="0" w:color="000000"/>
              <w:left w:val="single" w:sz="4" w:space="0" w:color="000000"/>
              <w:bottom w:val="single" w:sz="4" w:space="0" w:color="000000"/>
              <w:right w:val="single" w:sz="4" w:space="0" w:color="000000"/>
            </w:tcBorders>
            <w:hideMark/>
          </w:tcPr>
          <w:p w14:paraId="5F08FBD9" w14:textId="77777777" w:rsidR="002746A7" w:rsidRPr="00F57777" w:rsidRDefault="002746A7" w:rsidP="00F57777">
            <w:pPr>
              <w:widowControl w:val="0"/>
              <w:kinsoku w:val="0"/>
              <w:overflowPunct w:val="0"/>
              <w:autoSpaceDE w:val="0"/>
              <w:autoSpaceDN w:val="0"/>
              <w:adjustRightInd w:val="0"/>
              <w:ind w:left="56"/>
              <w:rPr>
                <w:b/>
                <w:bCs/>
                <w:sz w:val="22"/>
                <w:szCs w:val="22"/>
              </w:rPr>
            </w:pPr>
            <w:proofErr w:type="spellStart"/>
            <w:r w:rsidRPr="00F57777">
              <w:rPr>
                <w:b/>
                <w:bCs/>
                <w:sz w:val="22"/>
                <w:szCs w:val="22"/>
              </w:rPr>
              <w:t>Adults</w:t>
            </w:r>
            <w:proofErr w:type="spellEnd"/>
          </w:p>
        </w:tc>
      </w:tr>
      <w:tr w:rsidR="002746A7" w:rsidRPr="002177D4" w14:paraId="276B63BB" w14:textId="77777777" w:rsidTr="00EC2189">
        <w:trPr>
          <w:trHeight w:val="222"/>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35F13817" w14:textId="5323CD7A" w:rsidR="002746A7" w:rsidRPr="00F57777" w:rsidRDefault="002746A7" w:rsidP="00F57777">
            <w:pPr>
              <w:widowControl w:val="0"/>
              <w:kinsoku w:val="0"/>
              <w:overflowPunct w:val="0"/>
              <w:autoSpaceDE w:val="0"/>
              <w:autoSpaceDN w:val="0"/>
              <w:adjustRightInd w:val="0"/>
              <w:ind w:left="56"/>
              <w:rPr>
                <w:b/>
                <w:bCs/>
                <w:sz w:val="22"/>
                <w:szCs w:val="22"/>
              </w:rPr>
            </w:pPr>
            <w:r w:rsidRPr="00F57777">
              <w:rPr>
                <w:b/>
                <w:bCs/>
                <w:sz w:val="22"/>
                <w:szCs w:val="22"/>
              </w:rPr>
              <w:t>Immune</w:t>
            </w:r>
            <w:r w:rsidRPr="00F57777">
              <w:rPr>
                <w:b/>
                <w:bCs/>
                <w:spacing w:val="-4"/>
                <w:sz w:val="22"/>
                <w:szCs w:val="22"/>
              </w:rPr>
              <w:t xml:space="preserve"> </w:t>
            </w:r>
            <w:r w:rsidRPr="00F57777">
              <w:rPr>
                <w:b/>
                <w:bCs/>
                <w:sz w:val="22"/>
                <w:szCs w:val="22"/>
              </w:rPr>
              <w:t>System</w:t>
            </w:r>
            <w:r w:rsidR="00F57777">
              <w:rPr>
                <w:b/>
                <w:bCs/>
                <w:sz w:val="22"/>
                <w:szCs w:val="22"/>
              </w:rPr>
              <w:t xml:space="preserve"> </w:t>
            </w:r>
            <w:proofErr w:type="spellStart"/>
            <w:r w:rsidRPr="00F57777">
              <w:rPr>
                <w:b/>
                <w:bCs/>
                <w:sz w:val="22"/>
                <w:szCs w:val="22"/>
              </w:rPr>
              <w:t>Disorders</w:t>
            </w:r>
            <w:proofErr w:type="spellEnd"/>
          </w:p>
        </w:tc>
        <w:tc>
          <w:tcPr>
            <w:tcW w:w="1068" w:type="pct"/>
            <w:tcBorders>
              <w:top w:val="single" w:sz="4" w:space="0" w:color="000000"/>
              <w:left w:val="single" w:sz="4" w:space="0" w:color="000000"/>
              <w:bottom w:val="single" w:sz="4" w:space="0" w:color="000000"/>
              <w:right w:val="single" w:sz="4" w:space="0" w:color="000000"/>
            </w:tcBorders>
            <w:hideMark/>
          </w:tcPr>
          <w:p w14:paraId="0201A6D2" w14:textId="77777777" w:rsidR="002746A7" w:rsidRPr="00F57777" w:rsidRDefault="002746A7" w:rsidP="00F57777">
            <w:pPr>
              <w:widowControl w:val="0"/>
              <w:kinsoku w:val="0"/>
              <w:overflowPunct w:val="0"/>
              <w:autoSpaceDE w:val="0"/>
              <w:autoSpaceDN w:val="0"/>
              <w:adjustRightInd w:val="0"/>
              <w:ind w:left="57"/>
              <w:rPr>
                <w:sz w:val="22"/>
                <w:szCs w:val="22"/>
              </w:rPr>
            </w:pPr>
            <w:proofErr w:type="spellStart"/>
            <w:r w:rsidRPr="00F57777">
              <w:rPr>
                <w:sz w:val="22"/>
                <w:szCs w:val="22"/>
              </w:rPr>
              <w:t>Anaphylactic</w:t>
            </w:r>
            <w:proofErr w:type="spellEnd"/>
            <w:r w:rsidRPr="00F57777">
              <w:rPr>
                <w:spacing w:val="-7"/>
                <w:sz w:val="22"/>
                <w:szCs w:val="22"/>
              </w:rPr>
              <w:t xml:space="preserve"> </w:t>
            </w:r>
            <w:proofErr w:type="spellStart"/>
            <w:r w:rsidRPr="00F57777">
              <w:rPr>
                <w:sz w:val="22"/>
                <w:szCs w:val="22"/>
              </w:rPr>
              <w:t>reaction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14697F50"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Frequency</w:t>
            </w:r>
            <w:proofErr w:type="spellEnd"/>
            <w:r w:rsidRPr="00F57777">
              <w:rPr>
                <w:spacing w:val="-9"/>
                <w:sz w:val="22"/>
                <w:szCs w:val="22"/>
              </w:rPr>
              <w:t xml:space="preserve"> </w:t>
            </w:r>
            <w:r w:rsidRPr="00F57777">
              <w:rPr>
                <w:sz w:val="22"/>
                <w:szCs w:val="22"/>
              </w:rPr>
              <w:t>not</w:t>
            </w:r>
            <w:r w:rsidRPr="00F57777">
              <w:rPr>
                <w:spacing w:val="-3"/>
                <w:sz w:val="22"/>
                <w:szCs w:val="22"/>
              </w:rPr>
              <w:t xml:space="preserve"> </w:t>
            </w:r>
            <w:proofErr w:type="spellStart"/>
            <w:r w:rsidRPr="00F57777">
              <w:rPr>
                <w:sz w:val="22"/>
                <w:szCs w:val="22"/>
              </w:rPr>
              <w:t>known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2E45DC4F"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Frequency</w:t>
            </w:r>
            <w:proofErr w:type="spellEnd"/>
            <w:r w:rsidRPr="00F57777">
              <w:rPr>
                <w:spacing w:val="-9"/>
                <w:sz w:val="22"/>
                <w:szCs w:val="22"/>
              </w:rPr>
              <w:t xml:space="preserve"> </w:t>
            </w:r>
            <w:r w:rsidRPr="00F57777">
              <w:rPr>
                <w:sz w:val="22"/>
                <w:szCs w:val="22"/>
              </w:rPr>
              <w:t>not</w:t>
            </w:r>
            <w:r w:rsidRPr="00F57777">
              <w:rPr>
                <w:spacing w:val="-3"/>
                <w:sz w:val="22"/>
                <w:szCs w:val="22"/>
              </w:rPr>
              <w:t xml:space="preserve"> </w:t>
            </w:r>
            <w:proofErr w:type="spellStart"/>
            <w:r w:rsidRPr="00F57777">
              <w:rPr>
                <w:sz w:val="22"/>
                <w:szCs w:val="22"/>
              </w:rPr>
              <w:t>known</w:t>
            </w:r>
            <w:proofErr w:type="spellEnd"/>
          </w:p>
        </w:tc>
        <w:tc>
          <w:tcPr>
            <w:tcW w:w="1001" w:type="pct"/>
            <w:tcBorders>
              <w:top w:val="single" w:sz="4" w:space="0" w:color="000000"/>
              <w:left w:val="single" w:sz="4" w:space="0" w:color="000000"/>
              <w:bottom w:val="single" w:sz="4" w:space="0" w:color="000000"/>
              <w:right w:val="single" w:sz="4" w:space="0" w:color="000000"/>
            </w:tcBorders>
            <w:hideMark/>
          </w:tcPr>
          <w:p w14:paraId="49218EAD"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Frequency</w:t>
            </w:r>
            <w:proofErr w:type="spellEnd"/>
            <w:r w:rsidRPr="00F57777">
              <w:rPr>
                <w:spacing w:val="-9"/>
                <w:sz w:val="22"/>
                <w:szCs w:val="22"/>
              </w:rPr>
              <w:t xml:space="preserve"> </w:t>
            </w:r>
            <w:r w:rsidRPr="00F57777">
              <w:rPr>
                <w:sz w:val="22"/>
                <w:szCs w:val="22"/>
              </w:rPr>
              <w:t>not</w:t>
            </w:r>
            <w:r w:rsidRPr="00F57777">
              <w:rPr>
                <w:spacing w:val="-3"/>
                <w:sz w:val="22"/>
                <w:szCs w:val="22"/>
              </w:rPr>
              <w:t xml:space="preserve"> </w:t>
            </w:r>
            <w:proofErr w:type="spellStart"/>
            <w:r w:rsidRPr="00F57777">
              <w:rPr>
                <w:sz w:val="22"/>
                <w:szCs w:val="22"/>
              </w:rPr>
              <w:t>known</w:t>
            </w:r>
            <w:proofErr w:type="spellEnd"/>
          </w:p>
        </w:tc>
      </w:tr>
      <w:tr w:rsidR="002746A7" w:rsidRPr="002177D4" w14:paraId="59ACA3F3" w14:textId="77777777" w:rsidTr="00EC2189">
        <w:trPr>
          <w:trHeight w:val="286"/>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5DDDD174"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21B924C9" w14:textId="77777777" w:rsidR="002746A7" w:rsidRPr="00F57777" w:rsidRDefault="002746A7" w:rsidP="00F57777">
            <w:pPr>
              <w:widowControl w:val="0"/>
              <w:kinsoku w:val="0"/>
              <w:overflowPunct w:val="0"/>
              <w:autoSpaceDE w:val="0"/>
              <w:autoSpaceDN w:val="0"/>
              <w:adjustRightInd w:val="0"/>
              <w:ind w:left="57"/>
              <w:rPr>
                <w:sz w:val="22"/>
                <w:szCs w:val="22"/>
              </w:rPr>
            </w:pPr>
            <w:proofErr w:type="spellStart"/>
            <w:r w:rsidRPr="00F57777">
              <w:rPr>
                <w:sz w:val="22"/>
                <w:szCs w:val="22"/>
              </w:rPr>
              <w:t>Hypersensitivity</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56C4FE19"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5E54DF12"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1001" w:type="pct"/>
            <w:tcBorders>
              <w:top w:val="single" w:sz="4" w:space="0" w:color="000000"/>
              <w:left w:val="single" w:sz="4" w:space="0" w:color="000000"/>
              <w:bottom w:val="single" w:sz="4" w:space="0" w:color="000000"/>
              <w:right w:val="single" w:sz="4" w:space="0" w:color="000000"/>
            </w:tcBorders>
            <w:hideMark/>
          </w:tcPr>
          <w:p w14:paraId="78FE9525"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r>
      <w:tr w:rsidR="002746A7" w:rsidRPr="002177D4" w14:paraId="6AAE2559" w14:textId="77777777" w:rsidTr="00EC2189">
        <w:trPr>
          <w:trHeight w:val="519"/>
        </w:trPr>
        <w:tc>
          <w:tcPr>
            <w:tcW w:w="946" w:type="pct"/>
            <w:tcBorders>
              <w:top w:val="single" w:sz="4" w:space="0" w:color="000000"/>
              <w:left w:val="single" w:sz="4" w:space="0" w:color="000000"/>
              <w:bottom w:val="single" w:sz="4" w:space="0" w:color="000000"/>
              <w:right w:val="single" w:sz="4" w:space="0" w:color="000000"/>
            </w:tcBorders>
            <w:hideMark/>
          </w:tcPr>
          <w:p w14:paraId="4F1A96B0" w14:textId="77777777" w:rsidR="002746A7" w:rsidRPr="00F57777" w:rsidRDefault="002746A7" w:rsidP="00F57777">
            <w:pPr>
              <w:widowControl w:val="0"/>
              <w:kinsoku w:val="0"/>
              <w:overflowPunct w:val="0"/>
              <w:autoSpaceDE w:val="0"/>
              <w:autoSpaceDN w:val="0"/>
              <w:adjustRightInd w:val="0"/>
              <w:ind w:left="56" w:right="79"/>
              <w:rPr>
                <w:b/>
                <w:bCs/>
                <w:sz w:val="22"/>
                <w:szCs w:val="22"/>
              </w:rPr>
            </w:pPr>
            <w:proofErr w:type="spellStart"/>
            <w:r w:rsidRPr="00F57777">
              <w:rPr>
                <w:b/>
                <w:bCs/>
                <w:sz w:val="22"/>
                <w:szCs w:val="22"/>
              </w:rPr>
              <w:t>Metabolism</w:t>
            </w:r>
            <w:proofErr w:type="spellEnd"/>
            <w:r w:rsidRPr="00F57777">
              <w:rPr>
                <w:b/>
                <w:bCs/>
                <w:sz w:val="22"/>
                <w:szCs w:val="22"/>
              </w:rPr>
              <w:t xml:space="preserve"> and</w:t>
            </w:r>
            <w:r w:rsidRPr="00F57777">
              <w:rPr>
                <w:b/>
                <w:bCs/>
                <w:spacing w:val="1"/>
                <w:sz w:val="22"/>
                <w:szCs w:val="22"/>
              </w:rPr>
              <w:t xml:space="preserve"> </w:t>
            </w:r>
            <w:r w:rsidRPr="00F57777">
              <w:rPr>
                <w:b/>
                <w:bCs/>
                <w:sz w:val="22"/>
                <w:szCs w:val="22"/>
              </w:rPr>
              <w:t>Nutrition</w:t>
            </w:r>
            <w:r w:rsidRPr="00F57777">
              <w:rPr>
                <w:b/>
                <w:bCs/>
                <w:spacing w:val="-7"/>
                <w:sz w:val="22"/>
                <w:szCs w:val="22"/>
              </w:rPr>
              <w:t xml:space="preserve"> </w:t>
            </w:r>
            <w:proofErr w:type="spellStart"/>
            <w:r w:rsidRPr="00F57777">
              <w:rPr>
                <w:b/>
                <w:bCs/>
                <w:sz w:val="22"/>
                <w:szCs w:val="22"/>
              </w:rPr>
              <w:t>Disorders</w:t>
            </w:r>
            <w:proofErr w:type="spellEnd"/>
          </w:p>
        </w:tc>
        <w:tc>
          <w:tcPr>
            <w:tcW w:w="1068" w:type="pct"/>
            <w:tcBorders>
              <w:top w:val="single" w:sz="4" w:space="0" w:color="000000"/>
              <w:left w:val="single" w:sz="4" w:space="0" w:color="000000"/>
              <w:bottom w:val="single" w:sz="4" w:space="0" w:color="000000"/>
              <w:right w:val="single" w:sz="4" w:space="0" w:color="000000"/>
            </w:tcBorders>
            <w:hideMark/>
          </w:tcPr>
          <w:p w14:paraId="4A13CFFA" w14:textId="77777777" w:rsidR="002746A7" w:rsidRPr="00F57777" w:rsidRDefault="002746A7" w:rsidP="00F57777">
            <w:pPr>
              <w:widowControl w:val="0"/>
              <w:kinsoku w:val="0"/>
              <w:overflowPunct w:val="0"/>
              <w:autoSpaceDE w:val="0"/>
              <w:autoSpaceDN w:val="0"/>
              <w:adjustRightInd w:val="0"/>
              <w:ind w:left="57"/>
              <w:rPr>
                <w:sz w:val="22"/>
                <w:szCs w:val="22"/>
              </w:rPr>
            </w:pPr>
            <w:proofErr w:type="spellStart"/>
            <w:r w:rsidRPr="00F57777">
              <w:rPr>
                <w:sz w:val="22"/>
                <w:szCs w:val="22"/>
              </w:rPr>
              <w:t>Decreased</w:t>
            </w:r>
            <w:proofErr w:type="spellEnd"/>
            <w:r w:rsidRPr="00F57777">
              <w:rPr>
                <w:spacing w:val="-3"/>
                <w:sz w:val="22"/>
                <w:szCs w:val="22"/>
              </w:rPr>
              <w:t xml:space="preserve"> </w:t>
            </w:r>
            <w:proofErr w:type="spellStart"/>
            <w:r w:rsidRPr="00F57777">
              <w:rPr>
                <w:sz w:val="22"/>
                <w:szCs w:val="22"/>
              </w:rPr>
              <w:t>appetite</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751E9531"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314E5DCE"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26717BFB"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r>
      <w:tr w:rsidR="002746A7" w:rsidRPr="002177D4" w14:paraId="09F4E560"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tcPr>
          <w:p w14:paraId="46A31C92" w14:textId="18B49E11" w:rsidR="002746A7" w:rsidRPr="00F57777" w:rsidRDefault="002746A7" w:rsidP="00F57777">
            <w:pPr>
              <w:widowControl w:val="0"/>
              <w:kinsoku w:val="0"/>
              <w:overflowPunct w:val="0"/>
              <w:autoSpaceDE w:val="0"/>
              <w:autoSpaceDN w:val="0"/>
              <w:adjustRightInd w:val="0"/>
              <w:ind w:left="56" w:right="764"/>
              <w:rPr>
                <w:b/>
                <w:bCs/>
                <w:sz w:val="22"/>
                <w:szCs w:val="22"/>
              </w:rPr>
            </w:pPr>
            <w:proofErr w:type="spellStart"/>
            <w:r w:rsidRPr="00F57777">
              <w:rPr>
                <w:b/>
                <w:bCs/>
                <w:sz w:val="22"/>
                <w:szCs w:val="22"/>
              </w:rPr>
              <w:t>Psychiatric</w:t>
            </w:r>
            <w:proofErr w:type="spellEnd"/>
            <w:r w:rsidRPr="00F57777">
              <w:rPr>
                <w:b/>
                <w:bCs/>
                <w:spacing w:val="-45"/>
                <w:sz w:val="22"/>
                <w:szCs w:val="22"/>
              </w:rPr>
              <w:t xml:space="preserve"> </w:t>
            </w:r>
            <w:proofErr w:type="spellStart"/>
            <w:r w:rsidRPr="00F57777">
              <w:rPr>
                <w:b/>
                <w:bCs/>
                <w:sz w:val="22"/>
                <w:szCs w:val="22"/>
              </w:rPr>
              <w:t>Disorders</w:t>
            </w:r>
            <w:proofErr w:type="spellEnd"/>
          </w:p>
        </w:tc>
        <w:tc>
          <w:tcPr>
            <w:tcW w:w="1068" w:type="pct"/>
            <w:tcBorders>
              <w:top w:val="single" w:sz="4" w:space="0" w:color="000000"/>
              <w:left w:val="single" w:sz="4" w:space="0" w:color="000000"/>
              <w:bottom w:val="single" w:sz="4" w:space="0" w:color="000000"/>
              <w:right w:val="single" w:sz="4" w:space="0" w:color="000000"/>
            </w:tcBorders>
            <w:hideMark/>
          </w:tcPr>
          <w:p w14:paraId="7A8BD7E4" w14:textId="77777777" w:rsidR="002746A7" w:rsidRPr="00F57777" w:rsidRDefault="002746A7" w:rsidP="00F57777">
            <w:pPr>
              <w:widowControl w:val="0"/>
              <w:kinsoku w:val="0"/>
              <w:overflowPunct w:val="0"/>
              <w:autoSpaceDE w:val="0"/>
              <w:autoSpaceDN w:val="0"/>
              <w:adjustRightInd w:val="0"/>
              <w:ind w:left="57"/>
              <w:rPr>
                <w:sz w:val="22"/>
                <w:szCs w:val="22"/>
              </w:rPr>
            </w:pPr>
            <w:r w:rsidRPr="00F57777">
              <w:rPr>
                <w:sz w:val="22"/>
                <w:szCs w:val="22"/>
              </w:rPr>
              <w:t>*</w:t>
            </w:r>
            <w:proofErr w:type="spellStart"/>
            <w:r w:rsidRPr="00F57777">
              <w:rPr>
                <w:sz w:val="22"/>
                <w:szCs w:val="22"/>
              </w:rPr>
              <w:t>Insomnia</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61E63146"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56FD368D"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4B229D2F"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Very</w:t>
            </w:r>
            <w:proofErr w:type="spellEnd"/>
            <w:r w:rsidRPr="00F57777">
              <w:rPr>
                <w:spacing w:val="-9"/>
                <w:sz w:val="22"/>
                <w:szCs w:val="22"/>
              </w:rPr>
              <w:t xml:space="preserve"> </w:t>
            </w:r>
            <w:r w:rsidRPr="00F57777">
              <w:rPr>
                <w:sz w:val="22"/>
                <w:szCs w:val="22"/>
              </w:rPr>
              <w:t>common</w:t>
            </w:r>
          </w:p>
        </w:tc>
      </w:tr>
      <w:tr w:rsidR="002746A7" w:rsidRPr="002177D4" w14:paraId="45F08637"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3104A6D"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7303F410" w14:textId="77777777" w:rsidR="002746A7" w:rsidRPr="00F57777" w:rsidRDefault="002746A7" w:rsidP="00F57777">
            <w:pPr>
              <w:widowControl w:val="0"/>
              <w:kinsoku w:val="0"/>
              <w:overflowPunct w:val="0"/>
              <w:autoSpaceDE w:val="0"/>
              <w:autoSpaceDN w:val="0"/>
              <w:adjustRightInd w:val="0"/>
              <w:ind w:left="57"/>
              <w:rPr>
                <w:sz w:val="22"/>
                <w:szCs w:val="22"/>
              </w:rPr>
            </w:pPr>
            <w:r w:rsidRPr="00F57777">
              <w:rPr>
                <w:sz w:val="22"/>
                <w:szCs w:val="22"/>
              </w:rPr>
              <w:t>Agitation</w:t>
            </w:r>
          </w:p>
        </w:tc>
        <w:tc>
          <w:tcPr>
            <w:tcW w:w="992" w:type="pct"/>
            <w:tcBorders>
              <w:top w:val="single" w:sz="4" w:space="0" w:color="000000"/>
              <w:left w:val="single" w:sz="4" w:space="0" w:color="000000"/>
              <w:bottom w:val="single" w:sz="4" w:space="0" w:color="000000"/>
              <w:right w:val="single" w:sz="4" w:space="0" w:color="000000"/>
            </w:tcBorders>
            <w:hideMark/>
          </w:tcPr>
          <w:p w14:paraId="79B6FA0D"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7BA3C8D1"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1001" w:type="pct"/>
            <w:tcBorders>
              <w:top w:val="single" w:sz="4" w:space="0" w:color="000000"/>
              <w:left w:val="single" w:sz="4" w:space="0" w:color="000000"/>
              <w:bottom w:val="single" w:sz="4" w:space="0" w:color="000000"/>
              <w:right w:val="single" w:sz="4" w:space="0" w:color="000000"/>
            </w:tcBorders>
            <w:hideMark/>
          </w:tcPr>
          <w:p w14:paraId="555C031E"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Common</w:t>
            </w:r>
          </w:p>
        </w:tc>
      </w:tr>
      <w:tr w:rsidR="002746A7" w:rsidRPr="002177D4" w14:paraId="4099B00A"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759D089"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0BA1E879" w14:textId="77777777" w:rsidR="002746A7" w:rsidRPr="00F57777" w:rsidRDefault="002746A7" w:rsidP="00F57777">
            <w:pPr>
              <w:widowControl w:val="0"/>
              <w:kinsoku w:val="0"/>
              <w:overflowPunct w:val="0"/>
              <w:autoSpaceDE w:val="0"/>
              <w:autoSpaceDN w:val="0"/>
              <w:adjustRightInd w:val="0"/>
              <w:ind w:left="57"/>
              <w:rPr>
                <w:sz w:val="22"/>
                <w:szCs w:val="22"/>
              </w:rPr>
            </w:pPr>
            <w:proofErr w:type="spellStart"/>
            <w:r w:rsidRPr="00F57777">
              <w:rPr>
                <w:sz w:val="22"/>
                <w:szCs w:val="22"/>
              </w:rPr>
              <w:t>Anxiety</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5D600F1F"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4930F5B2"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764E9AE8"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Common</w:t>
            </w:r>
          </w:p>
        </w:tc>
      </w:tr>
      <w:tr w:rsidR="002746A7" w:rsidRPr="002177D4" w14:paraId="6CF44FFA"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3034FEA"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111DAD83" w14:textId="77777777" w:rsidR="002746A7" w:rsidRPr="00F57777" w:rsidRDefault="002746A7" w:rsidP="00F57777">
            <w:pPr>
              <w:widowControl w:val="0"/>
              <w:kinsoku w:val="0"/>
              <w:overflowPunct w:val="0"/>
              <w:autoSpaceDE w:val="0"/>
              <w:autoSpaceDN w:val="0"/>
              <w:adjustRightInd w:val="0"/>
              <w:ind w:left="57"/>
              <w:rPr>
                <w:sz w:val="22"/>
                <w:szCs w:val="22"/>
              </w:rPr>
            </w:pPr>
            <w:proofErr w:type="spellStart"/>
            <w:r w:rsidRPr="00F57777">
              <w:rPr>
                <w:sz w:val="22"/>
                <w:szCs w:val="22"/>
              </w:rPr>
              <w:t>Logorrhea</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3A96247A"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2D022467"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1001" w:type="pct"/>
            <w:tcBorders>
              <w:top w:val="single" w:sz="4" w:space="0" w:color="000000"/>
              <w:left w:val="single" w:sz="4" w:space="0" w:color="000000"/>
              <w:bottom w:val="single" w:sz="4" w:space="0" w:color="000000"/>
              <w:right w:val="single" w:sz="4" w:space="0" w:color="000000"/>
            </w:tcBorders>
            <w:hideMark/>
          </w:tcPr>
          <w:p w14:paraId="463B5337"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r>
      <w:tr w:rsidR="002746A7" w:rsidRPr="002177D4" w14:paraId="614ED5B2"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73AD1258"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51A5A2CB" w14:textId="77777777" w:rsidR="002746A7" w:rsidRPr="00F57777" w:rsidRDefault="002746A7" w:rsidP="00F57777">
            <w:pPr>
              <w:widowControl w:val="0"/>
              <w:kinsoku w:val="0"/>
              <w:overflowPunct w:val="0"/>
              <w:autoSpaceDE w:val="0"/>
              <w:autoSpaceDN w:val="0"/>
              <w:adjustRightInd w:val="0"/>
              <w:ind w:left="57"/>
              <w:rPr>
                <w:sz w:val="22"/>
                <w:szCs w:val="22"/>
              </w:rPr>
            </w:pPr>
            <w:r w:rsidRPr="00F57777">
              <w:rPr>
                <w:sz w:val="22"/>
                <w:szCs w:val="22"/>
              </w:rPr>
              <w:t>Libido</w:t>
            </w:r>
            <w:r w:rsidRPr="00F57777">
              <w:rPr>
                <w:spacing w:val="-4"/>
                <w:sz w:val="22"/>
                <w:szCs w:val="22"/>
              </w:rPr>
              <w:t xml:space="preserve"> </w:t>
            </w:r>
            <w:proofErr w:type="spellStart"/>
            <w:r w:rsidRPr="00F57777">
              <w:rPr>
                <w:sz w:val="22"/>
                <w:szCs w:val="22"/>
              </w:rPr>
              <w:t>decreased</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5A632414"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Not</w:t>
            </w:r>
            <w:r w:rsidRPr="00F57777">
              <w:rPr>
                <w:spacing w:val="-2"/>
                <w:sz w:val="22"/>
                <w:szCs w:val="22"/>
              </w:rPr>
              <w:t xml:space="preserve"> </w:t>
            </w:r>
            <w:proofErr w:type="spellStart"/>
            <w:r w:rsidRPr="00F57777">
              <w:rPr>
                <w:sz w:val="22"/>
                <w:szCs w:val="22"/>
              </w:rPr>
              <w:t>applicable</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286C0768"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Not</w:t>
            </w:r>
            <w:r w:rsidRPr="00F57777">
              <w:rPr>
                <w:spacing w:val="-2"/>
                <w:sz w:val="22"/>
                <w:szCs w:val="22"/>
              </w:rPr>
              <w:t xml:space="preserve"> </w:t>
            </w:r>
            <w:proofErr w:type="spellStart"/>
            <w:r w:rsidRPr="00F57777">
              <w:rPr>
                <w:sz w:val="22"/>
                <w:szCs w:val="22"/>
              </w:rPr>
              <w:t>reported</w:t>
            </w:r>
            <w:proofErr w:type="spellEnd"/>
          </w:p>
        </w:tc>
        <w:tc>
          <w:tcPr>
            <w:tcW w:w="1001" w:type="pct"/>
            <w:tcBorders>
              <w:top w:val="single" w:sz="4" w:space="0" w:color="000000"/>
              <w:left w:val="single" w:sz="4" w:space="0" w:color="000000"/>
              <w:bottom w:val="single" w:sz="4" w:space="0" w:color="000000"/>
              <w:right w:val="single" w:sz="4" w:space="0" w:color="000000"/>
            </w:tcBorders>
            <w:hideMark/>
          </w:tcPr>
          <w:p w14:paraId="5364E916"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Common</w:t>
            </w:r>
          </w:p>
        </w:tc>
      </w:tr>
      <w:tr w:rsidR="002746A7" w:rsidRPr="002177D4" w14:paraId="04BBBD72"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2868EC4D"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5C3E0942" w14:textId="77777777" w:rsidR="002746A7" w:rsidRPr="00F57777" w:rsidRDefault="002746A7" w:rsidP="00F57777">
            <w:pPr>
              <w:widowControl w:val="0"/>
              <w:kinsoku w:val="0"/>
              <w:overflowPunct w:val="0"/>
              <w:autoSpaceDE w:val="0"/>
              <w:autoSpaceDN w:val="0"/>
              <w:adjustRightInd w:val="0"/>
              <w:ind w:left="57"/>
              <w:rPr>
                <w:sz w:val="22"/>
                <w:szCs w:val="22"/>
              </w:rPr>
            </w:pPr>
            <w:r w:rsidRPr="00F57777">
              <w:rPr>
                <w:sz w:val="22"/>
                <w:szCs w:val="22"/>
              </w:rPr>
              <w:t>Depression</w:t>
            </w:r>
          </w:p>
        </w:tc>
        <w:tc>
          <w:tcPr>
            <w:tcW w:w="992" w:type="pct"/>
            <w:tcBorders>
              <w:top w:val="single" w:sz="4" w:space="0" w:color="000000"/>
              <w:left w:val="single" w:sz="4" w:space="0" w:color="000000"/>
              <w:bottom w:val="single" w:sz="4" w:space="0" w:color="000000"/>
              <w:right w:val="single" w:sz="4" w:space="0" w:color="000000"/>
            </w:tcBorders>
            <w:hideMark/>
          </w:tcPr>
          <w:p w14:paraId="52F60729"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437D9619" w14:textId="77777777" w:rsidR="002746A7" w:rsidRPr="00F57777" w:rsidRDefault="002746A7" w:rsidP="00F57777">
            <w:pPr>
              <w:widowControl w:val="0"/>
              <w:kinsoku w:val="0"/>
              <w:overflowPunct w:val="0"/>
              <w:autoSpaceDE w:val="0"/>
              <w:autoSpaceDN w:val="0"/>
              <w:adjustRightInd w:val="0"/>
              <w:ind w:left="56"/>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43F40DA1" w14:textId="77777777" w:rsidR="002746A7" w:rsidRPr="00F57777" w:rsidRDefault="002746A7" w:rsidP="00F57777">
            <w:pPr>
              <w:widowControl w:val="0"/>
              <w:kinsoku w:val="0"/>
              <w:overflowPunct w:val="0"/>
              <w:autoSpaceDE w:val="0"/>
              <w:autoSpaceDN w:val="0"/>
              <w:adjustRightInd w:val="0"/>
              <w:ind w:left="56"/>
              <w:rPr>
                <w:sz w:val="22"/>
                <w:szCs w:val="22"/>
              </w:rPr>
            </w:pPr>
            <w:proofErr w:type="spellStart"/>
            <w:r w:rsidRPr="00F57777">
              <w:rPr>
                <w:sz w:val="22"/>
                <w:szCs w:val="22"/>
              </w:rPr>
              <w:t>Uncommon</w:t>
            </w:r>
            <w:proofErr w:type="spellEnd"/>
          </w:p>
        </w:tc>
      </w:tr>
      <w:tr w:rsidR="002746A7" w:rsidRPr="002177D4" w14:paraId="26712061" w14:textId="77777777" w:rsidTr="00EC2189">
        <w:trPr>
          <w:trHeight w:val="451"/>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15F7DBB"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tcPr>
          <w:p w14:paraId="37673511" w14:textId="77777777" w:rsidR="002746A7" w:rsidRPr="00F57777" w:rsidRDefault="002746A7" w:rsidP="00F57777">
            <w:pPr>
              <w:pStyle w:val="TableParagraph"/>
              <w:kinsoku w:val="0"/>
              <w:overflowPunct w:val="0"/>
              <w:spacing w:line="240" w:lineRule="auto"/>
              <w:ind w:left="57"/>
              <w:rPr>
                <w:b/>
                <w:bCs/>
                <w:sz w:val="22"/>
                <w:szCs w:val="22"/>
              </w:rPr>
            </w:pPr>
          </w:p>
        </w:tc>
        <w:tc>
          <w:tcPr>
            <w:tcW w:w="992" w:type="pct"/>
            <w:tcBorders>
              <w:top w:val="single" w:sz="4" w:space="0" w:color="000000"/>
              <w:left w:val="single" w:sz="4" w:space="0" w:color="000000"/>
              <w:bottom w:val="single" w:sz="4" w:space="0" w:color="000000"/>
              <w:right w:val="single" w:sz="4" w:space="0" w:color="000000"/>
            </w:tcBorders>
          </w:tcPr>
          <w:p w14:paraId="0D6BA79E" w14:textId="77777777" w:rsidR="002746A7" w:rsidRPr="00F57777" w:rsidRDefault="002746A7" w:rsidP="00F57777">
            <w:pPr>
              <w:pStyle w:val="TableParagraph"/>
              <w:kinsoku w:val="0"/>
              <w:overflowPunct w:val="0"/>
              <w:spacing w:line="240" w:lineRule="auto"/>
              <w:rPr>
                <w:b/>
                <w:bCs/>
                <w:sz w:val="22"/>
                <w:szCs w:val="22"/>
              </w:rPr>
            </w:pPr>
          </w:p>
        </w:tc>
        <w:tc>
          <w:tcPr>
            <w:tcW w:w="992" w:type="pct"/>
            <w:tcBorders>
              <w:top w:val="single" w:sz="4" w:space="0" w:color="000000"/>
              <w:left w:val="single" w:sz="4" w:space="0" w:color="000000"/>
              <w:bottom w:val="single" w:sz="4" w:space="0" w:color="000000"/>
              <w:right w:val="single" w:sz="4" w:space="0" w:color="000000"/>
            </w:tcBorders>
          </w:tcPr>
          <w:p w14:paraId="760A1516" w14:textId="77777777" w:rsidR="002746A7" w:rsidRPr="00F57777" w:rsidRDefault="002746A7" w:rsidP="00F57777">
            <w:pPr>
              <w:pStyle w:val="TableParagraph"/>
              <w:kinsoku w:val="0"/>
              <w:overflowPunct w:val="0"/>
              <w:spacing w:line="240" w:lineRule="auto"/>
              <w:rPr>
                <w:b/>
                <w:bCs/>
                <w:sz w:val="22"/>
                <w:szCs w:val="22"/>
              </w:rPr>
            </w:pPr>
          </w:p>
        </w:tc>
        <w:tc>
          <w:tcPr>
            <w:tcW w:w="1001" w:type="pct"/>
            <w:tcBorders>
              <w:top w:val="single" w:sz="4" w:space="0" w:color="000000"/>
              <w:left w:val="single" w:sz="4" w:space="0" w:color="000000"/>
              <w:bottom w:val="single" w:sz="4" w:space="0" w:color="000000"/>
              <w:right w:val="single" w:sz="4" w:space="0" w:color="000000"/>
            </w:tcBorders>
          </w:tcPr>
          <w:p w14:paraId="7BD7F223" w14:textId="77777777" w:rsidR="002746A7" w:rsidRPr="00F57777" w:rsidRDefault="002746A7" w:rsidP="00F57777">
            <w:pPr>
              <w:pStyle w:val="TableParagraph"/>
              <w:kinsoku w:val="0"/>
              <w:overflowPunct w:val="0"/>
              <w:spacing w:line="240" w:lineRule="auto"/>
              <w:rPr>
                <w:b/>
                <w:bCs/>
                <w:sz w:val="22"/>
                <w:szCs w:val="22"/>
              </w:rPr>
            </w:pPr>
          </w:p>
        </w:tc>
      </w:tr>
      <w:tr w:rsidR="002746A7" w:rsidRPr="002177D4" w14:paraId="5D5EA87E"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5CF3DFDC"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12DFE4B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Tic</w:t>
            </w:r>
          </w:p>
        </w:tc>
        <w:tc>
          <w:tcPr>
            <w:tcW w:w="992" w:type="pct"/>
            <w:tcBorders>
              <w:top w:val="single" w:sz="4" w:space="0" w:color="000000"/>
              <w:left w:val="single" w:sz="4" w:space="0" w:color="000000"/>
              <w:bottom w:val="single" w:sz="4" w:space="0" w:color="000000"/>
              <w:right w:val="single" w:sz="4" w:space="0" w:color="000000"/>
            </w:tcBorders>
            <w:hideMark/>
          </w:tcPr>
          <w:p w14:paraId="325652F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34B9ABB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51FC769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67E7B620"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372CC9B"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36202030"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Affect</w:t>
            </w:r>
            <w:r w:rsidRPr="00F57777">
              <w:rPr>
                <w:spacing w:val="-2"/>
                <w:sz w:val="22"/>
                <w:szCs w:val="22"/>
              </w:rPr>
              <w:t xml:space="preserve"> </w:t>
            </w:r>
            <w:r w:rsidRPr="00F57777">
              <w:rPr>
                <w:sz w:val="22"/>
                <w:szCs w:val="22"/>
              </w:rPr>
              <w:t>lability</w:t>
            </w:r>
          </w:p>
        </w:tc>
        <w:tc>
          <w:tcPr>
            <w:tcW w:w="992" w:type="pct"/>
            <w:tcBorders>
              <w:top w:val="single" w:sz="4" w:space="0" w:color="000000"/>
              <w:left w:val="single" w:sz="4" w:space="0" w:color="000000"/>
              <w:bottom w:val="single" w:sz="4" w:space="0" w:color="000000"/>
              <w:right w:val="single" w:sz="4" w:space="0" w:color="000000"/>
            </w:tcBorders>
            <w:hideMark/>
          </w:tcPr>
          <w:p w14:paraId="097FAF0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026A4E0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433F212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1676C2B1"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F42DC1E"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0303335C"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Dysphoria</w:t>
            </w:r>
          </w:p>
        </w:tc>
        <w:tc>
          <w:tcPr>
            <w:tcW w:w="992" w:type="pct"/>
            <w:tcBorders>
              <w:top w:val="single" w:sz="4" w:space="0" w:color="000000"/>
              <w:left w:val="single" w:sz="4" w:space="0" w:color="000000"/>
              <w:bottom w:val="single" w:sz="4" w:space="0" w:color="000000"/>
              <w:right w:val="single" w:sz="4" w:space="0" w:color="000000"/>
            </w:tcBorders>
            <w:hideMark/>
          </w:tcPr>
          <w:p w14:paraId="2CD5F65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275817A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798FA34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2C821F23"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517BE44"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5AEB18DC"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Euphoria</w:t>
            </w:r>
          </w:p>
        </w:tc>
        <w:tc>
          <w:tcPr>
            <w:tcW w:w="992" w:type="pct"/>
            <w:tcBorders>
              <w:top w:val="single" w:sz="4" w:space="0" w:color="000000"/>
              <w:left w:val="single" w:sz="4" w:space="0" w:color="000000"/>
              <w:bottom w:val="single" w:sz="4" w:space="0" w:color="000000"/>
              <w:right w:val="single" w:sz="4" w:space="0" w:color="000000"/>
            </w:tcBorders>
            <w:hideMark/>
          </w:tcPr>
          <w:p w14:paraId="082587D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single" w:sz="4" w:space="0" w:color="000000"/>
              <w:bottom w:val="single" w:sz="4" w:space="0" w:color="000000"/>
              <w:right w:val="single" w:sz="4" w:space="0" w:color="000000"/>
            </w:tcBorders>
            <w:hideMark/>
          </w:tcPr>
          <w:p w14:paraId="22D812E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5658ECD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67EAAE70" w14:textId="77777777" w:rsidTr="00EC2189">
        <w:trPr>
          <w:trHeight w:val="446"/>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6F15C4E"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446EE6F7"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Psychomotor</w:t>
            </w:r>
          </w:p>
          <w:p w14:paraId="6D9F6845"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hyperactivity</w:t>
            </w:r>
          </w:p>
        </w:tc>
        <w:tc>
          <w:tcPr>
            <w:tcW w:w="992" w:type="pct"/>
            <w:tcBorders>
              <w:top w:val="single" w:sz="4" w:space="0" w:color="000000"/>
              <w:left w:val="single" w:sz="4" w:space="0" w:color="000000"/>
              <w:bottom w:val="single" w:sz="4" w:space="0" w:color="000000"/>
              <w:right w:val="single" w:sz="4" w:space="0" w:color="000000"/>
            </w:tcBorders>
            <w:hideMark/>
          </w:tcPr>
          <w:p w14:paraId="1770176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423E997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76925C4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1F1EC1F4"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132E3C4"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0858B152"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Bruxism</w:t>
            </w:r>
          </w:p>
        </w:tc>
        <w:tc>
          <w:tcPr>
            <w:tcW w:w="992" w:type="pct"/>
            <w:tcBorders>
              <w:top w:val="single" w:sz="4" w:space="0" w:color="000000"/>
              <w:left w:val="dashed" w:sz="4" w:space="0" w:color="000000"/>
              <w:bottom w:val="single" w:sz="4" w:space="0" w:color="000000"/>
              <w:right w:val="dashed" w:sz="4" w:space="0" w:color="000000"/>
            </w:tcBorders>
            <w:hideMark/>
          </w:tcPr>
          <w:p w14:paraId="4D97457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3F50ECA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1E93974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6AEDE3B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7A037498"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719CEBF1" w14:textId="77777777" w:rsidR="002746A7" w:rsidRPr="00F57777" w:rsidRDefault="002746A7" w:rsidP="00F57777">
            <w:pPr>
              <w:pStyle w:val="TableParagraph"/>
              <w:kinsoku w:val="0"/>
              <w:overflowPunct w:val="0"/>
              <w:spacing w:line="240" w:lineRule="auto"/>
              <w:ind w:left="57"/>
              <w:rPr>
                <w:sz w:val="22"/>
                <w:szCs w:val="22"/>
              </w:rPr>
            </w:pPr>
            <w:proofErr w:type="spellStart"/>
            <w:r w:rsidRPr="00F57777">
              <w:rPr>
                <w:sz w:val="22"/>
                <w:szCs w:val="22"/>
              </w:rPr>
              <w:t>Dermatillomania</w:t>
            </w:r>
            <w:proofErr w:type="spellEnd"/>
          </w:p>
        </w:tc>
        <w:tc>
          <w:tcPr>
            <w:tcW w:w="992" w:type="pct"/>
            <w:tcBorders>
              <w:top w:val="single" w:sz="4" w:space="0" w:color="000000"/>
              <w:left w:val="dashed" w:sz="4" w:space="0" w:color="000000"/>
              <w:bottom w:val="single" w:sz="4" w:space="0" w:color="000000"/>
              <w:right w:val="dashed" w:sz="4" w:space="0" w:color="000000"/>
            </w:tcBorders>
            <w:hideMark/>
          </w:tcPr>
          <w:p w14:paraId="2C147F2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295EC5B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33D419C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58134BED"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43470B46"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1788640F"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Psychotic</w:t>
            </w:r>
            <w:r w:rsidRPr="00F57777">
              <w:rPr>
                <w:spacing w:val="-4"/>
                <w:sz w:val="22"/>
                <w:szCs w:val="22"/>
              </w:rPr>
              <w:t xml:space="preserve"> </w:t>
            </w:r>
            <w:r w:rsidRPr="00F57777">
              <w:rPr>
                <w:sz w:val="22"/>
                <w:szCs w:val="22"/>
              </w:rPr>
              <w:t>episodes</w:t>
            </w:r>
          </w:p>
        </w:tc>
        <w:tc>
          <w:tcPr>
            <w:tcW w:w="992" w:type="pct"/>
            <w:tcBorders>
              <w:top w:val="single" w:sz="4" w:space="0" w:color="000000"/>
              <w:left w:val="dashed" w:sz="4" w:space="0" w:color="000000"/>
              <w:bottom w:val="single" w:sz="4" w:space="0" w:color="000000"/>
              <w:right w:val="dashed" w:sz="4" w:space="0" w:color="000000"/>
            </w:tcBorders>
            <w:hideMark/>
          </w:tcPr>
          <w:p w14:paraId="66734EF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dashed" w:sz="4" w:space="0" w:color="000000"/>
              <w:bottom w:val="single" w:sz="4" w:space="0" w:color="000000"/>
              <w:right w:val="dashed" w:sz="4" w:space="0" w:color="000000"/>
            </w:tcBorders>
            <w:hideMark/>
          </w:tcPr>
          <w:p w14:paraId="70A855E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dashed" w:sz="4" w:space="0" w:color="000000"/>
              <w:bottom w:val="single" w:sz="4" w:space="0" w:color="000000"/>
              <w:right w:val="single" w:sz="4" w:space="0" w:color="000000"/>
            </w:tcBorders>
            <w:hideMark/>
          </w:tcPr>
          <w:p w14:paraId="04F5784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2D13CDA4"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775495AA"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02FEA168"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Mania</w:t>
            </w:r>
          </w:p>
        </w:tc>
        <w:tc>
          <w:tcPr>
            <w:tcW w:w="992" w:type="pct"/>
            <w:tcBorders>
              <w:top w:val="single" w:sz="4" w:space="0" w:color="000000"/>
              <w:left w:val="dashed" w:sz="4" w:space="0" w:color="000000"/>
              <w:bottom w:val="single" w:sz="4" w:space="0" w:color="000000"/>
              <w:right w:val="dashed" w:sz="4" w:space="0" w:color="000000"/>
            </w:tcBorders>
            <w:hideMark/>
          </w:tcPr>
          <w:p w14:paraId="7D82D5F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1F58487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18E1E4D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2C7684F2"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BC4CA64"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779558E8"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Hallucination</w:t>
            </w:r>
          </w:p>
        </w:tc>
        <w:tc>
          <w:tcPr>
            <w:tcW w:w="992" w:type="pct"/>
            <w:tcBorders>
              <w:top w:val="single" w:sz="4" w:space="0" w:color="000000"/>
              <w:left w:val="dashed" w:sz="4" w:space="0" w:color="000000"/>
              <w:bottom w:val="single" w:sz="4" w:space="0" w:color="000000"/>
              <w:right w:val="dashed" w:sz="4" w:space="0" w:color="000000"/>
            </w:tcBorders>
            <w:hideMark/>
          </w:tcPr>
          <w:p w14:paraId="3780C2C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61BD27E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30B1B4E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26B3FAF5"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59D70F21"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2A6C4F50"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Aggression</w:t>
            </w:r>
          </w:p>
        </w:tc>
        <w:tc>
          <w:tcPr>
            <w:tcW w:w="992" w:type="pct"/>
            <w:tcBorders>
              <w:top w:val="single" w:sz="4" w:space="0" w:color="000000"/>
              <w:left w:val="dashed" w:sz="4" w:space="0" w:color="000000"/>
              <w:bottom w:val="single" w:sz="4" w:space="0" w:color="000000"/>
              <w:right w:val="dashed" w:sz="4" w:space="0" w:color="000000"/>
            </w:tcBorders>
            <w:hideMark/>
          </w:tcPr>
          <w:p w14:paraId="182B803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dashed" w:sz="4" w:space="0" w:color="000000"/>
              <w:bottom w:val="single" w:sz="4" w:space="0" w:color="000000"/>
              <w:right w:val="dashed" w:sz="4" w:space="0" w:color="000000"/>
            </w:tcBorders>
            <w:hideMark/>
          </w:tcPr>
          <w:p w14:paraId="57E3654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49B1025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0CACC925"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61AF4EAF" w14:textId="77777777" w:rsidR="002746A7" w:rsidRPr="00F57777" w:rsidRDefault="002746A7" w:rsidP="00F57777">
            <w:pPr>
              <w:pStyle w:val="TableParagraph"/>
              <w:kinsoku w:val="0"/>
              <w:overflowPunct w:val="0"/>
              <w:spacing w:line="240" w:lineRule="auto"/>
              <w:ind w:right="376"/>
              <w:rPr>
                <w:b/>
                <w:bCs/>
                <w:sz w:val="22"/>
                <w:szCs w:val="22"/>
              </w:rPr>
            </w:pPr>
            <w:r w:rsidRPr="00F57777">
              <w:rPr>
                <w:b/>
                <w:bCs/>
                <w:spacing w:val="-1"/>
                <w:sz w:val="22"/>
                <w:szCs w:val="22"/>
              </w:rPr>
              <w:t xml:space="preserve">Nervous </w:t>
            </w:r>
            <w:r w:rsidRPr="00F57777">
              <w:rPr>
                <w:b/>
                <w:bCs/>
                <w:sz w:val="22"/>
                <w:szCs w:val="22"/>
              </w:rPr>
              <w:t>System</w:t>
            </w:r>
            <w:r w:rsidRPr="00F57777">
              <w:rPr>
                <w:b/>
                <w:bCs/>
                <w:spacing w:val="-45"/>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dashed" w:sz="4" w:space="0" w:color="000000"/>
            </w:tcBorders>
            <w:hideMark/>
          </w:tcPr>
          <w:p w14:paraId="1D6A8CEF"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Headache</w:t>
            </w:r>
          </w:p>
        </w:tc>
        <w:tc>
          <w:tcPr>
            <w:tcW w:w="992" w:type="pct"/>
            <w:tcBorders>
              <w:top w:val="single" w:sz="4" w:space="0" w:color="000000"/>
              <w:left w:val="dashed" w:sz="4" w:space="0" w:color="000000"/>
              <w:bottom w:val="single" w:sz="4" w:space="0" w:color="000000"/>
              <w:right w:val="dashed" w:sz="4" w:space="0" w:color="000000"/>
            </w:tcBorders>
            <w:hideMark/>
          </w:tcPr>
          <w:p w14:paraId="1BAD5BE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c>
          <w:tcPr>
            <w:tcW w:w="992" w:type="pct"/>
            <w:tcBorders>
              <w:top w:val="single" w:sz="4" w:space="0" w:color="000000"/>
              <w:left w:val="dashed" w:sz="4" w:space="0" w:color="000000"/>
              <w:bottom w:val="single" w:sz="4" w:space="0" w:color="000000"/>
              <w:right w:val="dashed" w:sz="4" w:space="0" w:color="000000"/>
            </w:tcBorders>
            <w:hideMark/>
          </w:tcPr>
          <w:p w14:paraId="64AAA34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01469AC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r>
      <w:tr w:rsidR="002746A7" w:rsidRPr="002177D4" w14:paraId="1C723D78"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5BAD45CA"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215B4850"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Dizziness</w:t>
            </w:r>
          </w:p>
        </w:tc>
        <w:tc>
          <w:tcPr>
            <w:tcW w:w="992" w:type="pct"/>
            <w:tcBorders>
              <w:top w:val="single" w:sz="4" w:space="0" w:color="000000"/>
              <w:left w:val="dashed" w:sz="4" w:space="0" w:color="000000"/>
              <w:bottom w:val="single" w:sz="4" w:space="0" w:color="000000"/>
              <w:right w:val="dashed" w:sz="4" w:space="0" w:color="000000"/>
            </w:tcBorders>
            <w:hideMark/>
          </w:tcPr>
          <w:p w14:paraId="45F1F2D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dashed" w:sz="4" w:space="0" w:color="000000"/>
              <w:bottom w:val="single" w:sz="4" w:space="0" w:color="000000"/>
              <w:right w:val="dashed" w:sz="4" w:space="0" w:color="000000"/>
            </w:tcBorders>
            <w:hideMark/>
          </w:tcPr>
          <w:p w14:paraId="6DFDEA6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4116A2D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07925AE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5ACE7E1"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354880ED"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Restlessness</w:t>
            </w:r>
          </w:p>
        </w:tc>
        <w:tc>
          <w:tcPr>
            <w:tcW w:w="992" w:type="pct"/>
            <w:tcBorders>
              <w:top w:val="single" w:sz="4" w:space="0" w:color="000000"/>
              <w:left w:val="dashed" w:sz="4" w:space="0" w:color="000000"/>
              <w:bottom w:val="single" w:sz="4" w:space="0" w:color="000000"/>
              <w:right w:val="dashed" w:sz="4" w:space="0" w:color="000000"/>
            </w:tcBorders>
            <w:hideMark/>
          </w:tcPr>
          <w:p w14:paraId="3986C3F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02179EB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5F31764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7DC3462B"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4B7399A"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542973F4"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Tremor</w:t>
            </w:r>
          </w:p>
        </w:tc>
        <w:tc>
          <w:tcPr>
            <w:tcW w:w="992" w:type="pct"/>
            <w:tcBorders>
              <w:top w:val="single" w:sz="4" w:space="0" w:color="000000"/>
              <w:left w:val="dashed" w:sz="4" w:space="0" w:color="000000"/>
              <w:bottom w:val="single" w:sz="4" w:space="0" w:color="000000"/>
              <w:right w:val="dashed" w:sz="4" w:space="0" w:color="000000"/>
            </w:tcBorders>
            <w:hideMark/>
          </w:tcPr>
          <w:p w14:paraId="55523B8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4EC23C0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0C85A2C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0FDB44A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4767EC90"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78EB1D6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Somnolence</w:t>
            </w:r>
          </w:p>
        </w:tc>
        <w:tc>
          <w:tcPr>
            <w:tcW w:w="992" w:type="pct"/>
            <w:tcBorders>
              <w:top w:val="single" w:sz="4" w:space="0" w:color="000000"/>
              <w:left w:val="dashed" w:sz="4" w:space="0" w:color="000000"/>
              <w:bottom w:val="single" w:sz="4" w:space="0" w:color="000000"/>
              <w:right w:val="dashed" w:sz="4" w:space="0" w:color="000000"/>
            </w:tcBorders>
            <w:hideMark/>
          </w:tcPr>
          <w:p w14:paraId="6ED441D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dashed" w:sz="4" w:space="0" w:color="000000"/>
              <w:bottom w:val="single" w:sz="4" w:space="0" w:color="000000"/>
              <w:right w:val="dashed" w:sz="4" w:space="0" w:color="000000"/>
            </w:tcBorders>
            <w:hideMark/>
          </w:tcPr>
          <w:p w14:paraId="5FEE1F1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4D2B43F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59392BB6"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9E69AE7"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4ED18C00"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Seizure</w:t>
            </w:r>
          </w:p>
        </w:tc>
        <w:tc>
          <w:tcPr>
            <w:tcW w:w="992" w:type="pct"/>
            <w:tcBorders>
              <w:top w:val="single" w:sz="4" w:space="0" w:color="000000"/>
              <w:left w:val="dashed" w:sz="4" w:space="0" w:color="000000"/>
              <w:bottom w:val="single" w:sz="4" w:space="0" w:color="000000"/>
              <w:right w:val="dashed" w:sz="4" w:space="0" w:color="000000"/>
            </w:tcBorders>
            <w:hideMark/>
          </w:tcPr>
          <w:p w14:paraId="57F4AE0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dashed" w:sz="4" w:space="0" w:color="000000"/>
              <w:bottom w:val="single" w:sz="4" w:space="0" w:color="000000"/>
              <w:right w:val="dashed" w:sz="4" w:space="0" w:color="000000"/>
            </w:tcBorders>
            <w:hideMark/>
          </w:tcPr>
          <w:p w14:paraId="60C5D83A"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dashed" w:sz="4" w:space="0" w:color="000000"/>
              <w:bottom w:val="single" w:sz="4" w:space="0" w:color="000000"/>
              <w:right w:val="single" w:sz="4" w:space="0" w:color="000000"/>
            </w:tcBorders>
            <w:hideMark/>
          </w:tcPr>
          <w:p w14:paraId="2105090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53D9FE7C"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014EC5DB"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460902C7"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Dyskinesia</w:t>
            </w:r>
          </w:p>
        </w:tc>
        <w:tc>
          <w:tcPr>
            <w:tcW w:w="992" w:type="pct"/>
            <w:tcBorders>
              <w:top w:val="single" w:sz="4" w:space="0" w:color="000000"/>
              <w:left w:val="dashed" w:sz="4" w:space="0" w:color="000000"/>
              <w:bottom w:val="single" w:sz="4" w:space="0" w:color="000000"/>
              <w:right w:val="dashed" w:sz="4" w:space="0" w:color="000000"/>
            </w:tcBorders>
            <w:hideMark/>
          </w:tcPr>
          <w:p w14:paraId="62BC6A2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71423C8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1517F9E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72E52C4B"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D04BB67"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69964EE2"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Dysgeusia</w:t>
            </w:r>
          </w:p>
        </w:tc>
        <w:tc>
          <w:tcPr>
            <w:tcW w:w="992" w:type="pct"/>
            <w:tcBorders>
              <w:top w:val="single" w:sz="4" w:space="0" w:color="000000"/>
              <w:left w:val="dashed" w:sz="4" w:space="0" w:color="000000"/>
              <w:bottom w:val="single" w:sz="4" w:space="0" w:color="000000"/>
              <w:right w:val="dashed" w:sz="4" w:space="0" w:color="000000"/>
            </w:tcBorders>
            <w:hideMark/>
          </w:tcPr>
          <w:p w14:paraId="465D26A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7EA13D8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0AC2EC0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429C3F21"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5CE12717"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44A5824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Syncope</w:t>
            </w:r>
          </w:p>
        </w:tc>
        <w:tc>
          <w:tcPr>
            <w:tcW w:w="992" w:type="pct"/>
            <w:tcBorders>
              <w:top w:val="single" w:sz="4" w:space="0" w:color="000000"/>
              <w:left w:val="dashed" w:sz="4" w:space="0" w:color="000000"/>
              <w:bottom w:val="single" w:sz="4" w:space="0" w:color="000000"/>
              <w:right w:val="dashed" w:sz="4" w:space="0" w:color="000000"/>
            </w:tcBorders>
            <w:hideMark/>
          </w:tcPr>
          <w:p w14:paraId="1C83F7B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0DC244F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70DBFD9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1109BC4F"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7F2EB485" w14:textId="77777777" w:rsidR="002746A7" w:rsidRPr="00F57777" w:rsidRDefault="002746A7" w:rsidP="00F57777">
            <w:pPr>
              <w:pStyle w:val="TableParagraph"/>
              <w:kinsoku w:val="0"/>
              <w:overflowPunct w:val="0"/>
              <w:spacing w:line="240" w:lineRule="auto"/>
              <w:rPr>
                <w:b/>
                <w:bCs/>
                <w:sz w:val="22"/>
                <w:szCs w:val="22"/>
              </w:rPr>
            </w:pPr>
            <w:r w:rsidRPr="00F57777">
              <w:rPr>
                <w:b/>
                <w:bCs/>
                <w:sz w:val="22"/>
                <w:szCs w:val="22"/>
              </w:rPr>
              <w:t>Eye</w:t>
            </w:r>
            <w:r w:rsidRPr="00F57777">
              <w:rPr>
                <w:b/>
                <w:bCs/>
                <w:spacing w:val="-2"/>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dashed" w:sz="4" w:space="0" w:color="000000"/>
            </w:tcBorders>
            <w:hideMark/>
          </w:tcPr>
          <w:p w14:paraId="3DD042DC"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Vision</w:t>
            </w:r>
            <w:r w:rsidRPr="00F57777">
              <w:rPr>
                <w:spacing w:val="-1"/>
                <w:sz w:val="22"/>
                <w:szCs w:val="22"/>
              </w:rPr>
              <w:t xml:space="preserve"> </w:t>
            </w:r>
            <w:r w:rsidRPr="00F57777">
              <w:rPr>
                <w:sz w:val="22"/>
                <w:szCs w:val="22"/>
              </w:rPr>
              <w:t>blurred</w:t>
            </w:r>
          </w:p>
        </w:tc>
        <w:tc>
          <w:tcPr>
            <w:tcW w:w="992" w:type="pct"/>
            <w:tcBorders>
              <w:top w:val="single" w:sz="4" w:space="0" w:color="000000"/>
              <w:left w:val="dashed" w:sz="4" w:space="0" w:color="000000"/>
              <w:bottom w:val="single" w:sz="4" w:space="0" w:color="000000"/>
              <w:right w:val="dashed" w:sz="4" w:space="0" w:color="000000"/>
            </w:tcBorders>
            <w:hideMark/>
          </w:tcPr>
          <w:p w14:paraId="79A1C52A"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4E15D4E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dashed" w:sz="4" w:space="0" w:color="000000"/>
              <w:bottom w:val="single" w:sz="4" w:space="0" w:color="000000"/>
              <w:right w:val="single" w:sz="4" w:space="0" w:color="000000"/>
            </w:tcBorders>
            <w:hideMark/>
          </w:tcPr>
          <w:p w14:paraId="369519C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5293204B"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D89E935"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6EC46D2B"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Mydriasis</w:t>
            </w:r>
          </w:p>
        </w:tc>
        <w:tc>
          <w:tcPr>
            <w:tcW w:w="992" w:type="pct"/>
            <w:tcBorders>
              <w:top w:val="single" w:sz="4" w:space="0" w:color="000000"/>
              <w:left w:val="dashed" w:sz="4" w:space="0" w:color="000000"/>
              <w:bottom w:val="single" w:sz="4" w:space="0" w:color="000000"/>
              <w:right w:val="dashed" w:sz="4" w:space="0" w:color="000000"/>
            </w:tcBorders>
            <w:hideMark/>
          </w:tcPr>
          <w:p w14:paraId="009CFF7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2200260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7AC0D40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50F0FF4F"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714AB655" w14:textId="77777777" w:rsidR="002746A7" w:rsidRPr="00F57777" w:rsidRDefault="002746A7" w:rsidP="00F57777">
            <w:pPr>
              <w:pStyle w:val="TableParagraph"/>
              <w:kinsoku w:val="0"/>
              <w:overflowPunct w:val="0"/>
              <w:spacing w:line="240" w:lineRule="auto"/>
              <w:rPr>
                <w:b/>
                <w:bCs/>
                <w:sz w:val="22"/>
                <w:szCs w:val="22"/>
              </w:rPr>
            </w:pPr>
            <w:r w:rsidRPr="00F57777">
              <w:rPr>
                <w:b/>
                <w:bCs/>
                <w:sz w:val="22"/>
                <w:szCs w:val="22"/>
              </w:rPr>
              <w:t>Cardiac</w:t>
            </w:r>
            <w:r w:rsidRPr="00F57777">
              <w:rPr>
                <w:b/>
                <w:bCs/>
                <w:spacing w:val="-3"/>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dashed" w:sz="4" w:space="0" w:color="000000"/>
            </w:tcBorders>
            <w:hideMark/>
          </w:tcPr>
          <w:p w14:paraId="5A41D9F5"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Tachycardia</w:t>
            </w:r>
          </w:p>
        </w:tc>
        <w:tc>
          <w:tcPr>
            <w:tcW w:w="992" w:type="pct"/>
            <w:tcBorders>
              <w:top w:val="single" w:sz="4" w:space="0" w:color="000000"/>
              <w:left w:val="dashed" w:sz="4" w:space="0" w:color="000000"/>
              <w:bottom w:val="single" w:sz="4" w:space="0" w:color="000000"/>
              <w:right w:val="dashed" w:sz="4" w:space="0" w:color="000000"/>
            </w:tcBorders>
            <w:hideMark/>
          </w:tcPr>
          <w:p w14:paraId="2B53683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dashed" w:sz="4" w:space="0" w:color="000000"/>
              <w:bottom w:val="single" w:sz="4" w:space="0" w:color="000000"/>
              <w:right w:val="dashed" w:sz="4" w:space="0" w:color="000000"/>
            </w:tcBorders>
            <w:hideMark/>
          </w:tcPr>
          <w:p w14:paraId="39D2DD0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697537F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3010DE5C"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487F47D9"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55F43AFA"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Palpitation</w:t>
            </w:r>
          </w:p>
        </w:tc>
        <w:tc>
          <w:tcPr>
            <w:tcW w:w="992" w:type="pct"/>
            <w:tcBorders>
              <w:top w:val="single" w:sz="4" w:space="0" w:color="000000"/>
              <w:left w:val="dashed" w:sz="4" w:space="0" w:color="000000"/>
              <w:bottom w:val="single" w:sz="4" w:space="0" w:color="000000"/>
              <w:right w:val="dashed" w:sz="4" w:space="0" w:color="000000"/>
            </w:tcBorders>
            <w:hideMark/>
          </w:tcPr>
          <w:p w14:paraId="15877F4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0A2ACDA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dashed" w:sz="4" w:space="0" w:color="000000"/>
              <w:bottom w:val="single" w:sz="4" w:space="0" w:color="000000"/>
              <w:right w:val="single" w:sz="4" w:space="0" w:color="000000"/>
            </w:tcBorders>
            <w:hideMark/>
          </w:tcPr>
          <w:p w14:paraId="2720CAC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72CBF6CD"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22F38A1"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389C3DB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QTc</w:t>
            </w:r>
            <w:r w:rsidRPr="00F57777">
              <w:rPr>
                <w:spacing w:val="-4"/>
                <w:sz w:val="22"/>
                <w:szCs w:val="22"/>
              </w:rPr>
              <w:t xml:space="preserve"> </w:t>
            </w:r>
            <w:r w:rsidRPr="00F57777">
              <w:rPr>
                <w:sz w:val="22"/>
                <w:szCs w:val="22"/>
              </w:rPr>
              <w:t>prolongation</w:t>
            </w:r>
          </w:p>
        </w:tc>
        <w:tc>
          <w:tcPr>
            <w:tcW w:w="992" w:type="pct"/>
            <w:tcBorders>
              <w:top w:val="single" w:sz="4" w:space="0" w:color="000000"/>
              <w:left w:val="dashed" w:sz="4" w:space="0" w:color="000000"/>
              <w:bottom w:val="single" w:sz="4" w:space="0" w:color="000000"/>
              <w:right w:val="dashed" w:sz="4" w:space="0" w:color="000000"/>
            </w:tcBorders>
            <w:hideMark/>
          </w:tcPr>
          <w:p w14:paraId="5CF8B5C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dashed" w:sz="4" w:space="0" w:color="000000"/>
              <w:bottom w:val="single" w:sz="4" w:space="0" w:color="000000"/>
              <w:right w:val="dashed" w:sz="4" w:space="0" w:color="000000"/>
            </w:tcBorders>
            <w:hideMark/>
          </w:tcPr>
          <w:p w14:paraId="4C6174E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dashed" w:sz="4" w:space="0" w:color="000000"/>
              <w:bottom w:val="single" w:sz="4" w:space="0" w:color="000000"/>
              <w:right w:val="single" w:sz="4" w:space="0" w:color="000000"/>
            </w:tcBorders>
            <w:hideMark/>
          </w:tcPr>
          <w:p w14:paraId="51CE4F7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4F3F05F8"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15C7FD81"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3454E80D"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Cardiomyopathy</w:t>
            </w:r>
          </w:p>
        </w:tc>
        <w:tc>
          <w:tcPr>
            <w:tcW w:w="992" w:type="pct"/>
            <w:tcBorders>
              <w:top w:val="single" w:sz="4" w:space="0" w:color="000000"/>
              <w:left w:val="dashed" w:sz="4" w:space="0" w:color="000000"/>
              <w:bottom w:val="single" w:sz="4" w:space="0" w:color="000000"/>
              <w:right w:val="dashed" w:sz="4" w:space="0" w:color="000000"/>
            </w:tcBorders>
            <w:hideMark/>
          </w:tcPr>
          <w:p w14:paraId="3856F85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dashed" w:sz="4" w:space="0" w:color="000000"/>
              <w:bottom w:val="single" w:sz="4" w:space="0" w:color="000000"/>
              <w:right w:val="dashed" w:sz="4" w:space="0" w:color="000000"/>
            </w:tcBorders>
            <w:hideMark/>
          </w:tcPr>
          <w:p w14:paraId="7B80FAB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1E20112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7458BFC1" w14:textId="77777777" w:rsidTr="00EC2189">
        <w:trPr>
          <w:trHeight w:val="260"/>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3FD4DE26" w14:textId="77777777" w:rsidR="002746A7" w:rsidRPr="00F57777" w:rsidRDefault="002746A7" w:rsidP="00F57777">
            <w:pPr>
              <w:pStyle w:val="TableParagraph"/>
              <w:kinsoku w:val="0"/>
              <w:overflowPunct w:val="0"/>
              <w:spacing w:line="240" w:lineRule="auto"/>
              <w:ind w:left="38" w:right="131"/>
              <w:rPr>
                <w:b/>
                <w:bCs/>
                <w:sz w:val="22"/>
                <w:szCs w:val="22"/>
              </w:rPr>
            </w:pPr>
            <w:r w:rsidRPr="00F57777">
              <w:rPr>
                <w:b/>
                <w:bCs/>
                <w:sz w:val="22"/>
                <w:szCs w:val="22"/>
              </w:rPr>
              <w:t>Vascular</w:t>
            </w:r>
            <w:r w:rsidRPr="00F57777">
              <w:rPr>
                <w:b/>
                <w:bCs/>
                <w:spacing w:val="-1"/>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dashed" w:sz="4" w:space="0" w:color="000000"/>
            </w:tcBorders>
            <w:hideMark/>
          </w:tcPr>
          <w:p w14:paraId="645B3696"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Raynaud’s</w:t>
            </w:r>
            <w:r w:rsidRPr="00F57777">
              <w:rPr>
                <w:spacing w:val="-3"/>
                <w:sz w:val="22"/>
                <w:szCs w:val="22"/>
              </w:rPr>
              <w:t xml:space="preserve"> </w:t>
            </w:r>
            <w:r w:rsidRPr="00F57777">
              <w:rPr>
                <w:sz w:val="22"/>
                <w:szCs w:val="22"/>
              </w:rPr>
              <w:t>phenomenon</w:t>
            </w:r>
          </w:p>
        </w:tc>
        <w:tc>
          <w:tcPr>
            <w:tcW w:w="992" w:type="pct"/>
            <w:tcBorders>
              <w:top w:val="single" w:sz="4" w:space="0" w:color="000000"/>
              <w:left w:val="dashed" w:sz="4" w:space="0" w:color="000000"/>
              <w:bottom w:val="single" w:sz="4" w:space="0" w:color="000000"/>
              <w:right w:val="dashed" w:sz="4" w:space="0" w:color="000000"/>
            </w:tcBorders>
            <w:hideMark/>
          </w:tcPr>
          <w:p w14:paraId="1A4A101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2657A53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dashed" w:sz="4" w:space="0" w:color="000000"/>
              <w:bottom w:val="single" w:sz="4" w:space="0" w:color="000000"/>
              <w:right w:val="single" w:sz="4" w:space="0" w:color="000000"/>
            </w:tcBorders>
            <w:hideMark/>
          </w:tcPr>
          <w:p w14:paraId="0B69C93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1E5F38EC" w14:textId="77777777" w:rsidTr="00EC2189">
        <w:trPr>
          <w:trHeight w:val="260"/>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0BC15696"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dashed" w:sz="4" w:space="0" w:color="000000"/>
            </w:tcBorders>
            <w:hideMark/>
          </w:tcPr>
          <w:p w14:paraId="13237B8E"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Epistaxis</w:t>
            </w:r>
          </w:p>
        </w:tc>
        <w:tc>
          <w:tcPr>
            <w:tcW w:w="992" w:type="pct"/>
            <w:tcBorders>
              <w:top w:val="single" w:sz="4" w:space="0" w:color="000000"/>
              <w:left w:val="dashed" w:sz="4" w:space="0" w:color="000000"/>
              <w:bottom w:val="single" w:sz="4" w:space="0" w:color="000000"/>
              <w:right w:val="dashed" w:sz="4" w:space="0" w:color="000000"/>
            </w:tcBorders>
            <w:hideMark/>
          </w:tcPr>
          <w:p w14:paraId="5347BFD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dashed" w:sz="4" w:space="0" w:color="000000"/>
              <w:bottom w:val="single" w:sz="4" w:space="0" w:color="000000"/>
              <w:right w:val="dashed" w:sz="4" w:space="0" w:color="000000"/>
            </w:tcBorders>
            <w:hideMark/>
          </w:tcPr>
          <w:p w14:paraId="029873D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dashed" w:sz="4" w:space="0" w:color="000000"/>
              <w:bottom w:val="single" w:sz="4" w:space="0" w:color="000000"/>
              <w:right w:val="single" w:sz="4" w:space="0" w:color="000000"/>
            </w:tcBorders>
            <w:hideMark/>
          </w:tcPr>
          <w:p w14:paraId="2DA1419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1E35D79B" w14:textId="77777777" w:rsidTr="00EC2189">
        <w:trPr>
          <w:trHeight w:val="1040"/>
        </w:trPr>
        <w:tc>
          <w:tcPr>
            <w:tcW w:w="946" w:type="pct"/>
            <w:tcBorders>
              <w:top w:val="single" w:sz="4" w:space="0" w:color="000000"/>
              <w:left w:val="single" w:sz="4" w:space="0" w:color="000000"/>
              <w:bottom w:val="single" w:sz="4" w:space="0" w:color="000000"/>
              <w:right w:val="single" w:sz="4" w:space="0" w:color="000000"/>
            </w:tcBorders>
            <w:hideMark/>
          </w:tcPr>
          <w:p w14:paraId="0E28ABE4" w14:textId="3F55E960" w:rsidR="002746A7" w:rsidRPr="00F57777" w:rsidRDefault="002746A7" w:rsidP="00F57777">
            <w:pPr>
              <w:pStyle w:val="TableParagraph"/>
              <w:kinsoku w:val="0"/>
              <w:overflowPunct w:val="0"/>
              <w:spacing w:line="240" w:lineRule="auto"/>
              <w:ind w:right="589"/>
              <w:rPr>
                <w:b/>
                <w:bCs/>
                <w:sz w:val="22"/>
                <w:szCs w:val="22"/>
              </w:rPr>
            </w:pPr>
            <w:r w:rsidRPr="00F57777">
              <w:rPr>
                <w:b/>
                <w:bCs/>
                <w:sz w:val="22"/>
                <w:szCs w:val="22"/>
              </w:rPr>
              <w:t>Respiratory,</w:t>
            </w:r>
            <w:r w:rsidRPr="00F57777">
              <w:rPr>
                <w:b/>
                <w:bCs/>
                <w:spacing w:val="1"/>
                <w:sz w:val="22"/>
                <w:szCs w:val="22"/>
              </w:rPr>
              <w:t xml:space="preserve"> </w:t>
            </w:r>
            <w:r w:rsidRPr="00F57777">
              <w:rPr>
                <w:b/>
                <w:bCs/>
                <w:sz w:val="22"/>
                <w:szCs w:val="22"/>
              </w:rPr>
              <w:t>Thoracic and</w:t>
            </w:r>
            <w:r w:rsidRPr="00F57777">
              <w:rPr>
                <w:b/>
                <w:bCs/>
                <w:spacing w:val="-45"/>
                <w:sz w:val="22"/>
                <w:szCs w:val="22"/>
              </w:rPr>
              <w:t xml:space="preserve"> </w:t>
            </w:r>
            <w:r w:rsidRPr="00F57777">
              <w:rPr>
                <w:b/>
                <w:bCs/>
                <w:sz w:val="22"/>
                <w:szCs w:val="22"/>
              </w:rPr>
              <w:t>Mediastinal</w:t>
            </w:r>
            <w:r w:rsidR="00F57777">
              <w:rPr>
                <w:b/>
                <w:bCs/>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single" w:sz="4" w:space="0" w:color="000000"/>
            </w:tcBorders>
            <w:hideMark/>
          </w:tcPr>
          <w:p w14:paraId="49570D30" w14:textId="77777777" w:rsidR="002746A7" w:rsidRPr="00F57777" w:rsidRDefault="002746A7" w:rsidP="00F57777">
            <w:pPr>
              <w:pStyle w:val="TableParagraph"/>
              <w:kinsoku w:val="0"/>
              <w:overflowPunct w:val="0"/>
              <w:spacing w:line="240" w:lineRule="auto"/>
              <w:ind w:left="57"/>
              <w:rPr>
                <w:sz w:val="22"/>
                <w:szCs w:val="22"/>
              </w:rPr>
            </w:pPr>
            <w:proofErr w:type="spellStart"/>
            <w:r w:rsidRPr="00F57777">
              <w:rPr>
                <w:sz w:val="22"/>
                <w:szCs w:val="22"/>
              </w:rPr>
              <w:t>Dyspnoea</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2BA1CF9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79A5B5E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6541891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2297EF22"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129D2662" w14:textId="77777777" w:rsidR="002746A7" w:rsidRPr="00F57777" w:rsidRDefault="002746A7" w:rsidP="00F57777">
            <w:pPr>
              <w:pStyle w:val="TableParagraph"/>
              <w:kinsoku w:val="0"/>
              <w:overflowPunct w:val="0"/>
              <w:spacing w:line="240" w:lineRule="auto"/>
              <w:ind w:right="379"/>
              <w:rPr>
                <w:b/>
                <w:bCs/>
                <w:sz w:val="22"/>
                <w:szCs w:val="22"/>
              </w:rPr>
            </w:pPr>
            <w:r w:rsidRPr="00F57777">
              <w:rPr>
                <w:b/>
                <w:bCs/>
                <w:spacing w:val="-1"/>
                <w:sz w:val="22"/>
                <w:szCs w:val="22"/>
              </w:rPr>
              <w:t>Gastrointestinal</w:t>
            </w:r>
            <w:r w:rsidRPr="00F57777">
              <w:rPr>
                <w:b/>
                <w:bCs/>
                <w:spacing w:val="-45"/>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single" w:sz="4" w:space="0" w:color="000000"/>
            </w:tcBorders>
            <w:hideMark/>
          </w:tcPr>
          <w:p w14:paraId="31D6459C"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Dry</w:t>
            </w:r>
            <w:r w:rsidRPr="00F57777">
              <w:rPr>
                <w:spacing w:val="-8"/>
                <w:sz w:val="22"/>
                <w:szCs w:val="22"/>
              </w:rPr>
              <w:t xml:space="preserve"> </w:t>
            </w:r>
            <w:r w:rsidRPr="00F57777">
              <w:rPr>
                <w:sz w:val="22"/>
                <w:szCs w:val="22"/>
              </w:rPr>
              <w:t>mouth</w:t>
            </w:r>
          </w:p>
        </w:tc>
        <w:tc>
          <w:tcPr>
            <w:tcW w:w="992" w:type="pct"/>
            <w:tcBorders>
              <w:top w:val="single" w:sz="4" w:space="0" w:color="000000"/>
              <w:left w:val="single" w:sz="4" w:space="0" w:color="000000"/>
              <w:bottom w:val="single" w:sz="4" w:space="0" w:color="000000"/>
              <w:right w:val="single" w:sz="4" w:space="0" w:color="000000"/>
            </w:tcBorders>
            <w:hideMark/>
          </w:tcPr>
          <w:p w14:paraId="04393A8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22862F9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10DDA88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r>
      <w:tr w:rsidR="002746A7" w:rsidRPr="002177D4" w14:paraId="02E8ABBA"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9BDB0E3"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3D37BD85" w14:textId="77777777" w:rsidR="002746A7" w:rsidRPr="00F57777" w:rsidRDefault="002746A7" w:rsidP="00F57777">
            <w:pPr>
              <w:pStyle w:val="TableParagraph"/>
              <w:kinsoku w:val="0"/>
              <w:overflowPunct w:val="0"/>
              <w:spacing w:line="240" w:lineRule="auto"/>
              <w:ind w:left="57"/>
              <w:rPr>
                <w:sz w:val="22"/>
                <w:szCs w:val="22"/>
              </w:rPr>
            </w:pPr>
            <w:proofErr w:type="spellStart"/>
            <w:r w:rsidRPr="00F57777">
              <w:rPr>
                <w:sz w:val="22"/>
                <w:szCs w:val="22"/>
              </w:rPr>
              <w:t>Diarrhoea</w:t>
            </w:r>
            <w:proofErr w:type="spellEnd"/>
          </w:p>
        </w:tc>
        <w:tc>
          <w:tcPr>
            <w:tcW w:w="992" w:type="pct"/>
            <w:tcBorders>
              <w:top w:val="single" w:sz="4" w:space="0" w:color="000000"/>
              <w:left w:val="single" w:sz="4" w:space="0" w:color="000000"/>
              <w:bottom w:val="single" w:sz="4" w:space="0" w:color="000000"/>
              <w:right w:val="single" w:sz="4" w:space="0" w:color="000000"/>
            </w:tcBorders>
            <w:hideMark/>
          </w:tcPr>
          <w:p w14:paraId="1E6E74F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0E8A769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70F505B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21AA627B"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310B040"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22464B24"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Constipation</w:t>
            </w:r>
          </w:p>
        </w:tc>
        <w:tc>
          <w:tcPr>
            <w:tcW w:w="992" w:type="pct"/>
            <w:tcBorders>
              <w:top w:val="single" w:sz="4" w:space="0" w:color="000000"/>
              <w:left w:val="single" w:sz="4" w:space="0" w:color="000000"/>
              <w:bottom w:val="single" w:sz="4" w:space="0" w:color="000000"/>
              <w:right w:val="single" w:sz="4" w:space="0" w:color="000000"/>
            </w:tcBorders>
            <w:hideMark/>
          </w:tcPr>
          <w:p w14:paraId="7DBD5DE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64C9094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0F754A2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2C79603D"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2090D7E3"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6FB6D2B7"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Upper</w:t>
            </w:r>
            <w:r w:rsidRPr="00F57777">
              <w:rPr>
                <w:spacing w:val="-3"/>
                <w:sz w:val="22"/>
                <w:szCs w:val="22"/>
              </w:rPr>
              <w:t xml:space="preserve"> </w:t>
            </w:r>
            <w:r w:rsidRPr="00F57777">
              <w:rPr>
                <w:sz w:val="22"/>
                <w:szCs w:val="22"/>
              </w:rPr>
              <w:t>abdominal</w:t>
            </w:r>
            <w:r w:rsidRPr="00F57777">
              <w:rPr>
                <w:spacing w:val="-1"/>
                <w:sz w:val="22"/>
                <w:szCs w:val="22"/>
              </w:rPr>
              <w:t xml:space="preserve"> </w:t>
            </w:r>
            <w:r w:rsidRPr="00F57777">
              <w:rPr>
                <w:sz w:val="22"/>
                <w:szCs w:val="22"/>
              </w:rPr>
              <w:t>pain</w:t>
            </w:r>
          </w:p>
        </w:tc>
        <w:tc>
          <w:tcPr>
            <w:tcW w:w="992" w:type="pct"/>
            <w:tcBorders>
              <w:top w:val="single" w:sz="4" w:space="0" w:color="000000"/>
              <w:left w:val="single" w:sz="4" w:space="0" w:color="000000"/>
              <w:bottom w:val="single" w:sz="4" w:space="0" w:color="000000"/>
              <w:right w:val="single" w:sz="4" w:space="0" w:color="000000"/>
            </w:tcBorders>
            <w:hideMark/>
          </w:tcPr>
          <w:p w14:paraId="53BE999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5217DB8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784C919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2A1BB05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476DC1AD"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58ABE88E"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Nausea</w:t>
            </w:r>
          </w:p>
        </w:tc>
        <w:tc>
          <w:tcPr>
            <w:tcW w:w="992" w:type="pct"/>
            <w:tcBorders>
              <w:top w:val="single" w:sz="4" w:space="0" w:color="000000"/>
              <w:left w:val="single" w:sz="4" w:space="0" w:color="000000"/>
              <w:bottom w:val="single" w:sz="4" w:space="0" w:color="000000"/>
              <w:right w:val="single" w:sz="4" w:space="0" w:color="000000"/>
            </w:tcBorders>
            <w:hideMark/>
          </w:tcPr>
          <w:p w14:paraId="5605803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2C1424F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1BDA8B3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173E53DC"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0349FBDD"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48500E7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Vomiting</w:t>
            </w:r>
          </w:p>
        </w:tc>
        <w:tc>
          <w:tcPr>
            <w:tcW w:w="992" w:type="pct"/>
            <w:tcBorders>
              <w:top w:val="single" w:sz="4" w:space="0" w:color="000000"/>
              <w:left w:val="single" w:sz="4" w:space="0" w:color="000000"/>
              <w:bottom w:val="single" w:sz="4" w:space="0" w:color="000000"/>
              <w:right w:val="single" w:sz="4" w:space="0" w:color="000000"/>
            </w:tcBorders>
            <w:hideMark/>
          </w:tcPr>
          <w:p w14:paraId="424812D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6207E5F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640E64C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0634EFF4" w14:textId="77777777" w:rsidTr="00EC2189">
        <w:trPr>
          <w:trHeight w:val="520"/>
        </w:trPr>
        <w:tc>
          <w:tcPr>
            <w:tcW w:w="946" w:type="pct"/>
            <w:tcBorders>
              <w:top w:val="single" w:sz="4" w:space="0" w:color="000000"/>
              <w:left w:val="single" w:sz="4" w:space="0" w:color="000000"/>
              <w:bottom w:val="single" w:sz="4" w:space="0" w:color="000000"/>
              <w:right w:val="single" w:sz="4" w:space="0" w:color="000000"/>
            </w:tcBorders>
            <w:hideMark/>
          </w:tcPr>
          <w:p w14:paraId="74482DD5" w14:textId="7AF5979A" w:rsidR="002746A7" w:rsidRPr="00F57777" w:rsidRDefault="002746A7" w:rsidP="00F57777">
            <w:pPr>
              <w:pStyle w:val="TableParagraph"/>
              <w:kinsoku w:val="0"/>
              <w:overflowPunct w:val="0"/>
              <w:spacing w:line="240" w:lineRule="auto"/>
              <w:rPr>
                <w:b/>
                <w:bCs/>
                <w:sz w:val="22"/>
                <w:szCs w:val="22"/>
              </w:rPr>
            </w:pPr>
            <w:r w:rsidRPr="00F57777">
              <w:rPr>
                <w:b/>
                <w:bCs/>
                <w:sz w:val="22"/>
                <w:szCs w:val="22"/>
              </w:rPr>
              <w:t>Hepatobiliary</w:t>
            </w:r>
            <w:r w:rsidR="00F57777">
              <w:rPr>
                <w:b/>
                <w:bCs/>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single" w:sz="4" w:space="0" w:color="000000"/>
            </w:tcBorders>
            <w:hideMark/>
          </w:tcPr>
          <w:p w14:paraId="1013439C"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*Eosinophilic</w:t>
            </w:r>
            <w:r w:rsidRPr="00F57777">
              <w:rPr>
                <w:spacing w:val="-3"/>
                <w:sz w:val="22"/>
                <w:szCs w:val="22"/>
              </w:rPr>
              <w:t xml:space="preserve"> </w:t>
            </w:r>
            <w:r w:rsidRPr="00F57777">
              <w:rPr>
                <w:sz w:val="22"/>
                <w:szCs w:val="22"/>
              </w:rPr>
              <w:t>Hepatitis</w:t>
            </w:r>
          </w:p>
        </w:tc>
        <w:tc>
          <w:tcPr>
            <w:tcW w:w="992" w:type="pct"/>
            <w:tcBorders>
              <w:top w:val="single" w:sz="4" w:space="0" w:color="000000"/>
              <w:left w:val="single" w:sz="4" w:space="0" w:color="000000"/>
              <w:bottom w:val="single" w:sz="4" w:space="0" w:color="000000"/>
              <w:right w:val="single" w:sz="4" w:space="0" w:color="000000"/>
            </w:tcBorders>
            <w:hideMark/>
          </w:tcPr>
          <w:p w14:paraId="4E157BA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single" w:sz="4" w:space="0" w:color="000000"/>
              <w:bottom w:val="single" w:sz="4" w:space="0" w:color="000000"/>
              <w:right w:val="single" w:sz="4" w:space="0" w:color="000000"/>
            </w:tcBorders>
            <w:hideMark/>
          </w:tcPr>
          <w:p w14:paraId="2934C60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single" w:sz="4" w:space="0" w:color="000000"/>
              <w:bottom w:val="single" w:sz="4" w:space="0" w:color="000000"/>
              <w:right w:val="single" w:sz="4" w:space="0" w:color="000000"/>
            </w:tcBorders>
            <w:hideMark/>
          </w:tcPr>
          <w:p w14:paraId="689DBBA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4437EED2"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37E627E7" w14:textId="77777777" w:rsidR="002746A7" w:rsidRPr="00F57777" w:rsidRDefault="002746A7" w:rsidP="00F57777">
            <w:pPr>
              <w:pStyle w:val="TableParagraph"/>
              <w:kinsoku w:val="0"/>
              <w:overflowPunct w:val="0"/>
              <w:spacing w:line="240" w:lineRule="auto"/>
              <w:ind w:right="326"/>
              <w:rPr>
                <w:b/>
                <w:bCs/>
                <w:sz w:val="22"/>
                <w:szCs w:val="22"/>
              </w:rPr>
            </w:pPr>
            <w:r w:rsidRPr="00F57777">
              <w:rPr>
                <w:b/>
                <w:bCs/>
                <w:sz w:val="22"/>
                <w:szCs w:val="22"/>
              </w:rPr>
              <w:t>Skin and</w:t>
            </w:r>
            <w:r w:rsidRPr="00F57777">
              <w:rPr>
                <w:b/>
                <w:bCs/>
                <w:spacing w:val="1"/>
                <w:sz w:val="22"/>
                <w:szCs w:val="22"/>
              </w:rPr>
              <w:t xml:space="preserve"> </w:t>
            </w:r>
            <w:r w:rsidRPr="00F57777">
              <w:rPr>
                <w:b/>
                <w:bCs/>
                <w:sz w:val="22"/>
                <w:szCs w:val="22"/>
              </w:rPr>
              <w:t>Subcutaneous</w:t>
            </w:r>
            <w:r w:rsidRPr="00F57777">
              <w:rPr>
                <w:b/>
                <w:bCs/>
                <w:spacing w:val="1"/>
                <w:sz w:val="22"/>
                <w:szCs w:val="22"/>
              </w:rPr>
              <w:t xml:space="preserve"> </w:t>
            </w:r>
            <w:r w:rsidRPr="00F57777">
              <w:rPr>
                <w:b/>
                <w:bCs/>
                <w:sz w:val="22"/>
                <w:szCs w:val="22"/>
              </w:rPr>
              <w:t>Tissue</w:t>
            </w:r>
            <w:r w:rsidRPr="00F57777">
              <w:rPr>
                <w:b/>
                <w:bCs/>
                <w:spacing w:val="-11"/>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single" w:sz="4" w:space="0" w:color="000000"/>
            </w:tcBorders>
            <w:hideMark/>
          </w:tcPr>
          <w:p w14:paraId="13958E9B"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Hyperhidrosis</w:t>
            </w:r>
          </w:p>
        </w:tc>
        <w:tc>
          <w:tcPr>
            <w:tcW w:w="992" w:type="pct"/>
            <w:tcBorders>
              <w:top w:val="single" w:sz="4" w:space="0" w:color="000000"/>
              <w:left w:val="single" w:sz="4" w:space="0" w:color="000000"/>
              <w:bottom w:val="single" w:sz="4" w:space="0" w:color="000000"/>
              <w:right w:val="single" w:sz="4" w:space="0" w:color="000000"/>
            </w:tcBorders>
            <w:hideMark/>
          </w:tcPr>
          <w:p w14:paraId="6B8C80E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083B4C9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65F6B2D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7D0315CB"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30D1CCC6"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7BA9A3A3"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Urticaria</w:t>
            </w:r>
          </w:p>
        </w:tc>
        <w:tc>
          <w:tcPr>
            <w:tcW w:w="992" w:type="pct"/>
            <w:tcBorders>
              <w:top w:val="single" w:sz="4" w:space="0" w:color="000000"/>
              <w:left w:val="single" w:sz="4" w:space="0" w:color="000000"/>
              <w:bottom w:val="single" w:sz="4" w:space="0" w:color="000000"/>
              <w:right w:val="single" w:sz="4" w:space="0" w:color="000000"/>
            </w:tcBorders>
            <w:hideMark/>
          </w:tcPr>
          <w:p w14:paraId="35F7B10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7A4E58E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2AB50164"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704A1201"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7A67FCFC"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026153A6"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Rash</w:t>
            </w:r>
          </w:p>
        </w:tc>
        <w:tc>
          <w:tcPr>
            <w:tcW w:w="992" w:type="pct"/>
            <w:tcBorders>
              <w:top w:val="single" w:sz="4" w:space="0" w:color="000000"/>
              <w:left w:val="single" w:sz="4" w:space="0" w:color="000000"/>
              <w:bottom w:val="single" w:sz="4" w:space="0" w:color="000000"/>
              <w:right w:val="single" w:sz="4" w:space="0" w:color="000000"/>
            </w:tcBorders>
            <w:hideMark/>
          </w:tcPr>
          <w:p w14:paraId="6AD2C3C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32AD4CD0"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3D6895D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3F070511"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64A19E95"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274D9B76"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*Angioedema</w:t>
            </w:r>
          </w:p>
        </w:tc>
        <w:tc>
          <w:tcPr>
            <w:tcW w:w="992" w:type="pct"/>
            <w:tcBorders>
              <w:top w:val="single" w:sz="4" w:space="0" w:color="000000"/>
              <w:left w:val="single" w:sz="4" w:space="0" w:color="000000"/>
              <w:bottom w:val="single" w:sz="4" w:space="0" w:color="000000"/>
              <w:right w:val="single" w:sz="4" w:space="0" w:color="000000"/>
            </w:tcBorders>
            <w:hideMark/>
          </w:tcPr>
          <w:p w14:paraId="6751D5D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single" w:sz="4" w:space="0" w:color="000000"/>
              <w:bottom w:val="single" w:sz="4" w:space="0" w:color="000000"/>
              <w:right w:val="single" w:sz="4" w:space="0" w:color="000000"/>
            </w:tcBorders>
            <w:hideMark/>
          </w:tcPr>
          <w:p w14:paraId="49852FA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single" w:sz="4" w:space="0" w:color="000000"/>
              <w:bottom w:val="single" w:sz="4" w:space="0" w:color="000000"/>
              <w:right w:val="single" w:sz="4" w:space="0" w:color="000000"/>
            </w:tcBorders>
            <w:hideMark/>
          </w:tcPr>
          <w:p w14:paraId="158233B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0F69E200" w14:textId="77777777" w:rsidTr="00EC2189">
        <w:trPr>
          <w:trHeight w:val="446"/>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0B5A343F"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1E930AEA"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*Stevens-Johnson</w:t>
            </w:r>
          </w:p>
          <w:p w14:paraId="0A166510"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Syndrome</w:t>
            </w:r>
          </w:p>
        </w:tc>
        <w:tc>
          <w:tcPr>
            <w:tcW w:w="992" w:type="pct"/>
            <w:tcBorders>
              <w:top w:val="single" w:sz="4" w:space="0" w:color="000000"/>
              <w:left w:val="single" w:sz="4" w:space="0" w:color="000000"/>
              <w:bottom w:val="single" w:sz="4" w:space="0" w:color="000000"/>
              <w:right w:val="single" w:sz="4" w:space="0" w:color="000000"/>
            </w:tcBorders>
            <w:hideMark/>
          </w:tcPr>
          <w:p w14:paraId="182FD72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992" w:type="pct"/>
            <w:tcBorders>
              <w:top w:val="single" w:sz="4" w:space="0" w:color="000000"/>
              <w:left w:val="single" w:sz="4" w:space="0" w:color="000000"/>
              <w:bottom w:val="single" w:sz="4" w:space="0" w:color="000000"/>
              <w:right w:val="single" w:sz="4" w:space="0" w:color="000000"/>
            </w:tcBorders>
            <w:hideMark/>
          </w:tcPr>
          <w:p w14:paraId="7E5EB44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c>
          <w:tcPr>
            <w:tcW w:w="1001" w:type="pct"/>
            <w:tcBorders>
              <w:top w:val="single" w:sz="4" w:space="0" w:color="000000"/>
              <w:left w:val="single" w:sz="4" w:space="0" w:color="000000"/>
              <w:bottom w:val="single" w:sz="4" w:space="0" w:color="000000"/>
              <w:right w:val="single" w:sz="4" w:space="0" w:color="000000"/>
            </w:tcBorders>
            <w:hideMark/>
          </w:tcPr>
          <w:p w14:paraId="1238282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Frequency</w:t>
            </w:r>
            <w:r w:rsidRPr="00F57777">
              <w:rPr>
                <w:spacing w:val="-9"/>
                <w:sz w:val="22"/>
                <w:szCs w:val="22"/>
              </w:rPr>
              <w:t xml:space="preserve"> </w:t>
            </w:r>
            <w:r w:rsidRPr="00F57777">
              <w:rPr>
                <w:sz w:val="22"/>
                <w:szCs w:val="22"/>
              </w:rPr>
              <w:t>not</w:t>
            </w:r>
            <w:r w:rsidRPr="00F57777">
              <w:rPr>
                <w:spacing w:val="-3"/>
                <w:sz w:val="22"/>
                <w:szCs w:val="22"/>
              </w:rPr>
              <w:t xml:space="preserve"> </w:t>
            </w:r>
            <w:r w:rsidRPr="00F57777">
              <w:rPr>
                <w:sz w:val="22"/>
                <w:szCs w:val="22"/>
              </w:rPr>
              <w:t>known</w:t>
            </w:r>
          </w:p>
        </w:tc>
      </w:tr>
      <w:tr w:rsidR="002746A7" w:rsidRPr="002177D4" w14:paraId="4F61D289" w14:textId="77777777" w:rsidTr="00EC2189">
        <w:trPr>
          <w:trHeight w:val="780"/>
        </w:trPr>
        <w:tc>
          <w:tcPr>
            <w:tcW w:w="946" w:type="pct"/>
            <w:tcBorders>
              <w:top w:val="single" w:sz="4" w:space="0" w:color="000000"/>
              <w:left w:val="single" w:sz="4" w:space="0" w:color="000000"/>
              <w:bottom w:val="single" w:sz="4" w:space="0" w:color="000000"/>
              <w:right w:val="single" w:sz="4" w:space="0" w:color="000000"/>
            </w:tcBorders>
            <w:hideMark/>
          </w:tcPr>
          <w:p w14:paraId="356FF150" w14:textId="5446AFA4" w:rsidR="002746A7" w:rsidRPr="00F57777" w:rsidRDefault="002746A7" w:rsidP="00F57777">
            <w:pPr>
              <w:pStyle w:val="TableParagraph"/>
              <w:kinsoku w:val="0"/>
              <w:overflowPunct w:val="0"/>
              <w:spacing w:line="240" w:lineRule="auto"/>
              <w:ind w:right="168"/>
              <w:rPr>
                <w:b/>
                <w:bCs/>
                <w:sz w:val="22"/>
                <w:szCs w:val="22"/>
              </w:rPr>
            </w:pPr>
            <w:r w:rsidRPr="00F57777">
              <w:rPr>
                <w:b/>
                <w:bCs/>
                <w:sz w:val="22"/>
                <w:szCs w:val="22"/>
              </w:rPr>
              <w:t>Reproductive</w:t>
            </w:r>
            <w:r w:rsidRPr="00F57777">
              <w:rPr>
                <w:b/>
                <w:bCs/>
                <w:spacing w:val="1"/>
                <w:sz w:val="22"/>
                <w:szCs w:val="22"/>
              </w:rPr>
              <w:t xml:space="preserve"> </w:t>
            </w:r>
            <w:r w:rsidRPr="00F57777">
              <w:rPr>
                <w:b/>
                <w:bCs/>
                <w:sz w:val="22"/>
                <w:szCs w:val="22"/>
              </w:rPr>
              <w:t>System</w:t>
            </w:r>
            <w:r w:rsidRPr="00F57777">
              <w:rPr>
                <w:b/>
                <w:bCs/>
                <w:spacing w:val="-4"/>
                <w:sz w:val="22"/>
                <w:szCs w:val="22"/>
              </w:rPr>
              <w:t xml:space="preserve"> </w:t>
            </w:r>
            <w:r w:rsidRPr="00F57777">
              <w:rPr>
                <w:b/>
                <w:bCs/>
                <w:sz w:val="22"/>
                <w:szCs w:val="22"/>
              </w:rPr>
              <w:t>and</w:t>
            </w:r>
            <w:r w:rsidRPr="00F57777">
              <w:rPr>
                <w:b/>
                <w:bCs/>
                <w:spacing w:val="-2"/>
                <w:sz w:val="22"/>
                <w:szCs w:val="22"/>
              </w:rPr>
              <w:t xml:space="preserve"> </w:t>
            </w:r>
            <w:r w:rsidRPr="00F57777">
              <w:rPr>
                <w:b/>
                <w:bCs/>
                <w:sz w:val="22"/>
                <w:szCs w:val="22"/>
              </w:rPr>
              <w:t>Breast</w:t>
            </w:r>
            <w:r w:rsidR="00F57777">
              <w:rPr>
                <w:b/>
                <w:bCs/>
                <w:sz w:val="22"/>
                <w:szCs w:val="22"/>
              </w:rPr>
              <w:t xml:space="preserve"> </w:t>
            </w:r>
            <w:r w:rsidRPr="00F57777">
              <w:rPr>
                <w:b/>
                <w:bCs/>
                <w:sz w:val="22"/>
                <w:szCs w:val="22"/>
              </w:rPr>
              <w:t>Disorders</w:t>
            </w:r>
          </w:p>
        </w:tc>
        <w:tc>
          <w:tcPr>
            <w:tcW w:w="1068" w:type="pct"/>
            <w:tcBorders>
              <w:top w:val="single" w:sz="4" w:space="0" w:color="000000"/>
              <w:left w:val="single" w:sz="4" w:space="0" w:color="000000"/>
              <w:bottom w:val="single" w:sz="4" w:space="0" w:color="000000"/>
              <w:right w:val="single" w:sz="4" w:space="0" w:color="000000"/>
            </w:tcBorders>
            <w:hideMark/>
          </w:tcPr>
          <w:p w14:paraId="22895452"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Erectile</w:t>
            </w:r>
            <w:r w:rsidRPr="00F57777">
              <w:rPr>
                <w:spacing w:val="-5"/>
                <w:sz w:val="22"/>
                <w:szCs w:val="22"/>
              </w:rPr>
              <w:t xml:space="preserve"> </w:t>
            </w:r>
            <w:r w:rsidRPr="00F57777">
              <w:rPr>
                <w:sz w:val="22"/>
                <w:szCs w:val="22"/>
              </w:rPr>
              <w:t>dysfunction</w:t>
            </w:r>
          </w:p>
        </w:tc>
        <w:tc>
          <w:tcPr>
            <w:tcW w:w="992" w:type="pct"/>
            <w:tcBorders>
              <w:top w:val="single" w:sz="4" w:space="0" w:color="000000"/>
              <w:left w:val="single" w:sz="4" w:space="0" w:color="000000"/>
              <w:bottom w:val="single" w:sz="4" w:space="0" w:color="000000"/>
              <w:right w:val="single" w:sz="4" w:space="0" w:color="000000"/>
            </w:tcBorders>
            <w:hideMark/>
          </w:tcPr>
          <w:p w14:paraId="0974817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Not</w:t>
            </w:r>
            <w:r w:rsidRPr="00F57777">
              <w:rPr>
                <w:spacing w:val="-2"/>
                <w:sz w:val="22"/>
                <w:szCs w:val="22"/>
              </w:rPr>
              <w:t xml:space="preserve"> </w:t>
            </w:r>
            <w:r w:rsidRPr="00F57777">
              <w:rPr>
                <w:sz w:val="22"/>
                <w:szCs w:val="22"/>
              </w:rPr>
              <w:t>applicable</w:t>
            </w:r>
          </w:p>
        </w:tc>
        <w:tc>
          <w:tcPr>
            <w:tcW w:w="992" w:type="pct"/>
            <w:tcBorders>
              <w:top w:val="single" w:sz="4" w:space="0" w:color="000000"/>
              <w:left w:val="single" w:sz="4" w:space="0" w:color="000000"/>
              <w:bottom w:val="single" w:sz="4" w:space="0" w:color="000000"/>
              <w:right w:val="single" w:sz="4" w:space="0" w:color="000000"/>
            </w:tcBorders>
            <w:hideMark/>
          </w:tcPr>
          <w:p w14:paraId="55987EF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564C7CE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0C8D8896" w14:textId="77777777" w:rsidTr="00EC2189">
        <w:trPr>
          <w:trHeight w:val="223"/>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76D6B951" w14:textId="77777777" w:rsidR="002746A7" w:rsidRPr="00F57777" w:rsidRDefault="002746A7" w:rsidP="00F57777">
            <w:pPr>
              <w:pStyle w:val="TableParagraph"/>
              <w:kinsoku w:val="0"/>
              <w:overflowPunct w:val="0"/>
              <w:spacing w:line="240" w:lineRule="auto"/>
              <w:ind w:right="72"/>
              <w:rPr>
                <w:b/>
                <w:bCs/>
                <w:sz w:val="22"/>
                <w:szCs w:val="22"/>
              </w:rPr>
            </w:pPr>
            <w:r w:rsidRPr="00F57777">
              <w:rPr>
                <w:b/>
                <w:bCs/>
                <w:sz w:val="22"/>
                <w:szCs w:val="22"/>
              </w:rPr>
              <w:t>General Disorders</w:t>
            </w:r>
            <w:r w:rsidRPr="00F57777">
              <w:rPr>
                <w:b/>
                <w:bCs/>
                <w:spacing w:val="1"/>
                <w:sz w:val="22"/>
                <w:szCs w:val="22"/>
              </w:rPr>
              <w:t xml:space="preserve"> </w:t>
            </w:r>
            <w:r w:rsidRPr="00F57777">
              <w:rPr>
                <w:b/>
                <w:bCs/>
                <w:sz w:val="22"/>
                <w:szCs w:val="22"/>
              </w:rPr>
              <w:t>and Administration</w:t>
            </w:r>
            <w:r w:rsidRPr="00F57777">
              <w:rPr>
                <w:b/>
                <w:bCs/>
                <w:spacing w:val="-46"/>
                <w:sz w:val="22"/>
                <w:szCs w:val="22"/>
              </w:rPr>
              <w:t xml:space="preserve"> </w:t>
            </w:r>
            <w:r w:rsidRPr="00F57777">
              <w:rPr>
                <w:b/>
                <w:bCs/>
                <w:sz w:val="22"/>
                <w:szCs w:val="22"/>
              </w:rPr>
              <w:t>Site</w:t>
            </w:r>
            <w:r w:rsidRPr="00F57777">
              <w:rPr>
                <w:b/>
                <w:bCs/>
                <w:spacing w:val="-1"/>
                <w:sz w:val="22"/>
                <w:szCs w:val="22"/>
              </w:rPr>
              <w:t xml:space="preserve"> </w:t>
            </w:r>
            <w:r w:rsidRPr="00F57777">
              <w:rPr>
                <w:b/>
                <w:bCs/>
                <w:sz w:val="22"/>
                <w:szCs w:val="22"/>
              </w:rPr>
              <w:t>Conditions</w:t>
            </w:r>
          </w:p>
        </w:tc>
        <w:tc>
          <w:tcPr>
            <w:tcW w:w="1068" w:type="pct"/>
            <w:tcBorders>
              <w:top w:val="single" w:sz="4" w:space="0" w:color="000000"/>
              <w:left w:val="single" w:sz="4" w:space="0" w:color="000000"/>
              <w:bottom w:val="single" w:sz="4" w:space="0" w:color="000000"/>
              <w:right w:val="single" w:sz="4" w:space="0" w:color="000000"/>
            </w:tcBorders>
            <w:hideMark/>
          </w:tcPr>
          <w:p w14:paraId="269059AE"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Chest</w:t>
            </w:r>
            <w:r w:rsidRPr="00F57777">
              <w:rPr>
                <w:spacing w:val="-1"/>
                <w:sz w:val="22"/>
                <w:szCs w:val="22"/>
              </w:rPr>
              <w:t xml:space="preserve"> </w:t>
            </w:r>
            <w:r w:rsidRPr="00F57777">
              <w:rPr>
                <w:sz w:val="22"/>
                <w:szCs w:val="22"/>
              </w:rPr>
              <w:t>Pain</w:t>
            </w:r>
          </w:p>
        </w:tc>
        <w:tc>
          <w:tcPr>
            <w:tcW w:w="992" w:type="pct"/>
            <w:tcBorders>
              <w:top w:val="single" w:sz="4" w:space="0" w:color="000000"/>
              <w:left w:val="single" w:sz="4" w:space="0" w:color="000000"/>
              <w:bottom w:val="single" w:sz="4" w:space="0" w:color="000000"/>
              <w:right w:val="single" w:sz="4" w:space="0" w:color="000000"/>
            </w:tcBorders>
            <w:hideMark/>
          </w:tcPr>
          <w:p w14:paraId="0ACD286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7B94AA9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11628B7A"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2E07AEE1"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2CBD9DFD"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0162AEEF"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Irritability</w:t>
            </w:r>
          </w:p>
        </w:tc>
        <w:tc>
          <w:tcPr>
            <w:tcW w:w="992" w:type="pct"/>
            <w:tcBorders>
              <w:top w:val="single" w:sz="4" w:space="0" w:color="000000"/>
              <w:left w:val="single" w:sz="4" w:space="0" w:color="000000"/>
              <w:bottom w:val="single" w:sz="4" w:space="0" w:color="000000"/>
              <w:right w:val="single" w:sz="4" w:space="0" w:color="000000"/>
            </w:tcBorders>
            <w:hideMark/>
          </w:tcPr>
          <w:p w14:paraId="41DDA6E5"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6F586F2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2EAC961D"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73265AF2"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77CCA721"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0134A271"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Fatigue</w:t>
            </w:r>
          </w:p>
        </w:tc>
        <w:tc>
          <w:tcPr>
            <w:tcW w:w="992" w:type="pct"/>
            <w:tcBorders>
              <w:top w:val="single" w:sz="4" w:space="0" w:color="000000"/>
              <w:left w:val="single" w:sz="4" w:space="0" w:color="000000"/>
              <w:bottom w:val="single" w:sz="4" w:space="0" w:color="000000"/>
              <w:right w:val="single" w:sz="4" w:space="0" w:color="000000"/>
            </w:tcBorders>
            <w:hideMark/>
          </w:tcPr>
          <w:p w14:paraId="5B48697E"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0403F99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2789F91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6E0B71C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217BE376"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28D1EEED"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Feeling</w:t>
            </w:r>
            <w:r w:rsidRPr="00F57777">
              <w:rPr>
                <w:spacing w:val="-5"/>
                <w:sz w:val="22"/>
                <w:szCs w:val="22"/>
              </w:rPr>
              <w:t xml:space="preserve"> </w:t>
            </w:r>
            <w:r w:rsidRPr="00F57777">
              <w:rPr>
                <w:sz w:val="22"/>
                <w:szCs w:val="22"/>
              </w:rPr>
              <w:t>jittery</w:t>
            </w:r>
          </w:p>
        </w:tc>
        <w:tc>
          <w:tcPr>
            <w:tcW w:w="992" w:type="pct"/>
            <w:tcBorders>
              <w:top w:val="single" w:sz="4" w:space="0" w:color="000000"/>
              <w:left w:val="single" w:sz="4" w:space="0" w:color="000000"/>
              <w:bottom w:val="single" w:sz="4" w:space="0" w:color="000000"/>
              <w:right w:val="single" w:sz="4" w:space="0" w:color="000000"/>
            </w:tcBorders>
            <w:hideMark/>
          </w:tcPr>
          <w:p w14:paraId="18C7B166"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3FED4B7B"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0D7574B8"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6749C86F"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481A1087"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2AF8EE79"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Pyrexia</w:t>
            </w:r>
          </w:p>
        </w:tc>
        <w:tc>
          <w:tcPr>
            <w:tcW w:w="992" w:type="pct"/>
            <w:tcBorders>
              <w:top w:val="single" w:sz="4" w:space="0" w:color="000000"/>
              <w:left w:val="single" w:sz="4" w:space="0" w:color="000000"/>
              <w:bottom w:val="single" w:sz="4" w:space="0" w:color="000000"/>
              <w:right w:val="single" w:sz="4" w:space="0" w:color="000000"/>
            </w:tcBorders>
            <w:hideMark/>
          </w:tcPr>
          <w:p w14:paraId="2AE1733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260E0E53"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04485DF9"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r>
      <w:tr w:rsidR="002746A7" w:rsidRPr="002177D4" w14:paraId="400F36A0" w14:textId="77777777" w:rsidTr="00EC2189">
        <w:trPr>
          <w:trHeight w:val="446"/>
        </w:trPr>
        <w:tc>
          <w:tcPr>
            <w:tcW w:w="946" w:type="pct"/>
            <w:vMerge w:val="restart"/>
            <w:tcBorders>
              <w:top w:val="single" w:sz="4" w:space="0" w:color="000000"/>
              <w:left w:val="single" w:sz="4" w:space="0" w:color="000000"/>
              <w:bottom w:val="single" w:sz="4" w:space="0" w:color="000000"/>
              <w:right w:val="single" w:sz="4" w:space="0" w:color="000000"/>
            </w:tcBorders>
            <w:hideMark/>
          </w:tcPr>
          <w:p w14:paraId="149B4642" w14:textId="77777777" w:rsidR="002746A7" w:rsidRPr="00F57777" w:rsidRDefault="002746A7" w:rsidP="00F57777">
            <w:pPr>
              <w:pStyle w:val="TableParagraph"/>
              <w:kinsoku w:val="0"/>
              <w:overflowPunct w:val="0"/>
              <w:spacing w:line="240" w:lineRule="auto"/>
              <w:rPr>
                <w:b/>
                <w:bCs/>
                <w:sz w:val="22"/>
                <w:szCs w:val="22"/>
              </w:rPr>
            </w:pPr>
            <w:r w:rsidRPr="00F57777">
              <w:rPr>
                <w:b/>
                <w:bCs/>
                <w:sz w:val="22"/>
                <w:szCs w:val="22"/>
              </w:rPr>
              <w:t>Investigations</w:t>
            </w:r>
          </w:p>
        </w:tc>
        <w:tc>
          <w:tcPr>
            <w:tcW w:w="1068" w:type="pct"/>
            <w:tcBorders>
              <w:top w:val="single" w:sz="4" w:space="0" w:color="000000"/>
              <w:left w:val="single" w:sz="4" w:space="0" w:color="000000"/>
              <w:bottom w:val="single" w:sz="4" w:space="0" w:color="000000"/>
              <w:right w:val="single" w:sz="4" w:space="0" w:color="000000"/>
            </w:tcBorders>
            <w:hideMark/>
          </w:tcPr>
          <w:p w14:paraId="23E31617"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Blood pressure</w:t>
            </w:r>
          </w:p>
          <w:p w14:paraId="59D3281A"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increased</w:t>
            </w:r>
          </w:p>
        </w:tc>
        <w:tc>
          <w:tcPr>
            <w:tcW w:w="992" w:type="pct"/>
            <w:tcBorders>
              <w:top w:val="single" w:sz="4" w:space="0" w:color="000000"/>
              <w:left w:val="single" w:sz="4" w:space="0" w:color="000000"/>
              <w:bottom w:val="single" w:sz="4" w:space="0" w:color="000000"/>
              <w:right w:val="single" w:sz="4" w:space="0" w:color="000000"/>
            </w:tcBorders>
            <w:hideMark/>
          </w:tcPr>
          <w:p w14:paraId="14B64CA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992" w:type="pct"/>
            <w:tcBorders>
              <w:top w:val="single" w:sz="4" w:space="0" w:color="000000"/>
              <w:left w:val="single" w:sz="4" w:space="0" w:color="000000"/>
              <w:bottom w:val="single" w:sz="4" w:space="0" w:color="000000"/>
              <w:right w:val="single" w:sz="4" w:space="0" w:color="000000"/>
            </w:tcBorders>
            <w:hideMark/>
          </w:tcPr>
          <w:p w14:paraId="30A883E2"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Uncommon</w:t>
            </w:r>
          </w:p>
        </w:tc>
        <w:tc>
          <w:tcPr>
            <w:tcW w:w="1001" w:type="pct"/>
            <w:tcBorders>
              <w:top w:val="single" w:sz="4" w:space="0" w:color="000000"/>
              <w:left w:val="single" w:sz="4" w:space="0" w:color="000000"/>
              <w:bottom w:val="single" w:sz="4" w:space="0" w:color="000000"/>
              <w:right w:val="single" w:sz="4" w:space="0" w:color="000000"/>
            </w:tcBorders>
            <w:hideMark/>
          </w:tcPr>
          <w:p w14:paraId="4BD83251"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r w:rsidR="002746A7" w:rsidRPr="002177D4" w14:paraId="6326FD8C" w14:textId="77777777" w:rsidTr="00EC2189">
        <w:trPr>
          <w:trHeight w:val="223"/>
        </w:trPr>
        <w:tc>
          <w:tcPr>
            <w:tcW w:w="946" w:type="pct"/>
            <w:vMerge/>
            <w:tcBorders>
              <w:top w:val="single" w:sz="4" w:space="0" w:color="000000"/>
              <w:left w:val="single" w:sz="4" w:space="0" w:color="000000"/>
              <w:bottom w:val="single" w:sz="4" w:space="0" w:color="000000"/>
              <w:right w:val="single" w:sz="4" w:space="0" w:color="000000"/>
            </w:tcBorders>
            <w:vAlign w:val="center"/>
            <w:hideMark/>
          </w:tcPr>
          <w:p w14:paraId="22AF72DE" w14:textId="77777777" w:rsidR="002746A7" w:rsidRPr="00F57777" w:rsidRDefault="002746A7" w:rsidP="00F57777">
            <w:pPr>
              <w:rPr>
                <w:b/>
                <w:bCs/>
                <w:sz w:val="22"/>
                <w:szCs w:val="22"/>
                <w:lang w:val="en-US" w:eastAsia="en-US"/>
              </w:rPr>
            </w:pPr>
          </w:p>
        </w:tc>
        <w:tc>
          <w:tcPr>
            <w:tcW w:w="1068" w:type="pct"/>
            <w:tcBorders>
              <w:top w:val="single" w:sz="4" w:space="0" w:color="000000"/>
              <w:left w:val="single" w:sz="4" w:space="0" w:color="000000"/>
              <w:bottom w:val="single" w:sz="4" w:space="0" w:color="000000"/>
              <w:right w:val="single" w:sz="4" w:space="0" w:color="000000"/>
            </w:tcBorders>
            <w:hideMark/>
          </w:tcPr>
          <w:p w14:paraId="3FD660DA" w14:textId="77777777" w:rsidR="002746A7" w:rsidRPr="00F57777" w:rsidRDefault="002746A7" w:rsidP="00F57777">
            <w:pPr>
              <w:pStyle w:val="TableParagraph"/>
              <w:kinsoku w:val="0"/>
              <w:overflowPunct w:val="0"/>
              <w:spacing w:line="240" w:lineRule="auto"/>
              <w:ind w:left="57"/>
              <w:rPr>
                <w:sz w:val="22"/>
                <w:szCs w:val="22"/>
              </w:rPr>
            </w:pPr>
            <w:r w:rsidRPr="00F57777">
              <w:rPr>
                <w:sz w:val="22"/>
                <w:szCs w:val="22"/>
              </w:rPr>
              <w:t>Weight</w:t>
            </w:r>
            <w:r w:rsidRPr="00F57777">
              <w:rPr>
                <w:spacing w:val="-5"/>
                <w:sz w:val="22"/>
                <w:szCs w:val="22"/>
              </w:rPr>
              <w:t xml:space="preserve"> </w:t>
            </w:r>
            <w:r w:rsidRPr="00F57777">
              <w:rPr>
                <w:sz w:val="22"/>
                <w:szCs w:val="22"/>
              </w:rPr>
              <w:t>decreased*</w:t>
            </w:r>
          </w:p>
        </w:tc>
        <w:tc>
          <w:tcPr>
            <w:tcW w:w="992" w:type="pct"/>
            <w:tcBorders>
              <w:top w:val="single" w:sz="4" w:space="0" w:color="000000"/>
              <w:left w:val="single" w:sz="4" w:space="0" w:color="000000"/>
              <w:bottom w:val="single" w:sz="4" w:space="0" w:color="000000"/>
              <w:right w:val="single" w:sz="4" w:space="0" w:color="000000"/>
            </w:tcBorders>
            <w:hideMark/>
          </w:tcPr>
          <w:p w14:paraId="1E4E597F"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c>
          <w:tcPr>
            <w:tcW w:w="992" w:type="pct"/>
            <w:tcBorders>
              <w:top w:val="single" w:sz="4" w:space="0" w:color="000000"/>
              <w:left w:val="single" w:sz="4" w:space="0" w:color="000000"/>
              <w:bottom w:val="single" w:sz="4" w:space="0" w:color="000000"/>
              <w:right w:val="single" w:sz="4" w:space="0" w:color="000000"/>
            </w:tcBorders>
            <w:hideMark/>
          </w:tcPr>
          <w:p w14:paraId="3ECC2FDC"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Very</w:t>
            </w:r>
            <w:r w:rsidRPr="00F57777">
              <w:rPr>
                <w:spacing w:val="-9"/>
                <w:sz w:val="22"/>
                <w:szCs w:val="22"/>
              </w:rPr>
              <w:t xml:space="preserve"> </w:t>
            </w:r>
            <w:r w:rsidRPr="00F57777">
              <w:rPr>
                <w:sz w:val="22"/>
                <w:szCs w:val="22"/>
              </w:rPr>
              <w:t>Common</w:t>
            </w:r>
          </w:p>
        </w:tc>
        <w:tc>
          <w:tcPr>
            <w:tcW w:w="1001" w:type="pct"/>
            <w:tcBorders>
              <w:top w:val="single" w:sz="4" w:space="0" w:color="000000"/>
              <w:left w:val="single" w:sz="4" w:space="0" w:color="000000"/>
              <w:bottom w:val="single" w:sz="4" w:space="0" w:color="000000"/>
              <w:right w:val="single" w:sz="4" w:space="0" w:color="000000"/>
            </w:tcBorders>
            <w:hideMark/>
          </w:tcPr>
          <w:p w14:paraId="3A54D2C7" w14:textId="77777777" w:rsidR="002746A7" w:rsidRPr="00F57777" w:rsidRDefault="002746A7" w:rsidP="00F57777">
            <w:pPr>
              <w:pStyle w:val="TableParagraph"/>
              <w:kinsoku w:val="0"/>
              <w:overflowPunct w:val="0"/>
              <w:spacing w:line="240" w:lineRule="auto"/>
              <w:rPr>
                <w:sz w:val="22"/>
                <w:szCs w:val="22"/>
              </w:rPr>
            </w:pPr>
            <w:r w:rsidRPr="00F57777">
              <w:rPr>
                <w:sz w:val="22"/>
                <w:szCs w:val="22"/>
              </w:rPr>
              <w:t>Common</w:t>
            </w:r>
          </w:p>
        </w:tc>
      </w:tr>
    </w:tbl>
    <w:p w14:paraId="69D9DB38" w14:textId="77777777" w:rsidR="002746A7" w:rsidRPr="004D7D2F" w:rsidRDefault="002746A7" w:rsidP="002746A7">
      <w:pPr>
        <w:pStyle w:val="Default"/>
        <w:rPr>
          <w:i/>
          <w:color w:val="auto"/>
          <w:lang w:val="en-GB"/>
        </w:rPr>
      </w:pPr>
    </w:p>
    <w:p w14:paraId="65BBDABE" w14:textId="77777777" w:rsidR="002746A7" w:rsidRPr="004D7D2F" w:rsidRDefault="002746A7" w:rsidP="00EC2189">
      <w:pPr>
        <w:ind w:left="851"/>
        <w:rPr>
          <w:sz w:val="24"/>
          <w:szCs w:val="24"/>
          <w:u w:val="single"/>
          <w:lang w:val="en-GB"/>
        </w:rPr>
      </w:pPr>
      <w:r w:rsidRPr="004D7D2F">
        <w:rPr>
          <w:sz w:val="24"/>
          <w:szCs w:val="24"/>
          <w:u w:val="single"/>
          <w:lang w:val="en-GB"/>
        </w:rPr>
        <w:t>Description of selected adverse reactions</w:t>
      </w:r>
    </w:p>
    <w:p w14:paraId="72C39E56" w14:textId="77777777" w:rsidR="002746A7" w:rsidRPr="002177D4" w:rsidRDefault="002746A7" w:rsidP="00EC2189">
      <w:pPr>
        <w:ind w:left="851"/>
        <w:rPr>
          <w:sz w:val="24"/>
          <w:szCs w:val="24"/>
          <w:lang w:val="en-GB"/>
        </w:rPr>
      </w:pPr>
    </w:p>
    <w:p w14:paraId="559E37FC" w14:textId="77777777" w:rsidR="002746A7" w:rsidRPr="002177D4" w:rsidRDefault="002746A7" w:rsidP="00EC2189">
      <w:pPr>
        <w:ind w:left="851"/>
        <w:rPr>
          <w:i/>
          <w:sz w:val="24"/>
          <w:szCs w:val="24"/>
          <w:lang w:val="en-GB"/>
        </w:rPr>
      </w:pPr>
      <w:r w:rsidRPr="002177D4">
        <w:rPr>
          <w:i/>
          <w:sz w:val="24"/>
          <w:szCs w:val="24"/>
          <w:lang w:val="en-GB"/>
        </w:rPr>
        <w:t>Insomnia</w:t>
      </w:r>
    </w:p>
    <w:p w14:paraId="31D6AA5F" w14:textId="77777777" w:rsidR="002746A7" w:rsidRPr="002177D4" w:rsidRDefault="002746A7" w:rsidP="00EC2189">
      <w:pPr>
        <w:ind w:left="851"/>
        <w:rPr>
          <w:sz w:val="24"/>
          <w:szCs w:val="24"/>
          <w:lang w:val="en-GB"/>
        </w:rPr>
      </w:pPr>
    </w:p>
    <w:p w14:paraId="1352C09A" w14:textId="77777777" w:rsidR="002746A7" w:rsidRPr="002177D4" w:rsidRDefault="002746A7" w:rsidP="00EC2189">
      <w:pPr>
        <w:ind w:left="851"/>
        <w:rPr>
          <w:sz w:val="24"/>
          <w:szCs w:val="24"/>
          <w:lang w:val="en-GB"/>
        </w:rPr>
      </w:pPr>
      <w:r w:rsidRPr="002177D4">
        <w:rPr>
          <w:sz w:val="24"/>
          <w:szCs w:val="24"/>
          <w:lang w:val="en-GB"/>
        </w:rPr>
        <w:t>Includes insomnia, initial insomnia, middle insomnia, and terminal insomnia.</w:t>
      </w:r>
    </w:p>
    <w:p w14:paraId="68B38F5C" w14:textId="77777777" w:rsidR="002746A7" w:rsidRPr="002177D4" w:rsidRDefault="002746A7" w:rsidP="00EC2189">
      <w:pPr>
        <w:ind w:left="851"/>
        <w:rPr>
          <w:sz w:val="24"/>
          <w:szCs w:val="24"/>
          <w:lang w:val="en-GB"/>
        </w:rPr>
      </w:pPr>
    </w:p>
    <w:p w14:paraId="4B8FBE33" w14:textId="77777777" w:rsidR="002746A7" w:rsidRPr="002E15A9" w:rsidRDefault="002746A7" w:rsidP="00EC2189">
      <w:pPr>
        <w:ind w:left="851"/>
        <w:rPr>
          <w:i/>
          <w:iCs/>
          <w:sz w:val="24"/>
          <w:szCs w:val="24"/>
          <w:lang w:val="en-US"/>
        </w:rPr>
      </w:pPr>
      <w:r w:rsidRPr="002E15A9">
        <w:rPr>
          <w:i/>
          <w:iCs/>
          <w:sz w:val="24"/>
          <w:szCs w:val="24"/>
          <w:lang w:val="en-US"/>
        </w:rPr>
        <w:t xml:space="preserve">Weight decreased in Paediatric population </w:t>
      </w:r>
    </w:p>
    <w:p w14:paraId="64807514" w14:textId="77777777" w:rsidR="002746A7" w:rsidRPr="002E15A9" w:rsidRDefault="002746A7" w:rsidP="00EC2189">
      <w:pPr>
        <w:ind w:left="851"/>
        <w:rPr>
          <w:sz w:val="24"/>
          <w:szCs w:val="24"/>
          <w:lang w:val="en-US"/>
        </w:rPr>
      </w:pPr>
    </w:p>
    <w:p w14:paraId="2F187634" w14:textId="77777777" w:rsidR="002746A7" w:rsidRPr="002E15A9" w:rsidRDefault="002746A7" w:rsidP="00EC2189">
      <w:pPr>
        <w:ind w:left="851"/>
        <w:rPr>
          <w:sz w:val="24"/>
          <w:szCs w:val="24"/>
          <w:lang w:val="en-US"/>
        </w:rPr>
      </w:pPr>
      <w:r w:rsidRPr="002E15A9">
        <w:rPr>
          <w:sz w:val="24"/>
          <w:szCs w:val="24"/>
          <w:lang w:val="en-US"/>
        </w:rPr>
        <w:t xml:space="preserve">In a 4-week controlled trial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in children aged 6 to 12 years, mean weight loss from baseline to endpoint was 0.4, 0.9, and 1.1 kg, for patients assigned to receive 30 mg, 50 mg, and 70 mg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respectively, compared to a 0.5 kg weight gain for patients receiving placebo. Higher doses were associated with greater weight loss with 4 weeks of treatment. Careful follow-up for weight in children aged 6 to 12 years who received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over 12 months suggests that continuous treatment (i.e., treatment for 7 days per week throughout the year) slows growth rate measured by body weight as demonstrated by an age- and sex-</w:t>
      </w:r>
      <w:proofErr w:type="spellStart"/>
      <w:r w:rsidRPr="002E15A9">
        <w:rPr>
          <w:sz w:val="24"/>
          <w:szCs w:val="24"/>
          <w:lang w:val="en-US"/>
        </w:rPr>
        <w:t>normalised</w:t>
      </w:r>
      <w:proofErr w:type="spellEnd"/>
      <w:r w:rsidRPr="002E15A9">
        <w:rPr>
          <w:sz w:val="24"/>
          <w:szCs w:val="24"/>
          <w:lang w:val="en-US"/>
        </w:rPr>
        <w:t xml:space="preserve"> mean change from baseline in percentile of -13.4 over 1 year. The average percentiles at baseline (n=271) and 12 months (n=146) were 60.9 and 47.2, respectively. </w:t>
      </w:r>
    </w:p>
    <w:p w14:paraId="587B7EFB" w14:textId="77777777" w:rsidR="002746A7" w:rsidRPr="002E15A9" w:rsidRDefault="002746A7" w:rsidP="00EC2189">
      <w:pPr>
        <w:ind w:left="851"/>
        <w:rPr>
          <w:sz w:val="24"/>
          <w:szCs w:val="24"/>
          <w:lang w:val="en-US"/>
        </w:rPr>
      </w:pPr>
    </w:p>
    <w:p w14:paraId="14C35813" w14:textId="77777777" w:rsidR="002746A7" w:rsidRPr="002E15A9" w:rsidRDefault="002746A7" w:rsidP="00EC2189">
      <w:pPr>
        <w:ind w:left="851"/>
        <w:rPr>
          <w:sz w:val="24"/>
          <w:szCs w:val="24"/>
          <w:lang w:val="en-US"/>
        </w:rPr>
      </w:pPr>
      <w:r w:rsidRPr="002E15A9">
        <w:rPr>
          <w:sz w:val="24"/>
          <w:szCs w:val="24"/>
          <w:lang w:val="en-US"/>
        </w:rPr>
        <w:t xml:space="preserve">In a 4-week controlled trial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in adolescents aged 13 to 17 years, mean weight loss from baseline to endpoint was 1.2, 1.9, and 2.3 kg for patients assigned to receive 30 mg, 50 mg, and 70 mg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respectively, compared to a 0.9 kg weight gain for patients receiving placebo. Careful follow-up for weight in adolescents aged 13 to 17 years who received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over 12 months suggests that continuous treatment (i.e., treatment for 7 days per week throughout the year) slows growth rate measured by body weight as demonstrated by an age- and sex-</w:t>
      </w:r>
      <w:proofErr w:type="spellStart"/>
      <w:r w:rsidRPr="002E15A9">
        <w:rPr>
          <w:sz w:val="24"/>
          <w:szCs w:val="24"/>
          <w:lang w:val="en-US"/>
        </w:rPr>
        <w:t>normalised</w:t>
      </w:r>
      <w:proofErr w:type="spellEnd"/>
      <w:r w:rsidRPr="002E15A9">
        <w:rPr>
          <w:sz w:val="24"/>
          <w:szCs w:val="24"/>
          <w:lang w:val="en-US"/>
        </w:rPr>
        <w:t xml:space="preserve"> mean change from baseline in percentile of -6.5 over 1 year. The average percentiles at baseline (n=265) and 12 months (n=156) were 66.0 and 61.5, respectively. </w:t>
      </w:r>
    </w:p>
    <w:p w14:paraId="2516922B" w14:textId="77777777" w:rsidR="002746A7" w:rsidRPr="002E15A9" w:rsidRDefault="002746A7" w:rsidP="00EC2189">
      <w:pPr>
        <w:ind w:left="851"/>
        <w:rPr>
          <w:sz w:val="24"/>
          <w:szCs w:val="24"/>
          <w:lang w:val="en-US"/>
        </w:rPr>
      </w:pPr>
    </w:p>
    <w:p w14:paraId="6DF2371D" w14:textId="77777777" w:rsidR="002746A7" w:rsidRPr="002E15A9" w:rsidRDefault="002746A7" w:rsidP="00EC2189">
      <w:pPr>
        <w:ind w:left="851"/>
        <w:rPr>
          <w:sz w:val="24"/>
          <w:szCs w:val="24"/>
          <w:lang w:val="en-US"/>
        </w:rPr>
      </w:pPr>
      <w:r w:rsidRPr="002E15A9">
        <w:rPr>
          <w:sz w:val="24"/>
          <w:szCs w:val="24"/>
          <w:lang w:val="en-US"/>
        </w:rPr>
        <w:t xml:space="preserve">In children and adolescents (aged 6-17) who received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over two years, careful monitoring of weight suggested that consistent medication (i.e., treatment for 7 days per week throughout the two years) resulted in a slowing of growth as measured by body weight. In children and adolescents, the average weight percentiles and standard deviations (SD) at baseline (n=314) and 24 months (week 104, n=189), were 65.4 (SD 27.11) and 48.2 (SD 29.94), respectively. The age- and sex-normalized mean change from baseline in percentile over 2 years was -16.9 (SD 17.33). </w:t>
      </w:r>
    </w:p>
    <w:p w14:paraId="003935EC" w14:textId="77777777" w:rsidR="002746A7" w:rsidRPr="002E15A9" w:rsidRDefault="002746A7" w:rsidP="00EC2189">
      <w:pPr>
        <w:ind w:left="851"/>
        <w:rPr>
          <w:sz w:val="24"/>
          <w:szCs w:val="24"/>
          <w:lang w:val="en-US"/>
        </w:rPr>
      </w:pPr>
    </w:p>
    <w:p w14:paraId="2DD63EE1" w14:textId="77777777" w:rsidR="002746A7" w:rsidRPr="002177D4" w:rsidRDefault="002746A7" w:rsidP="00EC2189">
      <w:pPr>
        <w:ind w:left="851"/>
        <w:rPr>
          <w:sz w:val="24"/>
          <w:szCs w:val="24"/>
          <w:lang w:val="en-GB"/>
        </w:rPr>
      </w:pPr>
      <w:r w:rsidRPr="002E15A9">
        <w:rPr>
          <w:sz w:val="24"/>
          <w:szCs w:val="24"/>
          <w:lang w:val="en-US"/>
        </w:rPr>
        <w:t xml:space="preserve">In a controlled clinical trial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in children ages 4 to 5 years who received 5 – 30 mg of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there were no clinically meaningful changes in weight from baseline after 6 weeks of follow-up. Careful follow-up for weight in children aged 4 to 5 years who received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over 12 months in an open-label extension study suggests that continuous treatment (i.e., treatment for 7 days per week throughout the year) slows growth rate measured by body weight as demonstrated by an age- and sex</w:t>
      </w:r>
      <w:r w:rsidRPr="002E15A9">
        <w:rPr>
          <w:sz w:val="24"/>
          <w:szCs w:val="24"/>
          <w:lang w:val="en-US"/>
        </w:rPr>
        <w:noBreakHyphen/>
      </w:r>
      <w:proofErr w:type="spellStart"/>
      <w:r w:rsidRPr="002E15A9">
        <w:rPr>
          <w:sz w:val="24"/>
          <w:szCs w:val="24"/>
          <w:lang w:val="en-US"/>
        </w:rPr>
        <w:t>normalised</w:t>
      </w:r>
      <w:proofErr w:type="spellEnd"/>
      <w:r w:rsidRPr="002E15A9">
        <w:rPr>
          <w:sz w:val="24"/>
          <w:szCs w:val="24"/>
          <w:lang w:val="en-US"/>
        </w:rPr>
        <w:t xml:space="preserve"> mean change from baseline in percentile of -17.92 (SD=13.767) over 1 year. The average percentiles at baseline (n=113) and 12 months (n=69) were 66.51 (SD=25.173) and 47.45 (SD=26.144), respectively.</w:t>
      </w:r>
    </w:p>
    <w:p w14:paraId="0F3714A9" w14:textId="77777777" w:rsidR="002746A7" w:rsidRPr="002177D4" w:rsidRDefault="002746A7" w:rsidP="00EC2189">
      <w:pPr>
        <w:ind w:left="851"/>
        <w:rPr>
          <w:i/>
          <w:sz w:val="24"/>
          <w:szCs w:val="24"/>
          <w:lang w:val="en-GB"/>
        </w:rPr>
      </w:pPr>
    </w:p>
    <w:p w14:paraId="4F204DDE" w14:textId="77777777" w:rsidR="002746A7" w:rsidRPr="002177D4" w:rsidRDefault="002746A7" w:rsidP="00EC2189">
      <w:pPr>
        <w:ind w:left="851"/>
        <w:rPr>
          <w:i/>
          <w:sz w:val="24"/>
          <w:szCs w:val="24"/>
          <w:lang w:val="en-GB"/>
        </w:rPr>
      </w:pPr>
      <w:r w:rsidRPr="002177D4">
        <w:rPr>
          <w:i/>
          <w:sz w:val="24"/>
          <w:szCs w:val="24"/>
          <w:lang w:val="en-GB"/>
        </w:rPr>
        <w:t>Eosinophilic hepatitis</w:t>
      </w:r>
    </w:p>
    <w:p w14:paraId="25581983" w14:textId="77777777" w:rsidR="002746A7" w:rsidRPr="002177D4" w:rsidRDefault="002746A7" w:rsidP="00EC2189">
      <w:pPr>
        <w:ind w:left="851"/>
        <w:rPr>
          <w:sz w:val="24"/>
          <w:szCs w:val="24"/>
          <w:lang w:val="en-GB"/>
        </w:rPr>
      </w:pPr>
    </w:p>
    <w:p w14:paraId="3FD78497" w14:textId="77777777" w:rsidR="002746A7" w:rsidRPr="002177D4" w:rsidRDefault="002746A7" w:rsidP="00EC2189">
      <w:pPr>
        <w:ind w:left="851"/>
        <w:rPr>
          <w:sz w:val="24"/>
          <w:szCs w:val="24"/>
          <w:lang w:val="en-GB"/>
        </w:rPr>
      </w:pPr>
      <w:r w:rsidRPr="002177D4">
        <w:rPr>
          <w:sz w:val="24"/>
          <w:szCs w:val="24"/>
          <w:lang w:val="en-GB"/>
        </w:rPr>
        <w:t>No cases were reported in the clinical studies.</w:t>
      </w:r>
    </w:p>
    <w:p w14:paraId="4A067211" w14:textId="77777777" w:rsidR="002746A7" w:rsidRPr="002177D4" w:rsidRDefault="002746A7" w:rsidP="00EC2189">
      <w:pPr>
        <w:ind w:left="851"/>
        <w:rPr>
          <w:sz w:val="24"/>
          <w:szCs w:val="24"/>
          <w:lang w:val="en-GB"/>
        </w:rPr>
      </w:pPr>
    </w:p>
    <w:p w14:paraId="7452CE83" w14:textId="77777777" w:rsidR="002746A7" w:rsidRPr="002177D4" w:rsidRDefault="002746A7" w:rsidP="00EC2189">
      <w:pPr>
        <w:ind w:left="851"/>
        <w:rPr>
          <w:i/>
          <w:sz w:val="24"/>
          <w:szCs w:val="24"/>
          <w:lang w:val="en-GB"/>
        </w:rPr>
      </w:pPr>
      <w:r w:rsidRPr="002177D4">
        <w:rPr>
          <w:i/>
          <w:sz w:val="24"/>
          <w:szCs w:val="24"/>
          <w:lang w:val="en-GB"/>
        </w:rPr>
        <w:t>Angioedema</w:t>
      </w:r>
    </w:p>
    <w:p w14:paraId="27C97DB7" w14:textId="77777777" w:rsidR="002746A7" w:rsidRPr="002177D4" w:rsidRDefault="002746A7" w:rsidP="00EC2189">
      <w:pPr>
        <w:ind w:left="851"/>
        <w:rPr>
          <w:sz w:val="24"/>
          <w:szCs w:val="24"/>
          <w:lang w:val="en-GB"/>
        </w:rPr>
      </w:pPr>
    </w:p>
    <w:p w14:paraId="77E88E59" w14:textId="77777777" w:rsidR="002746A7" w:rsidRPr="002177D4" w:rsidRDefault="002746A7" w:rsidP="00EC2189">
      <w:pPr>
        <w:ind w:left="851"/>
        <w:rPr>
          <w:sz w:val="24"/>
          <w:szCs w:val="24"/>
          <w:lang w:val="en-GB"/>
        </w:rPr>
      </w:pPr>
      <w:r w:rsidRPr="002177D4">
        <w:rPr>
          <w:sz w:val="24"/>
          <w:szCs w:val="24"/>
          <w:lang w:val="en-GB"/>
        </w:rPr>
        <w:t>No cases were reported in the clinical studies.</w:t>
      </w:r>
    </w:p>
    <w:p w14:paraId="2FA9E75E" w14:textId="77777777" w:rsidR="002746A7" w:rsidRPr="002177D4" w:rsidRDefault="002746A7" w:rsidP="00EC2189">
      <w:pPr>
        <w:ind w:left="851"/>
        <w:rPr>
          <w:sz w:val="24"/>
          <w:szCs w:val="24"/>
          <w:lang w:val="en-GB"/>
        </w:rPr>
      </w:pPr>
    </w:p>
    <w:p w14:paraId="241DBE84" w14:textId="77777777" w:rsidR="002746A7" w:rsidRPr="002177D4" w:rsidRDefault="002746A7" w:rsidP="00EC2189">
      <w:pPr>
        <w:ind w:left="851"/>
        <w:rPr>
          <w:i/>
          <w:sz w:val="24"/>
          <w:szCs w:val="24"/>
          <w:lang w:val="en-GB"/>
        </w:rPr>
      </w:pPr>
      <w:r w:rsidRPr="002177D4">
        <w:rPr>
          <w:i/>
          <w:sz w:val="24"/>
          <w:szCs w:val="24"/>
          <w:lang w:val="en-GB"/>
        </w:rPr>
        <w:t>Stevens-Johnson syndrome</w:t>
      </w:r>
    </w:p>
    <w:p w14:paraId="24229EBA" w14:textId="77777777" w:rsidR="002746A7" w:rsidRPr="002177D4" w:rsidRDefault="002746A7" w:rsidP="00EC2189">
      <w:pPr>
        <w:ind w:left="851"/>
        <w:rPr>
          <w:sz w:val="24"/>
          <w:szCs w:val="24"/>
          <w:lang w:val="en-GB"/>
        </w:rPr>
      </w:pPr>
    </w:p>
    <w:p w14:paraId="5F301811" w14:textId="77777777" w:rsidR="002746A7" w:rsidRPr="002177D4" w:rsidRDefault="002746A7" w:rsidP="00EC2189">
      <w:pPr>
        <w:ind w:left="851"/>
        <w:rPr>
          <w:sz w:val="24"/>
          <w:szCs w:val="24"/>
          <w:lang w:val="en-GB"/>
        </w:rPr>
      </w:pPr>
      <w:r w:rsidRPr="002177D4">
        <w:rPr>
          <w:sz w:val="24"/>
          <w:szCs w:val="24"/>
          <w:lang w:val="en-GB"/>
        </w:rPr>
        <w:t>No cases were reported in the clinical studies.</w:t>
      </w:r>
    </w:p>
    <w:p w14:paraId="53181D7D" w14:textId="77777777" w:rsidR="002746A7" w:rsidRPr="002177D4" w:rsidRDefault="002746A7" w:rsidP="00EC2189">
      <w:pPr>
        <w:ind w:left="851"/>
        <w:rPr>
          <w:color w:val="008000"/>
          <w:sz w:val="24"/>
          <w:szCs w:val="24"/>
          <w:lang w:val="en-GB"/>
        </w:rPr>
      </w:pPr>
    </w:p>
    <w:p w14:paraId="5F303207" w14:textId="77777777" w:rsidR="002746A7" w:rsidRPr="002177D4" w:rsidRDefault="002746A7" w:rsidP="00EC2189">
      <w:pPr>
        <w:ind w:left="851"/>
        <w:rPr>
          <w:color w:val="008000"/>
          <w:sz w:val="24"/>
          <w:szCs w:val="24"/>
          <w:lang w:val="en-GB"/>
        </w:rPr>
      </w:pPr>
    </w:p>
    <w:p w14:paraId="4F3D7A3F" w14:textId="77777777" w:rsidR="00D27D11" w:rsidRPr="002177D4" w:rsidRDefault="00D27D11" w:rsidP="00D27D11">
      <w:pPr>
        <w:ind w:left="851"/>
        <w:rPr>
          <w:sz w:val="24"/>
          <w:szCs w:val="24"/>
          <w:u w:val="single"/>
          <w:lang w:val="en-GB"/>
        </w:rPr>
      </w:pPr>
      <w:r w:rsidRPr="002177D4">
        <w:rPr>
          <w:sz w:val="24"/>
          <w:szCs w:val="24"/>
          <w:u w:val="single"/>
          <w:lang w:val="en-GB"/>
        </w:rPr>
        <w:t>Reporting of suspected adverse reactions</w:t>
      </w:r>
    </w:p>
    <w:p w14:paraId="0487A93E" w14:textId="77777777" w:rsidR="00D27D11" w:rsidRPr="002177D4" w:rsidRDefault="00D27D11" w:rsidP="00D27D11">
      <w:pPr>
        <w:ind w:left="851"/>
        <w:rPr>
          <w:sz w:val="24"/>
          <w:szCs w:val="24"/>
          <w:lang w:val="en-GB"/>
        </w:rPr>
      </w:pPr>
      <w:r w:rsidRPr="002177D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37467A5" w14:textId="77777777" w:rsidR="00D27D11" w:rsidRPr="002177D4" w:rsidRDefault="00D27D11" w:rsidP="00D27D11">
      <w:pPr>
        <w:ind w:left="851"/>
        <w:rPr>
          <w:sz w:val="24"/>
          <w:szCs w:val="24"/>
          <w:lang w:val="en-GB"/>
        </w:rPr>
      </w:pPr>
    </w:p>
    <w:p w14:paraId="03B900A8" w14:textId="77777777" w:rsidR="00D27D11" w:rsidRPr="002177D4" w:rsidRDefault="00D27D11" w:rsidP="00D27D11">
      <w:pPr>
        <w:ind w:left="851"/>
        <w:rPr>
          <w:sz w:val="24"/>
          <w:szCs w:val="24"/>
        </w:rPr>
      </w:pPr>
      <w:r w:rsidRPr="002177D4">
        <w:rPr>
          <w:sz w:val="24"/>
          <w:szCs w:val="24"/>
        </w:rPr>
        <w:t>Lægemiddelstyrelsen</w:t>
      </w:r>
    </w:p>
    <w:p w14:paraId="6B5AED18" w14:textId="77777777" w:rsidR="00D27D11" w:rsidRPr="002177D4" w:rsidRDefault="00D27D11" w:rsidP="00D27D11">
      <w:pPr>
        <w:ind w:left="851"/>
        <w:rPr>
          <w:sz w:val="24"/>
          <w:szCs w:val="24"/>
        </w:rPr>
      </w:pPr>
      <w:r w:rsidRPr="002177D4">
        <w:rPr>
          <w:sz w:val="24"/>
          <w:szCs w:val="24"/>
        </w:rPr>
        <w:t>Axel Heides Gade 1</w:t>
      </w:r>
    </w:p>
    <w:p w14:paraId="1A46972D" w14:textId="77777777" w:rsidR="00D27D11" w:rsidRPr="002177D4" w:rsidRDefault="00D27D11" w:rsidP="00D27D11">
      <w:pPr>
        <w:ind w:left="851"/>
        <w:rPr>
          <w:sz w:val="24"/>
          <w:szCs w:val="24"/>
        </w:rPr>
      </w:pPr>
      <w:r w:rsidRPr="002177D4">
        <w:rPr>
          <w:sz w:val="24"/>
          <w:szCs w:val="24"/>
        </w:rPr>
        <w:t>DK-2300 København S</w:t>
      </w:r>
    </w:p>
    <w:p w14:paraId="21224ABA" w14:textId="77777777" w:rsidR="00D27D11" w:rsidRPr="002E15A9" w:rsidRDefault="00D27D11" w:rsidP="00D27D11">
      <w:pPr>
        <w:ind w:left="851"/>
        <w:rPr>
          <w:sz w:val="24"/>
          <w:szCs w:val="24"/>
          <w:lang w:val="en-US"/>
        </w:rPr>
      </w:pPr>
      <w:r w:rsidRPr="002E15A9">
        <w:rPr>
          <w:sz w:val="24"/>
          <w:szCs w:val="24"/>
          <w:lang w:val="en-US"/>
        </w:rPr>
        <w:t>Website: www.meldenbivirkning.dk</w:t>
      </w:r>
    </w:p>
    <w:p w14:paraId="2B04D7B6" w14:textId="77777777" w:rsidR="007C5D2A" w:rsidRPr="002177D4" w:rsidRDefault="007C5D2A" w:rsidP="007A4CC6">
      <w:pPr>
        <w:tabs>
          <w:tab w:val="left" w:pos="851"/>
        </w:tabs>
        <w:ind w:left="851"/>
        <w:rPr>
          <w:sz w:val="24"/>
          <w:szCs w:val="24"/>
          <w:lang w:val="en-GB"/>
        </w:rPr>
      </w:pPr>
    </w:p>
    <w:p w14:paraId="73D42899"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4.9</w:t>
      </w:r>
      <w:r w:rsidRPr="002177D4">
        <w:rPr>
          <w:b/>
          <w:sz w:val="24"/>
          <w:szCs w:val="24"/>
          <w:lang w:val="en-GB"/>
        </w:rPr>
        <w:tab/>
        <w:t>Overdose</w:t>
      </w:r>
    </w:p>
    <w:p w14:paraId="3B2488F3" w14:textId="125E2BEB" w:rsidR="002746A7" w:rsidRPr="002177D4" w:rsidRDefault="002746A7" w:rsidP="00EC2189">
      <w:pPr>
        <w:ind w:left="851"/>
        <w:rPr>
          <w:sz w:val="24"/>
          <w:szCs w:val="24"/>
          <w:lang w:val="en-GB"/>
        </w:rPr>
      </w:pPr>
      <w:r w:rsidRPr="002177D4">
        <w:rPr>
          <w:sz w:val="24"/>
          <w:szCs w:val="24"/>
          <w:lang w:val="en-GB"/>
        </w:rPr>
        <w:t xml:space="preserve">The prolonged release of </w:t>
      </w:r>
      <w:proofErr w:type="spellStart"/>
      <w:r w:rsidRPr="002177D4">
        <w:rPr>
          <w:sz w:val="24"/>
          <w:szCs w:val="24"/>
          <w:lang w:val="en-GB"/>
        </w:rPr>
        <w:t>dexamfetamine</w:t>
      </w:r>
      <w:proofErr w:type="spellEnd"/>
      <w:r w:rsidRPr="002177D4">
        <w:rPr>
          <w:sz w:val="24"/>
          <w:szCs w:val="24"/>
          <w:lang w:val="en-GB"/>
        </w:rPr>
        <w:t xml:space="preserve"> after administration of </w:t>
      </w:r>
      <w:proofErr w:type="spellStart"/>
      <w:r w:rsidR="004C14A1">
        <w:rPr>
          <w:sz w:val="24"/>
          <w:szCs w:val="24"/>
          <w:lang w:val="en-GB"/>
        </w:rPr>
        <w:t>Lissidexanz</w:t>
      </w:r>
      <w:proofErr w:type="spellEnd"/>
      <w:r w:rsidRPr="002177D4">
        <w:rPr>
          <w:sz w:val="24"/>
          <w:szCs w:val="24"/>
          <w:lang w:val="en-GB"/>
        </w:rPr>
        <w:t xml:space="preserve"> should be considered when treating patients with overdose.</w:t>
      </w:r>
    </w:p>
    <w:p w14:paraId="03A6B197" w14:textId="77777777" w:rsidR="002746A7" w:rsidRPr="002177D4" w:rsidRDefault="002746A7" w:rsidP="00EC2189">
      <w:pPr>
        <w:ind w:left="851"/>
        <w:rPr>
          <w:sz w:val="24"/>
          <w:szCs w:val="24"/>
          <w:lang w:val="en-GB"/>
        </w:rPr>
      </w:pPr>
    </w:p>
    <w:p w14:paraId="2CF7A322" w14:textId="77777777" w:rsidR="002746A7" w:rsidRPr="002177D4" w:rsidRDefault="002746A7" w:rsidP="00EC2189">
      <w:pPr>
        <w:ind w:left="851"/>
        <w:rPr>
          <w:sz w:val="24"/>
          <w:szCs w:val="24"/>
          <w:lang w:val="en-GB"/>
        </w:rPr>
      </w:pPr>
      <w:r w:rsidRPr="002177D4">
        <w:rPr>
          <w:sz w:val="24"/>
          <w:szCs w:val="24"/>
          <w:lang w:val="en-GB"/>
        </w:rPr>
        <w:t xml:space="preserve">Manifestations of acute overdose with </w:t>
      </w:r>
      <w:proofErr w:type="spellStart"/>
      <w:r w:rsidRPr="002177D4">
        <w:rPr>
          <w:sz w:val="24"/>
          <w:szCs w:val="24"/>
          <w:lang w:val="en-GB"/>
        </w:rPr>
        <w:t>amfetamines</w:t>
      </w:r>
      <w:proofErr w:type="spellEnd"/>
      <w:r w:rsidRPr="002177D4">
        <w:rPr>
          <w:sz w:val="24"/>
          <w:szCs w:val="24"/>
          <w:lang w:val="en-GB"/>
        </w:rPr>
        <w:t xml:space="preserve"> include restlessness, tremor, hyperreflexia, rapid respiration, confusion, aggression, hallucinations, panic states, hyperpyrexia, and rhabdomyolysis. Fatigue and depression usually follow the central nervous system stimulation. Cardiovascular effects include arrhythmias, hypertension or hypotension, and circulatory collapse. Gastrointestinal symptoms include nausea, vomiting, diarrhoea, and abdominal cramps. Fatal poisoning is usually preceded by convulsions and coma.</w:t>
      </w:r>
    </w:p>
    <w:p w14:paraId="333A0873" w14:textId="77777777" w:rsidR="002746A7" w:rsidRPr="002177D4" w:rsidRDefault="002746A7" w:rsidP="00EC2189">
      <w:pPr>
        <w:ind w:left="851"/>
        <w:rPr>
          <w:sz w:val="24"/>
          <w:szCs w:val="24"/>
          <w:lang w:val="en-GB"/>
        </w:rPr>
      </w:pPr>
    </w:p>
    <w:p w14:paraId="5462E6FD" w14:textId="77777777" w:rsidR="002746A7" w:rsidRPr="002177D4" w:rsidRDefault="002746A7" w:rsidP="00EC2189">
      <w:pPr>
        <w:ind w:left="851"/>
        <w:rPr>
          <w:sz w:val="24"/>
          <w:szCs w:val="24"/>
          <w:lang w:val="en-GB"/>
        </w:rPr>
      </w:pPr>
      <w:r w:rsidRPr="002E15A9">
        <w:rPr>
          <w:sz w:val="24"/>
          <w:szCs w:val="24"/>
          <w:lang w:val="en-US"/>
        </w:rPr>
        <w:t xml:space="preserve">There is no specific antidote to </w:t>
      </w:r>
      <w:proofErr w:type="spellStart"/>
      <w:r w:rsidRPr="002E15A9">
        <w:rPr>
          <w:sz w:val="24"/>
          <w:szCs w:val="24"/>
          <w:lang w:val="en-US"/>
        </w:rPr>
        <w:t>amfetamine</w:t>
      </w:r>
      <w:proofErr w:type="spellEnd"/>
      <w:r w:rsidRPr="002E15A9">
        <w:rPr>
          <w:sz w:val="24"/>
          <w:szCs w:val="24"/>
          <w:lang w:val="en-US"/>
        </w:rPr>
        <w:t xml:space="preserve"> overdose. Management of acute </w:t>
      </w:r>
      <w:proofErr w:type="spellStart"/>
      <w:r w:rsidRPr="002E15A9">
        <w:rPr>
          <w:sz w:val="24"/>
          <w:szCs w:val="24"/>
          <w:lang w:val="en-US"/>
        </w:rPr>
        <w:t>amfetamine</w:t>
      </w:r>
      <w:proofErr w:type="spellEnd"/>
      <w:r w:rsidRPr="002E15A9">
        <w:rPr>
          <w:sz w:val="24"/>
          <w:szCs w:val="24"/>
          <w:lang w:val="en-US"/>
        </w:rPr>
        <w:t xml:space="preserve"> intoxication is largely symptomatic and may include administration of activated charcoal, administration of a cathartic, and sedation. </w:t>
      </w:r>
      <w:proofErr w:type="spellStart"/>
      <w:r w:rsidRPr="002E15A9">
        <w:rPr>
          <w:sz w:val="24"/>
          <w:szCs w:val="24"/>
          <w:lang w:val="en-US"/>
        </w:rPr>
        <w:t>Lisdexamfetamine</w:t>
      </w:r>
      <w:proofErr w:type="spellEnd"/>
      <w:r w:rsidRPr="002E15A9">
        <w:rPr>
          <w:sz w:val="24"/>
          <w:szCs w:val="24"/>
          <w:lang w:val="en-US"/>
        </w:rPr>
        <w:t xml:space="preserve"> and </w:t>
      </w:r>
      <w:proofErr w:type="spellStart"/>
      <w:r w:rsidRPr="002E15A9">
        <w:rPr>
          <w:sz w:val="24"/>
          <w:szCs w:val="24"/>
          <w:lang w:val="en-US"/>
        </w:rPr>
        <w:t>dexamfetamine</w:t>
      </w:r>
      <w:proofErr w:type="spellEnd"/>
      <w:r w:rsidRPr="002E15A9">
        <w:rPr>
          <w:sz w:val="24"/>
          <w:szCs w:val="24"/>
          <w:lang w:val="en-US"/>
        </w:rPr>
        <w:t xml:space="preserve"> are not </w:t>
      </w:r>
      <w:proofErr w:type="spellStart"/>
      <w:r w:rsidRPr="002E15A9">
        <w:rPr>
          <w:sz w:val="24"/>
          <w:szCs w:val="24"/>
          <w:lang w:val="en-US"/>
        </w:rPr>
        <w:t>dialysable</w:t>
      </w:r>
      <w:proofErr w:type="spellEnd"/>
      <w:r w:rsidRPr="002E15A9">
        <w:rPr>
          <w:sz w:val="24"/>
          <w:szCs w:val="24"/>
          <w:lang w:val="en-US"/>
        </w:rPr>
        <w:t>.</w:t>
      </w:r>
    </w:p>
    <w:p w14:paraId="649C68F2" w14:textId="77777777" w:rsidR="002746A7" w:rsidRPr="002177D4" w:rsidRDefault="002746A7" w:rsidP="00EC2189">
      <w:pPr>
        <w:ind w:left="851"/>
        <w:rPr>
          <w:sz w:val="24"/>
          <w:szCs w:val="24"/>
          <w:lang w:val="en-GB"/>
        </w:rPr>
      </w:pPr>
    </w:p>
    <w:p w14:paraId="5F730286" w14:textId="77777777" w:rsidR="002746A7" w:rsidRPr="002177D4" w:rsidRDefault="002746A7" w:rsidP="00EC2189">
      <w:pPr>
        <w:ind w:left="851"/>
        <w:rPr>
          <w:sz w:val="24"/>
          <w:szCs w:val="24"/>
          <w:lang w:val="en-GB"/>
        </w:rPr>
      </w:pPr>
      <w:r w:rsidRPr="004D7D2F">
        <w:rPr>
          <w:sz w:val="24"/>
          <w:szCs w:val="24"/>
          <w:lang w:val="en-US"/>
        </w:rPr>
        <w:t xml:space="preserve">In case of </w:t>
      </w:r>
      <w:proofErr w:type="spellStart"/>
      <w:r w:rsidRPr="004D7D2F">
        <w:rPr>
          <w:sz w:val="24"/>
          <w:szCs w:val="24"/>
          <w:lang w:val="en-US"/>
        </w:rPr>
        <w:t>amfetamine</w:t>
      </w:r>
      <w:proofErr w:type="spellEnd"/>
      <w:r w:rsidRPr="004D7D2F">
        <w:rPr>
          <w:sz w:val="24"/>
          <w:szCs w:val="24"/>
          <w:lang w:val="en-US"/>
        </w:rPr>
        <w:t xml:space="preserve"> overdose, consult a poison control center for guidance or treat as clinically indicated. </w:t>
      </w:r>
      <w:r w:rsidRPr="002E15A9">
        <w:rPr>
          <w:sz w:val="24"/>
          <w:szCs w:val="24"/>
          <w:lang w:val="en-US"/>
        </w:rPr>
        <w:t xml:space="preserve">The prolonged duration of action of </w:t>
      </w:r>
      <w:proofErr w:type="spellStart"/>
      <w:r w:rsidRPr="002E15A9">
        <w:rPr>
          <w:sz w:val="24"/>
          <w:szCs w:val="24"/>
          <w:lang w:val="en-US"/>
        </w:rPr>
        <w:t>amfetamine</w:t>
      </w:r>
      <w:proofErr w:type="spellEnd"/>
      <w:r w:rsidRPr="002E15A9">
        <w:rPr>
          <w:sz w:val="24"/>
          <w:szCs w:val="24"/>
          <w:lang w:val="en-US"/>
        </w:rPr>
        <w:t xml:space="preserve"> should be considered when treating patients with overdose.</w:t>
      </w:r>
    </w:p>
    <w:p w14:paraId="3365611A" w14:textId="77777777" w:rsidR="007C5D2A" w:rsidRPr="002177D4" w:rsidRDefault="007C5D2A" w:rsidP="003E0341">
      <w:pPr>
        <w:tabs>
          <w:tab w:val="left" w:pos="851"/>
        </w:tabs>
        <w:ind w:left="851"/>
        <w:rPr>
          <w:sz w:val="24"/>
          <w:szCs w:val="24"/>
          <w:lang w:val="en-GB"/>
        </w:rPr>
      </w:pPr>
    </w:p>
    <w:p w14:paraId="534AE894" w14:textId="77777777" w:rsidR="008F2F8C" w:rsidRPr="002177D4" w:rsidRDefault="0042292D" w:rsidP="0042292D">
      <w:pPr>
        <w:tabs>
          <w:tab w:val="left" w:pos="851"/>
        </w:tabs>
        <w:rPr>
          <w:b/>
          <w:sz w:val="24"/>
          <w:szCs w:val="24"/>
          <w:lang w:val="en-GB"/>
        </w:rPr>
      </w:pPr>
      <w:r w:rsidRPr="002177D4">
        <w:rPr>
          <w:b/>
          <w:sz w:val="24"/>
          <w:szCs w:val="24"/>
          <w:lang w:val="en-GB"/>
        </w:rPr>
        <w:t>4.10</w:t>
      </w:r>
      <w:r w:rsidRPr="002177D4">
        <w:rPr>
          <w:b/>
          <w:sz w:val="24"/>
          <w:szCs w:val="24"/>
          <w:lang w:val="en-GB"/>
        </w:rPr>
        <w:tab/>
        <w:t>Legal status</w:t>
      </w:r>
    </w:p>
    <w:p w14:paraId="7BC95033" w14:textId="4B347E3F" w:rsidR="00AD2E36" w:rsidRPr="002177D4" w:rsidRDefault="00D27D11" w:rsidP="00AD2E36">
      <w:pPr>
        <w:tabs>
          <w:tab w:val="left" w:pos="851"/>
        </w:tabs>
        <w:ind w:left="851"/>
        <w:rPr>
          <w:sz w:val="24"/>
          <w:szCs w:val="24"/>
          <w:lang w:val="en-GB"/>
        </w:rPr>
      </w:pPr>
      <w:r w:rsidRPr="002E15A9">
        <w:rPr>
          <w:sz w:val="24"/>
          <w:szCs w:val="24"/>
          <w:lang w:val="en-US"/>
        </w:rPr>
        <w:t>A§4</w:t>
      </w:r>
    </w:p>
    <w:p w14:paraId="7516BDF1" w14:textId="77777777" w:rsidR="007C5D2A" w:rsidRPr="002177D4" w:rsidRDefault="007C5D2A" w:rsidP="003E0341">
      <w:pPr>
        <w:tabs>
          <w:tab w:val="left" w:pos="851"/>
        </w:tabs>
        <w:ind w:left="851"/>
        <w:rPr>
          <w:sz w:val="24"/>
          <w:szCs w:val="24"/>
          <w:lang w:val="en-GB"/>
        </w:rPr>
      </w:pPr>
    </w:p>
    <w:p w14:paraId="0481CBDA" w14:textId="77777777" w:rsidR="00AD2E36" w:rsidRPr="002177D4" w:rsidRDefault="00AD2E36" w:rsidP="003E0341">
      <w:pPr>
        <w:tabs>
          <w:tab w:val="left" w:pos="851"/>
        </w:tabs>
        <w:ind w:left="851"/>
        <w:rPr>
          <w:sz w:val="24"/>
          <w:szCs w:val="24"/>
          <w:lang w:val="en-GB"/>
        </w:rPr>
      </w:pPr>
    </w:p>
    <w:p w14:paraId="02762312" w14:textId="77777777" w:rsidR="007C5D2A" w:rsidRPr="002177D4" w:rsidRDefault="007C5D2A" w:rsidP="007C5D2A">
      <w:pPr>
        <w:tabs>
          <w:tab w:val="left" w:pos="851"/>
        </w:tabs>
        <w:rPr>
          <w:b/>
          <w:sz w:val="24"/>
          <w:szCs w:val="24"/>
          <w:lang w:val="en-GB"/>
        </w:rPr>
      </w:pPr>
      <w:r w:rsidRPr="002177D4">
        <w:rPr>
          <w:b/>
          <w:sz w:val="24"/>
          <w:szCs w:val="24"/>
          <w:lang w:val="en-GB"/>
        </w:rPr>
        <w:t>5.</w:t>
      </w:r>
      <w:r w:rsidRPr="002177D4">
        <w:rPr>
          <w:b/>
          <w:sz w:val="24"/>
          <w:szCs w:val="24"/>
          <w:lang w:val="en-GB"/>
        </w:rPr>
        <w:tab/>
        <w:t>PHARMACOLOGICAL PROPERTIES</w:t>
      </w:r>
    </w:p>
    <w:p w14:paraId="092C17D9" w14:textId="77777777" w:rsidR="007C5D2A" w:rsidRPr="002177D4" w:rsidRDefault="007C5D2A" w:rsidP="003E0341">
      <w:pPr>
        <w:tabs>
          <w:tab w:val="left" w:pos="851"/>
        </w:tabs>
        <w:ind w:left="851"/>
        <w:rPr>
          <w:sz w:val="24"/>
          <w:szCs w:val="24"/>
          <w:lang w:val="en-GB"/>
        </w:rPr>
      </w:pPr>
    </w:p>
    <w:p w14:paraId="7B9B9D0C" w14:textId="77777777" w:rsidR="007C5D2A" w:rsidRPr="002177D4" w:rsidRDefault="007C5D2A" w:rsidP="007C5D2A">
      <w:pPr>
        <w:tabs>
          <w:tab w:val="left" w:pos="851"/>
        </w:tabs>
        <w:ind w:left="851" w:hanging="851"/>
        <w:rPr>
          <w:b/>
          <w:sz w:val="24"/>
          <w:szCs w:val="24"/>
          <w:lang w:val="en-GB"/>
        </w:rPr>
      </w:pPr>
      <w:r w:rsidRPr="002177D4">
        <w:rPr>
          <w:b/>
          <w:sz w:val="24"/>
          <w:szCs w:val="24"/>
          <w:lang w:val="en-GB"/>
        </w:rPr>
        <w:t>5.1</w:t>
      </w:r>
      <w:r w:rsidRPr="002177D4">
        <w:rPr>
          <w:b/>
          <w:sz w:val="24"/>
          <w:szCs w:val="24"/>
          <w:lang w:val="en-GB"/>
        </w:rPr>
        <w:tab/>
        <w:t>Pharmacodynamic properties</w:t>
      </w:r>
      <w:r w:rsidRPr="002177D4">
        <w:rPr>
          <w:b/>
          <w:sz w:val="24"/>
          <w:szCs w:val="24"/>
          <w:lang w:val="en-GB"/>
        </w:rPr>
        <w:tab/>
      </w:r>
    </w:p>
    <w:p w14:paraId="44C295D7" w14:textId="56687598" w:rsidR="002746A7" w:rsidRPr="002177D4" w:rsidRDefault="002746A7" w:rsidP="00EC2189">
      <w:pPr>
        <w:ind w:left="851"/>
        <w:rPr>
          <w:sz w:val="24"/>
          <w:szCs w:val="24"/>
          <w:lang w:val="en-GB"/>
        </w:rPr>
      </w:pPr>
      <w:r w:rsidRPr="002177D4">
        <w:rPr>
          <w:sz w:val="24"/>
          <w:szCs w:val="24"/>
          <w:lang w:val="en-GB"/>
        </w:rPr>
        <w:t>Pharmacotherapeutic group: Centrally Acting Sympathomimetics, ATC code: N06BA12.</w:t>
      </w:r>
    </w:p>
    <w:p w14:paraId="77FB3A0F" w14:textId="77777777" w:rsidR="002746A7" w:rsidRPr="002177D4" w:rsidRDefault="002746A7" w:rsidP="00EC2189">
      <w:pPr>
        <w:ind w:left="851"/>
        <w:rPr>
          <w:color w:val="008000"/>
          <w:sz w:val="24"/>
          <w:szCs w:val="24"/>
          <w:lang w:val="en-GB"/>
        </w:rPr>
      </w:pPr>
    </w:p>
    <w:p w14:paraId="7BEF534C" w14:textId="77777777" w:rsidR="002746A7" w:rsidRPr="002177D4" w:rsidRDefault="002746A7" w:rsidP="00EC2189">
      <w:pPr>
        <w:ind w:left="851"/>
        <w:rPr>
          <w:sz w:val="24"/>
          <w:szCs w:val="24"/>
          <w:u w:val="single"/>
          <w:lang w:val="en-GB"/>
        </w:rPr>
      </w:pPr>
      <w:r w:rsidRPr="002177D4">
        <w:rPr>
          <w:sz w:val="24"/>
          <w:szCs w:val="24"/>
          <w:u w:val="single"/>
          <w:lang w:val="en-GB"/>
        </w:rPr>
        <w:t>Mechanism of action</w:t>
      </w:r>
    </w:p>
    <w:p w14:paraId="275B8292" w14:textId="77777777" w:rsidR="002746A7" w:rsidRPr="002177D4" w:rsidRDefault="002746A7" w:rsidP="00EC2189">
      <w:pPr>
        <w:ind w:left="851"/>
        <w:rPr>
          <w:sz w:val="24"/>
          <w:szCs w:val="24"/>
          <w:lang w:val="en-GB"/>
        </w:rPr>
      </w:pPr>
    </w:p>
    <w:p w14:paraId="7CACED88" w14:textId="229AD1FE" w:rsidR="002746A7" w:rsidRPr="002177D4" w:rsidRDefault="004C14A1" w:rsidP="00EC2189">
      <w:pPr>
        <w:ind w:left="851"/>
        <w:rPr>
          <w:sz w:val="24"/>
          <w:szCs w:val="24"/>
          <w:lang w:val="en-GB"/>
        </w:rPr>
      </w:pPr>
      <w:proofErr w:type="spellStart"/>
      <w:r>
        <w:rPr>
          <w:sz w:val="24"/>
          <w:szCs w:val="24"/>
          <w:lang w:val="en-GB"/>
        </w:rPr>
        <w:t>Lissidexanz</w:t>
      </w:r>
      <w:proofErr w:type="spellEnd"/>
      <w:r w:rsidR="002746A7" w:rsidRPr="002177D4">
        <w:rPr>
          <w:sz w:val="24"/>
          <w:szCs w:val="24"/>
          <w:lang w:val="en-GB"/>
        </w:rPr>
        <w:t xml:space="preserve"> is a pharmacologically inactive prodrug. After oral administration, </w:t>
      </w:r>
      <w:proofErr w:type="spellStart"/>
      <w:r w:rsidR="002746A7" w:rsidRPr="002177D4">
        <w:rPr>
          <w:sz w:val="24"/>
          <w:szCs w:val="24"/>
          <w:lang w:val="en-GB"/>
        </w:rPr>
        <w:t>lisdexamfetamine</w:t>
      </w:r>
      <w:proofErr w:type="spellEnd"/>
      <w:r w:rsidR="002746A7" w:rsidRPr="002177D4">
        <w:rPr>
          <w:sz w:val="24"/>
          <w:szCs w:val="24"/>
          <w:lang w:val="en-GB"/>
        </w:rPr>
        <w:t xml:space="preserve"> is rapidly absorbed from the gastrointestinal tract and hydrolysed primarily by red blood cells to </w:t>
      </w:r>
      <w:proofErr w:type="spellStart"/>
      <w:r w:rsidR="002746A7" w:rsidRPr="002177D4">
        <w:rPr>
          <w:sz w:val="24"/>
          <w:szCs w:val="24"/>
          <w:lang w:val="en-GB"/>
        </w:rPr>
        <w:t>dexamfetamine</w:t>
      </w:r>
      <w:proofErr w:type="spellEnd"/>
      <w:r w:rsidR="002746A7" w:rsidRPr="002177D4">
        <w:rPr>
          <w:sz w:val="24"/>
          <w:szCs w:val="24"/>
          <w:lang w:val="en-GB"/>
        </w:rPr>
        <w:t>, which is responsible for the medicinal product’s activity.</w:t>
      </w:r>
    </w:p>
    <w:p w14:paraId="11217A16" w14:textId="77777777" w:rsidR="002746A7" w:rsidRPr="002177D4" w:rsidRDefault="002746A7" w:rsidP="00EC2189">
      <w:pPr>
        <w:ind w:left="851"/>
        <w:rPr>
          <w:sz w:val="24"/>
          <w:szCs w:val="24"/>
          <w:lang w:val="en-GB"/>
        </w:rPr>
      </w:pPr>
    </w:p>
    <w:p w14:paraId="4C556540" w14:textId="77777777" w:rsidR="002746A7" w:rsidRPr="002177D4" w:rsidRDefault="002746A7" w:rsidP="00EC2189">
      <w:pPr>
        <w:ind w:left="851"/>
        <w:rPr>
          <w:sz w:val="24"/>
          <w:szCs w:val="24"/>
          <w:lang w:val="en-GB"/>
        </w:rPr>
      </w:pPr>
      <w:proofErr w:type="spellStart"/>
      <w:r w:rsidRPr="002177D4">
        <w:rPr>
          <w:sz w:val="24"/>
          <w:szCs w:val="24"/>
          <w:lang w:val="en-GB"/>
        </w:rPr>
        <w:t>Amfetamines</w:t>
      </w:r>
      <w:proofErr w:type="spellEnd"/>
      <w:r w:rsidRPr="002177D4">
        <w:rPr>
          <w:sz w:val="24"/>
          <w:szCs w:val="24"/>
          <w:lang w:val="en-GB"/>
        </w:rPr>
        <w:t xml:space="preserve"> are non-catecholamine sympathomimetic amines with CNS stimulant activity. The mode of therapeutic action of </w:t>
      </w:r>
      <w:proofErr w:type="spellStart"/>
      <w:r w:rsidRPr="002177D4">
        <w:rPr>
          <w:sz w:val="24"/>
          <w:szCs w:val="24"/>
          <w:lang w:val="en-GB"/>
        </w:rPr>
        <w:t>amfetamine</w:t>
      </w:r>
      <w:proofErr w:type="spellEnd"/>
      <w:r w:rsidRPr="002177D4">
        <w:rPr>
          <w:sz w:val="24"/>
          <w:szCs w:val="24"/>
          <w:lang w:val="en-GB"/>
        </w:rPr>
        <w:t xml:space="preserve"> in ADHD is not fully established, however it is thought to be due to its ability to block the reuptake of norepinephrine and dopamine into the presynaptic neuron and increase the release of these monoamines into the </w:t>
      </w:r>
      <w:proofErr w:type="spellStart"/>
      <w:r w:rsidRPr="002177D4">
        <w:rPr>
          <w:sz w:val="24"/>
          <w:szCs w:val="24"/>
          <w:lang w:val="en-GB"/>
        </w:rPr>
        <w:t>extraneuronal</w:t>
      </w:r>
      <w:proofErr w:type="spellEnd"/>
      <w:r w:rsidRPr="002177D4">
        <w:rPr>
          <w:sz w:val="24"/>
          <w:szCs w:val="24"/>
          <w:lang w:val="en-GB"/>
        </w:rPr>
        <w:t xml:space="preserve"> space. The prodrug, </w:t>
      </w:r>
      <w:proofErr w:type="spellStart"/>
      <w:r w:rsidRPr="002177D4">
        <w:rPr>
          <w:sz w:val="24"/>
          <w:szCs w:val="24"/>
          <w:lang w:val="en-GB"/>
        </w:rPr>
        <w:t>lisdexamfetamine</w:t>
      </w:r>
      <w:proofErr w:type="spellEnd"/>
      <w:r w:rsidRPr="002177D4">
        <w:rPr>
          <w:sz w:val="24"/>
          <w:szCs w:val="24"/>
          <w:lang w:val="en-GB"/>
        </w:rPr>
        <w:t xml:space="preserve">, does not bind to the sites responsible for the reuptake of norepinephrine and dopamine </w:t>
      </w:r>
      <w:r w:rsidRPr="002177D4">
        <w:rPr>
          <w:i/>
          <w:sz w:val="24"/>
          <w:szCs w:val="24"/>
          <w:lang w:val="en-GB"/>
        </w:rPr>
        <w:t>in vitro</w:t>
      </w:r>
      <w:r w:rsidRPr="002177D4">
        <w:rPr>
          <w:sz w:val="24"/>
          <w:szCs w:val="24"/>
          <w:lang w:val="en-GB"/>
        </w:rPr>
        <w:t>.</w:t>
      </w:r>
    </w:p>
    <w:p w14:paraId="031A1821" w14:textId="77777777" w:rsidR="002746A7" w:rsidRPr="002177D4" w:rsidRDefault="002746A7" w:rsidP="00EC2189">
      <w:pPr>
        <w:ind w:left="851"/>
        <w:rPr>
          <w:sz w:val="24"/>
          <w:szCs w:val="24"/>
          <w:lang w:val="en-GB"/>
        </w:rPr>
      </w:pPr>
    </w:p>
    <w:p w14:paraId="1B1C4F3B" w14:textId="6F5005ED" w:rsidR="002746A7" w:rsidRPr="002177D4" w:rsidRDefault="002746A7" w:rsidP="00EC2189">
      <w:pPr>
        <w:ind w:left="851"/>
        <w:rPr>
          <w:sz w:val="24"/>
          <w:szCs w:val="24"/>
          <w:lang w:val="en-GB"/>
        </w:rPr>
      </w:pPr>
      <w:r w:rsidRPr="002177D4">
        <w:rPr>
          <w:sz w:val="24"/>
          <w:szCs w:val="24"/>
          <w:lang w:val="en-GB"/>
        </w:rPr>
        <w:t xml:space="preserve">Other approved </w:t>
      </w:r>
      <w:proofErr w:type="spellStart"/>
      <w:r w:rsidRPr="002177D4">
        <w:rPr>
          <w:sz w:val="24"/>
          <w:szCs w:val="24"/>
          <w:lang w:val="en-GB"/>
        </w:rPr>
        <w:t>lisdexamfetamine</w:t>
      </w:r>
      <w:proofErr w:type="spellEnd"/>
      <w:r w:rsidRPr="002177D4">
        <w:rPr>
          <w:sz w:val="24"/>
          <w:szCs w:val="24"/>
          <w:lang w:val="en-GB"/>
        </w:rPr>
        <w:t xml:space="preserve">-containing medicinal products contain </w:t>
      </w:r>
      <w:proofErr w:type="spellStart"/>
      <w:r w:rsidRPr="002177D4">
        <w:rPr>
          <w:sz w:val="24"/>
          <w:szCs w:val="24"/>
          <w:lang w:val="en-GB"/>
        </w:rPr>
        <w:t>lisdexamfetamine</w:t>
      </w:r>
      <w:proofErr w:type="spellEnd"/>
      <w:r w:rsidRPr="002177D4">
        <w:rPr>
          <w:sz w:val="24"/>
          <w:szCs w:val="24"/>
          <w:lang w:val="en-GB"/>
        </w:rPr>
        <w:t xml:space="preserve"> as </w:t>
      </w:r>
      <w:proofErr w:type="spellStart"/>
      <w:r w:rsidRPr="002177D4">
        <w:rPr>
          <w:sz w:val="24"/>
          <w:szCs w:val="24"/>
          <w:lang w:val="en-GB"/>
        </w:rPr>
        <w:t>dimesylate</w:t>
      </w:r>
      <w:proofErr w:type="spellEnd"/>
      <w:r w:rsidRPr="002177D4">
        <w:rPr>
          <w:sz w:val="24"/>
          <w:szCs w:val="24"/>
          <w:lang w:val="en-GB"/>
        </w:rPr>
        <w:t xml:space="preserve"> salt. </w:t>
      </w:r>
      <w:proofErr w:type="spellStart"/>
      <w:r w:rsidR="004C14A1">
        <w:rPr>
          <w:sz w:val="24"/>
          <w:szCs w:val="24"/>
          <w:lang w:val="en-GB"/>
        </w:rPr>
        <w:t>Lissidexanz</w:t>
      </w:r>
      <w:proofErr w:type="spellEnd"/>
      <w:r w:rsidRPr="002177D4">
        <w:rPr>
          <w:sz w:val="24"/>
          <w:szCs w:val="24"/>
          <w:lang w:val="en-GB"/>
        </w:rPr>
        <w:t xml:space="preserve"> contains </w:t>
      </w:r>
      <w:proofErr w:type="spellStart"/>
      <w:r w:rsidRPr="002177D4">
        <w:rPr>
          <w:sz w:val="24"/>
          <w:szCs w:val="24"/>
          <w:lang w:val="en-GB"/>
        </w:rPr>
        <w:t>lisdexamfetamine</w:t>
      </w:r>
      <w:proofErr w:type="spellEnd"/>
      <w:r w:rsidRPr="002177D4">
        <w:rPr>
          <w:sz w:val="24"/>
          <w:szCs w:val="24"/>
          <w:lang w:val="en-GB"/>
        </w:rPr>
        <w:t xml:space="preserve"> as </w:t>
      </w:r>
      <w:proofErr w:type="spellStart"/>
      <w:r w:rsidRPr="002177D4">
        <w:rPr>
          <w:sz w:val="24"/>
          <w:szCs w:val="24"/>
          <w:lang w:val="en-GB"/>
        </w:rPr>
        <w:t>diadipate</w:t>
      </w:r>
      <w:proofErr w:type="spellEnd"/>
      <w:r w:rsidRPr="002177D4">
        <w:rPr>
          <w:sz w:val="24"/>
          <w:szCs w:val="24"/>
          <w:lang w:val="en-GB"/>
        </w:rPr>
        <w:t xml:space="preserve"> salt.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diadipate</w:t>
      </w:r>
      <w:proofErr w:type="spellEnd"/>
      <w:r w:rsidRPr="002177D4">
        <w:rPr>
          <w:sz w:val="24"/>
          <w:szCs w:val="24"/>
          <w:lang w:val="en-GB"/>
        </w:rPr>
        <w:t xml:space="preserve"> is an alternative salt for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w:t>
      </w:r>
    </w:p>
    <w:p w14:paraId="2818487A" w14:textId="77777777" w:rsidR="002746A7" w:rsidRPr="002177D4" w:rsidRDefault="002746A7" w:rsidP="00EC2189">
      <w:pPr>
        <w:ind w:left="851"/>
        <w:rPr>
          <w:sz w:val="24"/>
          <w:szCs w:val="24"/>
          <w:lang w:val="en-GB"/>
        </w:rPr>
      </w:pPr>
    </w:p>
    <w:p w14:paraId="46A14A16" w14:textId="77777777" w:rsidR="002746A7" w:rsidRPr="002177D4" w:rsidRDefault="002746A7" w:rsidP="00EC2189">
      <w:pPr>
        <w:ind w:left="851"/>
        <w:rPr>
          <w:sz w:val="24"/>
          <w:szCs w:val="24"/>
          <w:u w:val="single"/>
          <w:lang w:val="en-GB"/>
        </w:rPr>
      </w:pPr>
      <w:r w:rsidRPr="002177D4">
        <w:rPr>
          <w:sz w:val="24"/>
          <w:szCs w:val="24"/>
          <w:u w:val="single"/>
          <w:lang w:val="en-GB"/>
        </w:rPr>
        <w:t>Clinical efficacy and safety</w:t>
      </w:r>
    </w:p>
    <w:p w14:paraId="34A3F8B2" w14:textId="77777777" w:rsidR="002746A7" w:rsidRPr="002177D4" w:rsidRDefault="002746A7" w:rsidP="00EC2189">
      <w:pPr>
        <w:ind w:left="851"/>
        <w:rPr>
          <w:sz w:val="24"/>
          <w:szCs w:val="24"/>
          <w:lang w:val="en-GB"/>
        </w:rPr>
      </w:pPr>
    </w:p>
    <w:p w14:paraId="1188A22D" w14:textId="77777777" w:rsidR="002746A7" w:rsidRPr="002177D4" w:rsidRDefault="002746A7" w:rsidP="00EC2189">
      <w:pPr>
        <w:ind w:left="851"/>
        <w:rPr>
          <w:sz w:val="24"/>
          <w:szCs w:val="24"/>
          <w:lang w:val="en-GB"/>
        </w:rPr>
      </w:pPr>
      <w:r w:rsidRPr="002177D4">
        <w:rPr>
          <w:sz w:val="24"/>
          <w:szCs w:val="24"/>
          <w:lang w:val="en-GB"/>
        </w:rPr>
        <w:t xml:space="preserve">The efficacy of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in the treatment of ADHD has been demonstrated in four controlled trials in adults, three controlled studies in adolescents aged 13-17 years, three controlled trials in children and adolescents (6 to 17 years) and three controlled studies in children aged 6 to 12 years. The patients in all these studies met DSM-IV-TR criteria for ADHD.</w:t>
      </w:r>
    </w:p>
    <w:p w14:paraId="41C26633" w14:textId="77777777" w:rsidR="002746A7" w:rsidRPr="002177D4" w:rsidRDefault="002746A7" w:rsidP="00EC2189">
      <w:pPr>
        <w:ind w:left="851"/>
        <w:rPr>
          <w:sz w:val="24"/>
          <w:szCs w:val="24"/>
          <w:lang w:val="en-GB"/>
        </w:rPr>
      </w:pPr>
    </w:p>
    <w:p w14:paraId="59D781CD" w14:textId="77777777" w:rsidR="002746A7" w:rsidRPr="002177D4" w:rsidRDefault="002746A7" w:rsidP="00EC2189">
      <w:pPr>
        <w:ind w:left="851"/>
        <w:rPr>
          <w:sz w:val="24"/>
          <w:szCs w:val="24"/>
          <w:lang w:val="en-GB"/>
        </w:rPr>
      </w:pPr>
      <w:r w:rsidRPr="002177D4">
        <w:rPr>
          <w:sz w:val="24"/>
          <w:szCs w:val="24"/>
          <w:lang w:val="en-GB"/>
        </w:rPr>
        <w:t xml:space="preserve">In clinical studies conducted in children and adults, when </w:t>
      </w:r>
      <w:proofErr w:type="spellStart"/>
      <w:r w:rsidRPr="002177D4">
        <w:rPr>
          <w:sz w:val="24"/>
          <w:szCs w:val="24"/>
          <w:lang w:val="en-GB"/>
        </w:rPr>
        <w:t>lisdexamfetamine</w:t>
      </w:r>
      <w:proofErr w:type="spellEnd"/>
      <w:r w:rsidRPr="002177D4">
        <w:rPr>
          <w:sz w:val="24"/>
          <w:szCs w:val="24"/>
          <w:lang w:val="en-GB"/>
        </w:rPr>
        <w:t xml:space="preserve"> was taken once daily in the morning efficacy was ongoing at 14 hours after dosing in adults and 13 hours in children.</w:t>
      </w:r>
    </w:p>
    <w:p w14:paraId="3B9B760E" w14:textId="77777777" w:rsidR="002746A7" w:rsidRPr="002177D4" w:rsidRDefault="002746A7" w:rsidP="00EC2189">
      <w:pPr>
        <w:ind w:left="851"/>
        <w:rPr>
          <w:sz w:val="24"/>
          <w:szCs w:val="24"/>
          <w:lang w:val="en-GB"/>
        </w:rPr>
      </w:pPr>
    </w:p>
    <w:p w14:paraId="560CD618" w14:textId="77777777" w:rsidR="002746A7" w:rsidRPr="002177D4" w:rsidRDefault="002746A7" w:rsidP="00EC2189">
      <w:pPr>
        <w:ind w:left="851"/>
        <w:rPr>
          <w:i/>
          <w:sz w:val="24"/>
          <w:szCs w:val="24"/>
          <w:lang w:val="en-GB"/>
        </w:rPr>
      </w:pPr>
      <w:r w:rsidRPr="002177D4">
        <w:rPr>
          <w:i/>
          <w:sz w:val="24"/>
          <w:szCs w:val="24"/>
          <w:lang w:val="en-GB"/>
        </w:rPr>
        <w:t>Adult population</w:t>
      </w:r>
    </w:p>
    <w:p w14:paraId="457E3CD9" w14:textId="77777777" w:rsidR="002746A7" w:rsidRPr="002177D4" w:rsidRDefault="002746A7" w:rsidP="00EC2189">
      <w:pPr>
        <w:ind w:left="851"/>
        <w:rPr>
          <w:sz w:val="24"/>
          <w:szCs w:val="24"/>
          <w:lang w:val="en-GB"/>
        </w:rPr>
      </w:pPr>
    </w:p>
    <w:p w14:paraId="16F11A6A" w14:textId="77777777" w:rsidR="002746A7" w:rsidRPr="002177D4" w:rsidRDefault="002746A7" w:rsidP="00EC2189">
      <w:pPr>
        <w:ind w:left="851"/>
        <w:rPr>
          <w:sz w:val="24"/>
          <w:szCs w:val="24"/>
          <w:lang w:val="en-GB"/>
        </w:rPr>
      </w:pPr>
      <w:r w:rsidRPr="002177D4">
        <w:rPr>
          <w:sz w:val="24"/>
          <w:szCs w:val="24"/>
          <w:lang w:val="en-GB"/>
        </w:rPr>
        <w:t xml:space="preserve">The efficacy of </w:t>
      </w:r>
      <w:proofErr w:type="spellStart"/>
      <w:r w:rsidRPr="002177D4">
        <w:rPr>
          <w:sz w:val="24"/>
          <w:szCs w:val="24"/>
          <w:lang w:val="en-GB"/>
        </w:rPr>
        <w:t>lisdexamfetamine</w:t>
      </w:r>
      <w:proofErr w:type="spellEnd"/>
      <w:r w:rsidRPr="002177D4">
        <w:rPr>
          <w:sz w:val="24"/>
          <w:szCs w:val="24"/>
          <w:lang w:val="en-GB"/>
        </w:rPr>
        <w:t xml:space="preserve"> in the treatment of adults who met DSM-IV-TR criteria for ADHD has been demonstrated in four controlled trials in which 846 patients were enrolled.</w:t>
      </w:r>
    </w:p>
    <w:p w14:paraId="3A8F1638" w14:textId="77777777" w:rsidR="002746A7" w:rsidRPr="002177D4" w:rsidRDefault="002746A7" w:rsidP="00EC2189">
      <w:pPr>
        <w:ind w:left="851"/>
        <w:rPr>
          <w:sz w:val="24"/>
          <w:szCs w:val="24"/>
          <w:lang w:val="en-GB"/>
        </w:rPr>
      </w:pPr>
    </w:p>
    <w:p w14:paraId="1E5447A6" w14:textId="77777777" w:rsidR="002746A7" w:rsidRPr="002177D4" w:rsidRDefault="002746A7" w:rsidP="00EC2189">
      <w:pPr>
        <w:ind w:left="851"/>
        <w:rPr>
          <w:sz w:val="24"/>
          <w:szCs w:val="24"/>
          <w:lang w:val="en-GB"/>
        </w:rPr>
      </w:pPr>
      <w:r w:rsidRPr="002177D4">
        <w:rPr>
          <w:sz w:val="24"/>
          <w:szCs w:val="24"/>
          <w:lang w:val="en-GB"/>
        </w:rPr>
        <w:t xml:space="preserve">Study 1 was a double-blind, randomised, placebo-controlled, parallel-group study conducted in adults (n=420). In this 4-week study, patients were randomised to fixed dose treatment groups receiving final doses of 30, 50, or 70 mg of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or placebo. All subjects receiving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were initiated on 30 mg for the first week of treatment. Subjects assigned to the 50 and 70 mg dose groups were titrated by 20 mg per week until they achieved their assigned dose. Significant improvements in ADHD symptoms, based upon investigator ratings on the ADHD Rating Scale with adult prompts total score (ADHD-RS), were observed at endpoint for all </w:t>
      </w:r>
      <w:proofErr w:type="spellStart"/>
      <w:r w:rsidRPr="002177D4">
        <w:rPr>
          <w:sz w:val="24"/>
          <w:szCs w:val="24"/>
          <w:lang w:val="en-GB"/>
        </w:rPr>
        <w:t>lisdexamfetamine</w:t>
      </w:r>
      <w:proofErr w:type="spellEnd"/>
      <w:r w:rsidRPr="002177D4">
        <w:rPr>
          <w:sz w:val="24"/>
          <w:szCs w:val="24"/>
          <w:lang w:val="en-GB"/>
        </w:rPr>
        <w:t xml:space="preserve"> doses compared to placebo (see Table 1). Treatment with </w:t>
      </w:r>
      <w:proofErr w:type="spellStart"/>
      <w:r w:rsidRPr="002177D4">
        <w:rPr>
          <w:sz w:val="24"/>
          <w:szCs w:val="24"/>
          <w:lang w:val="en-GB"/>
        </w:rPr>
        <w:t>lisdexamfetamine</w:t>
      </w:r>
      <w:proofErr w:type="spellEnd"/>
      <w:r w:rsidRPr="002177D4">
        <w:rPr>
          <w:sz w:val="24"/>
          <w:szCs w:val="24"/>
          <w:lang w:val="en-GB"/>
        </w:rPr>
        <w:t xml:space="preserve"> significantly reduced the degree of functional impairment as measured by improvement on the Clinical Global Impression-Improvement (CGI-I) rating scale compared to placebo. </w:t>
      </w:r>
    </w:p>
    <w:p w14:paraId="224D74F6" w14:textId="77777777" w:rsidR="002746A7" w:rsidRPr="002177D4" w:rsidRDefault="002746A7" w:rsidP="002746A7">
      <w:pPr>
        <w:rPr>
          <w:sz w:val="24"/>
          <w:szCs w:val="24"/>
          <w:lang w:val="en-GB"/>
        </w:rPr>
      </w:pPr>
    </w:p>
    <w:p w14:paraId="108CCA0D" w14:textId="77777777" w:rsidR="002746A7" w:rsidRPr="002177D4" w:rsidRDefault="002746A7" w:rsidP="00EC2189">
      <w:pPr>
        <w:ind w:left="851"/>
        <w:rPr>
          <w:b/>
          <w:sz w:val="24"/>
          <w:szCs w:val="24"/>
          <w:lang w:val="en-GB"/>
        </w:rPr>
      </w:pPr>
      <w:r w:rsidRPr="002177D4">
        <w:rPr>
          <w:b/>
          <w:sz w:val="24"/>
          <w:szCs w:val="24"/>
          <w:lang w:val="en-GB"/>
        </w:rPr>
        <w:t>Table 1: Change from Baseline to Endpoint in ADHD-RS with Adult Prompts Total Score at Endpoint1 (Full Analysis Set)</w:t>
      </w:r>
    </w:p>
    <w:p w14:paraId="04300F8C" w14:textId="77777777" w:rsidR="002746A7" w:rsidRPr="004D7D2F" w:rsidRDefault="002746A7" w:rsidP="002746A7">
      <w:pPr>
        <w:pStyle w:val="Brdtekst"/>
        <w:kinsoku w:val="0"/>
        <w:overflowPunct w:val="0"/>
        <w:spacing w:before="6" w:after="1"/>
        <w:rPr>
          <w:bCs/>
          <w:sz w:val="24"/>
          <w:szCs w:val="24"/>
        </w:rPr>
      </w:pPr>
    </w:p>
    <w:tbl>
      <w:tblPr>
        <w:tblW w:w="0" w:type="auto"/>
        <w:tblInd w:w="846" w:type="dxa"/>
        <w:tblLayout w:type="fixed"/>
        <w:tblCellMar>
          <w:left w:w="0" w:type="dxa"/>
          <w:right w:w="0" w:type="dxa"/>
        </w:tblCellMar>
        <w:tblLook w:val="04A0" w:firstRow="1" w:lastRow="0" w:firstColumn="1" w:lastColumn="0" w:noHBand="0" w:noVBand="1"/>
      </w:tblPr>
      <w:tblGrid>
        <w:gridCol w:w="1758"/>
        <w:gridCol w:w="1247"/>
        <w:gridCol w:w="1176"/>
        <w:gridCol w:w="1177"/>
        <w:gridCol w:w="1177"/>
        <w:gridCol w:w="1177"/>
      </w:tblGrid>
      <w:tr w:rsidR="002746A7" w:rsidRPr="004D7D2F" w14:paraId="1F9DD45D" w14:textId="77777777" w:rsidTr="00EC2189">
        <w:trPr>
          <w:trHeight w:val="343"/>
        </w:trPr>
        <w:tc>
          <w:tcPr>
            <w:tcW w:w="3005" w:type="dxa"/>
            <w:gridSpan w:val="2"/>
            <w:tcBorders>
              <w:top w:val="single" w:sz="4" w:space="0" w:color="000000"/>
              <w:left w:val="single" w:sz="4" w:space="0" w:color="000000"/>
              <w:bottom w:val="single" w:sz="4" w:space="0" w:color="000000"/>
              <w:right w:val="single" w:sz="4" w:space="0" w:color="000000"/>
            </w:tcBorders>
          </w:tcPr>
          <w:p w14:paraId="42D11187" w14:textId="77777777" w:rsidR="002746A7" w:rsidRPr="004D7D2F" w:rsidRDefault="002746A7">
            <w:pPr>
              <w:pStyle w:val="TableParagraph"/>
              <w:kinsoku w:val="0"/>
              <w:overflowPunct w:val="0"/>
              <w:spacing w:line="240" w:lineRule="auto"/>
              <w:ind w:left="0"/>
              <w:rPr>
                <w:sz w:val="20"/>
                <w:szCs w:val="20"/>
              </w:rPr>
            </w:pPr>
          </w:p>
        </w:tc>
        <w:tc>
          <w:tcPr>
            <w:tcW w:w="1176" w:type="dxa"/>
            <w:tcBorders>
              <w:top w:val="single" w:sz="4" w:space="0" w:color="000000"/>
              <w:left w:val="single" w:sz="4" w:space="0" w:color="000000"/>
              <w:bottom w:val="single" w:sz="4" w:space="0" w:color="000000"/>
              <w:right w:val="single" w:sz="4" w:space="0" w:color="000000"/>
            </w:tcBorders>
            <w:hideMark/>
          </w:tcPr>
          <w:p w14:paraId="699A2D33" w14:textId="77777777" w:rsidR="002746A7" w:rsidRPr="004D7D2F" w:rsidRDefault="002746A7">
            <w:pPr>
              <w:pStyle w:val="TableParagraph"/>
              <w:kinsoku w:val="0"/>
              <w:overflowPunct w:val="0"/>
              <w:spacing w:before="45" w:line="240" w:lineRule="auto"/>
              <w:ind w:left="145" w:right="137"/>
              <w:jc w:val="center"/>
              <w:rPr>
                <w:b/>
                <w:bCs/>
                <w:sz w:val="20"/>
                <w:szCs w:val="20"/>
              </w:rPr>
            </w:pPr>
            <w:r w:rsidRPr="004D7D2F">
              <w:rPr>
                <w:b/>
                <w:bCs/>
                <w:sz w:val="20"/>
                <w:szCs w:val="20"/>
              </w:rPr>
              <w:t>Placebo</w:t>
            </w:r>
          </w:p>
        </w:tc>
        <w:tc>
          <w:tcPr>
            <w:tcW w:w="1177" w:type="dxa"/>
            <w:tcBorders>
              <w:top w:val="single" w:sz="4" w:space="0" w:color="000000"/>
              <w:left w:val="single" w:sz="4" w:space="0" w:color="000000"/>
              <w:bottom w:val="single" w:sz="4" w:space="0" w:color="000000"/>
              <w:right w:val="single" w:sz="4" w:space="0" w:color="000000"/>
            </w:tcBorders>
            <w:hideMark/>
          </w:tcPr>
          <w:p w14:paraId="5AC4F077" w14:textId="77777777" w:rsidR="002746A7" w:rsidRPr="004D7D2F" w:rsidRDefault="002746A7">
            <w:pPr>
              <w:pStyle w:val="TableParagraph"/>
              <w:kinsoku w:val="0"/>
              <w:overflowPunct w:val="0"/>
              <w:spacing w:before="50" w:line="240" w:lineRule="auto"/>
              <w:ind w:left="13" w:right="4"/>
              <w:jc w:val="center"/>
              <w:rPr>
                <w:b/>
                <w:bCs/>
                <w:sz w:val="20"/>
                <w:szCs w:val="20"/>
              </w:rPr>
            </w:pPr>
            <w:r w:rsidRPr="004D7D2F">
              <w:rPr>
                <w:b/>
                <w:bCs/>
                <w:sz w:val="20"/>
                <w:szCs w:val="20"/>
              </w:rPr>
              <w:t>30</w:t>
            </w:r>
            <w:r w:rsidRPr="004D7D2F">
              <w:rPr>
                <w:b/>
                <w:bCs/>
                <w:spacing w:val="1"/>
                <w:sz w:val="20"/>
                <w:szCs w:val="20"/>
              </w:rPr>
              <w:t xml:space="preserve"> </w:t>
            </w:r>
            <w:r w:rsidRPr="004D7D2F">
              <w:rPr>
                <w:b/>
                <w:bCs/>
                <w:sz w:val="20"/>
                <w:szCs w:val="20"/>
              </w:rPr>
              <w:t>mg</w:t>
            </w:r>
          </w:p>
        </w:tc>
        <w:tc>
          <w:tcPr>
            <w:tcW w:w="1177" w:type="dxa"/>
            <w:tcBorders>
              <w:top w:val="single" w:sz="4" w:space="0" w:color="000000"/>
              <w:left w:val="single" w:sz="4" w:space="0" w:color="000000"/>
              <w:bottom w:val="single" w:sz="4" w:space="0" w:color="000000"/>
              <w:right w:val="single" w:sz="4" w:space="0" w:color="000000"/>
            </w:tcBorders>
            <w:hideMark/>
          </w:tcPr>
          <w:p w14:paraId="5049F77F" w14:textId="77777777" w:rsidR="002746A7" w:rsidRPr="004D7D2F" w:rsidRDefault="002746A7">
            <w:pPr>
              <w:pStyle w:val="TableParagraph"/>
              <w:kinsoku w:val="0"/>
              <w:overflowPunct w:val="0"/>
              <w:spacing w:before="50" w:line="240" w:lineRule="auto"/>
              <w:ind w:left="13" w:right="4"/>
              <w:jc w:val="center"/>
              <w:rPr>
                <w:b/>
                <w:bCs/>
                <w:sz w:val="20"/>
                <w:szCs w:val="20"/>
              </w:rPr>
            </w:pPr>
            <w:r w:rsidRPr="004D7D2F">
              <w:rPr>
                <w:b/>
                <w:bCs/>
                <w:sz w:val="20"/>
                <w:szCs w:val="20"/>
              </w:rPr>
              <w:t>50</w:t>
            </w:r>
            <w:r w:rsidRPr="004D7D2F">
              <w:rPr>
                <w:b/>
                <w:bCs/>
                <w:spacing w:val="1"/>
                <w:sz w:val="20"/>
                <w:szCs w:val="20"/>
              </w:rPr>
              <w:t xml:space="preserve"> </w:t>
            </w:r>
            <w:r w:rsidRPr="004D7D2F">
              <w:rPr>
                <w:b/>
                <w:bCs/>
                <w:sz w:val="20"/>
                <w:szCs w:val="20"/>
              </w:rPr>
              <w:t>mg</w:t>
            </w:r>
          </w:p>
        </w:tc>
        <w:tc>
          <w:tcPr>
            <w:tcW w:w="1177" w:type="dxa"/>
            <w:tcBorders>
              <w:top w:val="single" w:sz="4" w:space="0" w:color="000000"/>
              <w:left w:val="single" w:sz="4" w:space="0" w:color="000000"/>
              <w:bottom w:val="single" w:sz="4" w:space="0" w:color="000000"/>
              <w:right w:val="single" w:sz="4" w:space="0" w:color="000000"/>
            </w:tcBorders>
            <w:hideMark/>
          </w:tcPr>
          <w:p w14:paraId="40A89D0D" w14:textId="77777777" w:rsidR="002746A7" w:rsidRPr="004D7D2F" w:rsidRDefault="002746A7">
            <w:pPr>
              <w:pStyle w:val="TableParagraph"/>
              <w:kinsoku w:val="0"/>
              <w:overflowPunct w:val="0"/>
              <w:spacing w:before="50" w:line="240" w:lineRule="auto"/>
              <w:ind w:left="13" w:right="4"/>
              <w:jc w:val="center"/>
              <w:rPr>
                <w:b/>
                <w:bCs/>
                <w:sz w:val="20"/>
                <w:szCs w:val="20"/>
              </w:rPr>
            </w:pPr>
            <w:r w:rsidRPr="004D7D2F">
              <w:rPr>
                <w:b/>
                <w:bCs/>
                <w:sz w:val="20"/>
                <w:szCs w:val="20"/>
              </w:rPr>
              <w:t>70</w:t>
            </w:r>
            <w:r w:rsidRPr="004D7D2F">
              <w:rPr>
                <w:b/>
                <w:bCs/>
                <w:spacing w:val="1"/>
                <w:sz w:val="20"/>
                <w:szCs w:val="20"/>
              </w:rPr>
              <w:t xml:space="preserve"> </w:t>
            </w:r>
            <w:r w:rsidRPr="004D7D2F">
              <w:rPr>
                <w:b/>
                <w:bCs/>
                <w:sz w:val="20"/>
                <w:szCs w:val="20"/>
              </w:rPr>
              <w:t>mg</w:t>
            </w:r>
          </w:p>
        </w:tc>
      </w:tr>
      <w:tr w:rsidR="002746A7" w:rsidRPr="004D7D2F" w14:paraId="4DCF5EEA" w14:textId="77777777" w:rsidTr="00EC2189">
        <w:trPr>
          <w:trHeight w:val="244"/>
        </w:trPr>
        <w:tc>
          <w:tcPr>
            <w:tcW w:w="1758" w:type="dxa"/>
            <w:tcBorders>
              <w:top w:val="single" w:sz="4" w:space="0" w:color="000000"/>
              <w:left w:val="single" w:sz="4" w:space="0" w:color="000000"/>
              <w:bottom w:val="nil"/>
              <w:right w:val="single" w:sz="4" w:space="0" w:color="000000"/>
            </w:tcBorders>
            <w:hideMark/>
          </w:tcPr>
          <w:p w14:paraId="04E8C90F" w14:textId="77777777" w:rsidR="002746A7" w:rsidRPr="004D7D2F" w:rsidRDefault="002746A7">
            <w:pPr>
              <w:pStyle w:val="TableParagraph"/>
              <w:kinsoku w:val="0"/>
              <w:overflowPunct w:val="0"/>
              <w:spacing w:line="240" w:lineRule="auto"/>
              <w:ind w:left="27"/>
              <w:rPr>
                <w:sz w:val="20"/>
                <w:szCs w:val="20"/>
              </w:rPr>
            </w:pPr>
            <w:r w:rsidRPr="004D7D2F">
              <w:rPr>
                <w:sz w:val="20"/>
                <w:szCs w:val="20"/>
              </w:rPr>
              <w:t>Baseline</w:t>
            </w:r>
            <w:r w:rsidRPr="004D7D2F">
              <w:rPr>
                <w:spacing w:val="-4"/>
                <w:sz w:val="20"/>
                <w:szCs w:val="20"/>
              </w:rPr>
              <w:t xml:space="preserve"> </w:t>
            </w:r>
            <w:r w:rsidRPr="004D7D2F">
              <w:rPr>
                <w:sz w:val="20"/>
                <w:szCs w:val="20"/>
              </w:rPr>
              <w:t>Total</w:t>
            </w:r>
            <w:r w:rsidRPr="004D7D2F">
              <w:rPr>
                <w:spacing w:val="-3"/>
                <w:sz w:val="20"/>
                <w:szCs w:val="20"/>
              </w:rPr>
              <w:t xml:space="preserve"> </w:t>
            </w:r>
            <w:r w:rsidRPr="004D7D2F">
              <w:rPr>
                <w:sz w:val="20"/>
                <w:szCs w:val="20"/>
              </w:rPr>
              <w:t>Score</w:t>
            </w:r>
          </w:p>
        </w:tc>
        <w:tc>
          <w:tcPr>
            <w:tcW w:w="1247" w:type="dxa"/>
            <w:tcBorders>
              <w:top w:val="single" w:sz="4" w:space="0" w:color="000000"/>
              <w:left w:val="single" w:sz="4" w:space="0" w:color="000000"/>
              <w:bottom w:val="nil"/>
              <w:right w:val="single" w:sz="4" w:space="0" w:color="000000"/>
            </w:tcBorders>
            <w:hideMark/>
          </w:tcPr>
          <w:p w14:paraId="7175ECAF" w14:textId="77777777" w:rsidR="002746A7" w:rsidRPr="004D7D2F" w:rsidRDefault="002746A7">
            <w:pPr>
              <w:pStyle w:val="TableParagraph"/>
              <w:kinsoku w:val="0"/>
              <w:overflowPunct w:val="0"/>
              <w:spacing w:line="240" w:lineRule="auto"/>
              <w:ind w:left="28"/>
              <w:rPr>
                <w:w w:val="99"/>
                <w:sz w:val="20"/>
                <w:szCs w:val="20"/>
              </w:rPr>
            </w:pPr>
            <w:r w:rsidRPr="004D7D2F">
              <w:rPr>
                <w:w w:val="99"/>
                <w:sz w:val="20"/>
                <w:szCs w:val="20"/>
              </w:rPr>
              <w:t>N</w:t>
            </w:r>
          </w:p>
        </w:tc>
        <w:tc>
          <w:tcPr>
            <w:tcW w:w="1176" w:type="dxa"/>
            <w:tcBorders>
              <w:top w:val="single" w:sz="4" w:space="0" w:color="000000"/>
              <w:left w:val="single" w:sz="4" w:space="0" w:color="000000"/>
              <w:bottom w:val="nil"/>
              <w:right w:val="single" w:sz="4" w:space="0" w:color="000000"/>
            </w:tcBorders>
            <w:hideMark/>
          </w:tcPr>
          <w:p w14:paraId="5405E42B" w14:textId="77777777" w:rsidR="002746A7" w:rsidRPr="004D7D2F" w:rsidRDefault="002746A7">
            <w:pPr>
              <w:pStyle w:val="TableParagraph"/>
              <w:kinsoku w:val="0"/>
              <w:overflowPunct w:val="0"/>
              <w:spacing w:line="240" w:lineRule="auto"/>
              <w:ind w:left="145" w:right="137"/>
              <w:jc w:val="center"/>
              <w:rPr>
                <w:sz w:val="20"/>
                <w:szCs w:val="20"/>
              </w:rPr>
            </w:pPr>
            <w:r w:rsidRPr="004D7D2F">
              <w:rPr>
                <w:sz w:val="20"/>
                <w:szCs w:val="20"/>
              </w:rPr>
              <w:t>62</w:t>
            </w:r>
          </w:p>
        </w:tc>
        <w:tc>
          <w:tcPr>
            <w:tcW w:w="1177" w:type="dxa"/>
            <w:tcBorders>
              <w:top w:val="single" w:sz="4" w:space="0" w:color="000000"/>
              <w:left w:val="single" w:sz="4" w:space="0" w:color="000000"/>
              <w:bottom w:val="nil"/>
              <w:right w:val="single" w:sz="4" w:space="0" w:color="000000"/>
            </w:tcBorders>
            <w:hideMark/>
          </w:tcPr>
          <w:p w14:paraId="010F235C"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115</w:t>
            </w:r>
          </w:p>
        </w:tc>
        <w:tc>
          <w:tcPr>
            <w:tcW w:w="1177" w:type="dxa"/>
            <w:tcBorders>
              <w:top w:val="single" w:sz="4" w:space="0" w:color="000000"/>
              <w:left w:val="single" w:sz="4" w:space="0" w:color="000000"/>
              <w:bottom w:val="nil"/>
              <w:right w:val="single" w:sz="4" w:space="0" w:color="000000"/>
            </w:tcBorders>
            <w:hideMark/>
          </w:tcPr>
          <w:p w14:paraId="3CCC3CD1"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117</w:t>
            </w:r>
          </w:p>
        </w:tc>
        <w:tc>
          <w:tcPr>
            <w:tcW w:w="1177" w:type="dxa"/>
            <w:tcBorders>
              <w:top w:val="single" w:sz="4" w:space="0" w:color="000000"/>
              <w:left w:val="single" w:sz="4" w:space="0" w:color="000000"/>
              <w:bottom w:val="nil"/>
              <w:right w:val="single" w:sz="4" w:space="0" w:color="000000"/>
            </w:tcBorders>
            <w:hideMark/>
          </w:tcPr>
          <w:p w14:paraId="0245E0D8"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120</w:t>
            </w:r>
          </w:p>
        </w:tc>
      </w:tr>
      <w:tr w:rsidR="002746A7" w:rsidRPr="004D7D2F" w14:paraId="5432DE11" w14:textId="77777777" w:rsidTr="00EC2189">
        <w:trPr>
          <w:trHeight w:val="268"/>
        </w:trPr>
        <w:tc>
          <w:tcPr>
            <w:tcW w:w="1758" w:type="dxa"/>
            <w:tcBorders>
              <w:top w:val="nil"/>
              <w:left w:val="single" w:sz="4" w:space="0" w:color="000000"/>
              <w:bottom w:val="single" w:sz="4" w:space="0" w:color="000000"/>
              <w:right w:val="single" w:sz="4" w:space="0" w:color="000000"/>
            </w:tcBorders>
          </w:tcPr>
          <w:p w14:paraId="27790370" w14:textId="77777777" w:rsidR="002746A7" w:rsidRPr="004D7D2F" w:rsidRDefault="002746A7">
            <w:pPr>
              <w:pStyle w:val="TableParagraph"/>
              <w:kinsoku w:val="0"/>
              <w:overflowPunct w:val="0"/>
              <w:spacing w:line="240" w:lineRule="auto"/>
              <w:ind w:left="0"/>
              <w:rPr>
                <w:sz w:val="20"/>
                <w:szCs w:val="20"/>
              </w:rPr>
            </w:pPr>
          </w:p>
        </w:tc>
        <w:tc>
          <w:tcPr>
            <w:tcW w:w="1247" w:type="dxa"/>
            <w:tcBorders>
              <w:top w:val="nil"/>
              <w:left w:val="single" w:sz="4" w:space="0" w:color="000000"/>
              <w:bottom w:val="single" w:sz="4" w:space="0" w:color="000000"/>
              <w:right w:val="single" w:sz="4" w:space="0" w:color="000000"/>
            </w:tcBorders>
            <w:hideMark/>
          </w:tcPr>
          <w:p w14:paraId="6885B4A7" w14:textId="77777777" w:rsidR="002746A7" w:rsidRPr="004D7D2F" w:rsidRDefault="002746A7">
            <w:pPr>
              <w:pStyle w:val="TableParagraph"/>
              <w:kinsoku w:val="0"/>
              <w:overflowPunct w:val="0"/>
              <w:spacing w:before="17" w:line="240" w:lineRule="auto"/>
              <w:ind w:left="28"/>
              <w:rPr>
                <w:sz w:val="20"/>
                <w:szCs w:val="20"/>
              </w:rPr>
            </w:pPr>
            <w:r w:rsidRPr="004D7D2F">
              <w:rPr>
                <w:sz w:val="20"/>
                <w:szCs w:val="20"/>
              </w:rPr>
              <w:t>Mean</w:t>
            </w:r>
            <w:r w:rsidRPr="004D7D2F">
              <w:rPr>
                <w:spacing w:val="-2"/>
                <w:sz w:val="20"/>
                <w:szCs w:val="20"/>
              </w:rPr>
              <w:t xml:space="preserve"> </w:t>
            </w:r>
            <w:r w:rsidRPr="004D7D2F">
              <w:rPr>
                <w:sz w:val="20"/>
                <w:szCs w:val="20"/>
              </w:rPr>
              <w:t>(SD)</w:t>
            </w:r>
          </w:p>
        </w:tc>
        <w:tc>
          <w:tcPr>
            <w:tcW w:w="1176" w:type="dxa"/>
            <w:tcBorders>
              <w:top w:val="nil"/>
              <w:left w:val="single" w:sz="4" w:space="0" w:color="000000"/>
              <w:bottom w:val="single" w:sz="4" w:space="0" w:color="000000"/>
              <w:right w:val="single" w:sz="4" w:space="0" w:color="000000"/>
            </w:tcBorders>
            <w:hideMark/>
          </w:tcPr>
          <w:p w14:paraId="6C706A1E" w14:textId="77777777" w:rsidR="002746A7" w:rsidRPr="004D7D2F" w:rsidRDefault="002746A7">
            <w:pPr>
              <w:pStyle w:val="TableParagraph"/>
              <w:kinsoku w:val="0"/>
              <w:overflowPunct w:val="0"/>
              <w:spacing w:before="17" w:line="240" w:lineRule="auto"/>
              <w:ind w:left="147" w:right="137"/>
              <w:jc w:val="center"/>
              <w:rPr>
                <w:sz w:val="20"/>
                <w:szCs w:val="20"/>
              </w:rPr>
            </w:pPr>
            <w:r w:rsidRPr="004D7D2F">
              <w:rPr>
                <w:sz w:val="20"/>
                <w:szCs w:val="20"/>
              </w:rPr>
              <w:t>39.4</w:t>
            </w:r>
            <w:r w:rsidRPr="004D7D2F">
              <w:rPr>
                <w:spacing w:val="1"/>
                <w:sz w:val="20"/>
                <w:szCs w:val="20"/>
              </w:rPr>
              <w:t xml:space="preserve"> </w:t>
            </w:r>
            <w:r w:rsidRPr="004D7D2F">
              <w:rPr>
                <w:sz w:val="20"/>
                <w:szCs w:val="20"/>
              </w:rPr>
              <w:t>(6.42)</w:t>
            </w:r>
          </w:p>
        </w:tc>
        <w:tc>
          <w:tcPr>
            <w:tcW w:w="1177" w:type="dxa"/>
            <w:tcBorders>
              <w:top w:val="nil"/>
              <w:left w:val="single" w:sz="4" w:space="0" w:color="000000"/>
              <w:bottom w:val="single" w:sz="4" w:space="0" w:color="000000"/>
              <w:right w:val="single" w:sz="4" w:space="0" w:color="000000"/>
            </w:tcBorders>
            <w:hideMark/>
          </w:tcPr>
          <w:p w14:paraId="2FA3FFFA" w14:textId="77777777" w:rsidR="002746A7" w:rsidRPr="004D7D2F" w:rsidRDefault="002746A7">
            <w:pPr>
              <w:pStyle w:val="TableParagraph"/>
              <w:kinsoku w:val="0"/>
              <w:overflowPunct w:val="0"/>
              <w:spacing w:before="17" w:line="240" w:lineRule="auto"/>
              <w:ind w:left="14" w:right="4"/>
              <w:jc w:val="center"/>
              <w:rPr>
                <w:sz w:val="20"/>
                <w:szCs w:val="20"/>
              </w:rPr>
            </w:pPr>
            <w:r w:rsidRPr="004D7D2F">
              <w:rPr>
                <w:sz w:val="20"/>
                <w:szCs w:val="20"/>
              </w:rPr>
              <w:t>40.5</w:t>
            </w:r>
            <w:r w:rsidRPr="004D7D2F">
              <w:rPr>
                <w:spacing w:val="1"/>
                <w:sz w:val="20"/>
                <w:szCs w:val="20"/>
              </w:rPr>
              <w:t xml:space="preserve"> </w:t>
            </w:r>
            <w:r w:rsidRPr="004D7D2F">
              <w:rPr>
                <w:sz w:val="20"/>
                <w:szCs w:val="20"/>
              </w:rPr>
              <w:t>(6.21)</w:t>
            </w:r>
          </w:p>
        </w:tc>
        <w:tc>
          <w:tcPr>
            <w:tcW w:w="1177" w:type="dxa"/>
            <w:tcBorders>
              <w:top w:val="nil"/>
              <w:left w:val="single" w:sz="4" w:space="0" w:color="000000"/>
              <w:bottom w:val="single" w:sz="4" w:space="0" w:color="000000"/>
              <w:right w:val="single" w:sz="4" w:space="0" w:color="000000"/>
            </w:tcBorders>
            <w:hideMark/>
          </w:tcPr>
          <w:p w14:paraId="419FF60F" w14:textId="77777777" w:rsidR="002746A7" w:rsidRPr="004D7D2F" w:rsidRDefault="002746A7">
            <w:pPr>
              <w:pStyle w:val="TableParagraph"/>
              <w:kinsoku w:val="0"/>
              <w:overflowPunct w:val="0"/>
              <w:spacing w:before="17" w:line="240" w:lineRule="auto"/>
              <w:ind w:left="14" w:right="4"/>
              <w:jc w:val="center"/>
              <w:rPr>
                <w:sz w:val="20"/>
                <w:szCs w:val="20"/>
              </w:rPr>
            </w:pPr>
            <w:r w:rsidRPr="004D7D2F">
              <w:rPr>
                <w:sz w:val="20"/>
                <w:szCs w:val="20"/>
              </w:rPr>
              <w:t>40.8</w:t>
            </w:r>
            <w:r w:rsidRPr="004D7D2F">
              <w:rPr>
                <w:spacing w:val="1"/>
                <w:sz w:val="20"/>
                <w:szCs w:val="20"/>
              </w:rPr>
              <w:t xml:space="preserve"> </w:t>
            </w:r>
            <w:r w:rsidRPr="004D7D2F">
              <w:rPr>
                <w:sz w:val="20"/>
                <w:szCs w:val="20"/>
              </w:rPr>
              <w:t>(7.30)</w:t>
            </w:r>
          </w:p>
        </w:tc>
        <w:tc>
          <w:tcPr>
            <w:tcW w:w="1177" w:type="dxa"/>
            <w:tcBorders>
              <w:top w:val="nil"/>
              <w:left w:val="single" w:sz="4" w:space="0" w:color="000000"/>
              <w:bottom w:val="single" w:sz="4" w:space="0" w:color="000000"/>
              <w:right w:val="single" w:sz="4" w:space="0" w:color="000000"/>
            </w:tcBorders>
            <w:hideMark/>
          </w:tcPr>
          <w:p w14:paraId="30AF67EE" w14:textId="77777777" w:rsidR="002746A7" w:rsidRPr="004D7D2F" w:rsidRDefault="002746A7">
            <w:pPr>
              <w:pStyle w:val="TableParagraph"/>
              <w:kinsoku w:val="0"/>
              <w:overflowPunct w:val="0"/>
              <w:spacing w:before="17" w:line="240" w:lineRule="auto"/>
              <w:ind w:left="14" w:right="4"/>
              <w:jc w:val="center"/>
              <w:rPr>
                <w:sz w:val="20"/>
                <w:szCs w:val="20"/>
              </w:rPr>
            </w:pPr>
            <w:r w:rsidRPr="004D7D2F">
              <w:rPr>
                <w:sz w:val="20"/>
                <w:szCs w:val="20"/>
              </w:rPr>
              <w:t>41.0</w:t>
            </w:r>
            <w:r w:rsidRPr="004D7D2F">
              <w:rPr>
                <w:spacing w:val="1"/>
                <w:sz w:val="20"/>
                <w:szCs w:val="20"/>
              </w:rPr>
              <w:t xml:space="preserve"> </w:t>
            </w:r>
            <w:r w:rsidRPr="004D7D2F">
              <w:rPr>
                <w:sz w:val="20"/>
                <w:szCs w:val="20"/>
              </w:rPr>
              <w:t>(6.02)</w:t>
            </w:r>
          </w:p>
        </w:tc>
      </w:tr>
      <w:tr w:rsidR="002746A7" w:rsidRPr="004D7D2F" w14:paraId="44F27284" w14:textId="77777777" w:rsidTr="00EC2189">
        <w:trPr>
          <w:trHeight w:val="512"/>
        </w:trPr>
        <w:tc>
          <w:tcPr>
            <w:tcW w:w="1758" w:type="dxa"/>
            <w:tcBorders>
              <w:top w:val="single" w:sz="4" w:space="0" w:color="000000"/>
              <w:left w:val="single" w:sz="4" w:space="0" w:color="000000"/>
              <w:bottom w:val="single" w:sz="4" w:space="0" w:color="000000"/>
              <w:right w:val="single" w:sz="4" w:space="0" w:color="000000"/>
            </w:tcBorders>
            <w:hideMark/>
          </w:tcPr>
          <w:p w14:paraId="3E7E0C64" w14:textId="77777777" w:rsidR="002746A7" w:rsidRPr="004D7D2F" w:rsidRDefault="002746A7">
            <w:pPr>
              <w:pStyle w:val="TableParagraph"/>
              <w:kinsoku w:val="0"/>
              <w:overflowPunct w:val="0"/>
              <w:spacing w:line="242" w:lineRule="auto"/>
              <w:ind w:left="27" w:right="33"/>
              <w:rPr>
                <w:sz w:val="20"/>
                <w:szCs w:val="20"/>
              </w:rPr>
            </w:pPr>
            <w:r w:rsidRPr="004D7D2F">
              <w:rPr>
                <w:sz w:val="20"/>
                <w:szCs w:val="20"/>
              </w:rPr>
              <w:t>Change from baseline</w:t>
            </w:r>
            <w:r w:rsidRPr="004D7D2F">
              <w:rPr>
                <w:spacing w:val="-45"/>
                <w:sz w:val="20"/>
                <w:szCs w:val="20"/>
              </w:rPr>
              <w:t xml:space="preserve"> </w:t>
            </w:r>
            <w:r w:rsidRPr="004D7D2F">
              <w:rPr>
                <w:sz w:val="20"/>
                <w:szCs w:val="20"/>
              </w:rPr>
              <w:t>at Endpoint</w:t>
            </w:r>
          </w:p>
        </w:tc>
        <w:tc>
          <w:tcPr>
            <w:tcW w:w="1247" w:type="dxa"/>
            <w:tcBorders>
              <w:top w:val="single" w:sz="4" w:space="0" w:color="000000"/>
              <w:left w:val="single" w:sz="4" w:space="0" w:color="000000"/>
              <w:bottom w:val="single" w:sz="4" w:space="0" w:color="000000"/>
              <w:right w:val="single" w:sz="4" w:space="0" w:color="000000"/>
            </w:tcBorders>
            <w:hideMark/>
          </w:tcPr>
          <w:p w14:paraId="04AE267B" w14:textId="77777777" w:rsidR="002746A7" w:rsidRPr="004D7D2F" w:rsidRDefault="002746A7">
            <w:pPr>
              <w:pStyle w:val="TableParagraph"/>
              <w:kinsoku w:val="0"/>
              <w:overflowPunct w:val="0"/>
              <w:spacing w:line="240" w:lineRule="auto"/>
              <w:ind w:left="28"/>
              <w:rPr>
                <w:w w:val="99"/>
                <w:sz w:val="20"/>
                <w:szCs w:val="20"/>
              </w:rPr>
            </w:pPr>
            <w:r w:rsidRPr="004D7D2F">
              <w:rPr>
                <w:w w:val="99"/>
                <w:sz w:val="20"/>
                <w:szCs w:val="20"/>
              </w:rPr>
              <w:t>N</w:t>
            </w:r>
          </w:p>
          <w:p w14:paraId="28070178" w14:textId="77777777" w:rsidR="002746A7" w:rsidRPr="004D7D2F" w:rsidRDefault="002746A7">
            <w:pPr>
              <w:pStyle w:val="TableParagraph"/>
              <w:kinsoku w:val="0"/>
              <w:overflowPunct w:val="0"/>
              <w:spacing w:before="43" w:line="240" w:lineRule="auto"/>
              <w:ind w:left="2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2"/>
                <w:sz w:val="20"/>
                <w:szCs w:val="20"/>
              </w:rPr>
              <w:t xml:space="preserve"> </w:t>
            </w:r>
            <w:r w:rsidRPr="004D7D2F">
              <w:rPr>
                <w:sz w:val="20"/>
                <w:szCs w:val="20"/>
              </w:rPr>
              <w:t>(SE)</w:t>
            </w:r>
          </w:p>
        </w:tc>
        <w:tc>
          <w:tcPr>
            <w:tcW w:w="1176" w:type="dxa"/>
            <w:tcBorders>
              <w:top w:val="single" w:sz="4" w:space="0" w:color="000000"/>
              <w:left w:val="single" w:sz="4" w:space="0" w:color="000000"/>
              <w:bottom w:val="single" w:sz="4" w:space="0" w:color="000000"/>
              <w:right w:val="single" w:sz="4" w:space="0" w:color="000000"/>
            </w:tcBorders>
            <w:hideMark/>
          </w:tcPr>
          <w:p w14:paraId="2FD028B2" w14:textId="77777777" w:rsidR="002746A7" w:rsidRPr="004D7D2F" w:rsidRDefault="002746A7">
            <w:pPr>
              <w:pStyle w:val="TableParagraph"/>
              <w:kinsoku w:val="0"/>
              <w:overflowPunct w:val="0"/>
              <w:spacing w:line="240" w:lineRule="auto"/>
              <w:ind w:left="145" w:right="137"/>
              <w:jc w:val="center"/>
              <w:rPr>
                <w:sz w:val="20"/>
                <w:szCs w:val="20"/>
              </w:rPr>
            </w:pPr>
            <w:r w:rsidRPr="004D7D2F">
              <w:rPr>
                <w:sz w:val="20"/>
                <w:szCs w:val="20"/>
              </w:rPr>
              <w:t>62</w:t>
            </w:r>
          </w:p>
          <w:p w14:paraId="5FB5EECF" w14:textId="77777777" w:rsidR="002746A7" w:rsidRPr="004D7D2F" w:rsidRDefault="002746A7">
            <w:pPr>
              <w:pStyle w:val="TableParagraph"/>
              <w:kinsoku w:val="0"/>
              <w:overflowPunct w:val="0"/>
              <w:spacing w:before="43" w:line="240" w:lineRule="auto"/>
              <w:ind w:left="147" w:right="137"/>
              <w:jc w:val="center"/>
              <w:rPr>
                <w:sz w:val="20"/>
                <w:szCs w:val="20"/>
              </w:rPr>
            </w:pPr>
            <w:r w:rsidRPr="004D7D2F">
              <w:rPr>
                <w:sz w:val="20"/>
                <w:szCs w:val="20"/>
              </w:rPr>
              <w:t>-8.2 (1.43)</w:t>
            </w:r>
          </w:p>
        </w:tc>
        <w:tc>
          <w:tcPr>
            <w:tcW w:w="1177" w:type="dxa"/>
            <w:tcBorders>
              <w:top w:val="single" w:sz="4" w:space="0" w:color="000000"/>
              <w:left w:val="single" w:sz="4" w:space="0" w:color="000000"/>
              <w:bottom w:val="single" w:sz="4" w:space="0" w:color="000000"/>
              <w:right w:val="single" w:sz="4" w:space="0" w:color="000000"/>
            </w:tcBorders>
            <w:hideMark/>
          </w:tcPr>
          <w:p w14:paraId="6197533D"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115</w:t>
            </w:r>
          </w:p>
          <w:p w14:paraId="0561356A" w14:textId="77777777" w:rsidR="002746A7" w:rsidRPr="004D7D2F" w:rsidRDefault="002746A7">
            <w:pPr>
              <w:pStyle w:val="TableParagraph"/>
              <w:kinsoku w:val="0"/>
              <w:overflowPunct w:val="0"/>
              <w:spacing w:before="43" w:line="240" w:lineRule="auto"/>
              <w:ind w:left="14" w:right="3"/>
              <w:jc w:val="center"/>
              <w:rPr>
                <w:sz w:val="20"/>
                <w:szCs w:val="20"/>
              </w:rPr>
            </w:pPr>
            <w:r w:rsidRPr="004D7D2F">
              <w:rPr>
                <w:sz w:val="20"/>
                <w:szCs w:val="20"/>
              </w:rPr>
              <w:t>-16.2 (1.06)</w:t>
            </w:r>
          </w:p>
        </w:tc>
        <w:tc>
          <w:tcPr>
            <w:tcW w:w="1177" w:type="dxa"/>
            <w:tcBorders>
              <w:top w:val="single" w:sz="4" w:space="0" w:color="000000"/>
              <w:left w:val="single" w:sz="4" w:space="0" w:color="000000"/>
              <w:bottom w:val="single" w:sz="4" w:space="0" w:color="000000"/>
              <w:right w:val="single" w:sz="4" w:space="0" w:color="000000"/>
            </w:tcBorders>
            <w:hideMark/>
          </w:tcPr>
          <w:p w14:paraId="7D4AC659"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117</w:t>
            </w:r>
          </w:p>
          <w:p w14:paraId="38A82FEE" w14:textId="77777777" w:rsidR="002746A7" w:rsidRPr="004D7D2F" w:rsidRDefault="002746A7">
            <w:pPr>
              <w:pStyle w:val="TableParagraph"/>
              <w:kinsoku w:val="0"/>
              <w:overflowPunct w:val="0"/>
              <w:spacing w:before="43" w:line="240" w:lineRule="auto"/>
              <w:ind w:left="14" w:right="4"/>
              <w:jc w:val="center"/>
              <w:rPr>
                <w:sz w:val="20"/>
                <w:szCs w:val="20"/>
              </w:rPr>
            </w:pPr>
            <w:r w:rsidRPr="004D7D2F">
              <w:rPr>
                <w:sz w:val="20"/>
                <w:szCs w:val="20"/>
              </w:rPr>
              <w:t>-17.4 (1.05)</w:t>
            </w:r>
          </w:p>
        </w:tc>
        <w:tc>
          <w:tcPr>
            <w:tcW w:w="1177" w:type="dxa"/>
            <w:tcBorders>
              <w:top w:val="single" w:sz="4" w:space="0" w:color="000000"/>
              <w:left w:val="single" w:sz="4" w:space="0" w:color="000000"/>
              <w:bottom w:val="single" w:sz="4" w:space="0" w:color="000000"/>
              <w:right w:val="single" w:sz="4" w:space="0" w:color="000000"/>
            </w:tcBorders>
            <w:hideMark/>
          </w:tcPr>
          <w:p w14:paraId="27439102" w14:textId="77777777" w:rsidR="002746A7" w:rsidRPr="004D7D2F" w:rsidRDefault="002746A7">
            <w:pPr>
              <w:pStyle w:val="TableParagraph"/>
              <w:kinsoku w:val="0"/>
              <w:overflowPunct w:val="0"/>
              <w:spacing w:line="240" w:lineRule="auto"/>
              <w:ind w:left="13" w:right="4"/>
              <w:jc w:val="center"/>
              <w:rPr>
                <w:sz w:val="20"/>
                <w:szCs w:val="20"/>
              </w:rPr>
            </w:pPr>
            <w:r w:rsidRPr="004D7D2F">
              <w:rPr>
                <w:sz w:val="20"/>
                <w:szCs w:val="20"/>
              </w:rPr>
              <w:t>120</w:t>
            </w:r>
          </w:p>
          <w:p w14:paraId="661EC182" w14:textId="77777777" w:rsidR="002746A7" w:rsidRPr="004D7D2F" w:rsidRDefault="002746A7">
            <w:pPr>
              <w:pStyle w:val="TableParagraph"/>
              <w:kinsoku w:val="0"/>
              <w:overflowPunct w:val="0"/>
              <w:spacing w:before="43" w:line="240" w:lineRule="auto"/>
              <w:ind w:left="14" w:right="3"/>
              <w:jc w:val="center"/>
              <w:rPr>
                <w:sz w:val="20"/>
                <w:szCs w:val="20"/>
              </w:rPr>
            </w:pPr>
            <w:r w:rsidRPr="004D7D2F">
              <w:rPr>
                <w:sz w:val="20"/>
                <w:szCs w:val="20"/>
              </w:rPr>
              <w:t>-18.6 (1.03)</w:t>
            </w:r>
          </w:p>
        </w:tc>
      </w:tr>
      <w:tr w:rsidR="002746A7" w:rsidRPr="004D7D2F" w14:paraId="4BC3EB19" w14:textId="77777777" w:rsidTr="00EC2189">
        <w:trPr>
          <w:trHeight w:val="225"/>
        </w:trPr>
        <w:tc>
          <w:tcPr>
            <w:tcW w:w="1758" w:type="dxa"/>
            <w:tcBorders>
              <w:top w:val="single" w:sz="4" w:space="0" w:color="000000"/>
              <w:left w:val="single" w:sz="4" w:space="0" w:color="000000"/>
              <w:bottom w:val="nil"/>
              <w:right w:val="single" w:sz="4" w:space="0" w:color="000000"/>
            </w:tcBorders>
            <w:hideMark/>
          </w:tcPr>
          <w:p w14:paraId="24200713" w14:textId="77777777" w:rsidR="002746A7" w:rsidRPr="004D7D2F" w:rsidRDefault="002746A7">
            <w:pPr>
              <w:pStyle w:val="TableParagraph"/>
              <w:kinsoku w:val="0"/>
              <w:overflowPunct w:val="0"/>
              <w:spacing w:line="205" w:lineRule="exact"/>
              <w:ind w:left="27"/>
              <w:rPr>
                <w:sz w:val="20"/>
                <w:szCs w:val="20"/>
              </w:rPr>
            </w:pPr>
            <w:r w:rsidRPr="004D7D2F">
              <w:rPr>
                <w:sz w:val="20"/>
                <w:szCs w:val="20"/>
              </w:rPr>
              <w:t>Placebo-adjusted</w:t>
            </w:r>
          </w:p>
        </w:tc>
        <w:tc>
          <w:tcPr>
            <w:tcW w:w="1247" w:type="dxa"/>
            <w:tcBorders>
              <w:top w:val="single" w:sz="4" w:space="0" w:color="000000"/>
              <w:left w:val="single" w:sz="4" w:space="0" w:color="000000"/>
              <w:bottom w:val="nil"/>
              <w:right w:val="single" w:sz="4" w:space="0" w:color="000000"/>
            </w:tcBorders>
            <w:hideMark/>
          </w:tcPr>
          <w:p w14:paraId="7BBC2490" w14:textId="77777777" w:rsidR="002746A7" w:rsidRPr="004D7D2F" w:rsidRDefault="002746A7">
            <w:pPr>
              <w:pStyle w:val="TableParagraph"/>
              <w:kinsoku w:val="0"/>
              <w:overflowPunct w:val="0"/>
              <w:spacing w:line="205" w:lineRule="exact"/>
              <w:ind w:left="28"/>
              <w:rPr>
                <w:sz w:val="20"/>
                <w:szCs w:val="20"/>
              </w:rPr>
            </w:pPr>
            <w:r w:rsidRPr="004D7D2F">
              <w:rPr>
                <w:sz w:val="20"/>
                <w:szCs w:val="20"/>
              </w:rPr>
              <w:t>LS</w:t>
            </w:r>
            <w:r w:rsidRPr="004D7D2F">
              <w:rPr>
                <w:spacing w:val="-4"/>
                <w:sz w:val="20"/>
                <w:szCs w:val="20"/>
              </w:rPr>
              <w:t xml:space="preserve"> </w:t>
            </w:r>
            <w:r w:rsidRPr="004D7D2F">
              <w:rPr>
                <w:sz w:val="20"/>
                <w:szCs w:val="20"/>
              </w:rPr>
              <w:t>Mean</w:t>
            </w:r>
          </w:p>
        </w:tc>
        <w:tc>
          <w:tcPr>
            <w:tcW w:w="1176" w:type="dxa"/>
            <w:tcBorders>
              <w:top w:val="single" w:sz="4" w:space="0" w:color="000000"/>
              <w:left w:val="single" w:sz="4" w:space="0" w:color="000000"/>
              <w:bottom w:val="nil"/>
              <w:right w:val="single" w:sz="4" w:space="0" w:color="000000"/>
            </w:tcBorders>
            <w:hideMark/>
          </w:tcPr>
          <w:p w14:paraId="7BD39F25" w14:textId="77777777" w:rsidR="002746A7" w:rsidRPr="004D7D2F" w:rsidRDefault="002746A7">
            <w:pPr>
              <w:pStyle w:val="TableParagraph"/>
              <w:kinsoku w:val="0"/>
              <w:overflowPunct w:val="0"/>
              <w:spacing w:line="205" w:lineRule="exact"/>
              <w:ind w:left="147" w:right="137"/>
              <w:jc w:val="center"/>
              <w:rPr>
                <w:sz w:val="20"/>
                <w:szCs w:val="20"/>
              </w:rPr>
            </w:pPr>
            <w:r w:rsidRPr="004D7D2F">
              <w:rPr>
                <w:sz w:val="20"/>
                <w:szCs w:val="20"/>
              </w:rPr>
              <w:t>NA</w:t>
            </w:r>
          </w:p>
        </w:tc>
        <w:tc>
          <w:tcPr>
            <w:tcW w:w="1177" w:type="dxa"/>
            <w:tcBorders>
              <w:top w:val="single" w:sz="4" w:space="0" w:color="000000"/>
              <w:left w:val="single" w:sz="4" w:space="0" w:color="000000"/>
              <w:bottom w:val="nil"/>
              <w:right w:val="single" w:sz="4" w:space="0" w:color="000000"/>
            </w:tcBorders>
            <w:hideMark/>
          </w:tcPr>
          <w:p w14:paraId="008D51F2" w14:textId="77777777" w:rsidR="002746A7" w:rsidRPr="004D7D2F" w:rsidRDefault="002746A7">
            <w:pPr>
              <w:pStyle w:val="TableParagraph"/>
              <w:kinsoku w:val="0"/>
              <w:overflowPunct w:val="0"/>
              <w:spacing w:line="205" w:lineRule="exact"/>
              <w:ind w:left="13" w:right="4"/>
              <w:jc w:val="center"/>
              <w:rPr>
                <w:sz w:val="20"/>
                <w:szCs w:val="20"/>
              </w:rPr>
            </w:pPr>
            <w:r w:rsidRPr="004D7D2F">
              <w:rPr>
                <w:sz w:val="20"/>
                <w:szCs w:val="20"/>
              </w:rPr>
              <w:t>-8.04</w:t>
            </w:r>
          </w:p>
        </w:tc>
        <w:tc>
          <w:tcPr>
            <w:tcW w:w="1177" w:type="dxa"/>
            <w:tcBorders>
              <w:top w:val="single" w:sz="4" w:space="0" w:color="000000"/>
              <w:left w:val="single" w:sz="4" w:space="0" w:color="000000"/>
              <w:bottom w:val="nil"/>
              <w:right w:val="single" w:sz="4" w:space="0" w:color="000000"/>
            </w:tcBorders>
            <w:hideMark/>
          </w:tcPr>
          <w:p w14:paraId="488D5BFF" w14:textId="77777777" w:rsidR="002746A7" w:rsidRPr="004D7D2F" w:rsidRDefault="002746A7">
            <w:pPr>
              <w:pStyle w:val="TableParagraph"/>
              <w:kinsoku w:val="0"/>
              <w:overflowPunct w:val="0"/>
              <w:spacing w:line="205" w:lineRule="exact"/>
              <w:ind w:left="13" w:right="4"/>
              <w:jc w:val="center"/>
              <w:rPr>
                <w:sz w:val="20"/>
                <w:szCs w:val="20"/>
              </w:rPr>
            </w:pPr>
            <w:r w:rsidRPr="004D7D2F">
              <w:rPr>
                <w:sz w:val="20"/>
                <w:szCs w:val="20"/>
              </w:rPr>
              <w:t>-9.16</w:t>
            </w:r>
          </w:p>
        </w:tc>
        <w:tc>
          <w:tcPr>
            <w:tcW w:w="1177" w:type="dxa"/>
            <w:tcBorders>
              <w:top w:val="single" w:sz="4" w:space="0" w:color="000000"/>
              <w:left w:val="single" w:sz="4" w:space="0" w:color="000000"/>
              <w:bottom w:val="nil"/>
              <w:right w:val="single" w:sz="4" w:space="0" w:color="000000"/>
            </w:tcBorders>
            <w:hideMark/>
          </w:tcPr>
          <w:p w14:paraId="720F307C" w14:textId="77777777" w:rsidR="002746A7" w:rsidRPr="004D7D2F" w:rsidRDefault="002746A7">
            <w:pPr>
              <w:pStyle w:val="TableParagraph"/>
              <w:kinsoku w:val="0"/>
              <w:overflowPunct w:val="0"/>
              <w:spacing w:line="205" w:lineRule="exact"/>
              <w:ind w:left="13" w:right="4"/>
              <w:jc w:val="center"/>
              <w:rPr>
                <w:sz w:val="20"/>
                <w:szCs w:val="20"/>
              </w:rPr>
            </w:pPr>
            <w:r w:rsidRPr="004D7D2F">
              <w:rPr>
                <w:sz w:val="20"/>
                <w:szCs w:val="20"/>
              </w:rPr>
              <w:t>-10.41</w:t>
            </w:r>
          </w:p>
        </w:tc>
      </w:tr>
      <w:tr w:rsidR="002746A7" w:rsidRPr="004D7D2F" w14:paraId="106E1DCE" w14:textId="77777777" w:rsidTr="00EC2189">
        <w:trPr>
          <w:trHeight w:val="223"/>
        </w:trPr>
        <w:tc>
          <w:tcPr>
            <w:tcW w:w="1758" w:type="dxa"/>
            <w:tcBorders>
              <w:top w:val="nil"/>
              <w:left w:val="single" w:sz="4" w:space="0" w:color="000000"/>
              <w:bottom w:val="nil"/>
              <w:right w:val="single" w:sz="4" w:space="0" w:color="000000"/>
            </w:tcBorders>
            <w:hideMark/>
          </w:tcPr>
          <w:p w14:paraId="361F0735" w14:textId="77777777" w:rsidR="002746A7" w:rsidRPr="004D7D2F" w:rsidRDefault="002746A7">
            <w:pPr>
              <w:pStyle w:val="TableParagraph"/>
              <w:kinsoku w:val="0"/>
              <w:overflowPunct w:val="0"/>
              <w:ind w:left="27"/>
              <w:rPr>
                <w:sz w:val="20"/>
                <w:szCs w:val="20"/>
              </w:rPr>
            </w:pPr>
            <w:r w:rsidRPr="004D7D2F">
              <w:rPr>
                <w:sz w:val="20"/>
                <w:szCs w:val="20"/>
              </w:rPr>
              <w:t>difference</w:t>
            </w:r>
          </w:p>
        </w:tc>
        <w:tc>
          <w:tcPr>
            <w:tcW w:w="1247" w:type="dxa"/>
            <w:tcBorders>
              <w:top w:val="nil"/>
              <w:left w:val="single" w:sz="4" w:space="0" w:color="000000"/>
              <w:bottom w:val="nil"/>
              <w:right w:val="single" w:sz="4" w:space="0" w:color="000000"/>
            </w:tcBorders>
            <w:hideMark/>
          </w:tcPr>
          <w:p w14:paraId="5F645006" w14:textId="77777777" w:rsidR="002746A7" w:rsidRPr="004D7D2F" w:rsidRDefault="002746A7">
            <w:pPr>
              <w:pStyle w:val="TableParagraph"/>
              <w:kinsoku w:val="0"/>
              <w:overflowPunct w:val="0"/>
              <w:ind w:left="28"/>
              <w:rPr>
                <w:sz w:val="20"/>
                <w:szCs w:val="20"/>
              </w:rPr>
            </w:pPr>
            <w:r w:rsidRPr="004D7D2F">
              <w:rPr>
                <w:sz w:val="20"/>
                <w:szCs w:val="20"/>
              </w:rPr>
              <w:t>(95%</w:t>
            </w:r>
            <w:r w:rsidRPr="004D7D2F">
              <w:rPr>
                <w:spacing w:val="-3"/>
                <w:sz w:val="20"/>
                <w:szCs w:val="20"/>
              </w:rPr>
              <w:t xml:space="preserve"> </w:t>
            </w:r>
            <w:r w:rsidRPr="004D7D2F">
              <w:rPr>
                <w:sz w:val="20"/>
                <w:szCs w:val="20"/>
              </w:rPr>
              <w:t>CI)</w:t>
            </w:r>
          </w:p>
        </w:tc>
        <w:tc>
          <w:tcPr>
            <w:tcW w:w="1176" w:type="dxa"/>
            <w:tcBorders>
              <w:top w:val="nil"/>
              <w:left w:val="single" w:sz="4" w:space="0" w:color="000000"/>
              <w:bottom w:val="nil"/>
              <w:right w:val="single" w:sz="4" w:space="0" w:color="000000"/>
            </w:tcBorders>
          </w:tcPr>
          <w:p w14:paraId="265ED2DE" w14:textId="77777777" w:rsidR="002746A7" w:rsidRPr="004D7D2F" w:rsidRDefault="002746A7">
            <w:pPr>
              <w:pStyle w:val="TableParagraph"/>
              <w:kinsoku w:val="0"/>
              <w:overflowPunct w:val="0"/>
              <w:spacing w:line="240" w:lineRule="auto"/>
              <w:ind w:left="0"/>
              <w:rPr>
                <w:sz w:val="20"/>
                <w:szCs w:val="20"/>
              </w:rPr>
            </w:pPr>
          </w:p>
        </w:tc>
        <w:tc>
          <w:tcPr>
            <w:tcW w:w="1177" w:type="dxa"/>
            <w:tcBorders>
              <w:top w:val="nil"/>
              <w:left w:val="single" w:sz="4" w:space="0" w:color="000000"/>
              <w:bottom w:val="nil"/>
              <w:right w:val="single" w:sz="4" w:space="0" w:color="000000"/>
            </w:tcBorders>
            <w:hideMark/>
          </w:tcPr>
          <w:p w14:paraId="1ECC5C94" w14:textId="77777777" w:rsidR="002746A7" w:rsidRPr="004D7D2F" w:rsidRDefault="002746A7">
            <w:pPr>
              <w:pStyle w:val="TableParagraph"/>
              <w:kinsoku w:val="0"/>
              <w:overflowPunct w:val="0"/>
              <w:ind w:left="14" w:right="4"/>
              <w:jc w:val="center"/>
              <w:rPr>
                <w:sz w:val="20"/>
                <w:szCs w:val="20"/>
              </w:rPr>
            </w:pPr>
            <w:r w:rsidRPr="004D7D2F">
              <w:rPr>
                <w:sz w:val="20"/>
                <w:szCs w:val="20"/>
              </w:rPr>
              <w:t>(-12.14, -3.95)</w:t>
            </w:r>
          </w:p>
        </w:tc>
        <w:tc>
          <w:tcPr>
            <w:tcW w:w="1177" w:type="dxa"/>
            <w:tcBorders>
              <w:top w:val="nil"/>
              <w:left w:val="single" w:sz="4" w:space="0" w:color="000000"/>
              <w:bottom w:val="nil"/>
              <w:right w:val="single" w:sz="4" w:space="0" w:color="000000"/>
            </w:tcBorders>
            <w:hideMark/>
          </w:tcPr>
          <w:p w14:paraId="210849A6" w14:textId="77777777" w:rsidR="002746A7" w:rsidRPr="004D7D2F" w:rsidRDefault="002746A7">
            <w:pPr>
              <w:pStyle w:val="TableParagraph"/>
              <w:kinsoku w:val="0"/>
              <w:overflowPunct w:val="0"/>
              <w:ind w:left="14" w:right="4"/>
              <w:jc w:val="center"/>
              <w:rPr>
                <w:sz w:val="20"/>
                <w:szCs w:val="20"/>
              </w:rPr>
            </w:pPr>
            <w:r w:rsidRPr="004D7D2F">
              <w:rPr>
                <w:sz w:val="20"/>
                <w:szCs w:val="20"/>
              </w:rPr>
              <w:t>(-13.25, -5.08)</w:t>
            </w:r>
          </w:p>
        </w:tc>
        <w:tc>
          <w:tcPr>
            <w:tcW w:w="1177" w:type="dxa"/>
            <w:tcBorders>
              <w:top w:val="nil"/>
              <w:left w:val="single" w:sz="4" w:space="0" w:color="000000"/>
              <w:bottom w:val="nil"/>
              <w:right w:val="single" w:sz="4" w:space="0" w:color="000000"/>
            </w:tcBorders>
            <w:hideMark/>
          </w:tcPr>
          <w:p w14:paraId="55FE1B67" w14:textId="77777777" w:rsidR="002746A7" w:rsidRPr="004D7D2F" w:rsidRDefault="002746A7">
            <w:pPr>
              <w:pStyle w:val="TableParagraph"/>
              <w:kinsoku w:val="0"/>
              <w:overflowPunct w:val="0"/>
              <w:ind w:left="14" w:right="4"/>
              <w:jc w:val="center"/>
              <w:rPr>
                <w:sz w:val="20"/>
                <w:szCs w:val="20"/>
              </w:rPr>
            </w:pPr>
            <w:r w:rsidRPr="004D7D2F">
              <w:rPr>
                <w:sz w:val="20"/>
                <w:szCs w:val="20"/>
              </w:rPr>
              <w:t>(-14.49, -6.33)</w:t>
            </w:r>
          </w:p>
        </w:tc>
      </w:tr>
      <w:tr w:rsidR="002746A7" w:rsidRPr="004D7D2F" w14:paraId="189D5C80" w14:textId="77777777" w:rsidTr="00EC2189">
        <w:trPr>
          <w:trHeight w:val="249"/>
        </w:trPr>
        <w:tc>
          <w:tcPr>
            <w:tcW w:w="1758" w:type="dxa"/>
            <w:tcBorders>
              <w:top w:val="nil"/>
              <w:left w:val="single" w:sz="4" w:space="0" w:color="000000"/>
              <w:bottom w:val="single" w:sz="4" w:space="0" w:color="000000"/>
              <w:right w:val="single" w:sz="4" w:space="0" w:color="000000"/>
            </w:tcBorders>
          </w:tcPr>
          <w:p w14:paraId="6B7A2413" w14:textId="77777777" w:rsidR="002746A7" w:rsidRPr="004D7D2F" w:rsidRDefault="002746A7">
            <w:pPr>
              <w:pStyle w:val="TableParagraph"/>
              <w:kinsoku w:val="0"/>
              <w:overflowPunct w:val="0"/>
              <w:spacing w:line="240" w:lineRule="auto"/>
              <w:ind w:left="0"/>
              <w:rPr>
                <w:sz w:val="20"/>
                <w:szCs w:val="20"/>
              </w:rPr>
            </w:pPr>
          </w:p>
        </w:tc>
        <w:tc>
          <w:tcPr>
            <w:tcW w:w="1247" w:type="dxa"/>
            <w:tcBorders>
              <w:top w:val="nil"/>
              <w:left w:val="single" w:sz="4" w:space="0" w:color="000000"/>
              <w:bottom w:val="single" w:sz="4" w:space="0" w:color="000000"/>
              <w:right w:val="single" w:sz="4" w:space="0" w:color="000000"/>
            </w:tcBorders>
            <w:hideMark/>
          </w:tcPr>
          <w:p w14:paraId="47C6EE9A" w14:textId="77777777" w:rsidR="002746A7" w:rsidRPr="004D7D2F" w:rsidRDefault="002746A7">
            <w:pPr>
              <w:pStyle w:val="TableParagraph"/>
              <w:kinsoku w:val="0"/>
              <w:overflowPunct w:val="0"/>
              <w:spacing w:line="217" w:lineRule="exact"/>
              <w:ind w:left="28"/>
              <w:rPr>
                <w:sz w:val="20"/>
                <w:szCs w:val="20"/>
              </w:rPr>
            </w:pPr>
            <w:r w:rsidRPr="004D7D2F">
              <w:rPr>
                <w:sz w:val="20"/>
                <w:szCs w:val="20"/>
              </w:rPr>
              <w:t>p-value</w:t>
            </w:r>
          </w:p>
        </w:tc>
        <w:tc>
          <w:tcPr>
            <w:tcW w:w="1176" w:type="dxa"/>
            <w:tcBorders>
              <w:top w:val="nil"/>
              <w:left w:val="single" w:sz="4" w:space="0" w:color="000000"/>
              <w:bottom w:val="single" w:sz="4" w:space="0" w:color="000000"/>
              <w:right w:val="single" w:sz="4" w:space="0" w:color="000000"/>
            </w:tcBorders>
          </w:tcPr>
          <w:p w14:paraId="35BC73F8" w14:textId="77777777" w:rsidR="002746A7" w:rsidRPr="004D7D2F" w:rsidRDefault="002746A7">
            <w:pPr>
              <w:pStyle w:val="TableParagraph"/>
              <w:kinsoku w:val="0"/>
              <w:overflowPunct w:val="0"/>
              <w:spacing w:line="240" w:lineRule="auto"/>
              <w:ind w:left="0"/>
              <w:rPr>
                <w:sz w:val="20"/>
                <w:szCs w:val="20"/>
              </w:rPr>
            </w:pPr>
          </w:p>
        </w:tc>
        <w:tc>
          <w:tcPr>
            <w:tcW w:w="1177" w:type="dxa"/>
            <w:tcBorders>
              <w:top w:val="nil"/>
              <w:left w:val="single" w:sz="4" w:space="0" w:color="000000"/>
              <w:bottom w:val="single" w:sz="4" w:space="0" w:color="000000"/>
              <w:right w:val="single" w:sz="4" w:space="0" w:color="000000"/>
            </w:tcBorders>
            <w:hideMark/>
          </w:tcPr>
          <w:p w14:paraId="19B9CBC2" w14:textId="77777777" w:rsidR="002746A7" w:rsidRPr="004D7D2F" w:rsidRDefault="002746A7">
            <w:pPr>
              <w:pStyle w:val="TableParagraph"/>
              <w:kinsoku w:val="0"/>
              <w:overflowPunct w:val="0"/>
              <w:spacing w:line="217" w:lineRule="exact"/>
              <w:ind w:left="12" w:right="4"/>
              <w:jc w:val="center"/>
              <w:rPr>
                <w:sz w:val="20"/>
                <w:szCs w:val="20"/>
              </w:rPr>
            </w:pPr>
            <w:r w:rsidRPr="004D7D2F">
              <w:rPr>
                <w:sz w:val="20"/>
                <w:szCs w:val="20"/>
              </w:rPr>
              <w:t>&lt;0.0001</w:t>
            </w:r>
          </w:p>
        </w:tc>
        <w:tc>
          <w:tcPr>
            <w:tcW w:w="1177" w:type="dxa"/>
            <w:tcBorders>
              <w:top w:val="nil"/>
              <w:left w:val="single" w:sz="4" w:space="0" w:color="000000"/>
              <w:bottom w:val="single" w:sz="4" w:space="0" w:color="000000"/>
              <w:right w:val="single" w:sz="4" w:space="0" w:color="000000"/>
            </w:tcBorders>
            <w:hideMark/>
          </w:tcPr>
          <w:p w14:paraId="07CAA314" w14:textId="77777777" w:rsidR="002746A7" w:rsidRPr="004D7D2F" w:rsidRDefault="002746A7">
            <w:pPr>
              <w:pStyle w:val="TableParagraph"/>
              <w:kinsoku w:val="0"/>
              <w:overflowPunct w:val="0"/>
              <w:spacing w:line="217" w:lineRule="exact"/>
              <w:ind w:left="12" w:right="4"/>
              <w:jc w:val="center"/>
              <w:rPr>
                <w:sz w:val="20"/>
                <w:szCs w:val="20"/>
              </w:rPr>
            </w:pPr>
            <w:r w:rsidRPr="004D7D2F">
              <w:rPr>
                <w:sz w:val="20"/>
                <w:szCs w:val="20"/>
              </w:rPr>
              <w:t>&lt;0.0001</w:t>
            </w:r>
          </w:p>
        </w:tc>
        <w:tc>
          <w:tcPr>
            <w:tcW w:w="1177" w:type="dxa"/>
            <w:tcBorders>
              <w:top w:val="nil"/>
              <w:left w:val="single" w:sz="4" w:space="0" w:color="000000"/>
              <w:bottom w:val="single" w:sz="4" w:space="0" w:color="000000"/>
              <w:right w:val="single" w:sz="4" w:space="0" w:color="000000"/>
            </w:tcBorders>
            <w:hideMark/>
          </w:tcPr>
          <w:p w14:paraId="03DEE254" w14:textId="77777777" w:rsidR="002746A7" w:rsidRPr="004D7D2F" w:rsidRDefault="002746A7">
            <w:pPr>
              <w:pStyle w:val="TableParagraph"/>
              <w:kinsoku w:val="0"/>
              <w:overflowPunct w:val="0"/>
              <w:spacing w:line="217" w:lineRule="exact"/>
              <w:ind w:left="12" w:right="4"/>
              <w:jc w:val="center"/>
              <w:rPr>
                <w:sz w:val="20"/>
                <w:szCs w:val="20"/>
              </w:rPr>
            </w:pPr>
            <w:r w:rsidRPr="004D7D2F">
              <w:rPr>
                <w:sz w:val="20"/>
                <w:szCs w:val="20"/>
              </w:rPr>
              <w:t>&lt;0.0001</w:t>
            </w:r>
          </w:p>
        </w:tc>
      </w:tr>
    </w:tbl>
    <w:p w14:paraId="67F265E0" w14:textId="77777777" w:rsidR="002746A7" w:rsidRPr="004D7D2F" w:rsidRDefault="002746A7" w:rsidP="004D7D2F">
      <w:pPr>
        <w:pStyle w:val="Brdtekst"/>
        <w:kinsoku w:val="0"/>
        <w:overflowPunct w:val="0"/>
        <w:ind w:left="851"/>
        <w:rPr>
          <w:sz w:val="20"/>
          <w:szCs w:val="20"/>
        </w:rPr>
      </w:pPr>
      <w:r w:rsidRPr="004D7D2F">
        <w:rPr>
          <w:position w:val="5"/>
          <w:sz w:val="20"/>
          <w:szCs w:val="20"/>
        </w:rPr>
        <w:t>1</w:t>
      </w:r>
      <w:r w:rsidRPr="004D7D2F">
        <w:rPr>
          <w:spacing w:val="14"/>
          <w:position w:val="5"/>
          <w:sz w:val="20"/>
          <w:szCs w:val="20"/>
        </w:rPr>
        <w:t xml:space="preserve"> </w:t>
      </w:r>
      <w:r w:rsidRPr="004D7D2F">
        <w:rPr>
          <w:sz w:val="20"/>
          <w:szCs w:val="20"/>
        </w:rPr>
        <w:t>Endpoint is</w:t>
      </w:r>
      <w:r w:rsidRPr="004D7D2F">
        <w:rPr>
          <w:spacing w:val="-1"/>
          <w:sz w:val="20"/>
          <w:szCs w:val="20"/>
        </w:rPr>
        <w:t xml:space="preserve"> </w:t>
      </w:r>
      <w:r w:rsidRPr="004D7D2F">
        <w:rPr>
          <w:sz w:val="20"/>
          <w:szCs w:val="20"/>
        </w:rPr>
        <w:t>the</w:t>
      </w:r>
      <w:r w:rsidRPr="004D7D2F">
        <w:rPr>
          <w:spacing w:val="-3"/>
          <w:sz w:val="20"/>
          <w:szCs w:val="20"/>
        </w:rPr>
        <w:t xml:space="preserve"> </w:t>
      </w:r>
      <w:r w:rsidRPr="004D7D2F">
        <w:rPr>
          <w:sz w:val="20"/>
          <w:szCs w:val="20"/>
        </w:rPr>
        <w:t>last post-</w:t>
      </w:r>
      <w:proofErr w:type="spellStart"/>
      <w:r w:rsidRPr="004D7D2F">
        <w:rPr>
          <w:sz w:val="20"/>
          <w:szCs w:val="20"/>
        </w:rPr>
        <w:t>randomisation</w:t>
      </w:r>
      <w:proofErr w:type="spellEnd"/>
      <w:r w:rsidRPr="004D7D2F">
        <w:rPr>
          <w:spacing w:val="1"/>
          <w:sz w:val="20"/>
          <w:szCs w:val="20"/>
        </w:rPr>
        <w:t xml:space="preserve"> </w:t>
      </w:r>
      <w:r w:rsidRPr="004D7D2F">
        <w:rPr>
          <w:sz w:val="20"/>
          <w:szCs w:val="20"/>
        </w:rPr>
        <w:t>treatment week for</w:t>
      </w:r>
      <w:r w:rsidRPr="004D7D2F">
        <w:rPr>
          <w:spacing w:val="-1"/>
          <w:sz w:val="20"/>
          <w:szCs w:val="20"/>
        </w:rPr>
        <w:t xml:space="preserve"> </w:t>
      </w:r>
      <w:r w:rsidRPr="004D7D2F">
        <w:rPr>
          <w:sz w:val="20"/>
          <w:szCs w:val="20"/>
        </w:rPr>
        <w:t>which</w:t>
      </w:r>
      <w:r w:rsidRPr="004D7D2F">
        <w:rPr>
          <w:spacing w:val="1"/>
          <w:sz w:val="20"/>
          <w:szCs w:val="20"/>
        </w:rPr>
        <w:t xml:space="preserve"> </w:t>
      </w:r>
      <w:r w:rsidRPr="004D7D2F">
        <w:rPr>
          <w:sz w:val="20"/>
          <w:szCs w:val="20"/>
        </w:rPr>
        <w:t>a</w:t>
      </w:r>
      <w:r w:rsidRPr="004D7D2F">
        <w:rPr>
          <w:spacing w:val="-1"/>
          <w:sz w:val="20"/>
          <w:szCs w:val="20"/>
        </w:rPr>
        <w:t xml:space="preserve"> </w:t>
      </w:r>
      <w:r w:rsidRPr="004D7D2F">
        <w:rPr>
          <w:sz w:val="20"/>
          <w:szCs w:val="20"/>
        </w:rPr>
        <w:t>valid</w:t>
      </w:r>
      <w:r w:rsidRPr="004D7D2F">
        <w:rPr>
          <w:spacing w:val="1"/>
          <w:sz w:val="20"/>
          <w:szCs w:val="20"/>
        </w:rPr>
        <w:t xml:space="preserve"> </w:t>
      </w:r>
      <w:r w:rsidRPr="004D7D2F">
        <w:rPr>
          <w:sz w:val="20"/>
          <w:szCs w:val="20"/>
        </w:rPr>
        <w:t>ADHD-RS-IV</w:t>
      </w:r>
      <w:r w:rsidRPr="004D7D2F">
        <w:rPr>
          <w:spacing w:val="-1"/>
          <w:sz w:val="20"/>
          <w:szCs w:val="20"/>
        </w:rPr>
        <w:t xml:space="preserve"> </w:t>
      </w:r>
      <w:r w:rsidRPr="004D7D2F">
        <w:rPr>
          <w:sz w:val="20"/>
          <w:szCs w:val="20"/>
        </w:rPr>
        <w:t>Total</w:t>
      </w:r>
      <w:r w:rsidRPr="004D7D2F">
        <w:rPr>
          <w:spacing w:val="-2"/>
          <w:sz w:val="20"/>
          <w:szCs w:val="20"/>
        </w:rPr>
        <w:t xml:space="preserve"> </w:t>
      </w:r>
      <w:r w:rsidRPr="004D7D2F">
        <w:rPr>
          <w:sz w:val="20"/>
          <w:szCs w:val="20"/>
        </w:rPr>
        <w:t>Score</w:t>
      </w:r>
      <w:r w:rsidRPr="004D7D2F">
        <w:rPr>
          <w:spacing w:val="-3"/>
          <w:sz w:val="20"/>
          <w:szCs w:val="20"/>
        </w:rPr>
        <w:t xml:space="preserve"> </w:t>
      </w:r>
      <w:r w:rsidRPr="004D7D2F">
        <w:rPr>
          <w:sz w:val="20"/>
          <w:szCs w:val="20"/>
        </w:rPr>
        <w:t>is</w:t>
      </w:r>
      <w:r w:rsidRPr="004D7D2F">
        <w:rPr>
          <w:spacing w:val="-1"/>
          <w:sz w:val="20"/>
          <w:szCs w:val="20"/>
        </w:rPr>
        <w:t xml:space="preserve"> </w:t>
      </w:r>
      <w:r w:rsidRPr="004D7D2F">
        <w:rPr>
          <w:sz w:val="20"/>
          <w:szCs w:val="20"/>
        </w:rPr>
        <w:t>obtained.</w:t>
      </w:r>
    </w:p>
    <w:p w14:paraId="593B383C" w14:textId="77777777" w:rsidR="002746A7" w:rsidRPr="004D7D2F" w:rsidRDefault="002746A7" w:rsidP="004D7D2F">
      <w:pPr>
        <w:pStyle w:val="Brdtekst"/>
        <w:kinsoku w:val="0"/>
        <w:overflowPunct w:val="0"/>
        <w:ind w:left="851" w:right="1135"/>
        <w:rPr>
          <w:sz w:val="20"/>
          <w:szCs w:val="20"/>
        </w:rPr>
      </w:pPr>
      <w:r w:rsidRPr="004D7D2F">
        <w:rPr>
          <w:sz w:val="20"/>
          <w:szCs w:val="20"/>
        </w:rPr>
        <w:t>Note:</w:t>
      </w:r>
      <w:r w:rsidRPr="004D7D2F">
        <w:rPr>
          <w:spacing w:val="5"/>
          <w:sz w:val="20"/>
          <w:szCs w:val="20"/>
        </w:rPr>
        <w:t xml:space="preserve"> </w:t>
      </w:r>
      <w:r w:rsidRPr="004D7D2F">
        <w:rPr>
          <w:sz w:val="20"/>
          <w:szCs w:val="20"/>
        </w:rPr>
        <w:t>Dunnett’s</w:t>
      </w:r>
      <w:r w:rsidRPr="004D7D2F">
        <w:rPr>
          <w:spacing w:val="7"/>
          <w:sz w:val="20"/>
          <w:szCs w:val="20"/>
        </w:rPr>
        <w:t xml:space="preserve"> </w:t>
      </w:r>
      <w:r w:rsidRPr="004D7D2F">
        <w:rPr>
          <w:sz w:val="20"/>
          <w:szCs w:val="20"/>
        </w:rPr>
        <w:t>test</w:t>
      </w:r>
      <w:r w:rsidRPr="004D7D2F">
        <w:rPr>
          <w:spacing w:val="7"/>
          <w:sz w:val="20"/>
          <w:szCs w:val="20"/>
        </w:rPr>
        <w:t xml:space="preserve"> </w:t>
      </w:r>
      <w:r w:rsidRPr="004D7D2F">
        <w:rPr>
          <w:sz w:val="20"/>
          <w:szCs w:val="20"/>
        </w:rPr>
        <w:t>was</w:t>
      </w:r>
      <w:r w:rsidRPr="004D7D2F">
        <w:rPr>
          <w:spacing w:val="7"/>
          <w:sz w:val="20"/>
          <w:szCs w:val="20"/>
        </w:rPr>
        <w:t xml:space="preserve"> </w:t>
      </w:r>
      <w:r w:rsidRPr="004D7D2F">
        <w:rPr>
          <w:sz w:val="20"/>
          <w:szCs w:val="20"/>
        </w:rPr>
        <w:t>used</w:t>
      </w:r>
      <w:r w:rsidRPr="004D7D2F">
        <w:rPr>
          <w:spacing w:val="8"/>
          <w:sz w:val="20"/>
          <w:szCs w:val="20"/>
        </w:rPr>
        <w:t xml:space="preserve"> </w:t>
      </w:r>
      <w:r w:rsidRPr="004D7D2F">
        <w:rPr>
          <w:sz w:val="20"/>
          <w:szCs w:val="20"/>
        </w:rPr>
        <w:t>for</w:t>
      </w:r>
      <w:r w:rsidRPr="004D7D2F">
        <w:rPr>
          <w:spacing w:val="6"/>
          <w:sz w:val="20"/>
          <w:szCs w:val="20"/>
        </w:rPr>
        <w:t xml:space="preserve"> </w:t>
      </w:r>
      <w:r w:rsidRPr="004D7D2F">
        <w:rPr>
          <w:sz w:val="20"/>
          <w:szCs w:val="20"/>
        </w:rPr>
        <w:t>the</w:t>
      </w:r>
      <w:r w:rsidRPr="004D7D2F">
        <w:rPr>
          <w:spacing w:val="5"/>
          <w:sz w:val="20"/>
          <w:szCs w:val="20"/>
        </w:rPr>
        <w:t xml:space="preserve"> </w:t>
      </w:r>
      <w:r w:rsidRPr="004D7D2F">
        <w:rPr>
          <w:sz w:val="20"/>
          <w:szCs w:val="20"/>
        </w:rPr>
        <w:t>construction</w:t>
      </w:r>
      <w:r w:rsidRPr="004D7D2F">
        <w:rPr>
          <w:spacing w:val="8"/>
          <w:sz w:val="20"/>
          <w:szCs w:val="20"/>
        </w:rPr>
        <w:t xml:space="preserve"> </w:t>
      </w:r>
      <w:r w:rsidRPr="004D7D2F">
        <w:rPr>
          <w:sz w:val="20"/>
          <w:szCs w:val="20"/>
        </w:rPr>
        <w:t>of</w:t>
      </w:r>
      <w:r w:rsidRPr="004D7D2F">
        <w:rPr>
          <w:spacing w:val="6"/>
          <w:sz w:val="20"/>
          <w:szCs w:val="20"/>
        </w:rPr>
        <w:t xml:space="preserve"> </w:t>
      </w:r>
      <w:r w:rsidRPr="004D7D2F">
        <w:rPr>
          <w:sz w:val="20"/>
          <w:szCs w:val="20"/>
        </w:rPr>
        <w:t>CIs</w:t>
      </w:r>
      <w:r w:rsidRPr="004D7D2F">
        <w:rPr>
          <w:spacing w:val="7"/>
          <w:sz w:val="20"/>
          <w:szCs w:val="20"/>
        </w:rPr>
        <w:t xml:space="preserve"> </w:t>
      </w:r>
      <w:r w:rsidRPr="004D7D2F">
        <w:rPr>
          <w:sz w:val="20"/>
          <w:szCs w:val="20"/>
        </w:rPr>
        <w:t>and</w:t>
      </w:r>
      <w:r w:rsidRPr="004D7D2F">
        <w:rPr>
          <w:spacing w:val="8"/>
          <w:sz w:val="20"/>
          <w:szCs w:val="20"/>
        </w:rPr>
        <w:t xml:space="preserve"> </w:t>
      </w:r>
      <w:r w:rsidRPr="004D7D2F">
        <w:rPr>
          <w:sz w:val="20"/>
          <w:szCs w:val="20"/>
        </w:rPr>
        <w:t>p-values;</w:t>
      </w:r>
      <w:r w:rsidRPr="004D7D2F">
        <w:rPr>
          <w:spacing w:val="8"/>
          <w:sz w:val="20"/>
          <w:szCs w:val="20"/>
        </w:rPr>
        <w:t xml:space="preserve"> </w:t>
      </w:r>
      <w:r w:rsidRPr="004D7D2F">
        <w:rPr>
          <w:sz w:val="20"/>
          <w:szCs w:val="20"/>
        </w:rPr>
        <w:t>p-values</w:t>
      </w:r>
      <w:r w:rsidRPr="004D7D2F">
        <w:rPr>
          <w:spacing w:val="7"/>
          <w:sz w:val="20"/>
          <w:szCs w:val="20"/>
        </w:rPr>
        <w:t xml:space="preserve"> </w:t>
      </w:r>
      <w:r w:rsidRPr="004D7D2F">
        <w:rPr>
          <w:sz w:val="20"/>
          <w:szCs w:val="20"/>
        </w:rPr>
        <w:t>are</w:t>
      </w:r>
      <w:r w:rsidRPr="004D7D2F">
        <w:rPr>
          <w:spacing w:val="5"/>
          <w:sz w:val="20"/>
          <w:szCs w:val="20"/>
        </w:rPr>
        <w:t xml:space="preserve"> </w:t>
      </w:r>
      <w:r w:rsidRPr="004D7D2F">
        <w:rPr>
          <w:sz w:val="20"/>
          <w:szCs w:val="20"/>
        </w:rPr>
        <w:t>the</w:t>
      </w:r>
      <w:r w:rsidRPr="004D7D2F">
        <w:rPr>
          <w:spacing w:val="5"/>
          <w:sz w:val="20"/>
          <w:szCs w:val="20"/>
        </w:rPr>
        <w:t xml:space="preserve"> </w:t>
      </w:r>
      <w:r w:rsidRPr="004D7D2F">
        <w:rPr>
          <w:sz w:val="20"/>
          <w:szCs w:val="20"/>
        </w:rPr>
        <w:t>adjusted</w:t>
      </w:r>
      <w:r w:rsidRPr="004D7D2F">
        <w:rPr>
          <w:spacing w:val="8"/>
          <w:sz w:val="20"/>
          <w:szCs w:val="20"/>
        </w:rPr>
        <w:t xml:space="preserve"> </w:t>
      </w:r>
      <w:r w:rsidRPr="004D7D2F">
        <w:rPr>
          <w:sz w:val="20"/>
          <w:szCs w:val="20"/>
        </w:rPr>
        <w:t>p-values</w:t>
      </w:r>
      <w:r w:rsidRPr="004D7D2F">
        <w:rPr>
          <w:spacing w:val="7"/>
          <w:sz w:val="20"/>
          <w:szCs w:val="20"/>
        </w:rPr>
        <w:t xml:space="preserve"> </w:t>
      </w:r>
      <w:r w:rsidRPr="004D7D2F">
        <w:rPr>
          <w:sz w:val="20"/>
          <w:szCs w:val="20"/>
        </w:rPr>
        <w:t>and</w:t>
      </w:r>
      <w:r w:rsidRPr="004D7D2F">
        <w:rPr>
          <w:spacing w:val="8"/>
          <w:sz w:val="20"/>
          <w:szCs w:val="20"/>
        </w:rPr>
        <w:t xml:space="preserve"> </w:t>
      </w:r>
      <w:r w:rsidRPr="004D7D2F">
        <w:rPr>
          <w:sz w:val="20"/>
          <w:szCs w:val="20"/>
        </w:rPr>
        <w:t>should</w:t>
      </w:r>
      <w:r w:rsidRPr="004D7D2F">
        <w:rPr>
          <w:spacing w:val="1"/>
          <w:sz w:val="20"/>
          <w:szCs w:val="20"/>
        </w:rPr>
        <w:t xml:space="preserve"> </w:t>
      </w:r>
      <w:r w:rsidRPr="004D7D2F">
        <w:rPr>
          <w:sz w:val="20"/>
          <w:szCs w:val="20"/>
        </w:rPr>
        <w:t>be</w:t>
      </w:r>
      <w:r w:rsidRPr="004D7D2F">
        <w:rPr>
          <w:spacing w:val="-1"/>
          <w:sz w:val="20"/>
          <w:szCs w:val="20"/>
        </w:rPr>
        <w:t xml:space="preserve"> </w:t>
      </w:r>
      <w:r w:rsidRPr="004D7D2F">
        <w:rPr>
          <w:sz w:val="20"/>
          <w:szCs w:val="20"/>
        </w:rPr>
        <w:t>compared</w:t>
      </w:r>
      <w:r w:rsidRPr="004D7D2F">
        <w:rPr>
          <w:spacing w:val="2"/>
          <w:sz w:val="20"/>
          <w:szCs w:val="20"/>
        </w:rPr>
        <w:t xml:space="preserve"> </w:t>
      </w:r>
      <w:r w:rsidRPr="004D7D2F">
        <w:rPr>
          <w:sz w:val="20"/>
          <w:szCs w:val="20"/>
        </w:rPr>
        <w:t>to a</w:t>
      </w:r>
      <w:r w:rsidRPr="004D7D2F">
        <w:rPr>
          <w:spacing w:val="1"/>
          <w:sz w:val="20"/>
          <w:szCs w:val="20"/>
        </w:rPr>
        <w:t xml:space="preserve"> </w:t>
      </w:r>
      <w:r w:rsidRPr="004D7D2F">
        <w:rPr>
          <w:sz w:val="20"/>
          <w:szCs w:val="20"/>
        </w:rPr>
        <w:t>critical</w:t>
      </w:r>
      <w:r w:rsidRPr="004D7D2F">
        <w:rPr>
          <w:spacing w:val="-1"/>
          <w:sz w:val="20"/>
          <w:szCs w:val="20"/>
        </w:rPr>
        <w:t xml:space="preserve"> </w:t>
      </w:r>
      <w:r w:rsidRPr="004D7D2F">
        <w:rPr>
          <w:sz w:val="20"/>
          <w:szCs w:val="20"/>
        </w:rPr>
        <w:t>alpha</w:t>
      </w:r>
      <w:r w:rsidRPr="004D7D2F">
        <w:rPr>
          <w:spacing w:val="1"/>
          <w:sz w:val="20"/>
          <w:szCs w:val="20"/>
        </w:rPr>
        <w:t xml:space="preserve"> </w:t>
      </w:r>
      <w:r w:rsidRPr="004D7D2F">
        <w:rPr>
          <w:sz w:val="20"/>
          <w:szCs w:val="20"/>
        </w:rPr>
        <w:t>of 0.05.</w:t>
      </w:r>
    </w:p>
    <w:p w14:paraId="4FE94B49" w14:textId="77777777" w:rsidR="002746A7" w:rsidRPr="004D7D2F" w:rsidRDefault="002746A7" w:rsidP="004D7D2F">
      <w:pPr>
        <w:pStyle w:val="Brdtekst"/>
        <w:kinsoku w:val="0"/>
        <w:overflowPunct w:val="0"/>
        <w:ind w:left="851"/>
        <w:rPr>
          <w:sz w:val="20"/>
          <w:szCs w:val="20"/>
        </w:rPr>
      </w:pPr>
      <w:r w:rsidRPr="004D7D2F">
        <w:rPr>
          <w:sz w:val="20"/>
          <w:szCs w:val="20"/>
        </w:rPr>
        <w:t>LS=least</w:t>
      </w:r>
      <w:r w:rsidRPr="004D7D2F">
        <w:rPr>
          <w:spacing w:val="-2"/>
          <w:sz w:val="20"/>
          <w:szCs w:val="20"/>
        </w:rPr>
        <w:t xml:space="preserve"> </w:t>
      </w:r>
      <w:r w:rsidRPr="004D7D2F">
        <w:rPr>
          <w:sz w:val="20"/>
          <w:szCs w:val="20"/>
        </w:rPr>
        <w:t>squares;</w:t>
      </w:r>
      <w:r w:rsidRPr="004D7D2F">
        <w:rPr>
          <w:spacing w:val="-1"/>
          <w:sz w:val="20"/>
          <w:szCs w:val="20"/>
        </w:rPr>
        <w:t xml:space="preserve"> </w:t>
      </w:r>
      <w:r w:rsidRPr="004D7D2F">
        <w:rPr>
          <w:sz w:val="20"/>
          <w:szCs w:val="20"/>
        </w:rPr>
        <w:t>SD=</w:t>
      </w:r>
      <w:r w:rsidRPr="004D7D2F">
        <w:rPr>
          <w:spacing w:val="-1"/>
          <w:sz w:val="20"/>
          <w:szCs w:val="20"/>
        </w:rPr>
        <w:t xml:space="preserve"> </w:t>
      </w:r>
      <w:r w:rsidRPr="004D7D2F">
        <w:rPr>
          <w:sz w:val="20"/>
          <w:szCs w:val="20"/>
        </w:rPr>
        <w:t>standard deviation;</w:t>
      </w:r>
      <w:r w:rsidRPr="004D7D2F">
        <w:rPr>
          <w:spacing w:val="-1"/>
          <w:sz w:val="20"/>
          <w:szCs w:val="20"/>
        </w:rPr>
        <w:t xml:space="preserve"> </w:t>
      </w:r>
      <w:r w:rsidRPr="004D7D2F">
        <w:rPr>
          <w:sz w:val="20"/>
          <w:szCs w:val="20"/>
        </w:rPr>
        <w:t>SE=standard error.</w:t>
      </w:r>
    </w:p>
    <w:p w14:paraId="43FA022A" w14:textId="77777777" w:rsidR="002746A7" w:rsidRPr="004D7D2F" w:rsidRDefault="002746A7" w:rsidP="002746A7">
      <w:pPr>
        <w:rPr>
          <w:sz w:val="24"/>
          <w:szCs w:val="24"/>
          <w:lang w:val="en-GB"/>
        </w:rPr>
      </w:pPr>
    </w:p>
    <w:p w14:paraId="6931EC82" w14:textId="77777777" w:rsidR="002746A7" w:rsidRPr="002177D4" w:rsidRDefault="002746A7" w:rsidP="00EC2189">
      <w:pPr>
        <w:ind w:left="851"/>
        <w:rPr>
          <w:sz w:val="24"/>
          <w:szCs w:val="24"/>
          <w:lang w:val="en-GB"/>
        </w:rPr>
      </w:pPr>
      <w:r w:rsidRPr="002177D4">
        <w:rPr>
          <w:sz w:val="24"/>
          <w:szCs w:val="24"/>
          <w:lang w:val="en-GB"/>
        </w:rPr>
        <w:t xml:space="preserve">Study 2 was a 10-week, double-blind, placebo-controlled study conducted to evaluate change in executive function behaviours, key quality of life outcomes, and ADHD symptoms in adults with ADHD and a clinically significant impairment in executive function. The study enrolled adults aged 18 to 55 years (n=161) who met DSM-IV criteria for ADHD as assessed by a total score of ≥ 65 on the Behaviour Rating Inventory of Executive Function – Adult Version (BRIEF-A) Global Executive Composite (GEC) T-score by subject-report and a score of ≥ 28 using the Adult ADHD-RS with prompts at the Baseline visit. At Week 10 the mean subject-reported BRIEF-A GEC T-score was 68.3 for the placebo group and 57.2 for the SPD489 group, representing LS mean changes from baseline of -11.1 and -22.3, respectively. The effect size was 0.74 in favour of the SPD489 group. The difference in LS mean change from baseline to week 10 (-11.2) was significantly better in the </w:t>
      </w:r>
      <w:proofErr w:type="spellStart"/>
      <w:r w:rsidRPr="002177D4">
        <w:rPr>
          <w:sz w:val="24"/>
          <w:szCs w:val="24"/>
          <w:lang w:val="en-GB"/>
        </w:rPr>
        <w:t>lisdexamfetamine</w:t>
      </w:r>
      <w:proofErr w:type="spellEnd"/>
      <w:r w:rsidRPr="002177D4">
        <w:rPr>
          <w:sz w:val="24"/>
          <w:szCs w:val="24"/>
          <w:lang w:val="en-GB"/>
        </w:rPr>
        <w:t xml:space="preserve"> group compared with placebo (p&lt;0.0001). Secondary efficacy measures of Adult ADHD Impact Module (AIM-A), ADHD-RS with adult prompts, CGI-I and the ADHD Index T-score of the </w:t>
      </w:r>
      <w:proofErr w:type="spellStart"/>
      <w:r w:rsidRPr="002177D4">
        <w:rPr>
          <w:sz w:val="24"/>
          <w:szCs w:val="24"/>
          <w:lang w:val="en-GB"/>
        </w:rPr>
        <w:t>Conners</w:t>
      </w:r>
      <w:proofErr w:type="spellEnd"/>
      <w:r w:rsidRPr="002177D4">
        <w:rPr>
          <w:sz w:val="24"/>
          <w:szCs w:val="24"/>
          <w:lang w:val="en-GB"/>
        </w:rPr>
        <w:t xml:space="preserve">’ Adult ADHD Rating Scale – Observer: Short Version (CAARS-O:S) were all significantly better in the </w:t>
      </w:r>
      <w:proofErr w:type="spellStart"/>
      <w:r w:rsidRPr="002177D4">
        <w:rPr>
          <w:sz w:val="24"/>
          <w:szCs w:val="24"/>
          <w:lang w:val="en-GB"/>
        </w:rPr>
        <w:t>lisdexamfetamine</w:t>
      </w:r>
      <w:proofErr w:type="spellEnd"/>
      <w:r w:rsidRPr="002177D4">
        <w:rPr>
          <w:sz w:val="24"/>
          <w:szCs w:val="24"/>
          <w:lang w:val="en-GB"/>
        </w:rPr>
        <w:t xml:space="preserve"> group compared with placebo.</w:t>
      </w:r>
    </w:p>
    <w:p w14:paraId="3B4B1C9B" w14:textId="77777777" w:rsidR="002746A7" w:rsidRPr="002177D4" w:rsidRDefault="002746A7" w:rsidP="00EC2189">
      <w:pPr>
        <w:ind w:left="851"/>
        <w:rPr>
          <w:sz w:val="24"/>
          <w:szCs w:val="24"/>
          <w:lang w:val="en-GB"/>
        </w:rPr>
      </w:pPr>
    </w:p>
    <w:p w14:paraId="4B9536EE" w14:textId="77777777" w:rsidR="002746A7" w:rsidRPr="002177D4" w:rsidRDefault="002746A7" w:rsidP="00EC2189">
      <w:pPr>
        <w:ind w:left="851"/>
        <w:rPr>
          <w:sz w:val="24"/>
          <w:szCs w:val="24"/>
          <w:lang w:val="en-GB"/>
        </w:rPr>
      </w:pPr>
      <w:r w:rsidRPr="002177D4">
        <w:rPr>
          <w:sz w:val="24"/>
          <w:szCs w:val="24"/>
          <w:lang w:val="en-GB"/>
        </w:rPr>
        <w:t xml:space="preserve">Study 3 was a multi-centre, randomised, double-blind, placebo-controlled, crossover study. This study of </w:t>
      </w:r>
      <w:proofErr w:type="spellStart"/>
      <w:r w:rsidRPr="002177D4">
        <w:rPr>
          <w:sz w:val="24"/>
          <w:szCs w:val="24"/>
          <w:lang w:val="en-GB"/>
        </w:rPr>
        <w:t>lisdexamfetamine</w:t>
      </w:r>
      <w:proofErr w:type="spellEnd"/>
      <w:r w:rsidRPr="002177D4">
        <w:rPr>
          <w:sz w:val="24"/>
          <w:szCs w:val="24"/>
          <w:lang w:val="en-GB"/>
        </w:rPr>
        <w:t xml:space="preserve"> was designed to simulate a workplace environment and enrolled 142 adults. Following a 4-week open-label, dose optimisation phase with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(30, 50, or 70 mg/day in the morning), subjects were randomised to one of two treatment sequences: 1</w:t>
      </w:r>
      <w:proofErr w:type="gramStart"/>
      <w:r w:rsidRPr="002177D4">
        <w:rPr>
          <w:sz w:val="24"/>
          <w:szCs w:val="24"/>
          <w:lang w:val="en-GB"/>
        </w:rPr>
        <w:t xml:space="preserve">)  </w:t>
      </w:r>
      <w:proofErr w:type="spellStart"/>
      <w:r w:rsidRPr="002177D4">
        <w:rPr>
          <w:sz w:val="24"/>
          <w:szCs w:val="24"/>
          <w:lang w:val="en-GB"/>
        </w:rPr>
        <w:t>lisdexamfetamine</w:t>
      </w:r>
      <w:proofErr w:type="spellEnd"/>
      <w:proofErr w:type="gramEnd"/>
      <w:r w:rsidRPr="002177D4">
        <w:rPr>
          <w:sz w:val="24"/>
          <w:szCs w:val="24"/>
          <w:lang w:val="en-GB"/>
        </w:rPr>
        <w:t xml:space="preserve"> (optimised dose) followed by placebo, each for one week, or 2) placebo followed by  </w:t>
      </w:r>
      <w:proofErr w:type="spellStart"/>
      <w:r w:rsidRPr="002177D4">
        <w:rPr>
          <w:sz w:val="24"/>
          <w:szCs w:val="24"/>
          <w:lang w:val="en-GB"/>
        </w:rPr>
        <w:t>lisdexamfetamine</w:t>
      </w:r>
      <w:proofErr w:type="spellEnd"/>
      <w:r w:rsidRPr="002177D4">
        <w:rPr>
          <w:sz w:val="24"/>
          <w:szCs w:val="24"/>
          <w:lang w:val="en-GB"/>
        </w:rPr>
        <w:t xml:space="preserve"> each for one week. Efficacy assessments occurred at the end of each week, using the Permanent Product Measure of Performance (PERMP). The PERMP is a skill-adjusted maths test that measures attention in ADHD. </w:t>
      </w:r>
      <w:proofErr w:type="spellStart"/>
      <w:r w:rsidRPr="002177D4">
        <w:rPr>
          <w:sz w:val="24"/>
          <w:szCs w:val="24"/>
          <w:lang w:val="en-GB"/>
        </w:rPr>
        <w:t>Lisdexamfetamine</w:t>
      </w:r>
      <w:proofErr w:type="spellEnd"/>
      <w:r w:rsidRPr="002177D4">
        <w:rPr>
          <w:sz w:val="24"/>
          <w:szCs w:val="24"/>
          <w:lang w:val="en-GB"/>
        </w:rPr>
        <w:t xml:space="preserve"> treatment, compared to placebo, resulted in a statistically significant improvement in attention across all post-dose time points, as measured by average PERMP total scores over the course of one assessment day, as well as at each time point measured. The PERMP assessments were administered at pre-dose (-0.5 hours) and at 2, 4, 8, 10, 12, and 14 hours post-dose.</w:t>
      </w:r>
    </w:p>
    <w:p w14:paraId="36693362" w14:textId="77777777" w:rsidR="002746A7" w:rsidRPr="002177D4" w:rsidRDefault="002746A7" w:rsidP="00EC2189">
      <w:pPr>
        <w:ind w:left="851"/>
        <w:rPr>
          <w:sz w:val="24"/>
          <w:szCs w:val="24"/>
          <w:lang w:val="en-GB"/>
        </w:rPr>
      </w:pPr>
    </w:p>
    <w:p w14:paraId="7BDCA366" w14:textId="127532B6" w:rsidR="002746A7" w:rsidRPr="002177D4" w:rsidRDefault="002746A7" w:rsidP="00EC2189">
      <w:pPr>
        <w:ind w:left="851"/>
        <w:rPr>
          <w:sz w:val="24"/>
          <w:szCs w:val="24"/>
          <w:lang w:val="en-GB"/>
        </w:rPr>
      </w:pPr>
      <w:r w:rsidRPr="002177D4">
        <w:rPr>
          <w:sz w:val="24"/>
          <w:szCs w:val="24"/>
          <w:lang w:val="en-GB"/>
        </w:rPr>
        <w:t>Study 4 examined maintenance of efficacy. This study was a double-blind, placebo-controlled, randomised withdrawal design study was conducted in adults aged 18 to 55 (n=123) who met DSM-IV criteria for ADHD. At study entry, subjects must have had documentation of treatment with</w:t>
      </w:r>
      <w:r w:rsidR="00200AAD">
        <w:rPr>
          <w:sz w:val="24"/>
          <w:szCs w:val="24"/>
          <w:lang w:val="en-GB"/>
        </w:rPr>
        <w:t xml:space="preserve"> </w:t>
      </w:r>
      <w:proofErr w:type="spellStart"/>
      <w:r w:rsidRPr="002177D4">
        <w:rPr>
          <w:sz w:val="24"/>
          <w:szCs w:val="24"/>
          <w:lang w:val="en-GB"/>
        </w:rPr>
        <w:t>lisdexamfetamine</w:t>
      </w:r>
      <w:proofErr w:type="spellEnd"/>
      <w:r w:rsidRPr="002177D4">
        <w:rPr>
          <w:sz w:val="24"/>
          <w:szCs w:val="24"/>
          <w:lang w:val="en-GB"/>
        </w:rPr>
        <w:t xml:space="preserve"> for a minimum of 6 months and had to demonstrate treatment response as defined by CGI-S ≤ 3 and Total Score on the ADHD-RS with adult prompts &lt; 22. ADHD-RS with adult prompts Total Score is a measure of core symptoms of ADHD. Subjects that maintained treatment response at week 3 of open label treatment phase (n=116) were eligible to enter the double-blind randomised withdrawal phase, and received their entry dose of </w:t>
      </w:r>
      <w:proofErr w:type="spellStart"/>
      <w:r w:rsidRPr="002177D4">
        <w:rPr>
          <w:sz w:val="24"/>
          <w:szCs w:val="24"/>
          <w:lang w:val="en-GB"/>
        </w:rPr>
        <w:t>lisdexamfetamine</w:t>
      </w:r>
      <w:proofErr w:type="spellEnd"/>
      <w:r w:rsidRPr="002177D4">
        <w:rPr>
          <w:sz w:val="24"/>
          <w:szCs w:val="24"/>
          <w:lang w:val="en-GB"/>
        </w:rPr>
        <w:t xml:space="preserve"> (n=56) or placebo (n=60). Maintenance of efficacy for subjects treated with </w:t>
      </w:r>
      <w:proofErr w:type="spellStart"/>
      <w:r w:rsidRPr="002177D4">
        <w:rPr>
          <w:sz w:val="24"/>
          <w:szCs w:val="24"/>
          <w:lang w:val="en-GB"/>
        </w:rPr>
        <w:t>lisdexamfetamine</w:t>
      </w:r>
      <w:proofErr w:type="spellEnd"/>
      <w:r w:rsidRPr="002177D4">
        <w:rPr>
          <w:sz w:val="24"/>
          <w:szCs w:val="24"/>
          <w:lang w:val="en-GB"/>
        </w:rPr>
        <w:t xml:space="preserve"> was demonstrated by the significantly lower proportion of treatment failure (&lt; 9%) compared to subjects receiving placebo (75%) in the double-blind randomized withdrawal phase. Treatment failure was defined as a ≥ 50% increase (worsening) in the ADHD-RS with adult prompts Total Score and ≥ 2-point increase in the CGI-S score compared to scores at entry into the double-blind randomized withdrawal phase.</w:t>
      </w:r>
    </w:p>
    <w:p w14:paraId="5A757D69" w14:textId="77777777" w:rsidR="002746A7" w:rsidRPr="002177D4" w:rsidRDefault="002746A7" w:rsidP="00EC2189">
      <w:pPr>
        <w:ind w:left="851"/>
        <w:rPr>
          <w:sz w:val="24"/>
          <w:szCs w:val="24"/>
          <w:lang w:val="en-GB"/>
        </w:rPr>
      </w:pPr>
    </w:p>
    <w:p w14:paraId="6858FAA3" w14:textId="77777777" w:rsidR="002746A7" w:rsidRPr="002177D4" w:rsidRDefault="002746A7" w:rsidP="00EC2189">
      <w:pPr>
        <w:ind w:left="851"/>
        <w:rPr>
          <w:i/>
          <w:sz w:val="24"/>
          <w:szCs w:val="24"/>
          <w:lang w:val="en-GB"/>
        </w:rPr>
      </w:pPr>
      <w:r w:rsidRPr="002177D4">
        <w:rPr>
          <w:i/>
          <w:sz w:val="24"/>
          <w:szCs w:val="24"/>
          <w:lang w:val="en-GB"/>
        </w:rPr>
        <w:t>Paediatric population</w:t>
      </w:r>
    </w:p>
    <w:p w14:paraId="389422B8" w14:textId="77777777" w:rsidR="002746A7" w:rsidRPr="002177D4" w:rsidRDefault="002746A7" w:rsidP="00EC2189">
      <w:pPr>
        <w:ind w:left="851"/>
        <w:rPr>
          <w:sz w:val="24"/>
          <w:szCs w:val="24"/>
          <w:lang w:val="en-GB"/>
        </w:rPr>
      </w:pPr>
    </w:p>
    <w:p w14:paraId="2604CF14" w14:textId="77777777" w:rsidR="002746A7" w:rsidRPr="002177D4" w:rsidRDefault="002746A7" w:rsidP="00EC2189">
      <w:pPr>
        <w:ind w:left="851"/>
        <w:rPr>
          <w:sz w:val="24"/>
          <w:szCs w:val="24"/>
          <w:lang w:val="en-GB"/>
        </w:rPr>
      </w:pPr>
      <w:r w:rsidRPr="002177D4">
        <w:rPr>
          <w:sz w:val="24"/>
          <w:szCs w:val="24"/>
          <w:lang w:val="en-GB"/>
        </w:rPr>
        <w:t xml:space="preserve">The effects of </w:t>
      </w:r>
      <w:proofErr w:type="spellStart"/>
      <w:r w:rsidRPr="002177D4">
        <w:rPr>
          <w:sz w:val="24"/>
          <w:szCs w:val="24"/>
          <w:lang w:val="en-GB"/>
        </w:rPr>
        <w:t>lisdexamfetamine</w:t>
      </w:r>
      <w:proofErr w:type="spellEnd"/>
      <w:r w:rsidRPr="002177D4">
        <w:rPr>
          <w:sz w:val="24"/>
          <w:szCs w:val="24"/>
          <w:lang w:val="en-GB"/>
        </w:rPr>
        <w:t xml:space="preserve"> in the treatment of paediatric patients with ADHD have been demonstrated in three controlled trials in children aged 6 to 12 years, three controlled studies in adolescents aged 13 to 17 years, and three controlled studies in children and adolescents aged 6 to 17 years.</w:t>
      </w:r>
    </w:p>
    <w:p w14:paraId="2188EAC4" w14:textId="77777777" w:rsidR="002746A7" w:rsidRPr="002177D4" w:rsidRDefault="002746A7" w:rsidP="00EC2189">
      <w:pPr>
        <w:ind w:left="851"/>
        <w:rPr>
          <w:sz w:val="24"/>
          <w:szCs w:val="24"/>
          <w:lang w:val="en-GB"/>
        </w:rPr>
      </w:pPr>
    </w:p>
    <w:p w14:paraId="1CA31308" w14:textId="77777777" w:rsidR="002746A7" w:rsidRPr="002177D4" w:rsidRDefault="002746A7" w:rsidP="00EC2189">
      <w:pPr>
        <w:ind w:left="851"/>
        <w:rPr>
          <w:sz w:val="24"/>
          <w:szCs w:val="24"/>
          <w:lang w:val="en-GB"/>
        </w:rPr>
      </w:pPr>
      <w:r w:rsidRPr="002177D4">
        <w:rPr>
          <w:sz w:val="24"/>
          <w:szCs w:val="24"/>
          <w:lang w:val="en-GB"/>
        </w:rPr>
        <w:t xml:space="preserve">In study SPD489-325, 336 patients aged 6 to17 years were evaluated in a 7-week randomised double-blind, dose-optimised, placebo controlled with an active reference arm study. The primary efficacy assessment was the ADHD-RS-IV Total Score. </w:t>
      </w:r>
      <w:proofErr w:type="spellStart"/>
      <w:r w:rsidRPr="002177D4">
        <w:rPr>
          <w:sz w:val="24"/>
          <w:szCs w:val="24"/>
          <w:lang w:val="en-GB"/>
        </w:rPr>
        <w:t>Lisdexamfetamine</w:t>
      </w:r>
      <w:proofErr w:type="spellEnd"/>
      <w:r w:rsidRPr="002177D4">
        <w:rPr>
          <w:sz w:val="24"/>
          <w:szCs w:val="24"/>
          <w:lang w:val="en-GB"/>
        </w:rPr>
        <w:t xml:space="preserve"> showed significantly greater efficacy than placebo. The difference at Endpoint in least square means reduction from baseline in the ADHD-RS-IV Total Score was 18.6 (p&lt;0.001). At every on-treatment visit and at Endpoint the percentages of subjects who met pre-defined response criteria (a ≥ 30% reduction from Baseline in ADHD-RS-IV Total Score and a CGI-I value of 1 or 2) was significantly higher for </w:t>
      </w:r>
      <w:proofErr w:type="spellStart"/>
      <w:r w:rsidRPr="002177D4">
        <w:rPr>
          <w:sz w:val="24"/>
          <w:szCs w:val="24"/>
          <w:lang w:val="en-GB"/>
        </w:rPr>
        <w:t>lisdexamfetamine</w:t>
      </w:r>
      <w:proofErr w:type="spellEnd"/>
      <w:r w:rsidRPr="002177D4">
        <w:rPr>
          <w:sz w:val="24"/>
          <w:szCs w:val="24"/>
          <w:lang w:val="en-GB"/>
        </w:rPr>
        <w:t xml:space="preserve"> when compared to placebo (p&lt;0.001). In addition, mean scores for ADHD symptoms following treatment discontinuation did not exceed baseline scores prior to treatment, indicating there was no rebound effect. In addition to a reduction in symptoms, </w:t>
      </w:r>
      <w:proofErr w:type="spellStart"/>
      <w:r w:rsidRPr="002177D4">
        <w:rPr>
          <w:sz w:val="24"/>
          <w:szCs w:val="24"/>
          <w:lang w:val="en-GB"/>
        </w:rPr>
        <w:t>lisdexamfetamine</w:t>
      </w:r>
      <w:proofErr w:type="spellEnd"/>
      <w:r w:rsidRPr="002177D4">
        <w:rPr>
          <w:sz w:val="24"/>
          <w:szCs w:val="24"/>
          <w:lang w:val="en-GB"/>
        </w:rPr>
        <w:t xml:space="preserve"> significantly improved functional outcomes. In this study, 75.0% of subjects receiving </w:t>
      </w:r>
      <w:proofErr w:type="spellStart"/>
      <w:r w:rsidRPr="002177D4">
        <w:rPr>
          <w:sz w:val="24"/>
          <w:szCs w:val="24"/>
          <w:lang w:val="en-GB"/>
        </w:rPr>
        <w:t>lisdexamfetamine</w:t>
      </w:r>
      <w:proofErr w:type="spellEnd"/>
      <w:r w:rsidRPr="002177D4">
        <w:rPr>
          <w:sz w:val="24"/>
          <w:szCs w:val="24"/>
          <w:lang w:val="en-GB"/>
        </w:rPr>
        <w:t xml:space="preserve"> showed “improvement” (defined as “very much improved” or “much improved”) on the CGI-I rating scale compared to 14.2% on placebo (p&lt;0.001).</w:t>
      </w:r>
    </w:p>
    <w:p w14:paraId="371DEBBB" w14:textId="77777777" w:rsidR="002746A7" w:rsidRPr="002177D4" w:rsidRDefault="002746A7" w:rsidP="00EC2189">
      <w:pPr>
        <w:ind w:left="851"/>
        <w:rPr>
          <w:sz w:val="24"/>
          <w:szCs w:val="24"/>
          <w:lang w:val="en-GB"/>
        </w:rPr>
      </w:pPr>
    </w:p>
    <w:p w14:paraId="11E925E6" w14:textId="77777777" w:rsidR="002746A7" w:rsidRPr="002177D4" w:rsidRDefault="002746A7" w:rsidP="00EC2189">
      <w:pPr>
        <w:ind w:left="851"/>
        <w:rPr>
          <w:sz w:val="24"/>
          <w:szCs w:val="24"/>
          <w:lang w:val="en-GB"/>
        </w:rPr>
      </w:pPr>
      <w:r w:rsidRPr="002177D4">
        <w:rPr>
          <w:sz w:val="24"/>
          <w:szCs w:val="24"/>
          <w:lang w:val="en-GB"/>
        </w:rPr>
        <w:t xml:space="preserve">Similar results for ADHD-RS Total Score and CGI-I have been shown in two </w:t>
      </w:r>
      <w:proofErr w:type="gramStart"/>
      <w:r w:rsidRPr="002177D4">
        <w:rPr>
          <w:sz w:val="24"/>
          <w:szCs w:val="24"/>
          <w:lang w:val="en-GB"/>
        </w:rPr>
        <w:t>placebo controlled</w:t>
      </w:r>
      <w:proofErr w:type="gramEnd"/>
      <w:r w:rsidRPr="002177D4">
        <w:rPr>
          <w:sz w:val="24"/>
          <w:szCs w:val="24"/>
          <w:lang w:val="en-GB"/>
        </w:rPr>
        <w:t xml:space="preserve"> studies, one in children (n=297) and the other in adolescents (n=314), both conducted in the United States.</w:t>
      </w:r>
    </w:p>
    <w:p w14:paraId="385FAE8A" w14:textId="77777777" w:rsidR="002746A7" w:rsidRPr="002177D4" w:rsidRDefault="002746A7" w:rsidP="00EC2189">
      <w:pPr>
        <w:ind w:left="851"/>
        <w:rPr>
          <w:sz w:val="24"/>
          <w:szCs w:val="24"/>
          <w:lang w:val="en-GB"/>
        </w:rPr>
      </w:pPr>
    </w:p>
    <w:p w14:paraId="49B7B0A2" w14:textId="77777777" w:rsidR="002746A7" w:rsidRPr="002177D4" w:rsidRDefault="002746A7" w:rsidP="00EC2189">
      <w:pPr>
        <w:ind w:left="851"/>
        <w:rPr>
          <w:sz w:val="24"/>
          <w:szCs w:val="24"/>
          <w:lang w:val="en-GB"/>
        </w:rPr>
      </w:pPr>
      <w:r w:rsidRPr="002177D4">
        <w:rPr>
          <w:sz w:val="24"/>
          <w:szCs w:val="24"/>
          <w:lang w:val="en-GB"/>
        </w:rPr>
        <w:t xml:space="preserve">A double-blind, randomised, active-controlled, dose-optimisation study was conducted in children and adolescents aged 6 to 17 years (n=267) who met DSM-IV criteria for ADHD and also had an inadequate response to methylphenidate treatment. In this 9-week study, patients treated with </w:t>
      </w:r>
      <w:proofErr w:type="spellStart"/>
      <w:r w:rsidRPr="002177D4">
        <w:rPr>
          <w:sz w:val="24"/>
          <w:szCs w:val="24"/>
          <w:lang w:val="en-GB"/>
        </w:rPr>
        <w:t>lisdexamfetamine</w:t>
      </w:r>
      <w:proofErr w:type="spellEnd"/>
      <w:r w:rsidRPr="002177D4">
        <w:rPr>
          <w:sz w:val="24"/>
          <w:szCs w:val="24"/>
          <w:lang w:val="en-GB"/>
        </w:rPr>
        <w:t xml:space="preserve"> had a shorter time to first response compared to patients treated with atomoxetine (median 13.0 vs 21.0 days, respectively; p=0.003), where response was defined as having a CGI-I score of 1 (very much improved) or 2 (much improved) at any of the double-blind treatment visits.</w:t>
      </w:r>
    </w:p>
    <w:p w14:paraId="27002227" w14:textId="77777777" w:rsidR="002746A7" w:rsidRPr="002177D4" w:rsidRDefault="002746A7" w:rsidP="00EC2189">
      <w:pPr>
        <w:ind w:left="851"/>
        <w:rPr>
          <w:sz w:val="24"/>
          <w:szCs w:val="24"/>
          <w:lang w:val="en-GB"/>
        </w:rPr>
      </w:pPr>
    </w:p>
    <w:p w14:paraId="4B2AE9D7" w14:textId="77777777" w:rsidR="002746A7" w:rsidRPr="002177D4" w:rsidRDefault="002746A7" w:rsidP="00EC2189">
      <w:pPr>
        <w:ind w:left="851"/>
        <w:rPr>
          <w:sz w:val="24"/>
          <w:szCs w:val="24"/>
          <w:lang w:val="en-GB"/>
        </w:rPr>
      </w:pPr>
      <w:r w:rsidRPr="002177D4">
        <w:rPr>
          <w:sz w:val="24"/>
          <w:szCs w:val="24"/>
          <w:lang w:val="en-GB"/>
        </w:rPr>
        <w:t>Two double-blind, parallel-group, active-controlled (OROS-MPH) studies have been conducted in adolescents aged 13-17 years with ADHD. Both studies also included a placebo reference arm. The 8-week dose-optimization study (SPD489-405) had a 5-week dose-optimization period and a 3-week dose-maintenance period. During the dose-optimization period, subjects were titrated once weekly based on treatment emergent adverse events (TEAEs) and clinical response to an optimal dose of 30, 50, or 70 mg/day (for SPD489 subjects) or 18, 36, 54, or 72 mg/day (for OROS-MPH subjects), which was maintained throughout a 3-week dose-maintenance period. The mean doses at endpoint were 57.9 mg and 55.8 mg for SPD489 and OROS-MPH, respectively. In this study, neither SPD489 nor OROS-MPH was found to be statistically superior to the other product at Week 8. The 6-week fixed-dose study (SPD489-406) had a 4-week forced-dose titration period and a 2-week dose-maintenance period. At the highest doses of SPD489 (70 mg) and OROS-MPH (72 mg), SPD489 treatment was found to be superior to OROS-MPH as measured by both the primary efficacy analysis (change from baseline at Week 6 on the ADHD-RS Total score) and the key secondary efficacy analysis (at last study visit on the CGI-I) (see Table 2).</w:t>
      </w:r>
    </w:p>
    <w:p w14:paraId="4859B55F" w14:textId="352731D5" w:rsidR="00200AAD" w:rsidRDefault="00200AAD">
      <w:pPr>
        <w:rPr>
          <w:sz w:val="24"/>
          <w:szCs w:val="24"/>
          <w:lang w:val="en-GB"/>
        </w:rPr>
      </w:pPr>
      <w:r>
        <w:rPr>
          <w:sz w:val="24"/>
          <w:szCs w:val="24"/>
          <w:lang w:val="en-GB"/>
        </w:rPr>
        <w:br w:type="page"/>
      </w:r>
    </w:p>
    <w:p w14:paraId="3BAF8E52" w14:textId="77777777" w:rsidR="002746A7" w:rsidRPr="002177D4" w:rsidRDefault="002746A7" w:rsidP="00EC2189">
      <w:pPr>
        <w:ind w:left="851"/>
        <w:rPr>
          <w:sz w:val="24"/>
          <w:szCs w:val="24"/>
          <w:lang w:val="en-GB"/>
        </w:rPr>
      </w:pPr>
    </w:p>
    <w:p w14:paraId="348FD64E" w14:textId="77777777" w:rsidR="002746A7" w:rsidRPr="002177D4" w:rsidRDefault="002746A7" w:rsidP="002746A7">
      <w:pPr>
        <w:rPr>
          <w:b/>
          <w:sz w:val="24"/>
          <w:szCs w:val="24"/>
          <w:lang w:val="en-GB"/>
        </w:rPr>
      </w:pPr>
      <w:r w:rsidRPr="002177D4">
        <w:rPr>
          <w:b/>
          <w:sz w:val="24"/>
          <w:szCs w:val="24"/>
          <w:lang w:val="en-GB"/>
        </w:rPr>
        <w:t xml:space="preserve">Table 2: Change from Baseline on ADHD-RS-IV Total Score and Endpoint on CGI-I </w:t>
      </w:r>
    </w:p>
    <w:p w14:paraId="0D1D2B2E" w14:textId="77777777" w:rsidR="002746A7" w:rsidRPr="002177D4" w:rsidRDefault="002746A7" w:rsidP="002746A7">
      <w:pPr>
        <w:rPr>
          <w:b/>
          <w:sz w:val="24"/>
          <w:szCs w:val="24"/>
          <w:lang w:val="en-GB"/>
        </w:rPr>
      </w:pPr>
      <w:r w:rsidRPr="002177D4">
        <w:rPr>
          <w:b/>
          <w:sz w:val="24"/>
          <w:szCs w:val="24"/>
          <w:lang w:val="en-GB"/>
        </w:rPr>
        <w:t>(Full Analysis Set)</w:t>
      </w:r>
    </w:p>
    <w:p w14:paraId="330E4A12" w14:textId="77777777" w:rsidR="002746A7" w:rsidRPr="002177D4" w:rsidRDefault="002746A7" w:rsidP="002746A7">
      <w:pPr>
        <w:rPr>
          <w:b/>
          <w:sz w:val="24"/>
          <w:szCs w:val="24"/>
          <w:lang w:val="en-GB"/>
        </w:rPr>
      </w:pPr>
    </w:p>
    <w:tbl>
      <w:tblPr>
        <w:tblW w:w="5000" w:type="pct"/>
        <w:tblCellMar>
          <w:left w:w="0" w:type="dxa"/>
          <w:right w:w="0" w:type="dxa"/>
        </w:tblCellMar>
        <w:tblLook w:val="04A0" w:firstRow="1" w:lastRow="0" w:firstColumn="1" w:lastColumn="0" w:noHBand="0" w:noVBand="1"/>
      </w:tblPr>
      <w:tblGrid>
        <w:gridCol w:w="1405"/>
        <w:gridCol w:w="2407"/>
        <w:gridCol w:w="1806"/>
        <w:gridCol w:w="1304"/>
        <w:gridCol w:w="1304"/>
        <w:gridCol w:w="1402"/>
      </w:tblGrid>
      <w:tr w:rsidR="002746A7" w:rsidRPr="004D7D2F" w14:paraId="496D72BA" w14:textId="77777777" w:rsidTr="00EC2189">
        <w:trPr>
          <w:trHeight w:val="240"/>
        </w:trPr>
        <w:tc>
          <w:tcPr>
            <w:tcW w:w="730" w:type="pct"/>
            <w:tcBorders>
              <w:top w:val="single" w:sz="4" w:space="0" w:color="000000"/>
              <w:left w:val="single" w:sz="4" w:space="0" w:color="000000"/>
              <w:bottom w:val="nil"/>
              <w:right w:val="single" w:sz="4" w:space="0" w:color="000000"/>
            </w:tcBorders>
            <w:hideMark/>
          </w:tcPr>
          <w:p w14:paraId="463C5D85" w14:textId="77777777" w:rsidR="002746A7" w:rsidRPr="004D7D2F" w:rsidRDefault="002746A7">
            <w:pPr>
              <w:pStyle w:val="TableParagraph"/>
              <w:kinsoku w:val="0"/>
              <w:overflowPunct w:val="0"/>
              <w:spacing w:before="14" w:line="205" w:lineRule="exact"/>
              <w:ind w:left="90" w:right="126"/>
              <w:jc w:val="center"/>
              <w:rPr>
                <w:b/>
                <w:bCs/>
                <w:sz w:val="20"/>
                <w:szCs w:val="20"/>
              </w:rPr>
            </w:pPr>
            <w:r w:rsidRPr="004D7D2F">
              <w:rPr>
                <w:b/>
                <w:bCs/>
                <w:sz w:val="20"/>
                <w:szCs w:val="20"/>
              </w:rPr>
              <w:t>SPD489-405</w:t>
            </w:r>
          </w:p>
        </w:tc>
        <w:tc>
          <w:tcPr>
            <w:tcW w:w="2188" w:type="pct"/>
            <w:gridSpan w:val="2"/>
            <w:tcBorders>
              <w:top w:val="single" w:sz="4" w:space="0" w:color="000000"/>
              <w:left w:val="single" w:sz="4" w:space="0" w:color="000000"/>
              <w:bottom w:val="single" w:sz="4" w:space="0" w:color="000000"/>
              <w:right w:val="single" w:sz="4" w:space="0" w:color="000000"/>
            </w:tcBorders>
            <w:hideMark/>
          </w:tcPr>
          <w:p w14:paraId="14DC8E03"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Primary</w:t>
            </w:r>
            <w:r w:rsidRPr="004D7D2F">
              <w:rPr>
                <w:b/>
                <w:bCs/>
                <w:spacing w:val="-3"/>
                <w:sz w:val="20"/>
                <w:szCs w:val="20"/>
              </w:rPr>
              <w:t xml:space="preserve"> </w:t>
            </w:r>
            <w:r w:rsidRPr="004D7D2F">
              <w:rPr>
                <w:b/>
                <w:bCs/>
                <w:sz w:val="20"/>
                <w:szCs w:val="20"/>
              </w:rPr>
              <w:t>at</w:t>
            </w:r>
            <w:r w:rsidRPr="004D7D2F">
              <w:rPr>
                <w:b/>
                <w:bCs/>
                <w:spacing w:val="-4"/>
                <w:sz w:val="20"/>
                <w:szCs w:val="20"/>
              </w:rPr>
              <w:t xml:space="preserve"> </w:t>
            </w:r>
            <w:r w:rsidRPr="004D7D2F">
              <w:rPr>
                <w:b/>
                <w:bCs/>
                <w:sz w:val="20"/>
                <w:szCs w:val="20"/>
              </w:rPr>
              <w:t>Week</w:t>
            </w:r>
            <w:r w:rsidRPr="004D7D2F">
              <w:rPr>
                <w:b/>
                <w:bCs/>
                <w:spacing w:val="-5"/>
                <w:sz w:val="20"/>
                <w:szCs w:val="20"/>
              </w:rPr>
              <w:t xml:space="preserve"> </w:t>
            </w:r>
            <w:r w:rsidRPr="004D7D2F">
              <w:rPr>
                <w:b/>
                <w:bCs/>
                <w:sz w:val="20"/>
                <w:szCs w:val="20"/>
              </w:rPr>
              <w:t>8</w:t>
            </w:r>
            <w:r w:rsidRPr="004D7D2F">
              <w:rPr>
                <w:b/>
                <w:bCs/>
                <w:spacing w:val="-2"/>
                <w:sz w:val="20"/>
                <w:szCs w:val="20"/>
              </w:rPr>
              <w:t xml:space="preserve"> </w:t>
            </w:r>
            <w:r w:rsidRPr="004D7D2F">
              <w:rPr>
                <w:b/>
                <w:bCs/>
                <w:sz w:val="20"/>
                <w:szCs w:val="20"/>
              </w:rPr>
              <w:t>ADHD-RS-IV</w:t>
            </w:r>
          </w:p>
        </w:tc>
        <w:tc>
          <w:tcPr>
            <w:tcW w:w="677" w:type="pct"/>
            <w:tcBorders>
              <w:top w:val="single" w:sz="4" w:space="0" w:color="000000"/>
              <w:left w:val="single" w:sz="4" w:space="0" w:color="000000"/>
              <w:bottom w:val="single" w:sz="4" w:space="0" w:color="000000"/>
              <w:right w:val="single" w:sz="4" w:space="0" w:color="000000"/>
            </w:tcBorders>
            <w:hideMark/>
          </w:tcPr>
          <w:p w14:paraId="6C40C2A2"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Placebo</w:t>
            </w:r>
          </w:p>
        </w:tc>
        <w:tc>
          <w:tcPr>
            <w:tcW w:w="677" w:type="pct"/>
            <w:tcBorders>
              <w:top w:val="single" w:sz="4" w:space="0" w:color="000000"/>
              <w:left w:val="single" w:sz="4" w:space="0" w:color="000000"/>
              <w:bottom w:val="single" w:sz="4" w:space="0" w:color="000000"/>
              <w:right w:val="single" w:sz="4" w:space="0" w:color="000000"/>
            </w:tcBorders>
            <w:hideMark/>
          </w:tcPr>
          <w:p w14:paraId="0B77ADE0"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SPD489</w:t>
            </w:r>
          </w:p>
        </w:tc>
        <w:tc>
          <w:tcPr>
            <w:tcW w:w="729" w:type="pct"/>
            <w:tcBorders>
              <w:top w:val="single" w:sz="4" w:space="0" w:color="000000"/>
              <w:left w:val="single" w:sz="4" w:space="0" w:color="000000"/>
              <w:bottom w:val="single" w:sz="4" w:space="0" w:color="000000"/>
              <w:right w:val="single" w:sz="4" w:space="0" w:color="000000"/>
            </w:tcBorders>
            <w:hideMark/>
          </w:tcPr>
          <w:p w14:paraId="095628F2"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OROS-MPH</w:t>
            </w:r>
          </w:p>
        </w:tc>
      </w:tr>
      <w:tr w:rsidR="002746A7" w:rsidRPr="004D7D2F" w14:paraId="52E2549B" w14:textId="77777777" w:rsidTr="00EC2189">
        <w:trPr>
          <w:trHeight w:val="247"/>
        </w:trPr>
        <w:tc>
          <w:tcPr>
            <w:tcW w:w="730" w:type="pct"/>
            <w:tcBorders>
              <w:top w:val="nil"/>
              <w:left w:val="single" w:sz="4" w:space="0" w:color="000000"/>
              <w:bottom w:val="nil"/>
              <w:right w:val="single" w:sz="4" w:space="0" w:color="000000"/>
            </w:tcBorders>
          </w:tcPr>
          <w:p w14:paraId="06D726DC"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06FA7EDF"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Baseline</w:t>
            </w:r>
            <w:r w:rsidRPr="004D7D2F">
              <w:rPr>
                <w:spacing w:val="-4"/>
                <w:sz w:val="20"/>
                <w:szCs w:val="20"/>
              </w:rPr>
              <w:t xml:space="preserve"> </w:t>
            </w:r>
            <w:r w:rsidRPr="004D7D2F">
              <w:rPr>
                <w:sz w:val="20"/>
                <w:szCs w:val="20"/>
              </w:rPr>
              <w:t>Total</w:t>
            </w:r>
            <w:r w:rsidRPr="004D7D2F">
              <w:rPr>
                <w:spacing w:val="-3"/>
                <w:sz w:val="20"/>
                <w:szCs w:val="20"/>
              </w:rPr>
              <w:t xml:space="preserve"> </w:t>
            </w:r>
            <w:r w:rsidRPr="004D7D2F">
              <w:rPr>
                <w:sz w:val="20"/>
                <w:szCs w:val="20"/>
              </w:rPr>
              <w:t>Score</w:t>
            </w:r>
          </w:p>
        </w:tc>
        <w:tc>
          <w:tcPr>
            <w:tcW w:w="938" w:type="pct"/>
            <w:tcBorders>
              <w:top w:val="single" w:sz="4" w:space="0" w:color="000000"/>
              <w:left w:val="single" w:sz="4" w:space="0" w:color="000000"/>
              <w:bottom w:val="nil"/>
              <w:right w:val="single" w:sz="4" w:space="0" w:color="000000"/>
            </w:tcBorders>
            <w:hideMark/>
          </w:tcPr>
          <w:p w14:paraId="52E1E649" w14:textId="77777777" w:rsidR="002746A7" w:rsidRPr="004D7D2F" w:rsidRDefault="002746A7">
            <w:pPr>
              <w:pStyle w:val="TableParagraph"/>
              <w:kinsoku w:val="0"/>
              <w:overflowPunct w:val="0"/>
              <w:spacing w:before="14" w:line="213" w:lineRule="exact"/>
              <w:ind w:left="108"/>
              <w:rPr>
                <w:w w:val="99"/>
                <w:sz w:val="20"/>
                <w:szCs w:val="20"/>
              </w:rPr>
            </w:pPr>
            <w:r w:rsidRPr="004D7D2F">
              <w:rPr>
                <w:w w:val="99"/>
                <w:sz w:val="20"/>
                <w:szCs w:val="20"/>
              </w:rPr>
              <w:t>N</w:t>
            </w:r>
          </w:p>
        </w:tc>
        <w:tc>
          <w:tcPr>
            <w:tcW w:w="677" w:type="pct"/>
            <w:tcBorders>
              <w:top w:val="single" w:sz="4" w:space="0" w:color="000000"/>
              <w:left w:val="single" w:sz="4" w:space="0" w:color="000000"/>
              <w:bottom w:val="nil"/>
              <w:right w:val="single" w:sz="4" w:space="0" w:color="000000"/>
            </w:tcBorders>
            <w:hideMark/>
          </w:tcPr>
          <w:p w14:paraId="3F4C5DFB"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89</w:t>
            </w:r>
          </w:p>
        </w:tc>
        <w:tc>
          <w:tcPr>
            <w:tcW w:w="677" w:type="pct"/>
            <w:tcBorders>
              <w:top w:val="single" w:sz="4" w:space="0" w:color="000000"/>
              <w:left w:val="single" w:sz="4" w:space="0" w:color="000000"/>
              <w:bottom w:val="nil"/>
              <w:right w:val="single" w:sz="4" w:space="0" w:color="000000"/>
            </w:tcBorders>
            <w:hideMark/>
          </w:tcPr>
          <w:p w14:paraId="6FBE2964"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179</w:t>
            </w:r>
          </w:p>
        </w:tc>
        <w:tc>
          <w:tcPr>
            <w:tcW w:w="729" w:type="pct"/>
            <w:tcBorders>
              <w:top w:val="single" w:sz="4" w:space="0" w:color="000000"/>
              <w:left w:val="single" w:sz="4" w:space="0" w:color="000000"/>
              <w:bottom w:val="nil"/>
              <w:right w:val="single" w:sz="4" w:space="0" w:color="000000"/>
            </w:tcBorders>
            <w:hideMark/>
          </w:tcPr>
          <w:p w14:paraId="6D46DEE8"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184</w:t>
            </w:r>
          </w:p>
        </w:tc>
      </w:tr>
      <w:tr w:rsidR="002746A7" w:rsidRPr="004D7D2F" w14:paraId="7C92B02F" w14:textId="77777777" w:rsidTr="00EC2189">
        <w:trPr>
          <w:trHeight w:val="232"/>
        </w:trPr>
        <w:tc>
          <w:tcPr>
            <w:tcW w:w="730" w:type="pct"/>
            <w:tcBorders>
              <w:top w:val="nil"/>
              <w:left w:val="single" w:sz="4" w:space="0" w:color="000000"/>
              <w:bottom w:val="nil"/>
              <w:right w:val="single" w:sz="4" w:space="0" w:color="000000"/>
            </w:tcBorders>
          </w:tcPr>
          <w:p w14:paraId="4FD48E8E"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286DCC08"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17391EB5"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Mean</w:t>
            </w:r>
            <w:r w:rsidRPr="004D7D2F">
              <w:rPr>
                <w:spacing w:val="-2"/>
                <w:sz w:val="20"/>
                <w:szCs w:val="20"/>
              </w:rPr>
              <w:t xml:space="preserve"> </w:t>
            </w:r>
            <w:r w:rsidRPr="004D7D2F">
              <w:rPr>
                <w:sz w:val="20"/>
                <w:szCs w:val="20"/>
              </w:rPr>
              <w:t>(SE)</w:t>
            </w:r>
          </w:p>
        </w:tc>
        <w:tc>
          <w:tcPr>
            <w:tcW w:w="677" w:type="pct"/>
            <w:tcBorders>
              <w:top w:val="nil"/>
              <w:left w:val="single" w:sz="4" w:space="0" w:color="000000"/>
              <w:bottom w:val="single" w:sz="4" w:space="0" w:color="000000"/>
              <w:right w:val="single" w:sz="4" w:space="0" w:color="000000"/>
            </w:tcBorders>
            <w:hideMark/>
          </w:tcPr>
          <w:p w14:paraId="055BCA6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38.2</w:t>
            </w:r>
            <w:r w:rsidRPr="004D7D2F">
              <w:rPr>
                <w:spacing w:val="1"/>
                <w:sz w:val="20"/>
                <w:szCs w:val="20"/>
              </w:rPr>
              <w:t xml:space="preserve"> </w:t>
            </w:r>
            <w:r w:rsidRPr="004D7D2F">
              <w:rPr>
                <w:sz w:val="20"/>
                <w:szCs w:val="20"/>
              </w:rPr>
              <w:t>(0.73)</w:t>
            </w:r>
          </w:p>
        </w:tc>
        <w:tc>
          <w:tcPr>
            <w:tcW w:w="677" w:type="pct"/>
            <w:tcBorders>
              <w:top w:val="nil"/>
              <w:left w:val="single" w:sz="4" w:space="0" w:color="000000"/>
              <w:bottom w:val="single" w:sz="4" w:space="0" w:color="000000"/>
              <w:right w:val="single" w:sz="4" w:space="0" w:color="000000"/>
            </w:tcBorders>
            <w:hideMark/>
          </w:tcPr>
          <w:p w14:paraId="2D70207E"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36.6</w:t>
            </w:r>
            <w:r w:rsidRPr="004D7D2F">
              <w:rPr>
                <w:spacing w:val="1"/>
                <w:sz w:val="20"/>
                <w:szCs w:val="20"/>
              </w:rPr>
              <w:t xml:space="preserve"> </w:t>
            </w:r>
            <w:r w:rsidRPr="004D7D2F">
              <w:rPr>
                <w:sz w:val="20"/>
                <w:szCs w:val="20"/>
              </w:rPr>
              <w:t>(0.48)</w:t>
            </w:r>
          </w:p>
        </w:tc>
        <w:tc>
          <w:tcPr>
            <w:tcW w:w="729" w:type="pct"/>
            <w:tcBorders>
              <w:top w:val="nil"/>
              <w:left w:val="single" w:sz="4" w:space="0" w:color="000000"/>
              <w:bottom w:val="single" w:sz="4" w:space="0" w:color="000000"/>
              <w:right w:val="single" w:sz="4" w:space="0" w:color="000000"/>
            </w:tcBorders>
            <w:hideMark/>
          </w:tcPr>
          <w:p w14:paraId="419B4429"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37.8</w:t>
            </w:r>
            <w:r w:rsidRPr="004D7D2F">
              <w:rPr>
                <w:spacing w:val="1"/>
                <w:sz w:val="20"/>
                <w:szCs w:val="20"/>
              </w:rPr>
              <w:t xml:space="preserve"> </w:t>
            </w:r>
            <w:r w:rsidRPr="004D7D2F">
              <w:rPr>
                <w:sz w:val="20"/>
                <w:szCs w:val="20"/>
              </w:rPr>
              <w:t>(0.45)</w:t>
            </w:r>
          </w:p>
        </w:tc>
      </w:tr>
      <w:tr w:rsidR="002746A7" w:rsidRPr="004D7D2F" w14:paraId="590BE371" w14:textId="77777777" w:rsidTr="00EC2189">
        <w:trPr>
          <w:trHeight w:val="247"/>
        </w:trPr>
        <w:tc>
          <w:tcPr>
            <w:tcW w:w="730" w:type="pct"/>
            <w:tcBorders>
              <w:top w:val="nil"/>
              <w:left w:val="single" w:sz="4" w:space="0" w:color="000000"/>
              <w:bottom w:val="nil"/>
              <w:right w:val="single" w:sz="4" w:space="0" w:color="000000"/>
            </w:tcBorders>
          </w:tcPr>
          <w:p w14:paraId="227DEC5E"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53E19E33"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Change</w:t>
            </w:r>
            <w:r w:rsidRPr="004D7D2F">
              <w:rPr>
                <w:spacing w:val="-1"/>
                <w:sz w:val="20"/>
                <w:szCs w:val="20"/>
              </w:rPr>
              <w:t xml:space="preserve"> </w:t>
            </w:r>
            <w:r w:rsidRPr="004D7D2F">
              <w:rPr>
                <w:sz w:val="20"/>
                <w:szCs w:val="20"/>
              </w:rPr>
              <w:t>from</w:t>
            </w:r>
            <w:r w:rsidRPr="004D7D2F">
              <w:rPr>
                <w:spacing w:val="-2"/>
                <w:sz w:val="20"/>
                <w:szCs w:val="20"/>
              </w:rPr>
              <w:t xml:space="preserve"> </w:t>
            </w:r>
            <w:r w:rsidRPr="004D7D2F">
              <w:rPr>
                <w:sz w:val="20"/>
                <w:szCs w:val="20"/>
              </w:rPr>
              <w:t>baseline</w:t>
            </w:r>
            <w:r w:rsidRPr="004D7D2F">
              <w:rPr>
                <w:spacing w:val="-1"/>
                <w:sz w:val="20"/>
                <w:szCs w:val="20"/>
              </w:rPr>
              <w:t xml:space="preserve"> </w:t>
            </w:r>
            <w:r w:rsidRPr="004D7D2F">
              <w:rPr>
                <w:sz w:val="20"/>
                <w:szCs w:val="20"/>
              </w:rPr>
              <w:t>at</w:t>
            </w:r>
          </w:p>
        </w:tc>
        <w:tc>
          <w:tcPr>
            <w:tcW w:w="938" w:type="pct"/>
            <w:tcBorders>
              <w:top w:val="single" w:sz="4" w:space="0" w:color="000000"/>
              <w:left w:val="single" w:sz="4" w:space="0" w:color="000000"/>
              <w:bottom w:val="nil"/>
              <w:right w:val="single" w:sz="4" w:space="0" w:color="000000"/>
            </w:tcBorders>
            <w:hideMark/>
          </w:tcPr>
          <w:p w14:paraId="117EF262" w14:textId="77777777" w:rsidR="002746A7" w:rsidRPr="004D7D2F" w:rsidRDefault="002746A7">
            <w:pPr>
              <w:pStyle w:val="TableParagraph"/>
              <w:kinsoku w:val="0"/>
              <w:overflowPunct w:val="0"/>
              <w:spacing w:before="14" w:line="213" w:lineRule="exact"/>
              <w:ind w:left="108"/>
              <w:rPr>
                <w:w w:val="99"/>
                <w:sz w:val="20"/>
                <w:szCs w:val="20"/>
              </w:rPr>
            </w:pPr>
            <w:r w:rsidRPr="004D7D2F">
              <w:rPr>
                <w:w w:val="99"/>
                <w:sz w:val="20"/>
                <w:szCs w:val="20"/>
              </w:rPr>
              <w:t>N</w:t>
            </w:r>
          </w:p>
        </w:tc>
        <w:tc>
          <w:tcPr>
            <w:tcW w:w="677" w:type="pct"/>
            <w:tcBorders>
              <w:top w:val="single" w:sz="4" w:space="0" w:color="000000"/>
              <w:left w:val="single" w:sz="4" w:space="0" w:color="000000"/>
              <w:bottom w:val="nil"/>
              <w:right w:val="single" w:sz="4" w:space="0" w:color="000000"/>
            </w:tcBorders>
            <w:hideMark/>
          </w:tcPr>
          <w:p w14:paraId="4E2543A3"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67</w:t>
            </w:r>
          </w:p>
        </w:tc>
        <w:tc>
          <w:tcPr>
            <w:tcW w:w="677" w:type="pct"/>
            <w:tcBorders>
              <w:top w:val="single" w:sz="4" w:space="0" w:color="000000"/>
              <w:left w:val="single" w:sz="4" w:space="0" w:color="000000"/>
              <w:bottom w:val="nil"/>
              <w:right w:val="single" w:sz="4" w:space="0" w:color="000000"/>
            </w:tcBorders>
            <w:hideMark/>
          </w:tcPr>
          <w:p w14:paraId="06A09A3D"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139</w:t>
            </w:r>
          </w:p>
        </w:tc>
        <w:tc>
          <w:tcPr>
            <w:tcW w:w="729" w:type="pct"/>
            <w:tcBorders>
              <w:top w:val="single" w:sz="4" w:space="0" w:color="000000"/>
              <w:left w:val="single" w:sz="4" w:space="0" w:color="000000"/>
              <w:bottom w:val="nil"/>
              <w:right w:val="single" w:sz="4" w:space="0" w:color="000000"/>
            </w:tcBorders>
            <w:hideMark/>
          </w:tcPr>
          <w:p w14:paraId="5A49B75A"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152</w:t>
            </w:r>
          </w:p>
        </w:tc>
      </w:tr>
      <w:tr w:rsidR="002746A7" w:rsidRPr="004D7D2F" w14:paraId="1D72DDC5" w14:textId="77777777" w:rsidTr="00EC2189">
        <w:trPr>
          <w:trHeight w:val="232"/>
        </w:trPr>
        <w:tc>
          <w:tcPr>
            <w:tcW w:w="730" w:type="pct"/>
            <w:tcBorders>
              <w:top w:val="nil"/>
              <w:left w:val="single" w:sz="4" w:space="0" w:color="000000"/>
              <w:bottom w:val="nil"/>
              <w:right w:val="single" w:sz="4" w:space="0" w:color="000000"/>
            </w:tcBorders>
          </w:tcPr>
          <w:p w14:paraId="38214789"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hideMark/>
          </w:tcPr>
          <w:p w14:paraId="6FC2124E"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Week</w:t>
            </w:r>
            <w:r w:rsidRPr="004D7D2F">
              <w:rPr>
                <w:spacing w:val="-3"/>
                <w:sz w:val="20"/>
                <w:szCs w:val="20"/>
              </w:rPr>
              <w:t xml:space="preserve"> </w:t>
            </w:r>
            <w:r w:rsidRPr="004D7D2F">
              <w:rPr>
                <w:sz w:val="20"/>
                <w:szCs w:val="20"/>
              </w:rPr>
              <w:t>8</w:t>
            </w:r>
          </w:p>
        </w:tc>
        <w:tc>
          <w:tcPr>
            <w:tcW w:w="938" w:type="pct"/>
            <w:tcBorders>
              <w:top w:val="nil"/>
              <w:left w:val="single" w:sz="4" w:space="0" w:color="000000"/>
              <w:bottom w:val="single" w:sz="4" w:space="0" w:color="000000"/>
              <w:right w:val="single" w:sz="4" w:space="0" w:color="000000"/>
            </w:tcBorders>
            <w:hideMark/>
          </w:tcPr>
          <w:p w14:paraId="03453BBE"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nil"/>
              <w:left w:val="single" w:sz="4" w:space="0" w:color="000000"/>
              <w:bottom w:val="single" w:sz="4" w:space="0" w:color="000000"/>
              <w:right w:val="single" w:sz="4" w:space="0" w:color="000000"/>
            </w:tcBorders>
            <w:hideMark/>
          </w:tcPr>
          <w:p w14:paraId="12118FD0"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-13.4 (1.19)</w:t>
            </w:r>
          </w:p>
        </w:tc>
        <w:tc>
          <w:tcPr>
            <w:tcW w:w="677" w:type="pct"/>
            <w:tcBorders>
              <w:top w:val="nil"/>
              <w:left w:val="single" w:sz="4" w:space="0" w:color="000000"/>
              <w:bottom w:val="single" w:sz="4" w:space="0" w:color="000000"/>
              <w:right w:val="single" w:sz="4" w:space="0" w:color="000000"/>
            </w:tcBorders>
            <w:hideMark/>
          </w:tcPr>
          <w:p w14:paraId="46C6E359"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-25.6 (0.82)</w:t>
            </w:r>
          </w:p>
        </w:tc>
        <w:tc>
          <w:tcPr>
            <w:tcW w:w="729" w:type="pct"/>
            <w:tcBorders>
              <w:top w:val="nil"/>
              <w:left w:val="single" w:sz="4" w:space="0" w:color="000000"/>
              <w:bottom w:val="single" w:sz="4" w:space="0" w:color="000000"/>
              <w:right w:val="single" w:sz="4" w:space="0" w:color="000000"/>
            </w:tcBorders>
            <w:hideMark/>
          </w:tcPr>
          <w:p w14:paraId="570CB46F"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-23.5 (0.80)</w:t>
            </w:r>
          </w:p>
        </w:tc>
      </w:tr>
      <w:tr w:rsidR="002746A7" w:rsidRPr="004D7D2F" w14:paraId="12DA535B" w14:textId="77777777" w:rsidTr="00EC2189">
        <w:trPr>
          <w:trHeight w:val="247"/>
        </w:trPr>
        <w:tc>
          <w:tcPr>
            <w:tcW w:w="730" w:type="pct"/>
            <w:tcBorders>
              <w:top w:val="nil"/>
              <w:left w:val="single" w:sz="4" w:space="0" w:color="000000"/>
              <w:bottom w:val="nil"/>
              <w:right w:val="single" w:sz="4" w:space="0" w:color="000000"/>
            </w:tcBorders>
          </w:tcPr>
          <w:p w14:paraId="5AB28111"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0D0E535A" w14:textId="77777777" w:rsidR="002746A7" w:rsidRPr="004D7D2F" w:rsidRDefault="002746A7">
            <w:pPr>
              <w:pStyle w:val="TableParagraph"/>
              <w:kinsoku w:val="0"/>
              <w:overflowPunct w:val="0"/>
              <w:spacing w:before="14" w:line="213" w:lineRule="exact"/>
              <w:ind w:left="108"/>
              <w:rPr>
                <w:sz w:val="20"/>
                <w:szCs w:val="20"/>
              </w:rPr>
            </w:pPr>
            <w:proofErr w:type="spellStart"/>
            <w:r w:rsidRPr="004D7D2F">
              <w:rPr>
                <w:sz w:val="20"/>
                <w:szCs w:val="20"/>
              </w:rPr>
              <w:t>Lisdexamfetamine</w:t>
            </w:r>
            <w:proofErr w:type="spellEnd"/>
            <w:r w:rsidRPr="004D7D2F">
              <w:rPr>
                <w:spacing w:val="-6"/>
                <w:sz w:val="20"/>
                <w:szCs w:val="20"/>
              </w:rPr>
              <w:t xml:space="preserve"> </w:t>
            </w:r>
            <w:r w:rsidRPr="004D7D2F">
              <w:rPr>
                <w:sz w:val="20"/>
                <w:szCs w:val="20"/>
              </w:rPr>
              <w:t>vs</w:t>
            </w:r>
          </w:p>
        </w:tc>
        <w:tc>
          <w:tcPr>
            <w:tcW w:w="938" w:type="pct"/>
            <w:tcBorders>
              <w:top w:val="single" w:sz="4" w:space="0" w:color="000000"/>
              <w:left w:val="single" w:sz="4" w:space="0" w:color="000000"/>
              <w:bottom w:val="nil"/>
              <w:right w:val="single" w:sz="4" w:space="0" w:color="000000"/>
            </w:tcBorders>
            <w:hideMark/>
          </w:tcPr>
          <w:p w14:paraId="79A065EE"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single" w:sz="4" w:space="0" w:color="000000"/>
              <w:left w:val="single" w:sz="4" w:space="0" w:color="000000"/>
              <w:bottom w:val="nil"/>
              <w:right w:val="single" w:sz="4" w:space="0" w:color="000000"/>
            </w:tcBorders>
            <w:hideMark/>
          </w:tcPr>
          <w:p w14:paraId="19734B2F"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7717F6F4"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-2.1 (1.15)</w:t>
            </w:r>
          </w:p>
        </w:tc>
        <w:tc>
          <w:tcPr>
            <w:tcW w:w="729" w:type="pct"/>
            <w:tcBorders>
              <w:top w:val="single" w:sz="4" w:space="0" w:color="000000"/>
              <w:left w:val="single" w:sz="4" w:space="0" w:color="000000"/>
              <w:bottom w:val="nil"/>
              <w:right w:val="single" w:sz="4" w:space="0" w:color="000000"/>
            </w:tcBorders>
            <w:hideMark/>
          </w:tcPr>
          <w:p w14:paraId="6D69E746"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r>
      <w:tr w:rsidR="002746A7" w:rsidRPr="004D7D2F" w14:paraId="44D5AAB0" w14:textId="77777777" w:rsidTr="00EC2189">
        <w:trPr>
          <w:trHeight w:val="240"/>
        </w:trPr>
        <w:tc>
          <w:tcPr>
            <w:tcW w:w="730" w:type="pct"/>
            <w:tcBorders>
              <w:top w:val="nil"/>
              <w:left w:val="single" w:sz="4" w:space="0" w:color="000000"/>
              <w:bottom w:val="nil"/>
              <w:right w:val="single" w:sz="4" w:space="0" w:color="000000"/>
            </w:tcBorders>
          </w:tcPr>
          <w:p w14:paraId="5CBC8553"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hideMark/>
          </w:tcPr>
          <w:p w14:paraId="4753B4FE"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OROS-MPH</w:t>
            </w:r>
            <w:r w:rsidRPr="004D7D2F">
              <w:rPr>
                <w:spacing w:val="-3"/>
                <w:sz w:val="20"/>
                <w:szCs w:val="20"/>
              </w:rPr>
              <w:t xml:space="preserve"> </w:t>
            </w:r>
            <w:r w:rsidRPr="004D7D2F">
              <w:rPr>
                <w:sz w:val="20"/>
                <w:szCs w:val="20"/>
              </w:rPr>
              <w:t>difference</w:t>
            </w:r>
          </w:p>
        </w:tc>
        <w:tc>
          <w:tcPr>
            <w:tcW w:w="938" w:type="pct"/>
            <w:tcBorders>
              <w:top w:val="nil"/>
              <w:left w:val="single" w:sz="4" w:space="0" w:color="000000"/>
              <w:bottom w:val="nil"/>
              <w:right w:val="single" w:sz="4" w:space="0" w:color="000000"/>
            </w:tcBorders>
            <w:hideMark/>
          </w:tcPr>
          <w:p w14:paraId="71534711"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(95%</w:t>
            </w:r>
            <w:r w:rsidRPr="004D7D2F">
              <w:rPr>
                <w:spacing w:val="-2"/>
                <w:sz w:val="20"/>
                <w:szCs w:val="20"/>
              </w:rPr>
              <w:t xml:space="preserve"> </w:t>
            </w:r>
            <w:r w:rsidRPr="004D7D2F">
              <w:rPr>
                <w:sz w:val="20"/>
                <w:szCs w:val="20"/>
              </w:rPr>
              <w:t>CI)</w:t>
            </w:r>
            <w:r w:rsidRPr="004D7D2F">
              <w:rPr>
                <w:spacing w:val="-2"/>
                <w:sz w:val="20"/>
                <w:szCs w:val="20"/>
              </w:rPr>
              <w:t xml:space="preserve"> </w:t>
            </w:r>
            <w:r w:rsidRPr="004D7D2F">
              <w:rPr>
                <w:sz w:val="20"/>
                <w:szCs w:val="20"/>
              </w:rPr>
              <w:t>[a]</w:t>
            </w:r>
          </w:p>
        </w:tc>
        <w:tc>
          <w:tcPr>
            <w:tcW w:w="677" w:type="pct"/>
            <w:tcBorders>
              <w:top w:val="nil"/>
              <w:left w:val="single" w:sz="4" w:space="0" w:color="000000"/>
              <w:bottom w:val="nil"/>
              <w:right w:val="single" w:sz="4" w:space="0" w:color="000000"/>
            </w:tcBorders>
          </w:tcPr>
          <w:p w14:paraId="22DA4C5E"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2BB068EC"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-4.3, 0.2</w:t>
            </w:r>
          </w:p>
        </w:tc>
        <w:tc>
          <w:tcPr>
            <w:tcW w:w="729" w:type="pct"/>
            <w:tcBorders>
              <w:top w:val="nil"/>
              <w:left w:val="single" w:sz="4" w:space="0" w:color="000000"/>
              <w:bottom w:val="nil"/>
              <w:right w:val="single" w:sz="4" w:space="0" w:color="000000"/>
            </w:tcBorders>
          </w:tcPr>
          <w:p w14:paraId="29B5F71C"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141D2305" w14:textId="77777777" w:rsidTr="00EC2189">
        <w:trPr>
          <w:trHeight w:val="240"/>
        </w:trPr>
        <w:tc>
          <w:tcPr>
            <w:tcW w:w="730" w:type="pct"/>
            <w:tcBorders>
              <w:top w:val="nil"/>
              <w:left w:val="single" w:sz="4" w:space="0" w:color="000000"/>
              <w:bottom w:val="nil"/>
              <w:right w:val="single" w:sz="4" w:space="0" w:color="000000"/>
            </w:tcBorders>
          </w:tcPr>
          <w:p w14:paraId="540200A5"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tcPr>
          <w:p w14:paraId="6BDFAA8E"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nil"/>
              <w:right w:val="single" w:sz="4" w:space="0" w:color="000000"/>
            </w:tcBorders>
            <w:hideMark/>
          </w:tcPr>
          <w:p w14:paraId="7E9F0A02"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Effect size</w:t>
            </w:r>
            <w:r w:rsidRPr="004D7D2F">
              <w:rPr>
                <w:spacing w:val="-1"/>
                <w:sz w:val="20"/>
                <w:szCs w:val="20"/>
              </w:rPr>
              <w:t xml:space="preserve"> </w:t>
            </w:r>
            <w:r w:rsidRPr="004D7D2F">
              <w:rPr>
                <w:sz w:val="20"/>
                <w:szCs w:val="20"/>
              </w:rPr>
              <w:t>[b]</w:t>
            </w:r>
          </w:p>
        </w:tc>
        <w:tc>
          <w:tcPr>
            <w:tcW w:w="677" w:type="pct"/>
            <w:tcBorders>
              <w:top w:val="nil"/>
              <w:left w:val="single" w:sz="4" w:space="0" w:color="000000"/>
              <w:bottom w:val="nil"/>
              <w:right w:val="single" w:sz="4" w:space="0" w:color="000000"/>
            </w:tcBorders>
          </w:tcPr>
          <w:p w14:paraId="364FFBD1"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357C5BF7"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0.2</w:t>
            </w:r>
          </w:p>
        </w:tc>
        <w:tc>
          <w:tcPr>
            <w:tcW w:w="729" w:type="pct"/>
            <w:tcBorders>
              <w:top w:val="nil"/>
              <w:left w:val="single" w:sz="4" w:space="0" w:color="000000"/>
              <w:bottom w:val="nil"/>
              <w:right w:val="single" w:sz="4" w:space="0" w:color="000000"/>
            </w:tcBorders>
          </w:tcPr>
          <w:p w14:paraId="7EE0E0CD"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77FB6E02" w14:textId="77777777" w:rsidTr="00EC2189">
        <w:trPr>
          <w:trHeight w:val="232"/>
        </w:trPr>
        <w:tc>
          <w:tcPr>
            <w:tcW w:w="730" w:type="pct"/>
            <w:tcBorders>
              <w:top w:val="nil"/>
              <w:left w:val="single" w:sz="4" w:space="0" w:color="000000"/>
              <w:bottom w:val="nil"/>
              <w:right w:val="single" w:sz="4" w:space="0" w:color="000000"/>
            </w:tcBorders>
          </w:tcPr>
          <w:p w14:paraId="3CD524BF"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57EF9A7D"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1E0684DB"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p-value</w:t>
            </w:r>
          </w:p>
        </w:tc>
        <w:tc>
          <w:tcPr>
            <w:tcW w:w="677" w:type="pct"/>
            <w:tcBorders>
              <w:top w:val="nil"/>
              <w:left w:val="single" w:sz="4" w:space="0" w:color="000000"/>
              <w:bottom w:val="single" w:sz="4" w:space="0" w:color="000000"/>
              <w:right w:val="single" w:sz="4" w:space="0" w:color="000000"/>
            </w:tcBorders>
          </w:tcPr>
          <w:p w14:paraId="7B23780F"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single" w:sz="4" w:space="0" w:color="000000"/>
              <w:right w:val="single" w:sz="4" w:space="0" w:color="000000"/>
            </w:tcBorders>
            <w:hideMark/>
          </w:tcPr>
          <w:p w14:paraId="1AC1C1A0"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0.0717</w:t>
            </w:r>
          </w:p>
        </w:tc>
        <w:tc>
          <w:tcPr>
            <w:tcW w:w="729" w:type="pct"/>
            <w:tcBorders>
              <w:top w:val="nil"/>
              <w:left w:val="single" w:sz="4" w:space="0" w:color="000000"/>
              <w:bottom w:val="single" w:sz="4" w:space="0" w:color="000000"/>
              <w:right w:val="single" w:sz="4" w:space="0" w:color="000000"/>
            </w:tcBorders>
          </w:tcPr>
          <w:p w14:paraId="162DD970"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39931E27" w14:textId="77777777" w:rsidTr="00EC2189">
        <w:trPr>
          <w:trHeight w:val="247"/>
        </w:trPr>
        <w:tc>
          <w:tcPr>
            <w:tcW w:w="730" w:type="pct"/>
            <w:tcBorders>
              <w:top w:val="nil"/>
              <w:left w:val="single" w:sz="4" w:space="0" w:color="000000"/>
              <w:bottom w:val="nil"/>
              <w:right w:val="single" w:sz="4" w:space="0" w:color="000000"/>
            </w:tcBorders>
          </w:tcPr>
          <w:p w14:paraId="03B83825"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4D4E88D5"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Active</w:t>
            </w:r>
            <w:r w:rsidRPr="004D7D2F">
              <w:rPr>
                <w:spacing w:val="-3"/>
                <w:sz w:val="20"/>
                <w:szCs w:val="20"/>
              </w:rPr>
              <w:t xml:space="preserve"> </w:t>
            </w:r>
            <w:r w:rsidRPr="004D7D2F">
              <w:rPr>
                <w:sz w:val="20"/>
                <w:szCs w:val="20"/>
              </w:rPr>
              <w:t>vs</w:t>
            </w:r>
            <w:r w:rsidRPr="004D7D2F">
              <w:rPr>
                <w:spacing w:val="-2"/>
                <w:sz w:val="20"/>
                <w:szCs w:val="20"/>
              </w:rPr>
              <w:t xml:space="preserve"> </w:t>
            </w:r>
            <w:r w:rsidRPr="004D7D2F">
              <w:rPr>
                <w:sz w:val="20"/>
                <w:szCs w:val="20"/>
              </w:rPr>
              <w:t>Placebo</w:t>
            </w:r>
          </w:p>
        </w:tc>
        <w:tc>
          <w:tcPr>
            <w:tcW w:w="938" w:type="pct"/>
            <w:tcBorders>
              <w:top w:val="single" w:sz="4" w:space="0" w:color="000000"/>
              <w:left w:val="single" w:sz="4" w:space="0" w:color="000000"/>
              <w:bottom w:val="nil"/>
              <w:right w:val="single" w:sz="4" w:space="0" w:color="000000"/>
            </w:tcBorders>
            <w:hideMark/>
          </w:tcPr>
          <w:p w14:paraId="58E41F5B"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single" w:sz="4" w:space="0" w:color="000000"/>
              <w:left w:val="single" w:sz="4" w:space="0" w:color="000000"/>
              <w:bottom w:val="nil"/>
              <w:right w:val="single" w:sz="4" w:space="0" w:color="000000"/>
            </w:tcBorders>
            <w:hideMark/>
          </w:tcPr>
          <w:p w14:paraId="4293C6F1"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3A43E012"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-12.2 (1.45)</w:t>
            </w:r>
          </w:p>
        </w:tc>
        <w:tc>
          <w:tcPr>
            <w:tcW w:w="729" w:type="pct"/>
            <w:tcBorders>
              <w:top w:val="single" w:sz="4" w:space="0" w:color="000000"/>
              <w:left w:val="single" w:sz="4" w:space="0" w:color="000000"/>
              <w:bottom w:val="nil"/>
              <w:right w:val="single" w:sz="4" w:space="0" w:color="000000"/>
            </w:tcBorders>
            <w:hideMark/>
          </w:tcPr>
          <w:p w14:paraId="58F7E82E"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-10.1 (1.43)</w:t>
            </w:r>
          </w:p>
        </w:tc>
      </w:tr>
      <w:tr w:rsidR="002746A7" w:rsidRPr="004D7D2F" w14:paraId="2D1B5107" w14:textId="77777777" w:rsidTr="00EC2189">
        <w:trPr>
          <w:trHeight w:val="240"/>
        </w:trPr>
        <w:tc>
          <w:tcPr>
            <w:tcW w:w="730" w:type="pct"/>
            <w:tcBorders>
              <w:top w:val="nil"/>
              <w:left w:val="single" w:sz="4" w:space="0" w:color="000000"/>
              <w:bottom w:val="nil"/>
              <w:right w:val="single" w:sz="4" w:space="0" w:color="000000"/>
            </w:tcBorders>
          </w:tcPr>
          <w:p w14:paraId="5BF89828"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hideMark/>
          </w:tcPr>
          <w:p w14:paraId="6AF21623"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difference</w:t>
            </w:r>
          </w:p>
        </w:tc>
        <w:tc>
          <w:tcPr>
            <w:tcW w:w="938" w:type="pct"/>
            <w:tcBorders>
              <w:top w:val="nil"/>
              <w:left w:val="single" w:sz="4" w:space="0" w:color="000000"/>
              <w:bottom w:val="nil"/>
              <w:right w:val="single" w:sz="4" w:space="0" w:color="000000"/>
            </w:tcBorders>
            <w:hideMark/>
          </w:tcPr>
          <w:p w14:paraId="64483439"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(95%</w:t>
            </w:r>
            <w:r w:rsidRPr="004D7D2F">
              <w:rPr>
                <w:spacing w:val="-2"/>
                <w:sz w:val="20"/>
                <w:szCs w:val="20"/>
              </w:rPr>
              <w:t xml:space="preserve"> </w:t>
            </w:r>
            <w:r w:rsidRPr="004D7D2F">
              <w:rPr>
                <w:sz w:val="20"/>
                <w:szCs w:val="20"/>
              </w:rPr>
              <w:t>CI)</w:t>
            </w:r>
            <w:r w:rsidRPr="004D7D2F">
              <w:rPr>
                <w:spacing w:val="-2"/>
                <w:sz w:val="20"/>
                <w:szCs w:val="20"/>
              </w:rPr>
              <w:t xml:space="preserve"> </w:t>
            </w:r>
            <w:r w:rsidRPr="004D7D2F">
              <w:rPr>
                <w:sz w:val="20"/>
                <w:szCs w:val="20"/>
              </w:rPr>
              <w:t>[a]</w:t>
            </w:r>
          </w:p>
        </w:tc>
        <w:tc>
          <w:tcPr>
            <w:tcW w:w="677" w:type="pct"/>
            <w:tcBorders>
              <w:top w:val="nil"/>
              <w:left w:val="single" w:sz="4" w:space="0" w:color="000000"/>
              <w:bottom w:val="nil"/>
              <w:right w:val="single" w:sz="4" w:space="0" w:color="000000"/>
            </w:tcBorders>
          </w:tcPr>
          <w:p w14:paraId="4108641F"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79F5C4F0"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-15.1,</w:t>
            </w:r>
            <w:r w:rsidRPr="004D7D2F">
              <w:rPr>
                <w:spacing w:val="-1"/>
                <w:sz w:val="20"/>
                <w:szCs w:val="20"/>
              </w:rPr>
              <w:t xml:space="preserve"> </w:t>
            </w:r>
            <w:r w:rsidRPr="004D7D2F">
              <w:rPr>
                <w:sz w:val="20"/>
                <w:szCs w:val="20"/>
              </w:rPr>
              <w:t>-9.4</w:t>
            </w:r>
          </w:p>
        </w:tc>
        <w:tc>
          <w:tcPr>
            <w:tcW w:w="729" w:type="pct"/>
            <w:tcBorders>
              <w:top w:val="nil"/>
              <w:left w:val="single" w:sz="4" w:space="0" w:color="000000"/>
              <w:bottom w:val="nil"/>
              <w:right w:val="single" w:sz="4" w:space="0" w:color="000000"/>
            </w:tcBorders>
            <w:hideMark/>
          </w:tcPr>
          <w:p w14:paraId="6491168F"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-13.0,</w:t>
            </w:r>
            <w:r w:rsidRPr="004D7D2F">
              <w:rPr>
                <w:spacing w:val="-1"/>
                <w:sz w:val="20"/>
                <w:szCs w:val="20"/>
              </w:rPr>
              <w:t xml:space="preserve"> </w:t>
            </w:r>
            <w:r w:rsidRPr="004D7D2F">
              <w:rPr>
                <w:sz w:val="20"/>
                <w:szCs w:val="20"/>
              </w:rPr>
              <w:t>-7.3</w:t>
            </w:r>
          </w:p>
        </w:tc>
      </w:tr>
      <w:tr w:rsidR="002746A7" w:rsidRPr="004D7D2F" w14:paraId="202BF956" w14:textId="77777777" w:rsidTr="00EC2189">
        <w:trPr>
          <w:trHeight w:val="240"/>
        </w:trPr>
        <w:tc>
          <w:tcPr>
            <w:tcW w:w="730" w:type="pct"/>
            <w:tcBorders>
              <w:top w:val="nil"/>
              <w:left w:val="single" w:sz="4" w:space="0" w:color="000000"/>
              <w:bottom w:val="nil"/>
              <w:right w:val="single" w:sz="4" w:space="0" w:color="000000"/>
            </w:tcBorders>
          </w:tcPr>
          <w:p w14:paraId="0C0054A9"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tcPr>
          <w:p w14:paraId="03BC8614"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nil"/>
              <w:right w:val="single" w:sz="4" w:space="0" w:color="000000"/>
            </w:tcBorders>
            <w:hideMark/>
          </w:tcPr>
          <w:p w14:paraId="727066F5"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Effect size</w:t>
            </w:r>
            <w:r w:rsidRPr="004D7D2F">
              <w:rPr>
                <w:spacing w:val="-1"/>
                <w:sz w:val="20"/>
                <w:szCs w:val="20"/>
              </w:rPr>
              <w:t xml:space="preserve"> </w:t>
            </w:r>
            <w:r w:rsidRPr="004D7D2F">
              <w:rPr>
                <w:sz w:val="20"/>
                <w:szCs w:val="20"/>
              </w:rPr>
              <w:t>[b]</w:t>
            </w:r>
          </w:p>
        </w:tc>
        <w:tc>
          <w:tcPr>
            <w:tcW w:w="677" w:type="pct"/>
            <w:tcBorders>
              <w:top w:val="nil"/>
              <w:left w:val="single" w:sz="4" w:space="0" w:color="000000"/>
              <w:bottom w:val="nil"/>
              <w:right w:val="single" w:sz="4" w:space="0" w:color="000000"/>
            </w:tcBorders>
          </w:tcPr>
          <w:p w14:paraId="5D2ABFF6"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4C131D0E"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1.16</w:t>
            </w:r>
          </w:p>
        </w:tc>
        <w:tc>
          <w:tcPr>
            <w:tcW w:w="729" w:type="pct"/>
            <w:tcBorders>
              <w:top w:val="nil"/>
              <w:left w:val="single" w:sz="4" w:space="0" w:color="000000"/>
              <w:bottom w:val="nil"/>
              <w:right w:val="single" w:sz="4" w:space="0" w:color="000000"/>
            </w:tcBorders>
            <w:hideMark/>
          </w:tcPr>
          <w:p w14:paraId="144E7004"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0.97</w:t>
            </w:r>
          </w:p>
        </w:tc>
      </w:tr>
      <w:tr w:rsidR="002746A7" w:rsidRPr="004D7D2F" w14:paraId="12A8F2A0" w14:textId="77777777" w:rsidTr="00EC2189">
        <w:trPr>
          <w:trHeight w:val="232"/>
        </w:trPr>
        <w:tc>
          <w:tcPr>
            <w:tcW w:w="730" w:type="pct"/>
            <w:tcBorders>
              <w:top w:val="nil"/>
              <w:left w:val="single" w:sz="4" w:space="0" w:color="000000"/>
              <w:bottom w:val="nil"/>
              <w:right w:val="single" w:sz="4" w:space="0" w:color="000000"/>
            </w:tcBorders>
          </w:tcPr>
          <w:p w14:paraId="52090E57"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4077FEFD"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567E128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p-value</w:t>
            </w:r>
          </w:p>
        </w:tc>
        <w:tc>
          <w:tcPr>
            <w:tcW w:w="677" w:type="pct"/>
            <w:tcBorders>
              <w:top w:val="nil"/>
              <w:left w:val="single" w:sz="4" w:space="0" w:color="000000"/>
              <w:bottom w:val="single" w:sz="4" w:space="0" w:color="000000"/>
              <w:right w:val="single" w:sz="4" w:space="0" w:color="000000"/>
            </w:tcBorders>
          </w:tcPr>
          <w:p w14:paraId="3D992D4B"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single" w:sz="4" w:space="0" w:color="000000"/>
              <w:right w:val="single" w:sz="4" w:space="0" w:color="000000"/>
            </w:tcBorders>
            <w:hideMark/>
          </w:tcPr>
          <w:p w14:paraId="386B59D5"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&lt;0.0001</w:t>
            </w:r>
          </w:p>
        </w:tc>
        <w:tc>
          <w:tcPr>
            <w:tcW w:w="729" w:type="pct"/>
            <w:tcBorders>
              <w:top w:val="nil"/>
              <w:left w:val="single" w:sz="4" w:space="0" w:color="000000"/>
              <w:bottom w:val="single" w:sz="4" w:space="0" w:color="000000"/>
              <w:right w:val="single" w:sz="4" w:space="0" w:color="000000"/>
            </w:tcBorders>
            <w:hideMark/>
          </w:tcPr>
          <w:p w14:paraId="0962141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&lt;0.0001</w:t>
            </w:r>
          </w:p>
        </w:tc>
      </w:tr>
      <w:tr w:rsidR="002746A7" w:rsidRPr="002E15A9" w14:paraId="4573424F" w14:textId="77777777" w:rsidTr="00EC2189">
        <w:trPr>
          <w:trHeight w:val="240"/>
        </w:trPr>
        <w:tc>
          <w:tcPr>
            <w:tcW w:w="730" w:type="pct"/>
            <w:tcBorders>
              <w:top w:val="nil"/>
              <w:left w:val="single" w:sz="4" w:space="0" w:color="000000"/>
              <w:bottom w:val="nil"/>
              <w:right w:val="single" w:sz="4" w:space="0" w:color="000000"/>
            </w:tcBorders>
          </w:tcPr>
          <w:p w14:paraId="76708FCE" w14:textId="77777777" w:rsidR="002746A7" w:rsidRPr="004D7D2F" w:rsidRDefault="002746A7">
            <w:pPr>
              <w:pStyle w:val="TableParagraph"/>
              <w:kinsoku w:val="0"/>
              <w:overflowPunct w:val="0"/>
              <w:spacing w:line="240" w:lineRule="auto"/>
              <w:ind w:left="0"/>
              <w:rPr>
                <w:sz w:val="20"/>
                <w:szCs w:val="20"/>
              </w:rPr>
            </w:pPr>
          </w:p>
        </w:tc>
        <w:tc>
          <w:tcPr>
            <w:tcW w:w="4270" w:type="pct"/>
            <w:gridSpan w:val="5"/>
            <w:tcBorders>
              <w:top w:val="single" w:sz="4" w:space="0" w:color="000000"/>
              <w:left w:val="single" w:sz="4" w:space="0" w:color="000000"/>
              <w:bottom w:val="single" w:sz="4" w:space="0" w:color="000000"/>
              <w:right w:val="single" w:sz="4" w:space="0" w:color="000000"/>
            </w:tcBorders>
            <w:hideMark/>
          </w:tcPr>
          <w:p w14:paraId="5749CE11"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Key</w:t>
            </w:r>
            <w:r w:rsidRPr="004D7D2F">
              <w:rPr>
                <w:b/>
                <w:bCs/>
                <w:spacing w:val="-2"/>
                <w:sz w:val="20"/>
                <w:szCs w:val="20"/>
              </w:rPr>
              <w:t xml:space="preserve"> </w:t>
            </w:r>
            <w:r w:rsidRPr="004D7D2F">
              <w:rPr>
                <w:b/>
                <w:bCs/>
                <w:sz w:val="20"/>
                <w:szCs w:val="20"/>
              </w:rPr>
              <w:t>Secondary</w:t>
            </w:r>
            <w:r w:rsidRPr="004D7D2F">
              <w:rPr>
                <w:b/>
                <w:bCs/>
                <w:spacing w:val="-2"/>
                <w:sz w:val="20"/>
                <w:szCs w:val="20"/>
              </w:rPr>
              <w:t xml:space="preserve"> </w:t>
            </w:r>
            <w:r w:rsidRPr="004D7D2F">
              <w:rPr>
                <w:b/>
                <w:bCs/>
                <w:sz w:val="20"/>
                <w:szCs w:val="20"/>
              </w:rPr>
              <w:t>Endpoint</w:t>
            </w:r>
            <w:r w:rsidRPr="004D7D2F">
              <w:rPr>
                <w:b/>
                <w:bCs/>
                <w:spacing w:val="-4"/>
                <w:sz w:val="20"/>
                <w:szCs w:val="20"/>
              </w:rPr>
              <w:t xml:space="preserve"> </w:t>
            </w:r>
            <w:r w:rsidRPr="004D7D2F">
              <w:rPr>
                <w:b/>
                <w:bCs/>
                <w:sz w:val="20"/>
                <w:szCs w:val="20"/>
              </w:rPr>
              <w:t>CGI-I</w:t>
            </w:r>
          </w:p>
        </w:tc>
      </w:tr>
      <w:tr w:rsidR="002746A7" w:rsidRPr="004D7D2F" w14:paraId="474FCB93" w14:textId="77777777" w:rsidTr="00EC2189">
        <w:trPr>
          <w:trHeight w:val="240"/>
        </w:trPr>
        <w:tc>
          <w:tcPr>
            <w:tcW w:w="730" w:type="pct"/>
            <w:tcBorders>
              <w:top w:val="nil"/>
              <w:left w:val="single" w:sz="4" w:space="0" w:color="000000"/>
              <w:bottom w:val="nil"/>
              <w:right w:val="single" w:sz="4" w:space="0" w:color="000000"/>
            </w:tcBorders>
          </w:tcPr>
          <w:p w14:paraId="71C3AC42"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single" w:sz="4" w:space="0" w:color="000000"/>
              <w:right w:val="single" w:sz="4" w:space="0" w:color="000000"/>
            </w:tcBorders>
            <w:hideMark/>
          </w:tcPr>
          <w:p w14:paraId="7AB45ED4" w14:textId="77777777" w:rsidR="002746A7" w:rsidRPr="004D7D2F" w:rsidRDefault="002746A7">
            <w:pPr>
              <w:pStyle w:val="TableParagraph"/>
              <w:kinsoku w:val="0"/>
              <w:overflowPunct w:val="0"/>
              <w:spacing w:before="14" w:line="205" w:lineRule="exact"/>
              <w:ind w:left="108"/>
              <w:rPr>
                <w:sz w:val="20"/>
                <w:szCs w:val="20"/>
              </w:rPr>
            </w:pPr>
            <w:r w:rsidRPr="004D7D2F">
              <w:rPr>
                <w:sz w:val="20"/>
                <w:szCs w:val="20"/>
              </w:rPr>
              <w:t>Subjects</w:t>
            </w:r>
            <w:r w:rsidRPr="004D7D2F">
              <w:rPr>
                <w:spacing w:val="-4"/>
                <w:sz w:val="20"/>
                <w:szCs w:val="20"/>
              </w:rPr>
              <w:t xml:space="preserve"> </w:t>
            </w:r>
            <w:proofErr w:type="spellStart"/>
            <w:r w:rsidRPr="004D7D2F">
              <w:rPr>
                <w:sz w:val="20"/>
                <w:szCs w:val="20"/>
              </w:rPr>
              <w:t>analysed</w:t>
            </w:r>
            <w:proofErr w:type="spellEnd"/>
            <w:r w:rsidRPr="004D7D2F">
              <w:rPr>
                <w:spacing w:val="-2"/>
                <w:sz w:val="20"/>
                <w:szCs w:val="20"/>
              </w:rPr>
              <w:t xml:space="preserve"> </w:t>
            </w:r>
            <w:r w:rsidRPr="004D7D2F">
              <w:rPr>
                <w:sz w:val="20"/>
                <w:szCs w:val="20"/>
              </w:rPr>
              <w:t>(n)</w:t>
            </w:r>
          </w:p>
        </w:tc>
        <w:tc>
          <w:tcPr>
            <w:tcW w:w="677" w:type="pct"/>
            <w:tcBorders>
              <w:top w:val="single" w:sz="4" w:space="0" w:color="000000"/>
              <w:left w:val="single" w:sz="4" w:space="0" w:color="000000"/>
              <w:bottom w:val="single" w:sz="4" w:space="0" w:color="000000"/>
              <w:right w:val="single" w:sz="4" w:space="0" w:color="000000"/>
            </w:tcBorders>
            <w:hideMark/>
          </w:tcPr>
          <w:p w14:paraId="74A6D8C8" w14:textId="77777777" w:rsidR="002746A7" w:rsidRPr="004D7D2F" w:rsidRDefault="002746A7">
            <w:pPr>
              <w:pStyle w:val="TableParagraph"/>
              <w:kinsoku w:val="0"/>
              <w:overflowPunct w:val="0"/>
              <w:spacing w:before="14" w:line="205" w:lineRule="exact"/>
              <w:ind w:left="421" w:right="413"/>
              <w:jc w:val="center"/>
              <w:rPr>
                <w:sz w:val="20"/>
                <w:szCs w:val="20"/>
              </w:rPr>
            </w:pPr>
            <w:r w:rsidRPr="004D7D2F">
              <w:rPr>
                <w:sz w:val="20"/>
                <w:szCs w:val="20"/>
              </w:rPr>
              <w:t>89</w:t>
            </w:r>
          </w:p>
        </w:tc>
        <w:tc>
          <w:tcPr>
            <w:tcW w:w="677" w:type="pct"/>
            <w:tcBorders>
              <w:top w:val="single" w:sz="4" w:space="0" w:color="000000"/>
              <w:left w:val="single" w:sz="4" w:space="0" w:color="000000"/>
              <w:bottom w:val="single" w:sz="4" w:space="0" w:color="000000"/>
              <w:right w:val="single" w:sz="4" w:space="0" w:color="000000"/>
            </w:tcBorders>
            <w:hideMark/>
          </w:tcPr>
          <w:p w14:paraId="3FD774E8" w14:textId="77777777" w:rsidR="002746A7" w:rsidRPr="004D7D2F" w:rsidRDefault="002746A7">
            <w:pPr>
              <w:pStyle w:val="TableParagraph"/>
              <w:kinsoku w:val="0"/>
              <w:overflowPunct w:val="0"/>
              <w:spacing w:before="14" w:line="205" w:lineRule="exact"/>
              <w:ind w:left="422" w:right="413"/>
              <w:jc w:val="center"/>
              <w:rPr>
                <w:sz w:val="20"/>
                <w:szCs w:val="20"/>
              </w:rPr>
            </w:pPr>
            <w:r w:rsidRPr="004D7D2F">
              <w:rPr>
                <w:sz w:val="20"/>
                <w:szCs w:val="20"/>
              </w:rPr>
              <w:t>178</w:t>
            </w:r>
          </w:p>
        </w:tc>
        <w:tc>
          <w:tcPr>
            <w:tcW w:w="729" w:type="pct"/>
            <w:tcBorders>
              <w:top w:val="single" w:sz="4" w:space="0" w:color="000000"/>
              <w:left w:val="single" w:sz="4" w:space="0" w:color="000000"/>
              <w:bottom w:val="single" w:sz="4" w:space="0" w:color="000000"/>
              <w:right w:val="single" w:sz="4" w:space="0" w:color="000000"/>
            </w:tcBorders>
            <w:hideMark/>
          </w:tcPr>
          <w:p w14:paraId="47ACB2AF" w14:textId="77777777" w:rsidR="002746A7" w:rsidRPr="004D7D2F" w:rsidRDefault="002746A7">
            <w:pPr>
              <w:pStyle w:val="TableParagraph"/>
              <w:kinsoku w:val="0"/>
              <w:overflowPunct w:val="0"/>
              <w:spacing w:before="14" w:line="205" w:lineRule="exact"/>
              <w:ind w:left="466" w:right="457"/>
              <w:jc w:val="center"/>
              <w:rPr>
                <w:sz w:val="20"/>
                <w:szCs w:val="20"/>
              </w:rPr>
            </w:pPr>
            <w:r w:rsidRPr="004D7D2F">
              <w:rPr>
                <w:sz w:val="20"/>
                <w:szCs w:val="20"/>
              </w:rPr>
              <w:t>184</w:t>
            </w:r>
          </w:p>
        </w:tc>
      </w:tr>
      <w:tr w:rsidR="002746A7" w:rsidRPr="004D7D2F" w14:paraId="2D0E0FFC" w14:textId="77777777" w:rsidTr="00EC2189">
        <w:trPr>
          <w:trHeight w:val="247"/>
        </w:trPr>
        <w:tc>
          <w:tcPr>
            <w:tcW w:w="730" w:type="pct"/>
            <w:tcBorders>
              <w:top w:val="nil"/>
              <w:left w:val="single" w:sz="4" w:space="0" w:color="000000"/>
              <w:bottom w:val="nil"/>
              <w:right w:val="single" w:sz="4" w:space="0" w:color="000000"/>
            </w:tcBorders>
          </w:tcPr>
          <w:p w14:paraId="5B41A4BC"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nil"/>
              <w:right w:val="single" w:sz="4" w:space="0" w:color="000000"/>
            </w:tcBorders>
            <w:hideMark/>
          </w:tcPr>
          <w:p w14:paraId="0059B471"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Improved</w:t>
            </w:r>
            <w:r w:rsidRPr="004D7D2F">
              <w:rPr>
                <w:spacing w:val="-2"/>
                <w:sz w:val="20"/>
                <w:szCs w:val="20"/>
              </w:rPr>
              <w:t xml:space="preserve"> </w:t>
            </w:r>
            <w:r w:rsidRPr="004D7D2F">
              <w:rPr>
                <w:sz w:val="20"/>
                <w:szCs w:val="20"/>
              </w:rPr>
              <w:t>(%)</w:t>
            </w:r>
            <w:r w:rsidRPr="004D7D2F">
              <w:rPr>
                <w:spacing w:val="-4"/>
                <w:sz w:val="20"/>
                <w:szCs w:val="20"/>
              </w:rPr>
              <w:t xml:space="preserve"> </w:t>
            </w:r>
            <w:r w:rsidRPr="004D7D2F">
              <w:rPr>
                <w:sz w:val="20"/>
                <w:szCs w:val="20"/>
              </w:rPr>
              <w:t>[c]</w:t>
            </w:r>
          </w:p>
        </w:tc>
        <w:tc>
          <w:tcPr>
            <w:tcW w:w="677" w:type="pct"/>
            <w:tcBorders>
              <w:top w:val="single" w:sz="4" w:space="0" w:color="000000"/>
              <w:left w:val="single" w:sz="4" w:space="0" w:color="000000"/>
              <w:bottom w:val="nil"/>
              <w:right w:val="single" w:sz="4" w:space="0" w:color="000000"/>
            </w:tcBorders>
            <w:hideMark/>
          </w:tcPr>
          <w:p w14:paraId="0C6BF4FF" w14:textId="77777777" w:rsidR="002746A7" w:rsidRPr="004D7D2F" w:rsidRDefault="002746A7">
            <w:pPr>
              <w:pStyle w:val="TableParagraph"/>
              <w:kinsoku w:val="0"/>
              <w:overflowPunct w:val="0"/>
              <w:spacing w:before="14" w:line="213" w:lineRule="exact"/>
              <w:ind w:left="234"/>
              <w:rPr>
                <w:sz w:val="20"/>
                <w:szCs w:val="20"/>
              </w:rPr>
            </w:pPr>
            <w:r w:rsidRPr="004D7D2F">
              <w:rPr>
                <w:sz w:val="20"/>
                <w:szCs w:val="20"/>
              </w:rPr>
              <w:t>31</w:t>
            </w:r>
            <w:r w:rsidRPr="004D7D2F">
              <w:rPr>
                <w:spacing w:val="1"/>
                <w:sz w:val="20"/>
                <w:szCs w:val="20"/>
              </w:rPr>
              <w:t xml:space="preserve"> </w:t>
            </w:r>
            <w:r w:rsidRPr="004D7D2F">
              <w:rPr>
                <w:sz w:val="20"/>
                <w:szCs w:val="20"/>
              </w:rPr>
              <w:t>(34.8)</w:t>
            </w:r>
          </w:p>
        </w:tc>
        <w:tc>
          <w:tcPr>
            <w:tcW w:w="677" w:type="pct"/>
            <w:tcBorders>
              <w:top w:val="single" w:sz="4" w:space="0" w:color="000000"/>
              <w:left w:val="single" w:sz="4" w:space="0" w:color="000000"/>
              <w:bottom w:val="nil"/>
              <w:right w:val="single" w:sz="4" w:space="0" w:color="000000"/>
            </w:tcBorders>
            <w:hideMark/>
          </w:tcPr>
          <w:p w14:paraId="24A298FB" w14:textId="77777777" w:rsidR="002746A7" w:rsidRPr="004D7D2F" w:rsidRDefault="002746A7">
            <w:pPr>
              <w:pStyle w:val="TableParagraph"/>
              <w:kinsoku w:val="0"/>
              <w:overflowPunct w:val="0"/>
              <w:spacing w:before="14" w:line="213" w:lineRule="exact"/>
              <w:ind w:left="0" w:right="173"/>
              <w:jc w:val="right"/>
              <w:rPr>
                <w:sz w:val="20"/>
                <w:szCs w:val="20"/>
              </w:rPr>
            </w:pPr>
            <w:r w:rsidRPr="004D7D2F">
              <w:rPr>
                <w:sz w:val="20"/>
                <w:szCs w:val="20"/>
              </w:rPr>
              <w:t>148</w:t>
            </w:r>
            <w:r w:rsidRPr="004D7D2F">
              <w:rPr>
                <w:spacing w:val="1"/>
                <w:sz w:val="20"/>
                <w:szCs w:val="20"/>
              </w:rPr>
              <w:t xml:space="preserve"> </w:t>
            </w:r>
            <w:r w:rsidRPr="004D7D2F">
              <w:rPr>
                <w:sz w:val="20"/>
                <w:szCs w:val="20"/>
              </w:rPr>
              <w:t>(83.1)</w:t>
            </w:r>
          </w:p>
        </w:tc>
        <w:tc>
          <w:tcPr>
            <w:tcW w:w="729" w:type="pct"/>
            <w:tcBorders>
              <w:top w:val="single" w:sz="4" w:space="0" w:color="000000"/>
              <w:left w:val="single" w:sz="4" w:space="0" w:color="000000"/>
              <w:bottom w:val="nil"/>
              <w:right w:val="single" w:sz="4" w:space="0" w:color="000000"/>
            </w:tcBorders>
            <w:hideMark/>
          </w:tcPr>
          <w:p w14:paraId="0CD39BD6" w14:textId="77777777" w:rsidR="002746A7" w:rsidRPr="004D7D2F" w:rsidRDefault="002746A7">
            <w:pPr>
              <w:pStyle w:val="TableParagraph"/>
              <w:kinsoku w:val="0"/>
              <w:overflowPunct w:val="0"/>
              <w:spacing w:before="14" w:line="213" w:lineRule="exact"/>
              <w:ind w:left="231"/>
              <w:rPr>
                <w:sz w:val="20"/>
                <w:szCs w:val="20"/>
              </w:rPr>
            </w:pPr>
            <w:r w:rsidRPr="004D7D2F">
              <w:rPr>
                <w:sz w:val="20"/>
                <w:szCs w:val="20"/>
              </w:rPr>
              <w:t>149</w:t>
            </w:r>
            <w:r w:rsidRPr="004D7D2F">
              <w:rPr>
                <w:spacing w:val="1"/>
                <w:sz w:val="20"/>
                <w:szCs w:val="20"/>
              </w:rPr>
              <w:t xml:space="preserve"> </w:t>
            </w:r>
            <w:r w:rsidRPr="004D7D2F">
              <w:rPr>
                <w:sz w:val="20"/>
                <w:szCs w:val="20"/>
              </w:rPr>
              <w:t>(81.0)</w:t>
            </w:r>
          </w:p>
        </w:tc>
      </w:tr>
      <w:tr w:rsidR="002746A7" w:rsidRPr="004D7D2F" w14:paraId="30C74E15" w14:textId="77777777" w:rsidTr="00EC2189">
        <w:trPr>
          <w:trHeight w:val="232"/>
        </w:trPr>
        <w:tc>
          <w:tcPr>
            <w:tcW w:w="730" w:type="pct"/>
            <w:tcBorders>
              <w:top w:val="nil"/>
              <w:left w:val="single" w:sz="4" w:space="0" w:color="000000"/>
              <w:bottom w:val="nil"/>
              <w:right w:val="single" w:sz="4" w:space="0" w:color="000000"/>
            </w:tcBorders>
          </w:tcPr>
          <w:p w14:paraId="0F881153"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nil"/>
              <w:left w:val="single" w:sz="4" w:space="0" w:color="000000"/>
              <w:bottom w:val="single" w:sz="4" w:space="0" w:color="000000"/>
              <w:right w:val="single" w:sz="4" w:space="0" w:color="000000"/>
            </w:tcBorders>
            <w:hideMark/>
          </w:tcPr>
          <w:p w14:paraId="720D660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Not</w:t>
            </w:r>
            <w:r w:rsidRPr="004D7D2F">
              <w:rPr>
                <w:spacing w:val="-2"/>
                <w:sz w:val="20"/>
                <w:szCs w:val="20"/>
              </w:rPr>
              <w:t xml:space="preserve"> </w:t>
            </w:r>
            <w:r w:rsidRPr="004D7D2F">
              <w:rPr>
                <w:sz w:val="20"/>
                <w:szCs w:val="20"/>
              </w:rPr>
              <w:t>improved (%)</w:t>
            </w:r>
            <w:r w:rsidRPr="004D7D2F">
              <w:rPr>
                <w:spacing w:val="-2"/>
                <w:sz w:val="20"/>
                <w:szCs w:val="20"/>
              </w:rPr>
              <w:t xml:space="preserve"> </w:t>
            </w:r>
            <w:r w:rsidRPr="004D7D2F">
              <w:rPr>
                <w:sz w:val="20"/>
                <w:szCs w:val="20"/>
              </w:rPr>
              <w:t>[d]</w:t>
            </w:r>
          </w:p>
        </w:tc>
        <w:tc>
          <w:tcPr>
            <w:tcW w:w="677" w:type="pct"/>
            <w:tcBorders>
              <w:top w:val="nil"/>
              <w:left w:val="single" w:sz="4" w:space="0" w:color="000000"/>
              <w:bottom w:val="single" w:sz="4" w:space="0" w:color="000000"/>
              <w:right w:val="single" w:sz="4" w:space="0" w:color="000000"/>
            </w:tcBorders>
            <w:hideMark/>
          </w:tcPr>
          <w:p w14:paraId="070FAD3E" w14:textId="77777777" w:rsidR="002746A7" w:rsidRPr="004D7D2F" w:rsidRDefault="002746A7">
            <w:pPr>
              <w:pStyle w:val="TableParagraph"/>
              <w:kinsoku w:val="0"/>
              <w:overflowPunct w:val="0"/>
              <w:spacing w:before="6" w:line="205" w:lineRule="exact"/>
              <w:ind w:left="234"/>
              <w:rPr>
                <w:sz w:val="20"/>
                <w:szCs w:val="20"/>
              </w:rPr>
            </w:pPr>
            <w:r w:rsidRPr="004D7D2F">
              <w:rPr>
                <w:sz w:val="20"/>
                <w:szCs w:val="20"/>
              </w:rPr>
              <w:t>58</w:t>
            </w:r>
            <w:r w:rsidRPr="004D7D2F">
              <w:rPr>
                <w:spacing w:val="1"/>
                <w:sz w:val="20"/>
                <w:szCs w:val="20"/>
              </w:rPr>
              <w:t xml:space="preserve"> </w:t>
            </w:r>
            <w:r w:rsidRPr="004D7D2F">
              <w:rPr>
                <w:sz w:val="20"/>
                <w:szCs w:val="20"/>
              </w:rPr>
              <w:t>(65.2)</w:t>
            </w:r>
          </w:p>
        </w:tc>
        <w:tc>
          <w:tcPr>
            <w:tcW w:w="677" w:type="pct"/>
            <w:tcBorders>
              <w:top w:val="nil"/>
              <w:left w:val="single" w:sz="4" w:space="0" w:color="000000"/>
              <w:bottom w:val="single" w:sz="4" w:space="0" w:color="000000"/>
              <w:right w:val="single" w:sz="4" w:space="0" w:color="000000"/>
            </w:tcBorders>
            <w:hideMark/>
          </w:tcPr>
          <w:p w14:paraId="7F75D01A" w14:textId="77777777" w:rsidR="002746A7" w:rsidRPr="004D7D2F" w:rsidRDefault="002746A7">
            <w:pPr>
              <w:pStyle w:val="TableParagraph"/>
              <w:kinsoku w:val="0"/>
              <w:overflowPunct w:val="0"/>
              <w:spacing w:before="6" w:line="205" w:lineRule="exact"/>
              <w:ind w:left="0" w:right="221"/>
              <w:jc w:val="right"/>
              <w:rPr>
                <w:sz w:val="20"/>
                <w:szCs w:val="20"/>
              </w:rPr>
            </w:pPr>
            <w:r w:rsidRPr="004D7D2F">
              <w:rPr>
                <w:sz w:val="20"/>
                <w:szCs w:val="20"/>
              </w:rPr>
              <w:t>30</w:t>
            </w:r>
            <w:r w:rsidRPr="004D7D2F">
              <w:rPr>
                <w:spacing w:val="1"/>
                <w:sz w:val="20"/>
                <w:szCs w:val="20"/>
              </w:rPr>
              <w:t xml:space="preserve"> </w:t>
            </w:r>
            <w:r w:rsidRPr="004D7D2F">
              <w:rPr>
                <w:sz w:val="20"/>
                <w:szCs w:val="20"/>
              </w:rPr>
              <w:t>(16.9)</w:t>
            </w:r>
          </w:p>
        </w:tc>
        <w:tc>
          <w:tcPr>
            <w:tcW w:w="729" w:type="pct"/>
            <w:tcBorders>
              <w:top w:val="nil"/>
              <w:left w:val="single" w:sz="4" w:space="0" w:color="000000"/>
              <w:bottom w:val="single" w:sz="4" w:space="0" w:color="000000"/>
              <w:right w:val="single" w:sz="4" w:space="0" w:color="000000"/>
            </w:tcBorders>
            <w:hideMark/>
          </w:tcPr>
          <w:p w14:paraId="65BD7891" w14:textId="77777777" w:rsidR="002746A7" w:rsidRPr="004D7D2F" w:rsidRDefault="002746A7">
            <w:pPr>
              <w:pStyle w:val="TableParagraph"/>
              <w:kinsoku w:val="0"/>
              <w:overflowPunct w:val="0"/>
              <w:spacing w:before="6" w:line="205" w:lineRule="exact"/>
              <w:ind w:left="279"/>
              <w:rPr>
                <w:sz w:val="20"/>
                <w:szCs w:val="20"/>
              </w:rPr>
            </w:pPr>
            <w:r w:rsidRPr="004D7D2F">
              <w:rPr>
                <w:sz w:val="20"/>
                <w:szCs w:val="20"/>
              </w:rPr>
              <w:t>35</w:t>
            </w:r>
            <w:r w:rsidRPr="004D7D2F">
              <w:rPr>
                <w:spacing w:val="1"/>
                <w:sz w:val="20"/>
                <w:szCs w:val="20"/>
              </w:rPr>
              <w:t xml:space="preserve"> </w:t>
            </w:r>
            <w:r w:rsidRPr="004D7D2F">
              <w:rPr>
                <w:sz w:val="20"/>
                <w:szCs w:val="20"/>
              </w:rPr>
              <w:t>(19.0)</w:t>
            </w:r>
          </w:p>
        </w:tc>
      </w:tr>
      <w:tr w:rsidR="002746A7" w:rsidRPr="004D7D2F" w14:paraId="7855E654" w14:textId="77777777" w:rsidTr="00EC2189">
        <w:trPr>
          <w:trHeight w:val="247"/>
        </w:trPr>
        <w:tc>
          <w:tcPr>
            <w:tcW w:w="730" w:type="pct"/>
            <w:tcBorders>
              <w:top w:val="nil"/>
              <w:left w:val="single" w:sz="4" w:space="0" w:color="000000"/>
              <w:bottom w:val="nil"/>
              <w:right w:val="single" w:sz="4" w:space="0" w:color="000000"/>
            </w:tcBorders>
          </w:tcPr>
          <w:p w14:paraId="690B5BAF"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nil"/>
              <w:right w:val="single" w:sz="4" w:space="0" w:color="000000"/>
            </w:tcBorders>
            <w:hideMark/>
          </w:tcPr>
          <w:p w14:paraId="73C94387" w14:textId="77777777" w:rsidR="002746A7" w:rsidRPr="004D7D2F" w:rsidRDefault="002746A7">
            <w:pPr>
              <w:pStyle w:val="TableParagraph"/>
              <w:kinsoku w:val="0"/>
              <w:overflowPunct w:val="0"/>
              <w:spacing w:before="14" w:line="213" w:lineRule="exact"/>
              <w:ind w:left="108"/>
              <w:rPr>
                <w:sz w:val="20"/>
                <w:szCs w:val="20"/>
                <w:lang w:val="sv-SE"/>
              </w:rPr>
            </w:pPr>
            <w:proofErr w:type="spellStart"/>
            <w:r w:rsidRPr="004D7D2F">
              <w:rPr>
                <w:sz w:val="20"/>
                <w:szCs w:val="20"/>
                <w:lang w:val="sv-SE"/>
              </w:rPr>
              <w:t>Lisdexamfetamine</w:t>
            </w:r>
            <w:proofErr w:type="spellEnd"/>
            <w:r w:rsidRPr="004D7D2F">
              <w:rPr>
                <w:spacing w:val="-5"/>
                <w:sz w:val="20"/>
                <w:szCs w:val="20"/>
                <w:lang w:val="sv-SE"/>
              </w:rPr>
              <w:t xml:space="preserve"> </w:t>
            </w:r>
            <w:r w:rsidRPr="004D7D2F">
              <w:rPr>
                <w:sz w:val="20"/>
                <w:szCs w:val="20"/>
                <w:lang w:val="sv-SE"/>
              </w:rPr>
              <w:t>vs</w:t>
            </w:r>
            <w:r w:rsidRPr="004D7D2F">
              <w:rPr>
                <w:spacing w:val="-4"/>
                <w:sz w:val="20"/>
                <w:szCs w:val="20"/>
                <w:lang w:val="sv-SE"/>
              </w:rPr>
              <w:t xml:space="preserve"> </w:t>
            </w:r>
            <w:r w:rsidRPr="004D7D2F">
              <w:rPr>
                <w:sz w:val="20"/>
                <w:szCs w:val="20"/>
                <w:lang w:val="sv-SE"/>
              </w:rPr>
              <w:t>OROS-MPH</w:t>
            </w:r>
            <w:r w:rsidRPr="004D7D2F">
              <w:rPr>
                <w:spacing w:val="-4"/>
                <w:sz w:val="20"/>
                <w:szCs w:val="20"/>
                <w:lang w:val="sv-SE"/>
              </w:rPr>
              <w:t xml:space="preserve"> </w:t>
            </w:r>
            <w:r w:rsidRPr="004D7D2F">
              <w:rPr>
                <w:sz w:val="20"/>
                <w:szCs w:val="20"/>
                <w:lang w:val="sv-SE"/>
              </w:rPr>
              <w:t>[e]</w:t>
            </w:r>
          </w:p>
        </w:tc>
        <w:tc>
          <w:tcPr>
            <w:tcW w:w="677" w:type="pct"/>
            <w:tcBorders>
              <w:top w:val="single" w:sz="4" w:space="0" w:color="000000"/>
              <w:left w:val="single" w:sz="4" w:space="0" w:color="000000"/>
              <w:bottom w:val="nil"/>
              <w:right w:val="single" w:sz="4" w:space="0" w:color="000000"/>
            </w:tcBorders>
            <w:hideMark/>
          </w:tcPr>
          <w:p w14:paraId="0B309505" w14:textId="77777777" w:rsidR="002746A7" w:rsidRPr="004D7D2F" w:rsidRDefault="002746A7">
            <w:pPr>
              <w:pStyle w:val="TableParagraph"/>
              <w:kinsoku w:val="0"/>
              <w:overflowPunct w:val="0"/>
              <w:spacing w:before="14" w:line="213" w:lineRule="exact"/>
              <w:ind w:left="422" w:right="412"/>
              <w:jc w:val="center"/>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61D1A7C6" w14:textId="77777777" w:rsidR="002746A7" w:rsidRPr="004D7D2F" w:rsidRDefault="002746A7">
            <w:pPr>
              <w:pStyle w:val="TableParagraph"/>
              <w:kinsoku w:val="0"/>
              <w:overflowPunct w:val="0"/>
              <w:spacing w:before="14" w:line="213" w:lineRule="exact"/>
              <w:ind w:left="320"/>
              <w:rPr>
                <w:sz w:val="20"/>
                <w:szCs w:val="20"/>
              </w:rPr>
            </w:pPr>
            <w:r w:rsidRPr="004D7D2F">
              <w:rPr>
                <w:sz w:val="20"/>
                <w:szCs w:val="20"/>
              </w:rPr>
              <w:t>0.6165</w:t>
            </w:r>
          </w:p>
        </w:tc>
        <w:tc>
          <w:tcPr>
            <w:tcW w:w="729" w:type="pct"/>
            <w:tcBorders>
              <w:top w:val="single" w:sz="4" w:space="0" w:color="000000"/>
              <w:left w:val="single" w:sz="4" w:space="0" w:color="000000"/>
              <w:bottom w:val="nil"/>
              <w:right w:val="single" w:sz="4" w:space="0" w:color="000000"/>
            </w:tcBorders>
            <w:hideMark/>
          </w:tcPr>
          <w:p w14:paraId="431E314B" w14:textId="77777777" w:rsidR="002746A7" w:rsidRPr="004D7D2F" w:rsidRDefault="002746A7">
            <w:pPr>
              <w:pStyle w:val="TableParagraph"/>
              <w:kinsoku w:val="0"/>
              <w:overflowPunct w:val="0"/>
              <w:spacing w:before="14" w:line="213" w:lineRule="exact"/>
              <w:ind w:left="466" w:right="456"/>
              <w:jc w:val="center"/>
              <w:rPr>
                <w:sz w:val="20"/>
                <w:szCs w:val="20"/>
              </w:rPr>
            </w:pPr>
            <w:r w:rsidRPr="004D7D2F">
              <w:rPr>
                <w:sz w:val="20"/>
                <w:szCs w:val="20"/>
              </w:rPr>
              <w:t>NA</w:t>
            </w:r>
          </w:p>
        </w:tc>
      </w:tr>
      <w:tr w:rsidR="002746A7" w:rsidRPr="004D7D2F" w14:paraId="2964B308" w14:textId="77777777" w:rsidTr="00EC2189">
        <w:trPr>
          <w:trHeight w:val="232"/>
        </w:trPr>
        <w:tc>
          <w:tcPr>
            <w:tcW w:w="730" w:type="pct"/>
            <w:tcBorders>
              <w:top w:val="nil"/>
              <w:left w:val="single" w:sz="4" w:space="0" w:color="000000"/>
              <w:bottom w:val="single" w:sz="4" w:space="0" w:color="000000"/>
              <w:right w:val="single" w:sz="4" w:space="0" w:color="000000"/>
            </w:tcBorders>
          </w:tcPr>
          <w:p w14:paraId="12722DCA"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nil"/>
              <w:left w:val="single" w:sz="4" w:space="0" w:color="000000"/>
              <w:bottom w:val="single" w:sz="4" w:space="0" w:color="000000"/>
              <w:right w:val="single" w:sz="4" w:space="0" w:color="000000"/>
            </w:tcBorders>
            <w:hideMark/>
          </w:tcPr>
          <w:p w14:paraId="415348DE"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Active</w:t>
            </w:r>
            <w:r w:rsidRPr="004D7D2F">
              <w:rPr>
                <w:spacing w:val="-3"/>
                <w:sz w:val="20"/>
                <w:szCs w:val="20"/>
              </w:rPr>
              <w:t xml:space="preserve"> </w:t>
            </w:r>
            <w:r w:rsidRPr="004D7D2F">
              <w:rPr>
                <w:sz w:val="20"/>
                <w:szCs w:val="20"/>
              </w:rPr>
              <w:t>treatment</w:t>
            </w:r>
            <w:r w:rsidRPr="004D7D2F">
              <w:rPr>
                <w:spacing w:val="-4"/>
                <w:sz w:val="20"/>
                <w:szCs w:val="20"/>
              </w:rPr>
              <w:t xml:space="preserve"> </w:t>
            </w:r>
            <w:r w:rsidRPr="004D7D2F">
              <w:rPr>
                <w:sz w:val="20"/>
                <w:szCs w:val="20"/>
              </w:rPr>
              <w:t>vs</w:t>
            </w:r>
            <w:r w:rsidRPr="004D7D2F">
              <w:rPr>
                <w:spacing w:val="-3"/>
                <w:sz w:val="20"/>
                <w:szCs w:val="20"/>
              </w:rPr>
              <w:t xml:space="preserve"> </w:t>
            </w:r>
            <w:r w:rsidRPr="004D7D2F">
              <w:rPr>
                <w:sz w:val="20"/>
                <w:szCs w:val="20"/>
              </w:rPr>
              <w:t>Placebo</w:t>
            </w:r>
            <w:r w:rsidRPr="004D7D2F">
              <w:rPr>
                <w:spacing w:val="-2"/>
                <w:sz w:val="20"/>
                <w:szCs w:val="20"/>
              </w:rPr>
              <w:t xml:space="preserve"> </w:t>
            </w:r>
            <w:r w:rsidRPr="004D7D2F">
              <w:rPr>
                <w:sz w:val="20"/>
                <w:szCs w:val="20"/>
              </w:rPr>
              <w:t>[e]</w:t>
            </w:r>
          </w:p>
        </w:tc>
        <w:tc>
          <w:tcPr>
            <w:tcW w:w="677" w:type="pct"/>
            <w:tcBorders>
              <w:top w:val="nil"/>
              <w:left w:val="single" w:sz="4" w:space="0" w:color="000000"/>
              <w:bottom w:val="single" w:sz="4" w:space="0" w:color="000000"/>
              <w:right w:val="single" w:sz="4" w:space="0" w:color="000000"/>
            </w:tcBorders>
            <w:hideMark/>
          </w:tcPr>
          <w:p w14:paraId="331F461D" w14:textId="77777777" w:rsidR="002746A7" w:rsidRPr="004D7D2F" w:rsidRDefault="002746A7">
            <w:pPr>
              <w:pStyle w:val="TableParagraph"/>
              <w:kinsoku w:val="0"/>
              <w:overflowPunct w:val="0"/>
              <w:spacing w:before="6" w:line="205" w:lineRule="exact"/>
              <w:ind w:left="422" w:right="412"/>
              <w:jc w:val="center"/>
              <w:rPr>
                <w:sz w:val="20"/>
                <w:szCs w:val="20"/>
              </w:rPr>
            </w:pPr>
            <w:r w:rsidRPr="004D7D2F">
              <w:rPr>
                <w:sz w:val="20"/>
                <w:szCs w:val="20"/>
              </w:rPr>
              <w:t>NA</w:t>
            </w:r>
          </w:p>
        </w:tc>
        <w:tc>
          <w:tcPr>
            <w:tcW w:w="677" w:type="pct"/>
            <w:tcBorders>
              <w:top w:val="nil"/>
              <w:left w:val="single" w:sz="4" w:space="0" w:color="000000"/>
              <w:bottom w:val="single" w:sz="4" w:space="0" w:color="000000"/>
              <w:right w:val="single" w:sz="4" w:space="0" w:color="000000"/>
            </w:tcBorders>
            <w:hideMark/>
          </w:tcPr>
          <w:p w14:paraId="51D19BBA" w14:textId="77777777" w:rsidR="002746A7" w:rsidRPr="004D7D2F" w:rsidRDefault="002746A7">
            <w:pPr>
              <w:pStyle w:val="TableParagraph"/>
              <w:kinsoku w:val="0"/>
              <w:overflowPunct w:val="0"/>
              <w:spacing w:before="6" w:line="205" w:lineRule="exact"/>
              <w:ind w:left="266"/>
              <w:rPr>
                <w:sz w:val="20"/>
                <w:szCs w:val="20"/>
              </w:rPr>
            </w:pPr>
            <w:r w:rsidRPr="004D7D2F">
              <w:rPr>
                <w:sz w:val="20"/>
                <w:szCs w:val="20"/>
              </w:rPr>
              <w:t>&lt;0.0001</w:t>
            </w:r>
          </w:p>
        </w:tc>
        <w:tc>
          <w:tcPr>
            <w:tcW w:w="729" w:type="pct"/>
            <w:tcBorders>
              <w:top w:val="nil"/>
              <w:left w:val="single" w:sz="4" w:space="0" w:color="000000"/>
              <w:bottom w:val="single" w:sz="4" w:space="0" w:color="000000"/>
              <w:right w:val="single" w:sz="4" w:space="0" w:color="000000"/>
            </w:tcBorders>
            <w:hideMark/>
          </w:tcPr>
          <w:p w14:paraId="71501C90" w14:textId="77777777" w:rsidR="002746A7" w:rsidRPr="004D7D2F" w:rsidRDefault="002746A7">
            <w:pPr>
              <w:pStyle w:val="TableParagraph"/>
              <w:kinsoku w:val="0"/>
              <w:overflowPunct w:val="0"/>
              <w:spacing w:before="6" w:line="205" w:lineRule="exact"/>
              <w:ind w:left="311"/>
              <w:rPr>
                <w:sz w:val="20"/>
                <w:szCs w:val="20"/>
              </w:rPr>
            </w:pPr>
            <w:r w:rsidRPr="004D7D2F">
              <w:rPr>
                <w:sz w:val="20"/>
                <w:szCs w:val="20"/>
              </w:rPr>
              <w:t>&lt;0.0001</w:t>
            </w:r>
          </w:p>
        </w:tc>
      </w:tr>
      <w:tr w:rsidR="002746A7" w:rsidRPr="004D7D2F" w14:paraId="05783C3F" w14:textId="77777777" w:rsidTr="00EC2189">
        <w:trPr>
          <w:trHeight w:val="240"/>
        </w:trPr>
        <w:tc>
          <w:tcPr>
            <w:tcW w:w="730" w:type="pct"/>
            <w:tcBorders>
              <w:top w:val="single" w:sz="4" w:space="0" w:color="000000"/>
              <w:left w:val="single" w:sz="4" w:space="0" w:color="000000"/>
              <w:bottom w:val="nil"/>
              <w:right w:val="single" w:sz="4" w:space="0" w:color="000000"/>
            </w:tcBorders>
            <w:hideMark/>
          </w:tcPr>
          <w:p w14:paraId="1734F0FB" w14:textId="77777777" w:rsidR="002746A7" w:rsidRPr="004D7D2F" w:rsidRDefault="002746A7">
            <w:pPr>
              <w:pStyle w:val="TableParagraph"/>
              <w:kinsoku w:val="0"/>
              <w:overflowPunct w:val="0"/>
              <w:spacing w:before="14" w:line="205" w:lineRule="exact"/>
              <w:ind w:left="90" w:right="126"/>
              <w:jc w:val="center"/>
              <w:rPr>
                <w:b/>
                <w:bCs/>
                <w:sz w:val="20"/>
                <w:szCs w:val="20"/>
              </w:rPr>
            </w:pPr>
            <w:r w:rsidRPr="004D7D2F">
              <w:rPr>
                <w:b/>
                <w:bCs/>
                <w:sz w:val="20"/>
                <w:szCs w:val="20"/>
              </w:rPr>
              <w:t>SPD489-406</w:t>
            </w:r>
          </w:p>
        </w:tc>
        <w:tc>
          <w:tcPr>
            <w:tcW w:w="2188" w:type="pct"/>
            <w:gridSpan w:val="2"/>
            <w:tcBorders>
              <w:top w:val="single" w:sz="4" w:space="0" w:color="000000"/>
              <w:left w:val="single" w:sz="4" w:space="0" w:color="000000"/>
              <w:bottom w:val="single" w:sz="4" w:space="0" w:color="000000"/>
              <w:right w:val="single" w:sz="4" w:space="0" w:color="000000"/>
            </w:tcBorders>
            <w:hideMark/>
          </w:tcPr>
          <w:p w14:paraId="650D9410"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Primary</w:t>
            </w:r>
            <w:r w:rsidRPr="004D7D2F">
              <w:rPr>
                <w:b/>
                <w:bCs/>
                <w:spacing w:val="-3"/>
                <w:sz w:val="20"/>
                <w:szCs w:val="20"/>
              </w:rPr>
              <w:t xml:space="preserve"> </w:t>
            </w:r>
            <w:r w:rsidRPr="004D7D2F">
              <w:rPr>
                <w:b/>
                <w:bCs/>
                <w:sz w:val="20"/>
                <w:szCs w:val="20"/>
              </w:rPr>
              <w:t>at</w:t>
            </w:r>
            <w:r w:rsidRPr="004D7D2F">
              <w:rPr>
                <w:b/>
                <w:bCs/>
                <w:spacing w:val="-4"/>
                <w:sz w:val="20"/>
                <w:szCs w:val="20"/>
              </w:rPr>
              <w:t xml:space="preserve"> </w:t>
            </w:r>
            <w:r w:rsidRPr="004D7D2F">
              <w:rPr>
                <w:b/>
                <w:bCs/>
                <w:sz w:val="20"/>
                <w:szCs w:val="20"/>
              </w:rPr>
              <w:t>Week</w:t>
            </w:r>
            <w:r w:rsidRPr="004D7D2F">
              <w:rPr>
                <w:b/>
                <w:bCs/>
                <w:spacing w:val="-5"/>
                <w:sz w:val="20"/>
                <w:szCs w:val="20"/>
              </w:rPr>
              <w:t xml:space="preserve"> </w:t>
            </w:r>
            <w:r w:rsidRPr="004D7D2F">
              <w:rPr>
                <w:b/>
                <w:bCs/>
                <w:sz w:val="20"/>
                <w:szCs w:val="20"/>
              </w:rPr>
              <w:t>6</w:t>
            </w:r>
            <w:r w:rsidRPr="004D7D2F">
              <w:rPr>
                <w:b/>
                <w:bCs/>
                <w:spacing w:val="-2"/>
                <w:sz w:val="20"/>
                <w:szCs w:val="20"/>
              </w:rPr>
              <w:t xml:space="preserve"> </w:t>
            </w:r>
            <w:r w:rsidRPr="004D7D2F">
              <w:rPr>
                <w:b/>
                <w:bCs/>
                <w:sz w:val="20"/>
                <w:szCs w:val="20"/>
              </w:rPr>
              <w:t>ADHD-RS-IV</w:t>
            </w:r>
          </w:p>
        </w:tc>
        <w:tc>
          <w:tcPr>
            <w:tcW w:w="677" w:type="pct"/>
            <w:tcBorders>
              <w:top w:val="single" w:sz="4" w:space="0" w:color="000000"/>
              <w:left w:val="single" w:sz="4" w:space="0" w:color="000000"/>
              <w:bottom w:val="single" w:sz="4" w:space="0" w:color="000000"/>
              <w:right w:val="single" w:sz="4" w:space="0" w:color="000000"/>
            </w:tcBorders>
            <w:hideMark/>
          </w:tcPr>
          <w:p w14:paraId="54F62392"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Placebo</w:t>
            </w:r>
          </w:p>
        </w:tc>
        <w:tc>
          <w:tcPr>
            <w:tcW w:w="677" w:type="pct"/>
            <w:tcBorders>
              <w:top w:val="single" w:sz="4" w:space="0" w:color="000000"/>
              <w:left w:val="single" w:sz="4" w:space="0" w:color="000000"/>
              <w:bottom w:val="single" w:sz="4" w:space="0" w:color="000000"/>
              <w:right w:val="single" w:sz="4" w:space="0" w:color="000000"/>
            </w:tcBorders>
            <w:hideMark/>
          </w:tcPr>
          <w:p w14:paraId="01BF7840"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SPD489</w:t>
            </w:r>
          </w:p>
        </w:tc>
        <w:tc>
          <w:tcPr>
            <w:tcW w:w="729" w:type="pct"/>
            <w:tcBorders>
              <w:top w:val="single" w:sz="4" w:space="0" w:color="000000"/>
              <w:left w:val="single" w:sz="4" w:space="0" w:color="000000"/>
              <w:bottom w:val="single" w:sz="4" w:space="0" w:color="000000"/>
              <w:right w:val="single" w:sz="4" w:space="0" w:color="000000"/>
            </w:tcBorders>
            <w:hideMark/>
          </w:tcPr>
          <w:p w14:paraId="2974EB6B"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OROS-MPH</w:t>
            </w:r>
          </w:p>
        </w:tc>
      </w:tr>
      <w:tr w:rsidR="002746A7" w:rsidRPr="004D7D2F" w14:paraId="231FB2BD" w14:textId="77777777" w:rsidTr="00EC2189">
        <w:trPr>
          <w:trHeight w:val="247"/>
        </w:trPr>
        <w:tc>
          <w:tcPr>
            <w:tcW w:w="730" w:type="pct"/>
            <w:tcBorders>
              <w:top w:val="nil"/>
              <w:left w:val="single" w:sz="4" w:space="0" w:color="000000"/>
              <w:bottom w:val="nil"/>
              <w:right w:val="single" w:sz="4" w:space="0" w:color="000000"/>
            </w:tcBorders>
          </w:tcPr>
          <w:p w14:paraId="70ABF53B"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0FEBC90E"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Baseline</w:t>
            </w:r>
            <w:r w:rsidRPr="004D7D2F">
              <w:rPr>
                <w:spacing w:val="-4"/>
                <w:sz w:val="20"/>
                <w:szCs w:val="20"/>
              </w:rPr>
              <w:t xml:space="preserve"> </w:t>
            </w:r>
            <w:r w:rsidRPr="004D7D2F">
              <w:rPr>
                <w:sz w:val="20"/>
                <w:szCs w:val="20"/>
              </w:rPr>
              <w:t>Total</w:t>
            </w:r>
            <w:r w:rsidRPr="004D7D2F">
              <w:rPr>
                <w:spacing w:val="-3"/>
                <w:sz w:val="20"/>
                <w:szCs w:val="20"/>
              </w:rPr>
              <w:t xml:space="preserve"> </w:t>
            </w:r>
            <w:r w:rsidRPr="004D7D2F">
              <w:rPr>
                <w:sz w:val="20"/>
                <w:szCs w:val="20"/>
              </w:rPr>
              <w:t>Score</w:t>
            </w:r>
          </w:p>
        </w:tc>
        <w:tc>
          <w:tcPr>
            <w:tcW w:w="938" w:type="pct"/>
            <w:tcBorders>
              <w:top w:val="single" w:sz="4" w:space="0" w:color="000000"/>
              <w:left w:val="single" w:sz="4" w:space="0" w:color="000000"/>
              <w:bottom w:val="nil"/>
              <w:right w:val="single" w:sz="4" w:space="0" w:color="000000"/>
            </w:tcBorders>
            <w:hideMark/>
          </w:tcPr>
          <w:p w14:paraId="638CD1DC" w14:textId="77777777" w:rsidR="002746A7" w:rsidRPr="004D7D2F" w:rsidRDefault="002746A7">
            <w:pPr>
              <w:pStyle w:val="TableParagraph"/>
              <w:kinsoku w:val="0"/>
              <w:overflowPunct w:val="0"/>
              <w:spacing w:before="14" w:line="213" w:lineRule="exact"/>
              <w:ind w:left="108"/>
              <w:rPr>
                <w:w w:val="99"/>
                <w:sz w:val="20"/>
                <w:szCs w:val="20"/>
              </w:rPr>
            </w:pPr>
            <w:r w:rsidRPr="004D7D2F">
              <w:rPr>
                <w:w w:val="99"/>
                <w:sz w:val="20"/>
                <w:szCs w:val="20"/>
              </w:rPr>
              <w:t>N</w:t>
            </w:r>
          </w:p>
        </w:tc>
        <w:tc>
          <w:tcPr>
            <w:tcW w:w="677" w:type="pct"/>
            <w:tcBorders>
              <w:top w:val="single" w:sz="4" w:space="0" w:color="000000"/>
              <w:left w:val="single" w:sz="4" w:space="0" w:color="000000"/>
              <w:bottom w:val="nil"/>
              <w:right w:val="single" w:sz="4" w:space="0" w:color="000000"/>
            </w:tcBorders>
            <w:hideMark/>
          </w:tcPr>
          <w:p w14:paraId="2C5BD278"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106</w:t>
            </w:r>
          </w:p>
        </w:tc>
        <w:tc>
          <w:tcPr>
            <w:tcW w:w="677" w:type="pct"/>
            <w:tcBorders>
              <w:top w:val="single" w:sz="4" w:space="0" w:color="000000"/>
              <w:left w:val="single" w:sz="4" w:space="0" w:color="000000"/>
              <w:bottom w:val="nil"/>
              <w:right w:val="single" w:sz="4" w:space="0" w:color="000000"/>
            </w:tcBorders>
            <w:hideMark/>
          </w:tcPr>
          <w:p w14:paraId="59A60E7F"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210</w:t>
            </w:r>
          </w:p>
        </w:tc>
        <w:tc>
          <w:tcPr>
            <w:tcW w:w="729" w:type="pct"/>
            <w:tcBorders>
              <w:top w:val="single" w:sz="4" w:space="0" w:color="000000"/>
              <w:left w:val="single" w:sz="4" w:space="0" w:color="000000"/>
              <w:bottom w:val="nil"/>
              <w:right w:val="single" w:sz="4" w:space="0" w:color="000000"/>
            </w:tcBorders>
            <w:hideMark/>
          </w:tcPr>
          <w:p w14:paraId="52871439"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216</w:t>
            </w:r>
          </w:p>
        </w:tc>
      </w:tr>
      <w:tr w:rsidR="002746A7" w:rsidRPr="004D7D2F" w14:paraId="01267C54" w14:textId="77777777" w:rsidTr="00EC2189">
        <w:trPr>
          <w:trHeight w:val="232"/>
        </w:trPr>
        <w:tc>
          <w:tcPr>
            <w:tcW w:w="730" w:type="pct"/>
            <w:tcBorders>
              <w:top w:val="nil"/>
              <w:left w:val="single" w:sz="4" w:space="0" w:color="000000"/>
              <w:bottom w:val="nil"/>
              <w:right w:val="single" w:sz="4" w:space="0" w:color="000000"/>
            </w:tcBorders>
          </w:tcPr>
          <w:p w14:paraId="1218C2F2"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5AFB7FED"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7D6781E8"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Mean</w:t>
            </w:r>
            <w:r w:rsidRPr="004D7D2F">
              <w:rPr>
                <w:spacing w:val="-2"/>
                <w:sz w:val="20"/>
                <w:szCs w:val="20"/>
              </w:rPr>
              <w:t xml:space="preserve"> </w:t>
            </w:r>
            <w:r w:rsidRPr="004D7D2F">
              <w:rPr>
                <w:sz w:val="20"/>
                <w:szCs w:val="20"/>
              </w:rPr>
              <w:t>(SE)</w:t>
            </w:r>
          </w:p>
        </w:tc>
        <w:tc>
          <w:tcPr>
            <w:tcW w:w="677" w:type="pct"/>
            <w:tcBorders>
              <w:top w:val="nil"/>
              <w:left w:val="single" w:sz="4" w:space="0" w:color="000000"/>
              <w:bottom w:val="single" w:sz="4" w:space="0" w:color="000000"/>
              <w:right w:val="single" w:sz="4" w:space="0" w:color="000000"/>
            </w:tcBorders>
            <w:hideMark/>
          </w:tcPr>
          <w:p w14:paraId="06EFA72F"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36.1</w:t>
            </w:r>
            <w:r w:rsidRPr="004D7D2F">
              <w:rPr>
                <w:spacing w:val="1"/>
                <w:sz w:val="20"/>
                <w:szCs w:val="20"/>
              </w:rPr>
              <w:t xml:space="preserve"> </w:t>
            </w:r>
            <w:r w:rsidRPr="004D7D2F">
              <w:rPr>
                <w:sz w:val="20"/>
                <w:szCs w:val="20"/>
              </w:rPr>
              <w:t>(0.58)</w:t>
            </w:r>
          </w:p>
        </w:tc>
        <w:tc>
          <w:tcPr>
            <w:tcW w:w="677" w:type="pct"/>
            <w:tcBorders>
              <w:top w:val="nil"/>
              <w:left w:val="single" w:sz="4" w:space="0" w:color="000000"/>
              <w:bottom w:val="single" w:sz="4" w:space="0" w:color="000000"/>
              <w:right w:val="single" w:sz="4" w:space="0" w:color="000000"/>
            </w:tcBorders>
            <w:hideMark/>
          </w:tcPr>
          <w:p w14:paraId="32ED59F7"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37.3</w:t>
            </w:r>
            <w:r w:rsidRPr="004D7D2F">
              <w:rPr>
                <w:spacing w:val="1"/>
                <w:sz w:val="20"/>
                <w:szCs w:val="20"/>
              </w:rPr>
              <w:t xml:space="preserve"> </w:t>
            </w:r>
            <w:r w:rsidRPr="004D7D2F">
              <w:rPr>
                <w:sz w:val="20"/>
                <w:szCs w:val="20"/>
              </w:rPr>
              <w:t>(0.44)</w:t>
            </w:r>
          </w:p>
        </w:tc>
        <w:tc>
          <w:tcPr>
            <w:tcW w:w="729" w:type="pct"/>
            <w:tcBorders>
              <w:top w:val="nil"/>
              <w:left w:val="single" w:sz="4" w:space="0" w:color="000000"/>
              <w:bottom w:val="single" w:sz="4" w:space="0" w:color="000000"/>
              <w:right w:val="single" w:sz="4" w:space="0" w:color="000000"/>
            </w:tcBorders>
            <w:hideMark/>
          </w:tcPr>
          <w:p w14:paraId="56A132CB"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37.0</w:t>
            </w:r>
            <w:r w:rsidRPr="004D7D2F">
              <w:rPr>
                <w:spacing w:val="1"/>
                <w:sz w:val="20"/>
                <w:szCs w:val="20"/>
              </w:rPr>
              <w:t xml:space="preserve"> </w:t>
            </w:r>
            <w:r w:rsidRPr="004D7D2F">
              <w:rPr>
                <w:sz w:val="20"/>
                <w:szCs w:val="20"/>
              </w:rPr>
              <w:t>(0.44)</w:t>
            </w:r>
          </w:p>
        </w:tc>
      </w:tr>
      <w:tr w:rsidR="002746A7" w:rsidRPr="004D7D2F" w14:paraId="6E102B18" w14:textId="77777777" w:rsidTr="00EC2189">
        <w:trPr>
          <w:trHeight w:val="247"/>
        </w:trPr>
        <w:tc>
          <w:tcPr>
            <w:tcW w:w="730" w:type="pct"/>
            <w:tcBorders>
              <w:top w:val="nil"/>
              <w:left w:val="single" w:sz="4" w:space="0" w:color="000000"/>
              <w:bottom w:val="nil"/>
              <w:right w:val="single" w:sz="4" w:space="0" w:color="000000"/>
            </w:tcBorders>
          </w:tcPr>
          <w:p w14:paraId="3C7C492E"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07103911"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Change</w:t>
            </w:r>
            <w:r w:rsidRPr="004D7D2F">
              <w:rPr>
                <w:spacing w:val="-1"/>
                <w:sz w:val="20"/>
                <w:szCs w:val="20"/>
              </w:rPr>
              <w:t xml:space="preserve"> </w:t>
            </w:r>
            <w:r w:rsidRPr="004D7D2F">
              <w:rPr>
                <w:sz w:val="20"/>
                <w:szCs w:val="20"/>
              </w:rPr>
              <w:t>from</w:t>
            </w:r>
            <w:r w:rsidRPr="004D7D2F">
              <w:rPr>
                <w:spacing w:val="-2"/>
                <w:sz w:val="20"/>
                <w:szCs w:val="20"/>
              </w:rPr>
              <w:t xml:space="preserve"> </w:t>
            </w:r>
            <w:r w:rsidRPr="004D7D2F">
              <w:rPr>
                <w:sz w:val="20"/>
                <w:szCs w:val="20"/>
              </w:rPr>
              <w:t>baseline</w:t>
            </w:r>
            <w:r w:rsidRPr="004D7D2F">
              <w:rPr>
                <w:spacing w:val="-1"/>
                <w:sz w:val="20"/>
                <w:szCs w:val="20"/>
              </w:rPr>
              <w:t xml:space="preserve"> </w:t>
            </w:r>
            <w:r w:rsidRPr="004D7D2F">
              <w:rPr>
                <w:sz w:val="20"/>
                <w:szCs w:val="20"/>
              </w:rPr>
              <w:t>at</w:t>
            </w:r>
          </w:p>
        </w:tc>
        <w:tc>
          <w:tcPr>
            <w:tcW w:w="938" w:type="pct"/>
            <w:tcBorders>
              <w:top w:val="single" w:sz="4" w:space="0" w:color="000000"/>
              <w:left w:val="single" w:sz="4" w:space="0" w:color="000000"/>
              <w:bottom w:val="nil"/>
              <w:right w:val="single" w:sz="4" w:space="0" w:color="000000"/>
            </w:tcBorders>
            <w:hideMark/>
          </w:tcPr>
          <w:p w14:paraId="1469E778" w14:textId="77777777" w:rsidR="002746A7" w:rsidRPr="004D7D2F" w:rsidRDefault="002746A7">
            <w:pPr>
              <w:pStyle w:val="TableParagraph"/>
              <w:kinsoku w:val="0"/>
              <w:overflowPunct w:val="0"/>
              <w:spacing w:before="14" w:line="213" w:lineRule="exact"/>
              <w:ind w:left="108"/>
              <w:rPr>
                <w:w w:val="99"/>
                <w:sz w:val="20"/>
                <w:szCs w:val="20"/>
              </w:rPr>
            </w:pPr>
            <w:r w:rsidRPr="004D7D2F">
              <w:rPr>
                <w:w w:val="99"/>
                <w:sz w:val="20"/>
                <w:szCs w:val="20"/>
              </w:rPr>
              <w:t>N</w:t>
            </w:r>
          </w:p>
        </w:tc>
        <w:tc>
          <w:tcPr>
            <w:tcW w:w="677" w:type="pct"/>
            <w:tcBorders>
              <w:top w:val="single" w:sz="4" w:space="0" w:color="000000"/>
              <w:left w:val="single" w:sz="4" w:space="0" w:color="000000"/>
              <w:bottom w:val="nil"/>
              <w:right w:val="single" w:sz="4" w:space="0" w:color="000000"/>
            </w:tcBorders>
            <w:hideMark/>
          </w:tcPr>
          <w:p w14:paraId="3DE1931A"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93</w:t>
            </w:r>
          </w:p>
        </w:tc>
        <w:tc>
          <w:tcPr>
            <w:tcW w:w="677" w:type="pct"/>
            <w:tcBorders>
              <w:top w:val="single" w:sz="4" w:space="0" w:color="000000"/>
              <w:left w:val="single" w:sz="4" w:space="0" w:color="000000"/>
              <w:bottom w:val="nil"/>
              <w:right w:val="single" w:sz="4" w:space="0" w:color="000000"/>
            </w:tcBorders>
            <w:hideMark/>
          </w:tcPr>
          <w:p w14:paraId="11D5223E"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175</w:t>
            </w:r>
          </w:p>
        </w:tc>
        <w:tc>
          <w:tcPr>
            <w:tcW w:w="729" w:type="pct"/>
            <w:tcBorders>
              <w:top w:val="single" w:sz="4" w:space="0" w:color="000000"/>
              <w:left w:val="single" w:sz="4" w:space="0" w:color="000000"/>
              <w:bottom w:val="nil"/>
              <w:right w:val="single" w:sz="4" w:space="0" w:color="000000"/>
            </w:tcBorders>
            <w:hideMark/>
          </w:tcPr>
          <w:p w14:paraId="388F572D"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181</w:t>
            </w:r>
          </w:p>
        </w:tc>
      </w:tr>
      <w:tr w:rsidR="002746A7" w:rsidRPr="004D7D2F" w14:paraId="15E099D5" w14:textId="77777777" w:rsidTr="00EC2189">
        <w:trPr>
          <w:trHeight w:val="232"/>
        </w:trPr>
        <w:tc>
          <w:tcPr>
            <w:tcW w:w="730" w:type="pct"/>
            <w:tcBorders>
              <w:top w:val="nil"/>
              <w:left w:val="single" w:sz="4" w:space="0" w:color="000000"/>
              <w:bottom w:val="nil"/>
              <w:right w:val="single" w:sz="4" w:space="0" w:color="000000"/>
            </w:tcBorders>
          </w:tcPr>
          <w:p w14:paraId="7D521813"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hideMark/>
          </w:tcPr>
          <w:p w14:paraId="51728185"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Week</w:t>
            </w:r>
            <w:r w:rsidRPr="004D7D2F">
              <w:rPr>
                <w:spacing w:val="-3"/>
                <w:sz w:val="20"/>
                <w:szCs w:val="20"/>
              </w:rPr>
              <w:t xml:space="preserve"> </w:t>
            </w:r>
            <w:r w:rsidRPr="004D7D2F">
              <w:rPr>
                <w:sz w:val="20"/>
                <w:szCs w:val="20"/>
              </w:rPr>
              <w:t>6</w:t>
            </w:r>
          </w:p>
        </w:tc>
        <w:tc>
          <w:tcPr>
            <w:tcW w:w="938" w:type="pct"/>
            <w:tcBorders>
              <w:top w:val="nil"/>
              <w:left w:val="single" w:sz="4" w:space="0" w:color="000000"/>
              <w:bottom w:val="single" w:sz="4" w:space="0" w:color="000000"/>
              <w:right w:val="single" w:sz="4" w:space="0" w:color="000000"/>
            </w:tcBorders>
            <w:hideMark/>
          </w:tcPr>
          <w:p w14:paraId="30DFA575"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nil"/>
              <w:left w:val="single" w:sz="4" w:space="0" w:color="000000"/>
              <w:bottom w:val="single" w:sz="4" w:space="0" w:color="000000"/>
              <w:right w:val="single" w:sz="4" w:space="0" w:color="000000"/>
            </w:tcBorders>
            <w:hideMark/>
          </w:tcPr>
          <w:p w14:paraId="0EDB40B0"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-17.0 (1.03)</w:t>
            </w:r>
          </w:p>
        </w:tc>
        <w:tc>
          <w:tcPr>
            <w:tcW w:w="677" w:type="pct"/>
            <w:tcBorders>
              <w:top w:val="nil"/>
              <w:left w:val="single" w:sz="4" w:space="0" w:color="000000"/>
              <w:bottom w:val="single" w:sz="4" w:space="0" w:color="000000"/>
              <w:right w:val="single" w:sz="4" w:space="0" w:color="000000"/>
            </w:tcBorders>
            <w:hideMark/>
          </w:tcPr>
          <w:p w14:paraId="0C4D68D9"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-25.4 (0.74)</w:t>
            </w:r>
          </w:p>
        </w:tc>
        <w:tc>
          <w:tcPr>
            <w:tcW w:w="729" w:type="pct"/>
            <w:tcBorders>
              <w:top w:val="nil"/>
              <w:left w:val="single" w:sz="4" w:space="0" w:color="000000"/>
              <w:bottom w:val="single" w:sz="4" w:space="0" w:color="000000"/>
              <w:right w:val="single" w:sz="4" w:space="0" w:color="000000"/>
            </w:tcBorders>
            <w:hideMark/>
          </w:tcPr>
          <w:p w14:paraId="10BBF632"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-22.1 (0.73)</w:t>
            </w:r>
          </w:p>
        </w:tc>
      </w:tr>
      <w:tr w:rsidR="002746A7" w:rsidRPr="004D7D2F" w14:paraId="68038667" w14:textId="77777777" w:rsidTr="00EC2189">
        <w:trPr>
          <w:trHeight w:val="247"/>
        </w:trPr>
        <w:tc>
          <w:tcPr>
            <w:tcW w:w="730" w:type="pct"/>
            <w:tcBorders>
              <w:top w:val="nil"/>
              <w:left w:val="single" w:sz="4" w:space="0" w:color="000000"/>
              <w:bottom w:val="nil"/>
              <w:right w:val="single" w:sz="4" w:space="0" w:color="000000"/>
            </w:tcBorders>
          </w:tcPr>
          <w:p w14:paraId="647A46A9"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41F5A9C5" w14:textId="77777777" w:rsidR="002746A7" w:rsidRPr="004D7D2F" w:rsidRDefault="002746A7">
            <w:pPr>
              <w:pStyle w:val="TableParagraph"/>
              <w:kinsoku w:val="0"/>
              <w:overflowPunct w:val="0"/>
              <w:spacing w:before="14" w:line="213" w:lineRule="exact"/>
              <w:ind w:left="108"/>
              <w:rPr>
                <w:sz w:val="20"/>
                <w:szCs w:val="20"/>
              </w:rPr>
            </w:pPr>
            <w:proofErr w:type="spellStart"/>
            <w:r w:rsidRPr="004D7D2F">
              <w:rPr>
                <w:sz w:val="20"/>
                <w:szCs w:val="20"/>
              </w:rPr>
              <w:t>Lisdexamfetamine</w:t>
            </w:r>
            <w:proofErr w:type="spellEnd"/>
            <w:r w:rsidRPr="004D7D2F">
              <w:rPr>
                <w:spacing w:val="-6"/>
                <w:sz w:val="20"/>
                <w:szCs w:val="20"/>
              </w:rPr>
              <w:t xml:space="preserve"> </w:t>
            </w:r>
            <w:r w:rsidRPr="004D7D2F">
              <w:rPr>
                <w:sz w:val="20"/>
                <w:szCs w:val="20"/>
              </w:rPr>
              <w:t>vs</w:t>
            </w:r>
          </w:p>
        </w:tc>
        <w:tc>
          <w:tcPr>
            <w:tcW w:w="938" w:type="pct"/>
            <w:tcBorders>
              <w:top w:val="single" w:sz="4" w:space="0" w:color="000000"/>
              <w:left w:val="single" w:sz="4" w:space="0" w:color="000000"/>
              <w:bottom w:val="nil"/>
              <w:right w:val="single" w:sz="4" w:space="0" w:color="000000"/>
            </w:tcBorders>
            <w:hideMark/>
          </w:tcPr>
          <w:p w14:paraId="087EC562"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single" w:sz="4" w:space="0" w:color="000000"/>
              <w:left w:val="single" w:sz="4" w:space="0" w:color="000000"/>
              <w:bottom w:val="nil"/>
              <w:right w:val="single" w:sz="4" w:space="0" w:color="000000"/>
            </w:tcBorders>
            <w:hideMark/>
          </w:tcPr>
          <w:p w14:paraId="0266F9C7"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4388EB1C"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-3.4 (1.04)</w:t>
            </w:r>
          </w:p>
        </w:tc>
        <w:tc>
          <w:tcPr>
            <w:tcW w:w="729" w:type="pct"/>
            <w:tcBorders>
              <w:top w:val="single" w:sz="4" w:space="0" w:color="000000"/>
              <w:left w:val="single" w:sz="4" w:space="0" w:color="000000"/>
              <w:bottom w:val="nil"/>
              <w:right w:val="single" w:sz="4" w:space="0" w:color="000000"/>
            </w:tcBorders>
            <w:hideMark/>
          </w:tcPr>
          <w:p w14:paraId="76B06444"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r>
      <w:tr w:rsidR="002746A7" w:rsidRPr="004D7D2F" w14:paraId="6C8BEF0D" w14:textId="77777777" w:rsidTr="00EC2189">
        <w:trPr>
          <w:trHeight w:val="240"/>
        </w:trPr>
        <w:tc>
          <w:tcPr>
            <w:tcW w:w="730" w:type="pct"/>
            <w:tcBorders>
              <w:top w:val="nil"/>
              <w:left w:val="single" w:sz="4" w:space="0" w:color="000000"/>
              <w:bottom w:val="nil"/>
              <w:right w:val="single" w:sz="4" w:space="0" w:color="000000"/>
            </w:tcBorders>
          </w:tcPr>
          <w:p w14:paraId="6A480770"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hideMark/>
          </w:tcPr>
          <w:p w14:paraId="685254B6"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OROS-MPH</w:t>
            </w:r>
            <w:r w:rsidRPr="004D7D2F">
              <w:rPr>
                <w:spacing w:val="-3"/>
                <w:sz w:val="20"/>
                <w:szCs w:val="20"/>
              </w:rPr>
              <w:t xml:space="preserve"> </w:t>
            </w:r>
            <w:r w:rsidRPr="004D7D2F">
              <w:rPr>
                <w:sz w:val="20"/>
                <w:szCs w:val="20"/>
              </w:rPr>
              <w:t>difference</w:t>
            </w:r>
          </w:p>
        </w:tc>
        <w:tc>
          <w:tcPr>
            <w:tcW w:w="938" w:type="pct"/>
            <w:tcBorders>
              <w:top w:val="nil"/>
              <w:left w:val="single" w:sz="4" w:space="0" w:color="000000"/>
              <w:bottom w:val="nil"/>
              <w:right w:val="single" w:sz="4" w:space="0" w:color="000000"/>
            </w:tcBorders>
            <w:hideMark/>
          </w:tcPr>
          <w:p w14:paraId="3988C214"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(95%</w:t>
            </w:r>
            <w:r w:rsidRPr="004D7D2F">
              <w:rPr>
                <w:spacing w:val="-2"/>
                <w:sz w:val="20"/>
                <w:szCs w:val="20"/>
              </w:rPr>
              <w:t xml:space="preserve"> </w:t>
            </w:r>
            <w:r w:rsidRPr="004D7D2F">
              <w:rPr>
                <w:sz w:val="20"/>
                <w:szCs w:val="20"/>
              </w:rPr>
              <w:t>CI)</w:t>
            </w:r>
            <w:r w:rsidRPr="004D7D2F">
              <w:rPr>
                <w:spacing w:val="-2"/>
                <w:sz w:val="20"/>
                <w:szCs w:val="20"/>
              </w:rPr>
              <w:t xml:space="preserve"> </w:t>
            </w:r>
            <w:r w:rsidRPr="004D7D2F">
              <w:rPr>
                <w:sz w:val="20"/>
                <w:szCs w:val="20"/>
              </w:rPr>
              <w:t>[a]</w:t>
            </w:r>
          </w:p>
        </w:tc>
        <w:tc>
          <w:tcPr>
            <w:tcW w:w="677" w:type="pct"/>
            <w:tcBorders>
              <w:top w:val="nil"/>
              <w:left w:val="single" w:sz="4" w:space="0" w:color="000000"/>
              <w:bottom w:val="nil"/>
              <w:right w:val="single" w:sz="4" w:space="0" w:color="000000"/>
            </w:tcBorders>
          </w:tcPr>
          <w:p w14:paraId="4E8A4BB0"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2A867149"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-5.4, -1.3</w:t>
            </w:r>
          </w:p>
        </w:tc>
        <w:tc>
          <w:tcPr>
            <w:tcW w:w="729" w:type="pct"/>
            <w:tcBorders>
              <w:top w:val="nil"/>
              <w:left w:val="single" w:sz="4" w:space="0" w:color="000000"/>
              <w:bottom w:val="nil"/>
              <w:right w:val="single" w:sz="4" w:space="0" w:color="000000"/>
            </w:tcBorders>
          </w:tcPr>
          <w:p w14:paraId="02B4C8E7"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2C468BF6" w14:textId="77777777" w:rsidTr="00EC2189">
        <w:trPr>
          <w:trHeight w:val="240"/>
        </w:trPr>
        <w:tc>
          <w:tcPr>
            <w:tcW w:w="730" w:type="pct"/>
            <w:tcBorders>
              <w:top w:val="nil"/>
              <w:left w:val="single" w:sz="4" w:space="0" w:color="000000"/>
              <w:bottom w:val="nil"/>
              <w:right w:val="single" w:sz="4" w:space="0" w:color="000000"/>
            </w:tcBorders>
          </w:tcPr>
          <w:p w14:paraId="4F5EBB36"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tcPr>
          <w:p w14:paraId="0040F058"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nil"/>
              <w:right w:val="single" w:sz="4" w:space="0" w:color="000000"/>
            </w:tcBorders>
            <w:hideMark/>
          </w:tcPr>
          <w:p w14:paraId="56511EC2"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Effect size</w:t>
            </w:r>
            <w:r w:rsidRPr="004D7D2F">
              <w:rPr>
                <w:spacing w:val="-1"/>
                <w:sz w:val="20"/>
                <w:szCs w:val="20"/>
              </w:rPr>
              <w:t xml:space="preserve"> </w:t>
            </w:r>
            <w:r w:rsidRPr="004D7D2F">
              <w:rPr>
                <w:sz w:val="20"/>
                <w:szCs w:val="20"/>
              </w:rPr>
              <w:t>[b]</w:t>
            </w:r>
          </w:p>
        </w:tc>
        <w:tc>
          <w:tcPr>
            <w:tcW w:w="677" w:type="pct"/>
            <w:tcBorders>
              <w:top w:val="nil"/>
              <w:left w:val="single" w:sz="4" w:space="0" w:color="000000"/>
              <w:bottom w:val="nil"/>
              <w:right w:val="single" w:sz="4" w:space="0" w:color="000000"/>
            </w:tcBorders>
          </w:tcPr>
          <w:p w14:paraId="0115DA90"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3E6E7F42"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0.33</w:t>
            </w:r>
          </w:p>
        </w:tc>
        <w:tc>
          <w:tcPr>
            <w:tcW w:w="729" w:type="pct"/>
            <w:tcBorders>
              <w:top w:val="nil"/>
              <w:left w:val="single" w:sz="4" w:space="0" w:color="000000"/>
              <w:bottom w:val="nil"/>
              <w:right w:val="single" w:sz="4" w:space="0" w:color="000000"/>
            </w:tcBorders>
          </w:tcPr>
          <w:p w14:paraId="3014E29E"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53DFCE4A" w14:textId="77777777" w:rsidTr="00EC2189">
        <w:trPr>
          <w:trHeight w:val="232"/>
        </w:trPr>
        <w:tc>
          <w:tcPr>
            <w:tcW w:w="730" w:type="pct"/>
            <w:tcBorders>
              <w:top w:val="nil"/>
              <w:left w:val="single" w:sz="4" w:space="0" w:color="000000"/>
              <w:bottom w:val="nil"/>
              <w:right w:val="single" w:sz="4" w:space="0" w:color="000000"/>
            </w:tcBorders>
          </w:tcPr>
          <w:p w14:paraId="29741790"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65B8B5D1"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7A24103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p-value</w:t>
            </w:r>
          </w:p>
        </w:tc>
        <w:tc>
          <w:tcPr>
            <w:tcW w:w="677" w:type="pct"/>
            <w:tcBorders>
              <w:top w:val="nil"/>
              <w:left w:val="single" w:sz="4" w:space="0" w:color="000000"/>
              <w:bottom w:val="single" w:sz="4" w:space="0" w:color="000000"/>
              <w:right w:val="single" w:sz="4" w:space="0" w:color="000000"/>
            </w:tcBorders>
          </w:tcPr>
          <w:p w14:paraId="548E8FB4"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single" w:sz="4" w:space="0" w:color="000000"/>
              <w:right w:val="single" w:sz="4" w:space="0" w:color="000000"/>
            </w:tcBorders>
            <w:hideMark/>
          </w:tcPr>
          <w:p w14:paraId="7C2BCD1F"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0.0013</w:t>
            </w:r>
          </w:p>
        </w:tc>
        <w:tc>
          <w:tcPr>
            <w:tcW w:w="729" w:type="pct"/>
            <w:tcBorders>
              <w:top w:val="nil"/>
              <w:left w:val="single" w:sz="4" w:space="0" w:color="000000"/>
              <w:bottom w:val="single" w:sz="4" w:space="0" w:color="000000"/>
              <w:right w:val="single" w:sz="4" w:space="0" w:color="000000"/>
            </w:tcBorders>
          </w:tcPr>
          <w:p w14:paraId="37690B35" w14:textId="77777777" w:rsidR="002746A7" w:rsidRPr="004D7D2F" w:rsidRDefault="002746A7">
            <w:pPr>
              <w:pStyle w:val="TableParagraph"/>
              <w:kinsoku w:val="0"/>
              <w:overflowPunct w:val="0"/>
              <w:spacing w:line="240" w:lineRule="auto"/>
              <w:ind w:left="0"/>
              <w:rPr>
                <w:sz w:val="20"/>
                <w:szCs w:val="20"/>
              </w:rPr>
            </w:pPr>
          </w:p>
        </w:tc>
      </w:tr>
      <w:tr w:rsidR="002746A7" w:rsidRPr="004D7D2F" w14:paraId="1A16FD12" w14:textId="77777777" w:rsidTr="00EC2189">
        <w:trPr>
          <w:trHeight w:val="247"/>
        </w:trPr>
        <w:tc>
          <w:tcPr>
            <w:tcW w:w="730" w:type="pct"/>
            <w:tcBorders>
              <w:top w:val="nil"/>
              <w:left w:val="single" w:sz="4" w:space="0" w:color="000000"/>
              <w:bottom w:val="nil"/>
              <w:right w:val="single" w:sz="4" w:space="0" w:color="000000"/>
            </w:tcBorders>
          </w:tcPr>
          <w:p w14:paraId="4BF9C526"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single" w:sz="4" w:space="0" w:color="000000"/>
              <w:left w:val="single" w:sz="4" w:space="0" w:color="000000"/>
              <w:bottom w:val="nil"/>
              <w:right w:val="single" w:sz="4" w:space="0" w:color="000000"/>
            </w:tcBorders>
            <w:hideMark/>
          </w:tcPr>
          <w:p w14:paraId="480D1B98"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Active</w:t>
            </w:r>
            <w:r w:rsidRPr="004D7D2F">
              <w:rPr>
                <w:spacing w:val="-3"/>
                <w:sz w:val="20"/>
                <w:szCs w:val="20"/>
              </w:rPr>
              <w:t xml:space="preserve"> </w:t>
            </w:r>
            <w:r w:rsidRPr="004D7D2F">
              <w:rPr>
                <w:sz w:val="20"/>
                <w:szCs w:val="20"/>
              </w:rPr>
              <w:t>vs</w:t>
            </w:r>
            <w:r w:rsidRPr="004D7D2F">
              <w:rPr>
                <w:spacing w:val="-2"/>
                <w:sz w:val="20"/>
                <w:szCs w:val="20"/>
              </w:rPr>
              <w:t xml:space="preserve"> </w:t>
            </w:r>
            <w:r w:rsidRPr="004D7D2F">
              <w:rPr>
                <w:sz w:val="20"/>
                <w:szCs w:val="20"/>
              </w:rPr>
              <w:t>Placebo</w:t>
            </w:r>
          </w:p>
        </w:tc>
        <w:tc>
          <w:tcPr>
            <w:tcW w:w="938" w:type="pct"/>
            <w:tcBorders>
              <w:top w:val="single" w:sz="4" w:space="0" w:color="000000"/>
              <w:left w:val="single" w:sz="4" w:space="0" w:color="000000"/>
              <w:bottom w:val="nil"/>
              <w:right w:val="single" w:sz="4" w:space="0" w:color="000000"/>
            </w:tcBorders>
            <w:hideMark/>
          </w:tcPr>
          <w:p w14:paraId="39E8796D"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LS</w:t>
            </w:r>
            <w:r w:rsidRPr="004D7D2F">
              <w:rPr>
                <w:spacing w:val="-3"/>
                <w:sz w:val="20"/>
                <w:szCs w:val="20"/>
              </w:rPr>
              <w:t xml:space="preserve"> </w:t>
            </w:r>
            <w:r w:rsidRPr="004D7D2F">
              <w:rPr>
                <w:sz w:val="20"/>
                <w:szCs w:val="20"/>
              </w:rPr>
              <w:t>Mean</w:t>
            </w:r>
            <w:r w:rsidRPr="004D7D2F">
              <w:rPr>
                <w:spacing w:val="-1"/>
                <w:sz w:val="20"/>
                <w:szCs w:val="20"/>
              </w:rPr>
              <w:t xml:space="preserve"> </w:t>
            </w:r>
            <w:r w:rsidRPr="004D7D2F">
              <w:rPr>
                <w:sz w:val="20"/>
                <w:szCs w:val="20"/>
              </w:rPr>
              <w:t>(SE)</w:t>
            </w:r>
            <w:r w:rsidRPr="004D7D2F">
              <w:rPr>
                <w:spacing w:val="-3"/>
                <w:sz w:val="20"/>
                <w:szCs w:val="20"/>
              </w:rPr>
              <w:t xml:space="preserve"> </w:t>
            </w:r>
            <w:r w:rsidRPr="004D7D2F">
              <w:rPr>
                <w:sz w:val="20"/>
                <w:szCs w:val="20"/>
              </w:rPr>
              <w:t>[a]</w:t>
            </w:r>
          </w:p>
        </w:tc>
        <w:tc>
          <w:tcPr>
            <w:tcW w:w="677" w:type="pct"/>
            <w:tcBorders>
              <w:top w:val="single" w:sz="4" w:space="0" w:color="000000"/>
              <w:left w:val="single" w:sz="4" w:space="0" w:color="000000"/>
              <w:bottom w:val="nil"/>
              <w:right w:val="single" w:sz="4" w:space="0" w:color="000000"/>
            </w:tcBorders>
            <w:hideMark/>
          </w:tcPr>
          <w:p w14:paraId="268710F5"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26A24FFC"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-8.5 (1.27)</w:t>
            </w:r>
          </w:p>
        </w:tc>
        <w:tc>
          <w:tcPr>
            <w:tcW w:w="729" w:type="pct"/>
            <w:tcBorders>
              <w:top w:val="single" w:sz="4" w:space="0" w:color="000000"/>
              <w:left w:val="single" w:sz="4" w:space="0" w:color="000000"/>
              <w:bottom w:val="nil"/>
              <w:right w:val="single" w:sz="4" w:space="0" w:color="000000"/>
            </w:tcBorders>
            <w:hideMark/>
          </w:tcPr>
          <w:p w14:paraId="3BE34D3D"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-5.1 (1.27)</w:t>
            </w:r>
          </w:p>
        </w:tc>
      </w:tr>
      <w:tr w:rsidR="002746A7" w:rsidRPr="004D7D2F" w14:paraId="648F261E" w14:textId="77777777" w:rsidTr="00EC2189">
        <w:trPr>
          <w:trHeight w:val="240"/>
        </w:trPr>
        <w:tc>
          <w:tcPr>
            <w:tcW w:w="730" w:type="pct"/>
            <w:tcBorders>
              <w:top w:val="nil"/>
              <w:left w:val="single" w:sz="4" w:space="0" w:color="000000"/>
              <w:bottom w:val="nil"/>
              <w:right w:val="single" w:sz="4" w:space="0" w:color="000000"/>
            </w:tcBorders>
          </w:tcPr>
          <w:p w14:paraId="7EF76231"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hideMark/>
          </w:tcPr>
          <w:p w14:paraId="737EFD04"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difference</w:t>
            </w:r>
          </w:p>
        </w:tc>
        <w:tc>
          <w:tcPr>
            <w:tcW w:w="938" w:type="pct"/>
            <w:tcBorders>
              <w:top w:val="nil"/>
              <w:left w:val="single" w:sz="4" w:space="0" w:color="000000"/>
              <w:bottom w:val="nil"/>
              <w:right w:val="single" w:sz="4" w:space="0" w:color="000000"/>
            </w:tcBorders>
            <w:hideMark/>
          </w:tcPr>
          <w:p w14:paraId="69BD6F2C"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(95%</w:t>
            </w:r>
            <w:r w:rsidRPr="004D7D2F">
              <w:rPr>
                <w:spacing w:val="-2"/>
                <w:sz w:val="20"/>
                <w:szCs w:val="20"/>
              </w:rPr>
              <w:t xml:space="preserve"> </w:t>
            </w:r>
            <w:r w:rsidRPr="004D7D2F">
              <w:rPr>
                <w:sz w:val="20"/>
                <w:szCs w:val="20"/>
              </w:rPr>
              <w:t>CI)</w:t>
            </w:r>
            <w:r w:rsidRPr="004D7D2F">
              <w:rPr>
                <w:spacing w:val="-2"/>
                <w:sz w:val="20"/>
                <w:szCs w:val="20"/>
              </w:rPr>
              <w:t xml:space="preserve"> </w:t>
            </w:r>
            <w:r w:rsidRPr="004D7D2F">
              <w:rPr>
                <w:sz w:val="20"/>
                <w:szCs w:val="20"/>
              </w:rPr>
              <w:t>[a]</w:t>
            </w:r>
          </w:p>
        </w:tc>
        <w:tc>
          <w:tcPr>
            <w:tcW w:w="677" w:type="pct"/>
            <w:tcBorders>
              <w:top w:val="nil"/>
              <w:left w:val="single" w:sz="4" w:space="0" w:color="000000"/>
              <w:bottom w:val="nil"/>
              <w:right w:val="single" w:sz="4" w:space="0" w:color="000000"/>
            </w:tcBorders>
          </w:tcPr>
          <w:p w14:paraId="235EDA68"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08ED7F15"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-11.0,</w:t>
            </w:r>
            <w:r w:rsidRPr="004D7D2F">
              <w:rPr>
                <w:spacing w:val="-1"/>
                <w:sz w:val="20"/>
                <w:szCs w:val="20"/>
              </w:rPr>
              <w:t xml:space="preserve"> </w:t>
            </w:r>
            <w:r w:rsidRPr="004D7D2F">
              <w:rPr>
                <w:sz w:val="20"/>
                <w:szCs w:val="20"/>
              </w:rPr>
              <w:t>-6.0</w:t>
            </w:r>
          </w:p>
        </w:tc>
        <w:tc>
          <w:tcPr>
            <w:tcW w:w="729" w:type="pct"/>
            <w:tcBorders>
              <w:top w:val="nil"/>
              <w:left w:val="single" w:sz="4" w:space="0" w:color="000000"/>
              <w:bottom w:val="nil"/>
              <w:right w:val="single" w:sz="4" w:space="0" w:color="000000"/>
            </w:tcBorders>
            <w:hideMark/>
          </w:tcPr>
          <w:p w14:paraId="1A30FE0E"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-7.6, -2.6</w:t>
            </w:r>
          </w:p>
        </w:tc>
      </w:tr>
      <w:tr w:rsidR="002746A7" w:rsidRPr="004D7D2F" w14:paraId="4C19D679" w14:textId="77777777" w:rsidTr="00EC2189">
        <w:trPr>
          <w:trHeight w:val="240"/>
        </w:trPr>
        <w:tc>
          <w:tcPr>
            <w:tcW w:w="730" w:type="pct"/>
            <w:tcBorders>
              <w:top w:val="nil"/>
              <w:left w:val="single" w:sz="4" w:space="0" w:color="000000"/>
              <w:bottom w:val="nil"/>
              <w:right w:val="single" w:sz="4" w:space="0" w:color="000000"/>
            </w:tcBorders>
          </w:tcPr>
          <w:p w14:paraId="62B62E3A"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nil"/>
              <w:right w:val="single" w:sz="4" w:space="0" w:color="000000"/>
            </w:tcBorders>
          </w:tcPr>
          <w:p w14:paraId="02186567"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nil"/>
              <w:right w:val="single" w:sz="4" w:space="0" w:color="000000"/>
            </w:tcBorders>
            <w:hideMark/>
          </w:tcPr>
          <w:p w14:paraId="7CF6DD55"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Effect size</w:t>
            </w:r>
            <w:r w:rsidRPr="004D7D2F">
              <w:rPr>
                <w:spacing w:val="-1"/>
                <w:sz w:val="20"/>
                <w:szCs w:val="20"/>
              </w:rPr>
              <w:t xml:space="preserve"> </w:t>
            </w:r>
            <w:r w:rsidRPr="004D7D2F">
              <w:rPr>
                <w:sz w:val="20"/>
                <w:szCs w:val="20"/>
              </w:rPr>
              <w:t>[b]</w:t>
            </w:r>
          </w:p>
        </w:tc>
        <w:tc>
          <w:tcPr>
            <w:tcW w:w="677" w:type="pct"/>
            <w:tcBorders>
              <w:top w:val="nil"/>
              <w:left w:val="single" w:sz="4" w:space="0" w:color="000000"/>
              <w:bottom w:val="nil"/>
              <w:right w:val="single" w:sz="4" w:space="0" w:color="000000"/>
            </w:tcBorders>
          </w:tcPr>
          <w:p w14:paraId="2595F993"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nil"/>
              <w:right w:val="single" w:sz="4" w:space="0" w:color="000000"/>
            </w:tcBorders>
            <w:hideMark/>
          </w:tcPr>
          <w:p w14:paraId="059431FB"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0.82</w:t>
            </w:r>
          </w:p>
        </w:tc>
        <w:tc>
          <w:tcPr>
            <w:tcW w:w="729" w:type="pct"/>
            <w:tcBorders>
              <w:top w:val="nil"/>
              <w:left w:val="single" w:sz="4" w:space="0" w:color="000000"/>
              <w:bottom w:val="nil"/>
              <w:right w:val="single" w:sz="4" w:space="0" w:color="000000"/>
            </w:tcBorders>
            <w:hideMark/>
          </w:tcPr>
          <w:p w14:paraId="214E18CB" w14:textId="77777777" w:rsidR="002746A7" w:rsidRPr="004D7D2F" w:rsidRDefault="002746A7">
            <w:pPr>
              <w:pStyle w:val="TableParagraph"/>
              <w:kinsoku w:val="0"/>
              <w:overflowPunct w:val="0"/>
              <w:spacing w:before="6" w:line="213" w:lineRule="exact"/>
              <w:ind w:left="108"/>
              <w:rPr>
                <w:sz w:val="20"/>
                <w:szCs w:val="20"/>
              </w:rPr>
            </w:pPr>
            <w:r w:rsidRPr="004D7D2F">
              <w:rPr>
                <w:sz w:val="20"/>
                <w:szCs w:val="20"/>
              </w:rPr>
              <w:t>0.50</w:t>
            </w:r>
          </w:p>
        </w:tc>
      </w:tr>
      <w:tr w:rsidR="002746A7" w:rsidRPr="004D7D2F" w14:paraId="4EA314BE" w14:textId="77777777" w:rsidTr="00EC2189">
        <w:trPr>
          <w:trHeight w:val="232"/>
        </w:trPr>
        <w:tc>
          <w:tcPr>
            <w:tcW w:w="730" w:type="pct"/>
            <w:tcBorders>
              <w:top w:val="nil"/>
              <w:left w:val="single" w:sz="4" w:space="0" w:color="000000"/>
              <w:bottom w:val="nil"/>
              <w:right w:val="single" w:sz="4" w:space="0" w:color="000000"/>
            </w:tcBorders>
          </w:tcPr>
          <w:p w14:paraId="1645B8AD" w14:textId="77777777" w:rsidR="002746A7" w:rsidRPr="004D7D2F" w:rsidRDefault="002746A7">
            <w:pPr>
              <w:pStyle w:val="TableParagraph"/>
              <w:kinsoku w:val="0"/>
              <w:overflowPunct w:val="0"/>
              <w:spacing w:line="240" w:lineRule="auto"/>
              <w:ind w:left="0"/>
              <w:rPr>
                <w:sz w:val="20"/>
                <w:szCs w:val="20"/>
              </w:rPr>
            </w:pPr>
          </w:p>
        </w:tc>
        <w:tc>
          <w:tcPr>
            <w:tcW w:w="1250" w:type="pct"/>
            <w:tcBorders>
              <w:top w:val="nil"/>
              <w:left w:val="single" w:sz="4" w:space="0" w:color="000000"/>
              <w:bottom w:val="single" w:sz="4" w:space="0" w:color="000000"/>
              <w:right w:val="single" w:sz="4" w:space="0" w:color="000000"/>
            </w:tcBorders>
          </w:tcPr>
          <w:p w14:paraId="0BCA7ABA" w14:textId="77777777" w:rsidR="002746A7" w:rsidRPr="004D7D2F" w:rsidRDefault="002746A7">
            <w:pPr>
              <w:pStyle w:val="TableParagraph"/>
              <w:kinsoku w:val="0"/>
              <w:overflowPunct w:val="0"/>
              <w:spacing w:line="240" w:lineRule="auto"/>
              <w:ind w:left="0"/>
              <w:rPr>
                <w:sz w:val="20"/>
                <w:szCs w:val="20"/>
              </w:rPr>
            </w:pPr>
          </w:p>
        </w:tc>
        <w:tc>
          <w:tcPr>
            <w:tcW w:w="938" w:type="pct"/>
            <w:tcBorders>
              <w:top w:val="nil"/>
              <w:left w:val="single" w:sz="4" w:space="0" w:color="000000"/>
              <w:bottom w:val="single" w:sz="4" w:space="0" w:color="000000"/>
              <w:right w:val="single" w:sz="4" w:space="0" w:color="000000"/>
            </w:tcBorders>
            <w:hideMark/>
          </w:tcPr>
          <w:p w14:paraId="71D2D5AF"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p-value</w:t>
            </w:r>
          </w:p>
        </w:tc>
        <w:tc>
          <w:tcPr>
            <w:tcW w:w="677" w:type="pct"/>
            <w:tcBorders>
              <w:top w:val="nil"/>
              <w:left w:val="single" w:sz="4" w:space="0" w:color="000000"/>
              <w:bottom w:val="single" w:sz="4" w:space="0" w:color="000000"/>
              <w:right w:val="single" w:sz="4" w:space="0" w:color="000000"/>
            </w:tcBorders>
          </w:tcPr>
          <w:p w14:paraId="405C898B" w14:textId="77777777" w:rsidR="002746A7" w:rsidRPr="004D7D2F" w:rsidRDefault="002746A7">
            <w:pPr>
              <w:pStyle w:val="TableParagraph"/>
              <w:kinsoku w:val="0"/>
              <w:overflowPunct w:val="0"/>
              <w:spacing w:line="240" w:lineRule="auto"/>
              <w:ind w:left="0"/>
              <w:rPr>
                <w:sz w:val="20"/>
                <w:szCs w:val="20"/>
              </w:rPr>
            </w:pPr>
          </w:p>
        </w:tc>
        <w:tc>
          <w:tcPr>
            <w:tcW w:w="677" w:type="pct"/>
            <w:tcBorders>
              <w:top w:val="nil"/>
              <w:left w:val="single" w:sz="4" w:space="0" w:color="000000"/>
              <w:bottom w:val="single" w:sz="4" w:space="0" w:color="000000"/>
              <w:right w:val="single" w:sz="4" w:space="0" w:color="000000"/>
            </w:tcBorders>
            <w:hideMark/>
          </w:tcPr>
          <w:p w14:paraId="391573C9"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&lt;0.0001</w:t>
            </w:r>
          </w:p>
        </w:tc>
        <w:tc>
          <w:tcPr>
            <w:tcW w:w="729" w:type="pct"/>
            <w:tcBorders>
              <w:top w:val="nil"/>
              <w:left w:val="single" w:sz="4" w:space="0" w:color="000000"/>
              <w:bottom w:val="single" w:sz="4" w:space="0" w:color="000000"/>
              <w:right w:val="single" w:sz="4" w:space="0" w:color="000000"/>
            </w:tcBorders>
            <w:hideMark/>
          </w:tcPr>
          <w:p w14:paraId="0707BB24"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&lt;0.0001</w:t>
            </w:r>
          </w:p>
        </w:tc>
      </w:tr>
      <w:tr w:rsidR="002746A7" w:rsidRPr="002E15A9" w14:paraId="63C4750F" w14:textId="77777777" w:rsidTr="00EC2189">
        <w:trPr>
          <w:trHeight w:val="240"/>
        </w:trPr>
        <w:tc>
          <w:tcPr>
            <w:tcW w:w="730" w:type="pct"/>
            <w:tcBorders>
              <w:top w:val="nil"/>
              <w:left w:val="single" w:sz="4" w:space="0" w:color="000000"/>
              <w:bottom w:val="nil"/>
              <w:right w:val="single" w:sz="4" w:space="0" w:color="000000"/>
            </w:tcBorders>
          </w:tcPr>
          <w:p w14:paraId="615F8D7F" w14:textId="77777777" w:rsidR="002746A7" w:rsidRPr="004D7D2F" w:rsidRDefault="002746A7">
            <w:pPr>
              <w:pStyle w:val="TableParagraph"/>
              <w:kinsoku w:val="0"/>
              <w:overflowPunct w:val="0"/>
              <w:spacing w:line="240" w:lineRule="auto"/>
              <w:ind w:left="0"/>
              <w:rPr>
                <w:sz w:val="20"/>
                <w:szCs w:val="20"/>
              </w:rPr>
            </w:pPr>
          </w:p>
        </w:tc>
        <w:tc>
          <w:tcPr>
            <w:tcW w:w="4270" w:type="pct"/>
            <w:gridSpan w:val="5"/>
            <w:tcBorders>
              <w:top w:val="single" w:sz="4" w:space="0" w:color="000000"/>
              <w:left w:val="single" w:sz="4" w:space="0" w:color="000000"/>
              <w:bottom w:val="single" w:sz="4" w:space="0" w:color="000000"/>
              <w:right w:val="single" w:sz="4" w:space="0" w:color="000000"/>
            </w:tcBorders>
            <w:hideMark/>
          </w:tcPr>
          <w:p w14:paraId="29C41E20" w14:textId="77777777" w:rsidR="002746A7" w:rsidRPr="004D7D2F" w:rsidRDefault="002746A7">
            <w:pPr>
              <w:pStyle w:val="TableParagraph"/>
              <w:kinsoku w:val="0"/>
              <w:overflowPunct w:val="0"/>
              <w:spacing w:before="14" w:line="205" w:lineRule="exact"/>
              <w:ind w:left="108"/>
              <w:rPr>
                <w:b/>
                <w:bCs/>
                <w:sz w:val="20"/>
                <w:szCs w:val="20"/>
              </w:rPr>
            </w:pPr>
            <w:r w:rsidRPr="004D7D2F">
              <w:rPr>
                <w:b/>
                <w:bCs/>
                <w:sz w:val="20"/>
                <w:szCs w:val="20"/>
              </w:rPr>
              <w:t>Key</w:t>
            </w:r>
            <w:r w:rsidRPr="004D7D2F">
              <w:rPr>
                <w:b/>
                <w:bCs/>
                <w:spacing w:val="-2"/>
                <w:sz w:val="20"/>
                <w:szCs w:val="20"/>
              </w:rPr>
              <w:t xml:space="preserve"> </w:t>
            </w:r>
            <w:r w:rsidRPr="004D7D2F">
              <w:rPr>
                <w:b/>
                <w:bCs/>
                <w:sz w:val="20"/>
                <w:szCs w:val="20"/>
              </w:rPr>
              <w:t>Secondary</w:t>
            </w:r>
            <w:r w:rsidRPr="004D7D2F">
              <w:rPr>
                <w:b/>
                <w:bCs/>
                <w:spacing w:val="-2"/>
                <w:sz w:val="20"/>
                <w:szCs w:val="20"/>
              </w:rPr>
              <w:t xml:space="preserve"> </w:t>
            </w:r>
            <w:r w:rsidRPr="004D7D2F">
              <w:rPr>
                <w:b/>
                <w:bCs/>
                <w:sz w:val="20"/>
                <w:szCs w:val="20"/>
              </w:rPr>
              <w:t>Endpoint</w:t>
            </w:r>
            <w:r w:rsidRPr="004D7D2F">
              <w:rPr>
                <w:b/>
                <w:bCs/>
                <w:spacing w:val="-4"/>
                <w:sz w:val="20"/>
                <w:szCs w:val="20"/>
              </w:rPr>
              <w:t xml:space="preserve"> </w:t>
            </w:r>
            <w:r w:rsidRPr="004D7D2F">
              <w:rPr>
                <w:b/>
                <w:bCs/>
                <w:sz w:val="20"/>
                <w:szCs w:val="20"/>
              </w:rPr>
              <w:t>CGI-I</w:t>
            </w:r>
          </w:p>
        </w:tc>
      </w:tr>
      <w:tr w:rsidR="002746A7" w:rsidRPr="004D7D2F" w14:paraId="615CFC1E" w14:textId="77777777" w:rsidTr="00EC2189">
        <w:trPr>
          <w:trHeight w:val="240"/>
        </w:trPr>
        <w:tc>
          <w:tcPr>
            <w:tcW w:w="730" w:type="pct"/>
            <w:tcBorders>
              <w:top w:val="nil"/>
              <w:left w:val="single" w:sz="4" w:space="0" w:color="000000"/>
              <w:bottom w:val="nil"/>
              <w:right w:val="single" w:sz="4" w:space="0" w:color="000000"/>
            </w:tcBorders>
          </w:tcPr>
          <w:p w14:paraId="02CBAC93"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single" w:sz="4" w:space="0" w:color="000000"/>
              <w:right w:val="single" w:sz="4" w:space="0" w:color="000000"/>
            </w:tcBorders>
            <w:hideMark/>
          </w:tcPr>
          <w:p w14:paraId="5AA83AFF" w14:textId="77777777" w:rsidR="002746A7" w:rsidRPr="004D7D2F" w:rsidRDefault="002746A7">
            <w:pPr>
              <w:pStyle w:val="TableParagraph"/>
              <w:kinsoku w:val="0"/>
              <w:overflowPunct w:val="0"/>
              <w:spacing w:before="14" w:line="205" w:lineRule="exact"/>
              <w:ind w:left="108"/>
              <w:rPr>
                <w:sz w:val="20"/>
                <w:szCs w:val="20"/>
              </w:rPr>
            </w:pPr>
            <w:r w:rsidRPr="004D7D2F">
              <w:rPr>
                <w:sz w:val="20"/>
                <w:szCs w:val="20"/>
              </w:rPr>
              <w:t>Subjects</w:t>
            </w:r>
            <w:r w:rsidRPr="004D7D2F">
              <w:rPr>
                <w:spacing w:val="-4"/>
                <w:sz w:val="20"/>
                <w:szCs w:val="20"/>
              </w:rPr>
              <w:t xml:space="preserve"> </w:t>
            </w:r>
            <w:proofErr w:type="spellStart"/>
            <w:r w:rsidRPr="004D7D2F">
              <w:rPr>
                <w:sz w:val="20"/>
                <w:szCs w:val="20"/>
              </w:rPr>
              <w:t>analysed</w:t>
            </w:r>
            <w:proofErr w:type="spellEnd"/>
            <w:r w:rsidRPr="004D7D2F">
              <w:rPr>
                <w:spacing w:val="-2"/>
                <w:sz w:val="20"/>
                <w:szCs w:val="20"/>
              </w:rPr>
              <w:t xml:space="preserve"> </w:t>
            </w:r>
            <w:r w:rsidRPr="004D7D2F">
              <w:rPr>
                <w:sz w:val="20"/>
                <w:szCs w:val="20"/>
              </w:rPr>
              <w:t>(n)</w:t>
            </w:r>
          </w:p>
        </w:tc>
        <w:tc>
          <w:tcPr>
            <w:tcW w:w="677" w:type="pct"/>
            <w:tcBorders>
              <w:top w:val="single" w:sz="4" w:space="0" w:color="000000"/>
              <w:left w:val="single" w:sz="4" w:space="0" w:color="000000"/>
              <w:bottom w:val="single" w:sz="4" w:space="0" w:color="000000"/>
              <w:right w:val="single" w:sz="4" w:space="0" w:color="000000"/>
            </w:tcBorders>
            <w:hideMark/>
          </w:tcPr>
          <w:p w14:paraId="02EC404E" w14:textId="77777777" w:rsidR="002746A7" w:rsidRPr="004D7D2F" w:rsidRDefault="002746A7">
            <w:pPr>
              <w:pStyle w:val="TableParagraph"/>
              <w:kinsoku w:val="0"/>
              <w:overflowPunct w:val="0"/>
              <w:spacing w:before="14" w:line="205" w:lineRule="exact"/>
              <w:ind w:left="422" w:right="413"/>
              <w:jc w:val="center"/>
              <w:rPr>
                <w:sz w:val="20"/>
                <w:szCs w:val="20"/>
              </w:rPr>
            </w:pPr>
            <w:r w:rsidRPr="004D7D2F">
              <w:rPr>
                <w:sz w:val="20"/>
                <w:szCs w:val="20"/>
              </w:rPr>
              <w:t>106</w:t>
            </w:r>
          </w:p>
        </w:tc>
        <w:tc>
          <w:tcPr>
            <w:tcW w:w="677" w:type="pct"/>
            <w:tcBorders>
              <w:top w:val="single" w:sz="4" w:space="0" w:color="000000"/>
              <w:left w:val="single" w:sz="4" w:space="0" w:color="000000"/>
              <w:bottom w:val="single" w:sz="4" w:space="0" w:color="000000"/>
              <w:right w:val="single" w:sz="4" w:space="0" w:color="000000"/>
            </w:tcBorders>
            <w:hideMark/>
          </w:tcPr>
          <w:p w14:paraId="3C6B9786" w14:textId="77777777" w:rsidR="002746A7" w:rsidRPr="004D7D2F" w:rsidRDefault="002746A7">
            <w:pPr>
              <w:pStyle w:val="TableParagraph"/>
              <w:kinsoku w:val="0"/>
              <w:overflowPunct w:val="0"/>
              <w:spacing w:before="14" w:line="205" w:lineRule="exact"/>
              <w:ind w:left="422" w:right="413"/>
              <w:jc w:val="center"/>
              <w:rPr>
                <w:sz w:val="20"/>
                <w:szCs w:val="20"/>
              </w:rPr>
            </w:pPr>
            <w:r w:rsidRPr="004D7D2F">
              <w:rPr>
                <w:sz w:val="20"/>
                <w:szCs w:val="20"/>
              </w:rPr>
              <w:t>210</w:t>
            </w:r>
          </w:p>
        </w:tc>
        <w:tc>
          <w:tcPr>
            <w:tcW w:w="729" w:type="pct"/>
            <w:tcBorders>
              <w:top w:val="single" w:sz="4" w:space="0" w:color="000000"/>
              <w:left w:val="single" w:sz="4" w:space="0" w:color="000000"/>
              <w:bottom w:val="single" w:sz="4" w:space="0" w:color="000000"/>
              <w:right w:val="single" w:sz="4" w:space="0" w:color="000000"/>
            </w:tcBorders>
            <w:hideMark/>
          </w:tcPr>
          <w:p w14:paraId="06A0C973" w14:textId="77777777" w:rsidR="002746A7" w:rsidRPr="004D7D2F" w:rsidRDefault="002746A7">
            <w:pPr>
              <w:pStyle w:val="TableParagraph"/>
              <w:kinsoku w:val="0"/>
              <w:overflowPunct w:val="0"/>
              <w:spacing w:before="14" w:line="205" w:lineRule="exact"/>
              <w:ind w:left="466" w:right="457"/>
              <w:jc w:val="center"/>
              <w:rPr>
                <w:sz w:val="20"/>
                <w:szCs w:val="20"/>
              </w:rPr>
            </w:pPr>
            <w:r w:rsidRPr="004D7D2F">
              <w:rPr>
                <w:sz w:val="20"/>
                <w:szCs w:val="20"/>
              </w:rPr>
              <w:t>216</w:t>
            </w:r>
          </w:p>
        </w:tc>
      </w:tr>
      <w:tr w:rsidR="002746A7" w:rsidRPr="004D7D2F" w14:paraId="61A382E2" w14:textId="77777777" w:rsidTr="00EC2189">
        <w:trPr>
          <w:trHeight w:val="247"/>
        </w:trPr>
        <w:tc>
          <w:tcPr>
            <w:tcW w:w="730" w:type="pct"/>
            <w:tcBorders>
              <w:top w:val="nil"/>
              <w:left w:val="single" w:sz="4" w:space="0" w:color="000000"/>
              <w:bottom w:val="nil"/>
              <w:right w:val="single" w:sz="4" w:space="0" w:color="000000"/>
            </w:tcBorders>
          </w:tcPr>
          <w:p w14:paraId="474105B5"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nil"/>
              <w:right w:val="single" w:sz="4" w:space="0" w:color="000000"/>
            </w:tcBorders>
            <w:hideMark/>
          </w:tcPr>
          <w:p w14:paraId="2484BF6E" w14:textId="77777777" w:rsidR="002746A7" w:rsidRPr="004D7D2F" w:rsidRDefault="002746A7">
            <w:pPr>
              <w:pStyle w:val="TableParagraph"/>
              <w:kinsoku w:val="0"/>
              <w:overflowPunct w:val="0"/>
              <w:spacing w:before="14" w:line="213" w:lineRule="exact"/>
              <w:ind w:left="108"/>
              <w:rPr>
                <w:sz w:val="20"/>
                <w:szCs w:val="20"/>
              </w:rPr>
            </w:pPr>
            <w:r w:rsidRPr="004D7D2F">
              <w:rPr>
                <w:sz w:val="20"/>
                <w:szCs w:val="20"/>
              </w:rPr>
              <w:t>Improved</w:t>
            </w:r>
            <w:r w:rsidRPr="004D7D2F">
              <w:rPr>
                <w:spacing w:val="-2"/>
                <w:sz w:val="20"/>
                <w:szCs w:val="20"/>
              </w:rPr>
              <w:t xml:space="preserve"> </w:t>
            </w:r>
            <w:r w:rsidRPr="004D7D2F">
              <w:rPr>
                <w:sz w:val="20"/>
                <w:szCs w:val="20"/>
              </w:rPr>
              <w:t>(%)</w:t>
            </w:r>
            <w:r w:rsidRPr="004D7D2F">
              <w:rPr>
                <w:spacing w:val="-4"/>
                <w:sz w:val="20"/>
                <w:szCs w:val="20"/>
              </w:rPr>
              <w:t xml:space="preserve"> </w:t>
            </w:r>
            <w:r w:rsidRPr="004D7D2F">
              <w:rPr>
                <w:sz w:val="20"/>
                <w:szCs w:val="20"/>
              </w:rPr>
              <w:t>[c]</w:t>
            </w:r>
          </w:p>
        </w:tc>
        <w:tc>
          <w:tcPr>
            <w:tcW w:w="677" w:type="pct"/>
            <w:tcBorders>
              <w:top w:val="single" w:sz="4" w:space="0" w:color="000000"/>
              <w:left w:val="single" w:sz="4" w:space="0" w:color="000000"/>
              <w:bottom w:val="nil"/>
              <w:right w:val="single" w:sz="4" w:space="0" w:color="000000"/>
            </w:tcBorders>
            <w:hideMark/>
          </w:tcPr>
          <w:p w14:paraId="13B0AE2A" w14:textId="77777777" w:rsidR="002746A7" w:rsidRPr="004D7D2F" w:rsidRDefault="002746A7">
            <w:pPr>
              <w:pStyle w:val="TableParagraph"/>
              <w:kinsoku w:val="0"/>
              <w:overflowPunct w:val="0"/>
              <w:spacing w:before="14" w:line="213" w:lineRule="exact"/>
              <w:ind w:left="234"/>
              <w:rPr>
                <w:sz w:val="20"/>
                <w:szCs w:val="20"/>
              </w:rPr>
            </w:pPr>
            <w:r w:rsidRPr="004D7D2F">
              <w:rPr>
                <w:sz w:val="20"/>
                <w:szCs w:val="20"/>
              </w:rPr>
              <w:t>53</w:t>
            </w:r>
            <w:r w:rsidRPr="004D7D2F">
              <w:rPr>
                <w:spacing w:val="1"/>
                <w:sz w:val="20"/>
                <w:szCs w:val="20"/>
              </w:rPr>
              <w:t xml:space="preserve"> </w:t>
            </w:r>
            <w:r w:rsidRPr="004D7D2F">
              <w:rPr>
                <w:sz w:val="20"/>
                <w:szCs w:val="20"/>
              </w:rPr>
              <w:t>(50.0)</w:t>
            </w:r>
          </w:p>
        </w:tc>
        <w:tc>
          <w:tcPr>
            <w:tcW w:w="677" w:type="pct"/>
            <w:tcBorders>
              <w:top w:val="single" w:sz="4" w:space="0" w:color="000000"/>
              <w:left w:val="single" w:sz="4" w:space="0" w:color="000000"/>
              <w:bottom w:val="nil"/>
              <w:right w:val="single" w:sz="4" w:space="0" w:color="000000"/>
            </w:tcBorders>
            <w:hideMark/>
          </w:tcPr>
          <w:p w14:paraId="7C163481" w14:textId="77777777" w:rsidR="002746A7" w:rsidRPr="004D7D2F" w:rsidRDefault="002746A7">
            <w:pPr>
              <w:pStyle w:val="TableParagraph"/>
              <w:kinsoku w:val="0"/>
              <w:overflowPunct w:val="0"/>
              <w:spacing w:before="14" w:line="213" w:lineRule="exact"/>
              <w:ind w:left="0" w:right="173"/>
              <w:jc w:val="right"/>
              <w:rPr>
                <w:sz w:val="20"/>
                <w:szCs w:val="20"/>
              </w:rPr>
            </w:pPr>
            <w:r w:rsidRPr="004D7D2F">
              <w:rPr>
                <w:sz w:val="20"/>
                <w:szCs w:val="20"/>
              </w:rPr>
              <w:t>171</w:t>
            </w:r>
            <w:r w:rsidRPr="004D7D2F">
              <w:rPr>
                <w:spacing w:val="1"/>
                <w:sz w:val="20"/>
                <w:szCs w:val="20"/>
              </w:rPr>
              <w:t xml:space="preserve"> </w:t>
            </w:r>
            <w:r w:rsidRPr="004D7D2F">
              <w:rPr>
                <w:sz w:val="20"/>
                <w:szCs w:val="20"/>
              </w:rPr>
              <w:t>(81.4)</w:t>
            </w:r>
          </w:p>
        </w:tc>
        <w:tc>
          <w:tcPr>
            <w:tcW w:w="729" w:type="pct"/>
            <w:tcBorders>
              <w:top w:val="single" w:sz="4" w:space="0" w:color="000000"/>
              <w:left w:val="single" w:sz="4" w:space="0" w:color="000000"/>
              <w:bottom w:val="nil"/>
              <w:right w:val="single" w:sz="4" w:space="0" w:color="000000"/>
            </w:tcBorders>
            <w:hideMark/>
          </w:tcPr>
          <w:p w14:paraId="7AE9425A" w14:textId="77777777" w:rsidR="002746A7" w:rsidRPr="004D7D2F" w:rsidRDefault="002746A7">
            <w:pPr>
              <w:pStyle w:val="TableParagraph"/>
              <w:kinsoku w:val="0"/>
              <w:overflowPunct w:val="0"/>
              <w:spacing w:before="14" w:line="213" w:lineRule="exact"/>
              <w:ind w:left="231"/>
              <w:rPr>
                <w:sz w:val="20"/>
                <w:szCs w:val="20"/>
              </w:rPr>
            </w:pPr>
            <w:r w:rsidRPr="004D7D2F">
              <w:rPr>
                <w:sz w:val="20"/>
                <w:szCs w:val="20"/>
              </w:rPr>
              <w:t>154</w:t>
            </w:r>
            <w:r w:rsidRPr="004D7D2F">
              <w:rPr>
                <w:spacing w:val="1"/>
                <w:sz w:val="20"/>
                <w:szCs w:val="20"/>
              </w:rPr>
              <w:t xml:space="preserve"> </w:t>
            </w:r>
            <w:r w:rsidRPr="004D7D2F">
              <w:rPr>
                <w:sz w:val="20"/>
                <w:szCs w:val="20"/>
              </w:rPr>
              <w:t>(71.3)</w:t>
            </w:r>
          </w:p>
        </w:tc>
      </w:tr>
      <w:tr w:rsidR="002746A7" w:rsidRPr="004D7D2F" w14:paraId="4840E053" w14:textId="77777777" w:rsidTr="00EC2189">
        <w:trPr>
          <w:trHeight w:val="232"/>
        </w:trPr>
        <w:tc>
          <w:tcPr>
            <w:tcW w:w="730" w:type="pct"/>
            <w:tcBorders>
              <w:top w:val="nil"/>
              <w:left w:val="single" w:sz="4" w:space="0" w:color="000000"/>
              <w:bottom w:val="nil"/>
              <w:right w:val="single" w:sz="4" w:space="0" w:color="000000"/>
            </w:tcBorders>
          </w:tcPr>
          <w:p w14:paraId="58E1129C"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nil"/>
              <w:left w:val="single" w:sz="4" w:space="0" w:color="000000"/>
              <w:bottom w:val="single" w:sz="4" w:space="0" w:color="000000"/>
              <w:right w:val="single" w:sz="4" w:space="0" w:color="000000"/>
            </w:tcBorders>
            <w:hideMark/>
          </w:tcPr>
          <w:p w14:paraId="4D93C3D6"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Not</w:t>
            </w:r>
            <w:r w:rsidRPr="004D7D2F">
              <w:rPr>
                <w:spacing w:val="-2"/>
                <w:sz w:val="20"/>
                <w:szCs w:val="20"/>
              </w:rPr>
              <w:t xml:space="preserve"> </w:t>
            </w:r>
            <w:r w:rsidRPr="004D7D2F">
              <w:rPr>
                <w:sz w:val="20"/>
                <w:szCs w:val="20"/>
              </w:rPr>
              <w:t>improved (%)</w:t>
            </w:r>
            <w:r w:rsidRPr="004D7D2F">
              <w:rPr>
                <w:spacing w:val="-2"/>
                <w:sz w:val="20"/>
                <w:szCs w:val="20"/>
              </w:rPr>
              <w:t xml:space="preserve"> </w:t>
            </w:r>
            <w:r w:rsidRPr="004D7D2F">
              <w:rPr>
                <w:sz w:val="20"/>
                <w:szCs w:val="20"/>
              </w:rPr>
              <w:t>[d]</w:t>
            </w:r>
          </w:p>
        </w:tc>
        <w:tc>
          <w:tcPr>
            <w:tcW w:w="677" w:type="pct"/>
            <w:tcBorders>
              <w:top w:val="nil"/>
              <w:left w:val="single" w:sz="4" w:space="0" w:color="000000"/>
              <w:bottom w:val="single" w:sz="4" w:space="0" w:color="000000"/>
              <w:right w:val="single" w:sz="4" w:space="0" w:color="000000"/>
            </w:tcBorders>
            <w:hideMark/>
          </w:tcPr>
          <w:p w14:paraId="38CCC86D" w14:textId="77777777" w:rsidR="002746A7" w:rsidRPr="004D7D2F" w:rsidRDefault="002746A7">
            <w:pPr>
              <w:pStyle w:val="TableParagraph"/>
              <w:kinsoku w:val="0"/>
              <w:overflowPunct w:val="0"/>
              <w:spacing w:before="6" w:line="205" w:lineRule="exact"/>
              <w:ind w:left="234"/>
              <w:rPr>
                <w:sz w:val="20"/>
                <w:szCs w:val="20"/>
              </w:rPr>
            </w:pPr>
            <w:r w:rsidRPr="004D7D2F">
              <w:rPr>
                <w:sz w:val="20"/>
                <w:szCs w:val="20"/>
              </w:rPr>
              <w:t>53</w:t>
            </w:r>
            <w:r w:rsidRPr="004D7D2F">
              <w:rPr>
                <w:spacing w:val="1"/>
                <w:sz w:val="20"/>
                <w:szCs w:val="20"/>
              </w:rPr>
              <w:t xml:space="preserve"> </w:t>
            </w:r>
            <w:r w:rsidRPr="004D7D2F">
              <w:rPr>
                <w:sz w:val="20"/>
                <w:szCs w:val="20"/>
              </w:rPr>
              <w:t>(50.0)</w:t>
            </w:r>
          </w:p>
        </w:tc>
        <w:tc>
          <w:tcPr>
            <w:tcW w:w="677" w:type="pct"/>
            <w:tcBorders>
              <w:top w:val="nil"/>
              <w:left w:val="single" w:sz="4" w:space="0" w:color="000000"/>
              <w:bottom w:val="single" w:sz="4" w:space="0" w:color="000000"/>
              <w:right w:val="single" w:sz="4" w:space="0" w:color="000000"/>
            </w:tcBorders>
            <w:hideMark/>
          </w:tcPr>
          <w:p w14:paraId="2331D5B7" w14:textId="77777777" w:rsidR="002746A7" w:rsidRPr="004D7D2F" w:rsidRDefault="002746A7">
            <w:pPr>
              <w:pStyle w:val="TableParagraph"/>
              <w:kinsoku w:val="0"/>
              <w:overflowPunct w:val="0"/>
              <w:spacing w:before="6" w:line="205" w:lineRule="exact"/>
              <w:ind w:left="0" w:right="221"/>
              <w:jc w:val="right"/>
              <w:rPr>
                <w:sz w:val="20"/>
                <w:szCs w:val="20"/>
              </w:rPr>
            </w:pPr>
            <w:r w:rsidRPr="004D7D2F">
              <w:rPr>
                <w:sz w:val="20"/>
                <w:szCs w:val="20"/>
              </w:rPr>
              <w:t>39</w:t>
            </w:r>
            <w:r w:rsidRPr="004D7D2F">
              <w:rPr>
                <w:spacing w:val="1"/>
                <w:sz w:val="20"/>
                <w:szCs w:val="20"/>
              </w:rPr>
              <w:t xml:space="preserve"> </w:t>
            </w:r>
            <w:r w:rsidRPr="004D7D2F">
              <w:rPr>
                <w:sz w:val="20"/>
                <w:szCs w:val="20"/>
              </w:rPr>
              <w:t>(18.6)</w:t>
            </w:r>
          </w:p>
        </w:tc>
        <w:tc>
          <w:tcPr>
            <w:tcW w:w="729" w:type="pct"/>
            <w:tcBorders>
              <w:top w:val="nil"/>
              <w:left w:val="single" w:sz="4" w:space="0" w:color="000000"/>
              <w:bottom w:val="single" w:sz="4" w:space="0" w:color="000000"/>
              <w:right w:val="single" w:sz="4" w:space="0" w:color="000000"/>
            </w:tcBorders>
            <w:hideMark/>
          </w:tcPr>
          <w:p w14:paraId="49E09855" w14:textId="77777777" w:rsidR="002746A7" w:rsidRPr="004D7D2F" w:rsidRDefault="002746A7">
            <w:pPr>
              <w:pStyle w:val="TableParagraph"/>
              <w:kinsoku w:val="0"/>
              <w:overflowPunct w:val="0"/>
              <w:spacing w:before="6" w:line="205" w:lineRule="exact"/>
              <w:ind w:left="279"/>
              <w:rPr>
                <w:sz w:val="20"/>
                <w:szCs w:val="20"/>
              </w:rPr>
            </w:pPr>
            <w:r w:rsidRPr="004D7D2F">
              <w:rPr>
                <w:sz w:val="20"/>
                <w:szCs w:val="20"/>
              </w:rPr>
              <w:t>62</w:t>
            </w:r>
            <w:r w:rsidRPr="004D7D2F">
              <w:rPr>
                <w:spacing w:val="1"/>
                <w:sz w:val="20"/>
                <w:szCs w:val="20"/>
              </w:rPr>
              <w:t xml:space="preserve"> </w:t>
            </w:r>
            <w:r w:rsidRPr="004D7D2F">
              <w:rPr>
                <w:sz w:val="20"/>
                <w:szCs w:val="20"/>
              </w:rPr>
              <w:t>(28.7)</w:t>
            </w:r>
          </w:p>
        </w:tc>
      </w:tr>
      <w:tr w:rsidR="002746A7" w:rsidRPr="004D7D2F" w14:paraId="52078667" w14:textId="77777777" w:rsidTr="00EC2189">
        <w:trPr>
          <w:trHeight w:val="247"/>
        </w:trPr>
        <w:tc>
          <w:tcPr>
            <w:tcW w:w="730" w:type="pct"/>
            <w:tcBorders>
              <w:top w:val="nil"/>
              <w:left w:val="single" w:sz="4" w:space="0" w:color="000000"/>
              <w:bottom w:val="nil"/>
              <w:right w:val="single" w:sz="4" w:space="0" w:color="000000"/>
            </w:tcBorders>
          </w:tcPr>
          <w:p w14:paraId="7BEABC1F"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single" w:sz="4" w:space="0" w:color="000000"/>
              <w:left w:val="single" w:sz="4" w:space="0" w:color="000000"/>
              <w:bottom w:val="nil"/>
              <w:right w:val="single" w:sz="4" w:space="0" w:color="000000"/>
            </w:tcBorders>
            <w:hideMark/>
          </w:tcPr>
          <w:p w14:paraId="773FE7A5" w14:textId="77777777" w:rsidR="002746A7" w:rsidRPr="004D7D2F" w:rsidRDefault="002746A7">
            <w:pPr>
              <w:pStyle w:val="TableParagraph"/>
              <w:kinsoku w:val="0"/>
              <w:overflowPunct w:val="0"/>
              <w:spacing w:before="14" w:line="213" w:lineRule="exact"/>
              <w:ind w:left="108"/>
              <w:rPr>
                <w:sz w:val="20"/>
                <w:szCs w:val="20"/>
                <w:lang w:val="sv-SE"/>
              </w:rPr>
            </w:pPr>
            <w:proofErr w:type="spellStart"/>
            <w:r w:rsidRPr="004D7D2F">
              <w:rPr>
                <w:sz w:val="20"/>
                <w:szCs w:val="20"/>
                <w:lang w:val="sv-SE"/>
              </w:rPr>
              <w:t>Lisdexamfetamine</w:t>
            </w:r>
            <w:proofErr w:type="spellEnd"/>
            <w:r w:rsidRPr="004D7D2F">
              <w:rPr>
                <w:spacing w:val="-5"/>
                <w:sz w:val="20"/>
                <w:szCs w:val="20"/>
                <w:lang w:val="sv-SE"/>
              </w:rPr>
              <w:t xml:space="preserve"> </w:t>
            </w:r>
            <w:r w:rsidRPr="004D7D2F">
              <w:rPr>
                <w:sz w:val="20"/>
                <w:szCs w:val="20"/>
                <w:lang w:val="sv-SE"/>
              </w:rPr>
              <w:t>vs</w:t>
            </w:r>
            <w:r w:rsidRPr="004D7D2F">
              <w:rPr>
                <w:spacing w:val="-4"/>
                <w:sz w:val="20"/>
                <w:szCs w:val="20"/>
                <w:lang w:val="sv-SE"/>
              </w:rPr>
              <w:t xml:space="preserve"> </w:t>
            </w:r>
            <w:r w:rsidRPr="004D7D2F">
              <w:rPr>
                <w:sz w:val="20"/>
                <w:szCs w:val="20"/>
                <w:lang w:val="sv-SE"/>
              </w:rPr>
              <w:t>OROS-MPH</w:t>
            </w:r>
            <w:r w:rsidRPr="004D7D2F">
              <w:rPr>
                <w:spacing w:val="-4"/>
                <w:sz w:val="20"/>
                <w:szCs w:val="20"/>
                <w:lang w:val="sv-SE"/>
              </w:rPr>
              <w:t xml:space="preserve"> </w:t>
            </w:r>
            <w:r w:rsidRPr="004D7D2F">
              <w:rPr>
                <w:sz w:val="20"/>
                <w:szCs w:val="20"/>
                <w:lang w:val="sv-SE"/>
              </w:rPr>
              <w:t>[e]</w:t>
            </w:r>
          </w:p>
        </w:tc>
        <w:tc>
          <w:tcPr>
            <w:tcW w:w="677" w:type="pct"/>
            <w:tcBorders>
              <w:top w:val="single" w:sz="4" w:space="0" w:color="000000"/>
              <w:left w:val="single" w:sz="4" w:space="0" w:color="000000"/>
              <w:bottom w:val="nil"/>
              <w:right w:val="single" w:sz="4" w:space="0" w:color="000000"/>
            </w:tcBorders>
            <w:hideMark/>
          </w:tcPr>
          <w:p w14:paraId="69A6A4D7" w14:textId="77777777" w:rsidR="002746A7" w:rsidRPr="004D7D2F" w:rsidRDefault="002746A7">
            <w:pPr>
              <w:pStyle w:val="TableParagraph"/>
              <w:kinsoku w:val="0"/>
              <w:overflowPunct w:val="0"/>
              <w:spacing w:before="14" w:line="213" w:lineRule="exact"/>
              <w:ind w:left="422" w:right="412"/>
              <w:jc w:val="center"/>
              <w:rPr>
                <w:sz w:val="20"/>
                <w:szCs w:val="20"/>
              </w:rPr>
            </w:pPr>
            <w:r w:rsidRPr="004D7D2F">
              <w:rPr>
                <w:sz w:val="20"/>
                <w:szCs w:val="20"/>
              </w:rPr>
              <w:t>NA</w:t>
            </w:r>
          </w:p>
        </w:tc>
        <w:tc>
          <w:tcPr>
            <w:tcW w:w="677" w:type="pct"/>
            <w:tcBorders>
              <w:top w:val="single" w:sz="4" w:space="0" w:color="000000"/>
              <w:left w:val="single" w:sz="4" w:space="0" w:color="000000"/>
              <w:bottom w:val="nil"/>
              <w:right w:val="single" w:sz="4" w:space="0" w:color="000000"/>
            </w:tcBorders>
            <w:hideMark/>
          </w:tcPr>
          <w:p w14:paraId="390ECEB5" w14:textId="77777777" w:rsidR="002746A7" w:rsidRPr="004D7D2F" w:rsidRDefault="002746A7">
            <w:pPr>
              <w:pStyle w:val="TableParagraph"/>
              <w:kinsoku w:val="0"/>
              <w:overflowPunct w:val="0"/>
              <w:spacing w:before="14" w:line="213" w:lineRule="exact"/>
              <w:ind w:left="320"/>
              <w:rPr>
                <w:sz w:val="20"/>
                <w:szCs w:val="20"/>
              </w:rPr>
            </w:pPr>
            <w:r w:rsidRPr="004D7D2F">
              <w:rPr>
                <w:sz w:val="20"/>
                <w:szCs w:val="20"/>
              </w:rPr>
              <w:t>0.0188</w:t>
            </w:r>
          </w:p>
        </w:tc>
        <w:tc>
          <w:tcPr>
            <w:tcW w:w="729" w:type="pct"/>
            <w:tcBorders>
              <w:top w:val="single" w:sz="4" w:space="0" w:color="000000"/>
              <w:left w:val="single" w:sz="4" w:space="0" w:color="000000"/>
              <w:bottom w:val="nil"/>
              <w:right w:val="single" w:sz="4" w:space="0" w:color="000000"/>
            </w:tcBorders>
            <w:hideMark/>
          </w:tcPr>
          <w:p w14:paraId="081CC03D" w14:textId="77777777" w:rsidR="002746A7" w:rsidRPr="004D7D2F" w:rsidRDefault="002746A7">
            <w:pPr>
              <w:pStyle w:val="TableParagraph"/>
              <w:kinsoku w:val="0"/>
              <w:overflowPunct w:val="0"/>
              <w:spacing w:before="14" w:line="213" w:lineRule="exact"/>
              <w:ind w:left="466" w:right="456"/>
              <w:jc w:val="center"/>
              <w:rPr>
                <w:sz w:val="20"/>
                <w:szCs w:val="20"/>
              </w:rPr>
            </w:pPr>
            <w:r w:rsidRPr="004D7D2F">
              <w:rPr>
                <w:sz w:val="20"/>
                <w:szCs w:val="20"/>
              </w:rPr>
              <w:t>NA</w:t>
            </w:r>
          </w:p>
        </w:tc>
      </w:tr>
      <w:tr w:rsidR="002746A7" w:rsidRPr="004D7D2F" w14:paraId="70CFA3A3" w14:textId="77777777" w:rsidTr="00EC2189">
        <w:trPr>
          <w:trHeight w:val="232"/>
        </w:trPr>
        <w:tc>
          <w:tcPr>
            <w:tcW w:w="730" w:type="pct"/>
            <w:tcBorders>
              <w:top w:val="nil"/>
              <w:left w:val="single" w:sz="4" w:space="0" w:color="000000"/>
              <w:bottom w:val="single" w:sz="4" w:space="0" w:color="000000"/>
              <w:right w:val="single" w:sz="4" w:space="0" w:color="000000"/>
            </w:tcBorders>
          </w:tcPr>
          <w:p w14:paraId="05BBF7A3" w14:textId="77777777" w:rsidR="002746A7" w:rsidRPr="004D7D2F" w:rsidRDefault="002746A7">
            <w:pPr>
              <w:pStyle w:val="TableParagraph"/>
              <w:kinsoku w:val="0"/>
              <w:overflowPunct w:val="0"/>
              <w:spacing w:line="240" w:lineRule="auto"/>
              <w:ind w:left="0"/>
              <w:rPr>
                <w:sz w:val="20"/>
                <w:szCs w:val="20"/>
              </w:rPr>
            </w:pPr>
          </w:p>
        </w:tc>
        <w:tc>
          <w:tcPr>
            <w:tcW w:w="2188" w:type="pct"/>
            <w:gridSpan w:val="2"/>
            <w:tcBorders>
              <w:top w:val="nil"/>
              <w:left w:val="single" w:sz="4" w:space="0" w:color="000000"/>
              <w:bottom w:val="single" w:sz="4" w:space="0" w:color="000000"/>
              <w:right w:val="single" w:sz="4" w:space="0" w:color="000000"/>
            </w:tcBorders>
            <w:hideMark/>
          </w:tcPr>
          <w:p w14:paraId="1717D001" w14:textId="77777777" w:rsidR="002746A7" w:rsidRPr="004D7D2F" w:rsidRDefault="002746A7">
            <w:pPr>
              <w:pStyle w:val="TableParagraph"/>
              <w:kinsoku w:val="0"/>
              <w:overflowPunct w:val="0"/>
              <w:spacing w:before="6" w:line="205" w:lineRule="exact"/>
              <w:ind w:left="108"/>
              <w:rPr>
                <w:sz w:val="20"/>
                <w:szCs w:val="20"/>
              </w:rPr>
            </w:pPr>
            <w:r w:rsidRPr="004D7D2F">
              <w:rPr>
                <w:sz w:val="20"/>
                <w:szCs w:val="20"/>
              </w:rPr>
              <w:t>Active</w:t>
            </w:r>
            <w:r w:rsidRPr="004D7D2F">
              <w:rPr>
                <w:spacing w:val="-3"/>
                <w:sz w:val="20"/>
                <w:szCs w:val="20"/>
              </w:rPr>
              <w:t xml:space="preserve"> </w:t>
            </w:r>
            <w:r w:rsidRPr="004D7D2F">
              <w:rPr>
                <w:sz w:val="20"/>
                <w:szCs w:val="20"/>
              </w:rPr>
              <w:t>treatment</w:t>
            </w:r>
            <w:r w:rsidRPr="004D7D2F">
              <w:rPr>
                <w:spacing w:val="-4"/>
                <w:sz w:val="20"/>
                <w:szCs w:val="20"/>
              </w:rPr>
              <w:t xml:space="preserve"> </w:t>
            </w:r>
            <w:r w:rsidRPr="004D7D2F">
              <w:rPr>
                <w:sz w:val="20"/>
                <w:szCs w:val="20"/>
              </w:rPr>
              <w:t>vs</w:t>
            </w:r>
            <w:r w:rsidRPr="004D7D2F">
              <w:rPr>
                <w:spacing w:val="-3"/>
                <w:sz w:val="20"/>
                <w:szCs w:val="20"/>
              </w:rPr>
              <w:t xml:space="preserve"> </w:t>
            </w:r>
            <w:r w:rsidRPr="004D7D2F">
              <w:rPr>
                <w:sz w:val="20"/>
                <w:szCs w:val="20"/>
              </w:rPr>
              <w:t>Placebo</w:t>
            </w:r>
            <w:r w:rsidRPr="004D7D2F">
              <w:rPr>
                <w:spacing w:val="-2"/>
                <w:sz w:val="20"/>
                <w:szCs w:val="20"/>
              </w:rPr>
              <w:t xml:space="preserve"> </w:t>
            </w:r>
            <w:r w:rsidRPr="004D7D2F">
              <w:rPr>
                <w:sz w:val="20"/>
                <w:szCs w:val="20"/>
              </w:rPr>
              <w:t>[e]</w:t>
            </w:r>
          </w:p>
        </w:tc>
        <w:tc>
          <w:tcPr>
            <w:tcW w:w="677" w:type="pct"/>
            <w:tcBorders>
              <w:top w:val="nil"/>
              <w:left w:val="single" w:sz="4" w:space="0" w:color="000000"/>
              <w:bottom w:val="single" w:sz="4" w:space="0" w:color="000000"/>
              <w:right w:val="single" w:sz="4" w:space="0" w:color="000000"/>
            </w:tcBorders>
            <w:hideMark/>
          </w:tcPr>
          <w:p w14:paraId="07937B27" w14:textId="77777777" w:rsidR="002746A7" w:rsidRPr="004D7D2F" w:rsidRDefault="002746A7">
            <w:pPr>
              <w:pStyle w:val="TableParagraph"/>
              <w:kinsoku w:val="0"/>
              <w:overflowPunct w:val="0"/>
              <w:spacing w:before="6" w:line="205" w:lineRule="exact"/>
              <w:ind w:left="422" w:right="412"/>
              <w:jc w:val="center"/>
              <w:rPr>
                <w:sz w:val="20"/>
                <w:szCs w:val="20"/>
              </w:rPr>
            </w:pPr>
            <w:r w:rsidRPr="004D7D2F">
              <w:rPr>
                <w:sz w:val="20"/>
                <w:szCs w:val="20"/>
              </w:rPr>
              <w:t>NA</w:t>
            </w:r>
          </w:p>
        </w:tc>
        <w:tc>
          <w:tcPr>
            <w:tcW w:w="677" w:type="pct"/>
            <w:tcBorders>
              <w:top w:val="nil"/>
              <w:left w:val="single" w:sz="4" w:space="0" w:color="000000"/>
              <w:bottom w:val="single" w:sz="4" w:space="0" w:color="000000"/>
              <w:right w:val="single" w:sz="4" w:space="0" w:color="000000"/>
            </w:tcBorders>
            <w:hideMark/>
          </w:tcPr>
          <w:p w14:paraId="3FE830E7" w14:textId="77777777" w:rsidR="002746A7" w:rsidRPr="004D7D2F" w:rsidRDefault="002746A7">
            <w:pPr>
              <w:pStyle w:val="TableParagraph"/>
              <w:kinsoku w:val="0"/>
              <w:overflowPunct w:val="0"/>
              <w:spacing w:before="6" w:line="205" w:lineRule="exact"/>
              <w:ind w:left="266"/>
              <w:rPr>
                <w:sz w:val="20"/>
                <w:szCs w:val="20"/>
              </w:rPr>
            </w:pPr>
            <w:r w:rsidRPr="004D7D2F">
              <w:rPr>
                <w:sz w:val="20"/>
                <w:szCs w:val="20"/>
              </w:rPr>
              <w:t>&lt;0.0001</w:t>
            </w:r>
          </w:p>
        </w:tc>
        <w:tc>
          <w:tcPr>
            <w:tcW w:w="729" w:type="pct"/>
            <w:tcBorders>
              <w:top w:val="nil"/>
              <w:left w:val="single" w:sz="4" w:space="0" w:color="000000"/>
              <w:bottom w:val="single" w:sz="4" w:space="0" w:color="000000"/>
              <w:right w:val="single" w:sz="4" w:space="0" w:color="000000"/>
            </w:tcBorders>
            <w:hideMark/>
          </w:tcPr>
          <w:p w14:paraId="49A8EE6D" w14:textId="77777777" w:rsidR="002746A7" w:rsidRPr="004D7D2F" w:rsidRDefault="002746A7">
            <w:pPr>
              <w:pStyle w:val="TableParagraph"/>
              <w:kinsoku w:val="0"/>
              <w:overflowPunct w:val="0"/>
              <w:spacing w:before="6" w:line="205" w:lineRule="exact"/>
              <w:ind w:left="365"/>
              <w:rPr>
                <w:sz w:val="20"/>
                <w:szCs w:val="20"/>
              </w:rPr>
            </w:pPr>
            <w:r w:rsidRPr="004D7D2F">
              <w:rPr>
                <w:sz w:val="20"/>
                <w:szCs w:val="20"/>
              </w:rPr>
              <w:t>0.0002</w:t>
            </w:r>
          </w:p>
        </w:tc>
      </w:tr>
    </w:tbl>
    <w:p w14:paraId="68C58E76" w14:textId="77777777" w:rsidR="002746A7" w:rsidRPr="004D7D2F" w:rsidRDefault="002746A7" w:rsidP="004D7D2F">
      <w:pPr>
        <w:pStyle w:val="Listeafsnit"/>
        <w:numPr>
          <w:ilvl w:val="1"/>
          <w:numId w:val="6"/>
        </w:numPr>
        <w:kinsoku w:val="0"/>
        <w:overflowPunct w:val="0"/>
        <w:ind w:left="284" w:right="-1" w:hanging="284"/>
        <w:rPr>
          <w:sz w:val="20"/>
          <w:szCs w:val="20"/>
        </w:rPr>
      </w:pPr>
      <w:r w:rsidRPr="004D7D2F">
        <w:rPr>
          <w:sz w:val="20"/>
          <w:szCs w:val="20"/>
        </w:rPr>
        <w:t>From a mixed effects model for repeated measures (MMRM) that includes treatment group, nominal visit, interaction of the</w:t>
      </w:r>
      <w:r w:rsidRPr="004D7D2F">
        <w:rPr>
          <w:spacing w:val="1"/>
          <w:sz w:val="20"/>
          <w:szCs w:val="20"/>
        </w:rPr>
        <w:t xml:space="preserve"> </w:t>
      </w:r>
      <w:r w:rsidRPr="004D7D2F">
        <w:rPr>
          <w:sz w:val="20"/>
          <w:szCs w:val="20"/>
        </w:rPr>
        <w:t>treatment group with the visit as factors, baseline ADHD-RS-IV total score as a covariate, and an adjustment for the interaction of</w:t>
      </w:r>
      <w:r w:rsidRPr="004D7D2F">
        <w:rPr>
          <w:spacing w:val="1"/>
          <w:sz w:val="20"/>
          <w:szCs w:val="20"/>
        </w:rPr>
        <w:t xml:space="preserve"> </w:t>
      </w:r>
      <w:r w:rsidRPr="004D7D2F">
        <w:rPr>
          <w:sz w:val="20"/>
          <w:szCs w:val="20"/>
        </w:rPr>
        <w:t>the baseline ADHD-RS-IV total score with the visit. The model is based on a REML method of estimation and utilizes an</w:t>
      </w:r>
      <w:r w:rsidRPr="004D7D2F">
        <w:rPr>
          <w:spacing w:val="1"/>
          <w:sz w:val="20"/>
          <w:szCs w:val="20"/>
        </w:rPr>
        <w:t xml:space="preserve"> </w:t>
      </w:r>
      <w:r w:rsidRPr="004D7D2F">
        <w:rPr>
          <w:sz w:val="20"/>
          <w:szCs w:val="20"/>
        </w:rPr>
        <w:t>unstructured</w:t>
      </w:r>
      <w:r w:rsidRPr="004D7D2F">
        <w:rPr>
          <w:spacing w:val="1"/>
          <w:sz w:val="20"/>
          <w:szCs w:val="20"/>
        </w:rPr>
        <w:t xml:space="preserve"> </w:t>
      </w:r>
      <w:r w:rsidRPr="004D7D2F">
        <w:rPr>
          <w:sz w:val="20"/>
          <w:szCs w:val="20"/>
        </w:rPr>
        <w:t>covariance</w:t>
      </w:r>
      <w:r w:rsidRPr="004D7D2F">
        <w:rPr>
          <w:spacing w:val="-1"/>
          <w:sz w:val="20"/>
          <w:szCs w:val="20"/>
        </w:rPr>
        <w:t xml:space="preserve"> </w:t>
      </w:r>
      <w:r w:rsidRPr="004D7D2F">
        <w:rPr>
          <w:sz w:val="20"/>
          <w:szCs w:val="20"/>
        </w:rPr>
        <w:t>type.</w:t>
      </w:r>
    </w:p>
    <w:p w14:paraId="7DF73495" w14:textId="77777777" w:rsidR="002746A7" w:rsidRPr="004D7D2F" w:rsidRDefault="002746A7" w:rsidP="004D7D2F">
      <w:pPr>
        <w:pStyle w:val="Listeafsnit"/>
        <w:numPr>
          <w:ilvl w:val="1"/>
          <w:numId w:val="6"/>
        </w:numPr>
        <w:kinsoku w:val="0"/>
        <w:overflowPunct w:val="0"/>
        <w:ind w:left="284" w:right="-1" w:hanging="284"/>
        <w:rPr>
          <w:sz w:val="20"/>
          <w:szCs w:val="20"/>
        </w:rPr>
      </w:pPr>
      <w:r w:rsidRPr="004D7D2F">
        <w:rPr>
          <w:sz w:val="20"/>
          <w:szCs w:val="20"/>
        </w:rPr>
        <w:t>The effect size is the difference in LS mean divided by the estimated standard deviation from the unstructured covariance</w:t>
      </w:r>
      <w:r w:rsidRPr="004D7D2F">
        <w:rPr>
          <w:spacing w:val="1"/>
          <w:sz w:val="20"/>
          <w:szCs w:val="20"/>
        </w:rPr>
        <w:t xml:space="preserve"> </w:t>
      </w:r>
      <w:r w:rsidRPr="004D7D2F">
        <w:rPr>
          <w:sz w:val="20"/>
          <w:szCs w:val="20"/>
        </w:rPr>
        <w:t>matrix.</w:t>
      </w:r>
    </w:p>
    <w:p w14:paraId="0FA931AA" w14:textId="77777777" w:rsidR="002746A7" w:rsidRPr="004D7D2F" w:rsidRDefault="002746A7" w:rsidP="004D7D2F">
      <w:pPr>
        <w:pStyle w:val="Listeafsnit"/>
        <w:numPr>
          <w:ilvl w:val="1"/>
          <w:numId w:val="6"/>
        </w:numPr>
        <w:kinsoku w:val="0"/>
        <w:overflowPunct w:val="0"/>
        <w:ind w:left="284" w:right="-1" w:hanging="284"/>
        <w:rPr>
          <w:sz w:val="20"/>
          <w:szCs w:val="20"/>
        </w:rPr>
      </w:pPr>
      <w:r w:rsidRPr="004D7D2F">
        <w:rPr>
          <w:sz w:val="20"/>
          <w:szCs w:val="20"/>
        </w:rPr>
        <w:t>The</w:t>
      </w:r>
      <w:r w:rsidRPr="004D7D2F">
        <w:rPr>
          <w:spacing w:val="-3"/>
          <w:sz w:val="20"/>
          <w:szCs w:val="20"/>
        </w:rPr>
        <w:t xml:space="preserve"> </w:t>
      </w:r>
      <w:r w:rsidRPr="004D7D2F">
        <w:rPr>
          <w:sz w:val="20"/>
          <w:szCs w:val="20"/>
        </w:rPr>
        <w:t>'Improved'</w:t>
      </w:r>
      <w:r w:rsidRPr="004D7D2F">
        <w:rPr>
          <w:spacing w:val="-2"/>
          <w:sz w:val="20"/>
          <w:szCs w:val="20"/>
        </w:rPr>
        <w:t xml:space="preserve"> </w:t>
      </w:r>
      <w:r w:rsidRPr="004D7D2F">
        <w:rPr>
          <w:sz w:val="20"/>
          <w:szCs w:val="20"/>
        </w:rPr>
        <w:t>category</w:t>
      </w:r>
      <w:r w:rsidRPr="004D7D2F">
        <w:rPr>
          <w:spacing w:val="-5"/>
          <w:sz w:val="20"/>
          <w:szCs w:val="20"/>
        </w:rPr>
        <w:t xml:space="preserve"> </w:t>
      </w:r>
      <w:r w:rsidRPr="004D7D2F">
        <w:rPr>
          <w:sz w:val="20"/>
          <w:szCs w:val="20"/>
        </w:rPr>
        <w:t>includes</w:t>
      </w:r>
      <w:r w:rsidRPr="004D7D2F">
        <w:rPr>
          <w:spacing w:val="-2"/>
          <w:sz w:val="20"/>
          <w:szCs w:val="20"/>
        </w:rPr>
        <w:t xml:space="preserve"> </w:t>
      </w:r>
      <w:r w:rsidRPr="004D7D2F">
        <w:rPr>
          <w:sz w:val="20"/>
          <w:szCs w:val="20"/>
        </w:rPr>
        <w:t>responses</w:t>
      </w:r>
      <w:r w:rsidRPr="004D7D2F">
        <w:rPr>
          <w:spacing w:val="-2"/>
          <w:sz w:val="20"/>
          <w:szCs w:val="20"/>
        </w:rPr>
        <w:t xml:space="preserve"> </w:t>
      </w:r>
      <w:r w:rsidRPr="004D7D2F">
        <w:rPr>
          <w:sz w:val="20"/>
          <w:szCs w:val="20"/>
        </w:rPr>
        <w:t>of</w:t>
      </w:r>
      <w:r w:rsidRPr="004D7D2F">
        <w:rPr>
          <w:spacing w:val="-2"/>
          <w:sz w:val="20"/>
          <w:szCs w:val="20"/>
        </w:rPr>
        <w:t xml:space="preserve"> </w:t>
      </w:r>
      <w:r w:rsidRPr="004D7D2F">
        <w:rPr>
          <w:sz w:val="20"/>
          <w:szCs w:val="20"/>
        </w:rPr>
        <w:t>'Very</w:t>
      </w:r>
      <w:r w:rsidRPr="004D7D2F">
        <w:rPr>
          <w:spacing w:val="-4"/>
          <w:sz w:val="20"/>
          <w:szCs w:val="20"/>
        </w:rPr>
        <w:t xml:space="preserve"> </w:t>
      </w:r>
      <w:r w:rsidRPr="004D7D2F">
        <w:rPr>
          <w:sz w:val="20"/>
          <w:szCs w:val="20"/>
        </w:rPr>
        <w:t>much improved'</w:t>
      </w:r>
      <w:r w:rsidRPr="004D7D2F">
        <w:rPr>
          <w:spacing w:val="-2"/>
          <w:sz w:val="20"/>
          <w:szCs w:val="20"/>
        </w:rPr>
        <w:t xml:space="preserve"> </w:t>
      </w:r>
      <w:r w:rsidRPr="004D7D2F">
        <w:rPr>
          <w:sz w:val="20"/>
          <w:szCs w:val="20"/>
        </w:rPr>
        <w:t>and 'Much improved'.</w:t>
      </w:r>
    </w:p>
    <w:p w14:paraId="68E31235" w14:textId="77777777" w:rsidR="002746A7" w:rsidRPr="004D7D2F" w:rsidRDefault="002746A7" w:rsidP="004D7D2F">
      <w:pPr>
        <w:pStyle w:val="Listeafsnit"/>
        <w:numPr>
          <w:ilvl w:val="1"/>
          <w:numId w:val="6"/>
        </w:numPr>
        <w:kinsoku w:val="0"/>
        <w:overflowPunct w:val="0"/>
        <w:ind w:left="284" w:right="-1" w:hanging="284"/>
        <w:rPr>
          <w:sz w:val="20"/>
          <w:szCs w:val="20"/>
        </w:rPr>
      </w:pPr>
      <w:r w:rsidRPr="004D7D2F">
        <w:rPr>
          <w:sz w:val="20"/>
          <w:szCs w:val="20"/>
        </w:rPr>
        <w:t>The 'Not improved' category includes responses of 'Minimally improved', 'No change', 'Minimally worse', 'Much worse' and</w:t>
      </w:r>
      <w:r w:rsidRPr="004D7D2F">
        <w:rPr>
          <w:spacing w:val="-37"/>
          <w:sz w:val="20"/>
          <w:szCs w:val="20"/>
        </w:rPr>
        <w:t xml:space="preserve"> </w:t>
      </w:r>
      <w:r w:rsidRPr="004D7D2F">
        <w:rPr>
          <w:sz w:val="20"/>
          <w:szCs w:val="20"/>
        </w:rPr>
        <w:t>'Very</w:t>
      </w:r>
      <w:r w:rsidRPr="004D7D2F">
        <w:rPr>
          <w:spacing w:val="-4"/>
          <w:sz w:val="20"/>
          <w:szCs w:val="20"/>
        </w:rPr>
        <w:t xml:space="preserve"> </w:t>
      </w:r>
      <w:r w:rsidRPr="004D7D2F">
        <w:rPr>
          <w:sz w:val="20"/>
          <w:szCs w:val="20"/>
        </w:rPr>
        <w:t>much</w:t>
      </w:r>
      <w:r w:rsidRPr="004D7D2F">
        <w:rPr>
          <w:spacing w:val="2"/>
          <w:sz w:val="20"/>
          <w:szCs w:val="20"/>
        </w:rPr>
        <w:t xml:space="preserve"> </w:t>
      </w:r>
      <w:r w:rsidRPr="004D7D2F">
        <w:rPr>
          <w:sz w:val="20"/>
          <w:szCs w:val="20"/>
        </w:rPr>
        <w:t>worse'.</w:t>
      </w:r>
    </w:p>
    <w:p w14:paraId="6A3E7815" w14:textId="77777777" w:rsidR="002746A7" w:rsidRPr="004D7D2F" w:rsidRDefault="002746A7" w:rsidP="004D7D2F">
      <w:pPr>
        <w:pStyle w:val="Listeafsnit"/>
        <w:numPr>
          <w:ilvl w:val="1"/>
          <w:numId w:val="6"/>
        </w:numPr>
        <w:kinsoku w:val="0"/>
        <w:overflowPunct w:val="0"/>
        <w:ind w:left="284" w:right="-1" w:hanging="284"/>
        <w:rPr>
          <w:sz w:val="20"/>
          <w:szCs w:val="20"/>
        </w:rPr>
      </w:pPr>
      <w:r w:rsidRPr="004D7D2F">
        <w:rPr>
          <w:sz w:val="20"/>
          <w:szCs w:val="20"/>
        </w:rPr>
        <w:t>From</w:t>
      </w:r>
      <w:r w:rsidRPr="004D7D2F">
        <w:rPr>
          <w:spacing w:val="-1"/>
          <w:sz w:val="20"/>
          <w:szCs w:val="20"/>
        </w:rPr>
        <w:t xml:space="preserve"> </w:t>
      </w:r>
      <w:r w:rsidRPr="004D7D2F">
        <w:rPr>
          <w:sz w:val="20"/>
          <w:szCs w:val="20"/>
        </w:rPr>
        <w:t>a</w:t>
      </w:r>
      <w:r w:rsidRPr="004D7D2F">
        <w:rPr>
          <w:spacing w:val="-1"/>
          <w:sz w:val="20"/>
          <w:szCs w:val="20"/>
        </w:rPr>
        <w:t xml:space="preserve"> </w:t>
      </w:r>
      <w:r w:rsidRPr="004D7D2F">
        <w:rPr>
          <w:sz w:val="20"/>
          <w:szCs w:val="20"/>
        </w:rPr>
        <w:t>CMH</w:t>
      </w:r>
      <w:r w:rsidRPr="004D7D2F">
        <w:rPr>
          <w:spacing w:val="-1"/>
          <w:sz w:val="20"/>
          <w:szCs w:val="20"/>
        </w:rPr>
        <w:t xml:space="preserve"> </w:t>
      </w:r>
      <w:r w:rsidRPr="004D7D2F">
        <w:rPr>
          <w:sz w:val="20"/>
          <w:szCs w:val="20"/>
        </w:rPr>
        <w:t>test</w:t>
      </w:r>
      <w:r w:rsidRPr="004D7D2F">
        <w:rPr>
          <w:spacing w:val="-1"/>
          <w:sz w:val="20"/>
          <w:szCs w:val="20"/>
        </w:rPr>
        <w:t xml:space="preserve"> </w:t>
      </w:r>
      <w:r w:rsidRPr="004D7D2F">
        <w:rPr>
          <w:sz w:val="20"/>
          <w:szCs w:val="20"/>
        </w:rPr>
        <w:t>stratified by</w:t>
      </w:r>
      <w:r w:rsidRPr="004D7D2F">
        <w:rPr>
          <w:spacing w:val="-4"/>
          <w:sz w:val="20"/>
          <w:szCs w:val="20"/>
        </w:rPr>
        <w:t xml:space="preserve"> </w:t>
      </w:r>
      <w:r w:rsidRPr="004D7D2F">
        <w:rPr>
          <w:sz w:val="20"/>
          <w:szCs w:val="20"/>
        </w:rPr>
        <w:t>baseline</w:t>
      </w:r>
      <w:r w:rsidRPr="004D7D2F">
        <w:rPr>
          <w:spacing w:val="-3"/>
          <w:sz w:val="20"/>
          <w:szCs w:val="20"/>
        </w:rPr>
        <w:t xml:space="preserve"> </w:t>
      </w:r>
      <w:r w:rsidRPr="004D7D2F">
        <w:rPr>
          <w:sz w:val="20"/>
          <w:szCs w:val="20"/>
        </w:rPr>
        <w:t>CGI-S.</w:t>
      </w:r>
    </w:p>
    <w:p w14:paraId="7991AEFE" w14:textId="77777777" w:rsidR="002746A7" w:rsidRPr="004D7D2F" w:rsidRDefault="002746A7" w:rsidP="004D7D2F">
      <w:pPr>
        <w:pStyle w:val="Brdtekst"/>
        <w:kinsoku w:val="0"/>
        <w:overflowPunct w:val="0"/>
        <w:ind w:left="284" w:right="-1" w:hanging="284"/>
        <w:rPr>
          <w:sz w:val="20"/>
          <w:szCs w:val="20"/>
        </w:rPr>
      </w:pPr>
      <w:r w:rsidRPr="004D7D2F">
        <w:rPr>
          <w:sz w:val="20"/>
          <w:szCs w:val="20"/>
        </w:rPr>
        <w:t>Note:</w:t>
      </w:r>
      <w:r w:rsidRPr="004D7D2F">
        <w:rPr>
          <w:spacing w:val="-2"/>
          <w:sz w:val="20"/>
          <w:szCs w:val="20"/>
        </w:rPr>
        <w:t xml:space="preserve"> </w:t>
      </w:r>
      <w:r w:rsidRPr="004D7D2F">
        <w:rPr>
          <w:sz w:val="20"/>
          <w:szCs w:val="20"/>
        </w:rPr>
        <w:t>N</w:t>
      </w:r>
      <w:r w:rsidRPr="004D7D2F">
        <w:rPr>
          <w:spacing w:val="-1"/>
          <w:sz w:val="20"/>
          <w:szCs w:val="20"/>
        </w:rPr>
        <w:t xml:space="preserve"> </w:t>
      </w:r>
      <w:r w:rsidRPr="004D7D2F">
        <w:rPr>
          <w:sz w:val="20"/>
          <w:szCs w:val="20"/>
        </w:rPr>
        <w:t>=</w:t>
      </w:r>
      <w:r w:rsidRPr="004D7D2F">
        <w:rPr>
          <w:spacing w:val="1"/>
          <w:sz w:val="20"/>
          <w:szCs w:val="20"/>
        </w:rPr>
        <w:t xml:space="preserve"> </w:t>
      </w:r>
      <w:r w:rsidRPr="004D7D2F">
        <w:rPr>
          <w:sz w:val="20"/>
          <w:szCs w:val="20"/>
        </w:rPr>
        <w:t>number</w:t>
      </w:r>
      <w:r w:rsidRPr="004D7D2F">
        <w:rPr>
          <w:spacing w:val="-1"/>
          <w:sz w:val="20"/>
          <w:szCs w:val="20"/>
        </w:rPr>
        <w:t xml:space="preserve"> </w:t>
      </w:r>
      <w:r w:rsidRPr="004D7D2F">
        <w:rPr>
          <w:sz w:val="20"/>
          <w:szCs w:val="20"/>
        </w:rPr>
        <w:t>of subjects</w:t>
      </w:r>
      <w:r w:rsidRPr="004D7D2F">
        <w:rPr>
          <w:spacing w:val="-1"/>
          <w:sz w:val="20"/>
          <w:szCs w:val="20"/>
        </w:rPr>
        <w:t xml:space="preserve"> </w:t>
      </w:r>
      <w:r w:rsidRPr="004D7D2F">
        <w:rPr>
          <w:sz w:val="20"/>
          <w:szCs w:val="20"/>
        </w:rPr>
        <w:t>in</w:t>
      </w:r>
      <w:r w:rsidRPr="004D7D2F">
        <w:rPr>
          <w:spacing w:val="2"/>
          <w:sz w:val="20"/>
          <w:szCs w:val="20"/>
        </w:rPr>
        <w:t xml:space="preserve"> </w:t>
      </w:r>
      <w:r w:rsidRPr="004D7D2F">
        <w:rPr>
          <w:sz w:val="20"/>
          <w:szCs w:val="20"/>
        </w:rPr>
        <w:t>each</w:t>
      </w:r>
      <w:r w:rsidRPr="004D7D2F">
        <w:rPr>
          <w:spacing w:val="1"/>
          <w:sz w:val="20"/>
          <w:szCs w:val="20"/>
        </w:rPr>
        <w:t xml:space="preserve"> </w:t>
      </w:r>
      <w:r w:rsidRPr="004D7D2F">
        <w:rPr>
          <w:sz w:val="20"/>
          <w:szCs w:val="20"/>
        </w:rPr>
        <w:t>treatment group,</w:t>
      </w:r>
      <w:r w:rsidRPr="004D7D2F">
        <w:rPr>
          <w:spacing w:val="1"/>
          <w:sz w:val="20"/>
          <w:szCs w:val="20"/>
        </w:rPr>
        <w:t xml:space="preserve"> </w:t>
      </w:r>
      <w:r w:rsidRPr="004D7D2F">
        <w:rPr>
          <w:sz w:val="20"/>
          <w:szCs w:val="20"/>
        </w:rPr>
        <w:t>n</w:t>
      </w:r>
      <w:r w:rsidRPr="004D7D2F">
        <w:rPr>
          <w:spacing w:val="1"/>
          <w:sz w:val="20"/>
          <w:szCs w:val="20"/>
        </w:rPr>
        <w:t xml:space="preserve"> </w:t>
      </w:r>
      <w:r w:rsidRPr="004D7D2F">
        <w:rPr>
          <w:sz w:val="20"/>
          <w:szCs w:val="20"/>
        </w:rPr>
        <w:t>=</w:t>
      </w:r>
      <w:r w:rsidRPr="004D7D2F">
        <w:rPr>
          <w:spacing w:val="1"/>
          <w:sz w:val="20"/>
          <w:szCs w:val="20"/>
        </w:rPr>
        <w:t xml:space="preserve"> </w:t>
      </w:r>
      <w:r w:rsidRPr="004D7D2F">
        <w:rPr>
          <w:sz w:val="20"/>
          <w:szCs w:val="20"/>
        </w:rPr>
        <w:t>number</w:t>
      </w:r>
      <w:r w:rsidRPr="004D7D2F">
        <w:rPr>
          <w:spacing w:val="-1"/>
          <w:sz w:val="20"/>
          <w:szCs w:val="20"/>
        </w:rPr>
        <w:t xml:space="preserve"> </w:t>
      </w:r>
      <w:r w:rsidRPr="004D7D2F">
        <w:rPr>
          <w:sz w:val="20"/>
          <w:szCs w:val="20"/>
        </w:rPr>
        <w:t>of subjects</w:t>
      </w:r>
      <w:r w:rsidRPr="004D7D2F">
        <w:rPr>
          <w:spacing w:val="-1"/>
          <w:sz w:val="20"/>
          <w:szCs w:val="20"/>
        </w:rPr>
        <w:t xml:space="preserve"> </w:t>
      </w:r>
      <w:proofErr w:type="spellStart"/>
      <w:r w:rsidRPr="004D7D2F">
        <w:rPr>
          <w:sz w:val="20"/>
          <w:szCs w:val="20"/>
        </w:rPr>
        <w:t>analysed</w:t>
      </w:r>
      <w:proofErr w:type="spellEnd"/>
      <w:r w:rsidRPr="004D7D2F">
        <w:rPr>
          <w:sz w:val="20"/>
          <w:szCs w:val="20"/>
        </w:rPr>
        <w:t>.</w:t>
      </w:r>
    </w:p>
    <w:p w14:paraId="64F33FA8" w14:textId="77777777" w:rsidR="002746A7" w:rsidRPr="004D7D2F" w:rsidRDefault="002746A7" w:rsidP="002746A7">
      <w:pPr>
        <w:rPr>
          <w:sz w:val="24"/>
          <w:szCs w:val="24"/>
          <w:lang w:val="en-GB"/>
        </w:rPr>
      </w:pPr>
    </w:p>
    <w:p w14:paraId="62DDF3C2" w14:textId="77777777" w:rsidR="002746A7" w:rsidRPr="002177D4" w:rsidRDefault="002746A7" w:rsidP="00EC2189">
      <w:pPr>
        <w:ind w:left="851"/>
        <w:rPr>
          <w:sz w:val="24"/>
          <w:szCs w:val="24"/>
          <w:lang w:val="en-GB"/>
        </w:rPr>
      </w:pPr>
      <w:r w:rsidRPr="002177D4">
        <w:rPr>
          <w:sz w:val="24"/>
          <w:szCs w:val="24"/>
          <w:lang w:val="en-GB"/>
        </w:rPr>
        <w:t>A 2-year open label safety study conducted in children and adolescents (ages 6-17) with ADHD enrolled 314 patients. Of these, 191 patients completed the study.</w:t>
      </w:r>
    </w:p>
    <w:p w14:paraId="77DD509C" w14:textId="77777777" w:rsidR="002746A7" w:rsidRPr="002177D4" w:rsidRDefault="002746A7" w:rsidP="00EC2189">
      <w:pPr>
        <w:ind w:left="851"/>
        <w:rPr>
          <w:sz w:val="24"/>
          <w:szCs w:val="24"/>
          <w:lang w:val="en-GB"/>
        </w:rPr>
      </w:pPr>
    </w:p>
    <w:p w14:paraId="006A6989" w14:textId="77777777" w:rsidR="002746A7" w:rsidRPr="002177D4" w:rsidRDefault="002746A7" w:rsidP="00EC2189">
      <w:pPr>
        <w:ind w:left="851"/>
        <w:rPr>
          <w:sz w:val="24"/>
          <w:szCs w:val="24"/>
          <w:lang w:val="en-GB"/>
        </w:rPr>
      </w:pPr>
      <w:r w:rsidRPr="002177D4">
        <w:rPr>
          <w:sz w:val="24"/>
          <w:szCs w:val="24"/>
          <w:lang w:val="en-GB"/>
        </w:rPr>
        <w:t xml:space="preserve">Maintenance of effect was demonstrated in a double-blind, placebo-controlled, randomised withdrawal study conducted in children and adolescents ages 6 to 17 (n=157) who met the diagnosis of ADHD (DSM-IV criteria). Patients were optimised to open-label </w:t>
      </w:r>
      <w:proofErr w:type="spellStart"/>
      <w:r w:rsidRPr="002177D4">
        <w:rPr>
          <w:sz w:val="24"/>
          <w:szCs w:val="24"/>
          <w:lang w:val="en-GB"/>
        </w:rPr>
        <w:t>lisdexamfetamine</w:t>
      </w:r>
      <w:proofErr w:type="spellEnd"/>
      <w:r w:rsidRPr="002177D4">
        <w:rPr>
          <w:sz w:val="24"/>
          <w:szCs w:val="24"/>
          <w:lang w:val="en-GB"/>
        </w:rPr>
        <w:t xml:space="preserve"> for an extended period (at least 26 weeks) prior to entry into the 6-week randomised withdrawal period. Eligible patients were randomised to continue receiving their optimised dose of </w:t>
      </w:r>
      <w:proofErr w:type="spellStart"/>
      <w:r w:rsidRPr="002177D4">
        <w:rPr>
          <w:sz w:val="24"/>
          <w:szCs w:val="24"/>
          <w:lang w:val="en-GB"/>
        </w:rPr>
        <w:t>lisdexamfetamine</w:t>
      </w:r>
      <w:proofErr w:type="spellEnd"/>
      <w:r w:rsidRPr="002177D4">
        <w:rPr>
          <w:sz w:val="24"/>
          <w:szCs w:val="24"/>
          <w:lang w:val="en-GB"/>
        </w:rPr>
        <w:t xml:space="preserve"> or to switch to placebo. Patients were observed for relapse (treatment failure) during the 6-week double-blind phase. Treatment failure was defined as a ≥ 50% increase (worsening) in the ADHD-RS Total Score and a ≥ 2-point increase in the CGI-S score compared to scores at entry into the double-blind randomised withdrawal phase. Treatment failure was significantly lower for the </w:t>
      </w:r>
      <w:proofErr w:type="spellStart"/>
      <w:r w:rsidRPr="002177D4">
        <w:rPr>
          <w:sz w:val="24"/>
          <w:szCs w:val="24"/>
          <w:lang w:val="en-GB"/>
        </w:rPr>
        <w:t>lisdexamfetamine</w:t>
      </w:r>
      <w:proofErr w:type="spellEnd"/>
      <w:r w:rsidRPr="002177D4">
        <w:rPr>
          <w:sz w:val="24"/>
          <w:szCs w:val="24"/>
          <w:lang w:val="en-GB"/>
        </w:rPr>
        <w:t xml:space="preserve"> subjects (15.8%) compared to placebo (67.5%) (p&lt;0.001). For the majority of subjects (70.3%) who were treatment failures regardless of treatment, ADHD symptoms worsened at or before the week 2 visit following randomisation.</w:t>
      </w:r>
    </w:p>
    <w:p w14:paraId="0D5F5FCD" w14:textId="77777777" w:rsidR="002746A7" w:rsidRPr="002177D4" w:rsidRDefault="002746A7" w:rsidP="00EC2189">
      <w:pPr>
        <w:ind w:left="851"/>
        <w:rPr>
          <w:sz w:val="24"/>
          <w:szCs w:val="24"/>
          <w:lang w:val="en-GB"/>
        </w:rPr>
      </w:pPr>
    </w:p>
    <w:p w14:paraId="1EEAE357" w14:textId="77777777" w:rsidR="002746A7" w:rsidRPr="002177D4" w:rsidRDefault="002746A7" w:rsidP="00EC2189">
      <w:pPr>
        <w:ind w:left="851"/>
        <w:rPr>
          <w:sz w:val="24"/>
          <w:szCs w:val="24"/>
          <w:lang w:val="en-GB"/>
        </w:rPr>
      </w:pPr>
      <w:r w:rsidRPr="002177D4">
        <w:rPr>
          <w:sz w:val="24"/>
          <w:szCs w:val="24"/>
          <w:lang w:val="en-US"/>
        </w:rPr>
        <w:t xml:space="preserve">A fixed-dose safety and efficacy study was conducted in preschool children aged 4 to 5 years with ADHD. Subjects were randomized in a </w:t>
      </w:r>
      <w:proofErr w:type="gramStart"/>
      <w:r w:rsidRPr="002177D4">
        <w:rPr>
          <w:sz w:val="24"/>
          <w:szCs w:val="24"/>
          <w:lang w:val="en-US"/>
        </w:rPr>
        <w:t>5:5:5:5:6</w:t>
      </w:r>
      <w:proofErr w:type="gramEnd"/>
      <w:r w:rsidRPr="002177D4">
        <w:rPr>
          <w:sz w:val="24"/>
          <w:szCs w:val="24"/>
          <w:lang w:val="en-US"/>
        </w:rPr>
        <w:t xml:space="preserve"> ratio to </w:t>
      </w:r>
      <w:proofErr w:type="spellStart"/>
      <w:r w:rsidRPr="002177D4">
        <w:rPr>
          <w:sz w:val="24"/>
          <w:szCs w:val="24"/>
          <w:lang w:val="en-US"/>
        </w:rPr>
        <w:t>lisdexamfetamine</w:t>
      </w:r>
      <w:proofErr w:type="spellEnd"/>
      <w:r w:rsidRPr="002177D4">
        <w:rPr>
          <w:sz w:val="24"/>
          <w:szCs w:val="24"/>
          <w:lang w:val="en-US"/>
        </w:rPr>
        <w:t xml:space="preserve"> </w:t>
      </w:r>
      <w:proofErr w:type="spellStart"/>
      <w:r w:rsidRPr="002177D4">
        <w:rPr>
          <w:sz w:val="24"/>
          <w:szCs w:val="24"/>
          <w:lang w:val="en-US"/>
        </w:rPr>
        <w:t>dimesylate</w:t>
      </w:r>
      <w:proofErr w:type="spellEnd"/>
      <w:r w:rsidRPr="002177D4">
        <w:rPr>
          <w:sz w:val="24"/>
          <w:szCs w:val="24"/>
          <w:lang w:val="en-US"/>
        </w:rPr>
        <w:t xml:space="preserve"> (5, 10, 20, 30 mg dose strength) or placebo (see also section 5.2). The duration of the double-blind evaluation period was 6 weeks. In this study, the most commonly reported TEAEs for subjects receiving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US"/>
        </w:rPr>
        <w:t>dimesylate</w:t>
      </w:r>
      <w:proofErr w:type="spellEnd"/>
      <w:r w:rsidRPr="002177D4">
        <w:rPr>
          <w:sz w:val="24"/>
          <w:szCs w:val="24"/>
          <w:lang w:val="en-US"/>
        </w:rPr>
        <w:t xml:space="preserve"> were decreased appetite (13.7% of subjects), irritability (9.6% of subjects), and affect lability and cough (4.8% subjects each). In a 52-week open-label study, the most common TEAE was decreased appetite (15.9%) (see section 4.8).</w:t>
      </w:r>
    </w:p>
    <w:p w14:paraId="3420317F" w14:textId="77777777" w:rsidR="002746A7" w:rsidRPr="002177D4" w:rsidRDefault="002746A7" w:rsidP="00EC2189">
      <w:pPr>
        <w:ind w:left="851"/>
        <w:rPr>
          <w:sz w:val="24"/>
          <w:szCs w:val="24"/>
          <w:lang w:val="en-GB"/>
        </w:rPr>
      </w:pPr>
    </w:p>
    <w:p w14:paraId="5217AFC3" w14:textId="77777777" w:rsidR="002746A7" w:rsidRPr="002177D4" w:rsidRDefault="002746A7" w:rsidP="00EC2189">
      <w:pPr>
        <w:ind w:left="851"/>
        <w:rPr>
          <w:i/>
          <w:sz w:val="24"/>
          <w:szCs w:val="24"/>
          <w:lang w:val="en-GB"/>
        </w:rPr>
      </w:pPr>
      <w:r w:rsidRPr="002177D4">
        <w:rPr>
          <w:i/>
          <w:sz w:val="24"/>
          <w:szCs w:val="24"/>
          <w:lang w:val="en-GB"/>
        </w:rPr>
        <w:t>Abuse liability studies</w:t>
      </w:r>
    </w:p>
    <w:p w14:paraId="71BEAD22" w14:textId="77777777" w:rsidR="002746A7" w:rsidRPr="002177D4" w:rsidRDefault="002746A7" w:rsidP="00EC2189">
      <w:pPr>
        <w:ind w:left="851"/>
        <w:rPr>
          <w:sz w:val="24"/>
          <w:szCs w:val="24"/>
          <w:lang w:val="en-GB"/>
        </w:rPr>
      </w:pPr>
    </w:p>
    <w:p w14:paraId="3B04D90E" w14:textId="77777777" w:rsidR="002746A7" w:rsidRPr="002177D4" w:rsidRDefault="002746A7" w:rsidP="00EC2189">
      <w:pPr>
        <w:ind w:left="851"/>
        <w:rPr>
          <w:sz w:val="24"/>
          <w:szCs w:val="24"/>
          <w:lang w:val="en-GB"/>
        </w:rPr>
      </w:pPr>
      <w:r w:rsidRPr="002177D4">
        <w:rPr>
          <w:sz w:val="24"/>
          <w:szCs w:val="24"/>
          <w:lang w:val="en-GB"/>
        </w:rPr>
        <w:t xml:space="preserve">In a human abuse liability study, when equivalent oral doses of 100 mg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and 40 mg immediate-release </w:t>
      </w:r>
      <w:proofErr w:type="spellStart"/>
      <w:r w:rsidRPr="002177D4">
        <w:rPr>
          <w:sz w:val="24"/>
          <w:szCs w:val="24"/>
          <w:lang w:val="en-GB"/>
        </w:rPr>
        <w:t>dexamfetamine</w:t>
      </w:r>
      <w:proofErr w:type="spellEnd"/>
      <w:r w:rsidRPr="002177D4">
        <w:rPr>
          <w:sz w:val="24"/>
          <w:szCs w:val="24"/>
          <w:lang w:val="en-GB"/>
        </w:rPr>
        <w:t xml:space="preserve"> sulphate were administered to individuals with a history of drug abuse,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100 mg produced subjective responses on a scale of “Drug Liking Effects” (primary endpoint) that were significantly less than </w:t>
      </w:r>
      <w:proofErr w:type="spellStart"/>
      <w:r w:rsidRPr="002177D4">
        <w:rPr>
          <w:sz w:val="24"/>
          <w:szCs w:val="24"/>
          <w:lang w:val="en-GB"/>
        </w:rPr>
        <w:t>dexamfetamine</w:t>
      </w:r>
      <w:proofErr w:type="spellEnd"/>
      <w:r w:rsidRPr="002177D4">
        <w:rPr>
          <w:sz w:val="24"/>
          <w:szCs w:val="24"/>
          <w:lang w:val="en-GB"/>
        </w:rPr>
        <w:t xml:space="preserve"> immediate-release 40 mg. However, oral administration of 150 mg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produced increases in positive subjective responses on this scale that were comparable to the positive subjective responses produced by 40 mg of oral immediate-release </w:t>
      </w:r>
      <w:proofErr w:type="spellStart"/>
      <w:r w:rsidRPr="002177D4">
        <w:rPr>
          <w:sz w:val="24"/>
          <w:szCs w:val="24"/>
          <w:lang w:val="en-GB"/>
        </w:rPr>
        <w:t>dexamfetamine</w:t>
      </w:r>
      <w:proofErr w:type="spellEnd"/>
      <w:r w:rsidRPr="002177D4">
        <w:rPr>
          <w:sz w:val="24"/>
          <w:szCs w:val="24"/>
          <w:lang w:val="en-GB"/>
        </w:rPr>
        <w:t xml:space="preserve"> and 200 mg of diethylpropion.</w:t>
      </w:r>
    </w:p>
    <w:p w14:paraId="4407B08C" w14:textId="77777777" w:rsidR="002746A7" w:rsidRPr="002177D4" w:rsidRDefault="002746A7" w:rsidP="00EC2189">
      <w:pPr>
        <w:ind w:left="851"/>
        <w:rPr>
          <w:sz w:val="24"/>
          <w:szCs w:val="24"/>
          <w:lang w:val="en-GB"/>
        </w:rPr>
      </w:pPr>
    </w:p>
    <w:p w14:paraId="760CC91E" w14:textId="77777777" w:rsidR="002746A7" w:rsidRPr="002177D4" w:rsidRDefault="002746A7" w:rsidP="00EC2189">
      <w:pPr>
        <w:ind w:left="851"/>
        <w:rPr>
          <w:sz w:val="24"/>
          <w:szCs w:val="24"/>
          <w:lang w:val="en-GB"/>
        </w:rPr>
      </w:pPr>
      <w:r w:rsidRPr="002177D4">
        <w:rPr>
          <w:sz w:val="24"/>
          <w:szCs w:val="24"/>
          <w:lang w:val="en-GB"/>
        </w:rPr>
        <w:t xml:space="preserve">Intravenous administration of 50 mg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to individuals with a history of drug abuse produced positive subjective responses on scales measuring “Drug Liking”, “Euphoria”, “</w:t>
      </w:r>
      <w:proofErr w:type="spellStart"/>
      <w:r w:rsidRPr="002177D4">
        <w:rPr>
          <w:sz w:val="24"/>
          <w:szCs w:val="24"/>
          <w:lang w:val="en-GB"/>
        </w:rPr>
        <w:t>Amfetamine</w:t>
      </w:r>
      <w:proofErr w:type="spellEnd"/>
      <w:r w:rsidRPr="002177D4">
        <w:rPr>
          <w:sz w:val="24"/>
          <w:szCs w:val="24"/>
          <w:lang w:val="en-GB"/>
        </w:rPr>
        <w:t xml:space="preserve"> Effects”, and "Benzedrine Effects" that were greater than placebo but less than those produced by an equivalent dose (20 mg) of intravenous </w:t>
      </w:r>
      <w:proofErr w:type="spellStart"/>
      <w:r w:rsidRPr="002177D4">
        <w:rPr>
          <w:sz w:val="24"/>
          <w:szCs w:val="24"/>
          <w:lang w:val="en-GB"/>
        </w:rPr>
        <w:t>dexamfetamine</w:t>
      </w:r>
      <w:proofErr w:type="spellEnd"/>
      <w:r w:rsidRPr="002177D4">
        <w:rPr>
          <w:sz w:val="24"/>
          <w:szCs w:val="24"/>
          <w:lang w:val="en-GB"/>
        </w:rPr>
        <w:t>.</w:t>
      </w:r>
    </w:p>
    <w:p w14:paraId="34E16B0C" w14:textId="77777777" w:rsidR="007C5D2A" w:rsidRPr="002177D4" w:rsidRDefault="007C5D2A" w:rsidP="003E0341">
      <w:pPr>
        <w:tabs>
          <w:tab w:val="left" w:pos="851"/>
        </w:tabs>
        <w:ind w:left="851"/>
        <w:rPr>
          <w:sz w:val="24"/>
          <w:szCs w:val="24"/>
          <w:lang w:val="en-GB"/>
        </w:rPr>
      </w:pPr>
    </w:p>
    <w:p w14:paraId="46D4899E" w14:textId="0572E1D7" w:rsidR="007C5D2A" w:rsidRPr="002177D4" w:rsidRDefault="007C5D2A" w:rsidP="007C5D2A">
      <w:pPr>
        <w:tabs>
          <w:tab w:val="left" w:pos="851"/>
        </w:tabs>
        <w:ind w:left="851" w:hanging="851"/>
        <w:rPr>
          <w:b/>
          <w:sz w:val="24"/>
          <w:szCs w:val="24"/>
          <w:lang w:val="en-GB"/>
        </w:rPr>
      </w:pPr>
      <w:r w:rsidRPr="002177D4">
        <w:rPr>
          <w:b/>
          <w:sz w:val="24"/>
          <w:szCs w:val="24"/>
          <w:lang w:val="en-GB"/>
        </w:rPr>
        <w:t>5.2</w:t>
      </w:r>
      <w:r w:rsidRPr="002177D4">
        <w:rPr>
          <w:b/>
          <w:sz w:val="24"/>
          <w:szCs w:val="24"/>
          <w:lang w:val="en-GB"/>
        </w:rPr>
        <w:tab/>
        <w:t>Pharmacokinetic properties</w:t>
      </w:r>
    </w:p>
    <w:p w14:paraId="1A6CDBE6" w14:textId="77777777" w:rsidR="004D7D2F" w:rsidRDefault="004D7D2F" w:rsidP="00EC2189">
      <w:pPr>
        <w:ind w:left="851"/>
        <w:rPr>
          <w:sz w:val="24"/>
          <w:szCs w:val="24"/>
          <w:lang w:val="en-GB"/>
        </w:rPr>
      </w:pPr>
    </w:p>
    <w:p w14:paraId="14311DA7" w14:textId="234EA06B" w:rsidR="002746A7" w:rsidRPr="004D7D2F" w:rsidRDefault="002746A7" w:rsidP="00EC2189">
      <w:pPr>
        <w:ind w:left="851"/>
        <w:rPr>
          <w:sz w:val="24"/>
          <w:szCs w:val="24"/>
          <w:u w:val="single"/>
          <w:lang w:val="en-GB"/>
        </w:rPr>
      </w:pPr>
      <w:r w:rsidRPr="004D7D2F">
        <w:rPr>
          <w:sz w:val="24"/>
          <w:szCs w:val="24"/>
          <w:u w:val="single"/>
          <w:lang w:val="en-GB"/>
        </w:rPr>
        <w:t>Absorption</w:t>
      </w:r>
    </w:p>
    <w:p w14:paraId="3B4B50EE" w14:textId="77777777" w:rsidR="002746A7" w:rsidRPr="002177D4" w:rsidRDefault="002746A7" w:rsidP="00EC2189">
      <w:pPr>
        <w:ind w:left="851"/>
        <w:rPr>
          <w:sz w:val="24"/>
          <w:szCs w:val="24"/>
          <w:lang w:val="en-GB"/>
        </w:rPr>
      </w:pPr>
    </w:p>
    <w:p w14:paraId="536C9C51" w14:textId="77777777" w:rsidR="002746A7" w:rsidRPr="002177D4" w:rsidRDefault="002746A7" w:rsidP="00EC2189">
      <w:pPr>
        <w:ind w:left="851"/>
        <w:rPr>
          <w:sz w:val="24"/>
          <w:szCs w:val="24"/>
          <w:lang w:val="en-GB"/>
        </w:rPr>
      </w:pPr>
      <w:r w:rsidRPr="002177D4">
        <w:rPr>
          <w:sz w:val="24"/>
          <w:szCs w:val="24"/>
          <w:lang w:val="en-GB"/>
        </w:rPr>
        <w:t xml:space="preserve">After oral administration, </w:t>
      </w:r>
      <w:proofErr w:type="spellStart"/>
      <w:r w:rsidRPr="002177D4">
        <w:rPr>
          <w:sz w:val="24"/>
          <w:szCs w:val="24"/>
          <w:lang w:val="en-GB"/>
        </w:rPr>
        <w:t>lisdexamfetamine</w:t>
      </w:r>
      <w:proofErr w:type="spellEnd"/>
      <w:r w:rsidRPr="002177D4">
        <w:rPr>
          <w:sz w:val="24"/>
          <w:szCs w:val="24"/>
          <w:lang w:val="en-GB"/>
        </w:rPr>
        <w:t xml:space="preserve"> is rapidly absorbed from the gastrointestinal tract of healthy adults and children (6 to 12 years) with ADHD, thought to be mediated by the high capacity PEPT1 transporter.</w:t>
      </w:r>
    </w:p>
    <w:p w14:paraId="08B5B1CF" w14:textId="77777777" w:rsidR="002746A7" w:rsidRPr="002177D4" w:rsidRDefault="002746A7" w:rsidP="00EC2189">
      <w:pPr>
        <w:ind w:left="851"/>
        <w:rPr>
          <w:sz w:val="24"/>
          <w:szCs w:val="24"/>
          <w:lang w:val="en-GB"/>
        </w:rPr>
      </w:pPr>
    </w:p>
    <w:p w14:paraId="3D7318A2" w14:textId="77777777" w:rsidR="002746A7" w:rsidRPr="002177D4" w:rsidRDefault="002746A7" w:rsidP="00EC2189">
      <w:pPr>
        <w:ind w:left="851"/>
        <w:rPr>
          <w:sz w:val="24"/>
          <w:szCs w:val="24"/>
          <w:lang w:val="en-GB"/>
        </w:rPr>
      </w:pPr>
      <w:r w:rsidRPr="002177D4">
        <w:rPr>
          <w:sz w:val="24"/>
          <w:szCs w:val="24"/>
          <w:lang w:val="en-GB"/>
        </w:rPr>
        <w:t xml:space="preserve">Food does not affect the observed AUC and </w:t>
      </w:r>
      <w:proofErr w:type="spellStart"/>
      <w:r w:rsidRPr="002177D4">
        <w:rPr>
          <w:sz w:val="24"/>
          <w:szCs w:val="24"/>
          <w:lang w:val="en-GB"/>
        </w:rPr>
        <w:t>C</w:t>
      </w:r>
      <w:r w:rsidRPr="002177D4">
        <w:rPr>
          <w:sz w:val="24"/>
          <w:szCs w:val="24"/>
          <w:vertAlign w:val="subscript"/>
          <w:lang w:val="en-GB"/>
        </w:rPr>
        <w:t>max</w:t>
      </w:r>
      <w:proofErr w:type="spellEnd"/>
      <w:r w:rsidRPr="002177D4">
        <w:rPr>
          <w:sz w:val="24"/>
          <w:szCs w:val="24"/>
          <w:lang w:val="en-GB"/>
        </w:rPr>
        <w:t xml:space="preserve"> of </w:t>
      </w:r>
      <w:proofErr w:type="spellStart"/>
      <w:r w:rsidRPr="002177D4">
        <w:rPr>
          <w:sz w:val="24"/>
          <w:szCs w:val="24"/>
          <w:lang w:val="en-GB"/>
        </w:rPr>
        <w:t>dexamfetamine</w:t>
      </w:r>
      <w:proofErr w:type="spellEnd"/>
      <w:r w:rsidRPr="002177D4">
        <w:rPr>
          <w:sz w:val="24"/>
          <w:szCs w:val="24"/>
          <w:lang w:val="en-GB"/>
        </w:rPr>
        <w:t xml:space="preserve"> in healthy adults after single-dose oral administration of 70 mg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but prolongs </w:t>
      </w:r>
      <w:proofErr w:type="spellStart"/>
      <w:r w:rsidRPr="002177D4">
        <w:rPr>
          <w:sz w:val="24"/>
          <w:szCs w:val="24"/>
          <w:lang w:val="en-GB"/>
        </w:rPr>
        <w:t>T</w:t>
      </w:r>
      <w:r w:rsidRPr="002177D4">
        <w:rPr>
          <w:sz w:val="24"/>
          <w:szCs w:val="24"/>
          <w:vertAlign w:val="subscript"/>
          <w:lang w:val="en-GB"/>
        </w:rPr>
        <w:t>max</w:t>
      </w:r>
      <w:proofErr w:type="spellEnd"/>
      <w:r w:rsidRPr="002177D4">
        <w:rPr>
          <w:sz w:val="24"/>
          <w:szCs w:val="24"/>
          <w:lang w:val="en-GB"/>
        </w:rPr>
        <w:t xml:space="preserve"> by approximately 1 hour (from 3.8 hours at fasted state to 4.7 hours after a high fat meal). After an 8-hour fast, the AUCs for </w:t>
      </w:r>
      <w:proofErr w:type="spellStart"/>
      <w:r w:rsidRPr="002177D4">
        <w:rPr>
          <w:sz w:val="24"/>
          <w:szCs w:val="24"/>
          <w:lang w:val="en-GB"/>
        </w:rPr>
        <w:t>dexamfetamine</w:t>
      </w:r>
      <w:proofErr w:type="spellEnd"/>
      <w:r w:rsidRPr="002177D4">
        <w:rPr>
          <w:sz w:val="24"/>
          <w:szCs w:val="24"/>
          <w:lang w:val="en-GB"/>
        </w:rPr>
        <w:t xml:space="preserve"> following oral administration of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in solution and as intact capsules were equivalent.</w:t>
      </w:r>
    </w:p>
    <w:p w14:paraId="0384CECE" w14:textId="77777777" w:rsidR="002746A7" w:rsidRPr="002177D4" w:rsidRDefault="002746A7" w:rsidP="00EC2189">
      <w:pPr>
        <w:ind w:left="851"/>
        <w:rPr>
          <w:sz w:val="24"/>
          <w:szCs w:val="24"/>
          <w:lang w:val="en-GB"/>
        </w:rPr>
      </w:pPr>
    </w:p>
    <w:p w14:paraId="18FE610C" w14:textId="77777777" w:rsidR="002746A7" w:rsidRPr="004D7D2F" w:rsidRDefault="002746A7" w:rsidP="00EC2189">
      <w:pPr>
        <w:ind w:left="851"/>
        <w:rPr>
          <w:sz w:val="24"/>
          <w:szCs w:val="24"/>
          <w:u w:val="single"/>
          <w:lang w:val="en-GB"/>
        </w:rPr>
      </w:pPr>
      <w:r w:rsidRPr="004D7D2F">
        <w:rPr>
          <w:sz w:val="24"/>
          <w:szCs w:val="24"/>
          <w:u w:val="single"/>
          <w:lang w:val="en-GB"/>
        </w:rPr>
        <w:t>Distribution</w:t>
      </w:r>
    </w:p>
    <w:p w14:paraId="71DDC347" w14:textId="77777777" w:rsidR="002746A7" w:rsidRPr="002177D4" w:rsidRDefault="002746A7" w:rsidP="00EC2189">
      <w:pPr>
        <w:ind w:left="851"/>
        <w:rPr>
          <w:sz w:val="24"/>
          <w:szCs w:val="24"/>
          <w:lang w:val="en-GB"/>
        </w:rPr>
      </w:pPr>
    </w:p>
    <w:p w14:paraId="6399644A" w14:textId="77777777" w:rsidR="002746A7" w:rsidRPr="002177D4" w:rsidRDefault="002746A7" w:rsidP="00EC2189">
      <w:pPr>
        <w:ind w:left="851"/>
        <w:rPr>
          <w:sz w:val="24"/>
          <w:szCs w:val="24"/>
          <w:lang w:val="en-GB"/>
        </w:rPr>
      </w:pPr>
      <w:r w:rsidRPr="002177D4">
        <w:rPr>
          <w:sz w:val="24"/>
          <w:szCs w:val="24"/>
          <w:lang w:val="en-GB"/>
        </w:rPr>
        <w:t xml:space="preserve">In 18 children (6 to 12 years) with ADHD, the </w:t>
      </w:r>
      <w:proofErr w:type="spellStart"/>
      <w:r w:rsidRPr="002177D4">
        <w:rPr>
          <w:sz w:val="24"/>
          <w:szCs w:val="24"/>
          <w:lang w:val="en-GB"/>
        </w:rPr>
        <w:t>T</w:t>
      </w:r>
      <w:r w:rsidRPr="002177D4">
        <w:rPr>
          <w:sz w:val="24"/>
          <w:szCs w:val="24"/>
          <w:vertAlign w:val="subscript"/>
          <w:lang w:val="en-GB"/>
        </w:rPr>
        <w:t>max</w:t>
      </w:r>
      <w:proofErr w:type="spellEnd"/>
      <w:r w:rsidRPr="002177D4">
        <w:rPr>
          <w:sz w:val="24"/>
          <w:szCs w:val="24"/>
          <w:lang w:val="en-GB"/>
        </w:rPr>
        <w:t xml:space="preserve"> of </w:t>
      </w:r>
      <w:proofErr w:type="spellStart"/>
      <w:r w:rsidRPr="002177D4">
        <w:rPr>
          <w:sz w:val="24"/>
          <w:szCs w:val="24"/>
          <w:lang w:val="en-GB"/>
        </w:rPr>
        <w:t>dexamfetamine</w:t>
      </w:r>
      <w:proofErr w:type="spellEnd"/>
      <w:r w:rsidRPr="002177D4">
        <w:rPr>
          <w:sz w:val="24"/>
          <w:szCs w:val="24"/>
          <w:lang w:val="en-GB"/>
        </w:rPr>
        <w:t xml:space="preserve"> was approximately 3.5 hours following single-dose oral administration of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either 30 mg, 50 mg, or 70 mg administered after an 8-hour overnight fast. The </w:t>
      </w:r>
      <w:proofErr w:type="spellStart"/>
      <w:r w:rsidRPr="002177D4">
        <w:rPr>
          <w:sz w:val="24"/>
          <w:szCs w:val="24"/>
          <w:lang w:val="en-GB"/>
        </w:rPr>
        <w:t>T</w:t>
      </w:r>
      <w:r w:rsidRPr="002177D4">
        <w:rPr>
          <w:sz w:val="24"/>
          <w:szCs w:val="24"/>
          <w:vertAlign w:val="subscript"/>
          <w:lang w:val="en-GB"/>
        </w:rPr>
        <w:t>max</w:t>
      </w:r>
      <w:proofErr w:type="spellEnd"/>
      <w:r w:rsidRPr="002177D4">
        <w:rPr>
          <w:sz w:val="24"/>
          <w:szCs w:val="24"/>
          <w:lang w:val="en-GB"/>
        </w:rPr>
        <w:t xml:space="preserve"> of </w:t>
      </w:r>
      <w:proofErr w:type="spellStart"/>
      <w:r w:rsidRPr="002177D4">
        <w:rPr>
          <w:sz w:val="24"/>
          <w:szCs w:val="24"/>
          <w:lang w:val="en-GB"/>
        </w:rPr>
        <w:t>lisdexamfetamine</w:t>
      </w:r>
      <w:proofErr w:type="spellEnd"/>
      <w:r w:rsidRPr="002177D4">
        <w:rPr>
          <w:sz w:val="24"/>
          <w:szCs w:val="24"/>
          <w:lang w:val="en-GB"/>
        </w:rPr>
        <w:t xml:space="preserve"> was approximately 1 hour. Linear pharmacokinetics of </w:t>
      </w:r>
      <w:proofErr w:type="spellStart"/>
      <w:r w:rsidRPr="002177D4">
        <w:rPr>
          <w:sz w:val="24"/>
          <w:szCs w:val="24"/>
          <w:lang w:val="en-GB"/>
        </w:rPr>
        <w:t>dexamfetamine</w:t>
      </w:r>
      <w:proofErr w:type="spellEnd"/>
      <w:r w:rsidRPr="002177D4">
        <w:rPr>
          <w:sz w:val="24"/>
          <w:szCs w:val="24"/>
          <w:lang w:val="en-GB"/>
        </w:rPr>
        <w:t xml:space="preserve"> after single-dose oral administration of </w:t>
      </w:r>
      <w:proofErr w:type="spellStart"/>
      <w:r w:rsidRPr="002177D4">
        <w:rPr>
          <w:sz w:val="24"/>
          <w:szCs w:val="24"/>
          <w:lang w:val="en-GB"/>
        </w:rPr>
        <w:t>lisdexamfetamine</w:t>
      </w:r>
      <w:proofErr w:type="spellEnd"/>
      <w:r w:rsidRPr="002177D4">
        <w:rPr>
          <w:sz w:val="24"/>
          <w:szCs w:val="24"/>
          <w:lang w:val="en-GB"/>
        </w:rPr>
        <w:t xml:space="preserve"> was established over the dose range of 30 mg to 70 mg in children aged 6 to 12 years.</w:t>
      </w:r>
    </w:p>
    <w:p w14:paraId="0EA9617F" w14:textId="77777777" w:rsidR="002746A7" w:rsidRPr="002177D4" w:rsidRDefault="002746A7" w:rsidP="00EC2189">
      <w:pPr>
        <w:ind w:left="851"/>
        <w:rPr>
          <w:sz w:val="24"/>
          <w:szCs w:val="24"/>
          <w:lang w:val="en-GB"/>
        </w:rPr>
      </w:pPr>
    </w:p>
    <w:p w14:paraId="130E0D39" w14:textId="77777777" w:rsidR="002746A7" w:rsidRPr="002177D4" w:rsidRDefault="002746A7" w:rsidP="00EC2189">
      <w:pPr>
        <w:ind w:left="851"/>
        <w:rPr>
          <w:sz w:val="24"/>
          <w:szCs w:val="24"/>
          <w:lang w:val="en-GB"/>
        </w:rPr>
      </w:pPr>
      <w:r w:rsidRPr="002177D4">
        <w:rPr>
          <w:sz w:val="24"/>
          <w:szCs w:val="24"/>
          <w:lang w:val="en-GB"/>
        </w:rPr>
        <w:t xml:space="preserve">Weight/dose normalised AUC and </w:t>
      </w:r>
      <w:proofErr w:type="spellStart"/>
      <w:r w:rsidRPr="002177D4">
        <w:rPr>
          <w:sz w:val="24"/>
          <w:szCs w:val="24"/>
          <w:lang w:val="en-GB"/>
        </w:rPr>
        <w:t>C</w:t>
      </w:r>
      <w:r w:rsidRPr="002177D4">
        <w:rPr>
          <w:sz w:val="24"/>
          <w:szCs w:val="24"/>
          <w:vertAlign w:val="subscript"/>
          <w:lang w:val="en-GB"/>
        </w:rPr>
        <w:t>max</w:t>
      </w:r>
      <w:proofErr w:type="spellEnd"/>
      <w:r w:rsidRPr="002177D4">
        <w:rPr>
          <w:sz w:val="24"/>
          <w:szCs w:val="24"/>
          <w:lang w:val="en-GB"/>
        </w:rPr>
        <w:t xml:space="preserve"> were 22% and 12% lower, respectively, in adult females than in males on day 7 following a 70 mg/day dose of </w:t>
      </w:r>
      <w:proofErr w:type="spellStart"/>
      <w:r w:rsidRPr="002177D4">
        <w:rPr>
          <w:sz w:val="24"/>
          <w:szCs w:val="24"/>
          <w:lang w:val="en-GB"/>
        </w:rPr>
        <w:t>lisdexamfetamine</w:t>
      </w:r>
      <w:proofErr w:type="spellEnd"/>
      <w:r w:rsidRPr="002177D4">
        <w:rPr>
          <w:sz w:val="24"/>
          <w:szCs w:val="24"/>
          <w:lang w:val="en-GB"/>
        </w:rPr>
        <w:t xml:space="preserve"> for 7 days. Weight/dose normalised AUC and </w:t>
      </w:r>
      <w:proofErr w:type="spellStart"/>
      <w:r w:rsidRPr="002177D4">
        <w:rPr>
          <w:sz w:val="24"/>
          <w:szCs w:val="24"/>
          <w:lang w:val="en-GB"/>
        </w:rPr>
        <w:t>C</w:t>
      </w:r>
      <w:r w:rsidRPr="002177D4">
        <w:rPr>
          <w:sz w:val="24"/>
          <w:szCs w:val="24"/>
          <w:vertAlign w:val="subscript"/>
          <w:lang w:val="en-GB"/>
        </w:rPr>
        <w:t>max</w:t>
      </w:r>
      <w:proofErr w:type="spellEnd"/>
      <w:r w:rsidRPr="002177D4">
        <w:rPr>
          <w:sz w:val="24"/>
          <w:szCs w:val="24"/>
          <w:lang w:val="en-GB"/>
        </w:rPr>
        <w:t xml:space="preserve"> values were the same in girls and boys following single doses of 30-70 mg.</w:t>
      </w:r>
    </w:p>
    <w:p w14:paraId="1D1DED25" w14:textId="77777777" w:rsidR="002746A7" w:rsidRPr="002177D4" w:rsidRDefault="002746A7" w:rsidP="00EC2189">
      <w:pPr>
        <w:ind w:left="851"/>
        <w:rPr>
          <w:sz w:val="24"/>
          <w:szCs w:val="24"/>
          <w:lang w:val="en-GB"/>
        </w:rPr>
      </w:pPr>
    </w:p>
    <w:p w14:paraId="201F6914" w14:textId="77777777" w:rsidR="002746A7" w:rsidRPr="002177D4" w:rsidRDefault="002746A7" w:rsidP="00EC2189">
      <w:pPr>
        <w:ind w:left="851"/>
        <w:rPr>
          <w:sz w:val="24"/>
          <w:szCs w:val="24"/>
          <w:lang w:val="en-GB"/>
        </w:rPr>
      </w:pPr>
      <w:r w:rsidRPr="002177D4">
        <w:rPr>
          <w:sz w:val="24"/>
          <w:szCs w:val="24"/>
          <w:lang w:val="en-GB"/>
        </w:rPr>
        <w:t xml:space="preserve">There is no accumulation of </w:t>
      </w:r>
      <w:proofErr w:type="spellStart"/>
      <w:r w:rsidRPr="002177D4">
        <w:rPr>
          <w:sz w:val="24"/>
          <w:szCs w:val="24"/>
          <w:lang w:val="en-GB"/>
        </w:rPr>
        <w:t>dexamfetamine</w:t>
      </w:r>
      <w:proofErr w:type="spellEnd"/>
      <w:r w:rsidRPr="002177D4">
        <w:rPr>
          <w:sz w:val="24"/>
          <w:szCs w:val="24"/>
          <w:lang w:val="en-GB"/>
        </w:rPr>
        <w:t xml:space="preserve"> at steady state in healthy adults and no accumulation of </w:t>
      </w:r>
      <w:proofErr w:type="spellStart"/>
      <w:r w:rsidRPr="002177D4">
        <w:rPr>
          <w:sz w:val="24"/>
          <w:szCs w:val="24"/>
          <w:lang w:val="en-GB"/>
        </w:rPr>
        <w:t>lisdexamfetamine</w:t>
      </w:r>
      <w:proofErr w:type="spellEnd"/>
      <w:r w:rsidRPr="002177D4">
        <w:rPr>
          <w:sz w:val="24"/>
          <w:szCs w:val="24"/>
          <w:lang w:val="en-GB"/>
        </w:rPr>
        <w:t xml:space="preserve"> after once-daily dosing for 7 consecutive days.</w:t>
      </w:r>
    </w:p>
    <w:p w14:paraId="700EE66D" w14:textId="77777777" w:rsidR="002746A7" w:rsidRPr="002177D4" w:rsidRDefault="002746A7" w:rsidP="00EC2189">
      <w:pPr>
        <w:ind w:left="851"/>
        <w:rPr>
          <w:sz w:val="24"/>
          <w:szCs w:val="24"/>
          <w:lang w:val="en-GB"/>
        </w:rPr>
      </w:pPr>
    </w:p>
    <w:p w14:paraId="06AACC5A" w14:textId="77777777" w:rsidR="002746A7" w:rsidRPr="004D7D2F" w:rsidRDefault="002746A7" w:rsidP="00EC2189">
      <w:pPr>
        <w:ind w:left="851"/>
        <w:rPr>
          <w:sz w:val="24"/>
          <w:szCs w:val="24"/>
          <w:u w:val="single"/>
          <w:lang w:val="en-GB"/>
        </w:rPr>
      </w:pPr>
      <w:r w:rsidRPr="004D7D2F">
        <w:rPr>
          <w:sz w:val="24"/>
          <w:szCs w:val="24"/>
          <w:u w:val="single"/>
          <w:lang w:val="en-GB"/>
        </w:rPr>
        <w:t>Biotransformation</w:t>
      </w:r>
    </w:p>
    <w:p w14:paraId="616E49C6" w14:textId="77777777" w:rsidR="002746A7" w:rsidRPr="002177D4" w:rsidRDefault="002746A7" w:rsidP="00EC2189">
      <w:pPr>
        <w:ind w:left="851"/>
        <w:rPr>
          <w:sz w:val="24"/>
          <w:szCs w:val="24"/>
          <w:lang w:val="en-GB"/>
        </w:rPr>
      </w:pPr>
    </w:p>
    <w:p w14:paraId="5F1109CB" w14:textId="77777777" w:rsidR="002746A7" w:rsidRPr="002177D4" w:rsidRDefault="002746A7" w:rsidP="00EC2189">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is converted to </w:t>
      </w:r>
      <w:proofErr w:type="spellStart"/>
      <w:r w:rsidRPr="002177D4">
        <w:rPr>
          <w:sz w:val="24"/>
          <w:szCs w:val="24"/>
          <w:lang w:val="en-GB"/>
        </w:rPr>
        <w:t>dexamfetamine</w:t>
      </w:r>
      <w:proofErr w:type="spellEnd"/>
      <w:r w:rsidRPr="002177D4">
        <w:rPr>
          <w:sz w:val="24"/>
          <w:szCs w:val="24"/>
          <w:lang w:val="en-GB"/>
        </w:rPr>
        <w:t xml:space="preserve"> and l-lysine, which occurs by metabolism in blood primarily due to the hydrolytic activity of red blood cells. Red blood cells have a high capacity for metabolism of </w:t>
      </w:r>
      <w:proofErr w:type="spellStart"/>
      <w:r w:rsidRPr="002177D4">
        <w:rPr>
          <w:sz w:val="24"/>
          <w:szCs w:val="24"/>
          <w:lang w:val="en-GB"/>
        </w:rPr>
        <w:t>lisdexamfetamine</w:t>
      </w:r>
      <w:proofErr w:type="spellEnd"/>
      <w:r w:rsidRPr="002177D4">
        <w:rPr>
          <w:sz w:val="24"/>
          <w:szCs w:val="24"/>
          <w:lang w:val="en-GB"/>
        </w:rPr>
        <w:t xml:space="preserve"> as </w:t>
      </w:r>
      <w:r w:rsidRPr="002177D4">
        <w:rPr>
          <w:i/>
          <w:sz w:val="24"/>
          <w:szCs w:val="24"/>
          <w:lang w:val="en-GB"/>
        </w:rPr>
        <w:t>in vitro</w:t>
      </w:r>
      <w:r w:rsidRPr="002177D4">
        <w:rPr>
          <w:sz w:val="24"/>
          <w:szCs w:val="24"/>
          <w:lang w:val="en-GB"/>
        </w:rPr>
        <w:t xml:space="preserve"> data demonstrated substantial hydrolysis occurs even at low </w:t>
      </w:r>
      <w:proofErr w:type="spellStart"/>
      <w:r w:rsidRPr="002177D4">
        <w:rPr>
          <w:sz w:val="24"/>
          <w:szCs w:val="24"/>
          <w:lang w:val="en-GB"/>
        </w:rPr>
        <w:t>hematocrit</w:t>
      </w:r>
      <w:proofErr w:type="spellEnd"/>
      <w:r w:rsidRPr="002177D4">
        <w:rPr>
          <w:sz w:val="24"/>
          <w:szCs w:val="24"/>
          <w:lang w:val="en-GB"/>
        </w:rPr>
        <w:t xml:space="preserve"> levels. </w:t>
      </w:r>
      <w:proofErr w:type="spellStart"/>
      <w:r w:rsidRPr="002177D4">
        <w:rPr>
          <w:sz w:val="24"/>
          <w:szCs w:val="24"/>
          <w:lang w:val="en-GB"/>
        </w:rPr>
        <w:t>Lisdexamfetamine</w:t>
      </w:r>
      <w:proofErr w:type="spellEnd"/>
      <w:r w:rsidRPr="002177D4">
        <w:rPr>
          <w:sz w:val="24"/>
          <w:szCs w:val="24"/>
          <w:lang w:val="en-GB"/>
        </w:rPr>
        <w:t xml:space="preserve"> is not metabolised by cytochrome P450 enzymes.</w:t>
      </w:r>
    </w:p>
    <w:p w14:paraId="2BB19AEC" w14:textId="77777777" w:rsidR="002746A7" w:rsidRPr="002177D4" w:rsidRDefault="002746A7" w:rsidP="00EC2189">
      <w:pPr>
        <w:ind w:left="851"/>
        <w:rPr>
          <w:sz w:val="24"/>
          <w:szCs w:val="24"/>
          <w:lang w:val="en-GB"/>
        </w:rPr>
      </w:pPr>
    </w:p>
    <w:p w14:paraId="579111F8" w14:textId="58F3C6BD" w:rsidR="002746A7" w:rsidRPr="002177D4" w:rsidRDefault="002746A7" w:rsidP="00EC2189">
      <w:pPr>
        <w:ind w:left="851"/>
        <w:rPr>
          <w:sz w:val="24"/>
          <w:szCs w:val="24"/>
          <w:lang w:val="en-GB"/>
        </w:rPr>
      </w:pPr>
      <w:proofErr w:type="spellStart"/>
      <w:r w:rsidRPr="002177D4">
        <w:rPr>
          <w:sz w:val="24"/>
          <w:szCs w:val="24"/>
          <w:lang w:val="en-GB"/>
        </w:rPr>
        <w:t>Amfetamine</w:t>
      </w:r>
      <w:proofErr w:type="spellEnd"/>
      <w:r w:rsidRPr="002177D4">
        <w:rPr>
          <w:sz w:val="24"/>
          <w:szCs w:val="24"/>
          <w:lang w:val="en-GB"/>
        </w:rPr>
        <w:t xml:space="preserve"> is oxidised at the 4 position of the benzene ring to form 4-hydroxy</w:t>
      </w:r>
      <w:r w:rsidR="00200AAD">
        <w:rPr>
          <w:sz w:val="24"/>
          <w:szCs w:val="24"/>
          <w:lang w:val="en-GB"/>
        </w:rPr>
        <w:softHyphen/>
      </w:r>
      <w:r w:rsidRPr="002177D4">
        <w:rPr>
          <w:sz w:val="24"/>
          <w:szCs w:val="24"/>
          <w:lang w:val="en-GB"/>
        </w:rPr>
        <w:t>amfetamine, or on the side chain α or β carbons to form alpha-hydroxy-</w:t>
      </w:r>
      <w:proofErr w:type="spellStart"/>
      <w:r w:rsidRPr="002177D4">
        <w:rPr>
          <w:sz w:val="24"/>
          <w:szCs w:val="24"/>
          <w:lang w:val="en-GB"/>
        </w:rPr>
        <w:t>amfetamine</w:t>
      </w:r>
      <w:proofErr w:type="spellEnd"/>
      <w:r w:rsidRPr="002177D4">
        <w:rPr>
          <w:sz w:val="24"/>
          <w:szCs w:val="24"/>
          <w:lang w:val="en-GB"/>
        </w:rPr>
        <w:t xml:space="preserve"> or norephedrine, respectively. Norephedrine and 4-hydroxy-amfetamine are both active and each is subsequently oxidised to form 4-hydroxy-norephedrine. Alpha-hydroxy-</w:t>
      </w:r>
      <w:proofErr w:type="spellStart"/>
      <w:r w:rsidRPr="002177D4">
        <w:rPr>
          <w:sz w:val="24"/>
          <w:szCs w:val="24"/>
          <w:lang w:val="en-GB"/>
        </w:rPr>
        <w:t>amfetamine</w:t>
      </w:r>
      <w:proofErr w:type="spellEnd"/>
      <w:r w:rsidRPr="002177D4">
        <w:rPr>
          <w:sz w:val="24"/>
          <w:szCs w:val="24"/>
          <w:lang w:val="en-GB"/>
        </w:rPr>
        <w:t xml:space="preserve"> undergoes deamination to form phenylacetone, which ultimately forms benzoic acid and its glucuronide and the glycine conjugate hippuric acid. Although the enzymes involved in </w:t>
      </w:r>
      <w:proofErr w:type="spellStart"/>
      <w:r w:rsidRPr="002177D4">
        <w:rPr>
          <w:sz w:val="24"/>
          <w:szCs w:val="24"/>
          <w:lang w:val="en-GB"/>
        </w:rPr>
        <w:t>amfetamine</w:t>
      </w:r>
      <w:proofErr w:type="spellEnd"/>
      <w:r w:rsidRPr="002177D4">
        <w:rPr>
          <w:sz w:val="24"/>
          <w:szCs w:val="24"/>
          <w:lang w:val="en-GB"/>
        </w:rPr>
        <w:t xml:space="preserve"> metabolism have not been clearly defined, CYP2D6 is known to be involved with formation of 4-hydroxy-amfetamine.</w:t>
      </w:r>
    </w:p>
    <w:p w14:paraId="736B46CF" w14:textId="77777777" w:rsidR="002746A7" w:rsidRPr="002177D4" w:rsidRDefault="002746A7" w:rsidP="00EC2189">
      <w:pPr>
        <w:ind w:left="851"/>
        <w:rPr>
          <w:sz w:val="24"/>
          <w:szCs w:val="24"/>
          <w:lang w:val="en-GB"/>
        </w:rPr>
      </w:pPr>
    </w:p>
    <w:p w14:paraId="75886CBB" w14:textId="77777777" w:rsidR="002746A7" w:rsidRPr="004D7D2F" w:rsidRDefault="002746A7" w:rsidP="00EC2189">
      <w:pPr>
        <w:ind w:left="851"/>
        <w:rPr>
          <w:sz w:val="24"/>
          <w:szCs w:val="24"/>
          <w:u w:val="single"/>
          <w:lang w:val="en-GB"/>
        </w:rPr>
      </w:pPr>
      <w:r w:rsidRPr="004D7D2F">
        <w:rPr>
          <w:sz w:val="24"/>
          <w:szCs w:val="24"/>
          <w:u w:val="single"/>
          <w:lang w:val="en-GB"/>
        </w:rPr>
        <w:t>Elimination</w:t>
      </w:r>
    </w:p>
    <w:p w14:paraId="0DC033C1" w14:textId="77777777" w:rsidR="002746A7" w:rsidRPr="002177D4" w:rsidRDefault="002746A7" w:rsidP="00EC2189">
      <w:pPr>
        <w:ind w:left="851"/>
        <w:rPr>
          <w:sz w:val="24"/>
          <w:szCs w:val="24"/>
          <w:lang w:val="en-GB"/>
        </w:rPr>
      </w:pPr>
    </w:p>
    <w:p w14:paraId="218E234B" w14:textId="77777777" w:rsidR="002746A7" w:rsidRPr="002177D4" w:rsidRDefault="002746A7" w:rsidP="00EC2189">
      <w:pPr>
        <w:ind w:left="851"/>
        <w:rPr>
          <w:sz w:val="24"/>
          <w:szCs w:val="24"/>
          <w:lang w:val="en-GB"/>
        </w:rPr>
      </w:pPr>
      <w:r w:rsidRPr="002177D4">
        <w:rPr>
          <w:sz w:val="24"/>
          <w:szCs w:val="24"/>
          <w:lang w:val="en-GB"/>
        </w:rPr>
        <w:t xml:space="preserve">Following the oral administration of a 70 mg dose of radiolabelled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to 6 healthy subjects, approximately 96% of the oral dose radioactivity was recovered in the urine and only 0.3% recovered in the faeces over a period of 120 hours. Of the radioactivity recovered in the urine 42% of the dose was related to </w:t>
      </w:r>
      <w:proofErr w:type="spellStart"/>
      <w:r w:rsidRPr="002177D4">
        <w:rPr>
          <w:sz w:val="24"/>
          <w:szCs w:val="24"/>
          <w:lang w:val="en-GB"/>
        </w:rPr>
        <w:t>amfetamine</w:t>
      </w:r>
      <w:proofErr w:type="spellEnd"/>
      <w:r w:rsidRPr="002177D4">
        <w:rPr>
          <w:sz w:val="24"/>
          <w:szCs w:val="24"/>
          <w:lang w:val="en-GB"/>
        </w:rPr>
        <w:t xml:space="preserve">, 25% to hippuric acid, and 2% intact </w:t>
      </w:r>
      <w:proofErr w:type="spellStart"/>
      <w:r w:rsidRPr="002177D4">
        <w:rPr>
          <w:sz w:val="24"/>
          <w:szCs w:val="24"/>
          <w:lang w:val="en-GB"/>
        </w:rPr>
        <w:t>lisdexamfetamine</w:t>
      </w:r>
      <w:proofErr w:type="spellEnd"/>
      <w:r w:rsidRPr="002177D4">
        <w:rPr>
          <w:sz w:val="24"/>
          <w:szCs w:val="24"/>
          <w:lang w:val="en-GB"/>
        </w:rPr>
        <w:t xml:space="preserve">. Plasma concentrations of unconverted </w:t>
      </w:r>
      <w:proofErr w:type="spellStart"/>
      <w:r w:rsidRPr="002177D4">
        <w:rPr>
          <w:sz w:val="24"/>
          <w:szCs w:val="24"/>
          <w:lang w:val="en-GB"/>
        </w:rPr>
        <w:t>lisdexamfetamine</w:t>
      </w:r>
      <w:proofErr w:type="spellEnd"/>
      <w:r w:rsidRPr="002177D4">
        <w:rPr>
          <w:sz w:val="24"/>
          <w:szCs w:val="24"/>
          <w:lang w:val="en-GB"/>
        </w:rPr>
        <w:t xml:space="preserve"> are low and transient, generally becoming non-quantifiable by 8 hours after administration. The plasma elimination half-life of </w:t>
      </w:r>
      <w:proofErr w:type="spellStart"/>
      <w:r w:rsidRPr="002177D4">
        <w:rPr>
          <w:sz w:val="24"/>
          <w:szCs w:val="24"/>
          <w:lang w:val="en-GB"/>
        </w:rPr>
        <w:t>lisdexamfetamine</w:t>
      </w:r>
      <w:proofErr w:type="spellEnd"/>
      <w:r w:rsidRPr="002177D4">
        <w:rPr>
          <w:sz w:val="24"/>
          <w:szCs w:val="24"/>
          <w:lang w:val="en-GB"/>
        </w:rPr>
        <w:t xml:space="preserve"> typically averaged less than one hour in studies of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in volunteers. The half-life of </w:t>
      </w:r>
      <w:proofErr w:type="spellStart"/>
      <w:r w:rsidRPr="002177D4">
        <w:rPr>
          <w:sz w:val="24"/>
          <w:szCs w:val="24"/>
          <w:lang w:val="en-GB"/>
        </w:rPr>
        <w:t>dexamfetamine</w:t>
      </w:r>
      <w:proofErr w:type="spellEnd"/>
      <w:r w:rsidRPr="002177D4">
        <w:rPr>
          <w:sz w:val="24"/>
          <w:szCs w:val="24"/>
          <w:lang w:val="en-GB"/>
        </w:rPr>
        <w:t xml:space="preserve"> is 11 hours.</w:t>
      </w:r>
    </w:p>
    <w:p w14:paraId="64ECC637" w14:textId="1B1C3088" w:rsidR="00200AAD" w:rsidRDefault="00200AAD">
      <w:pPr>
        <w:rPr>
          <w:sz w:val="24"/>
          <w:szCs w:val="24"/>
          <w:lang w:val="en-GB"/>
        </w:rPr>
      </w:pPr>
      <w:r>
        <w:rPr>
          <w:sz w:val="24"/>
          <w:szCs w:val="24"/>
          <w:lang w:val="en-GB"/>
        </w:rPr>
        <w:br w:type="page"/>
      </w:r>
    </w:p>
    <w:p w14:paraId="237E8C27" w14:textId="77777777" w:rsidR="002746A7" w:rsidRPr="002177D4" w:rsidRDefault="002746A7" w:rsidP="00EC2189">
      <w:pPr>
        <w:ind w:left="851"/>
        <w:rPr>
          <w:sz w:val="24"/>
          <w:szCs w:val="24"/>
          <w:lang w:val="en-GB"/>
        </w:rPr>
      </w:pPr>
    </w:p>
    <w:p w14:paraId="6A7D213E" w14:textId="77777777" w:rsidR="002746A7" w:rsidRPr="004D7D2F" w:rsidRDefault="002746A7" w:rsidP="00EC2189">
      <w:pPr>
        <w:ind w:left="851"/>
        <w:rPr>
          <w:sz w:val="24"/>
          <w:szCs w:val="24"/>
          <w:u w:val="single"/>
          <w:lang w:val="en-GB"/>
        </w:rPr>
      </w:pPr>
      <w:r w:rsidRPr="004D7D2F">
        <w:rPr>
          <w:sz w:val="24"/>
          <w:szCs w:val="24"/>
          <w:u w:val="single"/>
          <w:lang w:val="en-GB"/>
        </w:rPr>
        <w:t>Special populations</w:t>
      </w:r>
    </w:p>
    <w:p w14:paraId="5D712BA0" w14:textId="77777777" w:rsidR="002746A7" w:rsidRPr="002177D4" w:rsidRDefault="002746A7" w:rsidP="00EC2189">
      <w:pPr>
        <w:ind w:left="851"/>
        <w:rPr>
          <w:sz w:val="24"/>
          <w:szCs w:val="24"/>
          <w:lang w:val="en-GB"/>
        </w:rPr>
      </w:pPr>
      <w:r w:rsidRPr="002177D4">
        <w:rPr>
          <w:sz w:val="24"/>
          <w:szCs w:val="24"/>
          <w:lang w:val="en-GB"/>
        </w:rPr>
        <w:t xml:space="preserve">The pharmacokinetics of </w:t>
      </w:r>
      <w:proofErr w:type="spellStart"/>
      <w:r w:rsidRPr="002177D4">
        <w:rPr>
          <w:sz w:val="24"/>
          <w:szCs w:val="24"/>
          <w:lang w:val="en-GB"/>
        </w:rPr>
        <w:t>dexamfetamine</w:t>
      </w:r>
      <w:proofErr w:type="spellEnd"/>
      <w:r w:rsidRPr="002177D4">
        <w:rPr>
          <w:sz w:val="24"/>
          <w:szCs w:val="24"/>
          <w:lang w:val="en-GB"/>
        </w:rPr>
        <w:t>, as evaluated by clearance, is similar in children (aged 6 to 12) and adolescents (aged 13 to 17) ADHD patients, and healthy adult volunteers after correcting for body weight.</w:t>
      </w:r>
    </w:p>
    <w:p w14:paraId="59A38CBD" w14:textId="77777777" w:rsidR="002746A7" w:rsidRPr="002177D4" w:rsidRDefault="002746A7" w:rsidP="00EC2189">
      <w:pPr>
        <w:ind w:left="851"/>
        <w:rPr>
          <w:sz w:val="24"/>
          <w:szCs w:val="24"/>
          <w:lang w:val="en-GB"/>
        </w:rPr>
      </w:pPr>
    </w:p>
    <w:p w14:paraId="725B12E9" w14:textId="77777777" w:rsidR="002746A7" w:rsidRPr="002177D4" w:rsidRDefault="002746A7" w:rsidP="00EC2189">
      <w:pPr>
        <w:ind w:left="851"/>
        <w:rPr>
          <w:sz w:val="24"/>
          <w:szCs w:val="24"/>
          <w:lang w:val="en-GB"/>
        </w:rPr>
      </w:pPr>
      <w:r w:rsidRPr="002177D4">
        <w:rPr>
          <w:sz w:val="24"/>
          <w:szCs w:val="24"/>
          <w:lang w:val="en-GB"/>
        </w:rPr>
        <w:t xml:space="preserve">Systemic exposure to </w:t>
      </w:r>
      <w:proofErr w:type="spellStart"/>
      <w:r w:rsidRPr="002177D4">
        <w:rPr>
          <w:sz w:val="24"/>
          <w:szCs w:val="24"/>
          <w:lang w:val="en-GB"/>
        </w:rPr>
        <w:t>dexamfetamine</w:t>
      </w:r>
      <w:proofErr w:type="spellEnd"/>
      <w:r w:rsidRPr="002177D4">
        <w:rPr>
          <w:sz w:val="24"/>
          <w:szCs w:val="24"/>
          <w:lang w:val="en-GB"/>
        </w:rPr>
        <w:t xml:space="preserve"> is similar for men and women given the same mg/kg dose. Formal pharmacokinetic studies for race have not been conducted. There is no evidence of any impact of ethnicity on the pharmacokinetics of </w:t>
      </w:r>
      <w:proofErr w:type="spellStart"/>
      <w:r w:rsidRPr="002177D4">
        <w:rPr>
          <w:sz w:val="24"/>
          <w:szCs w:val="24"/>
          <w:lang w:val="en-GB"/>
        </w:rPr>
        <w:t>lisdexamfetamine</w:t>
      </w:r>
      <w:proofErr w:type="spellEnd"/>
      <w:r w:rsidRPr="002177D4">
        <w:rPr>
          <w:sz w:val="24"/>
          <w:szCs w:val="24"/>
          <w:lang w:val="en-GB"/>
        </w:rPr>
        <w:t>-containing medicinal products.</w:t>
      </w:r>
    </w:p>
    <w:p w14:paraId="2AF17632" w14:textId="77777777" w:rsidR="002746A7" w:rsidRPr="002177D4" w:rsidRDefault="002746A7" w:rsidP="00EC2189">
      <w:pPr>
        <w:ind w:left="851"/>
        <w:rPr>
          <w:sz w:val="24"/>
          <w:szCs w:val="24"/>
          <w:lang w:val="en-GB"/>
        </w:rPr>
      </w:pPr>
    </w:p>
    <w:p w14:paraId="0C503841" w14:textId="77777777" w:rsidR="002746A7" w:rsidRPr="002177D4" w:rsidRDefault="002746A7" w:rsidP="00EC2189">
      <w:pPr>
        <w:ind w:left="851"/>
        <w:rPr>
          <w:sz w:val="24"/>
          <w:szCs w:val="24"/>
          <w:lang w:val="en-GB"/>
        </w:rPr>
      </w:pPr>
      <w:r w:rsidRPr="002177D4">
        <w:rPr>
          <w:sz w:val="24"/>
          <w:szCs w:val="24"/>
          <w:lang w:val="en-GB"/>
        </w:rPr>
        <w:t xml:space="preserve">In a pharmacokinetic study of 40 subjects (8 subjects in each of five renal functional groups: normal, mild impairment, moderate impairment, severe impairment, and end stage renal disease) </w:t>
      </w:r>
      <w:proofErr w:type="spellStart"/>
      <w:r w:rsidRPr="002177D4">
        <w:rPr>
          <w:sz w:val="24"/>
          <w:szCs w:val="24"/>
          <w:lang w:val="en-GB"/>
        </w:rPr>
        <w:t>dexamfetamine</w:t>
      </w:r>
      <w:proofErr w:type="spellEnd"/>
      <w:r w:rsidRPr="002177D4">
        <w:rPr>
          <w:sz w:val="24"/>
          <w:szCs w:val="24"/>
          <w:lang w:val="en-GB"/>
        </w:rPr>
        <w:t xml:space="preserve"> clearance was reduced from 0.7 L/hr/kg in normal subjects to 0.4 L/hr/kg in subjects with severe renal impairment (GFR 15 to &lt; 30 mL/min1.73m</w:t>
      </w:r>
      <w:r w:rsidRPr="002177D4">
        <w:rPr>
          <w:sz w:val="24"/>
          <w:szCs w:val="24"/>
          <w:vertAlign w:val="superscript"/>
          <w:lang w:val="en-GB"/>
        </w:rPr>
        <w:t>2</w:t>
      </w:r>
      <w:r w:rsidRPr="002177D4">
        <w:rPr>
          <w:sz w:val="24"/>
          <w:szCs w:val="24"/>
          <w:lang w:val="en-GB"/>
        </w:rPr>
        <w:t xml:space="preserve"> or </w:t>
      </w:r>
      <w:proofErr w:type="spellStart"/>
      <w:r w:rsidRPr="002177D4">
        <w:rPr>
          <w:sz w:val="24"/>
          <w:szCs w:val="24"/>
          <w:lang w:val="en-GB"/>
        </w:rPr>
        <w:t>CrCl</w:t>
      </w:r>
      <w:proofErr w:type="spellEnd"/>
      <w:r w:rsidRPr="002177D4">
        <w:rPr>
          <w:sz w:val="24"/>
          <w:szCs w:val="24"/>
          <w:lang w:val="en-GB"/>
        </w:rPr>
        <w:t xml:space="preserve"> &lt; 30 mL/min).</w:t>
      </w:r>
    </w:p>
    <w:p w14:paraId="7C8AD227" w14:textId="77777777" w:rsidR="002746A7" w:rsidRPr="002177D4" w:rsidRDefault="002746A7" w:rsidP="00EC2189">
      <w:pPr>
        <w:ind w:left="851"/>
        <w:rPr>
          <w:sz w:val="24"/>
          <w:szCs w:val="24"/>
          <w:lang w:val="en-GB"/>
        </w:rPr>
      </w:pPr>
    </w:p>
    <w:p w14:paraId="74AD1960" w14:textId="77777777" w:rsidR="002746A7" w:rsidRPr="002177D4" w:rsidRDefault="002746A7" w:rsidP="00EC2189">
      <w:pPr>
        <w:ind w:left="851"/>
        <w:rPr>
          <w:sz w:val="24"/>
          <w:szCs w:val="24"/>
          <w:lang w:val="en-GB"/>
        </w:rPr>
      </w:pPr>
      <w:r w:rsidRPr="002E15A9">
        <w:rPr>
          <w:sz w:val="24"/>
          <w:szCs w:val="24"/>
          <w:lang w:val="en-US"/>
        </w:rPr>
        <w:t xml:space="preserve">Mean steady state exposure of </w:t>
      </w:r>
      <w:proofErr w:type="spellStart"/>
      <w:r w:rsidRPr="002E15A9">
        <w:rPr>
          <w:sz w:val="24"/>
          <w:szCs w:val="24"/>
          <w:lang w:val="en-US"/>
        </w:rPr>
        <w:t>dexamfetamine</w:t>
      </w:r>
      <w:proofErr w:type="spellEnd"/>
      <w:r w:rsidRPr="002E15A9">
        <w:rPr>
          <w:sz w:val="24"/>
          <w:szCs w:val="24"/>
          <w:lang w:val="en-US"/>
        </w:rPr>
        <w:t xml:space="preserve"> was approximately 44% higher in paediatric patients ages 4 to 5 years compared to the paediatric population patients ages 6 to 11 years receiving the same dose (30 mg/day), based on a population pharmacokinetic analysis.</w:t>
      </w:r>
    </w:p>
    <w:p w14:paraId="2FB377C7" w14:textId="77777777" w:rsidR="002746A7" w:rsidRPr="002177D4" w:rsidRDefault="002746A7" w:rsidP="00EC2189">
      <w:pPr>
        <w:ind w:left="851"/>
        <w:rPr>
          <w:sz w:val="24"/>
          <w:szCs w:val="24"/>
          <w:lang w:val="en-GB"/>
        </w:rPr>
      </w:pPr>
    </w:p>
    <w:p w14:paraId="1306E988" w14:textId="77777777" w:rsidR="002746A7" w:rsidRPr="002177D4" w:rsidRDefault="002746A7" w:rsidP="00EC2189">
      <w:pPr>
        <w:ind w:left="851"/>
        <w:rPr>
          <w:sz w:val="24"/>
          <w:szCs w:val="24"/>
          <w:lang w:val="en-GB"/>
        </w:rPr>
      </w:pPr>
      <w:r w:rsidRPr="002177D4">
        <w:rPr>
          <w:sz w:val="24"/>
          <w:szCs w:val="24"/>
          <w:lang w:val="en-GB"/>
        </w:rPr>
        <w:t xml:space="preserve">In a study of 47 subjects aged 55 years of age or older </w:t>
      </w:r>
      <w:proofErr w:type="spellStart"/>
      <w:r w:rsidRPr="002177D4">
        <w:rPr>
          <w:sz w:val="24"/>
          <w:szCs w:val="24"/>
          <w:lang w:val="en-GB"/>
        </w:rPr>
        <w:t>amfetamine</w:t>
      </w:r>
      <w:proofErr w:type="spellEnd"/>
      <w:r w:rsidRPr="002177D4">
        <w:rPr>
          <w:sz w:val="24"/>
          <w:szCs w:val="24"/>
          <w:lang w:val="en-GB"/>
        </w:rPr>
        <w:t xml:space="preserve"> clearance was approximately 0.7 L/hr/kg for subjects 55 to 74 years of age and 0.55 L/hr/kg for subjects ≥ 75 years of age. This is slightly reduced compared to younger adults (approximately 1 L/hr/kg for subjects 18 to 45 years of age).</w:t>
      </w:r>
    </w:p>
    <w:p w14:paraId="234F3078" w14:textId="77777777" w:rsidR="007C5D2A" w:rsidRPr="002177D4" w:rsidRDefault="007C5D2A" w:rsidP="003E0341">
      <w:pPr>
        <w:tabs>
          <w:tab w:val="left" w:pos="851"/>
        </w:tabs>
        <w:ind w:left="851"/>
        <w:rPr>
          <w:sz w:val="24"/>
          <w:szCs w:val="24"/>
          <w:lang w:val="en-GB"/>
        </w:rPr>
      </w:pPr>
    </w:p>
    <w:p w14:paraId="30032990" w14:textId="77777777" w:rsidR="007C5D2A" w:rsidRPr="002177D4" w:rsidRDefault="00180A12" w:rsidP="007C5D2A">
      <w:pPr>
        <w:tabs>
          <w:tab w:val="left" w:pos="851"/>
        </w:tabs>
        <w:ind w:left="851" w:hanging="851"/>
        <w:rPr>
          <w:b/>
          <w:sz w:val="24"/>
          <w:szCs w:val="24"/>
          <w:lang w:val="en-GB"/>
        </w:rPr>
      </w:pPr>
      <w:r w:rsidRPr="002177D4">
        <w:rPr>
          <w:b/>
          <w:sz w:val="24"/>
          <w:szCs w:val="24"/>
          <w:lang w:val="en-GB"/>
        </w:rPr>
        <w:t>5.3</w:t>
      </w:r>
      <w:r w:rsidRPr="002177D4">
        <w:rPr>
          <w:b/>
          <w:sz w:val="24"/>
          <w:szCs w:val="24"/>
          <w:lang w:val="en-GB"/>
        </w:rPr>
        <w:tab/>
        <w:t>Preclinical safety data</w:t>
      </w:r>
    </w:p>
    <w:p w14:paraId="5CB8C86C" w14:textId="77777777" w:rsidR="002746A7" w:rsidRPr="002177D4" w:rsidRDefault="002746A7" w:rsidP="00EC2189">
      <w:pPr>
        <w:ind w:left="851"/>
        <w:rPr>
          <w:sz w:val="24"/>
          <w:szCs w:val="24"/>
          <w:lang w:val="en-GB"/>
        </w:rPr>
      </w:pPr>
      <w:r w:rsidRPr="002177D4">
        <w:rPr>
          <w:sz w:val="24"/>
          <w:szCs w:val="24"/>
          <w:lang w:val="en-GB"/>
        </w:rPr>
        <w:t xml:space="preserve">Non-clinical abuse liability studies indicate that </w:t>
      </w:r>
      <w:proofErr w:type="spellStart"/>
      <w:r w:rsidRPr="002177D4">
        <w:rPr>
          <w:sz w:val="24"/>
          <w:szCs w:val="24"/>
          <w:lang w:val="en-GB"/>
        </w:rPr>
        <w:t>lisdexamfetamine</w:t>
      </w:r>
      <w:proofErr w:type="spellEnd"/>
      <w:r w:rsidRPr="002177D4">
        <w:rPr>
          <w:sz w:val="24"/>
          <w:szCs w:val="24"/>
          <w:lang w:val="en-GB"/>
        </w:rPr>
        <w:t xml:space="preserve"> can produce subjective effects in rats and monkeys that are similar to those of the CNS stimulant </w:t>
      </w:r>
      <w:proofErr w:type="spellStart"/>
      <w:r w:rsidRPr="002177D4">
        <w:rPr>
          <w:sz w:val="24"/>
          <w:szCs w:val="24"/>
          <w:lang w:val="en-GB"/>
        </w:rPr>
        <w:t>dexamfetamine</w:t>
      </w:r>
      <w:proofErr w:type="spellEnd"/>
      <w:r w:rsidRPr="002177D4">
        <w:rPr>
          <w:sz w:val="24"/>
          <w:szCs w:val="24"/>
          <w:lang w:val="en-GB"/>
        </w:rPr>
        <w:t>, but that are delayed in onset and transient while the rewarding effects as determined in self-administration studies are lower than those of methylphenidate or cocaine.</w:t>
      </w:r>
    </w:p>
    <w:p w14:paraId="37EDC8C0" w14:textId="77777777" w:rsidR="002746A7" w:rsidRPr="002177D4" w:rsidRDefault="002746A7" w:rsidP="00EC2189">
      <w:pPr>
        <w:ind w:left="851"/>
        <w:rPr>
          <w:sz w:val="24"/>
          <w:szCs w:val="24"/>
          <w:lang w:val="en-GB"/>
        </w:rPr>
      </w:pPr>
    </w:p>
    <w:p w14:paraId="383B4EB5" w14:textId="77777777" w:rsidR="002746A7" w:rsidRPr="002177D4" w:rsidRDefault="002746A7" w:rsidP="00EC2189">
      <w:pPr>
        <w:ind w:left="851"/>
        <w:rPr>
          <w:sz w:val="24"/>
          <w:szCs w:val="24"/>
          <w:lang w:val="en-GB"/>
        </w:rPr>
      </w:pPr>
      <w:r w:rsidRPr="002177D4">
        <w:rPr>
          <w:sz w:val="24"/>
          <w:szCs w:val="24"/>
          <w:lang w:val="en-GB"/>
        </w:rPr>
        <w:t>In repeat dose toxicity studies, the major findings were changes in behaviour, such as increased activity typical of stimulant administration, with associated reductions in body weight gain, growth measurements and food intake, considered to be a consequence of an exaggerated pharmacological response.</w:t>
      </w:r>
    </w:p>
    <w:p w14:paraId="5647513E" w14:textId="77777777" w:rsidR="002746A7" w:rsidRPr="002177D4" w:rsidRDefault="002746A7" w:rsidP="00EC2189">
      <w:pPr>
        <w:ind w:left="851"/>
        <w:rPr>
          <w:sz w:val="24"/>
          <w:szCs w:val="24"/>
          <w:lang w:val="en-GB"/>
        </w:rPr>
      </w:pPr>
    </w:p>
    <w:p w14:paraId="0904890D" w14:textId="77777777" w:rsidR="002746A7" w:rsidRPr="002177D4" w:rsidRDefault="002746A7" w:rsidP="00EC2189">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was not genotoxic when tested </w:t>
      </w:r>
      <w:r w:rsidRPr="002177D4">
        <w:rPr>
          <w:i/>
          <w:sz w:val="24"/>
          <w:szCs w:val="24"/>
          <w:lang w:val="en-GB"/>
        </w:rPr>
        <w:t>in vitro</w:t>
      </w:r>
      <w:r w:rsidRPr="002177D4">
        <w:rPr>
          <w:sz w:val="24"/>
          <w:szCs w:val="24"/>
          <w:lang w:val="en-GB"/>
        </w:rPr>
        <w:t xml:space="preserve"> in the Ames test and the mouse lymphoma assay or </w:t>
      </w:r>
      <w:r w:rsidRPr="002177D4">
        <w:rPr>
          <w:i/>
          <w:sz w:val="24"/>
          <w:szCs w:val="24"/>
          <w:lang w:val="en-GB"/>
        </w:rPr>
        <w:t>in vivo</w:t>
      </w:r>
      <w:r w:rsidRPr="002177D4">
        <w:rPr>
          <w:sz w:val="24"/>
          <w:szCs w:val="24"/>
          <w:lang w:val="en-GB"/>
        </w:rPr>
        <w:t xml:space="preserve"> in the mouse bone marrow micronucleus test. Carcinogenicity studies of </w:t>
      </w:r>
      <w:proofErr w:type="spellStart"/>
      <w:r w:rsidRPr="002177D4">
        <w:rPr>
          <w:sz w:val="24"/>
          <w:szCs w:val="24"/>
          <w:lang w:val="en-GB"/>
        </w:rPr>
        <w:t>lisdexamfetamine</w:t>
      </w:r>
      <w:proofErr w:type="spellEnd"/>
      <w:r w:rsidRPr="002177D4">
        <w:rPr>
          <w:sz w:val="24"/>
          <w:szCs w:val="24"/>
          <w:lang w:val="en-GB"/>
        </w:rPr>
        <w:t xml:space="preserve"> have not been performed. No evidence of carcinogenicity was found in studies in which </w:t>
      </w:r>
      <w:r w:rsidRPr="002177D4">
        <w:rPr>
          <w:i/>
          <w:sz w:val="24"/>
          <w:szCs w:val="24"/>
          <w:lang w:val="en-GB"/>
        </w:rPr>
        <w:t>d-, l-</w:t>
      </w:r>
      <w:proofErr w:type="spellStart"/>
      <w:r w:rsidRPr="002177D4">
        <w:rPr>
          <w:sz w:val="24"/>
          <w:szCs w:val="24"/>
          <w:lang w:val="en-GB"/>
        </w:rPr>
        <w:t>amfetamine</w:t>
      </w:r>
      <w:proofErr w:type="spellEnd"/>
      <w:r w:rsidRPr="002177D4">
        <w:rPr>
          <w:sz w:val="24"/>
          <w:szCs w:val="24"/>
          <w:lang w:val="en-GB"/>
        </w:rPr>
        <w:t xml:space="preserve"> (enantiomer ratio of 1:1) was administered to mice and rats in the diet for 2 years at doses of up to 30 mg/kg/day in male mice, 19 mg/kg/day in female mice, and 5 mg/kg/day in male and female rats.</w:t>
      </w:r>
    </w:p>
    <w:p w14:paraId="0E0A5CD1" w14:textId="77777777" w:rsidR="002746A7" w:rsidRPr="002177D4" w:rsidRDefault="002746A7" w:rsidP="00EC2189">
      <w:pPr>
        <w:ind w:left="851"/>
        <w:rPr>
          <w:sz w:val="24"/>
          <w:szCs w:val="24"/>
          <w:lang w:val="en-GB"/>
        </w:rPr>
      </w:pPr>
    </w:p>
    <w:p w14:paraId="3E976E08" w14:textId="77777777" w:rsidR="002746A7" w:rsidRPr="002177D4" w:rsidRDefault="002746A7" w:rsidP="00EC2189">
      <w:pPr>
        <w:ind w:left="851"/>
        <w:rPr>
          <w:sz w:val="24"/>
          <w:szCs w:val="24"/>
          <w:lang w:val="en-GB"/>
        </w:rPr>
      </w:pP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had no effect on embryofoetal development or survival when administered orally to pregnant rats at doses up to 40 mg/kg/day, and rabbits at doses up to 120 mg/kg/day.</w:t>
      </w:r>
    </w:p>
    <w:p w14:paraId="5264F3E9" w14:textId="77777777" w:rsidR="002746A7" w:rsidRPr="002177D4" w:rsidRDefault="002746A7" w:rsidP="00EC2189">
      <w:pPr>
        <w:ind w:left="851"/>
        <w:rPr>
          <w:sz w:val="24"/>
          <w:szCs w:val="24"/>
          <w:lang w:val="en-GB"/>
        </w:rPr>
      </w:pPr>
    </w:p>
    <w:p w14:paraId="05EE04AB" w14:textId="77777777" w:rsidR="002746A7" w:rsidRPr="002177D4" w:rsidRDefault="002746A7" w:rsidP="00EC2189">
      <w:pPr>
        <w:ind w:left="851"/>
        <w:rPr>
          <w:sz w:val="24"/>
          <w:szCs w:val="24"/>
          <w:lang w:val="en-GB"/>
        </w:rPr>
      </w:pPr>
      <w:r w:rsidRPr="002E15A9">
        <w:rPr>
          <w:sz w:val="24"/>
          <w:szCs w:val="24"/>
          <w:lang w:val="en-US"/>
        </w:rPr>
        <w:t xml:space="preserve">Acute administration of high doses of </w:t>
      </w:r>
      <w:proofErr w:type="spellStart"/>
      <w:r w:rsidRPr="002E15A9">
        <w:rPr>
          <w:sz w:val="24"/>
          <w:szCs w:val="24"/>
          <w:lang w:val="en-US"/>
        </w:rPr>
        <w:t>amfetamine</w:t>
      </w:r>
      <w:proofErr w:type="spellEnd"/>
      <w:r w:rsidRPr="002E15A9">
        <w:rPr>
          <w:sz w:val="24"/>
          <w:szCs w:val="24"/>
          <w:lang w:val="en-US"/>
        </w:rPr>
        <w:t xml:space="preserve"> (d- or </w:t>
      </w:r>
      <w:proofErr w:type="spellStart"/>
      <w:proofErr w:type="gramStart"/>
      <w:r w:rsidRPr="002E15A9">
        <w:rPr>
          <w:sz w:val="24"/>
          <w:szCs w:val="24"/>
          <w:lang w:val="en-US"/>
        </w:rPr>
        <w:t>d,l</w:t>
      </w:r>
      <w:proofErr w:type="spellEnd"/>
      <w:proofErr w:type="gramEnd"/>
      <w:r w:rsidRPr="002E15A9">
        <w:rPr>
          <w:sz w:val="24"/>
          <w:szCs w:val="24"/>
          <w:lang w:val="en-US"/>
        </w:rPr>
        <w:t xml:space="preserve">-) has been shown to produce long lasting neurotoxic effects in rodents, including irreversible nerve </w:t>
      </w:r>
      <w:proofErr w:type="spellStart"/>
      <w:r w:rsidRPr="002E15A9">
        <w:rPr>
          <w:sz w:val="24"/>
          <w:szCs w:val="24"/>
          <w:lang w:val="en-US"/>
        </w:rPr>
        <w:t>fibre</w:t>
      </w:r>
      <w:proofErr w:type="spellEnd"/>
      <w:r w:rsidRPr="002E15A9">
        <w:rPr>
          <w:sz w:val="24"/>
          <w:szCs w:val="24"/>
          <w:lang w:val="en-US"/>
        </w:rPr>
        <w:t xml:space="preserve"> damage. However, in definitive juvenile toxicity studies with </w:t>
      </w:r>
      <w:proofErr w:type="spellStart"/>
      <w:r w:rsidRPr="002E15A9">
        <w:rPr>
          <w:sz w:val="24"/>
          <w:szCs w:val="24"/>
          <w:lang w:val="en-US"/>
        </w:rPr>
        <w:t>lisdexamfetamine</w:t>
      </w:r>
      <w:proofErr w:type="spellEnd"/>
      <w:r w:rsidRPr="002E15A9">
        <w:rPr>
          <w:sz w:val="24"/>
          <w:szCs w:val="24"/>
          <w:lang w:val="en-US"/>
        </w:rPr>
        <w:t xml:space="preserve"> </w:t>
      </w:r>
      <w:proofErr w:type="spellStart"/>
      <w:r w:rsidRPr="002E15A9">
        <w:rPr>
          <w:sz w:val="24"/>
          <w:szCs w:val="24"/>
          <w:lang w:val="en-US"/>
        </w:rPr>
        <w:t>dimesylate</w:t>
      </w:r>
      <w:proofErr w:type="spellEnd"/>
      <w:r w:rsidRPr="002E15A9">
        <w:rPr>
          <w:sz w:val="24"/>
          <w:szCs w:val="24"/>
          <w:lang w:val="en-US"/>
        </w:rPr>
        <w:t xml:space="preserve"> in rats and dogs, adverse central nervous system changes were not apparent. The significance of these findings to humans is unknown.</w:t>
      </w:r>
    </w:p>
    <w:p w14:paraId="1735D17D" w14:textId="77777777" w:rsidR="002746A7" w:rsidRPr="002177D4" w:rsidRDefault="002746A7" w:rsidP="00EC2189">
      <w:pPr>
        <w:ind w:left="851"/>
        <w:rPr>
          <w:sz w:val="24"/>
          <w:szCs w:val="24"/>
          <w:lang w:val="en-GB"/>
        </w:rPr>
      </w:pPr>
    </w:p>
    <w:p w14:paraId="06B27930" w14:textId="77777777" w:rsidR="002746A7" w:rsidRPr="002177D4" w:rsidRDefault="002746A7" w:rsidP="00EC2189">
      <w:pPr>
        <w:ind w:left="851"/>
        <w:rPr>
          <w:sz w:val="24"/>
          <w:szCs w:val="24"/>
          <w:lang w:val="en-GB"/>
        </w:rPr>
      </w:pPr>
      <w:proofErr w:type="spellStart"/>
      <w:r w:rsidRPr="002177D4">
        <w:rPr>
          <w:sz w:val="24"/>
          <w:szCs w:val="24"/>
          <w:lang w:val="en-GB"/>
        </w:rPr>
        <w:t>Amfetamine</w:t>
      </w:r>
      <w:proofErr w:type="spellEnd"/>
      <w:r w:rsidRPr="002177D4">
        <w:rPr>
          <w:sz w:val="24"/>
          <w:szCs w:val="24"/>
          <w:lang w:val="en-GB"/>
        </w:rPr>
        <w:t xml:space="preserve"> (</w:t>
      </w:r>
      <w:r w:rsidRPr="002177D4">
        <w:rPr>
          <w:i/>
          <w:sz w:val="24"/>
          <w:szCs w:val="24"/>
          <w:lang w:val="en-GB"/>
        </w:rPr>
        <w:t>d- to l-</w:t>
      </w:r>
      <w:r w:rsidRPr="002177D4">
        <w:rPr>
          <w:sz w:val="24"/>
          <w:szCs w:val="24"/>
          <w:lang w:val="en-GB"/>
        </w:rPr>
        <w:t>enantiomer ratio of 3:1) did not adversely affect fertility or early embryonic development in the rat at doses of up to 20 mg/kg/day.</w:t>
      </w:r>
    </w:p>
    <w:p w14:paraId="07DFD293" w14:textId="77777777" w:rsidR="002746A7" w:rsidRPr="002177D4" w:rsidRDefault="002746A7" w:rsidP="00EC2189">
      <w:pPr>
        <w:ind w:left="851"/>
        <w:rPr>
          <w:sz w:val="24"/>
          <w:szCs w:val="24"/>
          <w:lang w:val="en-GB"/>
        </w:rPr>
      </w:pPr>
    </w:p>
    <w:p w14:paraId="309E045B" w14:textId="77777777" w:rsidR="002746A7" w:rsidRPr="002177D4" w:rsidRDefault="002746A7" w:rsidP="00EC2189">
      <w:pPr>
        <w:ind w:left="851"/>
        <w:rPr>
          <w:sz w:val="24"/>
          <w:szCs w:val="24"/>
          <w:lang w:val="en-GB"/>
        </w:rPr>
      </w:pPr>
      <w:r w:rsidRPr="002177D4">
        <w:rPr>
          <w:sz w:val="24"/>
          <w:szCs w:val="24"/>
          <w:lang w:val="en-GB"/>
        </w:rPr>
        <w:t xml:space="preserve">A number of studies in rodents indicate that prenatal or early postnatal exposure to </w:t>
      </w:r>
      <w:proofErr w:type="spellStart"/>
      <w:r w:rsidRPr="002177D4">
        <w:rPr>
          <w:sz w:val="24"/>
          <w:szCs w:val="24"/>
          <w:lang w:val="en-GB"/>
        </w:rPr>
        <w:t>amfetamine</w:t>
      </w:r>
      <w:proofErr w:type="spellEnd"/>
      <w:r w:rsidRPr="002177D4">
        <w:rPr>
          <w:sz w:val="24"/>
          <w:szCs w:val="24"/>
          <w:lang w:val="en-GB"/>
        </w:rPr>
        <w:t xml:space="preserve"> (</w:t>
      </w:r>
      <w:r w:rsidRPr="002177D4">
        <w:rPr>
          <w:i/>
          <w:sz w:val="24"/>
          <w:szCs w:val="24"/>
          <w:lang w:val="en-GB"/>
        </w:rPr>
        <w:t>d-</w:t>
      </w:r>
      <w:r w:rsidRPr="002177D4">
        <w:rPr>
          <w:sz w:val="24"/>
          <w:szCs w:val="24"/>
          <w:lang w:val="en-GB"/>
        </w:rPr>
        <w:t xml:space="preserve"> or </w:t>
      </w:r>
      <w:proofErr w:type="spellStart"/>
      <w:proofErr w:type="gramStart"/>
      <w:r w:rsidRPr="002177D4">
        <w:rPr>
          <w:i/>
          <w:sz w:val="24"/>
          <w:szCs w:val="24"/>
          <w:lang w:val="en-GB"/>
        </w:rPr>
        <w:t>d,l</w:t>
      </w:r>
      <w:proofErr w:type="spellEnd"/>
      <w:proofErr w:type="gramEnd"/>
      <w:r w:rsidRPr="002177D4">
        <w:rPr>
          <w:i/>
          <w:sz w:val="24"/>
          <w:szCs w:val="24"/>
          <w:lang w:val="en-GB"/>
        </w:rPr>
        <w:t>-</w:t>
      </w:r>
      <w:r w:rsidRPr="002177D4">
        <w:rPr>
          <w:sz w:val="24"/>
          <w:szCs w:val="24"/>
          <w:lang w:val="en-GB"/>
        </w:rPr>
        <w:t xml:space="preserve">) at doses similar to those used clinically can result in long-term neurochemical and behavioural alterations. Reported behavioural effects include learning and memory deficits, altered locomotor activity, and changes in sexual function. Similar studies have not been conducted for </w:t>
      </w:r>
      <w:proofErr w:type="spellStart"/>
      <w:r w:rsidRPr="002177D4">
        <w:rPr>
          <w:sz w:val="24"/>
          <w:szCs w:val="24"/>
          <w:lang w:val="en-GB"/>
        </w:rPr>
        <w:t>lisdexamfetamine</w:t>
      </w:r>
      <w:proofErr w:type="spellEnd"/>
      <w:r w:rsidRPr="002177D4">
        <w:rPr>
          <w:sz w:val="24"/>
          <w:szCs w:val="24"/>
          <w:lang w:val="en-GB"/>
        </w:rPr>
        <w:t xml:space="preserve">-containing medicinal products. </w:t>
      </w:r>
    </w:p>
    <w:p w14:paraId="3919DE51" w14:textId="77777777" w:rsidR="002746A7" w:rsidRPr="002177D4" w:rsidRDefault="002746A7" w:rsidP="00EC2189">
      <w:pPr>
        <w:ind w:left="851"/>
        <w:rPr>
          <w:sz w:val="24"/>
          <w:szCs w:val="24"/>
          <w:lang w:val="en-US"/>
        </w:rPr>
      </w:pPr>
      <w:r w:rsidRPr="002177D4">
        <w:rPr>
          <w:sz w:val="24"/>
          <w:szCs w:val="24"/>
          <w:lang w:val="en-GB"/>
        </w:rPr>
        <w:t xml:space="preserve">However, an assessment of fertility following cessation of treatment with </w:t>
      </w:r>
      <w:proofErr w:type="spellStart"/>
      <w:r w:rsidRPr="002177D4">
        <w:rPr>
          <w:sz w:val="24"/>
          <w:szCs w:val="24"/>
          <w:lang w:val="en-GB"/>
        </w:rPr>
        <w:t>lisdexamfetamine</w:t>
      </w:r>
      <w:proofErr w:type="spellEnd"/>
      <w:r w:rsidRPr="002177D4">
        <w:rPr>
          <w:sz w:val="24"/>
          <w:szCs w:val="24"/>
          <w:lang w:val="en-GB"/>
        </w:rPr>
        <w:t xml:space="preserve"> </w:t>
      </w:r>
      <w:proofErr w:type="spellStart"/>
      <w:r w:rsidRPr="002177D4">
        <w:rPr>
          <w:sz w:val="24"/>
          <w:szCs w:val="24"/>
          <w:lang w:val="en-GB"/>
        </w:rPr>
        <w:t>dimesylate</w:t>
      </w:r>
      <w:proofErr w:type="spellEnd"/>
      <w:r w:rsidRPr="002177D4">
        <w:rPr>
          <w:sz w:val="24"/>
          <w:szCs w:val="24"/>
          <w:lang w:val="en-GB"/>
        </w:rPr>
        <w:t xml:space="preserve"> was included in a juvenile rat toxicity study, with no adverse effects on fertility observed.</w:t>
      </w:r>
    </w:p>
    <w:p w14:paraId="2D2824B3" w14:textId="77777777" w:rsidR="007C5D2A" w:rsidRPr="002177D4" w:rsidRDefault="007C5D2A" w:rsidP="003E0341">
      <w:pPr>
        <w:tabs>
          <w:tab w:val="left" w:pos="851"/>
        </w:tabs>
        <w:ind w:left="851"/>
        <w:rPr>
          <w:sz w:val="24"/>
          <w:szCs w:val="24"/>
          <w:lang w:val="en-GB"/>
        </w:rPr>
      </w:pPr>
    </w:p>
    <w:p w14:paraId="7814C356" w14:textId="77777777" w:rsidR="007C5D2A" w:rsidRPr="002177D4" w:rsidRDefault="007C5D2A" w:rsidP="003E0341">
      <w:pPr>
        <w:tabs>
          <w:tab w:val="left" w:pos="851"/>
        </w:tabs>
        <w:ind w:left="851"/>
        <w:rPr>
          <w:sz w:val="24"/>
          <w:szCs w:val="24"/>
          <w:lang w:val="en-GB"/>
        </w:rPr>
      </w:pPr>
    </w:p>
    <w:p w14:paraId="4F96B20D" w14:textId="77777777" w:rsidR="007C5D2A" w:rsidRPr="002177D4" w:rsidRDefault="009925C9" w:rsidP="007C5D2A">
      <w:pPr>
        <w:ind w:left="851" w:hanging="851"/>
        <w:rPr>
          <w:b/>
          <w:sz w:val="24"/>
          <w:szCs w:val="24"/>
          <w:lang w:val="en-GB"/>
        </w:rPr>
      </w:pPr>
      <w:r w:rsidRPr="002177D4">
        <w:rPr>
          <w:b/>
          <w:sz w:val="24"/>
          <w:szCs w:val="24"/>
          <w:lang w:val="en-GB"/>
        </w:rPr>
        <w:t>6.</w:t>
      </w:r>
      <w:r w:rsidR="007C5D2A" w:rsidRPr="002177D4">
        <w:rPr>
          <w:b/>
          <w:sz w:val="24"/>
          <w:szCs w:val="24"/>
          <w:lang w:val="en-GB"/>
        </w:rPr>
        <w:tab/>
        <w:t>PHARMACEUTICAL PARTICULARS</w:t>
      </w:r>
    </w:p>
    <w:p w14:paraId="633987A5" w14:textId="77777777" w:rsidR="007C5D2A" w:rsidRPr="002177D4" w:rsidRDefault="007C5D2A" w:rsidP="003E0341">
      <w:pPr>
        <w:tabs>
          <w:tab w:val="left" w:pos="851"/>
        </w:tabs>
        <w:ind w:left="851"/>
        <w:rPr>
          <w:sz w:val="24"/>
          <w:szCs w:val="24"/>
          <w:lang w:val="en-GB"/>
        </w:rPr>
      </w:pPr>
    </w:p>
    <w:p w14:paraId="3115A680" w14:textId="77777777" w:rsidR="007C5D2A" w:rsidRPr="002177D4" w:rsidRDefault="007C5D2A" w:rsidP="007C5D2A">
      <w:pPr>
        <w:ind w:left="851" w:hanging="851"/>
        <w:rPr>
          <w:b/>
          <w:sz w:val="24"/>
          <w:szCs w:val="24"/>
          <w:lang w:val="en-GB"/>
        </w:rPr>
      </w:pPr>
      <w:r w:rsidRPr="002177D4">
        <w:rPr>
          <w:b/>
          <w:sz w:val="24"/>
          <w:szCs w:val="24"/>
          <w:lang w:val="en-GB"/>
        </w:rPr>
        <w:t>6.1</w:t>
      </w:r>
      <w:r w:rsidRPr="002177D4">
        <w:rPr>
          <w:b/>
          <w:sz w:val="24"/>
          <w:szCs w:val="24"/>
          <w:lang w:val="en-GB"/>
        </w:rPr>
        <w:tab/>
        <w:t>List of excipients</w:t>
      </w:r>
    </w:p>
    <w:p w14:paraId="67B6F625" w14:textId="77777777" w:rsidR="004D7D2F" w:rsidRDefault="004D7D2F" w:rsidP="00EC2189">
      <w:pPr>
        <w:ind w:left="851"/>
        <w:rPr>
          <w:sz w:val="24"/>
          <w:szCs w:val="24"/>
          <w:lang w:val="en-GB"/>
        </w:rPr>
      </w:pPr>
    </w:p>
    <w:p w14:paraId="18680C0D" w14:textId="1C043020" w:rsidR="002746A7" w:rsidRPr="004D7D2F" w:rsidRDefault="004D7D2F" w:rsidP="00EC2189">
      <w:pPr>
        <w:ind w:left="851"/>
        <w:rPr>
          <w:sz w:val="24"/>
          <w:szCs w:val="24"/>
          <w:u w:val="single"/>
          <w:lang w:val="en-GB"/>
        </w:rPr>
      </w:pPr>
      <w:r w:rsidRPr="004D7D2F">
        <w:rPr>
          <w:sz w:val="24"/>
          <w:szCs w:val="24"/>
          <w:u w:val="single"/>
          <w:lang w:val="en-GB"/>
        </w:rPr>
        <w:t>C</w:t>
      </w:r>
      <w:r w:rsidR="002746A7" w:rsidRPr="004D7D2F">
        <w:rPr>
          <w:sz w:val="24"/>
          <w:szCs w:val="24"/>
          <w:u w:val="single"/>
          <w:lang w:val="en-GB"/>
        </w:rPr>
        <w:t xml:space="preserve">apsule content </w:t>
      </w:r>
    </w:p>
    <w:p w14:paraId="6AA2FFCC" w14:textId="77777777" w:rsidR="002746A7" w:rsidRPr="002177D4" w:rsidRDefault="002746A7" w:rsidP="00EC2189">
      <w:pPr>
        <w:ind w:left="851"/>
        <w:rPr>
          <w:sz w:val="24"/>
          <w:szCs w:val="24"/>
          <w:lang w:val="en-GB"/>
        </w:rPr>
      </w:pPr>
      <w:r w:rsidRPr="002177D4">
        <w:rPr>
          <w:sz w:val="24"/>
          <w:szCs w:val="24"/>
          <w:lang w:val="en-GB"/>
        </w:rPr>
        <w:t>Cellulose, microcrystalline (E460)</w:t>
      </w:r>
    </w:p>
    <w:p w14:paraId="0A3C3457" w14:textId="77777777" w:rsidR="002746A7" w:rsidRPr="002177D4" w:rsidRDefault="002746A7" w:rsidP="00EC2189">
      <w:pPr>
        <w:ind w:left="851"/>
        <w:rPr>
          <w:sz w:val="24"/>
          <w:szCs w:val="24"/>
          <w:lang w:val="en-GB"/>
        </w:rPr>
      </w:pPr>
      <w:r w:rsidRPr="002177D4">
        <w:rPr>
          <w:sz w:val="24"/>
          <w:szCs w:val="24"/>
          <w:lang w:val="en-GB"/>
        </w:rPr>
        <w:t>Croscarmellose sodium</w:t>
      </w:r>
    </w:p>
    <w:p w14:paraId="42B0B16A" w14:textId="77777777" w:rsidR="002746A7" w:rsidRPr="002177D4" w:rsidRDefault="002746A7" w:rsidP="00EC2189">
      <w:pPr>
        <w:ind w:left="851"/>
        <w:rPr>
          <w:sz w:val="24"/>
          <w:szCs w:val="24"/>
          <w:lang w:val="en-GB"/>
        </w:rPr>
      </w:pPr>
      <w:r w:rsidRPr="002177D4">
        <w:rPr>
          <w:sz w:val="24"/>
          <w:szCs w:val="24"/>
          <w:lang w:val="en-GB"/>
        </w:rPr>
        <w:t>Magnesium stearate (E572)</w:t>
      </w:r>
    </w:p>
    <w:p w14:paraId="0F93181C" w14:textId="77777777" w:rsidR="002746A7" w:rsidRPr="002177D4" w:rsidRDefault="002746A7" w:rsidP="00EC2189">
      <w:pPr>
        <w:ind w:left="851"/>
        <w:rPr>
          <w:sz w:val="24"/>
          <w:szCs w:val="24"/>
          <w:lang w:val="en-GB"/>
        </w:rPr>
      </w:pPr>
    </w:p>
    <w:p w14:paraId="1910B388" w14:textId="77777777" w:rsidR="002746A7" w:rsidRPr="004D7D2F" w:rsidRDefault="002746A7" w:rsidP="00EC2189">
      <w:pPr>
        <w:ind w:left="851"/>
        <w:rPr>
          <w:sz w:val="24"/>
          <w:szCs w:val="24"/>
          <w:u w:val="single"/>
          <w:lang w:val="nl-NL"/>
        </w:rPr>
      </w:pPr>
      <w:r w:rsidRPr="004D7D2F">
        <w:rPr>
          <w:sz w:val="24"/>
          <w:szCs w:val="24"/>
          <w:u w:val="single"/>
          <w:lang w:val="nl-NL"/>
        </w:rPr>
        <w:t>Capsule shell</w:t>
      </w:r>
    </w:p>
    <w:p w14:paraId="30C41537" w14:textId="77777777" w:rsidR="002746A7" w:rsidRPr="002177D4" w:rsidRDefault="002746A7" w:rsidP="00EC2189">
      <w:pPr>
        <w:ind w:left="851"/>
        <w:rPr>
          <w:sz w:val="24"/>
          <w:szCs w:val="24"/>
          <w:lang w:val="nl-NL"/>
        </w:rPr>
      </w:pPr>
      <w:r w:rsidRPr="002177D4">
        <w:rPr>
          <w:sz w:val="24"/>
          <w:szCs w:val="24"/>
          <w:lang w:val="nl-NL"/>
        </w:rPr>
        <w:t>Gelatin</w:t>
      </w:r>
    </w:p>
    <w:p w14:paraId="6D6EAA48" w14:textId="77777777" w:rsidR="002746A7" w:rsidRPr="002177D4" w:rsidRDefault="002746A7" w:rsidP="00EC2189">
      <w:pPr>
        <w:ind w:left="851"/>
        <w:rPr>
          <w:sz w:val="24"/>
          <w:szCs w:val="24"/>
          <w:lang w:val="nl-NL"/>
        </w:rPr>
      </w:pPr>
    </w:p>
    <w:p w14:paraId="49877B0D" w14:textId="77777777" w:rsidR="002746A7" w:rsidRPr="002177D4" w:rsidRDefault="002746A7" w:rsidP="00EC2189">
      <w:pPr>
        <w:ind w:left="851"/>
        <w:rPr>
          <w:sz w:val="24"/>
          <w:szCs w:val="24"/>
          <w:lang w:val="nl-NL"/>
        </w:rPr>
      </w:pPr>
      <w:r w:rsidRPr="002177D4">
        <w:rPr>
          <w:sz w:val="24"/>
          <w:szCs w:val="24"/>
          <w:lang w:val="nl-NL"/>
        </w:rPr>
        <w:t>30 mg:</w:t>
      </w:r>
    </w:p>
    <w:p w14:paraId="6D8874F7" w14:textId="77777777" w:rsidR="002746A7" w:rsidRPr="002177D4" w:rsidRDefault="002746A7" w:rsidP="00EC2189">
      <w:pPr>
        <w:ind w:left="851"/>
        <w:rPr>
          <w:sz w:val="24"/>
          <w:szCs w:val="24"/>
          <w:lang w:val="nl-NL"/>
        </w:rPr>
      </w:pPr>
      <w:r w:rsidRPr="002177D4">
        <w:rPr>
          <w:sz w:val="24"/>
          <w:szCs w:val="24"/>
          <w:lang w:val="nl-NL"/>
        </w:rPr>
        <w:t>Titanium dioxide (E171)</w:t>
      </w:r>
    </w:p>
    <w:p w14:paraId="26FC205E" w14:textId="77777777" w:rsidR="002746A7" w:rsidRPr="002177D4" w:rsidRDefault="002746A7" w:rsidP="00EC2189">
      <w:pPr>
        <w:ind w:left="851"/>
        <w:rPr>
          <w:sz w:val="24"/>
          <w:szCs w:val="24"/>
          <w:lang w:val="nl-NL"/>
        </w:rPr>
      </w:pPr>
      <w:r w:rsidRPr="002177D4">
        <w:rPr>
          <w:sz w:val="24"/>
          <w:szCs w:val="24"/>
          <w:lang w:val="nl-NL"/>
        </w:rPr>
        <w:t>Iron oxide red (E172)</w:t>
      </w:r>
    </w:p>
    <w:p w14:paraId="0FDA5350" w14:textId="77777777" w:rsidR="002746A7" w:rsidRPr="002177D4" w:rsidRDefault="002746A7" w:rsidP="00EC2189">
      <w:pPr>
        <w:ind w:left="851"/>
        <w:rPr>
          <w:sz w:val="24"/>
          <w:szCs w:val="24"/>
          <w:lang w:val="nl-NL"/>
        </w:rPr>
      </w:pPr>
    </w:p>
    <w:p w14:paraId="45BAEA92" w14:textId="77777777" w:rsidR="002746A7" w:rsidRPr="002177D4" w:rsidRDefault="002746A7" w:rsidP="00EC2189">
      <w:pPr>
        <w:ind w:left="851"/>
        <w:rPr>
          <w:sz w:val="24"/>
          <w:szCs w:val="24"/>
          <w:lang w:val="nl-NL"/>
        </w:rPr>
      </w:pPr>
      <w:r w:rsidRPr="002177D4">
        <w:rPr>
          <w:sz w:val="24"/>
          <w:szCs w:val="24"/>
          <w:lang w:val="nl-NL"/>
        </w:rPr>
        <w:t>50 mg:</w:t>
      </w:r>
    </w:p>
    <w:p w14:paraId="2EC5B9F5" w14:textId="77777777" w:rsidR="002746A7" w:rsidRPr="002177D4" w:rsidRDefault="002746A7" w:rsidP="00EC2189">
      <w:pPr>
        <w:ind w:left="851"/>
        <w:rPr>
          <w:sz w:val="24"/>
          <w:szCs w:val="24"/>
          <w:lang w:val="nl-NL"/>
        </w:rPr>
      </w:pPr>
      <w:r w:rsidRPr="002177D4">
        <w:rPr>
          <w:sz w:val="24"/>
          <w:szCs w:val="24"/>
          <w:lang w:val="nl-NL"/>
        </w:rPr>
        <w:t>Titanium dioxide (E171)</w:t>
      </w:r>
    </w:p>
    <w:p w14:paraId="727BBA73" w14:textId="77777777" w:rsidR="002746A7" w:rsidRPr="002E15A9" w:rsidRDefault="002746A7" w:rsidP="00EC2189">
      <w:pPr>
        <w:ind w:left="851"/>
        <w:rPr>
          <w:sz w:val="24"/>
          <w:szCs w:val="24"/>
          <w:lang w:val="en-GB"/>
        </w:rPr>
      </w:pPr>
      <w:proofErr w:type="spellStart"/>
      <w:r w:rsidRPr="002E15A9">
        <w:rPr>
          <w:sz w:val="24"/>
          <w:szCs w:val="24"/>
          <w:lang w:val="en-GB"/>
        </w:rPr>
        <w:t>Indigotine</w:t>
      </w:r>
      <w:proofErr w:type="spellEnd"/>
      <w:r w:rsidRPr="002E15A9">
        <w:rPr>
          <w:sz w:val="24"/>
          <w:szCs w:val="24"/>
          <w:lang w:val="en-GB"/>
        </w:rPr>
        <w:t xml:space="preserve"> – FD&amp;C Blue 2 </w:t>
      </w:r>
      <w:bookmarkStart w:id="5" w:name="_Hlk96449558"/>
      <w:r w:rsidRPr="002E15A9">
        <w:rPr>
          <w:sz w:val="24"/>
          <w:szCs w:val="24"/>
          <w:lang w:val="en-GB"/>
        </w:rPr>
        <w:t>(E132)</w:t>
      </w:r>
      <w:bookmarkEnd w:id="5"/>
    </w:p>
    <w:p w14:paraId="746C7C3C" w14:textId="77777777" w:rsidR="002746A7" w:rsidRPr="002E15A9" w:rsidRDefault="002746A7" w:rsidP="00EC2189">
      <w:pPr>
        <w:ind w:left="851"/>
        <w:rPr>
          <w:sz w:val="24"/>
          <w:szCs w:val="24"/>
          <w:lang w:val="en-GB"/>
        </w:rPr>
      </w:pPr>
    </w:p>
    <w:p w14:paraId="00E6F9BE" w14:textId="77777777" w:rsidR="002746A7" w:rsidRPr="002177D4" w:rsidRDefault="002746A7" w:rsidP="00EC2189">
      <w:pPr>
        <w:ind w:left="851"/>
        <w:rPr>
          <w:sz w:val="24"/>
          <w:szCs w:val="24"/>
          <w:lang w:val="nl-NL"/>
        </w:rPr>
      </w:pPr>
      <w:r w:rsidRPr="002177D4">
        <w:rPr>
          <w:sz w:val="24"/>
          <w:szCs w:val="24"/>
          <w:lang w:val="nl-NL"/>
        </w:rPr>
        <w:t>70 mg:</w:t>
      </w:r>
    </w:p>
    <w:p w14:paraId="3807AFE3" w14:textId="77777777" w:rsidR="002746A7" w:rsidRPr="002177D4" w:rsidRDefault="002746A7" w:rsidP="00EC2189">
      <w:pPr>
        <w:ind w:left="851"/>
        <w:rPr>
          <w:sz w:val="24"/>
          <w:szCs w:val="24"/>
          <w:lang w:val="nl-NL"/>
        </w:rPr>
      </w:pPr>
      <w:r w:rsidRPr="002177D4">
        <w:rPr>
          <w:sz w:val="24"/>
          <w:szCs w:val="24"/>
          <w:lang w:val="nl-NL"/>
        </w:rPr>
        <w:t>Titanium dioxide (E171)</w:t>
      </w:r>
    </w:p>
    <w:p w14:paraId="19F36458" w14:textId="77777777" w:rsidR="002746A7" w:rsidRPr="002177D4" w:rsidRDefault="002746A7" w:rsidP="00EC2189">
      <w:pPr>
        <w:ind w:left="851"/>
        <w:rPr>
          <w:sz w:val="24"/>
          <w:szCs w:val="24"/>
          <w:lang w:val="nl-NL"/>
        </w:rPr>
      </w:pPr>
      <w:r w:rsidRPr="002177D4">
        <w:rPr>
          <w:sz w:val="24"/>
          <w:szCs w:val="24"/>
          <w:lang w:val="nl-NL"/>
        </w:rPr>
        <w:t>Iron oxide yellow (E172)</w:t>
      </w:r>
    </w:p>
    <w:p w14:paraId="295D50D9" w14:textId="77777777" w:rsidR="002746A7" w:rsidRPr="002177D4" w:rsidRDefault="002746A7" w:rsidP="00EC2189">
      <w:pPr>
        <w:ind w:left="851"/>
        <w:rPr>
          <w:sz w:val="24"/>
          <w:szCs w:val="24"/>
          <w:lang w:val="en-GB"/>
        </w:rPr>
      </w:pPr>
      <w:r w:rsidRPr="002E15A9">
        <w:rPr>
          <w:sz w:val="24"/>
          <w:szCs w:val="24"/>
          <w:lang w:val="en-US"/>
        </w:rPr>
        <w:t>Iron oxide black (E172)</w:t>
      </w:r>
    </w:p>
    <w:p w14:paraId="7BF3563E" w14:textId="77777777" w:rsidR="002746A7" w:rsidRPr="002177D4" w:rsidRDefault="002746A7" w:rsidP="00EC2189">
      <w:pPr>
        <w:ind w:left="851"/>
        <w:rPr>
          <w:sz w:val="24"/>
          <w:szCs w:val="24"/>
          <w:lang w:val="en-GB"/>
        </w:rPr>
      </w:pPr>
      <w:r w:rsidRPr="002E15A9">
        <w:rPr>
          <w:sz w:val="24"/>
          <w:szCs w:val="24"/>
          <w:lang w:val="en-US"/>
        </w:rPr>
        <w:t>Iron oxide red (E172)</w:t>
      </w:r>
    </w:p>
    <w:p w14:paraId="41407851" w14:textId="77777777" w:rsidR="002746A7" w:rsidRPr="002177D4" w:rsidRDefault="002746A7" w:rsidP="00EC2189">
      <w:pPr>
        <w:ind w:left="851"/>
        <w:rPr>
          <w:sz w:val="24"/>
          <w:szCs w:val="24"/>
          <w:lang w:val="en-GB"/>
        </w:rPr>
      </w:pPr>
    </w:p>
    <w:p w14:paraId="61549590" w14:textId="77777777" w:rsidR="002746A7" w:rsidRPr="004D7D2F" w:rsidRDefault="002746A7" w:rsidP="00EC2189">
      <w:pPr>
        <w:ind w:left="851"/>
        <w:rPr>
          <w:sz w:val="24"/>
          <w:szCs w:val="24"/>
          <w:u w:val="single"/>
          <w:lang w:val="en-GB"/>
        </w:rPr>
      </w:pPr>
      <w:r w:rsidRPr="004D7D2F">
        <w:rPr>
          <w:sz w:val="24"/>
          <w:szCs w:val="24"/>
          <w:u w:val="single"/>
          <w:lang w:val="en-GB"/>
        </w:rPr>
        <w:t xml:space="preserve">Printing Ink </w:t>
      </w:r>
    </w:p>
    <w:p w14:paraId="04FAA2DD" w14:textId="77777777" w:rsidR="002746A7" w:rsidRPr="002177D4" w:rsidRDefault="002746A7" w:rsidP="00EC2189">
      <w:pPr>
        <w:ind w:left="851"/>
        <w:rPr>
          <w:sz w:val="24"/>
          <w:szCs w:val="24"/>
          <w:lang w:val="en-GB"/>
        </w:rPr>
      </w:pPr>
      <w:r w:rsidRPr="002177D4">
        <w:rPr>
          <w:sz w:val="24"/>
          <w:szCs w:val="24"/>
          <w:lang w:val="en-GB"/>
        </w:rPr>
        <w:t>Shellac (E904)</w:t>
      </w:r>
    </w:p>
    <w:p w14:paraId="1E469AD4" w14:textId="77777777" w:rsidR="002746A7" w:rsidRPr="002177D4" w:rsidRDefault="002746A7" w:rsidP="00EC2189">
      <w:pPr>
        <w:ind w:left="851"/>
        <w:rPr>
          <w:sz w:val="24"/>
          <w:szCs w:val="24"/>
          <w:lang w:val="en-GB"/>
        </w:rPr>
      </w:pPr>
      <w:r w:rsidRPr="002E15A9">
        <w:rPr>
          <w:sz w:val="24"/>
          <w:szCs w:val="24"/>
          <w:lang w:val="en-US"/>
        </w:rPr>
        <w:t>Iron oxide black (E172)</w:t>
      </w:r>
    </w:p>
    <w:p w14:paraId="15AE86BE" w14:textId="77777777" w:rsidR="002746A7" w:rsidRPr="002177D4" w:rsidRDefault="002746A7" w:rsidP="00EC2189">
      <w:pPr>
        <w:ind w:left="851"/>
        <w:rPr>
          <w:sz w:val="24"/>
          <w:szCs w:val="24"/>
          <w:lang w:val="en-GB"/>
        </w:rPr>
      </w:pPr>
      <w:r w:rsidRPr="002177D4">
        <w:rPr>
          <w:sz w:val="24"/>
          <w:szCs w:val="24"/>
          <w:lang w:val="en-GB"/>
        </w:rPr>
        <w:t>Propylene glycol (E1520)</w:t>
      </w:r>
    </w:p>
    <w:p w14:paraId="6373E4B0" w14:textId="77777777" w:rsidR="002746A7" w:rsidRPr="002177D4" w:rsidRDefault="002746A7" w:rsidP="00EC2189">
      <w:pPr>
        <w:ind w:left="851"/>
        <w:rPr>
          <w:sz w:val="24"/>
          <w:szCs w:val="24"/>
          <w:lang w:val="en-GB"/>
        </w:rPr>
      </w:pPr>
      <w:r w:rsidRPr="002177D4">
        <w:rPr>
          <w:sz w:val="24"/>
          <w:szCs w:val="24"/>
          <w:lang w:val="en-GB"/>
        </w:rPr>
        <w:t>Strong ammonia solution (E527)</w:t>
      </w:r>
    </w:p>
    <w:p w14:paraId="70192095" w14:textId="77777777" w:rsidR="002746A7" w:rsidRPr="002177D4" w:rsidRDefault="002746A7" w:rsidP="00EC2189">
      <w:pPr>
        <w:ind w:left="851"/>
        <w:rPr>
          <w:sz w:val="24"/>
          <w:szCs w:val="24"/>
          <w:lang w:val="en-GB"/>
        </w:rPr>
      </w:pPr>
      <w:r w:rsidRPr="002177D4">
        <w:rPr>
          <w:sz w:val="24"/>
          <w:szCs w:val="24"/>
          <w:lang w:val="en-GB"/>
        </w:rPr>
        <w:t>Potassium hydroxide (E525)</w:t>
      </w:r>
    </w:p>
    <w:p w14:paraId="13947AA5" w14:textId="77777777" w:rsidR="007C5D2A" w:rsidRPr="002177D4" w:rsidRDefault="007C5D2A" w:rsidP="003D727E">
      <w:pPr>
        <w:tabs>
          <w:tab w:val="left" w:pos="851"/>
        </w:tabs>
        <w:ind w:left="851"/>
        <w:rPr>
          <w:sz w:val="24"/>
          <w:szCs w:val="24"/>
          <w:lang w:val="en-GB"/>
        </w:rPr>
      </w:pPr>
    </w:p>
    <w:p w14:paraId="4231DA64" w14:textId="77777777" w:rsidR="007C5D2A" w:rsidRPr="002177D4" w:rsidRDefault="007C5D2A" w:rsidP="007C5D2A">
      <w:pPr>
        <w:ind w:left="851" w:hanging="851"/>
        <w:rPr>
          <w:b/>
          <w:sz w:val="24"/>
          <w:szCs w:val="24"/>
          <w:lang w:val="en-GB"/>
        </w:rPr>
      </w:pPr>
      <w:r w:rsidRPr="002177D4">
        <w:rPr>
          <w:b/>
          <w:sz w:val="24"/>
          <w:szCs w:val="24"/>
          <w:lang w:val="en-GB"/>
        </w:rPr>
        <w:t>6.2</w:t>
      </w:r>
      <w:r w:rsidRPr="002177D4">
        <w:rPr>
          <w:b/>
          <w:sz w:val="24"/>
          <w:szCs w:val="24"/>
          <w:lang w:val="en-GB"/>
        </w:rPr>
        <w:tab/>
        <w:t>Incompatibilities</w:t>
      </w:r>
    </w:p>
    <w:p w14:paraId="2F5519A4" w14:textId="77777777" w:rsidR="002746A7" w:rsidRPr="002177D4" w:rsidRDefault="002746A7" w:rsidP="00EC2189">
      <w:pPr>
        <w:ind w:left="851"/>
        <w:rPr>
          <w:sz w:val="24"/>
          <w:szCs w:val="24"/>
          <w:lang w:val="en-GB"/>
        </w:rPr>
      </w:pPr>
      <w:r w:rsidRPr="002177D4">
        <w:rPr>
          <w:sz w:val="24"/>
          <w:szCs w:val="24"/>
          <w:lang w:val="en-GB"/>
        </w:rPr>
        <w:t xml:space="preserve">Not applicable. </w:t>
      </w:r>
    </w:p>
    <w:p w14:paraId="040FBF87" w14:textId="77777777" w:rsidR="007C5D2A" w:rsidRPr="002177D4" w:rsidRDefault="007C5D2A" w:rsidP="003E0341">
      <w:pPr>
        <w:tabs>
          <w:tab w:val="left" w:pos="851"/>
        </w:tabs>
        <w:ind w:left="851"/>
        <w:rPr>
          <w:sz w:val="24"/>
          <w:szCs w:val="24"/>
          <w:lang w:val="en-GB"/>
        </w:rPr>
      </w:pPr>
    </w:p>
    <w:p w14:paraId="6B3359AF" w14:textId="77777777" w:rsidR="007C5D2A" w:rsidRPr="002177D4" w:rsidRDefault="007C5D2A" w:rsidP="007C5D2A">
      <w:pPr>
        <w:ind w:left="851" w:hanging="851"/>
        <w:rPr>
          <w:b/>
          <w:sz w:val="24"/>
          <w:szCs w:val="24"/>
          <w:lang w:val="en-GB"/>
        </w:rPr>
      </w:pPr>
      <w:r w:rsidRPr="002177D4">
        <w:rPr>
          <w:b/>
          <w:sz w:val="24"/>
          <w:szCs w:val="24"/>
          <w:lang w:val="en-GB"/>
        </w:rPr>
        <w:t>6.3</w:t>
      </w:r>
      <w:r w:rsidRPr="002177D4">
        <w:rPr>
          <w:b/>
          <w:sz w:val="24"/>
          <w:szCs w:val="24"/>
          <w:lang w:val="en-GB"/>
        </w:rPr>
        <w:tab/>
        <w:t>Shelf</w:t>
      </w:r>
      <w:r w:rsidR="00B45DC5" w:rsidRPr="002177D4">
        <w:rPr>
          <w:b/>
          <w:sz w:val="24"/>
          <w:szCs w:val="24"/>
          <w:lang w:val="en-GB"/>
        </w:rPr>
        <w:t xml:space="preserve"> </w:t>
      </w:r>
      <w:r w:rsidRPr="002177D4">
        <w:rPr>
          <w:b/>
          <w:sz w:val="24"/>
          <w:szCs w:val="24"/>
          <w:lang w:val="en-GB"/>
        </w:rPr>
        <w:t>life</w:t>
      </w:r>
    </w:p>
    <w:p w14:paraId="6798182F" w14:textId="77777777" w:rsidR="002746A7" w:rsidRPr="002177D4" w:rsidRDefault="002746A7" w:rsidP="00EC2189">
      <w:pPr>
        <w:ind w:left="851"/>
        <w:rPr>
          <w:sz w:val="24"/>
          <w:szCs w:val="24"/>
          <w:lang w:val="en-GB"/>
        </w:rPr>
      </w:pPr>
      <w:r w:rsidRPr="002177D4">
        <w:rPr>
          <w:sz w:val="24"/>
          <w:szCs w:val="24"/>
          <w:lang w:val="en-GB"/>
        </w:rPr>
        <w:t>2 years</w:t>
      </w:r>
    </w:p>
    <w:p w14:paraId="4384D575" w14:textId="77777777" w:rsidR="007C5D2A" w:rsidRPr="002177D4" w:rsidRDefault="007C5D2A" w:rsidP="003E0341">
      <w:pPr>
        <w:tabs>
          <w:tab w:val="left" w:pos="851"/>
        </w:tabs>
        <w:ind w:left="851"/>
        <w:rPr>
          <w:sz w:val="24"/>
          <w:szCs w:val="24"/>
          <w:lang w:val="en-GB"/>
        </w:rPr>
      </w:pPr>
    </w:p>
    <w:p w14:paraId="59FDC12B" w14:textId="77777777" w:rsidR="007C5D2A" w:rsidRPr="002177D4" w:rsidRDefault="007C5D2A" w:rsidP="007C5D2A">
      <w:pPr>
        <w:ind w:left="851" w:hanging="851"/>
        <w:rPr>
          <w:b/>
          <w:sz w:val="24"/>
          <w:szCs w:val="24"/>
          <w:lang w:val="en-GB"/>
        </w:rPr>
      </w:pPr>
      <w:r w:rsidRPr="002177D4">
        <w:rPr>
          <w:b/>
          <w:sz w:val="24"/>
          <w:szCs w:val="24"/>
          <w:lang w:val="en-GB"/>
        </w:rPr>
        <w:t>6.4</w:t>
      </w:r>
      <w:r w:rsidRPr="002177D4">
        <w:rPr>
          <w:b/>
          <w:sz w:val="24"/>
          <w:szCs w:val="24"/>
          <w:lang w:val="en-GB"/>
        </w:rPr>
        <w:tab/>
        <w:t>Special precautions for storage</w:t>
      </w:r>
    </w:p>
    <w:p w14:paraId="2EF22D7C" w14:textId="710DD4F6" w:rsidR="002746A7" w:rsidRPr="002177D4" w:rsidRDefault="002746A7" w:rsidP="00EC2189">
      <w:pPr>
        <w:ind w:left="851"/>
        <w:rPr>
          <w:sz w:val="24"/>
          <w:szCs w:val="24"/>
          <w:lang w:val="en-GB"/>
        </w:rPr>
      </w:pPr>
      <w:r w:rsidRPr="002177D4">
        <w:rPr>
          <w:sz w:val="24"/>
          <w:szCs w:val="24"/>
          <w:lang w:val="en-GB"/>
        </w:rPr>
        <w:t>Do not store above 25</w:t>
      </w:r>
      <w:r w:rsidR="004D7D2F">
        <w:rPr>
          <w:sz w:val="24"/>
          <w:szCs w:val="24"/>
          <w:lang w:val="en-GB"/>
        </w:rPr>
        <w:t xml:space="preserve"> </w:t>
      </w:r>
      <w:r w:rsidRPr="002177D4">
        <w:rPr>
          <w:sz w:val="24"/>
          <w:szCs w:val="24"/>
          <w:lang w:val="en-GB"/>
        </w:rPr>
        <w:sym w:font="Symbol" w:char="F0B0"/>
      </w:r>
      <w:r w:rsidRPr="002177D4">
        <w:rPr>
          <w:sz w:val="24"/>
          <w:szCs w:val="24"/>
          <w:lang w:val="en-GB"/>
        </w:rPr>
        <w:t>C.</w:t>
      </w:r>
    </w:p>
    <w:p w14:paraId="4FF8E623" w14:textId="77777777" w:rsidR="007C5D2A" w:rsidRPr="002177D4" w:rsidRDefault="007C5D2A" w:rsidP="003E0341">
      <w:pPr>
        <w:tabs>
          <w:tab w:val="left" w:pos="851"/>
        </w:tabs>
        <w:ind w:left="851"/>
        <w:rPr>
          <w:sz w:val="24"/>
          <w:szCs w:val="24"/>
          <w:lang w:val="en-GB"/>
        </w:rPr>
      </w:pPr>
    </w:p>
    <w:p w14:paraId="1AA1B671" w14:textId="77777777" w:rsidR="007C5D2A" w:rsidRPr="002177D4" w:rsidRDefault="007C5D2A" w:rsidP="007C5D2A">
      <w:pPr>
        <w:ind w:left="851" w:hanging="851"/>
        <w:rPr>
          <w:b/>
          <w:sz w:val="24"/>
          <w:szCs w:val="24"/>
          <w:lang w:val="en-GB"/>
        </w:rPr>
      </w:pPr>
      <w:r w:rsidRPr="002177D4">
        <w:rPr>
          <w:b/>
          <w:sz w:val="24"/>
          <w:szCs w:val="24"/>
          <w:lang w:val="en-GB"/>
        </w:rPr>
        <w:t>6.5</w:t>
      </w:r>
      <w:r w:rsidRPr="002177D4">
        <w:rPr>
          <w:b/>
          <w:sz w:val="24"/>
          <w:szCs w:val="24"/>
          <w:lang w:val="en-GB"/>
        </w:rPr>
        <w:tab/>
        <w:t>Nature and contents of container</w:t>
      </w:r>
    </w:p>
    <w:p w14:paraId="70C36A9E" w14:textId="77777777" w:rsidR="002746A7" w:rsidRPr="002177D4" w:rsidRDefault="002746A7" w:rsidP="00EC2189">
      <w:pPr>
        <w:ind w:left="851"/>
        <w:rPr>
          <w:sz w:val="24"/>
          <w:szCs w:val="24"/>
          <w:lang w:val="en-GB"/>
        </w:rPr>
      </w:pPr>
      <w:bookmarkStart w:id="6" w:name="_Hlk94620693"/>
      <w:r w:rsidRPr="002177D4">
        <w:rPr>
          <w:sz w:val="24"/>
          <w:szCs w:val="24"/>
          <w:lang w:val="en-GB"/>
        </w:rPr>
        <w:t>HDPE bottle with a child-resistant PP cap</w:t>
      </w:r>
      <w:bookmarkEnd w:id="6"/>
      <w:r w:rsidRPr="002177D4">
        <w:rPr>
          <w:sz w:val="24"/>
          <w:szCs w:val="24"/>
          <w:lang w:val="en-GB"/>
        </w:rPr>
        <w:t>: 28 or 30 hard capsules</w:t>
      </w:r>
    </w:p>
    <w:p w14:paraId="13DE17ED" w14:textId="77777777" w:rsidR="002746A7" w:rsidRPr="002177D4" w:rsidRDefault="002746A7" w:rsidP="00EC2189">
      <w:pPr>
        <w:ind w:left="851"/>
        <w:rPr>
          <w:sz w:val="24"/>
          <w:szCs w:val="24"/>
          <w:lang w:val="en-GB"/>
        </w:rPr>
      </w:pPr>
    </w:p>
    <w:p w14:paraId="4A48A18F" w14:textId="77777777" w:rsidR="002746A7" w:rsidRPr="002177D4" w:rsidRDefault="002746A7" w:rsidP="00EC2189">
      <w:pPr>
        <w:ind w:left="851"/>
        <w:rPr>
          <w:sz w:val="24"/>
          <w:szCs w:val="24"/>
          <w:lang w:val="en-GB"/>
        </w:rPr>
      </w:pPr>
      <w:r w:rsidRPr="002177D4">
        <w:rPr>
          <w:sz w:val="24"/>
          <w:szCs w:val="24"/>
          <w:lang w:val="en-GB"/>
        </w:rPr>
        <w:t>Not all pack sizes may be marketed.</w:t>
      </w:r>
    </w:p>
    <w:p w14:paraId="72F8D92F" w14:textId="77777777" w:rsidR="007C5D2A" w:rsidRPr="002177D4" w:rsidRDefault="007C5D2A" w:rsidP="003E0341">
      <w:pPr>
        <w:tabs>
          <w:tab w:val="left" w:pos="851"/>
        </w:tabs>
        <w:ind w:left="851"/>
        <w:rPr>
          <w:sz w:val="24"/>
          <w:szCs w:val="24"/>
          <w:lang w:val="en-GB"/>
        </w:rPr>
      </w:pPr>
    </w:p>
    <w:p w14:paraId="4FB0D75C" w14:textId="77777777" w:rsidR="007C5D2A" w:rsidRPr="002177D4" w:rsidRDefault="007C5D2A" w:rsidP="007C5D2A">
      <w:pPr>
        <w:ind w:left="851" w:hanging="851"/>
        <w:rPr>
          <w:b/>
          <w:sz w:val="24"/>
          <w:szCs w:val="24"/>
          <w:lang w:val="en-GB"/>
        </w:rPr>
      </w:pPr>
      <w:r w:rsidRPr="002177D4">
        <w:rPr>
          <w:b/>
          <w:sz w:val="24"/>
          <w:szCs w:val="24"/>
          <w:lang w:val="en-GB"/>
        </w:rPr>
        <w:t>6.6</w:t>
      </w:r>
      <w:r w:rsidRPr="002177D4">
        <w:rPr>
          <w:b/>
          <w:sz w:val="24"/>
          <w:szCs w:val="24"/>
          <w:lang w:val="en-GB"/>
        </w:rPr>
        <w:tab/>
        <w:t>Special precautions for disposal and other handling</w:t>
      </w:r>
    </w:p>
    <w:p w14:paraId="4E42C4DB" w14:textId="2AB9FB9A" w:rsidR="007C5D2A" w:rsidRPr="002177D4" w:rsidRDefault="002746A7" w:rsidP="004D7D2F">
      <w:pPr>
        <w:ind w:left="851"/>
        <w:rPr>
          <w:sz w:val="24"/>
          <w:szCs w:val="24"/>
          <w:lang w:val="en-GB"/>
        </w:rPr>
      </w:pPr>
      <w:r w:rsidRPr="002177D4">
        <w:rPr>
          <w:sz w:val="24"/>
          <w:szCs w:val="24"/>
          <w:lang w:val="en-GB"/>
        </w:rPr>
        <w:t>Any unused medicinal product or waste material should be disposed of in accordance with local requirements.</w:t>
      </w:r>
    </w:p>
    <w:p w14:paraId="7286D6A1" w14:textId="77777777" w:rsidR="007C5D2A" w:rsidRPr="002177D4" w:rsidRDefault="007C5D2A" w:rsidP="00AB4376">
      <w:pPr>
        <w:tabs>
          <w:tab w:val="left" w:pos="851"/>
        </w:tabs>
        <w:ind w:left="851"/>
        <w:rPr>
          <w:sz w:val="24"/>
          <w:szCs w:val="24"/>
          <w:lang w:val="en-GB"/>
        </w:rPr>
      </w:pPr>
    </w:p>
    <w:p w14:paraId="39E4CCDC" w14:textId="77777777" w:rsidR="007C5D2A" w:rsidRPr="002177D4" w:rsidRDefault="007C5D2A" w:rsidP="007C5D2A">
      <w:pPr>
        <w:tabs>
          <w:tab w:val="left" w:pos="851"/>
        </w:tabs>
        <w:ind w:left="851" w:hanging="851"/>
        <w:jc w:val="both"/>
        <w:rPr>
          <w:b/>
          <w:sz w:val="24"/>
          <w:szCs w:val="24"/>
          <w:lang w:val="en-GB"/>
        </w:rPr>
      </w:pPr>
      <w:r w:rsidRPr="002177D4">
        <w:rPr>
          <w:b/>
          <w:sz w:val="24"/>
          <w:szCs w:val="24"/>
          <w:lang w:val="en-GB"/>
        </w:rPr>
        <w:t>7.</w:t>
      </w:r>
      <w:r w:rsidRPr="002177D4">
        <w:rPr>
          <w:b/>
          <w:sz w:val="24"/>
          <w:szCs w:val="24"/>
          <w:lang w:val="en-GB"/>
        </w:rPr>
        <w:tab/>
        <w:t>MARKETING AUTHORISATION HOLDER</w:t>
      </w:r>
    </w:p>
    <w:p w14:paraId="1993DCD4" w14:textId="746825D4" w:rsidR="007C5D2A" w:rsidRPr="002177D4" w:rsidRDefault="00D27D11" w:rsidP="00A85D26">
      <w:pPr>
        <w:tabs>
          <w:tab w:val="left" w:pos="851"/>
        </w:tabs>
        <w:ind w:left="851"/>
        <w:jc w:val="both"/>
        <w:rPr>
          <w:sz w:val="24"/>
          <w:szCs w:val="24"/>
          <w:lang w:val="en-GB"/>
        </w:rPr>
      </w:pPr>
      <w:r w:rsidRPr="002177D4">
        <w:rPr>
          <w:sz w:val="24"/>
          <w:szCs w:val="24"/>
          <w:lang w:val="en-GB"/>
        </w:rPr>
        <w:t>Sandoz A/S</w:t>
      </w:r>
    </w:p>
    <w:p w14:paraId="5A802103" w14:textId="08C75629" w:rsidR="00D27D11" w:rsidRPr="002177D4" w:rsidRDefault="00D27D11" w:rsidP="00A85D26">
      <w:pPr>
        <w:tabs>
          <w:tab w:val="left" w:pos="851"/>
        </w:tabs>
        <w:ind w:left="851"/>
        <w:jc w:val="both"/>
        <w:rPr>
          <w:sz w:val="24"/>
          <w:szCs w:val="24"/>
          <w:lang w:val="en-GB"/>
        </w:rPr>
      </w:pPr>
      <w:r w:rsidRPr="002177D4">
        <w:rPr>
          <w:sz w:val="24"/>
          <w:szCs w:val="24"/>
          <w:lang w:val="en-GB"/>
        </w:rPr>
        <w:t xml:space="preserve">Edvard </w:t>
      </w:r>
      <w:proofErr w:type="spellStart"/>
      <w:r w:rsidRPr="002177D4">
        <w:rPr>
          <w:sz w:val="24"/>
          <w:szCs w:val="24"/>
          <w:lang w:val="en-GB"/>
        </w:rPr>
        <w:t>Thomsens</w:t>
      </w:r>
      <w:proofErr w:type="spellEnd"/>
      <w:r w:rsidRPr="002177D4">
        <w:rPr>
          <w:sz w:val="24"/>
          <w:szCs w:val="24"/>
          <w:lang w:val="en-GB"/>
        </w:rPr>
        <w:t xml:space="preserve"> </w:t>
      </w:r>
      <w:proofErr w:type="spellStart"/>
      <w:r w:rsidRPr="002177D4">
        <w:rPr>
          <w:sz w:val="24"/>
          <w:szCs w:val="24"/>
          <w:lang w:val="en-GB"/>
        </w:rPr>
        <w:t>Vej</w:t>
      </w:r>
      <w:proofErr w:type="spellEnd"/>
      <w:r w:rsidRPr="002177D4">
        <w:rPr>
          <w:sz w:val="24"/>
          <w:szCs w:val="24"/>
          <w:lang w:val="en-GB"/>
        </w:rPr>
        <w:t xml:space="preserve"> 14</w:t>
      </w:r>
    </w:p>
    <w:p w14:paraId="62410AD4" w14:textId="1A416B13" w:rsidR="00D27D11" w:rsidRPr="002177D4" w:rsidRDefault="00D27D11" w:rsidP="00A85D26">
      <w:pPr>
        <w:tabs>
          <w:tab w:val="left" w:pos="851"/>
        </w:tabs>
        <w:ind w:left="851"/>
        <w:jc w:val="both"/>
        <w:rPr>
          <w:sz w:val="24"/>
          <w:szCs w:val="24"/>
          <w:lang w:val="en-GB"/>
        </w:rPr>
      </w:pPr>
      <w:r w:rsidRPr="002177D4">
        <w:rPr>
          <w:sz w:val="24"/>
          <w:szCs w:val="24"/>
          <w:lang w:val="en-GB"/>
        </w:rPr>
        <w:t xml:space="preserve">2300 </w:t>
      </w:r>
      <w:proofErr w:type="spellStart"/>
      <w:r w:rsidRPr="002177D4">
        <w:rPr>
          <w:sz w:val="24"/>
          <w:szCs w:val="24"/>
          <w:lang w:val="en-GB"/>
        </w:rPr>
        <w:t>København</w:t>
      </w:r>
      <w:proofErr w:type="spellEnd"/>
      <w:r w:rsidRPr="002177D4">
        <w:rPr>
          <w:sz w:val="24"/>
          <w:szCs w:val="24"/>
          <w:lang w:val="en-GB"/>
        </w:rPr>
        <w:t xml:space="preserve"> S</w:t>
      </w:r>
    </w:p>
    <w:p w14:paraId="0EA4BEA8" w14:textId="77777777" w:rsidR="008A24F6" w:rsidRPr="002177D4" w:rsidRDefault="008A24F6" w:rsidP="003E0341">
      <w:pPr>
        <w:tabs>
          <w:tab w:val="left" w:pos="851"/>
        </w:tabs>
        <w:ind w:left="851"/>
        <w:jc w:val="both"/>
        <w:rPr>
          <w:sz w:val="24"/>
          <w:szCs w:val="24"/>
          <w:lang w:val="en-GB"/>
        </w:rPr>
      </w:pPr>
    </w:p>
    <w:p w14:paraId="6132F56B" w14:textId="77777777" w:rsidR="007C5D2A" w:rsidRPr="002177D4" w:rsidRDefault="007C5D2A" w:rsidP="007C5D2A">
      <w:pPr>
        <w:ind w:left="851" w:hanging="851"/>
        <w:jc w:val="both"/>
        <w:rPr>
          <w:b/>
          <w:sz w:val="24"/>
          <w:szCs w:val="24"/>
          <w:lang w:val="en-GB"/>
        </w:rPr>
      </w:pPr>
      <w:r w:rsidRPr="002177D4">
        <w:rPr>
          <w:b/>
          <w:sz w:val="24"/>
          <w:szCs w:val="24"/>
          <w:lang w:val="en-GB"/>
        </w:rPr>
        <w:t>8.</w:t>
      </w:r>
      <w:r w:rsidRPr="002177D4">
        <w:rPr>
          <w:b/>
          <w:sz w:val="24"/>
          <w:szCs w:val="24"/>
          <w:lang w:val="en-GB"/>
        </w:rPr>
        <w:tab/>
        <w:t>MARKETING AUTHORISATION NUMBER(S)</w:t>
      </w:r>
    </w:p>
    <w:p w14:paraId="7AFDE129" w14:textId="2CC520FC" w:rsidR="007C5D2A" w:rsidRPr="002177D4" w:rsidRDefault="00D27D11" w:rsidP="00A85D26">
      <w:pPr>
        <w:tabs>
          <w:tab w:val="left" w:pos="851"/>
        </w:tabs>
        <w:ind w:left="851"/>
        <w:jc w:val="both"/>
        <w:rPr>
          <w:sz w:val="24"/>
          <w:szCs w:val="24"/>
          <w:lang w:val="en-GB"/>
        </w:rPr>
      </w:pPr>
      <w:r w:rsidRPr="002177D4">
        <w:rPr>
          <w:sz w:val="24"/>
          <w:szCs w:val="24"/>
          <w:lang w:val="en-GB"/>
        </w:rPr>
        <w:t>30 mg: 67545</w:t>
      </w:r>
    </w:p>
    <w:p w14:paraId="7898E683" w14:textId="4DF51506" w:rsidR="00D27D11" w:rsidRPr="002177D4" w:rsidRDefault="00D27D11" w:rsidP="00A85D26">
      <w:pPr>
        <w:tabs>
          <w:tab w:val="left" w:pos="851"/>
        </w:tabs>
        <w:ind w:left="851"/>
        <w:jc w:val="both"/>
        <w:rPr>
          <w:sz w:val="24"/>
          <w:szCs w:val="24"/>
          <w:lang w:val="en-GB"/>
        </w:rPr>
      </w:pPr>
      <w:r w:rsidRPr="002177D4">
        <w:rPr>
          <w:sz w:val="24"/>
          <w:szCs w:val="24"/>
          <w:lang w:val="en-GB"/>
        </w:rPr>
        <w:t>50 mg: 67546</w:t>
      </w:r>
    </w:p>
    <w:p w14:paraId="55EE28C3" w14:textId="18946C3E" w:rsidR="00D27D11" w:rsidRPr="002177D4" w:rsidRDefault="00D27D11" w:rsidP="00A85D26">
      <w:pPr>
        <w:tabs>
          <w:tab w:val="left" w:pos="851"/>
        </w:tabs>
        <w:ind w:left="851"/>
        <w:jc w:val="both"/>
        <w:rPr>
          <w:sz w:val="24"/>
          <w:szCs w:val="24"/>
          <w:lang w:val="en-GB"/>
        </w:rPr>
      </w:pPr>
      <w:r w:rsidRPr="002177D4">
        <w:rPr>
          <w:sz w:val="24"/>
          <w:szCs w:val="24"/>
          <w:lang w:val="en-GB"/>
        </w:rPr>
        <w:t>70 mg: 67547</w:t>
      </w:r>
    </w:p>
    <w:p w14:paraId="78B3D32F" w14:textId="77777777" w:rsidR="007C5D2A" w:rsidRPr="002177D4" w:rsidRDefault="007C5D2A" w:rsidP="00180A12">
      <w:pPr>
        <w:tabs>
          <w:tab w:val="left" w:pos="851"/>
        </w:tabs>
        <w:ind w:left="851"/>
        <w:jc w:val="both"/>
        <w:rPr>
          <w:sz w:val="24"/>
          <w:szCs w:val="24"/>
          <w:lang w:val="en-GB"/>
        </w:rPr>
      </w:pPr>
    </w:p>
    <w:p w14:paraId="25B9A47E" w14:textId="77777777" w:rsidR="007C5D2A" w:rsidRPr="002177D4" w:rsidRDefault="007C5D2A" w:rsidP="007C5D2A">
      <w:pPr>
        <w:tabs>
          <w:tab w:val="left" w:pos="851"/>
        </w:tabs>
        <w:jc w:val="both"/>
        <w:rPr>
          <w:sz w:val="24"/>
          <w:szCs w:val="24"/>
          <w:lang w:val="en-GB"/>
        </w:rPr>
      </w:pPr>
      <w:r w:rsidRPr="002177D4">
        <w:rPr>
          <w:b/>
          <w:sz w:val="24"/>
          <w:szCs w:val="24"/>
          <w:lang w:val="en-GB"/>
        </w:rPr>
        <w:t>9.</w:t>
      </w:r>
      <w:r w:rsidRPr="002177D4">
        <w:rPr>
          <w:b/>
          <w:sz w:val="24"/>
          <w:szCs w:val="24"/>
          <w:lang w:val="en-GB"/>
        </w:rPr>
        <w:tab/>
        <w:t>DATE OF FIRST AUTHORISATION</w:t>
      </w:r>
    </w:p>
    <w:p w14:paraId="5DE83756" w14:textId="4F4C6DAD" w:rsidR="007C5D2A" w:rsidRPr="002177D4" w:rsidRDefault="002E15A9" w:rsidP="00A85D26">
      <w:pPr>
        <w:ind w:left="851"/>
        <w:jc w:val="both"/>
        <w:rPr>
          <w:sz w:val="24"/>
          <w:szCs w:val="24"/>
          <w:lang w:val="en-GB"/>
        </w:rPr>
      </w:pPr>
      <w:r>
        <w:rPr>
          <w:sz w:val="24"/>
          <w:szCs w:val="24"/>
          <w:lang w:val="en-GB"/>
        </w:rPr>
        <w:t>30 May 2024</w:t>
      </w:r>
      <w:bookmarkStart w:id="7" w:name="_GoBack"/>
      <w:bookmarkEnd w:id="7"/>
    </w:p>
    <w:p w14:paraId="309FB59C" w14:textId="77777777" w:rsidR="007C5D2A" w:rsidRPr="002177D4" w:rsidRDefault="007C5D2A" w:rsidP="003E0341">
      <w:pPr>
        <w:tabs>
          <w:tab w:val="left" w:pos="851"/>
        </w:tabs>
        <w:ind w:left="851"/>
        <w:jc w:val="both"/>
        <w:rPr>
          <w:sz w:val="24"/>
          <w:szCs w:val="24"/>
          <w:lang w:val="en-GB"/>
        </w:rPr>
      </w:pPr>
    </w:p>
    <w:p w14:paraId="7A06F391" w14:textId="77777777" w:rsidR="007C5D2A" w:rsidRPr="002177D4" w:rsidRDefault="007C5D2A" w:rsidP="007C5D2A">
      <w:pPr>
        <w:tabs>
          <w:tab w:val="left" w:pos="851"/>
        </w:tabs>
        <w:jc w:val="both"/>
        <w:rPr>
          <w:sz w:val="24"/>
          <w:szCs w:val="24"/>
          <w:lang w:val="en-GB"/>
        </w:rPr>
      </w:pPr>
      <w:r w:rsidRPr="002177D4">
        <w:rPr>
          <w:b/>
          <w:sz w:val="24"/>
          <w:szCs w:val="24"/>
          <w:lang w:val="en-GB"/>
        </w:rPr>
        <w:t>10.</w:t>
      </w:r>
      <w:r w:rsidRPr="002177D4">
        <w:rPr>
          <w:b/>
          <w:sz w:val="24"/>
          <w:szCs w:val="24"/>
          <w:lang w:val="en-GB"/>
        </w:rPr>
        <w:tab/>
        <w:t>DATE OF REVISION OF THE TEXT</w:t>
      </w:r>
    </w:p>
    <w:p w14:paraId="77BAEFF8" w14:textId="3D08DEB1" w:rsidR="007C5D2A" w:rsidRPr="002177D4" w:rsidRDefault="00D27D11" w:rsidP="003E0341">
      <w:pPr>
        <w:tabs>
          <w:tab w:val="left" w:pos="851"/>
        </w:tabs>
        <w:ind w:left="851"/>
        <w:jc w:val="both"/>
        <w:rPr>
          <w:sz w:val="24"/>
          <w:szCs w:val="24"/>
          <w:lang w:val="en-GB"/>
        </w:rPr>
      </w:pPr>
      <w:r w:rsidRPr="002177D4">
        <w:rPr>
          <w:sz w:val="24"/>
          <w:szCs w:val="24"/>
          <w:lang w:val="en-GB"/>
        </w:rPr>
        <w:t>-</w:t>
      </w:r>
    </w:p>
    <w:sectPr w:rsidR="007C5D2A" w:rsidRPr="002177D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50ECA" w14:textId="77777777" w:rsidR="006D0C86" w:rsidRDefault="006D0C86">
      <w:r>
        <w:separator/>
      </w:r>
    </w:p>
  </w:endnote>
  <w:endnote w:type="continuationSeparator" w:id="0">
    <w:p w14:paraId="415735CE" w14:textId="77777777" w:rsidR="006D0C86" w:rsidRDefault="006D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6D48D" w14:textId="77777777" w:rsidR="006D0C86" w:rsidRDefault="006D0C8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092FC" w14:textId="77777777" w:rsidR="006D0C86" w:rsidRDefault="006D0C86">
    <w:pPr>
      <w:pStyle w:val="Sidefod"/>
      <w:pBdr>
        <w:bottom w:val="single" w:sz="6" w:space="1" w:color="auto"/>
      </w:pBdr>
    </w:pPr>
  </w:p>
  <w:p w14:paraId="7B539E17" w14:textId="77777777" w:rsidR="006D0C86" w:rsidRDefault="006D0C86">
    <w:pPr>
      <w:pStyle w:val="Sidefod"/>
      <w:tabs>
        <w:tab w:val="clear" w:pos="4819"/>
        <w:tab w:val="left" w:pos="8647"/>
      </w:tabs>
      <w:rPr>
        <w:i/>
        <w:snapToGrid w:val="0"/>
        <w:sz w:val="18"/>
      </w:rPr>
    </w:pPr>
  </w:p>
  <w:p w14:paraId="51E4E2AC" w14:textId="2A89825A" w:rsidR="006D0C86" w:rsidRDefault="006D0C8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E15A9">
      <w:rPr>
        <w:i/>
        <w:noProof/>
        <w:snapToGrid w:val="0"/>
        <w:sz w:val="18"/>
      </w:rPr>
      <w:t>Lissidexanz, hårde kapsler 30 mg, 50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D7AA" w14:textId="77777777" w:rsidR="006D0C86" w:rsidRDefault="006D0C86">
    <w:pPr>
      <w:pStyle w:val="Sidefod"/>
      <w:pBdr>
        <w:bottom w:val="single" w:sz="6" w:space="1" w:color="auto"/>
      </w:pBdr>
      <w:tabs>
        <w:tab w:val="clear" w:pos="4819"/>
        <w:tab w:val="left" w:pos="8789"/>
      </w:tabs>
      <w:rPr>
        <w:i/>
        <w:snapToGrid w:val="0"/>
        <w:sz w:val="18"/>
      </w:rPr>
    </w:pPr>
  </w:p>
  <w:p w14:paraId="78A26C7F" w14:textId="77777777" w:rsidR="006D0C86" w:rsidRDefault="006D0C86">
    <w:pPr>
      <w:pStyle w:val="Sidefod"/>
      <w:tabs>
        <w:tab w:val="clear" w:pos="4819"/>
        <w:tab w:val="left" w:pos="8789"/>
      </w:tabs>
      <w:rPr>
        <w:i/>
        <w:snapToGrid w:val="0"/>
        <w:sz w:val="18"/>
      </w:rPr>
    </w:pPr>
  </w:p>
  <w:p w14:paraId="0A2938E1" w14:textId="44FA6E5B" w:rsidR="006D0C86" w:rsidRDefault="006D0C8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E15A9">
      <w:rPr>
        <w:i/>
        <w:noProof/>
        <w:snapToGrid w:val="0"/>
        <w:sz w:val="18"/>
      </w:rPr>
      <w:t>Lissidexanz, hårde kapsler 30 mg, 50 mg og 70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29ED8" w14:textId="77777777" w:rsidR="006D0C86" w:rsidRDefault="006D0C86">
      <w:r>
        <w:separator/>
      </w:r>
    </w:p>
  </w:footnote>
  <w:footnote w:type="continuationSeparator" w:id="0">
    <w:p w14:paraId="63FADD84" w14:textId="77777777" w:rsidR="006D0C86" w:rsidRDefault="006D0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ABC3" w14:textId="77777777" w:rsidR="006D0C86" w:rsidRDefault="006D0C8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E1026" w14:textId="77777777" w:rsidR="006D0C86" w:rsidRDefault="006D0C8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CBF22" w14:textId="77777777" w:rsidR="006D0C86" w:rsidRDefault="006D0C8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4"/>
    <w:multiLevelType w:val="multilevel"/>
    <w:tmpl w:val="00000887"/>
    <w:lvl w:ilvl="0">
      <w:start w:val="3"/>
      <w:numFmt w:val="decimal"/>
      <w:lvlText w:val="%1-"/>
      <w:lvlJc w:val="left"/>
      <w:pPr>
        <w:ind w:left="178" w:hanging="185"/>
      </w:pPr>
      <w:rPr>
        <w:rFonts w:ascii="Times New Roman" w:hAnsi="Times New Roman" w:cs="Times New Roman"/>
        <w:b w:val="0"/>
        <w:bCs w:val="0"/>
        <w:i w:val="0"/>
        <w:iCs w:val="0"/>
        <w:spacing w:val="-4"/>
        <w:w w:val="100"/>
        <w:sz w:val="20"/>
        <w:szCs w:val="20"/>
      </w:rPr>
    </w:lvl>
    <w:lvl w:ilvl="1">
      <w:start w:val="1"/>
      <w:numFmt w:val="lowerLetter"/>
      <w:lvlText w:val="[%2]"/>
      <w:lvlJc w:val="left"/>
      <w:pPr>
        <w:ind w:left="718" w:hanging="224"/>
      </w:pPr>
      <w:rPr>
        <w:rFonts w:ascii="Times New Roman" w:hAnsi="Times New Roman" w:cs="Times New Roman"/>
        <w:b w:val="0"/>
        <w:bCs w:val="0"/>
        <w:i w:val="0"/>
        <w:iCs w:val="0"/>
        <w:spacing w:val="0"/>
        <w:w w:val="99"/>
        <w:sz w:val="16"/>
        <w:szCs w:val="16"/>
      </w:rPr>
    </w:lvl>
    <w:lvl w:ilvl="2">
      <w:numFmt w:val="bullet"/>
      <w:lvlText w:val="•"/>
      <w:lvlJc w:val="left"/>
      <w:pPr>
        <w:ind w:left="1698" w:hanging="224"/>
      </w:pPr>
    </w:lvl>
    <w:lvl w:ilvl="3">
      <w:numFmt w:val="bullet"/>
      <w:lvlText w:val="•"/>
      <w:lvlJc w:val="left"/>
      <w:pPr>
        <w:ind w:left="2677" w:hanging="224"/>
      </w:pPr>
    </w:lvl>
    <w:lvl w:ilvl="4">
      <w:numFmt w:val="bullet"/>
      <w:lvlText w:val="•"/>
      <w:lvlJc w:val="left"/>
      <w:pPr>
        <w:ind w:left="3655" w:hanging="224"/>
      </w:pPr>
    </w:lvl>
    <w:lvl w:ilvl="5">
      <w:numFmt w:val="bullet"/>
      <w:lvlText w:val="•"/>
      <w:lvlJc w:val="left"/>
      <w:pPr>
        <w:ind w:left="4634" w:hanging="224"/>
      </w:pPr>
    </w:lvl>
    <w:lvl w:ilvl="6">
      <w:numFmt w:val="bullet"/>
      <w:lvlText w:val="•"/>
      <w:lvlJc w:val="left"/>
      <w:pPr>
        <w:ind w:left="5612" w:hanging="224"/>
      </w:pPr>
    </w:lvl>
    <w:lvl w:ilvl="7">
      <w:numFmt w:val="bullet"/>
      <w:lvlText w:val="•"/>
      <w:lvlJc w:val="left"/>
      <w:pPr>
        <w:ind w:left="6591" w:hanging="224"/>
      </w:pPr>
    </w:lvl>
    <w:lvl w:ilvl="8">
      <w:numFmt w:val="bullet"/>
      <w:lvlText w:val="•"/>
      <w:lvlJc w:val="left"/>
      <w:pPr>
        <w:ind w:left="7569" w:hanging="224"/>
      </w:p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1026D0"/>
    <w:multiLevelType w:val="hybridMultilevel"/>
    <w:tmpl w:val="45A2BB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753E1742"/>
    <w:multiLevelType w:val="hybridMultilevel"/>
    <w:tmpl w:val="368878C4"/>
    <w:lvl w:ilvl="0" w:tplc="E4E47AEE">
      <w:start w:val="1"/>
      <w:numFmt w:val="bullet"/>
      <w:lvlText w:val=""/>
      <w:lvlJc w:val="left"/>
      <w:pPr>
        <w:ind w:left="720" w:hanging="360"/>
      </w:pPr>
      <w:rPr>
        <w:rFonts w:ascii="Symbol" w:hAnsi="Symbol" w:hint="default"/>
      </w:rPr>
    </w:lvl>
    <w:lvl w:ilvl="1" w:tplc="97EA7B7E">
      <w:start w:val="1"/>
      <w:numFmt w:val="bullet"/>
      <w:lvlText w:val="o"/>
      <w:lvlJc w:val="left"/>
      <w:pPr>
        <w:ind w:left="1440" w:hanging="360"/>
      </w:pPr>
      <w:rPr>
        <w:rFonts w:ascii="Courier New" w:hAnsi="Courier New" w:cs="Courier New" w:hint="default"/>
      </w:rPr>
    </w:lvl>
    <w:lvl w:ilvl="2" w:tplc="EE5E3452">
      <w:start w:val="1"/>
      <w:numFmt w:val="bullet"/>
      <w:lvlText w:val=""/>
      <w:lvlJc w:val="left"/>
      <w:pPr>
        <w:ind w:left="2160" w:hanging="360"/>
      </w:pPr>
      <w:rPr>
        <w:rFonts w:ascii="Wingdings" w:hAnsi="Wingdings" w:hint="default"/>
      </w:rPr>
    </w:lvl>
    <w:lvl w:ilvl="3" w:tplc="BB60D5AA">
      <w:start w:val="1"/>
      <w:numFmt w:val="bullet"/>
      <w:lvlText w:val=""/>
      <w:lvlJc w:val="left"/>
      <w:pPr>
        <w:ind w:left="2880" w:hanging="360"/>
      </w:pPr>
      <w:rPr>
        <w:rFonts w:ascii="Symbol" w:hAnsi="Symbol" w:hint="default"/>
      </w:rPr>
    </w:lvl>
    <w:lvl w:ilvl="4" w:tplc="90F0F4E6">
      <w:start w:val="1"/>
      <w:numFmt w:val="bullet"/>
      <w:lvlText w:val="o"/>
      <w:lvlJc w:val="left"/>
      <w:pPr>
        <w:ind w:left="3600" w:hanging="360"/>
      </w:pPr>
      <w:rPr>
        <w:rFonts w:ascii="Courier New" w:hAnsi="Courier New" w:cs="Courier New" w:hint="default"/>
      </w:rPr>
    </w:lvl>
    <w:lvl w:ilvl="5" w:tplc="AE1C019A">
      <w:start w:val="1"/>
      <w:numFmt w:val="bullet"/>
      <w:lvlText w:val=""/>
      <w:lvlJc w:val="left"/>
      <w:pPr>
        <w:ind w:left="4320" w:hanging="360"/>
      </w:pPr>
      <w:rPr>
        <w:rFonts w:ascii="Wingdings" w:hAnsi="Wingdings" w:hint="default"/>
      </w:rPr>
    </w:lvl>
    <w:lvl w:ilvl="6" w:tplc="BFF6D632">
      <w:start w:val="1"/>
      <w:numFmt w:val="bullet"/>
      <w:lvlText w:val=""/>
      <w:lvlJc w:val="left"/>
      <w:pPr>
        <w:ind w:left="5040" w:hanging="360"/>
      </w:pPr>
      <w:rPr>
        <w:rFonts w:ascii="Symbol" w:hAnsi="Symbol" w:hint="default"/>
      </w:rPr>
    </w:lvl>
    <w:lvl w:ilvl="7" w:tplc="DC8A1500">
      <w:start w:val="1"/>
      <w:numFmt w:val="bullet"/>
      <w:lvlText w:val="o"/>
      <w:lvlJc w:val="left"/>
      <w:pPr>
        <w:ind w:left="5760" w:hanging="360"/>
      </w:pPr>
      <w:rPr>
        <w:rFonts w:ascii="Courier New" w:hAnsi="Courier New" w:cs="Courier New" w:hint="default"/>
      </w:rPr>
    </w:lvl>
    <w:lvl w:ilvl="8" w:tplc="DEEA5E62">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6"/>
  </w:num>
  <w:num w:numId="6">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51"/>
    <w:rsid w:val="00000FB7"/>
    <w:rsid w:val="00056601"/>
    <w:rsid w:val="000C3846"/>
    <w:rsid w:val="000C6218"/>
    <w:rsid w:val="000D3C9D"/>
    <w:rsid w:val="000F0D47"/>
    <w:rsid w:val="000F127C"/>
    <w:rsid w:val="001242DE"/>
    <w:rsid w:val="00180A12"/>
    <w:rsid w:val="00200AAD"/>
    <w:rsid w:val="00214331"/>
    <w:rsid w:val="00214CF4"/>
    <w:rsid w:val="002177D4"/>
    <w:rsid w:val="002746A7"/>
    <w:rsid w:val="00281F03"/>
    <w:rsid w:val="0029458A"/>
    <w:rsid w:val="002A1587"/>
    <w:rsid w:val="002B27C5"/>
    <w:rsid w:val="002E15A9"/>
    <w:rsid w:val="002F6D9C"/>
    <w:rsid w:val="00303008"/>
    <w:rsid w:val="00373B55"/>
    <w:rsid w:val="003C2451"/>
    <w:rsid w:val="003D727E"/>
    <w:rsid w:val="003E0341"/>
    <w:rsid w:val="003E3402"/>
    <w:rsid w:val="003F2F35"/>
    <w:rsid w:val="003F4736"/>
    <w:rsid w:val="00401B49"/>
    <w:rsid w:val="0042292D"/>
    <w:rsid w:val="00437D5B"/>
    <w:rsid w:val="00440254"/>
    <w:rsid w:val="004860D3"/>
    <w:rsid w:val="004A3BF4"/>
    <w:rsid w:val="004A5DB3"/>
    <w:rsid w:val="004C14A1"/>
    <w:rsid w:val="004D7D2F"/>
    <w:rsid w:val="005152D9"/>
    <w:rsid w:val="00533AD4"/>
    <w:rsid w:val="00534849"/>
    <w:rsid w:val="00560102"/>
    <w:rsid w:val="00562EA1"/>
    <w:rsid w:val="005A498B"/>
    <w:rsid w:val="00617BB8"/>
    <w:rsid w:val="006207FF"/>
    <w:rsid w:val="00680052"/>
    <w:rsid w:val="00683267"/>
    <w:rsid w:val="006844E9"/>
    <w:rsid w:val="006B3847"/>
    <w:rsid w:val="006D0C86"/>
    <w:rsid w:val="0075453D"/>
    <w:rsid w:val="007A4CC6"/>
    <w:rsid w:val="007C3623"/>
    <w:rsid w:val="007C5D2A"/>
    <w:rsid w:val="007F1E00"/>
    <w:rsid w:val="00827444"/>
    <w:rsid w:val="008400E3"/>
    <w:rsid w:val="00864538"/>
    <w:rsid w:val="00873B4F"/>
    <w:rsid w:val="008A24F6"/>
    <w:rsid w:val="008E51AE"/>
    <w:rsid w:val="008F2F8C"/>
    <w:rsid w:val="009925C9"/>
    <w:rsid w:val="009F4E93"/>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6604D"/>
    <w:rsid w:val="00C67A7D"/>
    <w:rsid w:val="00C82621"/>
    <w:rsid w:val="00CB1423"/>
    <w:rsid w:val="00D02508"/>
    <w:rsid w:val="00D27D11"/>
    <w:rsid w:val="00D778CC"/>
    <w:rsid w:val="00D82FE9"/>
    <w:rsid w:val="00D97B77"/>
    <w:rsid w:val="00DB6A85"/>
    <w:rsid w:val="00E06B32"/>
    <w:rsid w:val="00E1290F"/>
    <w:rsid w:val="00E36A80"/>
    <w:rsid w:val="00EB21D7"/>
    <w:rsid w:val="00EC2189"/>
    <w:rsid w:val="00EE3EB7"/>
    <w:rsid w:val="00F5777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C03AC"/>
  <w15:chartTrackingRefBased/>
  <w15:docId w15:val="{50D228D7-6F06-49E9-8EBE-3E5BDABD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2746A7"/>
    <w:pPr>
      <w:autoSpaceDE w:val="0"/>
      <w:autoSpaceDN w:val="0"/>
      <w:adjustRightInd w:val="0"/>
    </w:pPr>
    <w:rPr>
      <w:color w:val="000000"/>
      <w:sz w:val="24"/>
      <w:szCs w:val="24"/>
      <w:lang w:val="en-US" w:eastAsia="en-US"/>
    </w:rPr>
  </w:style>
  <w:style w:type="paragraph" w:customStyle="1" w:styleId="EMEAEnBodyText">
    <w:name w:val="EMEA En Body Text"/>
    <w:basedOn w:val="Default"/>
    <w:next w:val="Default"/>
    <w:uiPriority w:val="99"/>
    <w:rsid w:val="002746A7"/>
    <w:rPr>
      <w:color w:val="auto"/>
    </w:rPr>
  </w:style>
  <w:style w:type="paragraph" w:customStyle="1" w:styleId="TableParagraph">
    <w:name w:val="Table Paragraph"/>
    <w:basedOn w:val="Normal"/>
    <w:uiPriority w:val="1"/>
    <w:qFormat/>
    <w:rsid w:val="002746A7"/>
    <w:pPr>
      <w:widowControl w:val="0"/>
      <w:autoSpaceDE w:val="0"/>
      <w:autoSpaceDN w:val="0"/>
      <w:adjustRightInd w:val="0"/>
      <w:spacing w:line="203" w:lineRule="exact"/>
      <w:ind w:left="56"/>
    </w:pPr>
    <w:rPr>
      <w:sz w:val="24"/>
      <w:szCs w:val="24"/>
      <w:lang w:val="en-US" w:eastAsia="en-US"/>
    </w:rPr>
  </w:style>
  <w:style w:type="paragraph" w:styleId="Brdtekst">
    <w:name w:val="Body Text"/>
    <w:basedOn w:val="Normal"/>
    <w:link w:val="BrdtekstTegn"/>
    <w:uiPriority w:val="1"/>
    <w:semiHidden/>
    <w:unhideWhenUsed/>
    <w:qFormat/>
    <w:rsid w:val="002746A7"/>
    <w:pPr>
      <w:widowControl w:val="0"/>
      <w:autoSpaceDE w:val="0"/>
      <w:autoSpaceDN w:val="0"/>
      <w:adjustRightInd w:val="0"/>
    </w:pPr>
    <w:rPr>
      <w:sz w:val="22"/>
      <w:szCs w:val="22"/>
      <w:lang w:val="en-US" w:eastAsia="en-US"/>
    </w:rPr>
  </w:style>
  <w:style w:type="character" w:customStyle="1" w:styleId="BrdtekstTegn">
    <w:name w:val="Brødtekst Tegn"/>
    <w:basedOn w:val="Standardskrifttypeiafsnit"/>
    <w:link w:val="Brdtekst"/>
    <w:uiPriority w:val="1"/>
    <w:semiHidden/>
    <w:rsid w:val="002746A7"/>
    <w:rPr>
      <w:sz w:val="22"/>
      <w:szCs w:val="22"/>
      <w:lang w:val="en-US" w:eastAsia="en-US"/>
    </w:rPr>
  </w:style>
  <w:style w:type="paragraph" w:styleId="Listeafsnit">
    <w:name w:val="List Paragraph"/>
    <w:basedOn w:val="Normal"/>
    <w:uiPriority w:val="1"/>
    <w:qFormat/>
    <w:rsid w:val="002746A7"/>
    <w:pPr>
      <w:widowControl w:val="0"/>
      <w:autoSpaceDE w:val="0"/>
      <w:autoSpaceDN w:val="0"/>
      <w:adjustRightInd w:val="0"/>
      <w:ind w:left="744" w:hanging="567"/>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7341">
      <w:bodyDiv w:val="1"/>
      <w:marLeft w:val="0"/>
      <w:marRight w:val="0"/>
      <w:marTop w:val="0"/>
      <w:marBottom w:val="0"/>
      <w:divBdr>
        <w:top w:val="none" w:sz="0" w:space="0" w:color="auto"/>
        <w:left w:val="none" w:sz="0" w:space="0" w:color="auto"/>
        <w:bottom w:val="none" w:sz="0" w:space="0" w:color="auto"/>
        <w:right w:val="none" w:sz="0" w:space="0" w:color="auto"/>
      </w:divBdr>
    </w:div>
    <w:div w:id="213278655">
      <w:bodyDiv w:val="1"/>
      <w:marLeft w:val="0"/>
      <w:marRight w:val="0"/>
      <w:marTop w:val="0"/>
      <w:marBottom w:val="0"/>
      <w:divBdr>
        <w:top w:val="none" w:sz="0" w:space="0" w:color="auto"/>
        <w:left w:val="none" w:sz="0" w:space="0" w:color="auto"/>
        <w:bottom w:val="none" w:sz="0" w:space="0" w:color="auto"/>
        <w:right w:val="none" w:sz="0" w:space="0" w:color="auto"/>
      </w:divBdr>
    </w:div>
    <w:div w:id="354385909">
      <w:bodyDiv w:val="1"/>
      <w:marLeft w:val="0"/>
      <w:marRight w:val="0"/>
      <w:marTop w:val="0"/>
      <w:marBottom w:val="0"/>
      <w:divBdr>
        <w:top w:val="none" w:sz="0" w:space="0" w:color="auto"/>
        <w:left w:val="none" w:sz="0" w:space="0" w:color="auto"/>
        <w:bottom w:val="none" w:sz="0" w:space="0" w:color="auto"/>
        <w:right w:val="none" w:sz="0" w:space="0" w:color="auto"/>
      </w:divBdr>
    </w:div>
    <w:div w:id="477260112">
      <w:bodyDiv w:val="1"/>
      <w:marLeft w:val="0"/>
      <w:marRight w:val="0"/>
      <w:marTop w:val="0"/>
      <w:marBottom w:val="0"/>
      <w:divBdr>
        <w:top w:val="none" w:sz="0" w:space="0" w:color="auto"/>
        <w:left w:val="none" w:sz="0" w:space="0" w:color="auto"/>
        <w:bottom w:val="none" w:sz="0" w:space="0" w:color="auto"/>
        <w:right w:val="none" w:sz="0" w:space="0" w:color="auto"/>
      </w:divBdr>
    </w:div>
    <w:div w:id="560334451">
      <w:bodyDiv w:val="1"/>
      <w:marLeft w:val="0"/>
      <w:marRight w:val="0"/>
      <w:marTop w:val="0"/>
      <w:marBottom w:val="0"/>
      <w:divBdr>
        <w:top w:val="none" w:sz="0" w:space="0" w:color="auto"/>
        <w:left w:val="none" w:sz="0" w:space="0" w:color="auto"/>
        <w:bottom w:val="none" w:sz="0" w:space="0" w:color="auto"/>
        <w:right w:val="none" w:sz="0" w:space="0" w:color="auto"/>
      </w:divBdr>
    </w:div>
    <w:div w:id="623313549">
      <w:bodyDiv w:val="1"/>
      <w:marLeft w:val="0"/>
      <w:marRight w:val="0"/>
      <w:marTop w:val="0"/>
      <w:marBottom w:val="0"/>
      <w:divBdr>
        <w:top w:val="none" w:sz="0" w:space="0" w:color="auto"/>
        <w:left w:val="none" w:sz="0" w:space="0" w:color="auto"/>
        <w:bottom w:val="none" w:sz="0" w:space="0" w:color="auto"/>
        <w:right w:val="none" w:sz="0" w:space="0" w:color="auto"/>
      </w:divBdr>
    </w:div>
    <w:div w:id="727581399">
      <w:bodyDiv w:val="1"/>
      <w:marLeft w:val="0"/>
      <w:marRight w:val="0"/>
      <w:marTop w:val="0"/>
      <w:marBottom w:val="0"/>
      <w:divBdr>
        <w:top w:val="none" w:sz="0" w:space="0" w:color="auto"/>
        <w:left w:val="none" w:sz="0" w:space="0" w:color="auto"/>
        <w:bottom w:val="none" w:sz="0" w:space="0" w:color="auto"/>
        <w:right w:val="none" w:sz="0" w:space="0" w:color="auto"/>
      </w:divBdr>
    </w:div>
    <w:div w:id="884951656">
      <w:bodyDiv w:val="1"/>
      <w:marLeft w:val="0"/>
      <w:marRight w:val="0"/>
      <w:marTop w:val="0"/>
      <w:marBottom w:val="0"/>
      <w:divBdr>
        <w:top w:val="none" w:sz="0" w:space="0" w:color="auto"/>
        <w:left w:val="none" w:sz="0" w:space="0" w:color="auto"/>
        <w:bottom w:val="none" w:sz="0" w:space="0" w:color="auto"/>
        <w:right w:val="none" w:sz="0" w:space="0" w:color="auto"/>
      </w:divBdr>
    </w:div>
    <w:div w:id="983003600">
      <w:bodyDiv w:val="1"/>
      <w:marLeft w:val="0"/>
      <w:marRight w:val="0"/>
      <w:marTop w:val="0"/>
      <w:marBottom w:val="0"/>
      <w:divBdr>
        <w:top w:val="none" w:sz="0" w:space="0" w:color="auto"/>
        <w:left w:val="none" w:sz="0" w:space="0" w:color="auto"/>
        <w:bottom w:val="none" w:sz="0" w:space="0" w:color="auto"/>
        <w:right w:val="none" w:sz="0" w:space="0" w:color="auto"/>
      </w:divBdr>
    </w:div>
    <w:div w:id="1182626581">
      <w:bodyDiv w:val="1"/>
      <w:marLeft w:val="0"/>
      <w:marRight w:val="0"/>
      <w:marTop w:val="0"/>
      <w:marBottom w:val="0"/>
      <w:divBdr>
        <w:top w:val="none" w:sz="0" w:space="0" w:color="auto"/>
        <w:left w:val="none" w:sz="0" w:space="0" w:color="auto"/>
        <w:bottom w:val="none" w:sz="0" w:space="0" w:color="auto"/>
        <w:right w:val="none" w:sz="0" w:space="0" w:color="auto"/>
      </w:divBdr>
    </w:div>
    <w:div w:id="1203205763">
      <w:bodyDiv w:val="1"/>
      <w:marLeft w:val="0"/>
      <w:marRight w:val="0"/>
      <w:marTop w:val="0"/>
      <w:marBottom w:val="0"/>
      <w:divBdr>
        <w:top w:val="none" w:sz="0" w:space="0" w:color="auto"/>
        <w:left w:val="none" w:sz="0" w:space="0" w:color="auto"/>
        <w:bottom w:val="none" w:sz="0" w:space="0" w:color="auto"/>
        <w:right w:val="none" w:sz="0" w:space="0" w:color="auto"/>
      </w:divBdr>
    </w:div>
    <w:div w:id="1360813865">
      <w:bodyDiv w:val="1"/>
      <w:marLeft w:val="0"/>
      <w:marRight w:val="0"/>
      <w:marTop w:val="0"/>
      <w:marBottom w:val="0"/>
      <w:divBdr>
        <w:top w:val="none" w:sz="0" w:space="0" w:color="auto"/>
        <w:left w:val="none" w:sz="0" w:space="0" w:color="auto"/>
        <w:bottom w:val="none" w:sz="0" w:space="0" w:color="auto"/>
        <w:right w:val="none" w:sz="0" w:space="0" w:color="auto"/>
      </w:divBdr>
    </w:div>
    <w:div w:id="1577858233">
      <w:bodyDiv w:val="1"/>
      <w:marLeft w:val="0"/>
      <w:marRight w:val="0"/>
      <w:marTop w:val="0"/>
      <w:marBottom w:val="0"/>
      <w:divBdr>
        <w:top w:val="none" w:sz="0" w:space="0" w:color="auto"/>
        <w:left w:val="none" w:sz="0" w:space="0" w:color="auto"/>
        <w:bottom w:val="none" w:sz="0" w:space="0" w:color="auto"/>
        <w:right w:val="none" w:sz="0" w:space="0" w:color="auto"/>
      </w:divBdr>
    </w:div>
    <w:div w:id="1580752447">
      <w:bodyDiv w:val="1"/>
      <w:marLeft w:val="0"/>
      <w:marRight w:val="0"/>
      <w:marTop w:val="0"/>
      <w:marBottom w:val="0"/>
      <w:divBdr>
        <w:top w:val="none" w:sz="0" w:space="0" w:color="auto"/>
        <w:left w:val="none" w:sz="0" w:space="0" w:color="auto"/>
        <w:bottom w:val="none" w:sz="0" w:space="0" w:color="auto"/>
        <w:right w:val="none" w:sz="0" w:space="0" w:color="auto"/>
      </w:divBdr>
    </w:div>
    <w:div w:id="1650280076">
      <w:bodyDiv w:val="1"/>
      <w:marLeft w:val="0"/>
      <w:marRight w:val="0"/>
      <w:marTop w:val="0"/>
      <w:marBottom w:val="0"/>
      <w:divBdr>
        <w:top w:val="none" w:sz="0" w:space="0" w:color="auto"/>
        <w:left w:val="none" w:sz="0" w:space="0" w:color="auto"/>
        <w:bottom w:val="none" w:sz="0" w:space="0" w:color="auto"/>
        <w:right w:val="none" w:sz="0" w:space="0" w:color="auto"/>
      </w:divBdr>
    </w:div>
    <w:div w:id="1669291471">
      <w:bodyDiv w:val="1"/>
      <w:marLeft w:val="0"/>
      <w:marRight w:val="0"/>
      <w:marTop w:val="0"/>
      <w:marBottom w:val="0"/>
      <w:divBdr>
        <w:top w:val="none" w:sz="0" w:space="0" w:color="auto"/>
        <w:left w:val="none" w:sz="0" w:space="0" w:color="auto"/>
        <w:bottom w:val="none" w:sz="0" w:space="0" w:color="auto"/>
        <w:right w:val="none" w:sz="0" w:space="0" w:color="auto"/>
      </w:divBdr>
    </w:div>
    <w:div w:id="1703288421">
      <w:bodyDiv w:val="1"/>
      <w:marLeft w:val="0"/>
      <w:marRight w:val="0"/>
      <w:marTop w:val="0"/>
      <w:marBottom w:val="0"/>
      <w:divBdr>
        <w:top w:val="none" w:sz="0" w:space="0" w:color="auto"/>
        <w:left w:val="none" w:sz="0" w:space="0" w:color="auto"/>
        <w:bottom w:val="none" w:sz="0" w:space="0" w:color="auto"/>
        <w:right w:val="none" w:sz="0" w:space="0" w:color="auto"/>
      </w:divBdr>
    </w:div>
    <w:div w:id="1806462589">
      <w:bodyDiv w:val="1"/>
      <w:marLeft w:val="0"/>
      <w:marRight w:val="0"/>
      <w:marTop w:val="0"/>
      <w:marBottom w:val="0"/>
      <w:divBdr>
        <w:top w:val="none" w:sz="0" w:space="0" w:color="auto"/>
        <w:left w:val="none" w:sz="0" w:space="0" w:color="auto"/>
        <w:bottom w:val="none" w:sz="0" w:space="0" w:color="auto"/>
        <w:right w:val="none" w:sz="0" w:space="0" w:color="auto"/>
      </w:divBdr>
    </w:div>
    <w:div w:id="1863738214">
      <w:bodyDiv w:val="1"/>
      <w:marLeft w:val="0"/>
      <w:marRight w:val="0"/>
      <w:marTop w:val="0"/>
      <w:marBottom w:val="0"/>
      <w:divBdr>
        <w:top w:val="none" w:sz="0" w:space="0" w:color="auto"/>
        <w:left w:val="none" w:sz="0" w:space="0" w:color="auto"/>
        <w:bottom w:val="none" w:sz="0" w:space="0" w:color="auto"/>
        <w:right w:val="none" w:sz="0" w:space="0" w:color="auto"/>
      </w:divBdr>
    </w:div>
    <w:div w:id="1994524543">
      <w:bodyDiv w:val="1"/>
      <w:marLeft w:val="0"/>
      <w:marRight w:val="0"/>
      <w:marTop w:val="0"/>
      <w:marBottom w:val="0"/>
      <w:divBdr>
        <w:top w:val="none" w:sz="0" w:space="0" w:color="auto"/>
        <w:left w:val="none" w:sz="0" w:space="0" w:color="auto"/>
        <w:bottom w:val="none" w:sz="0" w:space="0" w:color="auto"/>
        <w:right w:val="none" w:sz="0" w:space="0" w:color="auto"/>
      </w:divBdr>
    </w:div>
    <w:div w:id="20455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99</TotalTime>
  <Pages>23</Pages>
  <Words>8143</Words>
  <Characters>48178</Characters>
  <Application>Microsoft Office Word</Application>
  <DocSecurity>0</DocSecurity>
  <Lines>401</Lines>
  <Paragraphs>112</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56209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2022031336, MT</dc:description>
  <cp:lastModifiedBy>Gitte Jørgensen</cp:lastModifiedBy>
  <cp:revision>13</cp:revision>
  <cp:lastPrinted>2006-02-24T09:31:00Z</cp:lastPrinted>
  <dcterms:created xsi:type="dcterms:W3CDTF">2024-05-28T09:04:00Z</dcterms:created>
  <dcterms:modified xsi:type="dcterms:W3CDTF">2024-05-30T06:16:00Z</dcterms:modified>
</cp:coreProperties>
</file>