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27D4" w14:textId="77777777" w:rsidR="00B02E97" w:rsidRPr="008F49E1" w:rsidRDefault="00B02E97" w:rsidP="00B02E97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B3A033A" wp14:editId="0B9AB3F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699DE35F" w14:textId="2C15004C" w:rsidR="00B02E97" w:rsidRPr="00C84483" w:rsidRDefault="00B02E97" w:rsidP="00B02E97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F16F4">
        <w:rPr>
          <w:szCs w:val="24"/>
        </w:rPr>
        <w:t>4. september 2023</w:t>
      </w:r>
    </w:p>
    <w:p w14:paraId="69289BA9" w14:textId="2393E10C" w:rsidR="00B02E97" w:rsidRDefault="00B02E97" w:rsidP="00B02E9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1842516" w14:textId="3CB9247F" w:rsidR="00B02E97" w:rsidRDefault="00B02E97" w:rsidP="00B02E97">
      <w:pPr>
        <w:pStyle w:val="Titel"/>
        <w:jc w:val="left"/>
        <w:rPr>
          <w:b w:val="0"/>
          <w:szCs w:val="24"/>
        </w:rPr>
      </w:pPr>
    </w:p>
    <w:p w14:paraId="25BA0184" w14:textId="77777777" w:rsidR="001F16F4" w:rsidRPr="00C84483" w:rsidRDefault="001F16F4" w:rsidP="00B02E97">
      <w:pPr>
        <w:pStyle w:val="Titel"/>
        <w:jc w:val="left"/>
        <w:rPr>
          <w:b w:val="0"/>
          <w:szCs w:val="24"/>
        </w:rPr>
      </w:pPr>
    </w:p>
    <w:p w14:paraId="058F9AA8" w14:textId="77777777" w:rsidR="00B02E97" w:rsidRPr="00C84483" w:rsidRDefault="00B02E97" w:rsidP="00B02E9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712CD474" w14:textId="77777777" w:rsidR="00B02E97" w:rsidRPr="00C84483" w:rsidRDefault="00B02E97" w:rsidP="00B02E97">
      <w:pPr>
        <w:jc w:val="center"/>
        <w:rPr>
          <w:b/>
          <w:sz w:val="24"/>
          <w:szCs w:val="24"/>
        </w:rPr>
      </w:pPr>
    </w:p>
    <w:p w14:paraId="5FDF5389" w14:textId="77777777" w:rsidR="00B02E97" w:rsidRDefault="00B02E97" w:rsidP="00B02E9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1594901B" w14:textId="77777777" w:rsidR="00B02E97" w:rsidRPr="00C84483" w:rsidRDefault="00B02E97" w:rsidP="00B02E97">
      <w:pPr>
        <w:jc w:val="center"/>
        <w:rPr>
          <w:b/>
          <w:sz w:val="24"/>
          <w:szCs w:val="24"/>
        </w:rPr>
      </w:pPr>
    </w:p>
    <w:p w14:paraId="7F690D68" w14:textId="77777777" w:rsidR="00B02E97" w:rsidRPr="00C84483" w:rsidRDefault="00B02E97" w:rsidP="00B02E9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Lomexin</w:t>
      </w:r>
      <w:proofErr w:type="spellEnd"/>
      <w:r>
        <w:rPr>
          <w:b/>
          <w:sz w:val="24"/>
          <w:szCs w:val="24"/>
        </w:rPr>
        <w:t>, vaginalcreme</w:t>
      </w:r>
    </w:p>
    <w:p w14:paraId="7C34586C" w14:textId="77777777" w:rsidR="00B02E97" w:rsidRPr="00C84483" w:rsidRDefault="00B02E97" w:rsidP="00B02E97">
      <w:pPr>
        <w:jc w:val="both"/>
        <w:rPr>
          <w:sz w:val="24"/>
          <w:szCs w:val="24"/>
        </w:rPr>
      </w:pPr>
    </w:p>
    <w:p w14:paraId="7F311AFF" w14:textId="77777777" w:rsidR="00B02E97" w:rsidRPr="00C84483" w:rsidRDefault="00B02E97" w:rsidP="00B02E97">
      <w:pPr>
        <w:jc w:val="both"/>
        <w:rPr>
          <w:sz w:val="24"/>
          <w:szCs w:val="24"/>
        </w:rPr>
      </w:pPr>
    </w:p>
    <w:p w14:paraId="52A2A5A7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187469E9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30006</w:t>
      </w:r>
    </w:p>
    <w:p w14:paraId="450FC8E4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099AA3FB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0C917CCC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Lomexin</w:t>
      </w:r>
      <w:proofErr w:type="spellEnd"/>
    </w:p>
    <w:p w14:paraId="446D62D2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3374DB6C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25127C80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747FAC">
        <w:rPr>
          <w:sz w:val="24"/>
          <w:szCs w:val="24"/>
        </w:rPr>
        <w:t xml:space="preserve">1 g vaginalcreme indeholder 20 mg </w:t>
      </w:r>
      <w:proofErr w:type="spellStart"/>
      <w:r w:rsidRPr="00747FAC">
        <w:rPr>
          <w:sz w:val="24"/>
          <w:szCs w:val="24"/>
        </w:rPr>
        <w:t>fenticonazolnitrat</w:t>
      </w:r>
      <w:proofErr w:type="spellEnd"/>
      <w:r w:rsidRPr="00747FAC">
        <w:rPr>
          <w:sz w:val="24"/>
          <w:szCs w:val="24"/>
        </w:rPr>
        <w:t>.</w:t>
      </w:r>
    </w:p>
    <w:p w14:paraId="513F122A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747FAC">
        <w:rPr>
          <w:sz w:val="24"/>
          <w:szCs w:val="24"/>
        </w:rPr>
        <w:t xml:space="preserve">Applikatoren afgiver ca. 5 g vaginalcreme, som indeholder 100 mg </w:t>
      </w:r>
      <w:proofErr w:type="spellStart"/>
      <w:r w:rsidRPr="00747FAC">
        <w:rPr>
          <w:sz w:val="24"/>
          <w:szCs w:val="24"/>
        </w:rPr>
        <w:t>fenticonazolnitrat</w:t>
      </w:r>
      <w:proofErr w:type="spellEnd"/>
      <w:r w:rsidRPr="00747FAC">
        <w:rPr>
          <w:sz w:val="24"/>
          <w:szCs w:val="24"/>
        </w:rPr>
        <w:t>.</w:t>
      </w:r>
    </w:p>
    <w:p w14:paraId="7BA8C306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44EC15B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747FAC">
        <w:rPr>
          <w:sz w:val="24"/>
          <w:szCs w:val="24"/>
          <w:u w:val="single"/>
        </w:rPr>
        <w:t>Hjælpestoffer, som behandleren skal være opmærksom på</w:t>
      </w:r>
    </w:p>
    <w:p w14:paraId="2C5C836C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747FAC">
        <w:rPr>
          <w:sz w:val="24"/>
          <w:szCs w:val="24"/>
        </w:rPr>
        <w:t xml:space="preserve">Propylenglycol, </w:t>
      </w:r>
      <w:proofErr w:type="spellStart"/>
      <w:r w:rsidRPr="00747FAC">
        <w:rPr>
          <w:sz w:val="24"/>
          <w:szCs w:val="24"/>
        </w:rPr>
        <w:t>hydrogeneret</w:t>
      </w:r>
      <w:proofErr w:type="spellEnd"/>
      <w:r w:rsidRPr="00747FAC">
        <w:rPr>
          <w:sz w:val="24"/>
          <w:szCs w:val="24"/>
        </w:rPr>
        <w:t xml:space="preserve"> lanolin, </w:t>
      </w:r>
      <w:proofErr w:type="spellStart"/>
      <w:r w:rsidRPr="00747FAC">
        <w:rPr>
          <w:sz w:val="24"/>
          <w:szCs w:val="24"/>
        </w:rPr>
        <w:t>cetylalkohol</w:t>
      </w:r>
      <w:proofErr w:type="spellEnd"/>
      <w:r w:rsidRPr="00747FAC">
        <w:rPr>
          <w:sz w:val="24"/>
          <w:szCs w:val="24"/>
        </w:rPr>
        <w:t>.</w:t>
      </w:r>
    </w:p>
    <w:p w14:paraId="742A8505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E3E1943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747FAC">
        <w:rPr>
          <w:sz w:val="24"/>
          <w:szCs w:val="24"/>
        </w:rPr>
        <w:t>Alle hjælpestoffer er anført under pkt. 6.1.</w:t>
      </w:r>
    </w:p>
    <w:p w14:paraId="4F5BF056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51FFAA5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06DF58E6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Vaginalcreme</w:t>
      </w:r>
    </w:p>
    <w:p w14:paraId="41621193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6A48F9B5" w14:textId="77777777" w:rsidR="00B02E97" w:rsidRPr="00747FAC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747FAC">
        <w:rPr>
          <w:sz w:val="24"/>
          <w:szCs w:val="24"/>
        </w:rPr>
        <w:t>Hvid, homogen creme.</w:t>
      </w:r>
    </w:p>
    <w:p w14:paraId="0CA095A2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07992B84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A271B41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694D5E35" w14:textId="77777777" w:rsidR="00B02E97" w:rsidRPr="00C84483" w:rsidRDefault="00B02E97" w:rsidP="00B02E97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824100A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7A8821FA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8C2EA7">
        <w:rPr>
          <w:sz w:val="24"/>
          <w:szCs w:val="24"/>
        </w:rPr>
        <w:t xml:space="preserve">Til behandling af </w:t>
      </w:r>
      <w:proofErr w:type="spellStart"/>
      <w:r w:rsidRPr="008C2EA7">
        <w:rPr>
          <w:sz w:val="24"/>
          <w:szCs w:val="24"/>
        </w:rPr>
        <w:t>vulvovaginal</w:t>
      </w:r>
      <w:proofErr w:type="spellEnd"/>
      <w:r w:rsidRPr="008C2EA7">
        <w:rPr>
          <w:sz w:val="24"/>
          <w:szCs w:val="24"/>
        </w:rPr>
        <w:t xml:space="preserve"> </w:t>
      </w:r>
      <w:proofErr w:type="spellStart"/>
      <w:r w:rsidRPr="008C2EA7">
        <w:rPr>
          <w:sz w:val="24"/>
          <w:szCs w:val="24"/>
        </w:rPr>
        <w:t>candidiasis</w:t>
      </w:r>
      <w:proofErr w:type="spellEnd"/>
      <w:r w:rsidRPr="008C2EA7">
        <w:rPr>
          <w:sz w:val="24"/>
          <w:szCs w:val="24"/>
        </w:rPr>
        <w:t xml:space="preserve"> hos unge fra 16 år og derover </w:t>
      </w:r>
      <w:r>
        <w:rPr>
          <w:sz w:val="24"/>
          <w:szCs w:val="24"/>
        </w:rPr>
        <w:t>samt</w:t>
      </w:r>
      <w:r w:rsidRPr="008C2EA7">
        <w:rPr>
          <w:sz w:val="24"/>
          <w:szCs w:val="24"/>
        </w:rPr>
        <w:t xml:space="preserve"> hos voksne. Til behandling af kvinder over 60 år er forudgående lægelig konsultation påkrævet.</w:t>
      </w:r>
    </w:p>
    <w:p w14:paraId="538C6590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261A8BBF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14:paraId="2C2DFE6E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8C2EA7">
        <w:rPr>
          <w:sz w:val="24"/>
          <w:szCs w:val="24"/>
        </w:rPr>
        <w:t xml:space="preserve">Kun til vaginal </w:t>
      </w:r>
      <w:r>
        <w:rPr>
          <w:sz w:val="24"/>
          <w:szCs w:val="24"/>
        </w:rPr>
        <w:t>anvendelse</w:t>
      </w:r>
      <w:r w:rsidRPr="008C2EA7">
        <w:rPr>
          <w:sz w:val="24"/>
          <w:szCs w:val="24"/>
        </w:rPr>
        <w:t>.</w:t>
      </w:r>
    </w:p>
    <w:p w14:paraId="7B868C5D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73C3B3C8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8C2EA7">
        <w:rPr>
          <w:sz w:val="24"/>
          <w:szCs w:val="24"/>
        </w:rPr>
        <w:t>Indholdet af applikatoren (ca. 5 g) skal indføres dybt oppe i vagina en gang daglig ved sengetid (eller to gange daglig – ved sengetid og om morgenen) i 3 på hinanden følgende dage.</w:t>
      </w:r>
    </w:p>
    <w:p w14:paraId="35D5045B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8C2EA7">
        <w:rPr>
          <w:sz w:val="24"/>
          <w:szCs w:val="24"/>
        </w:rPr>
        <w:t xml:space="preserve">I tilfælde af </w:t>
      </w:r>
      <w:proofErr w:type="spellStart"/>
      <w:r w:rsidRPr="008C2EA7">
        <w:rPr>
          <w:sz w:val="24"/>
          <w:szCs w:val="24"/>
        </w:rPr>
        <w:t>vulvitis</w:t>
      </w:r>
      <w:proofErr w:type="spellEnd"/>
      <w:r w:rsidRPr="008C2EA7">
        <w:rPr>
          <w:sz w:val="24"/>
          <w:szCs w:val="24"/>
        </w:rPr>
        <w:t xml:space="preserve"> kan der påsmøres et tyndt lag creme på </w:t>
      </w:r>
      <w:proofErr w:type="spellStart"/>
      <w:r w:rsidRPr="008C2EA7">
        <w:rPr>
          <w:sz w:val="24"/>
          <w:szCs w:val="24"/>
        </w:rPr>
        <w:t>vulva</w:t>
      </w:r>
      <w:proofErr w:type="spellEnd"/>
      <w:r w:rsidRPr="008C2EA7">
        <w:rPr>
          <w:sz w:val="24"/>
          <w:szCs w:val="24"/>
        </w:rPr>
        <w:t>.</w:t>
      </w:r>
    </w:p>
    <w:p w14:paraId="4814E4E9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8C2EA7">
        <w:rPr>
          <w:sz w:val="24"/>
          <w:szCs w:val="24"/>
        </w:rPr>
        <w:t>Om nødvendigt, kan partneren også behandles lokalt med creme.</w:t>
      </w:r>
    </w:p>
    <w:p w14:paraId="649E8DEB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31B750F4" w14:textId="77777777" w:rsidR="00B02E97" w:rsidRPr="00A8051B" w:rsidRDefault="00B02E97" w:rsidP="00B02E9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8051B">
        <w:rPr>
          <w:sz w:val="24"/>
          <w:szCs w:val="24"/>
          <w:u w:val="single"/>
        </w:rPr>
        <w:t>Pædiatrisk population</w:t>
      </w:r>
    </w:p>
    <w:p w14:paraId="60A97FA6" w14:textId="58BC5BD2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C2EA7">
        <w:rPr>
          <w:sz w:val="24"/>
          <w:szCs w:val="24"/>
        </w:rPr>
        <w:t>Lomexins</w:t>
      </w:r>
      <w:proofErr w:type="spellEnd"/>
      <w:r w:rsidRPr="008C2EA7">
        <w:rPr>
          <w:sz w:val="24"/>
          <w:szCs w:val="24"/>
        </w:rPr>
        <w:t xml:space="preserve"> sikkerhed og virkning hos børn under 16 år er ikke klarlagt. Der foreligger ingen data. </w:t>
      </w:r>
    </w:p>
    <w:p w14:paraId="6192E96E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8C2EA7">
        <w:rPr>
          <w:sz w:val="24"/>
          <w:szCs w:val="24"/>
        </w:rPr>
        <w:t xml:space="preserve">Dosisanbefalingerne til børn på 16 år og derover er de samme som til voksne. </w:t>
      </w:r>
    </w:p>
    <w:p w14:paraId="5C1210E7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3C1F55FE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BRUGERVEJLEDNING</w:t>
      </w:r>
    </w:p>
    <w:p w14:paraId="1932D694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4E5EB56B" w14:textId="77777777" w:rsidR="00B02E97" w:rsidRPr="008C2EA7" w:rsidRDefault="00B02E97" w:rsidP="00B02E97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8C2EA7">
        <w:rPr>
          <w:sz w:val="24"/>
          <w:szCs w:val="24"/>
        </w:rPr>
        <w:t xml:space="preserve">Skru applikatoren på tubeåbningen, der hvor hætten har siddet. </w:t>
      </w:r>
    </w:p>
    <w:p w14:paraId="2262B8EB" w14:textId="77777777" w:rsidR="00B02E97" w:rsidRPr="008C2EA7" w:rsidRDefault="00B02E97" w:rsidP="00B02E97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8C2EA7">
        <w:rPr>
          <w:sz w:val="24"/>
          <w:szCs w:val="24"/>
        </w:rPr>
        <w:t xml:space="preserve">Tryk forsigtigt på tuben i den smalle ende for at fylde applikatoren. Hvis der er en del modstand i stemplet, kan der trækkes forsigtigt tilbage. Applikatoren skal fyldes helt op, medmindre lægen har angivet andet. </w:t>
      </w:r>
    </w:p>
    <w:p w14:paraId="405CCA31" w14:textId="77777777" w:rsidR="00B02E97" w:rsidRPr="008C2EA7" w:rsidRDefault="00B02E97" w:rsidP="00B02E97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8C2EA7">
        <w:rPr>
          <w:sz w:val="24"/>
          <w:szCs w:val="24"/>
        </w:rPr>
        <w:t>Fjern applikatoren fra tuben og sæt hætten på tuben med det samme.</w:t>
      </w:r>
    </w:p>
    <w:p w14:paraId="42C583D5" w14:textId="77777777" w:rsidR="00B02E97" w:rsidRPr="008C2EA7" w:rsidRDefault="00B02E97" w:rsidP="00B02E97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8C2EA7">
        <w:rPr>
          <w:sz w:val="24"/>
          <w:szCs w:val="24"/>
        </w:rPr>
        <w:t xml:space="preserve">Patienten skal ligge på ryggen med spredte, bøjede ben, der er trukket lidt op. Applikatoren føres så dybt ind i vagina som muligt. Stemplet trykkes fuldstændig i bund. Applikatoren trækkes derefter ud uden at røre stemplet. </w:t>
      </w:r>
    </w:p>
    <w:p w14:paraId="2E5F478A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84845B6" w14:textId="77777777" w:rsidR="00B02E97" w:rsidRPr="008C2EA7" w:rsidRDefault="00B02E97" w:rsidP="00B02E97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8C2EA7">
        <w:rPr>
          <w:noProof/>
          <w:sz w:val="24"/>
          <w:szCs w:val="24"/>
          <w:lang w:eastAsia="da-DK"/>
        </w:rPr>
        <w:drawing>
          <wp:inline distT="0" distB="0" distL="0" distR="0" wp14:anchorId="48F6FA26" wp14:editId="45E76177">
            <wp:extent cx="2819400" cy="2758440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0BB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7E0EE94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749B9ED0" w14:textId="77777777" w:rsidR="00361B1C" w:rsidRDefault="00361B1C" w:rsidP="00361B1C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 xml:space="preserve">Overfølsomhed over for </w:t>
      </w:r>
      <w:r>
        <w:rPr>
          <w:sz w:val="24"/>
          <w:szCs w:val="24"/>
        </w:rPr>
        <w:t>det aktive stof</w:t>
      </w:r>
      <w:r w:rsidRPr="00076679">
        <w:rPr>
          <w:sz w:val="24"/>
          <w:szCs w:val="24"/>
        </w:rPr>
        <w:t xml:space="preserve"> eller over for et eller flere af hjælpestofferne anført i pkt. 6.1.</w:t>
      </w:r>
    </w:p>
    <w:p w14:paraId="04C95F17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3C519739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21234372" w14:textId="5B0CB873" w:rsidR="00B02E97" w:rsidRPr="00076679" w:rsidRDefault="00361B1C" w:rsidP="00B02E97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>Nogle af hjælpestofferne i vaginalcremen (</w:t>
      </w:r>
      <w:proofErr w:type="spellStart"/>
      <w:r w:rsidRPr="00076679">
        <w:rPr>
          <w:sz w:val="24"/>
          <w:szCs w:val="24"/>
        </w:rPr>
        <w:t>hydrogeneret</w:t>
      </w:r>
      <w:proofErr w:type="spellEnd"/>
      <w:r w:rsidRPr="00076679">
        <w:rPr>
          <w:sz w:val="24"/>
          <w:szCs w:val="24"/>
        </w:rPr>
        <w:t xml:space="preserve"> lanolin, </w:t>
      </w:r>
      <w:proofErr w:type="spellStart"/>
      <w:r w:rsidRPr="00076679">
        <w:rPr>
          <w:sz w:val="24"/>
          <w:szCs w:val="24"/>
        </w:rPr>
        <w:t>cetylalkohol</w:t>
      </w:r>
      <w:proofErr w:type="spellEnd"/>
      <w:r w:rsidRPr="00076679">
        <w:rPr>
          <w:sz w:val="24"/>
          <w:szCs w:val="24"/>
        </w:rPr>
        <w:t>) kan give lokale hudreaktioner</w:t>
      </w:r>
      <w:r>
        <w:rPr>
          <w:sz w:val="24"/>
          <w:szCs w:val="24"/>
        </w:rPr>
        <w:t xml:space="preserve"> (f.eks. </w:t>
      </w:r>
      <w:proofErr w:type="spellStart"/>
      <w:r>
        <w:rPr>
          <w:sz w:val="24"/>
          <w:szCs w:val="24"/>
        </w:rPr>
        <w:t>kontaktdermatitis</w:t>
      </w:r>
      <w:proofErr w:type="spellEnd"/>
      <w:r>
        <w:rPr>
          <w:sz w:val="24"/>
          <w:szCs w:val="24"/>
        </w:rPr>
        <w:t>)</w:t>
      </w:r>
      <w:r w:rsidRPr="00076679">
        <w:rPr>
          <w:sz w:val="24"/>
          <w:szCs w:val="24"/>
        </w:rPr>
        <w:t>.</w:t>
      </w:r>
      <w:r>
        <w:rPr>
          <w:sz w:val="24"/>
          <w:szCs w:val="24"/>
        </w:rPr>
        <w:t xml:space="preserve"> Dette lægemiddel indeholder 50 mg propylenglycol i 1 g creme.</w:t>
      </w:r>
      <w:r w:rsidRPr="0007667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02E97" w:rsidRPr="00076679">
        <w:rPr>
          <w:sz w:val="24"/>
          <w:szCs w:val="24"/>
        </w:rPr>
        <w:t>Behandlingen skal seponeres, hvis der opstår lokal overfølsomhed eller en allergisk reaktion.</w:t>
      </w:r>
    </w:p>
    <w:p w14:paraId="60DF28CE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6C2D501C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Patienten skal instrueres i</w:t>
      </w:r>
      <w:r w:rsidRPr="00076679">
        <w:rPr>
          <w:sz w:val="24"/>
          <w:szCs w:val="24"/>
        </w:rPr>
        <w:t xml:space="preserve"> at konsultere lægen, hvis:</w:t>
      </w:r>
    </w:p>
    <w:p w14:paraId="216723E1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>symptomerne ikke mindskes inden for en uge</w:t>
      </w:r>
    </w:p>
    <w:p w14:paraId="0CD84330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>symptomerne vender tilbage (mere end 2 infektioner inden for de seneste 6 måneder)</w:t>
      </w:r>
    </w:p>
    <w:p w14:paraId="5F9630BF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>patienten har en seksuelt overført sygdom i anamnesen eller hvis patienten har haft seksuelt samvær med en partner, der har en seksuelt overført sygdom</w:t>
      </w:r>
    </w:p>
    <w:p w14:paraId="1FD904F4" w14:textId="1E9FA92D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>patienten er over 60 år</w:t>
      </w:r>
    </w:p>
    <w:p w14:paraId="639FB7E4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lastRenderedPageBreak/>
        <w:t xml:space="preserve">patienten har kendt overfølsomhed over for </w:t>
      </w:r>
      <w:proofErr w:type="spellStart"/>
      <w:r w:rsidRPr="00076679">
        <w:rPr>
          <w:sz w:val="24"/>
          <w:szCs w:val="24"/>
        </w:rPr>
        <w:t>imidazoler</w:t>
      </w:r>
      <w:proofErr w:type="spellEnd"/>
      <w:r w:rsidRPr="00076679">
        <w:rPr>
          <w:sz w:val="24"/>
          <w:szCs w:val="24"/>
        </w:rPr>
        <w:t xml:space="preserve"> eller andre vaginale svampemidler</w:t>
      </w:r>
    </w:p>
    <w:p w14:paraId="015E88F6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>patienten har unormal eller uregelmæssig vaginal blødning</w:t>
      </w:r>
    </w:p>
    <w:p w14:paraId="22B904C2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 xml:space="preserve">patienten har </w:t>
      </w:r>
      <w:proofErr w:type="spellStart"/>
      <w:r w:rsidRPr="00076679">
        <w:rPr>
          <w:sz w:val="24"/>
          <w:szCs w:val="24"/>
        </w:rPr>
        <w:t>blodtilblandet</w:t>
      </w:r>
      <w:proofErr w:type="spellEnd"/>
      <w:r w:rsidRPr="00076679">
        <w:rPr>
          <w:sz w:val="24"/>
          <w:szCs w:val="24"/>
        </w:rPr>
        <w:t xml:space="preserve"> udflåd</w:t>
      </w:r>
    </w:p>
    <w:p w14:paraId="2EF85395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>patienten har sår eller blister på kønsorganerne eller i vagina</w:t>
      </w:r>
    </w:p>
    <w:p w14:paraId="07AB3697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 xml:space="preserve">patienten har mavesmerter i den nedre del af maven eller </w:t>
      </w:r>
      <w:proofErr w:type="spellStart"/>
      <w:r w:rsidRPr="00076679">
        <w:rPr>
          <w:sz w:val="24"/>
          <w:szCs w:val="24"/>
        </w:rPr>
        <w:t>dysuri</w:t>
      </w:r>
      <w:proofErr w:type="spellEnd"/>
    </w:p>
    <w:p w14:paraId="4E59E435" w14:textId="77777777" w:rsidR="00B02E97" w:rsidRPr="00076679" w:rsidRDefault="00B02E97" w:rsidP="00B02E9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076679">
        <w:rPr>
          <w:sz w:val="24"/>
          <w:szCs w:val="24"/>
        </w:rPr>
        <w:t xml:space="preserve">patienten får bivirkninger, såsom </w:t>
      </w:r>
      <w:proofErr w:type="spellStart"/>
      <w:r w:rsidRPr="00076679">
        <w:rPr>
          <w:sz w:val="24"/>
          <w:szCs w:val="24"/>
        </w:rPr>
        <w:t>erytem</w:t>
      </w:r>
      <w:proofErr w:type="spellEnd"/>
      <w:r w:rsidRPr="00076679">
        <w:rPr>
          <w:sz w:val="24"/>
          <w:szCs w:val="24"/>
        </w:rPr>
        <w:t xml:space="preserve">, </w:t>
      </w:r>
      <w:proofErr w:type="spellStart"/>
      <w:r w:rsidRPr="00076679">
        <w:rPr>
          <w:sz w:val="24"/>
          <w:szCs w:val="24"/>
        </w:rPr>
        <w:t>pruritus</w:t>
      </w:r>
      <w:proofErr w:type="spellEnd"/>
      <w:r w:rsidRPr="00076679">
        <w:rPr>
          <w:sz w:val="24"/>
          <w:szCs w:val="24"/>
        </w:rPr>
        <w:t xml:space="preserve"> eller udslæt, i forbindelse med behandlingen.</w:t>
      </w:r>
    </w:p>
    <w:p w14:paraId="6994A0ED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49D29F5F" w14:textId="77777777" w:rsidR="00A43F0F" w:rsidRPr="00076679" w:rsidRDefault="00A43F0F" w:rsidP="00A43F0F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>Vaginalcremen må ikke anvendes sammen med barriere-</w:t>
      </w:r>
      <w:proofErr w:type="spellStart"/>
      <w:r w:rsidRPr="00076679">
        <w:rPr>
          <w:sz w:val="24"/>
          <w:szCs w:val="24"/>
        </w:rPr>
        <w:t>kontraceptiva</w:t>
      </w:r>
      <w:proofErr w:type="spellEnd"/>
      <w:r>
        <w:rPr>
          <w:sz w:val="24"/>
          <w:szCs w:val="24"/>
        </w:rPr>
        <w:t xml:space="preserve">, sæddræbende creme, intravaginale skylninger </w:t>
      </w:r>
      <w:r w:rsidRPr="00295695">
        <w:rPr>
          <w:sz w:val="24"/>
          <w:szCs w:val="24"/>
        </w:rPr>
        <w:t>(</w:t>
      </w:r>
      <w:proofErr w:type="spellStart"/>
      <w:r w:rsidRPr="00295695">
        <w:rPr>
          <w:sz w:val="24"/>
          <w:szCs w:val="24"/>
        </w:rPr>
        <w:t>douching</w:t>
      </w:r>
      <w:proofErr w:type="spellEnd"/>
      <w:r w:rsidRPr="00295695">
        <w:rPr>
          <w:sz w:val="24"/>
          <w:szCs w:val="24"/>
        </w:rPr>
        <w:t xml:space="preserve">) </w:t>
      </w:r>
      <w:r>
        <w:rPr>
          <w:sz w:val="24"/>
          <w:szCs w:val="24"/>
        </w:rPr>
        <w:t>eller andre vaginale produkter</w:t>
      </w:r>
      <w:r w:rsidRPr="00076679">
        <w:rPr>
          <w:sz w:val="24"/>
          <w:szCs w:val="24"/>
        </w:rPr>
        <w:t xml:space="preserve"> (se pkt. 4.5). Passende behandling er indiceret, når partneren også er angrebet.</w:t>
      </w:r>
    </w:p>
    <w:p w14:paraId="3038E291" w14:textId="77777777" w:rsidR="00A43F0F" w:rsidRDefault="00A43F0F" w:rsidP="00A43F0F">
      <w:pPr>
        <w:tabs>
          <w:tab w:val="left" w:pos="851"/>
        </w:tabs>
        <w:ind w:left="851"/>
        <w:rPr>
          <w:sz w:val="24"/>
          <w:szCs w:val="24"/>
        </w:rPr>
      </w:pPr>
    </w:p>
    <w:p w14:paraId="1158B377" w14:textId="77777777" w:rsidR="00A43F0F" w:rsidRDefault="00A43F0F" w:rsidP="00A43F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er nødvendigt at undgå kontakt med øjnene.</w:t>
      </w:r>
    </w:p>
    <w:p w14:paraId="2D9DE11B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CD18F18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76679">
        <w:rPr>
          <w:sz w:val="24"/>
          <w:szCs w:val="24"/>
        </w:rPr>
        <w:t>Fenticonazol</w:t>
      </w:r>
      <w:proofErr w:type="spellEnd"/>
      <w:r w:rsidRPr="00076679">
        <w:rPr>
          <w:sz w:val="24"/>
          <w:szCs w:val="24"/>
        </w:rPr>
        <w:t xml:space="preserve"> skal anvendes under tilsyn af en læge ved behandling under graviditet og amning (se pkt. 4.6).</w:t>
      </w:r>
    </w:p>
    <w:p w14:paraId="2E6B4DBB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6591D9BF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275B53EC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>Der er ikke udført interaktionsstudier.</w:t>
      </w:r>
    </w:p>
    <w:p w14:paraId="75AF4EE9" w14:textId="77777777" w:rsidR="00B02E97" w:rsidRPr="00076679" w:rsidRDefault="00B02E97" w:rsidP="00B02E97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61733A1A" w14:textId="49EFD3F6" w:rsidR="00B02E97" w:rsidRDefault="00B02E97" w:rsidP="00B02E97">
      <w:pPr>
        <w:tabs>
          <w:tab w:val="left" w:pos="851"/>
        </w:tabs>
        <w:ind w:left="851"/>
        <w:rPr>
          <w:bCs/>
          <w:sz w:val="24"/>
          <w:szCs w:val="24"/>
        </w:rPr>
      </w:pPr>
      <w:r w:rsidRPr="00076679">
        <w:rPr>
          <w:bCs/>
          <w:sz w:val="24"/>
          <w:szCs w:val="24"/>
        </w:rPr>
        <w:t xml:space="preserve">De fedtholdige hjælpestoffer og olier, som er i vaginalcremen, kan skade </w:t>
      </w:r>
      <w:proofErr w:type="spellStart"/>
      <w:r w:rsidRPr="00076679">
        <w:rPr>
          <w:bCs/>
          <w:sz w:val="24"/>
          <w:szCs w:val="24"/>
        </w:rPr>
        <w:t>kontraceptiva</w:t>
      </w:r>
      <w:proofErr w:type="spellEnd"/>
      <w:r w:rsidRPr="00076679">
        <w:rPr>
          <w:bCs/>
          <w:sz w:val="24"/>
          <w:szCs w:val="24"/>
        </w:rPr>
        <w:t xml:space="preserve"> lavet af latex. Patienter skal instrueres i at anvende alternative </w:t>
      </w:r>
      <w:proofErr w:type="spellStart"/>
      <w:r w:rsidRPr="00076679">
        <w:rPr>
          <w:bCs/>
          <w:sz w:val="24"/>
          <w:szCs w:val="24"/>
        </w:rPr>
        <w:t>kontraceptive</w:t>
      </w:r>
      <w:proofErr w:type="spellEnd"/>
      <w:r w:rsidRPr="00076679">
        <w:rPr>
          <w:bCs/>
          <w:sz w:val="24"/>
          <w:szCs w:val="24"/>
        </w:rPr>
        <w:t xml:space="preserve"> metoder/forholdsregler under behandling med dette lægemiddel. </w:t>
      </w:r>
    </w:p>
    <w:p w14:paraId="10A36F38" w14:textId="68EE6B91" w:rsidR="00A43F0F" w:rsidRDefault="00A43F0F" w:rsidP="00B02E97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595198A9" w14:textId="77777777" w:rsidR="00A43F0F" w:rsidRDefault="00A43F0F" w:rsidP="00A43F0F">
      <w:pPr>
        <w:tabs>
          <w:tab w:val="left" w:pos="851"/>
        </w:tabs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Interaktioner der frarådes:</w:t>
      </w:r>
    </w:p>
    <w:p w14:paraId="2A5A83BB" w14:textId="77777777" w:rsidR="00A43F0F" w:rsidRPr="00076679" w:rsidRDefault="00A43F0F" w:rsidP="00A43F0F">
      <w:pPr>
        <w:tabs>
          <w:tab w:val="left" w:pos="851"/>
        </w:tabs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Sæddræbende creme: Enhver lokal vaginalbehandling kan sandsynligvis inaktivere en lokal </w:t>
      </w:r>
      <w:proofErr w:type="spellStart"/>
      <w:r>
        <w:rPr>
          <w:bCs/>
          <w:sz w:val="24"/>
          <w:szCs w:val="24"/>
        </w:rPr>
        <w:t>kontraceptiv</w:t>
      </w:r>
      <w:proofErr w:type="spellEnd"/>
      <w:r>
        <w:rPr>
          <w:bCs/>
          <w:sz w:val="24"/>
          <w:szCs w:val="24"/>
        </w:rPr>
        <w:t xml:space="preserve"> sæddræbende creme. </w:t>
      </w:r>
    </w:p>
    <w:p w14:paraId="1C88E238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587EA728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2C643F7B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CE427DB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76679">
        <w:rPr>
          <w:sz w:val="24"/>
          <w:szCs w:val="24"/>
          <w:u w:val="single"/>
        </w:rPr>
        <w:t>Fertilitet</w:t>
      </w:r>
    </w:p>
    <w:p w14:paraId="77D9ABAF" w14:textId="7CF3A373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 xml:space="preserve">Der er ikke foretaget studier af </w:t>
      </w:r>
      <w:proofErr w:type="spellStart"/>
      <w:r w:rsidRPr="00076679">
        <w:rPr>
          <w:sz w:val="24"/>
          <w:szCs w:val="24"/>
        </w:rPr>
        <w:t>fenticonazols</w:t>
      </w:r>
      <w:proofErr w:type="spellEnd"/>
      <w:r w:rsidRPr="00076679">
        <w:rPr>
          <w:sz w:val="24"/>
          <w:szCs w:val="24"/>
        </w:rPr>
        <w:t xml:space="preserve"> virkning på fertilitet, dyrestudier har dog ikke vist, at lægemidlet påvirker fertiliteten.</w:t>
      </w:r>
    </w:p>
    <w:p w14:paraId="749C6270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E796B48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76679">
        <w:rPr>
          <w:sz w:val="24"/>
          <w:szCs w:val="24"/>
          <w:u w:val="single"/>
        </w:rPr>
        <w:t xml:space="preserve">Graviditet </w:t>
      </w:r>
    </w:p>
    <w:p w14:paraId="03158818" w14:textId="168DA828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 xml:space="preserve">Der er utilstrækkelige data fra anvendelse af </w:t>
      </w:r>
      <w:proofErr w:type="spellStart"/>
      <w:r w:rsidRPr="00076679">
        <w:rPr>
          <w:sz w:val="24"/>
          <w:szCs w:val="24"/>
        </w:rPr>
        <w:t>fenticonazol</w:t>
      </w:r>
      <w:proofErr w:type="spellEnd"/>
      <w:r w:rsidRPr="00076679">
        <w:rPr>
          <w:sz w:val="24"/>
          <w:szCs w:val="24"/>
        </w:rPr>
        <w:t xml:space="preserve"> til gravide kvinder. Dyrestudier har ikke vist </w:t>
      </w:r>
      <w:proofErr w:type="spellStart"/>
      <w:r w:rsidRPr="00076679">
        <w:rPr>
          <w:sz w:val="24"/>
          <w:szCs w:val="24"/>
        </w:rPr>
        <w:t>teratogen</w:t>
      </w:r>
      <w:proofErr w:type="spellEnd"/>
      <w:r w:rsidRPr="00076679">
        <w:rPr>
          <w:sz w:val="24"/>
          <w:szCs w:val="24"/>
        </w:rPr>
        <w:t xml:space="preserve"> effekt, og embryotoksisk og </w:t>
      </w:r>
      <w:proofErr w:type="spellStart"/>
      <w:r w:rsidRPr="00076679">
        <w:rPr>
          <w:sz w:val="24"/>
          <w:szCs w:val="24"/>
        </w:rPr>
        <w:t>føtotoksisk</w:t>
      </w:r>
      <w:proofErr w:type="spellEnd"/>
      <w:r w:rsidRPr="00076679">
        <w:rPr>
          <w:sz w:val="24"/>
          <w:szCs w:val="24"/>
        </w:rPr>
        <w:t xml:space="preserve"> effekt har kun været observeret i tilfælde, hvor der er administreret meget høje orale doser. Der forventes lav systemisk eksponering af </w:t>
      </w:r>
      <w:proofErr w:type="spellStart"/>
      <w:r w:rsidRPr="00076679">
        <w:rPr>
          <w:sz w:val="24"/>
          <w:szCs w:val="24"/>
        </w:rPr>
        <w:t>fenticonazol</w:t>
      </w:r>
      <w:proofErr w:type="spellEnd"/>
      <w:r w:rsidRPr="00076679">
        <w:rPr>
          <w:sz w:val="24"/>
          <w:szCs w:val="24"/>
        </w:rPr>
        <w:t xml:space="preserve"> efter vaginal behandling (se pkt. 5.2). </w:t>
      </w:r>
      <w:proofErr w:type="spellStart"/>
      <w:r w:rsidRPr="00076679">
        <w:rPr>
          <w:sz w:val="24"/>
          <w:szCs w:val="24"/>
        </w:rPr>
        <w:t>Fenticonazol</w:t>
      </w:r>
      <w:proofErr w:type="spellEnd"/>
      <w:r w:rsidRPr="00076679">
        <w:rPr>
          <w:sz w:val="24"/>
          <w:szCs w:val="24"/>
        </w:rPr>
        <w:t xml:space="preserve"> må kun anvendes under tilsyn af en læge ved behandling under graviditet.</w:t>
      </w:r>
    </w:p>
    <w:p w14:paraId="6C12B983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>Applikatoren må ikke anvendes under graviditet.</w:t>
      </w:r>
    </w:p>
    <w:p w14:paraId="2563CAA8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0626760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76679">
        <w:rPr>
          <w:sz w:val="24"/>
          <w:szCs w:val="24"/>
          <w:u w:val="single"/>
        </w:rPr>
        <w:t>Amning</w:t>
      </w:r>
    </w:p>
    <w:p w14:paraId="7597C93B" w14:textId="77777777" w:rsidR="00004CFA" w:rsidRDefault="00004CFA" w:rsidP="00004CFA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 xml:space="preserve">Dyrestudier med oral administration har vist, at </w:t>
      </w:r>
      <w:proofErr w:type="spellStart"/>
      <w:r w:rsidRPr="00076679">
        <w:rPr>
          <w:sz w:val="24"/>
          <w:szCs w:val="24"/>
        </w:rPr>
        <w:t>fenticonazol</w:t>
      </w:r>
      <w:proofErr w:type="spellEnd"/>
      <w:r w:rsidRPr="00076679">
        <w:rPr>
          <w:sz w:val="24"/>
          <w:szCs w:val="24"/>
        </w:rPr>
        <w:t xml:space="preserve"> og/eller dets metabolitter kan udskilles i modermælken. </w:t>
      </w:r>
      <w:r>
        <w:rPr>
          <w:sz w:val="24"/>
          <w:szCs w:val="24"/>
        </w:rPr>
        <w:t xml:space="preserve">Med hensyn til den ubetydelige absorption af </w:t>
      </w:r>
      <w:proofErr w:type="spellStart"/>
      <w:r>
        <w:rPr>
          <w:sz w:val="24"/>
          <w:szCs w:val="24"/>
        </w:rPr>
        <w:t>fenticonazol</w:t>
      </w:r>
      <w:proofErr w:type="spellEnd"/>
      <w:r>
        <w:rPr>
          <w:sz w:val="24"/>
          <w:szCs w:val="24"/>
        </w:rPr>
        <w:t xml:space="preserve"> efter vaginal administration (se pkt. 5.2) forventes der ikke nogen signifikant overførsel til modermælken. Da der imidlertid ikke findes tilgængelige humane data vedrørende udskillelse af </w:t>
      </w:r>
      <w:proofErr w:type="spellStart"/>
      <w:r>
        <w:rPr>
          <w:sz w:val="24"/>
          <w:szCs w:val="24"/>
        </w:rPr>
        <w:t>fenticonazol</w:t>
      </w:r>
      <w:proofErr w:type="spellEnd"/>
      <w:r>
        <w:rPr>
          <w:sz w:val="24"/>
          <w:szCs w:val="24"/>
        </w:rPr>
        <w:t xml:space="preserve"> og/eller dets metabolitter i modermælken efter vaginal administration, </w:t>
      </w:r>
      <w:r w:rsidRPr="00076679">
        <w:rPr>
          <w:sz w:val="24"/>
          <w:szCs w:val="24"/>
        </w:rPr>
        <w:t xml:space="preserve">kan det ikke udelukkes, at der er en risiko for barnet. </w:t>
      </w:r>
      <w:proofErr w:type="spellStart"/>
      <w:r w:rsidRPr="00076679">
        <w:rPr>
          <w:sz w:val="24"/>
          <w:szCs w:val="24"/>
        </w:rPr>
        <w:t>Fenticonazol</w:t>
      </w:r>
      <w:proofErr w:type="spellEnd"/>
      <w:r w:rsidRPr="00076679">
        <w:rPr>
          <w:sz w:val="24"/>
          <w:szCs w:val="24"/>
        </w:rPr>
        <w:t xml:space="preserve"> må kun anvendes under tilsyn af en læge ved behandling under amning.</w:t>
      </w:r>
    </w:p>
    <w:p w14:paraId="46664127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547A5144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79D4B98B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42FB0221" w14:textId="77777777" w:rsidR="00004CFA" w:rsidRPr="008A55CC" w:rsidRDefault="00004CFA" w:rsidP="00004CFA">
      <w:pPr>
        <w:tabs>
          <w:tab w:val="left" w:pos="851"/>
        </w:tabs>
        <w:ind w:left="851"/>
      </w:pPr>
      <w:proofErr w:type="spellStart"/>
      <w:r>
        <w:rPr>
          <w:sz w:val="24"/>
          <w:szCs w:val="24"/>
        </w:rPr>
        <w:t>Lomexin</w:t>
      </w:r>
      <w:proofErr w:type="spellEnd"/>
      <w:r>
        <w:rPr>
          <w:sz w:val="24"/>
          <w:szCs w:val="24"/>
        </w:rPr>
        <w:t xml:space="preserve"> </w:t>
      </w:r>
      <w:r w:rsidRPr="008A55CC">
        <w:t>påvirker ikke eller</w:t>
      </w:r>
      <w:r>
        <w:t xml:space="preserve"> kun</w:t>
      </w:r>
      <w:r w:rsidRPr="008A55CC">
        <w:t xml:space="preserve"> i ubetydelig grad</w:t>
      </w:r>
      <w:r>
        <w:t xml:space="preserve"> </w:t>
      </w:r>
      <w:r w:rsidRPr="008A55CC">
        <w:t xml:space="preserve">evnen til at føre motorkøretøj </w:t>
      </w:r>
      <w:r>
        <w:t>og</w:t>
      </w:r>
      <w:r w:rsidRPr="008A55CC">
        <w:t xml:space="preserve"> betjene maskiner.</w:t>
      </w:r>
    </w:p>
    <w:p w14:paraId="361C9A04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024D5CE7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6CF1CE66" w14:textId="77777777" w:rsidR="00B02E97" w:rsidRPr="00076679" w:rsidRDefault="00B02E97" w:rsidP="00B02E97">
      <w:pPr>
        <w:pStyle w:val="Sidehoved"/>
        <w:tabs>
          <w:tab w:val="left" w:pos="851"/>
        </w:tabs>
        <w:ind w:left="851"/>
        <w:rPr>
          <w:szCs w:val="24"/>
        </w:rPr>
      </w:pPr>
      <w:r w:rsidRPr="00076679">
        <w:rPr>
          <w:szCs w:val="24"/>
        </w:rPr>
        <w:t xml:space="preserve">Når </w:t>
      </w:r>
      <w:proofErr w:type="spellStart"/>
      <w:r w:rsidRPr="00076679">
        <w:rPr>
          <w:szCs w:val="24"/>
        </w:rPr>
        <w:t>Lomexin</w:t>
      </w:r>
      <w:proofErr w:type="spellEnd"/>
      <w:r w:rsidRPr="00076679">
        <w:rPr>
          <w:szCs w:val="24"/>
        </w:rPr>
        <w:t xml:space="preserve"> anvendes som anbefalet, optages det kun i ringe grad, og der forventes ikke systemiske bivirkninger. Der kan forekomme en let forbigående brændende følelse efter påføring.</w:t>
      </w:r>
    </w:p>
    <w:p w14:paraId="13882003" w14:textId="77777777" w:rsidR="00B02E97" w:rsidRPr="00076679" w:rsidRDefault="00B02E97" w:rsidP="00B02E97">
      <w:pPr>
        <w:pStyle w:val="Sidehoved"/>
        <w:tabs>
          <w:tab w:val="left" w:pos="851"/>
        </w:tabs>
        <w:ind w:left="851"/>
        <w:rPr>
          <w:szCs w:val="24"/>
        </w:rPr>
      </w:pPr>
    </w:p>
    <w:p w14:paraId="6840CE5B" w14:textId="77777777" w:rsidR="00B02E97" w:rsidRPr="00076679" w:rsidRDefault="00B02E97" w:rsidP="00B02E97">
      <w:pPr>
        <w:pStyle w:val="Sidehoved"/>
        <w:tabs>
          <w:tab w:val="left" w:pos="851"/>
        </w:tabs>
        <w:ind w:left="851"/>
        <w:rPr>
          <w:szCs w:val="24"/>
        </w:rPr>
      </w:pPr>
      <w:r w:rsidRPr="00076679">
        <w:rPr>
          <w:szCs w:val="24"/>
        </w:rPr>
        <w:t xml:space="preserve">Langvarig anvendelse af </w:t>
      </w:r>
      <w:proofErr w:type="spellStart"/>
      <w:r w:rsidRPr="00076679">
        <w:rPr>
          <w:szCs w:val="24"/>
        </w:rPr>
        <w:t>topikale</w:t>
      </w:r>
      <w:proofErr w:type="spellEnd"/>
      <w:r w:rsidRPr="00076679">
        <w:rPr>
          <w:szCs w:val="24"/>
        </w:rPr>
        <w:t xml:space="preserve"> lægemidler kan medføre øget følsomhed over for lægemidlet (se pkt. 4.4).</w:t>
      </w:r>
    </w:p>
    <w:p w14:paraId="19396CE7" w14:textId="77777777" w:rsidR="00B02E97" w:rsidRPr="00076679" w:rsidRDefault="00B02E97" w:rsidP="00B02E97">
      <w:pPr>
        <w:pStyle w:val="Sidehoved"/>
        <w:tabs>
          <w:tab w:val="left" w:pos="851"/>
        </w:tabs>
        <w:ind w:left="851"/>
        <w:rPr>
          <w:szCs w:val="24"/>
        </w:rPr>
      </w:pPr>
    </w:p>
    <w:p w14:paraId="4B13865A" w14:textId="7CBB0C02" w:rsidR="00B02E97" w:rsidRPr="00076679" w:rsidRDefault="00B02E97" w:rsidP="00B02E97">
      <w:pPr>
        <w:pStyle w:val="Sidehoved"/>
        <w:tabs>
          <w:tab w:val="left" w:pos="851"/>
        </w:tabs>
        <w:ind w:left="851"/>
        <w:rPr>
          <w:szCs w:val="24"/>
        </w:rPr>
      </w:pPr>
      <w:r w:rsidRPr="00076679">
        <w:rPr>
          <w:szCs w:val="24"/>
        </w:rPr>
        <w:t xml:space="preserve">I tabellen nedenfor er de rapporterede bivirkninger anført i henhold til </w:t>
      </w:r>
      <w:proofErr w:type="spellStart"/>
      <w:r w:rsidRPr="00076679">
        <w:rPr>
          <w:szCs w:val="24"/>
        </w:rPr>
        <w:t>MedDRA</w:t>
      </w:r>
      <w:proofErr w:type="spellEnd"/>
      <w:r w:rsidRPr="00076679">
        <w:rPr>
          <w:szCs w:val="24"/>
        </w:rPr>
        <w:t xml:space="preserve">-systemorganklasser og hyppighed: </w:t>
      </w:r>
      <w:r>
        <w:rPr>
          <w:szCs w:val="24"/>
        </w:rPr>
        <w:t>M</w:t>
      </w:r>
      <w:r w:rsidRPr="00076679">
        <w:rPr>
          <w:szCs w:val="24"/>
        </w:rPr>
        <w:t>eget almindelig (≥ 1/10); almindelig (≥ 1/100 til &lt; 1/10); ikke almindelig (≥ 1/1.000 til &lt; 1/100); sjælden (≥ 1/10.000 til &lt; 1/1.000); meget sjælden (&lt; 1/10.000)</w:t>
      </w:r>
      <w:r w:rsidR="00004CFA">
        <w:rPr>
          <w:szCs w:val="24"/>
        </w:rPr>
        <w:t>;</w:t>
      </w:r>
      <w:r w:rsidRPr="00076679">
        <w:rPr>
          <w:szCs w:val="24"/>
        </w:rPr>
        <w:t xml:space="preserve"> ikke kendt (kan ikke estimeres ud fra forhåndenværende data). </w:t>
      </w:r>
    </w:p>
    <w:p w14:paraId="208D598C" w14:textId="77777777" w:rsidR="00004CFA" w:rsidRPr="00076679" w:rsidRDefault="00004CFA" w:rsidP="00004CFA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8788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637"/>
        <w:gridCol w:w="3182"/>
      </w:tblGrid>
      <w:tr w:rsidR="00004CFA" w:rsidRPr="00402433" w14:paraId="7BA05BE8" w14:textId="77777777" w:rsidTr="00F84FDF">
        <w:trPr>
          <w:trHeight w:val="28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0F06" w14:textId="77777777" w:rsidR="00004CFA" w:rsidRPr="00402433" w:rsidRDefault="00004CFA" w:rsidP="00F84FDF">
            <w:pPr>
              <w:pStyle w:val="Sidehoved"/>
              <w:ind w:left="24"/>
              <w:rPr>
                <w:szCs w:val="24"/>
              </w:rPr>
            </w:pPr>
            <w:r w:rsidRPr="00402433">
              <w:rPr>
                <w:b/>
                <w:bCs/>
                <w:i/>
                <w:iCs/>
                <w:szCs w:val="24"/>
              </w:rPr>
              <w:t>Systemorganklasse</w:t>
            </w:r>
          </w:p>
        </w:tc>
        <w:tc>
          <w:tcPr>
            <w:tcW w:w="1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37BD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b/>
                <w:bCs/>
                <w:i/>
                <w:iCs/>
                <w:szCs w:val="24"/>
              </w:rPr>
              <w:t>Frekvens</w:t>
            </w:r>
          </w:p>
        </w:tc>
        <w:tc>
          <w:tcPr>
            <w:tcW w:w="3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3057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b/>
                <w:bCs/>
                <w:i/>
                <w:iCs/>
                <w:szCs w:val="24"/>
              </w:rPr>
              <w:t>Terminologi</w:t>
            </w:r>
          </w:p>
        </w:tc>
      </w:tr>
      <w:tr w:rsidR="00004CFA" w:rsidRPr="00402433" w14:paraId="4250C781" w14:textId="77777777" w:rsidTr="00004CFA">
        <w:trPr>
          <w:trHeight w:val="567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DF79" w14:textId="77777777" w:rsidR="00004CFA" w:rsidRPr="00402433" w:rsidRDefault="00004CFA" w:rsidP="00F84FDF">
            <w:pPr>
              <w:pStyle w:val="Sidehoved"/>
              <w:ind w:left="24"/>
              <w:rPr>
                <w:szCs w:val="24"/>
              </w:rPr>
            </w:pPr>
            <w:r w:rsidRPr="00402433">
              <w:rPr>
                <w:szCs w:val="24"/>
              </w:rPr>
              <w:t>Det reproduktive system og mammae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F919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szCs w:val="24"/>
              </w:rPr>
              <w:t>Meget sjælden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339D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szCs w:val="24"/>
              </w:rPr>
              <w:t>Brændende fornemmelse i vagina eller på kønsorganerne</w:t>
            </w:r>
          </w:p>
        </w:tc>
      </w:tr>
      <w:tr w:rsidR="00004CFA" w:rsidRPr="00402433" w14:paraId="267B6A66" w14:textId="77777777" w:rsidTr="00004CFA">
        <w:trPr>
          <w:trHeight w:val="56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85EB" w14:textId="77777777" w:rsidR="00004CFA" w:rsidRPr="00402433" w:rsidRDefault="00004CFA" w:rsidP="00F84FDF">
            <w:pPr>
              <w:pStyle w:val="Sidehoved"/>
              <w:ind w:left="24"/>
              <w:rPr>
                <w:szCs w:val="24"/>
              </w:rPr>
            </w:pPr>
            <w:r w:rsidRPr="00402433">
              <w:rPr>
                <w:szCs w:val="24"/>
              </w:rPr>
              <w:t>Hud og subkutane væv</w:t>
            </w:r>
          </w:p>
        </w:tc>
        <w:tc>
          <w:tcPr>
            <w:tcW w:w="16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4AFB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szCs w:val="24"/>
              </w:rPr>
              <w:t>Meget sjælden</w:t>
            </w:r>
          </w:p>
        </w:tc>
        <w:tc>
          <w:tcPr>
            <w:tcW w:w="31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6B61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proofErr w:type="spellStart"/>
            <w:r w:rsidRPr="00402433">
              <w:rPr>
                <w:szCs w:val="24"/>
              </w:rPr>
              <w:t>Erytem</w:t>
            </w:r>
            <w:proofErr w:type="spellEnd"/>
          </w:p>
          <w:p w14:paraId="0E414D2C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proofErr w:type="spellStart"/>
            <w:r w:rsidRPr="00402433">
              <w:rPr>
                <w:szCs w:val="24"/>
              </w:rPr>
              <w:t>Pruritus</w:t>
            </w:r>
            <w:proofErr w:type="spellEnd"/>
          </w:p>
          <w:p w14:paraId="7A3A37CB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szCs w:val="24"/>
              </w:rPr>
              <w:t>Udslæt</w:t>
            </w:r>
          </w:p>
        </w:tc>
      </w:tr>
      <w:tr w:rsidR="00004CFA" w:rsidRPr="00402433" w14:paraId="05922344" w14:textId="77777777" w:rsidTr="00004CF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8413" w14:textId="77777777" w:rsidR="00004CFA" w:rsidRPr="00402433" w:rsidRDefault="00004CFA" w:rsidP="00F84FDF">
            <w:pPr>
              <w:pStyle w:val="Sidehoved"/>
              <w:ind w:left="24"/>
              <w:rPr>
                <w:szCs w:val="24"/>
              </w:rPr>
            </w:pPr>
            <w:r w:rsidRPr="00402433">
              <w:rPr>
                <w:szCs w:val="24"/>
              </w:rPr>
              <w:t>Almene symptomer og reaktioner på administrationsstedet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AF83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szCs w:val="24"/>
              </w:rPr>
              <w:t>Ikke kendt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E990" w14:textId="77777777" w:rsidR="00004CFA" w:rsidRPr="00402433" w:rsidRDefault="00004CFA" w:rsidP="00F84FDF">
            <w:pPr>
              <w:pStyle w:val="Sidehoved"/>
              <w:rPr>
                <w:szCs w:val="24"/>
              </w:rPr>
            </w:pPr>
            <w:r w:rsidRPr="00402433">
              <w:rPr>
                <w:szCs w:val="24"/>
              </w:rPr>
              <w:t>Hypersensitivitet ved applikationsstedet</w:t>
            </w:r>
          </w:p>
        </w:tc>
      </w:tr>
    </w:tbl>
    <w:p w14:paraId="525F9509" w14:textId="77777777" w:rsidR="00004CFA" w:rsidRPr="00076679" w:rsidRDefault="00004CFA" w:rsidP="00004CFA">
      <w:pPr>
        <w:pStyle w:val="Sidehoved"/>
        <w:tabs>
          <w:tab w:val="left" w:pos="851"/>
        </w:tabs>
        <w:ind w:left="851"/>
        <w:rPr>
          <w:szCs w:val="24"/>
        </w:rPr>
      </w:pPr>
    </w:p>
    <w:p w14:paraId="37E54FFD" w14:textId="77777777" w:rsidR="00004CFA" w:rsidRDefault="00004CFA" w:rsidP="00004CFA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14:paraId="733A6EF4" w14:textId="77777777" w:rsidR="00004CFA" w:rsidRDefault="00004CFA" w:rsidP="00004CF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Sundhedspersoner anmodes om at indberette alle formodede bivirkninger via</w:t>
      </w:r>
    </w:p>
    <w:p w14:paraId="23BF82E0" w14:textId="77777777" w:rsidR="00004CFA" w:rsidRDefault="00004CFA" w:rsidP="00004CFA">
      <w:pPr>
        <w:ind w:left="851"/>
        <w:rPr>
          <w:sz w:val="24"/>
          <w:szCs w:val="24"/>
          <w:lang w:eastAsia="da-DK"/>
        </w:rPr>
      </w:pPr>
    </w:p>
    <w:p w14:paraId="050C8526" w14:textId="77777777" w:rsidR="00004CFA" w:rsidRDefault="00004CFA" w:rsidP="00004CF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14:paraId="4C5CB801" w14:textId="77777777" w:rsidR="00004CFA" w:rsidRDefault="00004CFA" w:rsidP="00004CF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14:paraId="1C0BD6DB" w14:textId="77777777" w:rsidR="00004CFA" w:rsidRDefault="00004CFA" w:rsidP="00004CF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14:paraId="0D3E56E5" w14:textId="77777777" w:rsidR="00004CFA" w:rsidRPr="005E1ABC" w:rsidRDefault="00004CFA" w:rsidP="00004CFA">
      <w:pPr>
        <w:ind w:left="851"/>
        <w:rPr>
          <w:sz w:val="24"/>
          <w:szCs w:val="24"/>
          <w:lang w:eastAsia="da-DK"/>
        </w:rPr>
      </w:pPr>
      <w:r w:rsidRPr="005E1ABC">
        <w:rPr>
          <w:sz w:val="24"/>
          <w:szCs w:val="24"/>
          <w:lang w:eastAsia="da-DK"/>
        </w:rPr>
        <w:t xml:space="preserve">Websted: </w:t>
      </w:r>
      <w:hyperlink r:id="rId9" w:history="1">
        <w:r w:rsidRPr="005E1ABC">
          <w:rPr>
            <w:rStyle w:val="Hyperlink"/>
            <w:sz w:val="24"/>
            <w:lang w:eastAsia="da-DK"/>
          </w:rPr>
          <w:t>www.meldenbivirkning.dk</w:t>
        </w:r>
      </w:hyperlink>
    </w:p>
    <w:p w14:paraId="2B983FAC" w14:textId="77777777" w:rsidR="00004CFA" w:rsidRPr="005E1ABC" w:rsidRDefault="00004CFA" w:rsidP="00004CFA">
      <w:pPr>
        <w:rPr>
          <w:rFonts w:ascii="Calibri" w:eastAsia="Calibri" w:hAnsi="Calibri"/>
          <w:sz w:val="22"/>
          <w:szCs w:val="24"/>
          <w:lang w:eastAsia="da-DK"/>
        </w:rPr>
      </w:pPr>
    </w:p>
    <w:p w14:paraId="4FCEC278" w14:textId="77777777" w:rsidR="00B02E97" w:rsidRPr="00E77206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7206">
        <w:rPr>
          <w:b/>
          <w:sz w:val="24"/>
          <w:szCs w:val="24"/>
        </w:rPr>
        <w:t>4.9</w:t>
      </w:r>
      <w:r w:rsidRPr="00E77206">
        <w:rPr>
          <w:b/>
          <w:sz w:val="24"/>
          <w:szCs w:val="24"/>
        </w:rPr>
        <w:tab/>
        <w:t>Overdosering</w:t>
      </w:r>
    </w:p>
    <w:p w14:paraId="4A0757F9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076679">
        <w:rPr>
          <w:sz w:val="24"/>
          <w:szCs w:val="24"/>
        </w:rPr>
        <w:t>Der er ikke indberettet tilfælde af overdosering.</w:t>
      </w:r>
    </w:p>
    <w:p w14:paraId="16C6D841" w14:textId="77777777" w:rsidR="00B02E97" w:rsidRPr="00076679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76679">
        <w:rPr>
          <w:sz w:val="24"/>
          <w:szCs w:val="24"/>
        </w:rPr>
        <w:t>Lomexin</w:t>
      </w:r>
      <w:proofErr w:type="spellEnd"/>
      <w:r w:rsidRPr="00076679">
        <w:rPr>
          <w:sz w:val="24"/>
          <w:szCs w:val="24"/>
        </w:rPr>
        <w:t xml:space="preserve"> er til lokal påføring og ikke til oral anvendelse. I tilfælde af utilsigtet oral indtagelse kan der forekomme mavesmerter og opkastning.</w:t>
      </w:r>
    </w:p>
    <w:p w14:paraId="6563058F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22D937E3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0241B963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E71CE1A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5EFC8BB2" w14:textId="4E392790" w:rsidR="005C12A4" w:rsidRDefault="005C12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AF8B4B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70DBD08B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3BDC527E" w14:textId="77777777" w:rsidR="001F16F4" w:rsidRPr="00C84483" w:rsidRDefault="001F16F4" w:rsidP="001F16F4">
      <w:pPr>
        <w:tabs>
          <w:tab w:val="left" w:pos="851"/>
        </w:tabs>
        <w:ind w:left="851"/>
        <w:rPr>
          <w:sz w:val="24"/>
          <w:szCs w:val="24"/>
        </w:rPr>
      </w:pPr>
    </w:p>
    <w:p w14:paraId="0E557821" w14:textId="77777777" w:rsidR="001F16F4" w:rsidRPr="00C84483" w:rsidRDefault="001F16F4" w:rsidP="001F16F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3D45C0CD" w14:textId="64A47040" w:rsidR="001F16F4" w:rsidRPr="00463A08" w:rsidRDefault="001F16F4" w:rsidP="001F16F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463A08">
        <w:rPr>
          <w:sz w:val="24"/>
          <w:szCs w:val="24"/>
        </w:rPr>
        <w:t xml:space="preserve">Gynækologiske </w:t>
      </w:r>
      <w:proofErr w:type="spellStart"/>
      <w:r w:rsidRPr="00463A08">
        <w:rPr>
          <w:sz w:val="24"/>
          <w:szCs w:val="24"/>
        </w:rPr>
        <w:t>antiinfectiva</w:t>
      </w:r>
      <w:proofErr w:type="spellEnd"/>
      <w:r w:rsidRPr="00463A08">
        <w:rPr>
          <w:sz w:val="24"/>
          <w:szCs w:val="24"/>
        </w:rPr>
        <w:t xml:space="preserve"> og </w:t>
      </w:r>
      <w:proofErr w:type="spellStart"/>
      <w:r w:rsidRPr="00463A08">
        <w:rPr>
          <w:sz w:val="24"/>
          <w:szCs w:val="24"/>
        </w:rPr>
        <w:t>a</w:t>
      </w:r>
      <w:r>
        <w:rPr>
          <w:sz w:val="24"/>
          <w:szCs w:val="24"/>
        </w:rPr>
        <w:t>ntiseptica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imidazol</w:t>
      </w:r>
      <w:proofErr w:type="spellEnd"/>
      <w:r>
        <w:rPr>
          <w:sz w:val="24"/>
          <w:szCs w:val="24"/>
        </w:rPr>
        <w:t>-derivater, ATC-kode: G01AF1</w:t>
      </w:r>
      <w:r w:rsidRPr="00463A08">
        <w:rPr>
          <w:sz w:val="24"/>
          <w:szCs w:val="24"/>
        </w:rPr>
        <w:t>2.</w:t>
      </w:r>
    </w:p>
    <w:p w14:paraId="4D9AE789" w14:textId="77777777" w:rsidR="001F16F4" w:rsidRDefault="001F16F4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7E45ECA7" w14:textId="38025C4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3A08">
        <w:rPr>
          <w:sz w:val="24"/>
          <w:szCs w:val="24"/>
        </w:rPr>
        <w:t>Fenticonazol</w:t>
      </w:r>
      <w:proofErr w:type="spellEnd"/>
      <w:r w:rsidRPr="00463A08">
        <w:rPr>
          <w:sz w:val="24"/>
          <w:szCs w:val="24"/>
        </w:rPr>
        <w:t xml:space="preserve"> er et bredspektret, </w:t>
      </w:r>
      <w:proofErr w:type="spellStart"/>
      <w:r w:rsidRPr="00463A08">
        <w:rPr>
          <w:sz w:val="24"/>
          <w:szCs w:val="24"/>
        </w:rPr>
        <w:t>antimykotisk</w:t>
      </w:r>
      <w:proofErr w:type="spellEnd"/>
      <w:r w:rsidRPr="00463A08">
        <w:rPr>
          <w:sz w:val="24"/>
          <w:szCs w:val="24"/>
        </w:rPr>
        <w:t xml:space="preserve"> stof med høj </w:t>
      </w:r>
      <w:proofErr w:type="spellStart"/>
      <w:r w:rsidRPr="00463A08">
        <w:rPr>
          <w:sz w:val="24"/>
          <w:szCs w:val="24"/>
        </w:rPr>
        <w:t>fungistatisk</w:t>
      </w:r>
      <w:proofErr w:type="spellEnd"/>
      <w:r w:rsidRPr="00463A08">
        <w:rPr>
          <w:sz w:val="24"/>
          <w:szCs w:val="24"/>
        </w:rPr>
        <w:t xml:space="preserve"> og fungicid aktivitet over for </w:t>
      </w:r>
      <w:proofErr w:type="spellStart"/>
      <w:r w:rsidRPr="00463A08">
        <w:rPr>
          <w:sz w:val="24"/>
          <w:szCs w:val="24"/>
        </w:rPr>
        <w:t>dermatofytter</w:t>
      </w:r>
      <w:proofErr w:type="spellEnd"/>
      <w:r w:rsidRPr="00463A08">
        <w:rPr>
          <w:sz w:val="24"/>
          <w:szCs w:val="24"/>
        </w:rPr>
        <w:t xml:space="preserve"> (alle arter af </w:t>
      </w:r>
      <w:proofErr w:type="spellStart"/>
      <w:r w:rsidRPr="00463A08">
        <w:rPr>
          <w:i/>
          <w:sz w:val="24"/>
          <w:szCs w:val="24"/>
        </w:rPr>
        <w:t>Trichophyton</w:t>
      </w:r>
      <w:proofErr w:type="spellEnd"/>
      <w:r w:rsidRPr="00463A08">
        <w:rPr>
          <w:i/>
          <w:sz w:val="24"/>
          <w:szCs w:val="24"/>
        </w:rPr>
        <w:t xml:space="preserve">, </w:t>
      </w:r>
      <w:proofErr w:type="spellStart"/>
      <w:r w:rsidRPr="00463A08">
        <w:rPr>
          <w:i/>
          <w:sz w:val="24"/>
          <w:szCs w:val="24"/>
        </w:rPr>
        <w:t>Microsporum</w:t>
      </w:r>
      <w:proofErr w:type="spellEnd"/>
      <w:r w:rsidRPr="00463A08">
        <w:rPr>
          <w:i/>
          <w:sz w:val="24"/>
          <w:szCs w:val="24"/>
        </w:rPr>
        <w:t xml:space="preserve">, </w:t>
      </w:r>
      <w:proofErr w:type="spellStart"/>
      <w:r w:rsidRPr="00463A08">
        <w:rPr>
          <w:i/>
          <w:sz w:val="24"/>
          <w:szCs w:val="24"/>
        </w:rPr>
        <w:t>Epidermophyton</w:t>
      </w:r>
      <w:proofErr w:type="spellEnd"/>
      <w:r w:rsidRPr="00463A08">
        <w:rPr>
          <w:sz w:val="24"/>
          <w:szCs w:val="24"/>
        </w:rPr>
        <w:t xml:space="preserve">), </w:t>
      </w:r>
      <w:proofErr w:type="spellStart"/>
      <w:r w:rsidRPr="00463A08">
        <w:rPr>
          <w:i/>
          <w:sz w:val="24"/>
          <w:szCs w:val="24"/>
        </w:rPr>
        <w:t>Candida</w:t>
      </w:r>
      <w:proofErr w:type="spellEnd"/>
      <w:r w:rsidRPr="00463A08">
        <w:rPr>
          <w:i/>
          <w:sz w:val="24"/>
          <w:szCs w:val="24"/>
        </w:rPr>
        <w:t xml:space="preserve"> </w:t>
      </w:r>
      <w:proofErr w:type="spellStart"/>
      <w:r w:rsidRPr="00463A08">
        <w:rPr>
          <w:i/>
          <w:sz w:val="24"/>
          <w:szCs w:val="24"/>
        </w:rPr>
        <w:t>albicans</w:t>
      </w:r>
      <w:proofErr w:type="spellEnd"/>
      <w:r w:rsidRPr="00463A08">
        <w:rPr>
          <w:sz w:val="24"/>
          <w:szCs w:val="24"/>
        </w:rPr>
        <w:t xml:space="preserve"> og andre </w:t>
      </w:r>
      <w:proofErr w:type="spellStart"/>
      <w:r w:rsidRPr="00463A08">
        <w:rPr>
          <w:sz w:val="24"/>
          <w:szCs w:val="24"/>
        </w:rPr>
        <w:t>mykotiske</w:t>
      </w:r>
      <w:proofErr w:type="spellEnd"/>
      <w:r w:rsidRPr="00463A08">
        <w:rPr>
          <w:sz w:val="24"/>
          <w:szCs w:val="24"/>
        </w:rPr>
        <w:t xml:space="preserve"> organismer på hud og slimhinder. </w:t>
      </w:r>
      <w:proofErr w:type="spellStart"/>
      <w:r w:rsidRPr="00463A08">
        <w:rPr>
          <w:sz w:val="24"/>
          <w:szCs w:val="24"/>
        </w:rPr>
        <w:t>Fenticonazol</w:t>
      </w:r>
      <w:proofErr w:type="spellEnd"/>
      <w:r w:rsidRPr="00463A08">
        <w:rPr>
          <w:sz w:val="24"/>
          <w:szCs w:val="24"/>
        </w:rPr>
        <w:t xml:space="preserve"> har også antibakteriel aktivitet mod grampositive bakterier og en antiparasitisk virkning mod </w:t>
      </w:r>
      <w:proofErr w:type="spellStart"/>
      <w:r w:rsidRPr="00463A08">
        <w:rPr>
          <w:i/>
          <w:sz w:val="24"/>
          <w:szCs w:val="24"/>
        </w:rPr>
        <w:t>Trichomonas</w:t>
      </w:r>
      <w:proofErr w:type="spellEnd"/>
      <w:r w:rsidRPr="00463A08">
        <w:rPr>
          <w:i/>
          <w:sz w:val="24"/>
          <w:szCs w:val="24"/>
        </w:rPr>
        <w:t xml:space="preserve"> </w:t>
      </w:r>
      <w:proofErr w:type="spellStart"/>
      <w:r w:rsidRPr="00463A08">
        <w:rPr>
          <w:i/>
          <w:sz w:val="24"/>
          <w:szCs w:val="24"/>
        </w:rPr>
        <w:t>vaginalis</w:t>
      </w:r>
      <w:proofErr w:type="spellEnd"/>
      <w:r w:rsidRPr="00463A08">
        <w:rPr>
          <w:sz w:val="24"/>
          <w:szCs w:val="24"/>
        </w:rPr>
        <w:t>.</w:t>
      </w:r>
    </w:p>
    <w:p w14:paraId="5B94B89B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 xml:space="preserve">Det udøver dets </w:t>
      </w:r>
      <w:proofErr w:type="spellStart"/>
      <w:r w:rsidRPr="00463A08">
        <w:rPr>
          <w:sz w:val="24"/>
          <w:szCs w:val="24"/>
        </w:rPr>
        <w:t>antimykotiske</w:t>
      </w:r>
      <w:proofErr w:type="spellEnd"/>
      <w:r w:rsidRPr="00463A08">
        <w:rPr>
          <w:sz w:val="24"/>
          <w:szCs w:val="24"/>
        </w:rPr>
        <w:t xml:space="preserve"> virkning ved at inhibere sekretion af </w:t>
      </w:r>
      <w:proofErr w:type="spellStart"/>
      <w:r w:rsidRPr="00463A08">
        <w:rPr>
          <w:i/>
          <w:sz w:val="24"/>
          <w:szCs w:val="24"/>
        </w:rPr>
        <w:t>Candida</w:t>
      </w:r>
      <w:proofErr w:type="spellEnd"/>
      <w:r w:rsidRPr="00463A08">
        <w:rPr>
          <w:i/>
          <w:sz w:val="24"/>
          <w:szCs w:val="24"/>
        </w:rPr>
        <w:t xml:space="preserve"> </w:t>
      </w:r>
      <w:proofErr w:type="spellStart"/>
      <w:r w:rsidRPr="00463A08">
        <w:rPr>
          <w:i/>
          <w:sz w:val="24"/>
          <w:szCs w:val="24"/>
        </w:rPr>
        <w:t>albicans</w:t>
      </w:r>
      <w:proofErr w:type="spellEnd"/>
      <w:r w:rsidRPr="00463A08">
        <w:rPr>
          <w:i/>
          <w:sz w:val="24"/>
          <w:szCs w:val="24"/>
        </w:rPr>
        <w:t>’</w:t>
      </w:r>
      <w:r w:rsidRPr="00463A08">
        <w:rPr>
          <w:sz w:val="24"/>
          <w:szCs w:val="24"/>
        </w:rPr>
        <w:t xml:space="preserve"> sure </w:t>
      </w:r>
      <w:proofErr w:type="spellStart"/>
      <w:r w:rsidRPr="00463A08">
        <w:rPr>
          <w:sz w:val="24"/>
          <w:szCs w:val="24"/>
        </w:rPr>
        <w:t>proteaser</w:t>
      </w:r>
      <w:proofErr w:type="spellEnd"/>
      <w:r w:rsidRPr="00463A08">
        <w:rPr>
          <w:sz w:val="24"/>
          <w:szCs w:val="24"/>
        </w:rPr>
        <w:t xml:space="preserve">, hvilket ødelægger den cytoplasmatiske membran og blokerer </w:t>
      </w:r>
      <w:proofErr w:type="spellStart"/>
      <w:r w:rsidRPr="00463A08">
        <w:rPr>
          <w:sz w:val="24"/>
          <w:szCs w:val="24"/>
        </w:rPr>
        <w:t>cytochrom</w:t>
      </w:r>
      <w:proofErr w:type="spellEnd"/>
      <w:r w:rsidRPr="00463A08">
        <w:rPr>
          <w:sz w:val="24"/>
          <w:szCs w:val="24"/>
        </w:rPr>
        <w:t xml:space="preserve"> oxidase og </w:t>
      </w:r>
      <w:proofErr w:type="spellStart"/>
      <w:r w:rsidRPr="00463A08">
        <w:rPr>
          <w:sz w:val="24"/>
          <w:szCs w:val="24"/>
        </w:rPr>
        <w:t>peroxidaser</w:t>
      </w:r>
      <w:proofErr w:type="spellEnd"/>
      <w:r w:rsidRPr="00463A08">
        <w:rPr>
          <w:sz w:val="24"/>
          <w:szCs w:val="24"/>
        </w:rPr>
        <w:t xml:space="preserve">. </w:t>
      </w:r>
    </w:p>
    <w:p w14:paraId="737AE88C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4D3845AF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02D62A1D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 xml:space="preserve">Absorptionen hos mennesker er ubetydelig efter vaginal administration </w:t>
      </w:r>
      <w:r>
        <w:rPr>
          <w:sz w:val="24"/>
          <w:szCs w:val="24"/>
        </w:rPr>
        <w:t>a</w:t>
      </w:r>
      <w:r w:rsidRPr="00463A08">
        <w:rPr>
          <w:sz w:val="24"/>
          <w:szCs w:val="24"/>
        </w:rPr>
        <w:t xml:space="preserve">f </w:t>
      </w:r>
      <w:proofErr w:type="spellStart"/>
      <w:r w:rsidRPr="00463A08">
        <w:rPr>
          <w:sz w:val="24"/>
          <w:szCs w:val="24"/>
        </w:rPr>
        <w:t>fenticonazol</w:t>
      </w:r>
      <w:proofErr w:type="spellEnd"/>
      <w:r w:rsidRPr="00463A08">
        <w:rPr>
          <w:sz w:val="24"/>
          <w:szCs w:val="24"/>
        </w:rPr>
        <w:t xml:space="preserve">: </w:t>
      </w:r>
      <w:proofErr w:type="spellStart"/>
      <w:r w:rsidRPr="00463A08">
        <w:rPr>
          <w:sz w:val="24"/>
          <w:szCs w:val="24"/>
        </w:rPr>
        <w:t>Farmakokinetiske</w:t>
      </w:r>
      <w:proofErr w:type="spellEnd"/>
      <w:r w:rsidRPr="00463A08">
        <w:rPr>
          <w:sz w:val="24"/>
          <w:szCs w:val="24"/>
        </w:rPr>
        <w:t xml:space="preserve"> studier udført hos to patientgrupper, som blev behandlet med </w:t>
      </w:r>
      <w:proofErr w:type="spellStart"/>
      <w:r w:rsidRPr="00463A08">
        <w:rPr>
          <w:sz w:val="24"/>
          <w:szCs w:val="24"/>
        </w:rPr>
        <w:t>fenticonazolnitrat</w:t>
      </w:r>
      <w:proofErr w:type="spellEnd"/>
      <w:r w:rsidRPr="00463A08">
        <w:rPr>
          <w:sz w:val="24"/>
          <w:szCs w:val="24"/>
        </w:rPr>
        <w:t xml:space="preserve"> 1.000 mg administreret vaginalt, viste, at den gennemsnitlige absorption hos patienter med </w:t>
      </w:r>
      <w:proofErr w:type="spellStart"/>
      <w:r w:rsidRPr="00463A08">
        <w:rPr>
          <w:sz w:val="24"/>
          <w:szCs w:val="24"/>
        </w:rPr>
        <w:t>vulvovaginal</w:t>
      </w:r>
      <w:proofErr w:type="spellEnd"/>
      <w:r w:rsidRPr="00463A08">
        <w:rPr>
          <w:sz w:val="24"/>
          <w:szCs w:val="24"/>
        </w:rPr>
        <w:t xml:space="preserve"> </w:t>
      </w:r>
      <w:proofErr w:type="spellStart"/>
      <w:r w:rsidRPr="00463A08">
        <w:rPr>
          <w:sz w:val="24"/>
          <w:szCs w:val="24"/>
        </w:rPr>
        <w:t>candidiatis</w:t>
      </w:r>
      <w:proofErr w:type="spellEnd"/>
      <w:r w:rsidRPr="00463A08">
        <w:rPr>
          <w:sz w:val="24"/>
          <w:szCs w:val="24"/>
        </w:rPr>
        <w:t xml:space="preserve"> er 1,81 ± 0,57 %; mens den gennemsnitlige absorption hos raske forsøgspersoner med en normal vaginal </w:t>
      </w:r>
      <w:proofErr w:type="spellStart"/>
      <w:r w:rsidRPr="00463A08">
        <w:rPr>
          <w:sz w:val="24"/>
          <w:szCs w:val="24"/>
        </w:rPr>
        <w:t>mucosa</w:t>
      </w:r>
      <w:proofErr w:type="spellEnd"/>
      <w:r w:rsidRPr="00463A08">
        <w:rPr>
          <w:sz w:val="24"/>
          <w:szCs w:val="24"/>
        </w:rPr>
        <w:t xml:space="preserve"> eller hos patienter med </w:t>
      </w:r>
      <w:proofErr w:type="spellStart"/>
      <w:r w:rsidRPr="00463A08">
        <w:rPr>
          <w:sz w:val="24"/>
          <w:szCs w:val="24"/>
        </w:rPr>
        <w:t>carvikalt</w:t>
      </w:r>
      <w:proofErr w:type="spellEnd"/>
      <w:r w:rsidRPr="00463A08">
        <w:rPr>
          <w:sz w:val="24"/>
          <w:szCs w:val="24"/>
        </w:rPr>
        <w:t xml:space="preserve"> karcinom er henholdsvis 0,58 % og 1,12 % af dosis.</w:t>
      </w:r>
    </w:p>
    <w:p w14:paraId="6D1A3E59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723FE9D2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26D4A816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 xml:space="preserve">Prækliniske data viser ingen speciel risiko for mennesker vurderet ud fra konventionelle studier af sikkerhedsfarmakologi, toksicitet, genotoksicitet, </w:t>
      </w:r>
      <w:proofErr w:type="spellStart"/>
      <w:r w:rsidRPr="00463A08">
        <w:rPr>
          <w:sz w:val="24"/>
          <w:szCs w:val="24"/>
        </w:rPr>
        <w:t>karcinogenicitet</w:t>
      </w:r>
      <w:proofErr w:type="spellEnd"/>
      <w:r w:rsidRPr="00463A08">
        <w:rPr>
          <w:sz w:val="24"/>
          <w:szCs w:val="24"/>
        </w:rPr>
        <w:t xml:space="preserve"> samt reproduktions- og udviklingstoksicitet.</w:t>
      </w:r>
    </w:p>
    <w:p w14:paraId="47411794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>I prækliniske studier blev der kun iagttaget virkninger ved doser, der anses for at overstige den maksimale humane eksponering i væsentlig grad. Disse virkninger vurderes derfor til at være af ringe klinisk relevans.</w:t>
      </w:r>
    </w:p>
    <w:p w14:paraId="27325C76" w14:textId="61877470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248ACAE0" w14:textId="1CD0F498" w:rsidR="00EC03EC" w:rsidRPr="00C84483" w:rsidRDefault="00EC03EC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Studier til brug for miljørisikovurdering har vist, at </w:t>
      </w:r>
      <w:proofErr w:type="spellStart"/>
      <w:r>
        <w:rPr>
          <w:sz w:val="24"/>
          <w:szCs w:val="24"/>
        </w:rPr>
        <w:t>fenticonazol</w:t>
      </w:r>
      <w:proofErr w:type="spellEnd"/>
      <w:r>
        <w:rPr>
          <w:sz w:val="24"/>
          <w:szCs w:val="24"/>
        </w:rPr>
        <w:t xml:space="preserve"> nitrat har potentiale til at være langsomt nedbrydeligt, bioakkumulerende og giftigt (PBT) for naturen. Ydermere har </w:t>
      </w:r>
      <w:proofErr w:type="spellStart"/>
      <w:r>
        <w:rPr>
          <w:sz w:val="24"/>
          <w:szCs w:val="24"/>
        </w:rPr>
        <w:t>fenticonazol</w:t>
      </w:r>
      <w:proofErr w:type="spellEnd"/>
      <w:r>
        <w:rPr>
          <w:sz w:val="24"/>
          <w:szCs w:val="24"/>
        </w:rPr>
        <w:t xml:space="preserve"> nitrat potentiale til at være svært nedbrydeligt og meget bioakkumulerende (</w:t>
      </w:r>
      <w:proofErr w:type="spellStart"/>
      <w:r>
        <w:rPr>
          <w:sz w:val="24"/>
          <w:szCs w:val="24"/>
        </w:rPr>
        <w:t>vPvB</w:t>
      </w:r>
      <w:proofErr w:type="spellEnd"/>
      <w:r>
        <w:rPr>
          <w:sz w:val="24"/>
          <w:szCs w:val="24"/>
        </w:rPr>
        <w:t xml:space="preserve">) i naturen. Studier til brug for miljørisikovurdering har vist, at </w:t>
      </w:r>
      <w:proofErr w:type="spellStart"/>
      <w:r>
        <w:rPr>
          <w:sz w:val="24"/>
          <w:szCs w:val="24"/>
        </w:rPr>
        <w:t>fenticonazol</w:t>
      </w:r>
      <w:proofErr w:type="spellEnd"/>
      <w:r>
        <w:rPr>
          <w:sz w:val="24"/>
          <w:szCs w:val="24"/>
        </w:rPr>
        <w:t xml:space="preserve"> nitrat kan udgøre en risiko for organismer, som lever i sedimentet (f.eks. </w:t>
      </w:r>
      <w:proofErr w:type="spellStart"/>
      <w:r>
        <w:rPr>
          <w:i/>
          <w:iCs/>
          <w:sz w:val="24"/>
          <w:szCs w:val="24"/>
        </w:rPr>
        <w:t>Chironomus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riparius</w:t>
      </w:r>
      <w:proofErr w:type="spellEnd"/>
      <w:r>
        <w:rPr>
          <w:sz w:val="24"/>
          <w:szCs w:val="24"/>
        </w:rPr>
        <w:t>), og udgør sandsynligvis en risiko for havmiljøet, samt for sekundær forgiftning af fugle og pattedyr som resultat af indtagning af forurenede byttedyr (se pkt. 6.6).</w:t>
      </w:r>
    </w:p>
    <w:p w14:paraId="5211F096" w14:textId="467F76C4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22FC11BA" w14:textId="77777777" w:rsidR="005C12A4" w:rsidRPr="00C84483" w:rsidRDefault="005C12A4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15477C8B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72818FFF" w14:textId="77777777" w:rsidR="00B02E97" w:rsidRPr="00BA09F1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6F7E2FFB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5703A43F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>Propylenglycol</w:t>
      </w:r>
    </w:p>
    <w:p w14:paraId="41C0ECAA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463A08">
        <w:rPr>
          <w:sz w:val="24"/>
          <w:szCs w:val="24"/>
        </w:rPr>
        <w:t>ydrogeneret</w:t>
      </w:r>
      <w:proofErr w:type="spellEnd"/>
      <w:r w:rsidRPr="00463A08">
        <w:rPr>
          <w:sz w:val="24"/>
          <w:szCs w:val="24"/>
        </w:rPr>
        <w:t xml:space="preserve"> lanolin</w:t>
      </w:r>
    </w:p>
    <w:p w14:paraId="2143FF31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Raffineret mandelolie</w:t>
      </w:r>
    </w:p>
    <w:p w14:paraId="48A1AE93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463A08">
        <w:rPr>
          <w:sz w:val="24"/>
          <w:szCs w:val="24"/>
        </w:rPr>
        <w:t>olyglycolestere</w:t>
      </w:r>
      <w:proofErr w:type="spellEnd"/>
      <w:r w:rsidRPr="00463A08">
        <w:rPr>
          <w:sz w:val="24"/>
          <w:szCs w:val="24"/>
        </w:rPr>
        <w:t xml:space="preserve"> af fedtsyrer</w:t>
      </w:r>
    </w:p>
    <w:p w14:paraId="7DB32AF2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Pr="00463A08">
        <w:rPr>
          <w:sz w:val="24"/>
          <w:szCs w:val="24"/>
        </w:rPr>
        <w:t>etylalkohol</w:t>
      </w:r>
      <w:proofErr w:type="spellEnd"/>
    </w:p>
    <w:p w14:paraId="5D83752E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Pr="00463A08">
        <w:rPr>
          <w:sz w:val="24"/>
          <w:szCs w:val="24"/>
        </w:rPr>
        <w:t>lycerolmonostearat</w:t>
      </w:r>
      <w:proofErr w:type="spellEnd"/>
    </w:p>
    <w:p w14:paraId="17335BE0" w14:textId="77777777" w:rsidR="00B02E97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Natriumedetat</w:t>
      </w:r>
      <w:proofErr w:type="spellEnd"/>
    </w:p>
    <w:p w14:paraId="28586503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vand</w:t>
      </w:r>
    </w:p>
    <w:p w14:paraId="6227E640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2FB90E00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695AED4A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>Ikke relevant.</w:t>
      </w:r>
    </w:p>
    <w:p w14:paraId="604E212C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305B8767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42663BE8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>3 år.</w:t>
      </w:r>
    </w:p>
    <w:p w14:paraId="671503AD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>Efter åbning: 30 dage.</w:t>
      </w:r>
    </w:p>
    <w:p w14:paraId="2C3B003B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6E849EFD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70D43BA8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 w:rsidRPr="00463A08">
        <w:rPr>
          <w:sz w:val="24"/>
          <w:szCs w:val="24"/>
        </w:rPr>
        <w:t>Dette lægemiddel kræver ingen særlige forholdsregler vedrørende opbevaringen.</w:t>
      </w:r>
    </w:p>
    <w:p w14:paraId="0E6D5833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4DF40066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24FEA077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Tube indeholdende</w:t>
      </w:r>
      <w:r w:rsidRPr="00463A08">
        <w:rPr>
          <w:sz w:val="24"/>
          <w:szCs w:val="24"/>
        </w:rPr>
        <w:t xml:space="preserve"> 35 g creme </w:t>
      </w:r>
      <w:r>
        <w:rPr>
          <w:sz w:val="24"/>
          <w:szCs w:val="24"/>
        </w:rPr>
        <w:t>og</w:t>
      </w:r>
      <w:r w:rsidRPr="00463A08">
        <w:rPr>
          <w:sz w:val="24"/>
          <w:szCs w:val="24"/>
        </w:rPr>
        <w:t xml:space="preserve"> 7 applikatorer (til engangsbrug).</w:t>
      </w:r>
    </w:p>
    <w:p w14:paraId="575EBFEF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7C4942DE" w14:textId="77777777" w:rsidR="001F16F4" w:rsidRPr="00C84483" w:rsidRDefault="001F16F4" w:rsidP="001F16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4303DE18" w14:textId="77777777" w:rsidR="00B02E97" w:rsidRPr="00463A08" w:rsidRDefault="00B02E97" w:rsidP="00B02E97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463A08">
        <w:rPr>
          <w:sz w:val="24"/>
          <w:szCs w:val="24"/>
        </w:rPr>
        <w:t>For brugervejledning, se pkt. 4.2.</w:t>
      </w:r>
    </w:p>
    <w:p w14:paraId="066C0DFF" w14:textId="17442464" w:rsidR="00B02E97" w:rsidRDefault="00B02E97" w:rsidP="00B02E9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3C2A940" w14:textId="77777777" w:rsidR="00EC03EC" w:rsidRDefault="00EC03EC" w:rsidP="00EC03EC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Dette lægemiddel kan udgøre en risiko for miljøet (se pkt. 5.3).</w:t>
      </w:r>
    </w:p>
    <w:p w14:paraId="2C34DA82" w14:textId="77777777" w:rsidR="00EC03EC" w:rsidRPr="00463A08" w:rsidRDefault="00EC03EC" w:rsidP="00B02E9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A61A9DA" w14:textId="77777777" w:rsidR="00B02E97" w:rsidRPr="00463A08" w:rsidRDefault="00B02E97" w:rsidP="00B02E97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463A08">
        <w:rPr>
          <w:sz w:val="24"/>
          <w:szCs w:val="24"/>
        </w:rPr>
        <w:t>Ikke anvendt lægemiddel samt affald heraf skal bortskaffes i henhold til lokale retningslinjer.</w:t>
      </w:r>
    </w:p>
    <w:p w14:paraId="0A4E41CF" w14:textId="77777777" w:rsidR="00B02E97" w:rsidRPr="00C84483" w:rsidRDefault="00B02E97" w:rsidP="00B02E9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73F456A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5156DB95" w14:textId="77777777" w:rsidR="00B02E97" w:rsidRPr="00F43F5F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43F5F">
        <w:rPr>
          <w:sz w:val="24"/>
          <w:szCs w:val="24"/>
        </w:rPr>
        <w:t>Recordati</w:t>
      </w:r>
      <w:proofErr w:type="spellEnd"/>
      <w:r w:rsidRPr="00F43F5F">
        <w:rPr>
          <w:sz w:val="24"/>
          <w:szCs w:val="24"/>
        </w:rPr>
        <w:t xml:space="preserve"> Ireland Limited</w:t>
      </w:r>
    </w:p>
    <w:p w14:paraId="0C32C883" w14:textId="77777777" w:rsidR="00B02E97" w:rsidRPr="00463A08" w:rsidRDefault="00B02E97" w:rsidP="00B02E97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Raheens</w:t>
      </w:r>
      <w:proofErr w:type="spellEnd"/>
      <w:r>
        <w:rPr>
          <w:sz w:val="24"/>
          <w:szCs w:val="24"/>
          <w:lang w:val="en-GB"/>
        </w:rPr>
        <w:t xml:space="preserve"> East</w:t>
      </w:r>
    </w:p>
    <w:p w14:paraId="1342F3DA" w14:textId="77777777" w:rsidR="00B02E97" w:rsidRPr="00F43F5F" w:rsidRDefault="00B02E97" w:rsidP="00B02E97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F43F5F">
        <w:rPr>
          <w:sz w:val="24"/>
          <w:szCs w:val="24"/>
          <w:lang w:val="en-US"/>
        </w:rPr>
        <w:t>Ringaskiddy</w:t>
      </w:r>
      <w:proofErr w:type="spellEnd"/>
      <w:r w:rsidRPr="00F43F5F">
        <w:rPr>
          <w:sz w:val="24"/>
          <w:szCs w:val="24"/>
          <w:lang w:val="en-US"/>
        </w:rPr>
        <w:t>, CO. Cork</w:t>
      </w:r>
    </w:p>
    <w:p w14:paraId="0A91B6C2" w14:textId="77777777" w:rsidR="00B02E97" w:rsidRPr="00361B1C" w:rsidRDefault="00B02E97" w:rsidP="00B02E97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361B1C">
        <w:rPr>
          <w:sz w:val="24"/>
          <w:szCs w:val="24"/>
          <w:lang w:val="en-US"/>
        </w:rPr>
        <w:t>Irland</w:t>
      </w:r>
      <w:proofErr w:type="spellEnd"/>
    </w:p>
    <w:p w14:paraId="131CEBAC" w14:textId="77777777" w:rsidR="00B02E97" w:rsidRPr="00361B1C" w:rsidRDefault="00B02E97" w:rsidP="00B02E97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5789EBFE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14:paraId="612F4630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56777</w:t>
      </w:r>
    </w:p>
    <w:p w14:paraId="6DA49440" w14:textId="77777777" w:rsidR="00B02E97" w:rsidRPr="00C84483" w:rsidRDefault="00B02E97" w:rsidP="00B02E9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DD83BE8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4B7F1968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oktober 2016</w:t>
      </w:r>
    </w:p>
    <w:p w14:paraId="65FE9AB9" w14:textId="77777777" w:rsidR="00B02E97" w:rsidRPr="00C84483" w:rsidRDefault="00B02E97" w:rsidP="00B02E97">
      <w:pPr>
        <w:tabs>
          <w:tab w:val="left" w:pos="851"/>
        </w:tabs>
        <w:ind w:left="851"/>
        <w:rPr>
          <w:sz w:val="24"/>
          <w:szCs w:val="24"/>
        </w:rPr>
      </w:pPr>
    </w:p>
    <w:p w14:paraId="73829348" w14:textId="77777777" w:rsidR="00B02E97" w:rsidRPr="00C84483" w:rsidRDefault="00B02E97" w:rsidP="00B02E9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244D797A" w14:textId="36ABE19F" w:rsidR="009260DE" w:rsidRPr="00B02E97" w:rsidRDefault="001F16F4" w:rsidP="007C5A1F">
      <w:pPr>
        <w:tabs>
          <w:tab w:val="left" w:pos="851"/>
        </w:tabs>
        <w:ind w:left="851"/>
      </w:pPr>
      <w:r>
        <w:rPr>
          <w:sz w:val="24"/>
          <w:szCs w:val="24"/>
        </w:rPr>
        <w:t>4. september 2023</w:t>
      </w:r>
    </w:p>
    <w:sectPr w:rsidR="009260DE" w:rsidRPr="00B02E97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3A05" w14:textId="77777777" w:rsidR="00B02E97" w:rsidRDefault="00B02E97">
      <w:r>
        <w:separator/>
      </w:r>
    </w:p>
  </w:endnote>
  <w:endnote w:type="continuationSeparator" w:id="0">
    <w:p w14:paraId="5351C27D" w14:textId="77777777" w:rsidR="00B02E97" w:rsidRDefault="00B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1E40" w14:textId="77777777" w:rsidR="000259B9" w:rsidRDefault="000259B9">
    <w:pPr>
      <w:pStyle w:val="Sidefod"/>
      <w:pBdr>
        <w:bottom w:val="single" w:sz="6" w:space="1" w:color="auto"/>
      </w:pBdr>
    </w:pPr>
  </w:p>
  <w:p w14:paraId="32C6541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D94FB33" w14:textId="07FC03B3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A5304">
      <w:rPr>
        <w:i/>
        <w:noProof/>
        <w:sz w:val="18"/>
        <w:szCs w:val="18"/>
      </w:rPr>
      <w:t>Lomexin, vaginalcreme 20 mg-g.docx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F22B" w14:textId="77777777" w:rsidR="00B02E97" w:rsidRDefault="00B02E97">
      <w:r>
        <w:separator/>
      </w:r>
    </w:p>
  </w:footnote>
  <w:footnote w:type="continuationSeparator" w:id="0">
    <w:p w14:paraId="74D826FC" w14:textId="77777777" w:rsidR="00B02E97" w:rsidRDefault="00B0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7694013"/>
    <w:multiLevelType w:val="hybridMultilevel"/>
    <w:tmpl w:val="B016D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1CBA"/>
    <w:multiLevelType w:val="hybridMultilevel"/>
    <w:tmpl w:val="F7AC1EC2"/>
    <w:lvl w:ilvl="0" w:tplc="D8969F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7"/>
    <w:rsid w:val="00004CFA"/>
    <w:rsid w:val="000259B9"/>
    <w:rsid w:val="00041491"/>
    <w:rsid w:val="00050D16"/>
    <w:rsid w:val="00074F2A"/>
    <w:rsid w:val="000A1CA8"/>
    <w:rsid w:val="000A466B"/>
    <w:rsid w:val="000B058C"/>
    <w:rsid w:val="000C64FE"/>
    <w:rsid w:val="000E4EE6"/>
    <w:rsid w:val="001454E2"/>
    <w:rsid w:val="001D08BB"/>
    <w:rsid w:val="001F16F4"/>
    <w:rsid w:val="00206CE8"/>
    <w:rsid w:val="0021526C"/>
    <w:rsid w:val="00283A2B"/>
    <w:rsid w:val="002B30AD"/>
    <w:rsid w:val="002C2C01"/>
    <w:rsid w:val="00322CD2"/>
    <w:rsid w:val="00361B1C"/>
    <w:rsid w:val="003A29AE"/>
    <w:rsid w:val="003A32D7"/>
    <w:rsid w:val="003B4074"/>
    <w:rsid w:val="003C769A"/>
    <w:rsid w:val="003F1838"/>
    <w:rsid w:val="00402433"/>
    <w:rsid w:val="00416560"/>
    <w:rsid w:val="0045746C"/>
    <w:rsid w:val="0049104B"/>
    <w:rsid w:val="004A5304"/>
    <w:rsid w:val="004E3B12"/>
    <w:rsid w:val="00532310"/>
    <w:rsid w:val="00560ECC"/>
    <w:rsid w:val="00565F0F"/>
    <w:rsid w:val="00594A86"/>
    <w:rsid w:val="00596D86"/>
    <w:rsid w:val="005C12A4"/>
    <w:rsid w:val="00637F5A"/>
    <w:rsid w:val="006560B1"/>
    <w:rsid w:val="006756DD"/>
    <w:rsid w:val="00712A30"/>
    <w:rsid w:val="007312F6"/>
    <w:rsid w:val="00737275"/>
    <w:rsid w:val="00740EEC"/>
    <w:rsid w:val="0078011A"/>
    <w:rsid w:val="00782AF4"/>
    <w:rsid w:val="00790EE7"/>
    <w:rsid w:val="007B6649"/>
    <w:rsid w:val="007C5A1F"/>
    <w:rsid w:val="0081546F"/>
    <w:rsid w:val="0082576E"/>
    <w:rsid w:val="00907F75"/>
    <w:rsid w:val="009260DE"/>
    <w:rsid w:val="0093258A"/>
    <w:rsid w:val="009618EC"/>
    <w:rsid w:val="009C7BA3"/>
    <w:rsid w:val="009D1F5A"/>
    <w:rsid w:val="00A43F0F"/>
    <w:rsid w:val="00B003BF"/>
    <w:rsid w:val="00B02E97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77206"/>
    <w:rsid w:val="00E865B8"/>
    <w:rsid w:val="00EC03EC"/>
    <w:rsid w:val="00EC0B9B"/>
    <w:rsid w:val="00ED5E9F"/>
    <w:rsid w:val="00F06821"/>
    <w:rsid w:val="00F66D4F"/>
    <w:rsid w:val="00F83B9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94B53"/>
  <w15:chartTrackingRefBased/>
  <w15:docId w15:val="{EE9991A2-BE41-4D5A-B3BD-9733E79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B02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4</TotalTime>
  <Pages>6</Pages>
  <Words>1420</Words>
  <Characters>9072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2022040105, var. 10, pkt. 5.3 og 6.6</dc:description>
  <cp:lastModifiedBy>Gitte Jørgensen</cp:lastModifiedBy>
  <cp:revision>8</cp:revision>
  <cp:lastPrinted>2022-06-23T12:15:00Z</cp:lastPrinted>
  <dcterms:created xsi:type="dcterms:W3CDTF">2023-09-04T09:07:00Z</dcterms:created>
  <dcterms:modified xsi:type="dcterms:W3CDTF">2023-09-04T09:15:00Z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