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4BDB"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20D208C" wp14:editId="6CA6700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628E800" w14:textId="77777777" w:rsidR="009260DE" w:rsidRPr="00C84483" w:rsidRDefault="009260DE" w:rsidP="009260DE">
      <w:pPr>
        <w:pStyle w:val="Titel"/>
        <w:tabs>
          <w:tab w:val="right" w:pos="9356"/>
        </w:tabs>
        <w:jc w:val="left"/>
        <w:rPr>
          <w:b w:val="0"/>
          <w:szCs w:val="24"/>
          <w:lang w:eastAsia="en-US"/>
        </w:rPr>
      </w:pPr>
    </w:p>
    <w:p w14:paraId="7A5920DD" w14:textId="4C2CAAF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E1D7F">
        <w:rPr>
          <w:szCs w:val="24"/>
        </w:rPr>
        <w:t>29. august 2024</w:t>
      </w:r>
    </w:p>
    <w:p w14:paraId="484EA875" w14:textId="77777777" w:rsidR="009260DE" w:rsidRPr="00C84483" w:rsidRDefault="009260DE" w:rsidP="009260DE">
      <w:pPr>
        <w:pStyle w:val="Titel"/>
        <w:tabs>
          <w:tab w:val="left" w:pos="8222"/>
        </w:tabs>
        <w:jc w:val="left"/>
        <w:rPr>
          <w:b w:val="0"/>
          <w:szCs w:val="24"/>
        </w:rPr>
      </w:pPr>
    </w:p>
    <w:p w14:paraId="0CA1792F" w14:textId="77777777" w:rsidR="009260DE" w:rsidRPr="00C84483" w:rsidRDefault="009260DE" w:rsidP="009260DE">
      <w:pPr>
        <w:pStyle w:val="Titel"/>
        <w:jc w:val="left"/>
        <w:rPr>
          <w:b w:val="0"/>
          <w:szCs w:val="24"/>
        </w:rPr>
      </w:pPr>
    </w:p>
    <w:p w14:paraId="29B2AA09" w14:textId="77777777" w:rsidR="009260DE" w:rsidRPr="00C84483" w:rsidRDefault="009260DE" w:rsidP="009260DE">
      <w:pPr>
        <w:pStyle w:val="Titel"/>
        <w:jc w:val="left"/>
        <w:rPr>
          <w:b w:val="0"/>
          <w:szCs w:val="24"/>
        </w:rPr>
      </w:pPr>
    </w:p>
    <w:p w14:paraId="4631EA52" w14:textId="77777777" w:rsidR="009260DE" w:rsidRPr="00C84483" w:rsidRDefault="009260DE" w:rsidP="009260DE">
      <w:pPr>
        <w:jc w:val="center"/>
        <w:rPr>
          <w:b/>
          <w:sz w:val="24"/>
          <w:szCs w:val="24"/>
        </w:rPr>
      </w:pPr>
      <w:r w:rsidRPr="00C84483">
        <w:rPr>
          <w:b/>
          <w:sz w:val="24"/>
          <w:szCs w:val="24"/>
        </w:rPr>
        <w:t>PRODUKTRESUMÉ</w:t>
      </w:r>
    </w:p>
    <w:p w14:paraId="03F71778" w14:textId="77777777" w:rsidR="009260DE" w:rsidRPr="00C84483" w:rsidRDefault="009260DE" w:rsidP="009260DE">
      <w:pPr>
        <w:jc w:val="center"/>
        <w:rPr>
          <w:b/>
          <w:sz w:val="24"/>
          <w:szCs w:val="24"/>
        </w:rPr>
      </w:pPr>
    </w:p>
    <w:p w14:paraId="394C1B9A" w14:textId="77777777" w:rsidR="009260DE" w:rsidRDefault="009260DE" w:rsidP="009260DE">
      <w:pPr>
        <w:jc w:val="center"/>
        <w:rPr>
          <w:b/>
          <w:sz w:val="24"/>
          <w:szCs w:val="24"/>
        </w:rPr>
      </w:pPr>
      <w:r w:rsidRPr="00C84483">
        <w:rPr>
          <w:b/>
          <w:sz w:val="24"/>
          <w:szCs w:val="24"/>
        </w:rPr>
        <w:t>for</w:t>
      </w:r>
    </w:p>
    <w:p w14:paraId="37CBC7F3" w14:textId="77777777" w:rsidR="000B058C" w:rsidRPr="00C84483" w:rsidRDefault="000B058C" w:rsidP="009260DE">
      <w:pPr>
        <w:jc w:val="center"/>
        <w:rPr>
          <w:b/>
          <w:sz w:val="24"/>
          <w:szCs w:val="24"/>
        </w:rPr>
      </w:pPr>
    </w:p>
    <w:p w14:paraId="1FC2896D" w14:textId="77777777" w:rsidR="009260DE" w:rsidRPr="00C84483" w:rsidRDefault="00332A04" w:rsidP="009260DE">
      <w:pPr>
        <w:jc w:val="center"/>
        <w:rPr>
          <w:b/>
          <w:sz w:val="24"/>
          <w:szCs w:val="24"/>
        </w:rPr>
      </w:pPr>
      <w:r>
        <w:rPr>
          <w:b/>
          <w:sz w:val="24"/>
          <w:szCs w:val="24"/>
        </w:rPr>
        <w:t>Lumobry, øjendråber, opløsning</w:t>
      </w:r>
    </w:p>
    <w:p w14:paraId="051ECD67" w14:textId="77777777" w:rsidR="009260DE" w:rsidRPr="00C84483" w:rsidRDefault="009260DE" w:rsidP="009260DE">
      <w:pPr>
        <w:jc w:val="both"/>
        <w:rPr>
          <w:sz w:val="24"/>
          <w:szCs w:val="24"/>
        </w:rPr>
      </w:pPr>
    </w:p>
    <w:p w14:paraId="09BAA1BE" w14:textId="77777777" w:rsidR="009260DE" w:rsidRPr="00C84483" w:rsidRDefault="009260DE" w:rsidP="009260DE">
      <w:pPr>
        <w:jc w:val="both"/>
        <w:rPr>
          <w:sz w:val="24"/>
          <w:szCs w:val="24"/>
        </w:rPr>
      </w:pPr>
    </w:p>
    <w:p w14:paraId="57DBA7C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0C04826" w14:textId="196B9B64" w:rsidR="009260DE" w:rsidRPr="00C84483" w:rsidRDefault="004E363D" w:rsidP="009260DE">
      <w:pPr>
        <w:tabs>
          <w:tab w:val="left" w:pos="851"/>
        </w:tabs>
        <w:ind w:left="851"/>
        <w:rPr>
          <w:sz w:val="24"/>
          <w:szCs w:val="24"/>
        </w:rPr>
      </w:pPr>
      <w:r>
        <w:rPr>
          <w:sz w:val="24"/>
          <w:szCs w:val="24"/>
        </w:rPr>
        <w:t>33645</w:t>
      </w:r>
    </w:p>
    <w:p w14:paraId="0B9C9EE4" w14:textId="77777777" w:rsidR="009260DE" w:rsidRPr="00C84483" w:rsidRDefault="009260DE" w:rsidP="009260DE">
      <w:pPr>
        <w:tabs>
          <w:tab w:val="left" w:pos="851"/>
        </w:tabs>
        <w:ind w:left="851"/>
        <w:rPr>
          <w:sz w:val="24"/>
          <w:szCs w:val="24"/>
        </w:rPr>
      </w:pPr>
    </w:p>
    <w:p w14:paraId="1288567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368D6B7" w14:textId="13C135B2" w:rsidR="009260DE" w:rsidRPr="00C84483" w:rsidRDefault="004E363D" w:rsidP="009260DE">
      <w:pPr>
        <w:tabs>
          <w:tab w:val="left" w:pos="851"/>
        </w:tabs>
        <w:ind w:left="851"/>
        <w:rPr>
          <w:sz w:val="24"/>
          <w:szCs w:val="24"/>
        </w:rPr>
      </w:pPr>
      <w:r>
        <w:rPr>
          <w:sz w:val="24"/>
          <w:szCs w:val="24"/>
        </w:rPr>
        <w:t>Lumobry</w:t>
      </w:r>
    </w:p>
    <w:p w14:paraId="3801DDA8" w14:textId="77777777" w:rsidR="009260DE" w:rsidRPr="00C84483" w:rsidRDefault="009260DE" w:rsidP="009260DE">
      <w:pPr>
        <w:tabs>
          <w:tab w:val="left" w:pos="851"/>
        </w:tabs>
        <w:ind w:left="851"/>
        <w:rPr>
          <w:sz w:val="24"/>
          <w:szCs w:val="24"/>
        </w:rPr>
      </w:pPr>
    </w:p>
    <w:p w14:paraId="3AA1523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317E300" w14:textId="77777777" w:rsidR="004E363D" w:rsidRPr="004E363D" w:rsidRDefault="004E363D" w:rsidP="004E363D">
      <w:pPr>
        <w:tabs>
          <w:tab w:val="left" w:pos="851"/>
        </w:tabs>
        <w:ind w:left="851"/>
        <w:rPr>
          <w:bCs/>
          <w:sz w:val="24"/>
          <w:szCs w:val="24"/>
        </w:rPr>
      </w:pPr>
      <w:r w:rsidRPr="004E363D">
        <w:rPr>
          <w:bCs/>
          <w:sz w:val="24"/>
          <w:szCs w:val="24"/>
        </w:rPr>
        <w:t>Hver ml øjendråber, opløsning indeholder 0,25 mg (0,025 % w/w) brimonidintartrat (svarende til 0,0085 mg brimonidintartrat pr. dråbe).</w:t>
      </w:r>
    </w:p>
    <w:p w14:paraId="666C3184" w14:textId="77777777" w:rsidR="004E363D" w:rsidRPr="004E363D" w:rsidRDefault="004E363D" w:rsidP="004E363D">
      <w:pPr>
        <w:tabs>
          <w:tab w:val="left" w:pos="851"/>
        </w:tabs>
        <w:ind w:left="851"/>
        <w:rPr>
          <w:b/>
          <w:sz w:val="24"/>
          <w:szCs w:val="24"/>
        </w:rPr>
      </w:pPr>
    </w:p>
    <w:p w14:paraId="5FB48FD5" w14:textId="77777777" w:rsidR="004E363D" w:rsidRPr="004E363D" w:rsidRDefault="004E363D" w:rsidP="004E363D">
      <w:pPr>
        <w:tabs>
          <w:tab w:val="left" w:pos="851"/>
        </w:tabs>
        <w:ind w:left="851"/>
        <w:rPr>
          <w:sz w:val="24"/>
          <w:szCs w:val="24"/>
        </w:rPr>
      </w:pPr>
      <w:r w:rsidRPr="004E363D">
        <w:rPr>
          <w:sz w:val="24"/>
          <w:szCs w:val="24"/>
          <w:u w:val="single"/>
        </w:rPr>
        <w:t>Hjælpestof, som behandleren skal være opmærksom på</w:t>
      </w:r>
    </w:p>
    <w:p w14:paraId="2CFEDA63" w14:textId="77777777" w:rsidR="004E363D" w:rsidRPr="004E363D" w:rsidRDefault="004E363D" w:rsidP="004E363D">
      <w:pPr>
        <w:tabs>
          <w:tab w:val="left" w:pos="851"/>
        </w:tabs>
        <w:ind w:left="851"/>
        <w:rPr>
          <w:sz w:val="24"/>
          <w:szCs w:val="24"/>
        </w:rPr>
      </w:pPr>
      <w:r w:rsidRPr="004E363D">
        <w:rPr>
          <w:sz w:val="24"/>
          <w:szCs w:val="24"/>
        </w:rPr>
        <w:t>Benzalkoniumchlorid (0,01 %)</w:t>
      </w:r>
    </w:p>
    <w:p w14:paraId="480CD30B" w14:textId="77777777" w:rsidR="004E363D" w:rsidRPr="004E363D" w:rsidRDefault="004E363D" w:rsidP="004E363D">
      <w:pPr>
        <w:tabs>
          <w:tab w:val="left" w:pos="851"/>
        </w:tabs>
        <w:ind w:left="851"/>
        <w:rPr>
          <w:sz w:val="24"/>
          <w:szCs w:val="24"/>
        </w:rPr>
      </w:pPr>
    </w:p>
    <w:p w14:paraId="2F0926FD" w14:textId="77777777" w:rsidR="004E363D" w:rsidRPr="004E363D" w:rsidRDefault="004E363D" w:rsidP="004E363D">
      <w:pPr>
        <w:tabs>
          <w:tab w:val="left" w:pos="851"/>
        </w:tabs>
        <w:ind w:left="851"/>
        <w:rPr>
          <w:sz w:val="24"/>
          <w:szCs w:val="24"/>
        </w:rPr>
      </w:pPr>
      <w:r w:rsidRPr="004E363D">
        <w:rPr>
          <w:sz w:val="24"/>
          <w:szCs w:val="24"/>
        </w:rPr>
        <w:t>Alle hjælpestoffer er anført under pkt. 6.1.</w:t>
      </w:r>
    </w:p>
    <w:p w14:paraId="435BB893" w14:textId="77777777" w:rsidR="009260DE" w:rsidRPr="00C84483" w:rsidRDefault="009260DE" w:rsidP="009260DE">
      <w:pPr>
        <w:tabs>
          <w:tab w:val="left" w:pos="851"/>
        </w:tabs>
        <w:ind w:left="851"/>
        <w:rPr>
          <w:sz w:val="24"/>
          <w:szCs w:val="24"/>
        </w:rPr>
      </w:pPr>
    </w:p>
    <w:p w14:paraId="30C4B93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D97D176" w14:textId="688F9B52" w:rsidR="004E363D" w:rsidRDefault="004E363D" w:rsidP="004E363D">
      <w:pPr>
        <w:tabs>
          <w:tab w:val="left" w:pos="851"/>
        </w:tabs>
        <w:ind w:left="851"/>
        <w:rPr>
          <w:sz w:val="24"/>
          <w:szCs w:val="24"/>
        </w:rPr>
      </w:pPr>
      <w:r w:rsidRPr="004E363D">
        <w:rPr>
          <w:sz w:val="24"/>
          <w:szCs w:val="24"/>
        </w:rPr>
        <w:t>Øjendråber, opløsning</w:t>
      </w:r>
    </w:p>
    <w:p w14:paraId="68467C24" w14:textId="77777777" w:rsidR="00A367EE" w:rsidRPr="004E363D" w:rsidRDefault="00A367EE" w:rsidP="004E363D">
      <w:pPr>
        <w:tabs>
          <w:tab w:val="left" w:pos="851"/>
        </w:tabs>
        <w:ind w:left="851"/>
        <w:rPr>
          <w:sz w:val="24"/>
          <w:szCs w:val="24"/>
        </w:rPr>
      </w:pPr>
    </w:p>
    <w:p w14:paraId="544B6A04" w14:textId="51815C73" w:rsidR="004E363D" w:rsidRPr="004E363D" w:rsidRDefault="004E363D" w:rsidP="004E363D">
      <w:pPr>
        <w:tabs>
          <w:tab w:val="left" w:pos="851"/>
        </w:tabs>
        <w:ind w:left="851"/>
        <w:rPr>
          <w:sz w:val="24"/>
          <w:szCs w:val="24"/>
        </w:rPr>
      </w:pPr>
      <w:r w:rsidRPr="004E363D">
        <w:rPr>
          <w:sz w:val="24"/>
          <w:szCs w:val="24"/>
        </w:rPr>
        <w:t>Klar, farveløs til svagt gule øjendråber, opløsning (pH 6,3‒6,7, osmolalitet 275‒320 mOsmol/kg)</w:t>
      </w:r>
      <w:r w:rsidR="00D91272">
        <w:rPr>
          <w:sz w:val="24"/>
          <w:szCs w:val="24"/>
        </w:rPr>
        <w:t>.</w:t>
      </w:r>
    </w:p>
    <w:p w14:paraId="484EC48E" w14:textId="77777777" w:rsidR="009260DE" w:rsidRPr="00C84483" w:rsidRDefault="009260DE" w:rsidP="009260DE">
      <w:pPr>
        <w:tabs>
          <w:tab w:val="left" w:pos="851"/>
        </w:tabs>
        <w:ind w:left="851"/>
        <w:rPr>
          <w:sz w:val="24"/>
          <w:szCs w:val="24"/>
        </w:rPr>
      </w:pPr>
    </w:p>
    <w:p w14:paraId="10D749D0" w14:textId="77777777" w:rsidR="009260DE" w:rsidRPr="00C84483" w:rsidRDefault="009260DE" w:rsidP="009260DE">
      <w:pPr>
        <w:tabs>
          <w:tab w:val="left" w:pos="851"/>
        </w:tabs>
        <w:ind w:left="851"/>
        <w:rPr>
          <w:sz w:val="24"/>
          <w:szCs w:val="24"/>
        </w:rPr>
      </w:pPr>
    </w:p>
    <w:p w14:paraId="2E377C5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1A8FB68" w14:textId="77777777" w:rsidR="009260DE" w:rsidRPr="00C84483" w:rsidRDefault="009260DE" w:rsidP="009260DE">
      <w:pPr>
        <w:tabs>
          <w:tab w:val="left" w:pos="851"/>
        </w:tabs>
        <w:ind w:left="851"/>
        <w:rPr>
          <w:b/>
          <w:sz w:val="24"/>
          <w:szCs w:val="24"/>
        </w:rPr>
      </w:pPr>
    </w:p>
    <w:p w14:paraId="6AC17F4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27AE64D" w14:textId="77777777" w:rsidR="004E363D" w:rsidRPr="004E363D" w:rsidRDefault="004E363D" w:rsidP="004E363D">
      <w:pPr>
        <w:tabs>
          <w:tab w:val="left" w:pos="851"/>
        </w:tabs>
        <w:ind w:left="851"/>
        <w:rPr>
          <w:sz w:val="24"/>
          <w:szCs w:val="24"/>
        </w:rPr>
      </w:pPr>
      <w:r w:rsidRPr="004E363D">
        <w:rPr>
          <w:sz w:val="24"/>
          <w:szCs w:val="24"/>
        </w:rPr>
        <w:t>Lumobry i form af øjendråber er indiceret til topikal behandling af isoleret konjunktival hyperæmi på grund af mindre øjenirritation hos voksne.</w:t>
      </w:r>
    </w:p>
    <w:p w14:paraId="7E9D946A" w14:textId="77777777" w:rsidR="009260DE" w:rsidRPr="00C84483" w:rsidRDefault="009260DE" w:rsidP="009260DE">
      <w:pPr>
        <w:tabs>
          <w:tab w:val="left" w:pos="851"/>
        </w:tabs>
        <w:ind w:left="851"/>
        <w:rPr>
          <w:sz w:val="24"/>
          <w:szCs w:val="24"/>
        </w:rPr>
      </w:pPr>
    </w:p>
    <w:p w14:paraId="7E5397F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2176045" w14:textId="77777777" w:rsidR="00D91272" w:rsidRDefault="00D91272" w:rsidP="004E363D">
      <w:pPr>
        <w:tabs>
          <w:tab w:val="left" w:pos="851"/>
        </w:tabs>
        <w:ind w:left="851"/>
        <w:rPr>
          <w:sz w:val="24"/>
          <w:szCs w:val="24"/>
          <w:u w:val="single"/>
        </w:rPr>
      </w:pPr>
    </w:p>
    <w:p w14:paraId="11A138AF" w14:textId="6AC491B9" w:rsidR="004E363D" w:rsidRPr="004E363D" w:rsidRDefault="004E363D" w:rsidP="004E363D">
      <w:pPr>
        <w:tabs>
          <w:tab w:val="left" w:pos="851"/>
        </w:tabs>
        <w:ind w:left="851"/>
        <w:rPr>
          <w:sz w:val="24"/>
          <w:szCs w:val="24"/>
          <w:u w:val="single"/>
        </w:rPr>
      </w:pPr>
      <w:r w:rsidRPr="004E363D">
        <w:rPr>
          <w:sz w:val="24"/>
          <w:szCs w:val="24"/>
          <w:u w:val="single"/>
        </w:rPr>
        <w:t>Dosering</w:t>
      </w:r>
    </w:p>
    <w:p w14:paraId="65A9D141" w14:textId="739B6F26" w:rsidR="004E363D" w:rsidRPr="004E363D" w:rsidRDefault="004E363D" w:rsidP="004E363D">
      <w:pPr>
        <w:tabs>
          <w:tab w:val="left" w:pos="851"/>
        </w:tabs>
        <w:ind w:left="851"/>
        <w:rPr>
          <w:sz w:val="24"/>
          <w:szCs w:val="24"/>
        </w:rPr>
      </w:pPr>
      <w:r w:rsidRPr="004E363D">
        <w:rPr>
          <w:sz w:val="24"/>
          <w:szCs w:val="24"/>
        </w:rPr>
        <w:t>Én dråbe i de(t) berørte øjne(øje) hver 6. </w:t>
      </w:r>
      <w:r w:rsidR="00D91272">
        <w:rPr>
          <w:sz w:val="24"/>
          <w:szCs w:val="24"/>
        </w:rPr>
        <w:t>-</w:t>
      </w:r>
      <w:r w:rsidRPr="004E363D">
        <w:rPr>
          <w:sz w:val="24"/>
          <w:szCs w:val="24"/>
        </w:rPr>
        <w:t> 8. time, højst fire gange daglig.</w:t>
      </w:r>
    </w:p>
    <w:p w14:paraId="3ECD99BB" w14:textId="77777777" w:rsidR="004E363D" w:rsidRPr="004E363D" w:rsidRDefault="004E363D" w:rsidP="004E363D">
      <w:pPr>
        <w:tabs>
          <w:tab w:val="left" w:pos="851"/>
        </w:tabs>
        <w:ind w:left="851"/>
        <w:rPr>
          <w:sz w:val="24"/>
          <w:szCs w:val="24"/>
        </w:rPr>
      </w:pPr>
    </w:p>
    <w:p w14:paraId="708F8315" w14:textId="77777777" w:rsidR="004E363D" w:rsidRPr="004E363D" w:rsidRDefault="004E363D" w:rsidP="004E363D">
      <w:pPr>
        <w:tabs>
          <w:tab w:val="left" w:pos="851"/>
        </w:tabs>
        <w:ind w:left="851"/>
        <w:rPr>
          <w:sz w:val="24"/>
          <w:szCs w:val="24"/>
        </w:rPr>
      </w:pPr>
      <w:r w:rsidRPr="004E363D">
        <w:rPr>
          <w:sz w:val="24"/>
          <w:szCs w:val="24"/>
        </w:rPr>
        <w:lastRenderedPageBreak/>
        <w:t>Der bør forekomme en reduktion af rødmen i øjet inden for 5‒15 minutter. Hvis tilstanden forværres eller vedvarer i mere end 72 timer, skal brugen af lægemidlet seponeres, og patienten revurderes (se pkt. 4.4).</w:t>
      </w:r>
    </w:p>
    <w:p w14:paraId="4CA4A8E6" w14:textId="77777777" w:rsidR="004E363D" w:rsidRPr="004E363D" w:rsidRDefault="004E363D" w:rsidP="004E363D">
      <w:pPr>
        <w:tabs>
          <w:tab w:val="left" w:pos="851"/>
        </w:tabs>
        <w:ind w:left="851"/>
        <w:rPr>
          <w:sz w:val="24"/>
          <w:szCs w:val="24"/>
        </w:rPr>
      </w:pPr>
    </w:p>
    <w:p w14:paraId="63F06B86" w14:textId="77777777" w:rsidR="004E363D" w:rsidRPr="004E363D" w:rsidRDefault="004E363D" w:rsidP="004E363D">
      <w:pPr>
        <w:tabs>
          <w:tab w:val="left" w:pos="851"/>
        </w:tabs>
        <w:ind w:left="851"/>
        <w:rPr>
          <w:sz w:val="24"/>
          <w:szCs w:val="24"/>
          <w:u w:val="single"/>
        </w:rPr>
      </w:pPr>
      <w:r w:rsidRPr="004E363D">
        <w:rPr>
          <w:sz w:val="24"/>
          <w:szCs w:val="24"/>
          <w:u w:val="single"/>
        </w:rPr>
        <w:t>Administration</w:t>
      </w:r>
    </w:p>
    <w:p w14:paraId="297567B7" w14:textId="77777777" w:rsidR="004E363D" w:rsidRPr="004E363D" w:rsidRDefault="004E363D" w:rsidP="004E363D">
      <w:pPr>
        <w:tabs>
          <w:tab w:val="left" w:pos="851"/>
        </w:tabs>
        <w:ind w:left="851"/>
        <w:rPr>
          <w:iCs/>
          <w:sz w:val="24"/>
          <w:szCs w:val="24"/>
        </w:rPr>
      </w:pPr>
      <w:r w:rsidRPr="004E363D">
        <w:rPr>
          <w:iCs/>
          <w:sz w:val="24"/>
          <w:szCs w:val="24"/>
        </w:rPr>
        <w:t>Til okulær anvendelse</w:t>
      </w:r>
    </w:p>
    <w:p w14:paraId="1818B3A5" w14:textId="77777777" w:rsidR="004E363D" w:rsidRPr="004E363D" w:rsidRDefault="004E363D" w:rsidP="004E363D">
      <w:pPr>
        <w:tabs>
          <w:tab w:val="left" w:pos="851"/>
        </w:tabs>
        <w:ind w:left="851"/>
        <w:rPr>
          <w:iCs/>
          <w:sz w:val="24"/>
          <w:szCs w:val="24"/>
        </w:rPr>
      </w:pPr>
    </w:p>
    <w:p w14:paraId="06B08475" w14:textId="77777777" w:rsidR="004E363D" w:rsidRPr="004E363D" w:rsidRDefault="004E363D" w:rsidP="004E363D">
      <w:pPr>
        <w:tabs>
          <w:tab w:val="left" w:pos="851"/>
        </w:tabs>
        <w:ind w:left="851"/>
        <w:rPr>
          <w:iCs/>
          <w:sz w:val="24"/>
          <w:szCs w:val="24"/>
        </w:rPr>
      </w:pPr>
      <w:r w:rsidRPr="004E363D">
        <w:rPr>
          <w:iCs/>
          <w:sz w:val="24"/>
          <w:szCs w:val="24"/>
        </w:rPr>
        <w:t>Lumobry skal påføres i det berørte øje hvorefter tårekanalen presses sammen og øjenlågene lukkes i 2 minutter. Disse procedurer gør det muligt at reducere systemisk absorption af lægemidlet, hvilket resulterer i et fald i forekomsten af systemiske bivirkninger og en stigning i lokal (okulær) aktivitet.</w:t>
      </w:r>
    </w:p>
    <w:p w14:paraId="3CD622DE" w14:textId="77777777" w:rsidR="004E363D" w:rsidRPr="004E363D" w:rsidRDefault="004E363D" w:rsidP="004E363D">
      <w:pPr>
        <w:tabs>
          <w:tab w:val="left" w:pos="851"/>
        </w:tabs>
        <w:ind w:left="851"/>
        <w:rPr>
          <w:iCs/>
          <w:sz w:val="24"/>
          <w:szCs w:val="24"/>
        </w:rPr>
      </w:pPr>
    </w:p>
    <w:p w14:paraId="7E04787C" w14:textId="77777777" w:rsidR="004E363D" w:rsidRPr="004E363D" w:rsidRDefault="004E363D" w:rsidP="004E363D">
      <w:pPr>
        <w:tabs>
          <w:tab w:val="left" w:pos="851"/>
        </w:tabs>
        <w:ind w:left="851"/>
        <w:rPr>
          <w:iCs/>
          <w:sz w:val="24"/>
          <w:szCs w:val="24"/>
        </w:rPr>
      </w:pPr>
      <w:r w:rsidRPr="004E363D">
        <w:rPr>
          <w:iCs/>
          <w:sz w:val="24"/>
          <w:szCs w:val="24"/>
        </w:rPr>
        <w:t xml:space="preserve">Hvis Lumobry anvendes sammen med et andet topikalt øjenpræparat, bør intervallet på 15 minutter opretholdes. </w:t>
      </w:r>
    </w:p>
    <w:p w14:paraId="0C8F2516" w14:textId="77777777" w:rsidR="004E363D" w:rsidRPr="004E363D" w:rsidRDefault="004E363D" w:rsidP="004E363D">
      <w:pPr>
        <w:tabs>
          <w:tab w:val="left" w:pos="851"/>
        </w:tabs>
        <w:ind w:left="851"/>
        <w:rPr>
          <w:iCs/>
          <w:sz w:val="24"/>
          <w:szCs w:val="24"/>
        </w:rPr>
      </w:pPr>
    </w:p>
    <w:p w14:paraId="6A8E702A" w14:textId="77777777" w:rsidR="004E363D" w:rsidRPr="004E363D" w:rsidRDefault="004E363D" w:rsidP="004E363D">
      <w:pPr>
        <w:tabs>
          <w:tab w:val="left" w:pos="851"/>
        </w:tabs>
        <w:ind w:left="851"/>
        <w:rPr>
          <w:iCs/>
          <w:sz w:val="24"/>
          <w:szCs w:val="24"/>
        </w:rPr>
      </w:pPr>
      <w:r w:rsidRPr="004E363D">
        <w:rPr>
          <w:iCs/>
          <w:sz w:val="24"/>
          <w:szCs w:val="24"/>
        </w:rPr>
        <w:t>Hænderne skal vaskes grundigt før og efter brug af præparatet.</w:t>
      </w:r>
    </w:p>
    <w:p w14:paraId="7571FDC8" w14:textId="77777777" w:rsidR="004E363D" w:rsidRPr="004E363D" w:rsidRDefault="004E363D" w:rsidP="004E363D">
      <w:pPr>
        <w:tabs>
          <w:tab w:val="left" w:pos="851"/>
        </w:tabs>
        <w:ind w:left="851"/>
        <w:rPr>
          <w:iCs/>
          <w:sz w:val="24"/>
          <w:szCs w:val="24"/>
        </w:rPr>
      </w:pPr>
    </w:p>
    <w:p w14:paraId="3121CB88" w14:textId="77777777" w:rsidR="004E363D" w:rsidRPr="004E363D" w:rsidRDefault="004E363D" w:rsidP="004E363D">
      <w:pPr>
        <w:tabs>
          <w:tab w:val="left" w:pos="851"/>
        </w:tabs>
        <w:ind w:left="851"/>
        <w:rPr>
          <w:iCs/>
          <w:sz w:val="24"/>
          <w:szCs w:val="24"/>
        </w:rPr>
      </w:pPr>
      <w:r w:rsidRPr="004E363D">
        <w:rPr>
          <w:iCs/>
          <w:sz w:val="24"/>
          <w:szCs w:val="24"/>
        </w:rPr>
        <w:t>For at forhindre kontaminering må spidsen af doseringsbeholderen må ikke komme i berøring med øjet eller øjenomgivelserne.</w:t>
      </w:r>
    </w:p>
    <w:p w14:paraId="7889ED34" w14:textId="77777777" w:rsidR="004E363D" w:rsidRPr="004E363D" w:rsidRDefault="004E363D" w:rsidP="004E363D">
      <w:pPr>
        <w:tabs>
          <w:tab w:val="left" w:pos="851"/>
        </w:tabs>
        <w:ind w:left="851"/>
        <w:rPr>
          <w:iCs/>
          <w:sz w:val="24"/>
          <w:szCs w:val="24"/>
        </w:rPr>
      </w:pPr>
    </w:p>
    <w:p w14:paraId="5E5DEB0F" w14:textId="77777777" w:rsidR="004E363D" w:rsidRPr="004E363D" w:rsidRDefault="004E363D" w:rsidP="004E363D">
      <w:pPr>
        <w:tabs>
          <w:tab w:val="left" w:pos="851"/>
        </w:tabs>
        <w:ind w:left="851"/>
        <w:rPr>
          <w:iCs/>
          <w:sz w:val="24"/>
          <w:szCs w:val="24"/>
          <w:u w:val="single"/>
        </w:rPr>
      </w:pPr>
      <w:r w:rsidRPr="004E363D">
        <w:rPr>
          <w:iCs/>
          <w:sz w:val="24"/>
          <w:szCs w:val="24"/>
          <w:u w:val="single"/>
        </w:rPr>
        <w:t xml:space="preserve">Nedsat nyre-/leverfunktion </w:t>
      </w:r>
    </w:p>
    <w:p w14:paraId="540F925D" w14:textId="77777777" w:rsidR="004E363D" w:rsidRPr="004E363D" w:rsidRDefault="004E363D" w:rsidP="004E363D">
      <w:pPr>
        <w:tabs>
          <w:tab w:val="left" w:pos="851"/>
        </w:tabs>
        <w:ind w:left="851"/>
        <w:rPr>
          <w:iCs/>
          <w:sz w:val="24"/>
          <w:szCs w:val="24"/>
        </w:rPr>
      </w:pPr>
      <w:r w:rsidRPr="004E363D">
        <w:rPr>
          <w:iCs/>
          <w:sz w:val="24"/>
          <w:szCs w:val="24"/>
        </w:rPr>
        <w:t xml:space="preserve">Der foreligger ingen studier af Lumobry 0,25 mg/ml, øjendråber, opløsning hos patienter med nedsat nyre- eller leverfunktion (se pkt. 4.4) </w:t>
      </w:r>
    </w:p>
    <w:p w14:paraId="5B371320" w14:textId="77777777" w:rsidR="009260DE" w:rsidRPr="00C84483" w:rsidRDefault="009260DE" w:rsidP="009260DE">
      <w:pPr>
        <w:tabs>
          <w:tab w:val="left" w:pos="851"/>
        </w:tabs>
        <w:ind w:left="851"/>
        <w:rPr>
          <w:sz w:val="24"/>
          <w:szCs w:val="24"/>
        </w:rPr>
      </w:pPr>
    </w:p>
    <w:p w14:paraId="6AE5A8D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CA7FA9" w14:textId="77777777" w:rsidR="004E363D" w:rsidRPr="004E363D" w:rsidRDefault="004E363D" w:rsidP="004E363D">
      <w:pPr>
        <w:tabs>
          <w:tab w:val="left" w:pos="851"/>
        </w:tabs>
        <w:ind w:left="851"/>
        <w:rPr>
          <w:sz w:val="24"/>
          <w:szCs w:val="24"/>
        </w:rPr>
      </w:pPr>
      <w:r w:rsidRPr="004E363D">
        <w:rPr>
          <w:sz w:val="24"/>
          <w:szCs w:val="24"/>
        </w:rPr>
        <w:t>Overfølsomhed over for det aktive stof eller over for et eller flere af hjælpestofferne anført i pkt. 6.1.</w:t>
      </w:r>
    </w:p>
    <w:p w14:paraId="2E90691C" w14:textId="77777777" w:rsidR="004E363D" w:rsidRPr="004E363D" w:rsidRDefault="004E363D" w:rsidP="004E363D">
      <w:pPr>
        <w:tabs>
          <w:tab w:val="left" w:pos="851"/>
        </w:tabs>
        <w:ind w:left="851"/>
        <w:rPr>
          <w:sz w:val="24"/>
          <w:szCs w:val="24"/>
        </w:rPr>
      </w:pPr>
    </w:p>
    <w:p w14:paraId="751D349B" w14:textId="77777777" w:rsidR="004E363D" w:rsidRPr="004E363D" w:rsidRDefault="004E363D" w:rsidP="004E363D">
      <w:pPr>
        <w:tabs>
          <w:tab w:val="left" w:pos="851"/>
        </w:tabs>
        <w:ind w:left="851"/>
        <w:rPr>
          <w:sz w:val="24"/>
          <w:szCs w:val="24"/>
        </w:rPr>
      </w:pPr>
      <w:r w:rsidRPr="004E363D">
        <w:rPr>
          <w:sz w:val="24"/>
          <w:szCs w:val="24"/>
        </w:rPr>
        <w:t>Lumobry må ikke bruges ved følgende tilstande:</w:t>
      </w:r>
    </w:p>
    <w:p w14:paraId="7C780B8D"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længerevarende hyperæmi i øjet</w:t>
      </w:r>
    </w:p>
    <w:p w14:paraId="24601A22"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længerevarende irritation i øjet</w:t>
      </w:r>
    </w:p>
    <w:p w14:paraId="15D75236"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okulære infektioner ‒ mucopurulent flåd fra det okulære væv</w:t>
      </w:r>
    </w:p>
    <w:p w14:paraId="00799C84"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øjensmerter</w:t>
      </w:r>
    </w:p>
    <w:p w14:paraId="54761E96"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synsforandringer/-forstyrrelser</w:t>
      </w:r>
    </w:p>
    <w:p w14:paraId="1ECB75F2" w14:textId="77777777" w:rsidR="009260DE" w:rsidRPr="00C84483" w:rsidRDefault="009260DE" w:rsidP="00D91272">
      <w:pPr>
        <w:tabs>
          <w:tab w:val="left" w:pos="851"/>
        </w:tabs>
        <w:ind w:left="1134" w:hanging="283"/>
        <w:rPr>
          <w:sz w:val="24"/>
          <w:szCs w:val="24"/>
        </w:rPr>
      </w:pPr>
    </w:p>
    <w:p w14:paraId="7E788EA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CA10741" w14:textId="77777777" w:rsidR="004E363D" w:rsidRPr="004E363D" w:rsidRDefault="004E363D" w:rsidP="004E363D">
      <w:pPr>
        <w:tabs>
          <w:tab w:val="left" w:pos="851"/>
        </w:tabs>
        <w:ind w:left="851"/>
        <w:rPr>
          <w:iCs/>
          <w:sz w:val="24"/>
          <w:szCs w:val="24"/>
        </w:rPr>
      </w:pPr>
      <w:r w:rsidRPr="004E363D">
        <w:rPr>
          <w:iCs/>
          <w:sz w:val="24"/>
          <w:szCs w:val="24"/>
        </w:rPr>
        <w:t>Lumobry 0,25 mg/ml, øjendråber, opløsning er udelukkende til intermitterende eller lejlighedsvis anvendelse.</w:t>
      </w:r>
    </w:p>
    <w:p w14:paraId="58A013D7" w14:textId="77777777" w:rsidR="004E363D" w:rsidRPr="004E363D" w:rsidRDefault="004E363D" w:rsidP="004E363D">
      <w:pPr>
        <w:tabs>
          <w:tab w:val="left" w:pos="851"/>
        </w:tabs>
        <w:ind w:left="851"/>
        <w:rPr>
          <w:iCs/>
          <w:sz w:val="24"/>
          <w:szCs w:val="24"/>
        </w:rPr>
      </w:pPr>
    </w:p>
    <w:p w14:paraId="10260709" w14:textId="77777777" w:rsidR="004E363D" w:rsidRPr="004E363D" w:rsidRDefault="004E363D" w:rsidP="004E363D">
      <w:pPr>
        <w:tabs>
          <w:tab w:val="left" w:pos="851"/>
        </w:tabs>
        <w:ind w:left="851"/>
        <w:rPr>
          <w:iCs/>
          <w:sz w:val="24"/>
          <w:szCs w:val="24"/>
        </w:rPr>
      </w:pPr>
      <w:r w:rsidRPr="004E363D">
        <w:rPr>
          <w:iCs/>
          <w:sz w:val="24"/>
          <w:szCs w:val="24"/>
        </w:rPr>
        <w:t xml:space="preserve">Hvis det er muligt at definere, bør den underliggende årsag til hyperæmi i øjet (f.eks. allergisk reaktion, øjentørhed) primært behandles. </w:t>
      </w:r>
    </w:p>
    <w:p w14:paraId="1DE89546" w14:textId="77777777" w:rsidR="004E363D" w:rsidRPr="004E363D" w:rsidRDefault="004E363D" w:rsidP="004E363D">
      <w:pPr>
        <w:tabs>
          <w:tab w:val="left" w:pos="851"/>
        </w:tabs>
        <w:ind w:left="851"/>
        <w:rPr>
          <w:iCs/>
          <w:sz w:val="24"/>
          <w:szCs w:val="24"/>
        </w:rPr>
      </w:pPr>
    </w:p>
    <w:p w14:paraId="7EB37053" w14:textId="77777777" w:rsidR="004E363D" w:rsidRPr="004E363D" w:rsidRDefault="004E363D" w:rsidP="004E363D">
      <w:pPr>
        <w:tabs>
          <w:tab w:val="left" w:pos="851"/>
        </w:tabs>
        <w:ind w:left="851"/>
        <w:rPr>
          <w:iCs/>
          <w:sz w:val="24"/>
          <w:szCs w:val="24"/>
        </w:rPr>
      </w:pPr>
      <w:r w:rsidRPr="004E363D">
        <w:rPr>
          <w:iCs/>
          <w:sz w:val="24"/>
          <w:szCs w:val="24"/>
        </w:rPr>
        <w:t xml:space="preserve">Reduktion af rødmen i øjet bør forekomme inden for 5‒15 minutter. Hvis tilstanden forværres eller vedvarer i mere end 72 timer, skal brugen af produktet seponeres og patienten skal revurderes. </w:t>
      </w:r>
    </w:p>
    <w:p w14:paraId="44E90E72" w14:textId="77777777" w:rsidR="004E363D" w:rsidRPr="004E363D" w:rsidRDefault="004E363D" w:rsidP="004E363D">
      <w:pPr>
        <w:tabs>
          <w:tab w:val="left" w:pos="851"/>
        </w:tabs>
        <w:ind w:left="851"/>
        <w:rPr>
          <w:iCs/>
          <w:sz w:val="24"/>
          <w:szCs w:val="24"/>
        </w:rPr>
      </w:pPr>
    </w:p>
    <w:p w14:paraId="3BDC13A4" w14:textId="77777777" w:rsidR="004E363D" w:rsidRPr="004E363D" w:rsidRDefault="004E363D" w:rsidP="004E363D">
      <w:pPr>
        <w:tabs>
          <w:tab w:val="left" w:pos="851"/>
        </w:tabs>
        <w:ind w:left="851"/>
        <w:rPr>
          <w:sz w:val="24"/>
          <w:szCs w:val="24"/>
        </w:rPr>
      </w:pPr>
      <w:r w:rsidRPr="004E363D">
        <w:rPr>
          <w:sz w:val="24"/>
          <w:szCs w:val="24"/>
        </w:rPr>
        <w:t>Irritation eller rødmen i øjet forårsaget af en alvorlig okulær sygdom, såsom infektion, fremmedlegeme eller skade på cornea, akut glaukom eller iritis, kræver øjeblikkelig lægehjælp.</w:t>
      </w:r>
    </w:p>
    <w:p w14:paraId="04EA4775" w14:textId="06743F61" w:rsidR="00D91272" w:rsidRDefault="00D91272">
      <w:pPr>
        <w:rPr>
          <w:sz w:val="24"/>
          <w:szCs w:val="24"/>
        </w:rPr>
      </w:pPr>
      <w:r>
        <w:rPr>
          <w:sz w:val="24"/>
          <w:szCs w:val="24"/>
        </w:rPr>
        <w:br w:type="page"/>
      </w:r>
    </w:p>
    <w:p w14:paraId="34B01EF7" w14:textId="77777777" w:rsidR="004E363D" w:rsidRPr="004E363D" w:rsidRDefault="004E363D" w:rsidP="004E363D">
      <w:pPr>
        <w:tabs>
          <w:tab w:val="left" w:pos="851"/>
        </w:tabs>
        <w:ind w:left="851"/>
        <w:rPr>
          <w:sz w:val="24"/>
          <w:szCs w:val="24"/>
        </w:rPr>
      </w:pPr>
    </w:p>
    <w:p w14:paraId="2AC414EB" w14:textId="77777777" w:rsidR="004E363D" w:rsidRPr="004E363D" w:rsidRDefault="004E363D" w:rsidP="004E363D">
      <w:pPr>
        <w:tabs>
          <w:tab w:val="left" w:pos="851"/>
        </w:tabs>
        <w:ind w:left="851"/>
        <w:rPr>
          <w:sz w:val="24"/>
          <w:szCs w:val="24"/>
        </w:rPr>
      </w:pPr>
      <w:r w:rsidRPr="004E363D">
        <w:rPr>
          <w:sz w:val="24"/>
          <w:szCs w:val="24"/>
          <w:u w:val="single"/>
        </w:rPr>
        <w:t>Kardiovaskulære sygdomme</w:t>
      </w:r>
    </w:p>
    <w:p w14:paraId="3F6344CD" w14:textId="77777777" w:rsidR="004E363D" w:rsidRPr="004E363D" w:rsidRDefault="004E363D" w:rsidP="004E363D">
      <w:pPr>
        <w:tabs>
          <w:tab w:val="left" w:pos="851"/>
        </w:tabs>
        <w:ind w:left="851"/>
        <w:rPr>
          <w:sz w:val="24"/>
          <w:szCs w:val="24"/>
        </w:rPr>
      </w:pPr>
      <w:r w:rsidRPr="004E363D">
        <w:rPr>
          <w:sz w:val="24"/>
          <w:szCs w:val="24"/>
        </w:rPr>
        <w:t>I tilfælde af systemisk absorption af brimonidin (når det anvendes forkert eller i længere tid) kan der observeres kardiovaskulære forstyrrelser, og der bør derfor udvises særlig forsigtighed hos patienter med:</w:t>
      </w:r>
    </w:p>
    <w:p w14:paraId="5E53469C"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svær eller ustabil og ukontrolleret kardiovaskulære sygdom</w:t>
      </w:r>
    </w:p>
    <w:p w14:paraId="3BC8BC38"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cerebral eller koronar insufficiens</w:t>
      </w:r>
    </w:p>
    <w:p w14:paraId="1EE97940"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Raynaud’s sygdom</w:t>
      </w:r>
    </w:p>
    <w:p w14:paraId="7DDD5BF8"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ortostatisk hypotension</w:t>
      </w:r>
    </w:p>
    <w:p w14:paraId="301E437D" w14:textId="77777777" w:rsidR="004E363D" w:rsidRPr="004E363D" w:rsidRDefault="004E363D" w:rsidP="00D91272">
      <w:pPr>
        <w:numPr>
          <w:ilvl w:val="0"/>
          <w:numId w:val="6"/>
        </w:numPr>
        <w:tabs>
          <w:tab w:val="left" w:pos="851"/>
        </w:tabs>
        <w:ind w:left="1134" w:hanging="283"/>
        <w:rPr>
          <w:sz w:val="24"/>
          <w:szCs w:val="24"/>
        </w:rPr>
      </w:pPr>
      <w:r w:rsidRPr="004E363D">
        <w:rPr>
          <w:sz w:val="24"/>
          <w:szCs w:val="24"/>
        </w:rPr>
        <w:t>thromboangitis obliterans</w:t>
      </w:r>
    </w:p>
    <w:p w14:paraId="140FD8C5" w14:textId="77777777" w:rsidR="004E363D" w:rsidRPr="004E363D" w:rsidRDefault="004E363D" w:rsidP="004E363D">
      <w:pPr>
        <w:tabs>
          <w:tab w:val="left" w:pos="851"/>
        </w:tabs>
        <w:ind w:left="851"/>
        <w:rPr>
          <w:sz w:val="24"/>
          <w:szCs w:val="24"/>
        </w:rPr>
      </w:pPr>
    </w:p>
    <w:p w14:paraId="3EFBC68C" w14:textId="77777777" w:rsidR="004E363D" w:rsidRPr="004E363D" w:rsidRDefault="004E363D" w:rsidP="004E363D">
      <w:pPr>
        <w:tabs>
          <w:tab w:val="left" w:pos="851"/>
        </w:tabs>
        <w:ind w:left="851"/>
        <w:rPr>
          <w:sz w:val="24"/>
          <w:szCs w:val="24"/>
        </w:rPr>
      </w:pPr>
      <w:r w:rsidRPr="004E363D">
        <w:rPr>
          <w:sz w:val="24"/>
          <w:szCs w:val="24"/>
          <w:u w:val="single"/>
        </w:rPr>
        <w:t>CNS depression</w:t>
      </w:r>
    </w:p>
    <w:p w14:paraId="5BFCBF8D" w14:textId="77777777" w:rsidR="004E363D" w:rsidRPr="004E363D" w:rsidRDefault="004E363D" w:rsidP="004E363D">
      <w:pPr>
        <w:tabs>
          <w:tab w:val="left" w:pos="851"/>
        </w:tabs>
        <w:ind w:left="851"/>
        <w:rPr>
          <w:sz w:val="24"/>
          <w:szCs w:val="24"/>
        </w:rPr>
      </w:pPr>
      <w:r w:rsidRPr="004E363D">
        <w:rPr>
          <w:sz w:val="24"/>
          <w:szCs w:val="24"/>
        </w:rPr>
        <w:t>I tilfælde af systemisk absorption af brimonidin (når det anvendes forkert eller i længere tid), som let passerer blod-hjernebarrieren, kan der observeres svækkelse af centralnervesystemets funktioner (svimmelhed, somnolens, sedation, osv.). Denne aktivitet kan resultere i forværring af sygdomssymptomer, og der bør derfor udvises særlig forsigtighed hos sådanne patienter, der behandles med præparatet.</w:t>
      </w:r>
    </w:p>
    <w:p w14:paraId="0A4D6422" w14:textId="77777777" w:rsidR="004E363D" w:rsidRPr="004E363D" w:rsidRDefault="004E363D" w:rsidP="004E363D">
      <w:pPr>
        <w:tabs>
          <w:tab w:val="left" w:pos="851"/>
        </w:tabs>
        <w:ind w:left="851"/>
        <w:rPr>
          <w:sz w:val="24"/>
          <w:szCs w:val="24"/>
        </w:rPr>
      </w:pPr>
    </w:p>
    <w:p w14:paraId="56073302" w14:textId="77777777" w:rsidR="004E363D" w:rsidRPr="004E363D" w:rsidRDefault="004E363D" w:rsidP="004E363D">
      <w:pPr>
        <w:tabs>
          <w:tab w:val="left" w:pos="851"/>
        </w:tabs>
        <w:ind w:left="851"/>
        <w:rPr>
          <w:sz w:val="24"/>
          <w:szCs w:val="24"/>
          <w:u w:val="single"/>
        </w:rPr>
      </w:pPr>
      <w:r w:rsidRPr="004E363D">
        <w:rPr>
          <w:sz w:val="24"/>
          <w:szCs w:val="24"/>
          <w:u w:val="single"/>
        </w:rPr>
        <w:t>Samtidig brug af andre øjenpræparater</w:t>
      </w:r>
    </w:p>
    <w:p w14:paraId="6D3CB894" w14:textId="77777777" w:rsidR="004E363D" w:rsidRPr="004E363D" w:rsidRDefault="004E363D" w:rsidP="004E363D">
      <w:pPr>
        <w:tabs>
          <w:tab w:val="left" w:pos="851"/>
        </w:tabs>
        <w:ind w:left="851"/>
        <w:rPr>
          <w:sz w:val="24"/>
          <w:szCs w:val="24"/>
        </w:rPr>
      </w:pPr>
      <w:r w:rsidRPr="004E363D">
        <w:rPr>
          <w:sz w:val="24"/>
          <w:szCs w:val="24"/>
        </w:rPr>
        <w:t>Hvis Lumobry anvendes samtidig med andre topikale øjenpræparater, skal 15-minutters intervallet opretholdes.</w:t>
      </w:r>
    </w:p>
    <w:p w14:paraId="4D81F256" w14:textId="77777777" w:rsidR="004E363D" w:rsidRPr="004E363D" w:rsidRDefault="004E363D" w:rsidP="004E363D">
      <w:pPr>
        <w:tabs>
          <w:tab w:val="left" w:pos="851"/>
        </w:tabs>
        <w:ind w:left="851"/>
        <w:rPr>
          <w:sz w:val="24"/>
          <w:szCs w:val="24"/>
          <w:u w:val="single"/>
        </w:rPr>
      </w:pPr>
    </w:p>
    <w:p w14:paraId="0D3AAEBA" w14:textId="77777777" w:rsidR="004E363D" w:rsidRPr="004E363D" w:rsidRDefault="004E363D" w:rsidP="004E363D">
      <w:pPr>
        <w:tabs>
          <w:tab w:val="left" w:pos="851"/>
        </w:tabs>
        <w:ind w:left="851"/>
        <w:rPr>
          <w:sz w:val="24"/>
          <w:szCs w:val="24"/>
          <w:u w:val="single"/>
        </w:rPr>
      </w:pPr>
      <w:r w:rsidRPr="004E363D">
        <w:rPr>
          <w:sz w:val="24"/>
          <w:szCs w:val="24"/>
          <w:u w:val="single"/>
        </w:rPr>
        <w:t>Nedsat nyre- og leverfunktion</w:t>
      </w:r>
    </w:p>
    <w:p w14:paraId="1F4DD51D" w14:textId="77777777" w:rsidR="004E363D" w:rsidRPr="004E363D" w:rsidRDefault="004E363D" w:rsidP="004E363D">
      <w:pPr>
        <w:tabs>
          <w:tab w:val="left" w:pos="851"/>
        </w:tabs>
        <w:ind w:left="851"/>
        <w:rPr>
          <w:sz w:val="24"/>
          <w:szCs w:val="24"/>
        </w:rPr>
      </w:pPr>
      <w:r w:rsidRPr="004E363D">
        <w:rPr>
          <w:sz w:val="24"/>
          <w:szCs w:val="24"/>
        </w:rPr>
        <w:t>Der foreligger ingen studier af brimonidin hos patienter med nedsat nyre- eller leverfunktion, derfor bør der udvises særlig forsigtighed under behandling af disse patienter.</w:t>
      </w:r>
    </w:p>
    <w:p w14:paraId="07F56E37" w14:textId="77777777" w:rsidR="004E363D" w:rsidRPr="004E363D" w:rsidRDefault="004E363D" w:rsidP="004E363D">
      <w:pPr>
        <w:tabs>
          <w:tab w:val="left" w:pos="851"/>
        </w:tabs>
        <w:ind w:left="851"/>
        <w:rPr>
          <w:sz w:val="24"/>
          <w:szCs w:val="24"/>
        </w:rPr>
      </w:pPr>
    </w:p>
    <w:p w14:paraId="6D91DBB1" w14:textId="77777777" w:rsidR="004E363D" w:rsidRPr="004E363D" w:rsidRDefault="004E363D" w:rsidP="004E363D">
      <w:pPr>
        <w:tabs>
          <w:tab w:val="left" w:pos="851"/>
        </w:tabs>
        <w:ind w:left="851"/>
        <w:rPr>
          <w:sz w:val="24"/>
          <w:szCs w:val="24"/>
          <w:u w:val="single"/>
        </w:rPr>
      </w:pPr>
      <w:r w:rsidRPr="004E363D">
        <w:rPr>
          <w:sz w:val="24"/>
          <w:szCs w:val="24"/>
          <w:u w:val="single"/>
        </w:rPr>
        <w:t>Pædiatrisk population</w:t>
      </w:r>
    </w:p>
    <w:p w14:paraId="0FA5F97C" w14:textId="77777777" w:rsidR="004E363D" w:rsidRPr="004E363D" w:rsidRDefault="004E363D" w:rsidP="004E363D">
      <w:pPr>
        <w:tabs>
          <w:tab w:val="left" w:pos="851"/>
        </w:tabs>
        <w:ind w:left="851"/>
        <w:rPr>
          <w:sz w:val="24"/>
          <w:szCs w:val="24"/>
        </w:rPr>
      </w:pPr>
      <w:r w:rsidRPr="004E363D">
        <w:rPr>
          <w:iCs/>
          <w:sz w:val="24"/>
          <w:szCs w:val="24"/>
        </w:rPr>
        <w:t>Lumobry 0,25 mg/ml, øjendråber, opløsning bør ikke anvendes til pædiatriske patienter.</w:t>
      </w:r>
    </w:p>
    <w:p w14:paraId="6D60B7FA" w14:textId="77777777" w:rsidR="004E363D" w:rsidRPr="004E363D" w:rsidRDefault="004E363D" w:rsidP="004E363D">
      <w:pPr>
        <w:tabs>
          <w:tab w:val="left" w:pos="851"/>
        </w:tabs>
        <w:ind w:left="851"/>
        <w:rPr>
          <w:sz w:val="24"/>
          <w:szCs w:val="24"/>
        </w:rPr>
      </w:pPr>
    </w:p>
    <w:p w14:paraId="327ED8EC" w14:textId="77777777" w:rsidR="004E363D" w:rsidRPr="004E363D" w:rsidRDefault="004E363D" w:rsidP="004E363D">
      <w:pPr>
        <w:tabs>
          <w:tab w:val="left" w:pos="851"/>
        </w:tabs>
        <w:ind w:left="851"/>
        <w:rPr>
          <w:sz w:val="24"/>
          <w:szCs w:val="24"/>
        </w:rPr>
      </w:pPr>
      <w:r w:rsidRPr="004E363D">
        <w:rPr>
          <w:sz w:val="24"/>
          <w:szCs w:val="24"/>
          <w:u w:val="single"/>
        </w:rPr>
        <w:t>Hjælpestoffer</w:t>
      </w:r>
    </w:p>
    <w:p w14:paraId="4754AD2D" w14:textId="77777777" w:rsidR="004E363D" w:rsidRPr="004E363D" w:rsidRDefault="004E363D" w:rsidP="004E363D">
      <w:pPr>
        <w:tabs>
          <w:tab w:val="left" w:pos="851"/>
        </w:tabs>
        <w:ind w:left="851"/>
        <w:rPr>
          <w:sz w:val="24"/>
          <w:szCs w:val="24"/>
        </w:rPr>
      </w:pPr>
      <w:r w:rsidRPr="004E363D">
        <w:rPr>
          <w:sz w:val="24"/>
          <w:szCs w:val="24"/>
        </w:rPr>
        <w:t>Dette lægemiddel indeholder benzalkoniumchlorid og kan forårsage øjenirritation. Benzalkoniumchlorid er kendt for at kunne misfarve bløde kontaktlinser. Det bør undgås, at lægemidlet kommer i kontakt med kontaktlinser. Kontaktlinser skal fjernes før administrationen, og der skal være et interval på 15 minutter, før kontaktlinserne indsættes igen.</w:t>
      </w:r>
    </w:p>
    <w:p w14:paraId="4999C0FE" w14:textId="77777777" w:rsidR="009260DE" w:rsidRPr="00C84483" w:rsidRDefault="009260DE" w:rsidP="009260DE">
      <w:pPr>
        <w:tabs>
          <w:tab w:val="left" w:pos="851"/>
        </w:tabs>
        <w:ind w:left="851"/>
        <w:rPr>
          <w:sz w:val="24"/>
          <w:szCs w:val="24"/>
        </w:rPr>
      </w:pPr>
    </w:p>
    <w:p w14:paraId="2A8DA1B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8D16541" w14:textId="77777777" w:rsidR="004E363D" w:rsidRPr="004E363D" w:rsidRDefault="004E363D" w:rsidP="004E363D">
      <w:pPr>
        <w:tabs>
          <w:tab w:val="left" w:pos="851"/>
        </w:tabs>
        <w:ind w:left="851"/>
        <w:rPr>
          <w:sz w:val="24"/>
          <w:szCs w:val="24"/>
        </w:rPr>
      </w:pPr>
      <w:r w:rsidRPr="004E363D">
        <w:rPr>
          <w:sz w:val="24"/>
          <w:szCs w:val="24"/>
        </w:rPr>
        <w:t>Der er ikke udført interaktionsstudier.</w:t>
      </w:r>
    </w:p>
    <w:p w14:paraId="34261D72" w14:textId="77777777" w:rsidR="004E363D" w:rsidRPr="004E363D" w:rsidRDefault="004E363D" w:rsidP="004E363D">
      <w:pPr>
        <w:tabs>
          <w:tab w:val="left" w:pos="851"/>
        </w:tabs>
        <w:ind w:left="851"/>
        <w:rPr>
          <w:iCs/>
          <w:sz w:val="24"/>
          <w:szCs w:val="24"/>
        </w:rPr>
      </w:pPr>
    </w:p>
    <w:p w14:paraId="3544660C" w14:textId="77777777" w:rsidR="004E363D" w:rsidRPr="004E363D" w:rsidRDefault="004E363D" w:rsidP="004E363D">
      <w:pPr>
        <w:tabs>
          <w:tab w:val="left" w:pos="851"/>
        </w:tabs>
        <w:ind w:left="851"/>
        <w:rPr>
          <w:iCs/>
          <w:sz w:val="24"/>
          <w:szCs w:val="24"/>
        </w:rPr>
      </w:pPr>
      <w:r w:rsidRPr="004E363D">
        <w:rPr>
          <w:iCs/>
          <w:sz w:val="24"/>
          <w:szCs w:val="24"/>
          <w:u w:val="single"/>
        </w:rPr>
        <w:t>Andre øjenpræparater</w:t>
      </w:r>
    </w:p>
    <w:p w14:paraId="1C0BA6B7" w14:textId="77777777" w:rsidR="004E363D" w:rsidRPr="004E363D" w:rsidRDefault="004E363D" w:rsidP="004E363D">
      <w:pPr>
        <w:tabs>
          <w:tab w:val="left" w:pos="851"/>
        </w:tabs>
        <w:ind w:left="851"/>
        <w:rPr>
          <w:iCs/>
          <w:sz w:val="24"/>
          <w:szCs w:val="24"/>
        </w:rPr>
      </w:pPr>
      <w:r w:rsidRPr="004E363D">
        <w:rPr>
          <w:iCs/>
          <w:sz w:val="24"/>
          <w:szCs w:val="24"/>
        </w:rPr>
        <w:t>Der foreligger i øjeblikket ingen oplysninger om brugen af Lumobry 0,25 mg/ml, øjendråber, opløsning og absorptionen ved samtidig anvendelse af andre øjenpræparater. Dog bør der være et kort interval på 15 minutter mellem indgivelsen af Lumobry 0,25 mg/ml, øjendråber, opløsning og andre øjenpræparater.</w:t>
      </w:r>
    </w:p>
    <w:p w14:paraId="0607717B" w14:textId="77777777" w:rsidR="004E363D" w:rsidRPr="004E363D" w:rsidRDefault="004E363D" w:rsidP="004E363D">
      <w:pPr>
        <w:tabs>
          <w:tab w:val="left" w:pos="851"/>
        </w:tabs>
        <w:ind w:left="851"/>
        <w:rPr>
          <w:iCs/>
          <w:sz w:val="24"/>
          <w:szCs w:val="24"/>
        </w:rPr>
      </w:pPr>
    </w:p>
    <w:p w14:paraId="66993B98" w14:textId="77777777" w:rsidR="004E363D" w:rsidRPr="004E363D" w:rsidRDefault="004E363D" w:rsidP="004E363D">
      <w:pPr>
        <w:tabs>
          <w:tab w:val="left" w:pos="851"/>
        </w:tabs>
        <w:ind w:left="851"/>
        <w:rPr>
          <w:iCs/>
          <w:sz w:val="24"/>
          <w:szCs w:val="24"/>
        </w:rPr>
      </w:pPr>
      <w:r w:rsidRPr="004E363D">
        <w:rPr>
          <w:iCs/>
          <w:sz w:val="24"/>
          <w:szCs w:val="24"/>
          <w:u w:val="single"/>
        </w:rPr>
        <w:t>Systemiske lægemidler</w:t>
      </w:r>
    </w:p>
    <w:p w14:paraId="1F90341A" w14:textId="77777777" w:rsidR="004E363D" w:rsidRPr="004E363D" w:rsidRDefault="004E363D" w:rsidP="004E363D">
      <w:pPr>
        <w:tabs>
          <w:tab w:val="left" w:pos="851"/>
        </w:tabs>
        <w:ind w:left="851"/>
        <w:rPr>
          <w:iCs/>
          <w:sz w:val="24"/>
          <w:szCs w:val="24"/>
        </w:rPr>
      </w:pPr>
      <w:r w:rsidRPr="004E363D">
        <w:rPr>
          <w:iCs/>
          <w:sz w:val="24"/>
          <w:szCs w:val="24"/>
        </w:rPr>
        <w:t xml:space="preserve">Der foreligger ingen information om brugen af Lumobry 0,25 mg/ml, øjendråber, opløsning ved samtidig anvendelse af andre systemisk-administrerede lægemidler. Der er begrænset systemisk absorption af brimonidin efter topikal oftalmisk applikation af Lumobry 0,25 mg/ml, øjendråber, opløsning, og det er usandsynligt, at en sådan en </w:t>
      </w:r>
      <w:r w:rsidRPr="004E363D">
        <w:rPr>
          <w:iCs/>
          <w:sz w:val="24"/>
          <w:szCs w:val="24"/>
        </w:rPr>
        <w:lastRenderedPageBreak/>
        <w:t>mængde lægemiddel udgør en systemisk risiko for brugen af andre systemisk-administrerede lægemidler (se pkt. 5.2). For højere koncentrationer af brimonidin end i Lumobry 0,25 mg/ml, skal der tages hensyn til interaktioner med følgende lægemidler:</w:t>
      </w:r>
    </w:p>
    <w:p w14:paraId="7A2B82E9" w14:textId="77777777" w:rsidR="004E363D" w:rsidRPr="004E363D" w:rsidRDefault="004E363D" w:rsidP="004E363D">
      <w:pPr>
        <w:tabs>
          <w:tab w:val="left" w:pos="851"/>
        </w:tabs>
        <w:ind w:left="851"/>
        <w:rPr>
          <w:iCs/>
          <w:sz w:val="24"/>
          <w:szCs w:val="24"/>
        </w:rPr>
      </w:pPr>
    </w:p>
    <w:p w14:paraId="724A310F" w14:textId="77777777" w:rsidR="004E363D" w:rsidRPr="004E363D" w:rsidRDefault="004E363D" w:rsidP="004E363D">
      <w:pPr>
        <w:tabs>
          <w:tab w:val="left" w:pos="851"/>
        </w:tabs>
        <w:ind w:left="851"/>
        <w:rPr>
          <w:iCs/>
          <w:sz w:val="24"/>
          <w:szCs w:val="24"/>
        </w:rPr>
      </w:pPr>
      <w:r w:rsidRPr="004E363D">
        <w:rPr>
          <w:i/>
          <w:sz w:val="24"/>
          <w:szCs w:val="24"/>
        </w:rPr>
        <w:t>Monoaminooxidase(MAO) hæmmere</w:t>
      </w:r>
    </w:p>
    <w:p w14:paraId="2348F593" w14:textId="77777777" w:rsidR="004E363D" w:rsidRPr="004E363D" w:rsidRDefault="004E363D" w:rsidP="004E363D">
      <w:pPr>
        <w:tabs>
          <w:tab w:val="left" w:pos="851"/>
        </w:tabs>
        <w:ind w:left="851"/>
        <w:rPr>
          <w:iCs/>
          <w:sz w:val="24"/>
          <w:szCs w:val="24"/>
        </w:rPr>
      </w:pPr>
      <w:r w:rsidRPr="00D91272">
        <w:rPr>
          <w:iCs/>
          <w:sz w:val="24"/>
          <w:szCs w:val="24"/>
        </w:rPr>
        <w:t>Mono</w:t>
      </w:r>
      <w:r w:rsidRPr="00D91272">
        <w:rPr>
          <w:sz w:val="24"/>
          <w:szCs w:val="24"/>
        </w:rPr>
        <w:t>amino</w:t>
      </w:r>
      <w:r w:rsidRPr="00D91272">
        <w:rPr>
          <w:iCs/>
          <w:sz w:val="24"/>
          <w:szCs w:val="24"/>
        </w:rPr>
        <w:t>oxidase(MAO) hæmmere kan teoretisk interferere med brimonidins</w:t>
      </w:r>
      <w:r w:rsidRPr="004E363D">
        <w:rPr>
          <w:iCs/>
          <w:sz w:val="24"/>
          <w:szCs w:val="24"/>
        </w:rPr>
        <w:t xml:space="preserve"> metabolisme og potentielt resultere i en forøget systemisk bivirkning såsom hypotension. Der bør udvises forsigtighed hos patienter, der tager MAO-hæmmere, som kan påvirke stofskiftet og optagelsen af cirkulerende aminer.</w:t>
      </w:r>
    </w:p>
    <w:p w14:paraId="4101DC3F" w14:textId="77777777" w:rsidR="004E363D" w:rsidRPr="004E363D" w:rsidRDefault="004E363D" w:rsidP="004E363D">
      <w:pPr>
        <w:tabs>
          <w:tab w:val="left" w:pos="851"/>
        </w:tabs>
        <w:ind w:left="851"/>
        <w:rPr>
          <w:iCs/>
          <w:sz w:val="24"/>
          <w:szCs w:val="24"/>
        </w:rPr>
      </w:pPr>
    </w:p>
    <w:p w14:paraId="7F6B408A" w14:textId="77777777" w:rsidR="004E363D" w:rsidRPr="004E363D" w:rsidRDefault="004E363D" w:rsidP="004E363D">
      <w:pPr>
        <w:tabs>
          <w:tab w:val="left" w:pos="851"/>
        </w:tabs>
        <w:ind w:left="851"/>
        <w:rPr>
          <w:i/>
          <w:sz w:val="24"/>
          <w:szCs w:val="24"/>
        </w:rPr>
      </w:pPr>
      <w:r w:rsidRPr="004E363D">
        <w:rPr>
          <w:i/>
          <w:sz w:val="24"/>
          <w:szCs w:val="24"/>
        </w:rPr>
        <w:t>Tricykliske eller tetracykliske antidepressiva</w:t>
      </w:r>
    </w:p>
    <w:p w14:paraId="5097DE4D" w14:textId="77777777" w:rsidR="004E363D" w:rsidRPr="004E363D" w:rsidRDefault="004E363D" w:rsidP="004E363D">
      <w:pPr>
        <w:tabs>
          <w:tab w:val="left" w:pos="851"/>
        </w:tabs>
        <w:ind w:left="851"/>
        <w:rPr>
          <w:iCs/>
          <w:sz w:val="24"/>
          <w:szCs w:val="24"/>
        </w:rPr>
      </w:pPr>
      <w:r w:rsidRPr="004E363D">
        <w:rPr>
          <w:iCs/>
          <w:sz w:val="24"/>
          <w:szCs w:val="24"/>
        </w:rPr>
        <w:t>Der bør udvises forsigtighed hos patienter, der tager antidepressiva, som kan påvirke den noradrenerge transmission.</w:t>
      </w:r>
    </w:p>
    <w:p w14:paraId="6D3806AA" w14:textId="77777777" w:rsidR="004E363D" w:rsidRPr="004E363D" w:rsidRDefault="004E363D" w:rsidP="004E363D">
      <w:pPr>
        <w:tabs>
          <w:tab w:val="left" w:pos="851"/>
        </w:tabs>
        <w:ind w:left="851"/>
        <w:rPr>
          <w:iCs/>
          <w:sz w:val="24"/>
          <w:szCs w:val="24"/>
        </w:rPr>
      </w:pPr>
    </w:p>
    <w:p w14:paraId="196487AB" w14:textId="77777777" w:rsidR="004E363D" w:rsidRPr="004E363D" w:rsidRDefault="004E363D" w:rsidP="004E363D">
      <w:pPr>
        <w:tabs>
          <w:tab w:val="left" w:pos="851"/>
        </w:tabs>
        <w:ind w:left="851"/>
        <w:rPr>
          <w:iCs/>
          <w:sz w:val="24"/>
          <w:szCs w:val="24"/>
        </w:rPr>
      </w:pPr>
      <w:r w:rsidRPr="004E363D">
        <w:rPr>
          <w:i/>
          <w:sz w:val="24"/>
          <w:szCs w:val="24"/>
        </w:rPr>
        <w:t>CNS-depressiva</w:t>
      </w:r>
    </w:p>
    <w:p w14:paraId="40B571C7" w14:textId="77777777" w:rsidR="004E363D" w:rsidRPr="004E363D" w:rsidRDefault="004E363D" w:rsidP="004E363D">
      <w:pPr>
        <w:tabs>
          <w:tab w:val="left" w:pos="851"/>
        </w:tabs>
        <w:ind w:left="851"/>
        <w:rPr>
          <w:iCs/>
          <w:sz w:val="24"/>
          <w:szCs w:val="24"/>
        </w:rPr>
      </w:pPr>
      <w:r w:rsidRPr="004E363D">
        <w:rPr>
          <w:iCs/>
          <w:sz w:val="24"/>
          <w:szCs w:val="24"/>
        </w:rPr>
        <w:t>Selvom der ikke er udført specifikke lægemiddelinteraktionsstudier med brimonidintartrat øjendråber, opløsning, bør der tages hensyn til muligheden for en additiv eller potenserende virkning med CNS-depressiva (alkohol, barbiturater, opiater, sedativer eller anæstetika).</w:t>
      </w:r>
    </w:p>
    <w:p w14:paraId="0BDAC426" w14:textId="77777777" w:rsidR="004E363D" w:rsidRPr="004E363D" w:rsidRDefault="004E363D" w:rsidP="004E363D">
      <w:pPr>
        <w:tabs>
          <w:tab w:val="left" w:pos="851"/>
        </w:tabs>
        <w:ind w:left="851"/>
        <w:rPr>
          <w:iCs/>
          <w:sz w:val="24"/>
          <w:szCs w:val="24"/>
        </w:rPr>
      </w:pPr>
    </w:p>
    <w:p w14:paraId="62A3AC03" w14:textId="77777777" w:rsidR="004E363D" w:rsidRPr="004E363D" w:rsidRDefault="004E363D" w:rsidP="004E363D">
      <w:pPr>
        <w:tabs>
          <w:tab w:val="left" w:pos="851"/>
        </w:tabs>
        <w:ind w:left="851"/>
        <w:rPr>
          <w:i/>
          <w:sz w:val="24"/>
          <w:szCs w:val="24"/>
        </w:rPr>
      </w:pPr>
      <w:r w:rsidRPr="004E363D">
        <w:rPr>
          <w:i/>
          <w:sz w:val="24"/>
          <w:szCs w:val="24"/>
        </w:rPr>
        <w:t>Betablokkere, antihypertensiva, hjerteglykosider</w:t>
      </w:r>
    </w:p>
    <w:p w14:paraId="3C0AD07F" w14:textId="77777777" w:rsidR="004E363D" w:rsidRPr="004E363D" w:rsidRDefault="004E363D" w:rsidP="004E363D">
      <w:pPr>
        <w:tabs>
          <w:tab w:val="left" w:pos="851"/>
        </w:tabs>
        <w:ind w:left="851"/>
        <w:rPr>
          <w:iCs/>
          <w:sz w:val="24"/>
          <w:szCs w:val="24"/>
        </w:rPr>
      </w:pPr>
      <w:r w:rsidRPr="004E363D">
        <w:rPr>
          <w:iCs/>
          <w:sz w:val="24"/>
          <w:szCs w:val="24"/>
        </w:rPr>
        <w:t>Alfa-agonister kan som en klasseeffekt nedsætte hjertefrekvens og blodtryk. Der bør udvises forsigtighed ved samtidig brug af lægemidler såsom betablokkere (oftalmiske og systemiske), antihypertensiva og/eller hjerteglykosider.</w:t>
      </w:r>
    </w:p>
    <w:p w14:paraId="05ED7713" w14:textId="77777777" w:rsidR="004E363D" w:rsidRPr="004E363D" w:rsidRDefault="004E363D" w:rsidP="004E363D">
      <w:pPr>
        <w:tabs>
          <w:tab w:val="left" w:pos="851"/>
        </w:tabs>
        <w:ind w:left="851"/>
        <w:rPr>
          <w:iCs/>
          <w:sz w:val="24"/>
          <w:szCs w:val="24"/>
        </w:rPr>
      </w:pPr>
    </w:p>
    <w:p w14:paraId="01FDCCB4" w14:textId="77777777" w:rsidR="004E363D" w:rsidRPr="004E363D" w:rsidRDefault="004E363D" w:rsidP="004E363D">
      <w:pPr>
        <w:tabs>
          <w:tab w:val="left" w:pos="851"/>
        </w:tabs>
        <w:ind w:left="851"/>
        <w:rPr>
          <w:i/>
          <w:sz w:val="24"/>
          <w:szCs w:val="24"/>
        </w:rPr>
      </w:pPr>
      <w:r w:rsidRPr="004E363D">
        <w:rPr>
          <w:i/>
          <w:sz w:val="24"/>
          <w:szCs w:val="24"/>
        </w:rPr>
        <w:t>Adrenoceptoragonister/-antagonister</w:t>
      </w:r>
    </w:p>
    <w:p w14:paraId="00A2BCBB" w14:textId="77777777" w:rsidR="004E363D" w:rsidRPr="004E363D" w:rsidRDefault="004E363D" w:rsidP="004E363D">
      <w:pPr>
        <w:tabs>
          <w:tab w:val="left" w:pos="851"/>
        </w:tabs>
        <w:ind w:left="851"/>
        <w:rPr>
          <w:iCs/>
          <w:sz w:val="24"/>
          <w:szCs w:val="24"/>
        </w:rPr>
      </w:pPr>
      <w:r w:rsidRPr="004E363D">
        <w:rPr>
          <w:iCs/>
          <w:sz w:val="24"/>
          <w:szCs w:val="24"/>
        </w:rPr>
        <w:t xml:space="preserve">Der bør udvises forsigtighed ved indledende samtidig anvendelse (eller ved ændring af dosering) af et systemisk lægemiddel (uanset lægemiddelform), som kan forårsage interaktioner med </w:t>
      </w:r>
      <w:r w:rsidRPr="004E363D">
        <w:rPr>
          <w:iCs/>
          <w:sz w:val="24"/>
          <w:szCs w:val="24"/>
          <w:lang w:val="en-GB"/>
        </w:rPr>
        <w:t>α</w:t>
      </w:r>
      <w:r w:rsidRPr="004E363D">
        <w:rPr>
          <w:iCs/>
          <w:sz w:val="24"/>
          <w:szCs w:val="24"/>
        </w:rPr>
        <w:t>-adrenerge agonister eller som kan påvirke deres virkning, såsom adrenoceptoragonister eller-antagonister (f.eks. isoprenalin, prazosin).</w:t>
      </w:r>
    </w:p>
    <w:p w14:paraId="7E2F1345" w14:textId="77777777" w:rsidR="004E363D" w:rsidRPr="004E363D" w:rsidRDefault="004E363D" w:rsidP="004E363D">
      <w:pPr>
        <w:tabs>
          <w:tab w:val="left" w:pos="851"/>
        </w:tabs>
        <w:ind w:left="851"/>
        <w:rPr>
          <w:iCs/>
          <w:sz w:val="24"/>
          <w:szCs w:val="24"/>
        </w:rPr>
      </w:pPr>
    </w:p>
    <w:p w14:paraId="6F033DE3" w14:textId="77777777" w:rsidR="004E363D" w:rsidRPr="004E363D" w:rsidRDefault="004E363D" w:rsidP="004E363D">
      <w:pPr>
        <w:tabs>
          <w:tab w:val="left" w:pos="851"/>
        </w:tabs>
        <w:ind w:left="851"/>
        <w:rPr>
          <w:i/>
          <w:iCs/>
          <w:sz w:val="24"/>
          <w:szCs w:val="24"/>
        </w:rPr>
      </w:pPr>
      <w:bookmarkStart w:id="1" w:name="_Hlk16693935"/>
      <w:r w:rsidRPr="004E363D">
        <w:rPr>
          <w:i/>
          <w:iCs/>
          <w:sz w:val="24"/>
          <w:szCs w:val="24"/>
        </w:rPr>
        <w:t>Clonidin, chlorpromazin, methylphenidat, reserpin</w:t>
      </w:r>
    </w:p>
    <w:bookmarkEnd w:id="1"/>
    <w:p w14:paraId="6A6A15FD" w14:textId="77777777" w:rsidR="004E363D" w:rsidRPr="004E363D" w:rsidRDefault="004E363D" w:rsidP="004E363D">
      <w:pPr>
        <w:tabs>
          <w:tab w:val="left" w:pos="851"/>
        </w:tabs>
        <w:ind w:left="851"/>
        <w:rPr>
          <w:iCs/>
          <w:sz w:val="24"/>
          <w:szCs w:val="24"/>
        </w:rPr>
      </w:pPr>
      <w:r w:rsidRPr="004E363D">
        <w:rPr>
          <w:iCs/>
          <w:sz w:val="24"/>
          <w:szCs w:val="24"/>
        </w:rPr>
        <w:t>Selvom der ikke foreligger faktiske data om niveauet af cirkulerende katekolaminer efter administration af brimonidintartrat øjendråber opløsning, bør der udvises forsigtighed ved brug af øjendråberne hos patienter, der tager lægemidler som chlorpromazin, methylphenidat og reserpin, som kan påvirke metabolisme og optagelse af cirkulerende aminer.</w:t>
      </w:r>
    </w:p>
    <w:p w14:paraId="137B32E4" w14:textId="77777777" w:rsidR="009260DE" w:rsidRPr="00C84483" w:rsidRDefault="009260DE" w:rsidP="009260DE">
      <w:pPr>
        <w:tabs>
          <w:tab w:val="left" w:pos="851"/>
        </w:tabs>
        <w:ind w:left="851"/>
        <w:rPr>
          <w:sz w:val="24"/>
          <w:szCs w:val="24"/>
        </w:rPr>
      </w:pPr>
    </w:p>
    <w:p w14:paraId="785C1F7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098F63C" w14:textId="77777777" w:rsidR="004E363D" w:rsidRPr="004E363D" w:rsidRDefault="004E363D" w:rsidP="004E363D">
      <w:pPr>
        <w:tabs>
          <w:tab w:val="left" w:pos="851"/>
        </w:tabs>
        <w:ind w:left="851"/>
        <w:rPr>
          <w:sz w:val="24"/>
          <w:szCs w:val="24"/>
        </w:rPr>
      </w:pPr>
    </w:p>
    <w:p w14:paraId="172B381D" w14:textId="77777777" w:rsidR="004E363D" w:rsidRPr="004E363D" w:rsidRDefault="004E363D" w:rsidP="004E363D">
      <w:pPr>
        <w:tabs>
          <w:tab w:val="left" w:pos="851"/>
        </w:tabs>
        <w:ind w:left="851"/>
        <w:rPr>
          <w:sz w:val="24"/>
          <w:szCs w:val="24"/>
          <w:u w:val="single"/>
        </w:rPr>
      </w:pPr>
      <w:r w:rsidRPr="004E363D">
        <w:rPr>
          <w:sz w:val="24"/>
          <w:szCs w:val="24"/>
          <w:u w:val="single"/>
        </w:rPr>
        <w:t>Graviditet</w:t>
      </w:r>
    </w:p>
    <w:p w14:paraId="70145B9E" w14:textId="77777777" w:rsidR="004E363D" w:rsidRPr="004E363D" w:rsidRDefault="004E363D" w:rsidP="004E363D">
      <w:pPr>
        <w:tabs>
          <w:tab w:val="left" w:pos="851"/>
        </w:tabs>
        <w:ind w:left="851"/>
        <w:rPr>
          <w:sz w:val="24"/>
          <w:szCs w:val="24"/>
        </w:rPr>
      </w:pPr>
      <w:r w:rsidRPr="004E363D">
        <w:rPr>
          <w:sz w:val="24"/>
          <w:szCs w:val="24"/>
        </w:rPr>
        <w:t>Der er ingen eller utilstrækkelige data for anvendelsen af brimonidin til gravide kvinder. Brimonidin i plasmaniveauer, der er højere end opnået under behandling hos mennesker, kan forårsage præimplantationstab og postnatal vækstreduktion hos kaniner (se pkt. 5.3). Som en sikkerhedsforanstaltning bør brugen af Lumobry 0,25 mg/ml, øjendråber undgås under graviditet.</w:t>
      </w:r>
    </w:p>
    <w:p w14:paraId="580BA73F" w14:textId="77777777" w:rsidR="004E363D" w:rsidRPr="004E363D" w:rsidRDefault="004E363D" w:rsidP="004E363D">
      <w:pPr>
        <w:tabs>
          <w:tab w:val="left" w:pos="851"/>
        </w:tabs>
        <w:ind w:left="851"/>
        <w:rPr>
          <w:sz w:val="24"/>
          <w:szCs w:val="24"/>
        </w:rPr>
      </w:pPr>
    </w:p>
    <w:p w14:paraId="521BF6A0" w14:textId="77777777" w:rsidR="004E363D" w:rsidRPr="004E363D" w:rsidRDefault="004E363D" w:rsidP="004E363D">
      <w:pPr>
        <w:tabs>
          <w:tab w:val="left" w:pos="851"/>
        </w:tabs>
        <w:ind w:left="851"/>
        <w:rPr>
          <w:sz w:val="24"/>
          <w:szCs w:val="24"/>
          <w:u w:val="single"/>
        </w:rPr>
      </w:pPr>
      <w:r w:rsidRPr="004E363D">
        <w:rPr>
          <w:sz w:val="24"/>
          <w:szCs w:val="24"/>
          <w:u w:val="single"/>
        </w:rPr>
        <w:t>Amning</w:t>
      </w:r>
    </w:p>
    <w:p w14:paraId="15D130B1" w14:textId="77777777" w:rsidR="004E363D" w:rsidRPr="004E363D" w:rsidRDefault="004E363D" w:rsidP="004E363D">
      <w:pPr>
        <w:tabs>
          <w:tab w:val="left" w:pos="851"/>
        </w:tabs>
        <w:ind w:left="851"/>
        <w:rPr>
          <w:sz w:val="24"/>
          <w:szCs w:val="24"/>
        </w:rPr>
      </w:pPr>
      <w:r w:rsidRPr="004E363D">
        <w:rPr>
          <w:sz w:val="24"/>
          <w:szCs w:val="24"/>
        </w:rPr>
        <w:t xml:space="preserve">Det er ukendt i hvilket omfang brimonidintartrat udskilles i modermælken hos ammende kvinder efter okulær anvendelse. Dyreforsøg har vist, at brimonidin og dets metabolitter udskilles i modermælken (for yderligere information se pkt. 5.3). </w:t>
      </w:r>
      <w:r w:rsidRPr="004E363D">
        <w:rPr>
          <w:sz w:val="24"/>
          <w:szCs w:val="24"/>
          <w:lang w:val="fr-LU"/>
        </w:rPr>
        <w:t xml:space="preserve">En risiko for </w:t>
      </w:r>
      <w:r w:rsidRPr="004E363D">
        <w:rPr>
          <w:sz w:val="24"/>
          <w:szCs w:val="24"/>
          <w:lang w:val="fr-LU"/>
        </w:rPr>
        <w:lastRenderedPageBreak/>
        <w:t>nyfødte/</w:t>
      </w:r>
      <w:r w:rsidRPr="004E363D">
        <w:rPr>
          <w:sz w:val="24"/>
          <w:szCs w:val="24"/>
        </w:rPr>
        <w:t>spædbørn kan ikke udelukkes. Derfor bør Lumobry 0,25 mg/ml, øjendråber ikke anvendes under amning.</w:t>
      </w:r>
    </w:p>
    <w:p w14:paraId="1545C49B" w14:textId="77777777" w:rsidR="004E363D" w:rsidRPr="004E363D" w:rsidRDefault="004E363D" w:rsidP="004E363D">
      <w:pPr>
        <w:tabs>
          <w:tab w:val="left" w:pos="851"/>
        </w:tabs>
        <w:ind w:left="851"/>
        <w:rPr>
          <w:sz w:val="24"/>
          <w:szCs w:val="24"/>
        </w:rPr>
      </w:pPr>
    </w:p>
    <w:p w14:paraId="30941AAB" w14:textId="77777777" w:rsidR="004E363D" w:rsidRPr="004E363D" w:rsidRDefault="004E363D" w:rsidP="004E363D">
      <w:pPr>
        <w:tabs>
          <w:tab w:val="left" w:pos="851"/>
        </w:tabs>
        <w:ind w:left="851"/>
        <w:rPr>
          <w:sz w:val="24"/>
          <w:szCs w:val="24"/>
          <w:u w:val="single"/>
        </w:rPr>
      </w:pPr>
      <w:r w:rsidRPr="004E363D">
        <w:rPr>
          <w:sz w:val="24"/>
          <w:szCs w:val="24"/>
          <w:u w:val="single"/>
        </w:rPr>
        <w:t>Fertilitet</w:t>
      </w:r>
    </w:p>
    <w:p w14:paraId="3CCFD9FA" w14:textId="77777777" w:rsidR="004E363D" w:rsidRPr="004E363D" w:rsidRDefault="004E363D" w:rsidP="004E363D">
      <w:pPr>
        <w:tabs>
          <w:tab w:val="left" w:pos="851"/>
        </w:tabs>
        <w:ind w:left="851"/>
        <w:rPr>
          <w:iCs/>
          <w:sz w:val="24"/>
          <w:szCs w:val="24"/>
        </w:rPr>
      </w:pPr>
      <w:r w:rsidRPr="004E363D">
        <w:rPr>
          <w:iCs/>
          <w:sz w:val="24"/>
          <w:szCs w:val="24"/>
        </w:rPr>
        <w:t>Der er ingen humane data, der indikerer, at topikalt appliceret brimonidintartrat påvirker fertiliteten.</w:t>
      </w:r>
    </w:p>
    <w:p w14:paraId="1B687869" w14:textId="77777777" w:rsidR="009260DE" w:rsidRPr="00C84483" w:rsidRDefault="009260DE" w:rsidP="009260DE">
      <w:pPr>
        <w:tabs>
          <w:tab w:val="left" w:pos="851"/>
        </w:tabs>
        <w:ind w:left="851"/>
        <w:rPr>
          <w:sz w:val="24"/>
          <w:szCs w:val="24"/>
        </w:rPr>
      </w:pPr>
    </w:p>
    <w:p w14:paraId="11E003A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F0B87DD" w14:textId="77777777" w:rsidR="004E363D" w:rsidRPr="004E363D" w:rsidRDefault="004E363D" w:rsidP="004E363D">
      <w:pPr>
        <w:tabs>
          <w:tab w:val="left" w:pos="851"/>
        </w:tabs>
        <w:ind w:left="851"/>
        <w:rPr>
          <w:sz w:val="24"/>
          <w:szCs w:val="24"/>
        </w:rPr>
      </w:pPr>
      <w:r w:rsidRPr="004E363D">
        <w:rPr>
          <w:sz w:val="24"/>
          <w:szCs w:val="24"/>
        </w:rPr>
        <w:t>Ikke mærkning.</w:t>
      </w:r>
    </w:p>
    <w:p w14:paraId="78681361" w14:textId="77777777" w:rsidR="004E363D" w:rsidRPr="004E363D" w:rsidRDefault="004E363D" w:rsidP="004E363D">
      <w:pPr>
        <w:tabs>
          <w:tab w:val="left" w:pos="851"/>
        </w:tabs>
        <w:ind w:left="851"/>
        <w:rPr>
          <w:sz w:val="24"/>
          <w:szCs w:val="24"/>
        </w:rPr>
      </w:pPr>
      <w:r w:rsidRPr="004E363D">
        <w:rPr>
          <w:sz w:val="24"/>
          <w:szCs w:val="24"/>
        </w:rPr>
        <w:t>Lumobry 0,25 mg/ml, øjendråber påvirker i mindre grad evnen til at føre motorkøretøj eller betjene maskiner. Som alle produkter administreret i øjnene, kan det medføre forbigående uskarpt syn, hvilket kan nedsætte evnen til at føre motorkøretøj eller betjene maskiner, især om natten eller i svagt lys. Patienten bør vente med at køre eller betjene maskiner, indtil disse symptomer har fortaget sig.</w:t>
      </w:r>
    </w:p>
    <w:p w14:paraId="3C213BA8" w14:textId="77777777" w:rsidR="009260DE" w:rsidRPr="00C84483" w:rsidRDefault="009260DE" w:rsidP="009260DE">
      <w:pPr>
        <w:tabs>
          <w:tab w:val="left" w:pos="851"/>
        </w:tabs>
        <w:ind w:left="851"/>
        <w:rPr>
          <w:sz w:val="24"/>
          <w:szCs w:val="24"/>
        </w:rPr>
      </w:pPr>
    </w:p>
    <w:p w14:paraId="61FA7D2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73F556B" w14:textId="77777777" w:rsidR="004E363D" w:rsidRPr="004E363D" w:rsidRDefault="004E363D" w:rsidP="004E363D">
      <w:pPr>
        <w:tabs>
          <w:tab w:val="left" w:pos="851"/>
        </w:tabs>
        <w:ind w:left="851"/>
        <w:rPr>
          <w:sz w:val="24"/>
          <w:szCs w:val="24"/>
        </w:rPr>
      </w:pPr>
      <w:r w:rsidRPr="004E363D">
        <w:rPr>
          <w:sz w:val="24"/>
          <w:szCs w:val="24"/>
        </w:rPr>
        <w:t>Hyppigheden af bivirkningerne er klassificeret som anført herunder:</w:t>
      </w:r>
    </w:p>
    <w:p w14:paraId="03BCC5AA" w14:textId="77777777" w:rsidR="004E363D" w:rsidRPr="004E363D" w:rsidRDefault="004E363D" w:rsidP="004E363D">
      <w:pPr>
        <w:tabs>
          <w:tab w:val="left" w:pos="851"/>
        </w:tabs>
        <w:ind w:left="851"/>
        <w:rPr>
          <w:sz w:val="24"/>
          <w:szCs w:val="24"/>
        </w:rPr>
      </w:pPr>
      <w:r w:rsidRPr="004E363D">
        <w:rPr>
          <w:sz w:val="24"/>
          <w:szCs w:val="24"/>
        </w:rPr>
        <w:t>Meget almindelig: (≥ 1/10)</w:t>
      </w:r>
    </w:p>
    <w:p w14:paraId="7BF7AB6C" w14:textId="77777777" w:rsidR="004E363D" w:rsidRPr="004E363D" w:rsidRDefault="004E363D" w:rsidP="004E363D">
      <w:pPr>
        <w:tabs>
          <w:tab w:val="left" w:pos="851"/>
        </w:tabs>
        <w:ind w:left="851"/>
        <w:rPr>
          <w:sz w:val="24"/>
          <w:szCs w:val="24"/>
        </w:rPr>
      </w:pPr>
      <w:r w:rsidRPr="004E363D">
        <w:rPr>
          <w:sz w:val="24"/>
          <w:szCs w:val="24"/>
        </w:rPr>
        <w:t xml:space="preserve">Almindelig: </w:t>
      </w:r>
      <w:bookmarkStart w:id="2" w:name="OLE_LINK2"/>
      <w:r w:rsidRPr="004E363D">
        <w:rPr>
          <w:sz w:val="24"/>
          <w:szCs w:val="24"/>
        </w:rPr>
        <w:t>(≥ 1/10</w:t>
      </w:r>
      <w:bookmarkEnd w:id="2"/>
      <w:r w:rsidRPr="004E363D">
        <w:rPr>
          <w:sz w:val="24"/>
          <w:szCs w:val="24"/>
        </w:rPr>
        <w:t xml:space="preserve">0 til &lt; 1/10) </w:t>
      </w:r>
    </w:p>
    <w:p w14:paraId="677855ED" w14:textId="77777777" w:rsidR="004E363D" w:rsidRPr="004E363D" w:rsidRDefault="004E363D" w:rsidP="004E363D">
      <w:pPr>
        <w:tabs>
          <w:tab w:val="left" w:pos="851"/>
        </w:tabs>
        <w:ind w:left="851"/>
        <w:rPr>
          <w:sz w:val="24"/>
          <w:szCs w:val="24"/>
        </w:rPr>
      </w:pPr>
      <w:r w:rsidRPr="004E363D">
        <w:rPr>
          <w:sz w:val="24"/>
          <w:szCs w:val="24"/>
        </w:rPr>
        <w:t>Ikke almindelig: (≥ 1/1.000 til &lt; 1/100)</w:t>
      </w:r>
    </w:p>
    <w:p w14:paraId="0E856381" w14:textId="77777777" w:rsidR="004E363D" w:rsidRPr="004E363D" w:rsidRDefault="004E363D" w:rsidP="004E363D">
      <w:pPr>
        <w:tabs>
          <w:tab w:val="left" w:pos="851"/>
        </w:tabs>
        <w:ind w:left="851"/>
        <w:rPr>
          <w:sz w:val="24"/>
          <w:szCs w:val="24"/>
        </w:rPr>
      </w:pPr>
      <w:r w:rsidRPr="004E363D">
        <w:rPr>
          <w:sz w:val="24"/>
          <w:szCs w:val="24"/>
        </w:rPr>
        <w:t>Sjælden: (≥ 1/10.000 til &lt; 1/1.000)</w:t>
      </w:r>
    </w:p>
    <w:p w14:paraId="2E470FC0" w14:textId="77777777" w:rsidR="004E363D" w:rsidRPr="004E363D" w:rsidRDefault="004E363D" w:rsidP="004E363D">
      <w:pPr>
        <w:tabs>
          <w:tab w:val="left" w:pos="851"/>
        </w:tabs>
        <w:ind w:left="851"/>
        <w:rPr>
          <w:sz w:val="24"/>
          <w:szCs w:val="24"/>
        </w:rPr>
      </w:pPr>
      <w:r w:rsidRPr="004E363D">
        <w:rPr>
          <w:sz w:val="24"/>
          <w:szCs w:val="24"/>
        </w:rPr>
        <w:t>Meget sjælden: (&lt; 1/10.000)</w:t>
      </w:r>
    </w:p>
    <w:p w14:paraId="773401F4" w14:textId="77777777" w:rsidR="004E363D" w:rsidRPr="004E363D" w:rsidRDefault="004E363D" w:rsidP="004E363D">
      <w:pPr>
        <w:tabs>
          <w:tab w:val="left" w:pos="851"/>
        </w:tabs>
        <w:ind w:left="851"/>
        <w:rPr>
          <w:sz w:val="24"/>
          <w:szCs w:val="24"/>
        </w:rPr>
      </w:pPr>
      <w:r w:rsidRPr="004E363D">
        <w:rPr>
          <w:sz w:val="24"/>
          <w:szCs w:val="24"/>
        </w:rPr>
        <w:t>Ikke kendt (kan ikke estimeres ud fra forhåndenværende data).</w:t>
      </w:r>
    </w:p>
    <w:p w14:paraId="213BD93D" w14:textId="77777777" w:rsidR="004E363D" w:rsidRPr="004E363D" w:rsidRDefault="004E363D" w:rsidP="004E363D">
      <w:pPr>
        <w:tabs>
          <w:tab w:val="left" w:pos="851"/>
        </w:tabs>
        <w:ind w:left="851"/>
        <w:rPr>
          <w:sz w:val="24"/>
          <w:szCs w:val="24"/>
        </w:rPr>
      </w:pPr>
    </w:p>
    <w:p w14:paraId="1009CCB5" w14:textId="77777777" w:rsidR="004E363D" w:rsidRPr="004E363D" w:rsidRDefault="004E363D" w:rsidP="004E363D">
      <w:pPr>
        <w:tabs>
          <w:tab w:val="left" w:pos="851"/>
        </w:tabs>
        <w:ind w:left="851"/>
        <w:rPr>
          <w:sz w:val="24"/>
          <w:szCs w:val="24"/>
        </w:rPr>
      </w:pPr>
      <w:r w:rsidRPr="004E363D">
        <w:rPr>
          <w:sz w:val="24"/>
          <w:szCs w:val="24"/>
        </w:rPr>
        <w:t>Sikkerhedsprofilen for Lumobry 0,25 mg/ml, øjendråber blev påvist at være tilsvarende sikkerhedsprofilen for vehiklet.</w:t>
      </w:r>
    </w:p>
    <w:p w14:paraId="266BFC26" w14:textId="77777777" w:rsidR="004E363D" w:rsidRDefault="004E363D" w:rsidP="004E363D">
      <w:pPr>
        <w:rPr>
          <w:sz w:val="22"/>
          <w:szCs w:val="22"/>
          <w:lang w:eastAsia="fr-L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073"/>
        <w:gridCol w:w="4286"/>
      </w:tblGrid>
      <w:tr w:rsidR="004E363D" w14:paraId="351ED5BB" w14:textId="77777777" w:rsidTr="004E363D">
        <w:trPr>
          <w:tblHeader/>
        </w:trPr>
        <w:tc>
          <w:tcPr>
            <w:tcW w:w="2450" w:type="dxa"/>
            <w:tcBorders>
              <w:top w:val="single" w:sz="4" w:space="0" w:color="auto"/>
              <w:left w:val="single" w:sz="4" w:space="0" w:color="auto"/>
              <w:bottom w:val="single" w:sz="4" w:space="0" w:color="auto"/>
              <w:right w:val="single" w:sz="4" w:space="0" w:color="auto"/>
            </w:tcBorders>
            <w:vAlign w:val="center"/>
            <w:hideMark/>
          </w:tcPr>
          <w:p w14:paraId="17B50A4F" w14:textId="77777777" w:rsidR="004E363D" w:rsidRDefault="004E363D">
            <w:pPr>
              <w:rPr>
                <w:b/>
                <w:bCs/>
                <w:sz w:val="22"/>
                <w:szCs w:val="22"/>
                <w:lang w:val="en-GB"/>
              </w:rPr>
            </w:pPr>
            <w:r>
              <w:rPr>
                <w:b/>
                <w:bCs/>
                <w:sz w:val="22"/>
                <w:szCs w:val="22"/>
                <w:lang w:val="en-GB"/>
              </w:rPr>
              <w:t>Systemorganklasse</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7593DA3" w14:textId="77777777" w:rsidR="004E363D" w:rsidRDefault="004E363D">
            <w:pPr>
              <w:rPr>
                <w:b/>
                <w:bCs/>
                <w:sz w:val="22"/>
                <w:szCs w:val="22"/>
                <w:lang w:val="en-GB"/>
              </w:rPr>
            </w:pPr>
            <w:r>
              <w:rPr>
                <w:b/>
                <w:bCs/>
                <w:sz w:val="22"/>
                <w:szCs w:val="22"/>
                <w:lang w:val="en-GB"/>
              </w:rPr>
              <w:t>Hyppighed</w:t>
            </w:r>
          </w:p>
        </w:tc>
        <w:tc>
          <w:tcPr>
            <w:tcW w:w="4286" w:type="dxa"/>
            <w:tcBorders>
              <w:top w:val="single" w:sz="4" w:space="0" w:color="auto"/>
              <w:left w:val="single" w:sz="4" w:space="0" w:color="auto"/>
              <w:bottom w:val="single" w:sz="4" w:space="0" w:color="auto"/>
              <w:right w:val="single" w:sz="4" w:space="0" w:color="auto"/>
            </w:tcBorders>
            <w:vAlign w:val="center"/>
            <w:hideMark/>
          </w:tcPr>
          <w:p w14:paraId="559E4DE3" w14:textId="77777777" w:rsidR="004E363D" w:rsidRDefault="004E363D">
            <w:pPr>
              <w:rPr>
                <w:b/>
                <w:bCs/>
                <w:sz w:val="22"/>
                <w:szCs w:val="22"/>
                <w:lang w:val="en-GB"/>
              </w:rPr>
            </w:pPr>
            <w:r>
              <w:rPr>
                <w:b/>
                <w:bCs/>
                <w:sz w:val="22"/>
                <w:szCs w:val="22"/>
                <w:lang w:val="en-GB"/>
              </w:rPr>
              <w:t>Bivirkninger</w:t>
            </w:r>
          </w:p>
        </w:tc>
      </w:tr>
      <w:tr w:rsidR="004E363D" w14:paraId="3CB0CCB4" w14:textId="77777777" w:rsidTr="004E363D">
        <w:trPr>
          <w:cantSplit/>
        </w:trPr>
        <w:tc>
          <w:tcPr>
            <w:tcW w:w="2450" w:type="dxa"/>
            <w:vMerge w:val="restart"/>
            <w:tcBorders>
              <w:top w:val="single" w:sz="4" w:space="0" w:color="auto"/>
              <w:left w:val="single" w:sz="4" w:space="0" w:color="auto"/>
              <w:bottom w:val="single" w:sz="4" w:space="0" w:color="auto"/>
              <w:right w:val="single" w:sz="4" w:space="0" w:color="auto"/>
            </w:tcBorders>
            <w:vAlign w:val="center"/>
            <w:hideMark/>
          </w:tcPr>
          <w:p w14:paraId="7AFA3FB8" w14:textId="77777777" w:rsidR="004E363D" w:rsidRDefault="004E363D">
            <w:pPr>
              <w:rPr>
                <w:bCs/>
                <w:sz w:val="22"/>
                <w:szCs w:val="22"/>
                <w:lang w:val="en-GB"/>
              </w:rPr>
            </w:pPr>
            <w:r>
              <w:rPr>
                <w:bCs/>
                <w:sz w:val="22"/>
                <w:szCs w:val="22"/>
                <w:lang w:val="en-GB"/>
              </w:rPr>
              <w:t>Øjne</w:t>
            </w:r>
          </w:p>
        </w:tc>
        <w:tc>
          <w:tcPr>
            <w:tcW w:w="2073" w:type="dxa"/>
            <w:tcBorders>
              <w:top w:val="single" w:sz="4" w:space="0" w:color="auto"/>
              <w:left w:val="single" w:sz="4" w:space="0" w:color="auto"/>
              <w:bottom w:val="single" w:sz="4" w:space="0" w:color="auto"/>
              <w:right w:val="single" w:sz="4" w:space="0" w:color="auto"/>
            </w:tcBorders>
            <w:vAlign w:val="center"/>
            <w:hideMark/>
          </w:tcPr>
          <w:p w14:paraId="6D6B7F69" w14:textId="77777777" w:rsidR="004E363D" w:rsidRDefault="004E363D">
            <w:pPr>
              <w:rPr>
                <w:bCs/>
                <w:sz w:val="22"/>
                <w:szCs w:val="22"/>
                <w:lang w:val="en-GB"/>
              </w:rPr>
            </w:pPr>
            <w:r>
              <w:rPr>
                <w:bCs/>
                <w:sz w:val="22"/>
                <w:szCs w:val="22"/>
                <w:lang w:val="en-GB"/>
              </w:rPr>
              <w:t>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5003CBDD" w14:textId="77777777" w:rsidR="004E363D" w:rsidRDefault="004E363D">
            <w:pPr>
              <w:rPr>
                <w:bCs/>
                <w:sz w:val="22"/>
                <w:szCs w:val="22"/>
                <w:lang w:val="en-GB"/>
              </w:rPr>
            </w:pPr>
            <w:r>
              <w:rPr>
                <w:sz w:val="22"/>
                <w:szCs w:val="22"/>
                <w:lang w:val="en-GB"/>
              </w:rPr>
              <w:t>Okulær hyperæmi</w:t>
            </w:r>
          </w:p>
        </w:tc>
      </w:tr>
      <w:tr w:rsidR="004E363D" w14:paraId="2F39FA18" w14:textId="77777777" w:rsidTr="004E363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9F30D" w14:textId="77777777" w:rsidR="004E363D" w:rsidRDefault="004E363D">
            <w:pPr>
              <w:rPr>
                <w:bCs/>
                <w:sz w:val="22"/>
                <w:szCs w:val="22"/>
                <w:lang w:val="en-GB" w:eastAsia="fr-LU"/>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43DE1583"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39EC099F" w14:textId="77777777" w:rsidR="004E363D" w:rsidRDefault="004E363D">
            <w:pPr>
              <w:rPr>
                <w:bCs/>
                <w:sz w:val="22"/>
                <w:szCs w:val="22"/>
              </w:rPr>
            </w:pPr>
            <w:r>
              <w:rPr>
                <w:bCs/>
                <w:sz w:val="22"/>
                <w:szCs w:val="22"/>
              </w:rPr>
              <w:t>Tørre øjne, fotofobi, søvn i øjnene, øjenirritation, øjensmerter, fornemmelse af fremmedlegeme i øjet</w:t>
            </w:r>
          </w:p>
        </w:tc>
      </w:tr>
      <w:tr w:rsidR="004E363D" w14:paraId="26537553" w14:textId="77777777" w:rsidTr="004E363D">
        <w:trPr>
          <w:cantSplit/>
          <w:trHeight w:val="516"/>
        </w:trPr>
        <w:tc>
          <w:tcPr>
            <w:tcW w:w="2450" w:type="dxa"/>
            <w:vMerge w:val="restart"/>
            <w:tcBorders>
              <w:top w:val="single" w:sz="4" w:space="0" w:color="auto"/>
              <w:left w:val="single" w:sz="4" w:space="0" w:color="auto"/>
              <w:bottom w:val="single" w:sz="4" w:space="0" w:color="auto"/>
              <w:right w:val="single" w:sz="4" w:space="0" w:color="auto"/>
            </w:tcBorders>
            <w:vAlign w:val="center"/>
            <w:hideMark/>
          </w:tcPr>
          <w:p w14:paraId="5E3C42AF" w14:textId="77777777" w:rsidR="004E363D" w:rsidRDefault="004E363D">
            <w:pPr>
              <w:rPr>
                <w:sz w:val="22"/>
                <w:szCs w:val="22"/>
              </w:rPr>
            </w:pPr>
            <w:r>
              <w:rPr>
                <w:sz w:val="22"/>
                <w:szCs w:val="22"/>
              </w:rPr>
              <w:t>Almene symptomer og reaktioner på administrationsstedet</w:t>
            </w:r>
          </w:p>
        </w:tc>
        <w:tc>
          <w:tcPr>
            <w:tcW w:w="2073" w:type="dxa"/>
            <w:tcBorders>
              <w:top w:val="single" w:sz="4" w:space="0" w:color="auto"/>
              <w:left w:val="single" w:sz="4" w:space="0" w:color="auto"/>
              <w:bottom w:val="single" w:sz="4" w:space="0" w:color="auto"/>
              <w:right w:val="single" w:sz="4" w:space="0" w:color="auto"/>
            </w:tcBorders>
            <w:vAlign w:val="center"/>
            <w:hideMark/>
          </w:tcPr>
          <w:p w14:paraId="48D716DB" w14:textId="77777777" w:rsidR="004E363D" w:rsidRDefault="004E363D">
            <w:pPr>
              <w:rPr>
                <w:sz w:val="22"/>
                <w:szCs w:val="22"/>
                <w:lang w:val="en-GB"/>
              </w:rPr>
            </w:pPr>
            <w:r>
              <w:rPr>
                <w:sz w:val="22"/>
                <w:szCs w:val="22"/>
                <w:lang w:val="en-GB"/>
              </w:rPr>
              <w:t>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7E949CE2" w14:textId="77777777" w:rsidR="004E363D" w:rsidRDefault="004E363D">
            <w:pPr>
              <w:rPr>
                <w:sz w:val="22"/>
                <w:szCs w:val="22"/>
                <w:lang w:val="en-GB"/>
              </w:rPr>
            </w:pPr>
            <w:r>
              <w:rPr>
                <w:sz w:val="22"/>
                <w:szCs w:val="22"/>
                <w:lang w:val="en-GB"/>
              </w:rPr>
              <w:t>Smerter på administrationsstedet</w:t>
            </w:r>
          </w:p>
        </w:tc>
      </w:tr>
      <w:tr w:rsidR="004E363D" w14:paraId="0B541B02" w14:textId="77777777" w:rsidTr="004E363D">
        <w:trPr>
          <w:cantSplit/>
          <w:trHeight w:val="7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8C84B" w14:textId="77777777" w:rsidR="004E363D" w:rsidRDefault="004E363D">
            <w:pPr>
              <w:rPr>
                <w:sz w:val="22"/>
                <w:szCs w:val="22"/>
                <w:lang w:eastAsia="fr-LU"/>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33B8C89A"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52F49063" w14:textId="77777777" w:rsidR="004E363D" w:rsidRDefault="004E363D">
            <w:pPr>
              <w:rPr>
                <w:bCs/>
                <w:sz w:val="22"/>
                <w:szCs w:val="22"/>
              </w:rPr>
            </w:pPr>
            <w:r>
              <w:rPr>
                <w:sz w:val="22"/>
                <w:szCs w:val="22"/>
              </w:rPr>
              <w:t>Brændende smerte på administrationsstedet, irritation på administrationsstedet, pruritus på administrationsstedet</w:t>
            </w:r>
          </w:p>
        </w:tc>
      </w:tr>
      <w:tr w:rsidR="004E363D" w14:paraId="42A56AE6" w14:textId="77777777" w:rsidTr="004E363D">
        <w:trPr>
          <w:cantSplit/>
        </w:trPr>
        <w:tc>
          <w:tcPr>
            <w:tcW w:w="2450" w:type="dxa"/>
            <w:tcBorders>
              <w:top w:val="single" w:sz="4" w:space="0" w:color="auto"/>
              <w:left w:val="single" w:sz="4" w:space="0" w:color="auto"/>
              <w:bottom w:val="single" w:sz="4" w:space="0" w:color="auto"/>
              <w:right w:val="single" w:sz="4" w:space="0" w:color="auto"/>
            </w:tcBorders>
            <w:vAlign w:val="center"/>
            <w:hideMark/>
          </w:tcPr>
          <w:p w14:paraId="349CC490" w14:textId="77777777" w:rsidR="004E363D" w:rsidRDefault="004E363D">
            <w:pPr>
              <w:rPr>
                <w:bCs/>
                <w:sz w:val="22"/>
                <w:szCs w:val="22"/>
                <w:lang w:val="en-GB"/>
              </w:rPr>
            </w:pPr>
            <w:r>
              <w:rPr>
                <w:bCs/>
                <w:sz w:val="22"/>
                <w:szCs w:val="22"/>
                <w:lang w:val="en-GB"/>
              </w:rPr>
              <w:t>Nervesystemet</w:t>
            </w:r>
          </w:p>
        </w:tc>
        <w:tc>
          <w:tcPr>
            <w:tcW w:w="2073" w:type="dxa"/>
            <w:tcBorders>
              <w:top w:val="single" w:sz="4" w:space="0" w:color="auto"/>
              <w:left w:val="single" w:sz="4" w:space="0" w:color="auto"/>
              <w:bottom w:val="single" w:sz="4" w:space="0" w:color="auto"/>
              <w:right w:val="single" w:sz="4" w:space="0" w:color="auto"/>
            </w:tcBorders>
            <w:vAlign w:val="center"/>
            <w:hideMark/>
          </w:tcPr>
          <w:p w14:paraId="7D2DA1EC"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5AA9E43A" w14:textId="77777777" w:rsidR="004E363D" w:rsidRDefault="004E363D">
            <w:pPr>
              <w:rPr>
                <w:sz w:val="22"/>
                <w:szCs w:val="22"/>
                <w:lang w:val="en-GB"/>
              </w:rPr>
            </w:pPr>
            <w:r>
              <w:rPr>
                <w:sz w:val="22"/>
                <w:szCs w:val="22"/>
                <w:lang w:val="en-GB"/>
              </w:rPr>
              <w:t>Hovedpine</w:t>
            </w:r>
          </w:p>
        </w:tc>
      </w:tr>
      <w:tr w:rsidR="004E363D" w14:paraId="60AD24F5" w14:textId="77777777" w:rsidTr="004E363D">
        <w:trPr>
          <w:cantSplit/>
        </w:trPr>
        <w:tc>
          <w:tcPr>
            <w:tcW w:w="2450" w:type="dxa"/>
            <w:tcBorders>
              <w:top w:val="single" w:sz="4" w:space="0" w:color="auto"/>
              <w:left w:val="single" w:sz="4" w:space="0" w:color="auto"/>
              <w:bottom w:val="single" w:sz="4" w:space="0" w:color="auto"/>
              <w:right w:val="single" w:sz="4" w:space="0" w:color="auto"/>
            </w:tcBorders>
            <w:vAlign w:val="center"/>
            <w:hideMark/>
          </w:tcPr>
          <w:p w14:paraId="5F02CD9F" w14:textId="77777777" w:rsidR="004E363D" w:rsidRDefault="004E363D">
            <w:pPr>
              <w:rPr>
                <w:bCs/>
                <w:sz w:val="22"/>
                <w:szCs w:val="22"/>
                <w:lang w:val="en-GB"/>
              </w:rPr>
            </w:pPr>
            <w:r>
              <w:rPr>
                <w:bCs/>
                <w:sz w:val="22"/>
                <w:szCs w:val="22"/>
                <w:lang w:val="en-GB"/>
              </w:rPr>
              <w:t>Hjerte</w:t>
            </w:r>
          </w:p>
        </w:tc>
        <w:tc>
          <w:tcPr>
            <w:tcW w:w="2073" w:type="dxa"/>
            <w:tcBorders>
              <w:top w:val="single" w:sz="4" w:space="0" w:color="auto"/>
              <w:left w:val="single" w:sz="4" w:space="0" w:color="auto"/>
              <w:bottom w:val="single" w:sz="4" w:space="0" w:color="auto"/>
              <w:right w:val="single" w:sz="4" w:space="0" w:color="auto"/>
            </w:tcBorders>
            <w:hideMark/>
          </w:tcPr>
          <w:p w14:paraId="09974553"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0B4B3E99" w14:textId="77777777" w:rsidR="004E363D" w:rsidRDefault="004E363D">
            <w:pPr>
              <w:rPr>
                <w:sz w:val="22"/>
                <w:szCs w:val="22"/>
                <w:lang w:val="en-GB"/>
              </w:rPr>
            </w:pPr>
            <w:r>
              <w:rPr>
                <w:sz w:val="22"/>
                <w:szCs w:val="22"/>
                <w:lang w:val="en-GB"/>
              </w:rPr>
              <w:t>Palpitationer</w:t>
            </w:r>
          </w:p>
        </w:tc>
      </w:tr>
      <w:tr w:rsidR="004E363D" w14:paraId="50338C8F" w14:textId="77777777" w:rsidTr="004E363D">
        <w:trPr>
          <w:cantSplit/>
        </w:trPr>
        <w:tc>
          <w:tcPr>
            <w:tcW w:w="2450" w:type="dxa"/>
            <w:tcBorders>
              <w:top w:val="single" w:sz="4" w:space="0" w:color="auto"/>
              <w:left w:val="single" w:sz="4" w:space="0" w:color="auto"/>
              <w:bottom w:val="single" w:sz="4" w:space="0" w:color="auto"/>
              <w:right w:val="single" w:sz="4" w:space="0" w:color="auto"/>
            </w:tcBorders>
            <w:vAlign w:val="center"/>
            <w:hideMark/>
          </w:tcPr>
          <w:p w14:paraId="6D6FBFBD" w14:textId="77777777" w:rsidR="004E363D" w:rsidRDefault="004E363D">
            <w:pPr>
              <w:rPr>
                <w:bCs/>
                <w:sz w:val="22"/>
                <w:szCs w:val="22"/>
              </w:rPr>
            </w:pPr>
            <w:r>
              <w:rPr>
                <w:bCs/>
                <w:sz w:val="22"/>
                <w:szCs w:val="22"/>
              </w:rPr>
              <w:t>Knogler, led, muskler og bindevæv</w:t>
            </w:r>
          </w:p>
        </w:tc>
        <w:tc>
          <w:tcPr>
            <w:tcW w:w="2073" w:type="dxa"/>
            <w:tcBorders>
              <w:top w:val="single" w:sz="4" w:space="0" w:color="auto"/>
              <w:left w:val="single" w:sz="4" w:space="0" w:color="auto"/>
              <w:bottom w:val="single" w:sz="4" w:space="0" w:color="auto"/>
              <w:right w:val="single" w:sz="4" w:space="0" w:color="auto"/>
            </w:tcBorders>
            <w:hideMark/>
          </w:tcPr>
          <w:p w14:paraId="731BB5B6"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0916F14B" w14:textId="77777777" w:rsidR="004E363D" w:rsidRDefault="004E363D">
            <w:pPr>
              <w:rPr>
                <w:sz w:val="22"/>
                <w:szCs w:val="22"/>
                <w:lang w:val="en-GB"/>
              </w:rPr>
            </w:pPr>
            <w:r>
              <w:rPr>
                <w:sz w:val="22"/>
                <w:szCs w:val="22"/>
                <w:lang w:val="en-GB"/>
              </w:rPr>
              <w:t>Muskelsammentrækninger</w:t>
            </w:r>
          </w:p>
        </w:tc>
      </w:tr>
      <w:tr w:rsidR="004E363D" w14:paraId="5DF9F4CB" w14:textId="77777777" w:rsidTr="004E363D">
        <w:trPr>
          <w:cantSplit/>
          <w:trHeight w:val="516"/>
        </w:trPr>
        <w:tc>
          <w:tcPr>
            <w:tcW w:w="2450" w:type="dxa"/>
            <w:tcBorders>
              <w:top w:val="single" w:sz="4" w:space="0" w:color="auto"/>
              <w:left w:val="single" w:sz="4" w:space="0" w:color="auto"/>
              <w:bottom w:val="single" w:sz="4" w:space="0" w:color="auto"/>
              <w:right w:val="single" w:sz="4" w:space="0" w:color="auto"/>
            </w:tcBorders>
            <w:vAlign w:val="center"/>
            <w:hideMark/>
          </w:tcPr>
          <w:p w14:paraId="64A41A45" w14:textId="77777777" w:rsidR="004E363D" w:rsidRDefault="004E363D">
            <w:pPr>
              <w:rPr>
                <w:bCs/>
                <w:sz w:val="22"/>
                <w:szCs w:val="22"/>
                <w:lang w:val="en-GB"/>
              </w:rPr>
            </w:pPr>
            <w:r>
              <w:rPr>
                <w:bCs/>
                <w:sz w:val="22"/>
                <w:szCs w:val="22"/>
                <w:lang w:val="en-GB"/>
              </w:rPr>
              <w:t>Blod og lymfesystem</w:t>
            </w:r>
          </w:p>
        </w:tc>
        <w:tc>
          <w:tcPr>
            <w:tcW w:w="2073" w:type="dxa"/>
            <w:tcBorders>
              <w:top w:val="single" w:sz="4" w:space="0" w:color="auto"/>
              <w:left w:val="single" w:sz="4" w:space="0" w:color="auto"/>
              <w:bottom w:val="single" w:sz="4" w:space="0" w:color="auto"/>
              <w:right w:val="single" w:sz="4" w:space="0" w:color="auto"/>
            </w:tcBorders>
            <w:hideMark/>
          </w:tcPr>
          <w:p w14:paraId="0690BE7C"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79E8405C" w14:textId="77777777" w:rsidR="004E363D" w:rsidRDefault="004E363D">
            <w:pPr>
              <w:rPr>
                <w:sz w:val="22"/>
                <w:szCs w:val="22"/>
                <w:lang w:val="en-GB"/>
              </w:rPr>
            </w:pPr>
            <w:r>
              <w:rPr>
                <w:sz w:val="22"/>
                <w:szCs w:val="22"/>
                <w:lang w:val="en-GB"/>
              </w:rPr>
              <w:t>Lymphocytose, monocytose</w:t>
            </w:r>
          </w:p>
        </w:tc>
      </w:tr>
      <w:tr w:rsidR="004E363D" w14:paraId="0F3C8D83" w14:textId="77777777" w:rsidTr="004E363D">
        <w:trPr>
          <w:cantSplit/>
          <w:trHeight w:val="516"/>
        </w:trPr>
        <w:tc>
          <w:tcPr>
            <w:tcW w:w="2450" w:type="dxa"/>
            <w:tcBorders>
              <w:top w:val="single" w:sz="4" w:space="0" w:color="auto"/>
              <w:left w:val="single" w:sz="4" w:space="0" w:color="auto"/>
              <w:bottom w:val="single" w:sz="4" w:space="0" w:color="auto"/>
              <w:right w:val="single" w:sz="4" w:space="0" w:color="auto"/>
            </w:tcBorders>
            <w:vAlign w:val="center"/>
          </w:tcPr>
          <w:p w14:paraId="5930F4D3" w14:textId="77777777" w:rsidR="004E363D" w:rsidRDefault="004E363D">
            <w:pPr>
              <w:rPr>
                <w:sz w:val="22"/>
                <w:szCs w:val="22"/>
              </w:rPr>
            </w:pPr>
            <w:r>
              <w:rPr>
                <w:sz w:val="22"/>
                <w:szCs w:val="22"/>
              </w:rPr>
              <w:t>Luftveje, thorax og mediastinum</w:t>
            </w:r>
          </w:p>
          <w:p w14:paraId="462D1DC4" w14:textId="77777777" w:rsidR="004E363D" w:rsidRDefault="004E363D">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14:paraId="4BDBBD3F"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47F7F9F2" w14:textId="77777777" w:rsidR="004E363D" w:rsidRDefault="004E363D">
            <w:pPr>
              <w:rPr>
                <w:sz w:val="22"/>
                <w:szCs w:val="22"/>
                <w:lang w:val="en-GB"/>
              </w:rPr>
            </w:pPr>
            <w:r>
              <w:rPr>
                <w:sz w:val="22"/>
                <w:szCs w:val="22"/>
                <w:lang w:val="en-GB"/>
              </w:rPr>
              <w:t>Nasalt ubehag</w:t>
            </w:r>
          </w:p>
        </w:tc>
      </w:tr>
      <w:tr w:rsidR="004E363D" w14:paraId="7078E16F" w14:textId="77777777" w:rsidTr="004E363D">
        <w:trPr>
          <w:cantSplit/>
          <w:trHeight w:val="516"/>
        </w:trPr>
        <w:tc>
          <w:tcPr>
            <w:tcW w:w="2450" w:type="dxa"/>
            <w:tcBorders>
              <w:top w:val="single" w:sz="4" w:space="0" w:color="auto"/>
              <w:left w:val="single" w:sz="4" w:space="0" w:color="auto"/>
              <w:bottom w:val="single" w:sz="4" w:space="0" w:color="auto"/>
              <w:right w:val="single" w:sz="4" w:space="0" w:color="auto"/>
            </w:tcBorders>
            <w:vAlign w:val="center"/>
            <w:hideMark/>
          </w:tcPr>
          <w:p w14:paraId="210D90D7" w14:textId="77777777" w:rsidR="004E363D" w:rsidRDefault="004E363D">
            <w:pPr>
              <w:rPr>
                <w:bCs/>
                <w:sz w:val="22"/>
                <w:szCs w:val="22"/>
                <w:lang w:val="en-GB"/>
              </w:rPr>
            </w:pPr>
            <w:r>
              <w:rPr>
                <w:bCs/>
                <w:sz w:val="22"/>
                <w:szCs w:val="22"/>
                <w:lang w:val="en-GB"/>
              </w:rPr>
              <w:t>Vaskulære sygdomme</w:t>
            </w:r>
          </w:p>
        </w:tc>
        <w:tc>
          <w:tcPr>
            <w:tcW w:w="2073" w:type="dxa"/>
            <w:tcBorders>
              <w:top w:val="single" w:sz="4" w:space="0" w:color="auto"/>
              <w:left w:val="single" w:sz="4" w:space="0" w:color="auto"/>
              <w:bottom w:val="single" w:sz="4" w:space="0" w:color="auto"/>
              <w:right w:val="single" w:sz="4" w:space="0" w:color="auto"/>
            </w:tcBorders>
            <w:vAlign w:val="center"/>
            <w:hideMark/>
          </w:tcPr>
          <w:p w14:paraId="207A4F11" w14:textId="77777777" w:rsidR="004E363D" w:rsidRDefault="004E363D">
            <w:pPr>
              <w:rPr>
                <w:bCs/>
                <w:sz w:val="22"/>
                <w:szCs w:val="22"/>
                <w:lang w:val="en-GB"/>
              </w:rPr>
            </w:pPr>
            <w:r>
              <w:rPr>
                <w:bCs/>
                <w:sz w:val="22"/>
                <w:szCs w:val="22"/>
                <w:lang w:val="en-GB"/>
              </w:rPr>
              <w:t>Ikke almindelig</w:t>
            </w:r>
          </w:p>
        </w:tc>
        <w:tc>
          <w:tcPr>
            <w:tcW w:w="4286" w:type="dxa"/>
            <w:tcBorders>
              <w:top w:val="single" w:sz="4" w:space="0" w:color="auto"/>
              <w:left w:val="single" w:sz="4" w:space="0" w:color="auto"/>
              <w:bottom w:val="single" w:sz="4" w:space="0" w:color="auto"/>
              <w:right w:val="single" w:sz="4" w:space="0" w:color="auto"/>
            </w:tcBorders>
            <w:vAlign w:val="center"/>
            <w:hideMark/>
          </w:tcPr>
          <w:p w14:paraId="0F37F32E" w14:textId="77777777" w:rsidR="004E363D" w:rsidRDefault="004E363D">
            <w:pPr>
              <w:rPr>
                <w:sz w:val="22"/>
                <w:szCs w:val="22"/>
                <w:lang w:val="en-GB"/>
              </w:rPr>
            </w:pPr>
            <w:r>
              <w:rPr>
                <w:sz w:val="22"/>
                <w:szCs w:val="22"/>
                <w:lang w:val="en-GB"/>
              </w:rPr>
              <w:t>Hypotension</w:t>
            </w:r>
          </w:p>
        </w:tc>
      </w:tr>
    </w:tbl>
    <w:p w14:paraId="0E687DA0" w14:textId="59A811F4" w:rsidR="004E363D" w:rsidRDefault="004E363D" w:rsidP="00A10294">
      <w:pPr>
        <w:tabs>
          <w:tab w:val="left" w:pos="851"/>
        </w:tabs>
        <w:ind w:left="851"/>
        <w:rPr>
          <w:sz w:val="24"/>
          <w:szCs w:val="24"/>
        </w:rPr>
      </w:pPr>
    </w:p>
    <w:p w14:paraId="26D77B51" w14:textId="77777777" w:rsidR="004E363D" w:rsidRPr="004E363D" w:rsidRDefault="004E363D" w:rsidP="004E363D">
      <w:pPr>
        <w:tabs>
          <w:tab w:val="left" w:pos="851"/>
        </w:tabs>
        <w:ind w:left="851"/>
        <w:rPr>
          <w:sz w:val="24"/>
          <w:szCs w:val="24"/>
        </w:rPr>
      </w:pPr>
      <w:r w:rsidRPr="004E363D">
        <w:rPr>
          <w:sz w:val="24"/>
          <w:szCs w:val="24"/>
        </w:rPr>
        <w:t xml:space="preserve">På grund af den lavere koncentration af Lumobry 0,25 mg/ml, øjendråber, må den potentielle risiko for forekomst af kendte farmakologiske klasseeffekter, især de systemiske virkninger, forventes at være lavere end med brimonidin 0,2 % øjendråber, på </w:t>
      </w:r>
      <w:r w:rsidRPr="004E363D">
        <w:rPr>
          <w:sz w:val="24"/>
          <w:szCs w:val="24"/>
        </w:rPr>
        <w:lastRenderedPageBreak/>
        <w:t>grund af den ubetydelig, systemisk eksponering af Lumobry 0,25 mg/ml øjendråber (se pkt. 5.2).</w:t>
      </w:r>
    </w:p>
    <w:p w14:paraId="33A2AA2B" w14:textId="77777777" w:rsidR="004E363D" w:rsidRPr="004E363D" w:rsidRDefault="004E363D" w:rsidP="004E363D">
      <w:pPr>
        <w:tabs>
          <w:tab w:val="left" w:pos="851"/>
        </w:tabs>
        <w:ind w:left="851"/>
        <w:rPr>
          <w:sz w:val="24"/>
          <w:szCs w:val="24"/>
        </w:rPr>
      </w:pPr>
      <w:r w:rsidRPr="004E363D">
        <w:rPr>
          <w:sz w:val="24"/>
          <w:szCs w:val="24"/>
        </w:rPr>
        <w:t>I kliniske studier hos børn, der blev behandlet med brimonidin øjendråber i højere koncentration (0,2 %) som en del af den medicinske behandling af kongenitalt glaukom, er der rapporteret symptomer på brimonidin-overdosering såsom bevidsthedstab, letargi, somnolens, hypotension, hypotoni, bradykardi, hypotermi, cyanose, bleghed, respiratorisk depression og apnø (se pkt. 4.9). I betragtning af, at koncentrationen af brimonidin på 0,025 % i Lumobry er 8 gange lavere end den, der anvendes til behandling af glaukom (0,2 %), kan det antages, at risikoen for alvorlige bivirkninger relateret til CNS og perifere væv også bør være signifikant lavere for Lumobry.</w:t>
      </w:r>
    </w:p>
    <w:p w14:paraId="02670200" w14:textId="77777777" w:rsidR="004E363D" w:rsidRPr="004E363D" w:rsidRDefault="004E363D" w:rsidP="004E363D">
      <w:pPr>
        <w:tabs>
          <w:tab w:val="left" w:pos="851"/>
        </w:tabs>
        <w:ind w:left="851"/>
        <w:rPr>
          <w:sz w:val="24"/>
          <w:szCs w:val="24"/>
        </w:rPr>
      </w:pPr>
    </w:p>
    <w:p w14:paraId="44C46D53" w14:textId="77777777" w:rsidR="004E363D" w:rsidRPr="004E363D" w:rsidRDefault="004E363D" w:rsidP="004E363D">
      <w:pPr>
        <w:tabs>
          <w:tab w:val="left" w:pos="851"/>
        </w:tabs>
        <w:ind w:left="851"/>
        <w:rPr>
          <w:sz w:val="24"/>
          <w:szCs w:val="24"/>
          <w:u w:val="single"/>
        </w:rPr>
      </w:pPr>
      <w:r w:rsidRPr="004E363D">
        <w:rPr>
          <w:sz w:val="24"/>
          <w:szCs w:val="24"/>
          <w:u w:val="single"/>
        </w:rPr>
        <w:t>Indberetning af formodede bivirkninger</w:t>
      </w:r>
    </w:p>
    <w:p w14:paraId="3EA2F341" w14:textId="77777777" w:rsidR="004E363D" w:rsidRPr="004E363D" w:rsidRDefault="004E363D" w:rsidP="004E363D">
      <w:pPr>
        <w:tabs>
          <w:tab w:val="left" w:pos="851"/>
        </w:tabs>
        <w:ind w:left="851"/>
        <w:rPr>
          <w:sz w:val="24"/>
          <w:szCs w:val="24"/>
        </w:rPr>
      </w:pPr>
      <w:r w:rsidRPr="004E363D">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C5AD6E3" w14:textId="77777777" w:rsidR="004E363D" w:rsidRPr="004E363D" w:rsidRDefault="004E363D" w:rsidP="004E363D">
      <w:pPr>
        <w:tabs>
          <w:tab w:val="left" w:pos="851"/>
        </w:tabs>
        <w:ind w:left="851"/>
        <w:rPr>
          <w:sz w:val="24"/>
          <w:szCs w:val="24"/>
        </w:rPr>
      </w:pPr>
    </w:p>
    <w:p w14:paraId="13F286E1" w14:textId="77777777" w:rsidR="004E363D" w:rsidRPr="004E363D" w:rsidRDefault="004E363D" w:rsidP="004E363D">
      <w:pPr>
        <w:tabs>
          <w:tab w:val="left" w:pos="851"/>
        </w:tabs>
        <w:ind w:left="851"/>
        <w:rPr>
          <w:sz w:val="24"/>
          <w:szCs w:val="24"/>
        </w:rPr>
      </w:pPr>
      <w:r w:rsidRPr="004E363D">
        <w:rPr>
          <w:sz w:val="24"/>
          <w:szCs w:val="24"/>
        </w:rPr>
        <w:t>Lægemiddelstyrelsen</w:t>
      </w:r>
    </w:p>
    <w:p w14:paraId="5A2D12FE" w14:textId="77777777" w:rsidR="004E363D" w:rsidRPr="004E363D" w:rsidRDefault="004E363D" w:rsidP="004E363D">
      <w:pPr>
        <w:tabs>
          <w:tab w:val="left" w:pos="851"/>
        </w:tabs>
        <w:ind w:left="851"/>
        <w:rPr>
          <w:sz w:val="24"/>
          <w:szCs w:val="24"/>
        </w:rPr>
      </w:pPr>
      <w:r w:rsidRPr="004E363D">
        <w:rPr>
          <w:sz w:val="24"/>
          <w:szCs w:val="24"/>
        </w:rPr>
        <w:t>Axel Heides Gade 1</w:t>
      </w:r>
    </w:p>
    <w:p w14:paraId="0E3E8F64" w14:textId="77777777" w:rsidR="004E363D" w:rsidRPr="004E363D" w:rsidRDefault="004E363D" w:rsidP="004E363D">
      <w:pPr>
        <w:tabs>
          <w:tab w:val="left" w:pos="851"/>
        </w:tabs>
        <w:ind w:left="851"/>
        <w:rPr>
          <w:sz w:val="24"/>
          <w:szCs w:val="24"/>
        </w:rPr>
      </w:pPr>
      <w:r w:rsidRPr="004E363D">
        <w:rPr>
          <w:sz w:val="24"/>
          <w:szCs w:val="24"/>
        </w:rPr>
        <w:t>DK-2300 København S</w:t>
      </w:r>
    </w:p>
    <w:p w14:paraId="110F9F23" w14:textId="400DF961" w:rsidR="004E363D" w:rsidRPr="004E363D" w:rsidRDefault="004E363D" w:rsidP="004E363D">
      <w:pPr>
        <w:tabs>
          <w:tab w:val="left" w:pos="851"/>
        </w:tabs>
        <w:ind w:left="851"/>
        <w:rPr>
          <w:sz w:val="24"/>
          <w:szCs w:val="24"/>
        </w:rPr>
      </w:pPr>
      <w:r w:rsidRPr="004E363D">
        <w:rPr>
          <w:sz w:val="24"/>
          <w:szCs w:val="24"/>
        </w:rPr>
        <w:t xml:space="preserve">Websted: </w:t>
      </w:r>
      <w:r w:rsidRPr="00D91272">
        <w:rPr>
          <w:sz w:val="24"/>
          <w:szCs w:val="24"/>
        </w:rPr>
        <w:t>www.meldenbivirkning.dk</w:t>
      </w:r>
      <w:r w:rsidRPr="004E363D">
        <w:rPr>
          <w:sz w:val="24"/>
          <w:szCs w:val="24"/>
        </w:rPr>
        <w:t xml:space="preserve"> </w:t>
      </w:r>
    </w:p>
    <w:p w14:paraId="617B7715" w14:textId="77777777" w:rsidR="004E363D" w:rsidRPr="00A10294" w:rsidRDefault="004E363D" w:rsidP="00A10294">
      <w:pPr>
        <w:tabs>
          <w:tab w:val="left" w:pos="851"/>
        </w:tabs>
        <w:ind w:left="851"/>
        <w:rPr>
          <w:sz w:val="24"/>
          <w:szCs w:val="24"/>
        </w:rPr>
      </w:pPr>
    </w:p>
    <w:p w14:paraId="46DF24A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A8B688E" w14:textId="77777777" w:rsidR="004E363D" w:rsidRPr="004E363D" w:rsidRDefault="004E363D" w:rsidP="004E363D">
      <w:pPr>
        <w:tabs>
          <w:tab w:val="left" w:pos="851"/>
        </w:tabs>
        <w:ind w:left="851"/>
        <w:rPr>
          <w:sz w:val="24"/>
          <w:szCs w:val="24"/>
        </w:rPr>
      </w:pPr>
      <w:r w:rsidRPr="004E363D">
        <w:rPr>
          <w:sz w:val="24"/>
          <w:szCs w:val="24"/>
        </w:rPr>
        <w:t>Der foreligger ingen data vedrørende overdosering hos voksne efter oftalmisk brug uanset dosis.</w:t>
      </w:r>
    </w:p>
    <w:p w14:paraId="7136D7F7" w14:textId="77777777" w:rsidR="004E363D" w:rsidRPr="004E363D" w:rsidRDefault="004E363D" w:rsidP="004E363D">
      <w:pPr>
        <w:tabs>
          <w:tab w:val="left" w:pos="851"/>
        </w:tabs>
        <w:ind w:left="851"/>
        <w:rPr>
          <w:sz w:val="24"/>
          <w:szCs w:val="24"/>
        </w:rPr>
      </w:pPr>
    </w:p>
    <w:p w14:paraId="600815E7" w14:textId="77777777" w:rsidR="004E363D" w:rsidRPr="004E363D" w:rsidRDefault="004E363D" w:rsidP="004E363D">
      <w:pPr>
        <w:tabs>
          <w:tab w:val="left" w:pos="851"/>
        </w:tabs>
        <w:ind w:left="851"/>
        <w:rPr>
          <w:sz w:val="24"/>
          <w:szCs w:val="24"/>
          <w:u w:val="single"/>
        </w:rPr>
      </w:pPr>
      <w:r w:rsidRPr="004E363D">
        <w:rPr>
          <w:sz w:val="24"/>
          <w:szCs w:val="24"/>
          <w:u w:val="single"/>
        </w:rPr>
        <w:t>Systemisk overdosering som resultat af indtagelse ved en fejltagelse</w:t>
      </w:r>
    </w:p>
    <w:p w14:paraId="313D2832" w14:textId="77777777" w:rsidR="004E363D" w:rsidRPr="004E363D" w:rsidRDefault="004E363D" w:rsidP="004E363D">
      <w:pPr>
        <w:tabs>
          <w:tab w:val="left" w:pos="851"/>
        </w:tabs>
        <w:ind w:left="851"/>
        <w:rPr>
          <w:sz w:val="24"/>
          <w:szCs w:val="24"/>
        </w:rPr>
      </w:pPr>
      <w:r w:rsidRPr="004E363D">
        <w:rPr>
          <w:sz w:val="24"/>
          <w:szCs w:val="24"/>
        </w:rPr>
        <w:t xml:space="preserve">Der foreligger yderst begrænsede oplysninger om voksne, der utilsigtet har indtaget brimonidin. Den hidtil eneste indberettede bivirkning var hypotension, der var rapporteret efter indtagelse af 0,2 % opløsning af brimonidin. Ifølge indberetningen efterfulgtes det hypotensive tilfælde af </w:t>
      </w:r>
      <w:r w:rsidRPr="004E363D">
        <w:rPr>
          <w:i/>
          <w:iCs/>
          <w:sz w:val="24"/>
          <w:szCs w:val="24"/>
        </w:rPr>
        <w:t>rebound</w:t>
      </w:r>
      <w:r w:rsidRPr="004E363D">
        <w:rPr>
          <w:sz w:val="24"/>
          <w:szCs w:val="24"/>
        </w:rPr>
        <w:t xml:space="preserve"> hypertension. </w:t>
      </w:r>
    </w:p>
    <w:p w14:paraId="123BC183" w14:textId="77777777" w:rsidR="004E363D" w:rsidRPr="004E363D" w:rsidRDefault="004E363D" w:rsidP="004E363D">
      <w:pPr>
        <w:tabs>
          <w:tab w:val="left" w:pos="851"/>
        </w:tabs>
        <w:ind w:left="851"/>
        <w:rPr>
          <w:sz w:val="24"/>
          <w:szCs w:val="24"/>
        </w:rPr>
      </w:pPr>
    </w:p>
    <w:p w14:paraId="197B6CAC" w14:textId="77777777" w:rsidR="004E363D" w:rsidRPr="004E363D" w:rsidRDefault="004E363D" w:rsidP="004E363D">
      <w:pPr>
        <w:tabs>
          <w:tab w:val="left" w:pos="851"/>
        </w:tabs>
        <w:ind w:left="851"/>
        <w:rPr>
          <w:sz w:val="24"/>
          <w:szCs w:val="24"/>
        </w:rPr>
      </w:pPr>
      <w:r w:rsidRPr="004E363D">
        <w:rPr>
          <w:sz w:val="24"/>
          <w:szCs w:val="24"/>
        </w:rPr>
        <w:t>Behandlingen af en oral overdosering omfatter understøttende og symptomatisk behandling ‒ patientens respiratoriske funktion skal opretholdes.</w:t>
      </w:r>
    </w:p>
    <w:p w14:paraId="2F04D129" w14:textId="77777777" w:rsidR="004E363D" w:rsidRPr="004E363D" w:rsidRDefault="004E363D" w:rsidP="004E363D">
      <w:pPr>
        <w:tabs>
          <w:tab w:val="left" w:pos="851"/>
        </w:tabs>
        <w:ind w:left="851"/>
        <w:rPr>
          <w:sz w:val="24"/>
          <w:szCs w:val="24"/>
        </w:rPr>
      </w:pPr>
    </w:p>
    <w:p w14:paraId="66D8E117" w14:textId="77777777" w:rsidR="004E363D" w:rsidRPr="004E363D" w:rsidRDefault="004E363D" w:rsidP="004E363D">
      <w:pPr>
        <w:tabs>
          <w:tab w:val="left" w:pos="851"/>
        </w:tabs>
        <w:ind w:left="851"/>
        <w:rPr>
          <w:sz w:val="24"/>
          <w:szCs w:val="24"/>
        </w:rPr>
      </w:pPr>
      <w:r w:rsidRPr="004E363D">
        <w:rPr>
          <w:sz w:val="24"/>
          <w:szCs w:val="24"/>
        </w:rPr>
        <w:t>Der er rapporteret tilfælde af oral overdosering med andre alfa-2-agonister, hvilket har medført symptomer som hypotension, asteni, opkastning, letargi, sedation, bradykardi, arytmier, miose, apnø, hypotoni, hypotermi, respirationsdepression og krampeanfald.</w:t>
      </w:r>
    </w:p>
    <w:p w14:paraId="29402F56" w14:textId="77777777" w:rsidR="004E363D" w:rsidRPr="004E363D" w:rsidRDefault="004E363D" w:rsidP="004E363D">
      <w:pPr>
        <w:tabs>
          <w:tab w:val="left" w:pos="851"/>
        </w:tabs>
        <w:ind w:left="851"/>
        <w:rPr>
          <w:sz w:val="24"/>
          <w:szCs w:val="24"/>
        </w:rPr>
      </w:pPr>
    </w:p>
    <w:p w14:paraId="1E64B303" w14:textId="77777777" w:rsidR="004E363D" w:rsidRPr="004E363D" w:rsidRDefault="004E363D" w:rsidP="004E363D">
      <w:pPr>
        <w:tabs>
          <w:tab w:val="left" w:pos="851"/>
        </w:tabs>
        <w:ind w:left="851"/>
        <w:rPr>
          <w:sz w:val="24"/>
          <w:szCs w:val="24"/>
          <w:u w:val="single"/>
        </w:rPr>
      </w:pPr>
      <w:r w:rsidRPr="004E363D">
        <w:rPr>
          <w:sz w:val="24"/>
          <w:szCs w:val="24"/>
          <w:u w:val="single"/>
        </w:rPr>
        <w:t>Pædiatrisk population</w:t>
      </w:r>
    </w:p>
    <w:p w14:paraId="1834397B" w14:textId="542608F7" w:rsidR="004E363D" w:rsidRPr="004E363D" w:rsidRDefault="004E363D" w:rsidP="004E363D">
      <w:pPr>
        <w:tabs>
          <w:tab w:val="left" w:pos="851"/>
        </w:tabs>
        <w:ind w:left="851"/>
        <w:rPr>
          <w:sz w:val="24"/>
          <w:szCs w:val="24"/>
        </w:rPr>
      </w:pPr>
      <w:r w:rsidRPr="004E363D">
        <w:rPr>
          <w:sz w:val="24"/>
          <w:szCs w:val="24"/>
        </w:rPr>
        <w:t>Der er rapporteret om alvorlige bivirkninger, efter at børn ved en fejltagelse har indtaget brimonidin 0,2 % opløsning (8 gange højere koncentration end for Lumobry). Børnene fik symptomer på CNS-depression, typisk i form af temporal koma eller nedsat bevidsthedsniveau, letargi, somnolens, hypotoni, bradykardi, hypotermi, bleghed, respirationsdepression og apnø, som krævede indlæggelse på intensiv afdeling med intubering efter behov. Alle børnene opnåede fuldstændig bedring, sædvanligvis i løbet af 6</w:t>
      </w:r>
      <w:r w:rsidR="00926412">
        <w:rPr>
          <w:sz w:val="24"/>
          <w:szCs w:val="24"/>
        </w:rPr>
        <w:t>-</w:t>
      </w:r>
      <w:r w:rsidRPr="004E363D">
        <w:rPr>
          <w:sz w:val="24"/>
          <w:szCs w:val="24"/>
        </w:rPr>
        <w:t>24 timer.</w:t>
      </w:r>
    </w:p>
    <w:p w14:paraId="2C1C3261" w14:textId="77777777" w:rsidR="009260DE" w:rsidRPr="00C84483" w:rsidRDefault="009260DE" w:rsidP="009260DE">
      <w:pPr>
        <w:tabs>
          <w:tab w:val="left" w:pos="851"/>
        </w:tabs>
        <w:ind w:left="851"/>
        <w:rPr>
          <w:sz w:val="24"/>
          <w:szCs w:val="24"/>
        </w:rPr>
      </w:pPr>
    </w:p>
    <w:p w14:paraId="50C58A1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54F0F1C" w14:textId="0E27069E" w:rsidR="009260DE" w:rsidRPr="00C84483" w:rsidRDefault="004E363D" w:rsidP="009260DE">
      <w:pPr>
        <w:tabs>
          <w:tab w:val="left" w:pos="851"/>
        </w:tabs>
        <w:ind w:left="851"/>
        <w:rPr>
          <w:sz w:val="24"/>
          <w:szCs w:val="24"/>
        </w:rPr>
      </w:pPr>
      <w:r>
        <w:rPr>
          <w:sz w:val="24"/>
          <w:szCs w:val="24"/>
        </w:rPr>
        <w:t>B</w:t>
      </w:r>
    </w:p>
    <w:p w14:paraId="050389F4" w14:textId="77777777" w:rsidR="009260DE" w:rsidRPr="00C84483" w:rsidRDefault="009260DE" w:rsidP="009260DE">
      <w:pPr>
        <w:tabs>
          <w:tab w:val="left" w:pos="851"/>
        </w:tabs>
        <w:ind w:left="851"/>
        <w:rPr>
          <w:sz w:val="24"/>
          <w:szCs w:val="24"/>
        </w:rPr>
      </w:pPr>
    </w:p>
    <w:p w14:paraId="73D014E1" w14:textId="77777777" w:rsidR="009260DE" w:rsidRPr="00C84483" w:rsidRDefault="009260DE" w:rsidP="009260DE">
      <w:pPr>
        <w:tabs>
          <w:tab w:val="left" w:pos="851"/>
        </w:tabs>
        <w:ind w:left="851"/>
        <w:rPr>
          <w:sz w:val="24"/>
          <w:szCs w:val="24"/>
        </w:rPr>
      </w:pPr>
    </w:p>
    <w:p w14:paraId="10BDE145" w14:textId="77777777"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5F77CC56" w14:textId="77777777" w:rsidR="009260DE" w:rsidRPr="00C84483" w:rsidRDefault="009260DE" w:rsidP="009260DE">
      <w:pPr>
        <w:tabs>
          <w:tab w:val="left" w:pos="851"/>
        </w:tabs>
        <w:ind w:left="851"/>
        <w:rPr>
          <w:sz w:val="24"/>
          <w:szCs w:val="24"/>
        </w:rPr>
      </w:pPr>
    </w:p>
    <w:p w14:paraId="11E6E8E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93DFDED" w14:textId="2F5465DA" w:rsidR="004E363D" w:rsidRPr="004E363D" w:rsidRDefault="004E363D" w:rsidP="004E363D">
      <w:pPr>
        <w:tabs>
          <w:tab w:val="left" w:pos="851"/>
        </w:tabs>
        <w:ind w:left="851"/>
        <w:rPr>
          <w:sz w:val="24"/>
          <w:szCs w:val="24"/>
        </w:rPr>
      </w:pPr>
      <w:r w:rsidRPr="004E363D">
        <w:rPr>
          <w:sz w:val="24"/>
          <w:szCs w:val="24"/>
        </w:rPr>
        <w:t xml:space="preserve">Farmakoterapeutisk klassifikation: </w:t>
      </w:r>
      <w:r w:rsidRPr="004E363D">
        <w:rPr>
          <w:sz w:val="24"/>
          <w:szCs w:val="24"/>
          <w:lang w:val="fr-LU"/>
        </w:rPr>
        <w:t xml:space="preserve">Oftalmologica, </w:t>
      </w:r>
      <w:r w:rsidR="00926412">
        <w:rPr>
          <w:sz w:val="24"/>
          <w:szCs w:val="24"/>
          <w:lang w:val="fr-LU"/>
        </w:rPr>
        <w:t>b</w:t>
      </w:r>
      <w:r w:rsidRPr="004E363D">
        <w:rPr>
          <w:sz w:val="24"/>
          <w:szCs w:val="24"/>
          <w:lang w:val="fr-LU"/>
        </w:rPr>
        <w:t xml:space="preserve">rimonidin, </w:t>
      </w:r>
      <w:r w:rsidRPr="004E363D">
        <w:rPr>
          <w:sz w:val="24"/>
          <w:szCs w:val="24"/>
        </w:rPr>
        <w:t>ATC-kode: S01GA07</w:t>
      </w:r>
      <w:r w:rsidR="00926412">
        <w:rPr>
          <w:sz w:val="24"/>
          <w:szCs w:val="24"/>
        </w:rPr>
        <w:t>.</w:t>
      </w:r>
    </w:p>
    <w:p w14:paraId="6A435924" w14:textId="77777777" w:rsidR="004E363D" w:rsidRPr="004E363D" w:rsidRDefault="004E363D" w:rsidP="004E363D">
      <w:pPr>
        <w:tabs>
          <w:tab w:val="left" w:pos="851"/>
        </w:tabs>
        <w:ind w:left="851"/>
        <w:rPr>
          <w:sz w:val="24"/>
          <w:szCs w:val="24"/>
        </w:rPr>
      </w:pPr>
    </w:p>
    <w:p w14:paraId="34BFB76F" w14:textId="77777777" w:rsidR="004E363D" w:rsidRPr="004E363D" w:rsidRDefault="004E363D" w:rsidP="004E363D">
      <w:pPr>
        <w:tabs>
          <w:tab w:val="left" w:pos="851"/>
        </w:tabs>
        <w:ind w:left="851"/>
        <w:rPr>
          <w:sz w:val="24"/>
          <w:szCs w:val="24"/>
          <w:u w:val="single"/>
        </w:rPr>
      </w:pPr>
      <w:r w:rsidRPr="004E363D">
        <w:rPr>
          <w:bCs/>
          <w:sz w:val="24"/>
          <w:szCs w:val="24"/>
          <w:u w:val="single"/>
        </w:rPr>
        <w:t>Virkningsmekanisme</w:t>
      </w:r>
      <w:r w:rsidRPr="004E363D">
        <w:rPr>
          <w:sz w:val="24"/>
          <w:szCs w:val="24"/>
          <w:u w:val="single"/>
        </w:rPr>
        <w:t xml:space="preserve"> </w:t>
      </w:r>
    </w:p>
    <w:p w14:paraId="39ECF2BE" w14:textId="77777777" w:rsidR="004E363D" w:rsidRPr="004E363D" w:rsidRDefault="004E363D" w:rsidP="004E363D">
      <w:pPr>
        <w:tabs>
          <w:tab w:val="left" w:pos="851"/>
        </w:tabs>
        <w:ind w:left="851"/>
        <w:rPr>
          <w:sz w:val="24"/>
          <w:szCs w:val="24"/>
        </w:rPr>
      </w:pPr>
      <w:r w:rsidRPr="004E363D">
        <w:rPr>
          <w:sz w:val="24"/>
          <w:szCs w:val="24"/>
        </w:rPr>
        <w:t>Brimonidin er en alfa-2-adrenerg receptoragonist, der virker på sympatiske nerver og forårsager vasokonstriktion. Det er 1000 gange mere selektivt over for alfa-2 adrenoceptorerne end alfa-1 adrenoceptorerne. Alfa-2 adrenoceptorer er til stede både præ- og postsynaptisk i vaskulære væv. Præsynaptiske α</w:t>
      </w:r>
      <w:r w:rsidRPr="004E363D">
        <w:rPr>
          <w:sz w:val="24"/>
          <w:szCs w:val="24"/>
          <w:vertAlign w:val="subscript"/>
        </w:rPr>
        <w:t>2</w:t>
      </w:r>
      <w:r w:rsidRPr="004E363D">
        <w:rPr>
          <w:sz w:val="24"/>
          <w:szCs w:val="24"/>
        </w:rPr>
        <w:t>-adrenoceptorer virker som en negativ feedback-mekanisme; aktivering af disse receptorer hæmmer frigivelsen af noradrenalin. Aktivering af postsynaptiske α</w:t>
      </w:r>
      <w:r w:rsidRPr="004E363D">
        <w:rPr>
          <w:sz w:val="24"/>
          <w:szCs w:val="24"/>
          <w:vertAlign w:val="subscript"/>
        </w:rPr>
        <w:t>2</w:t>
      </w:r>
      <w:r w:rsidRPr="004E363D">
        <w:rPr>
          <w:sz w:val="24"/>
          <w:szCs w:val="24"/>
        </w:rPr>
        <w:t>-adrenoceptorer nedsætter intracellulært cAMP, hvilket fører til vævspecifikke virkninger, herunder vasoaktive virkninger. Brimonidin har vist sig at virke på både præ- og postsynaptiske α</w:t>
      </w:r>
      <w:r w:rsidRPr="004E363D">
        <w:rPr>
          <w:sz w:val="24"/>
          <w:szCs w:val="24"/>
          <w:vertAlign w:val="subscript"/>
        </w:rPr>
        <w:t>2</w:t>
      </w:r>
      <w:r w:rsidRPr="004E363D">
        <w:rPr>
          <w:sz w:val="24"/>
          <w:szCs w:val="24"/>
        </w:rPr>
        <w:t>-adrenoceptorer i strålelegemet for at mediere det intraokulære tryk. Den α</w:t>
      </w:r>
      <w:r w:rsidRPr="004E363D">
        <w:rPr>
          <w:sz w:val="24"/>
          <w:szCs w:val="24"/>
          <w:vertAlign w:val="subscript"/>
        </w:rPr>
        <w:t>2</w:t>
      </w:r>
      <w:r w:rsidRPr="004E363D">
        <w:rPr>
          <w:sz w:val="24"/>
          <w:szCs w:val="24"/>
        </w:rPr>
        <w:t>-adrenoceptor-medierede vasokonstriktion synes primært at forekomme på den venøse side.</w:t>
      </w:r>
    </w:p>
    <w:p w14:paraId="52293F8F" w14:textId="77777777" w:rsidR="004E363D" w:rsidRPr="004E363D" w:rsidRDefault="004E363D" w:rsidP="004E363D">
      <w:pPr>
        <w:tabs>
          <w:tab w:val="left" w:pos="851"/>
        </w:tabs>
        <w:ind w:left="851"/>
        <w:rPr>
          <w:sz w:val="24"/>
          <w:szCs w:val="24"/>
        </w:rPr>
      </w:pPr>
    </w:p>
    <w:p w14:paraId="1378374E" w14:textId="77777777" w:rsidR="004E363D" w:rsidRPr="004E363D" w:rsidRDefault="004E363D" w:rsidP="004E363D">
      <w:pPr>
        <w:tabs>
          <w:tab w:val="left" w:pos="851"/>
        </w:tabs>
        <w:ind w:left="851"/>
        <w:rPr>
          <w:sz w:val="24"/>
          <w:szCs w:val="24"/>
        </w:rPr>
      </w:pPr>
      <w:r w:rsidRPr="004E363D">
        <w:rPr>
          <w:sz w:val="24"/>
          <w:szCs w:val="24"/>
        </w:rPr>
        <w:t>α</w:t>
      </w:r>
      <w:r w:rsidRPr="004E363D">
        <w:rPr>
          <w:sz w:val="24"/>
          <w:szCs w:val="24"/>
          <w:vertAlign w:val="subscript"/>
        </w:rPr>
        <w:t>2</w:t>
      </w:r>
      <w:r w:rsidRPr="004E363D">
        <w:rPr>
          <w:sz w:val="24"/>
          <w:szCs w:val="24"/>
        </w:rPr>
        <w:t>-adrenoceptor-agonisme har vist sig at regulere det intraokulære tryk ved at modulere neurotransmitterfrigivelsen og den ciliær blodkarkonstriktion i strålelegemet i øjet og øge den uveosklerale udstrømning.</w:t>
      </w:r>
    </w:p>
    <w:p w14:paraId="05EE6376" w14:textId="77777777" w:rsidR="004E363D" w:rsidRPr="004E363D" w:rsidRDefault="004E363D" w:rsidP="004E363D">
      <w:pPr>
        <w:tabs>
          <w:tab w:val="left" w:pos="851"/>
        </w:tabs>
        <w:ind w:left="851"/>
        <w:rPr>
          <w:sz w:val="24"/>
          <w:szCs w:val="24"/>
        </w:rPr>
      </w:pPr>
      <w:r w:rsidRPr="004E363D">
        <w:rPr>
          <w:sz w:val="24"/>
          <w:szCs w:val="24"/>
        </w:rPr>
        <w:t>Alfa-2-adrenerge receptorer er blevet påvist i humane konjunktivalbiopsiprøver, hvilket understøtter de vasokonstriktive (blegende) virkninger, der er observeret i konjunktiva.</w:t>
      </w:r>
    </w:p>
    <w:p w14:paraId="256A5B38" w14:textId="77777777" w:rsidR="004E363D" w:rsidRPr="004E363D" w:rsidRDefault="004E363D" w:rsidP="004E363D">
      <w:pPr>
        <w:tabs>
          <w:tab w:val="left" w:pos="851"/>
        </w:tabs>
        <w:ind w:left="851"/>
        <w:rPr>
          <w:sz w:val="24"/>
          <w:szCs w:val="24"/>
          <w:lang w:val="fr-LU"/>
        </w:rPr>
      </w:pPr>
    </w:p>
    <w:p w14:paraId="7C3A3367" w14:textId="77777777" w:rsidR="004E363D" w:rsidRPr="004E363D" w:rsidRDefault="004E363D" w:rsidP="004E363D">
      <w:pPr>
        <w:tabs>
          <w:tab w:val="left" w:pos="851"/>
        </w:tabs>
        <w:ind w:left="851"/>
        <w:rPr>
          <w:sz w:val="24"/>
          <w:szCs w:val="24"/>
          <w:u w:val="single"/>
          <w:lang w:val="fr-LU"/>
        </w:rPr>
      </w:pPr>
      <w:r w:rsidRPr="004E363D">
        <w:rPr>
          <w:sz w:val="24"/>
          <w:szCs w:val="24"/>
          <w:u w:val="single"/>
          <w:lang w:val="fr-LU"/>
        </w:rPr>
        <w:t>Farmakodynamiske virkninger</w:t>
      </w:r>
    </w:p>
    <w:p w14:paraId="5FD3023C" w14:textId="77777777" w:rsidR="004E363D" w:rsidRPr="004E363D" w:rsidRDefault="004E363D" w:rsidP="004E363D">
      <w:pPr>
        <w:tabs>
          <w:tab w:val="left" w:pos="851"/>
        </w:tabs>
        <w:ind w:left="851"/>
        <w:rPr>
          <w:sz w:val="24"/>
          <w:szCs w:val="24"/>
        </w:rPr>
      </w:pPr>
      <w:r w:rsidRPr="004E363D">
        <w:rPr>
          <w:sz w:val="24"/>
          <w:szCs w:val="24"/>
        </w:rPr>
        <w:t>Lumobry 0,25 mg/ml, øjendråber har en hurtigt indsættende virkning til lindring af konjunktival hyperæmi inden for 1 minut og en virkningsvarighed på op til 8 timer.</w:t>
      </w:r>
    </w:p>
    <w:p w14:paraId="3D098F8A" w14:textId="77777777" w:rsidR="004E363D" w:rsidRPr="004E363D" w:rsidRDefault="004E363D" w:rsidP="004E363D">
      <w:pPr>
        <w:tabs>
          <w:tab w:val="left" w:pos="851"/>
        </w:tabs>
        <w:ind w:left="851"/>
        <w:rPr>
          <w:sz w:val="24"/>
          <w:szCs w:val="24"/>
        </w:rPr>
      </w:pPr>
    </w:p>
    <w:p w14:paraId="32D46F82" w14:textId="77777777" w:rsidR="004E363D" w:rsidRPr="004E363D" w:rsidRDefault="004E363D" w:rsidP="004E363D">
      <w:pPr>
        <w:tabs>
          <w:tab w:val="left" w:pos="851"/>
        </w:tabs>
        <w:ind w:left="851"/>
        <w:rPr>
          <w:sz w:val="24"/>
          <w:szCs w:val="24"/>
          <w:u w:val="single"/>
        </w:rPr>
      </w:pPr>
      <w:r w:rsidRPr="004E363D">
        <w:rPr>
          <w:bCs/>
          <w:sz w:val="24"/>
          <w:szCs w:val="24"/>
          <w:u w:val="single"/>
        </w:rPr>
        <w:t>Klinisk virkning og sikkerhed</w:t>
      </w:r>
      <w:r w:rsidRPr="004E363D">
        <w:rPr>
          <w:sz w:val="24"/>
          <w:szCs w:val="24"/>
          <w:u w:val="single"/>
        </w:rPr>
        <w:t xml:space="preserve"> </w:t>
      </w:r>
    </w:p>
    <w:p w14:paraId="1AC6A7EB" w14:textId="77777777" w:rsidR="004E363D" w:rsidRPr="004E363D" w:rsidRDefault="004E363D" w:rsidP="004E363D">
      <w:pPr>
        <w:tabs>
          <w:tab w:val="left" w:pos="851"/>
        </w:tabs>
        <w:ind w:left="851"/>
        <w:rPr>
          <w:sz w:val="24"/>
          <w:szCs w:val="24"/>
        </w:rPr>
      </w:pPr>
      <w:r w:rsidRPr="004E363D">
        <w:rPr>
          <w:sz w:val="24"/>
          <w:szCs w:val="24"/>
        </w:rPr>
        <w:t xml:space="preserve">Kliniske studier med Lumobry 0,25 mg/ml, øjendråber anvendt 4 gange dagligt har vist </w:t>
      </w:r>
      <w:r w:rsidRPr="004E363D">
        <w:rPr>
          <w:i/>
          <w:iCs/>
          <w:sz w:val="24"/>
          <w:szCs w:val="24"/>
        </w:rPr>
        <w:t>superior</w:t>
      </w:r>
      <w:r w:rsidRPr="004E363D">
        <w:rPr>
          <w:sz w:val="24"/>
          <w:szCs w:val="24"/>
        </w:rPr>
        <w:t xml:space="preserve"> effekt overfor placebo med hensyn til reduktion af okulær hyperæmi uden signifikant takyphylaksi. Patienter med isoleret hyperæmi uden underliggende tilstand blev inkluderet i to randomiserede studier. Personerne blev randomiseret 2:1 til brimonidin 0,25 mg/ml (N = 78) eller vehikel (N = 39). Studierne varede henholdsvis 28 dage og 5 uger. Det gennemsnitlige skift i okulær rødme</w:t>
      </w:r>
      <w:r w:rsidRPr="004E363D">
        <w:rPr>
          <w:i/>
          <w:iCs/>
          <w:sz w:val="24"/>
          <w:szCs w:val="24"/>
        </w:rPr>
        <w:t xml:space="preserve">score </w:t>
      </w:r>
      <w:r w:rsidRPr="004E363D">
        <w:rPr>
          <w:sz w:val="24"/>
          <w:szCs w:val="24"/>
        </w:rPr>
        <w:t>var -1,36 point for personer, der fik brimonidin, og -0,24 point for personer, der fik vehikel, målt fra 5 minutter efter administration og op til 240 minutter efter administration.</w:t>
      </w:r>
    </w:p>
    <w:p w14:paraId="5224A61B" w14:textId="77777777" w:rsidR="004E363D" w:rsidRPr="004E363D" w:rsidRDefault="004E363D" w:rsidP="004E363D">
      <w:pPr>
        <w:tabs>
          <w:tab w:val="left" w:pos="851"/>
        </w:tabs>
        <w:ind w:left="851"/>
        <w:rPr>
          <w:sz w:val="24"/>
          <w:szCs w:val="24"/>
        </w:rPr>
      </w:pPr>
      <w:r w:rsidRPr="004E363D">
        <w:rPr>
          <w:sz w:val="24"/>
          <w:szCs w:val="24"/>
        </w:rPr>
        <w:t>Sikkerheden af brimonidin blev evalueret hos 475 personer. Hyppigheden af bivirkninger var sammenlignelig med placebo. Der blev ikke observeret klinisk signifikante ændringer i det intraokulære tryk hos deltagerne i studiet.</w:t>
      </w:r>
    </w:p>
    <w:p w14:paraId="160DC64B" w14:textId="77777777" w:rsidR="009260DE" w:rsidRPr="00C84483" w:rsidRDefault="009260DE" w:rsidP="009260DE">
      <w:pPr>
        <w:tabs>
          <w:tab w:val="left" w:pos="851"/>
        </w:tabs>
        <w:ind w:left="851"/>
        <w:rPr>
          <w:sz w:val="24"/>
          <w:szCs w:val="24"/>
        </w:rPr>
      </w:pPr>
    </w:p>
    <w:p w14:paraId="297CFBC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BF3ADEF" w14:textId="77777777" w:rsidR="00926412" w:rsidRDefault="00926412" w:rsidP="004E363D">
      <w:pPr>
        <w:tabs>
          <w:tab w:val="left" w:pos="851"/>
        </w:tabs>
        <w:ind w:left="851"/>
        <w:rPr>
          <w:sz w:val="24"/>
          <w:szCs w:val="24"/>
          <w:u w:val="single"/>
        </w:rPr>
      </w:pPr>
    </w:p>
    <w:p w14:paraId="1CCB4961" w14:textId="53D4209B" w:rsidR="004E363D" w:rsidRPr="004E363D" w:rsidRDefault="004E363D" w:rsidP="004E363D">
      <w:pPr>
        <w:tabs>
          <w:tab w:val="left" w:pos="851"/>
        </w:tabs>
        <w:ind w:left="851"/>
        <w:rPr>
          <w:sz w:val="24"/>
          <w:szCs w:val="24"/>
        </w:rPr>
      </w:pPr>
      <w:r w:rsidRPr="004E363D">
        <w:rPr>
          <w:sz w:val="24"/>
          <w:szCs w:val="24"/>
          <w:u w:val="single"/>
        </w:rPr>
        <w:t>Absorption</w:t>
      </w:r>
    </w:p>
    <w:p w14:paraId="3DCAD233" w14:textId="77777777" w:rsidR="004E363D" w:rsidRPr="004E363D" w:rsidRDefault="004E363D" w:rsidP="004E363D">
      <w:pPr>
        <w:tabs>
          <w:tab w:val="left" w:pos="851"/>
        </w:tabs>
        <w:ind w:left="851"/>
        <w:rPr>
          <w:sz w:val="24"/>
          <w:szCs w:val="24"/>
        </w:rPr>
      </w:pPr>
      <w:r w:rsidRPr="004E363D">
        <w:rPr>
          <w:sz w:val="24"/>
          <w:szCs w:val="24"/>
        </w:rPr>
        <w:t>Efter okulær administration er den intraokulære absorption hurtig. Efter en enkelt topikal administration af 0,5% brimonidin til kaniner, blev målbare niveauer af brimonidin observeret i alle okulære væv, der blev undersøgt (konjunktiva, cornea, kammervæske, iris, strålelegeme og linser) så hurtigt som 10 minutter efter doseringen.</w:t>
      </w:r>
    </w:p>
    <w:p w14:paraId="28EEBEB4" w14:textId="77777777" w:rsidR="004E363D" w:rsidRPr="004E363D" w:rsidRDefault="004E363D" w:rsidP="004E363D">
      <w:pPr>
        <w:tabs>
          <w:tab w:val="left" w:pos="851"/>
        </w:tabs>
        <w:ind w:left="851"/>
        <w:rPr>
          <w:sz w:val="24"/>
          <w:szCs w:val="24"/>
        </w:rPr>
      </w:pPr>
    </w:p>
    <w:p w14:paraId="6A16C080" w14:textId="77777777" w:rsidR="004E363D" w:rsidRPr="004E363D" w:rsidRDefault="004E363D" w:rsidP="004E363D">
      <w:pPr>
        <w:tabs>
          <w:tab w:val="left" w:pos="851"/>
        </w:tabs>
        <w:ind w:left="851"/>
        <w:rPr>
          <w:sz w:val="24"/>
          <w:szCs w:val="24"/>
        </w:rPr>
      </w:pPr>
      <w:r w:rsidRPr="004E363D">
        <w:rPr>
          <w:sz w:val="24"/>
          <w:szCs w:val="24"/>
        </w:rPr>
        <w:t>Brimonidin er velabsorberet efter oral administration hos mennesker.</w:t>
      </w:r>
    </w:p>
    <w:p w14:paraId="05E3E8C9" w14:textId="77777777" w:rsidR="004E363D" w:rsidRPr="004E363D" w:rsidRDefault="004E363D" w:rsidP="004E363D">
      <w:pPr>
        <w:tabs>
          <w:tab w:val="left" w:pos="851"/>
        </w:tabs>
        <w:ind w:left="851"/>
        <w:rPr>
          <w:sz w:val="24"/>
          <w:szCs w:val="24"/>
        </w:rPr>
      </w:pPr>
      <w:r w:rsidRPr="004E363D">
        <w:rPr>
          <w:sz w:val="24"/>
          <w:szCs w:val="24"/>
        </w:rPr>
        <w:lastRenderedPageBreak/>
        <w:t xml:space="preserve">Efter topikal okulær dosering af Lumobry 0,25 mg/ml øjendråber hos 14 raske frivillige var den systemiske eksponering lavere end den nedre </w:t>
      </w:r>
      <w:r w:rsidRPr="004E363D">
        <w:rPr>
          <w:i/>
          <w:iCs/>
          <w:sz w:val="24"/>
          <w:szCs w:val="24"/>
        </w:rPr>
        <w:t xml:space="preserve">limit of quantification </w:t>
      </w:r>
      <w:r w:rsidRPr="004E363D">
        <w:rPr>
          <w:sz w:val="24"/>
          <w:szCs w:val="24"/>
        </w:rPr>
        <w:t>(LLOQ, dvs. &lt; 0,025 ng/ml) hos alle personer, dog var der én, der viste en C</w:t>
      </w:r>
      <w:r w:rsidRPr="004E363D">
        <w:rPr>
          <w:sz w:val="24"/>
          <w:szCs w:val="24"/>
          <w:vertAlign w:val="subscript"/>
        </w:rPr>
        <w:t>max</w:t>
      </w:r>
      <w:r w:rsidRPr="004E363D">
        <w:rPr>
          <w:sz w:val="24"/>
          <w:szCs w:val="24"/>
        </w:rPr>
        <w:t xml:space="preserve"> på 0,0253 ng/ml.</w:t>
      </w:r>
    </w:p>
    <w:p w14:paraId="13662B48" w14:textId="77777777" w:rsidR="004E363D" w:rsidRPr="004E363D" w:rsidRDefault="004E363D" w:rsidP="004E363D">
      <w:pPr>
        <w:tabs>
          <w:tab w:val="left" w:pos="851"/>
        </w:tabs>
        <w:ind w:left="851"/>
        <w:rPr>
          <w:sz w:val="24"/>
          <w:szCs w:val="24"/>
        </w:rPr>
      </w:pPr>
    </w:p>
    <w:p w14:paraId="51972ED7" w14:textId="77777777" w:rsidR="004E363D" w:rsidRPr="004E363D" w:rsidRDefault="004E363D" w:rsidP="004E363D">
      <w:pPr>
        <w:tabs>
          <w:tab w:val="left" w:pos="851"/>
        </w:tabs>
        <w:ind w:left="851"/>
        <w:rPr>
          <w:sz w:val="24"/>
          <w:szCs w:val="24"/>
        </w:rPr>
      </w:pPr>
      <w:r w:rsidRPr="004E363D">
        <w:rPr>
          <w:sz w:val="24"/>
          <w:szCs w:val="24"/>
          <w:u w:val="single"/>
        </w:rPr>
        <w:t>Fordeling</w:t>
      </w:r>
      <w:r w:rsidRPr="004E363D">
        <w:rPr>
          <w:sz w:val="24"/>
          <w:szCs w:val="24"/>
        </w:rPr>
        <w:t xml:space="preserve"> </w:t>
      </w:r>
    </w:p>
    <w:p w14:paraId="2FECC519" w14:textId="77777777" w:rsidR="004E363D" w:rsidRPr="004E363D" w:rsidRDefault="004E363D" w:rsidP="004E363D">
      <w:pPr>
        <w:tabs>
          <w:tab w:val="left" w:pos="851"/>
        </w:tabs>
        <w:ind w:left="851"/>
        <w:rPr>
          <w:sz w:val="24"/>
          <w:szCs w:val="24"/>
        </w:rPr>
      </w:pPr>
      <w:r w:rsidRPr="004E363D">
        <w:rPr>
          <w:sz w:val="24"/>
          <w:szCs w:val="24"/>
        </w:rPr>
        <w:t xml:space="preserve">Brimonidin er vist at blive distribueret til alle væv efter okulær dosering hos kaniner. Hos mennesker var de gennemsnitlige brimonidin-niveauer opnået i kammervæske-prøver cirka 1 time efter en enkelt 30 μl dråbe af 0,1 % eller 0,15 % brimonidin henholdsvis 59,4 ng/ml eller 95,5 ng/ml. </w:t>
      </w:r>
    </w:p>
    <w:p w14:paraId="29522581" w14:textId="77777777" w:rsidR="004E363D" w:rsidRPr="004E363D" w:rsidRDefault="004E363D" w:rsidP="004E363D">
      <w:pPr>
        <w:tabs>
          <w:tab w:val="left" w:pos="851"/>
        </w:tabs>
        <w:ind w:left="851"/>
        <w:rPr>
          <w:sz w:val="24"/>
          <w:szCs w:val="24"/>
        </w:rPr>
      </w:pPr>
      <w:r w:rsidRPr="004E363D">
        <w:rPr>
          <w:sz w:val="24"/>
          <w:szCs w:val="24"/>
        </w:rPr>
        <w:t>Brimonidin binder til pigment, hvilket resulterer i højere niveauer i pigmenteret væv (f.eks. iris). Dog tyder langvarige kliniske studier hos mennesker på, at der ingen bivirkninger er forbundet med binding til pigmenteret væv.</w:t>
      </w:r>
    </w:p>
    <w:p w14:paraId="4F757C09" w14:textId="77777777" w:rsidR="004E363D" w:rsidRPr="004E363D" w:rsidRDefault="004E363D" w:rsidP="004E363D">
      <w:pPr>
        <w:tabs>
          <w:tab w:val="left" w:pos="851"/>
        </w:tabs>
        <w:ind w:left="851"/>
        <w:rPr>
          <w:sz w:val="24"/>
          <w:szCs w:val="24"/>
        </w:rPr>
      </w:pPr>
      <w:r w:rsidRPr="004E363D">
        <w:rPr>
          <w:sz w:val="24"/>
          <w:szCs w:val="24"/>
        </w:rPr>
        <w:t>Efter okulær administration af en 0,2 % opløsning to gange dagligt i 10 dage er der rapporteret lave plasmakoncentrationer (gennemsnitlig C</w:t>
      </w:r>
      <w:r w:rsidRPr="004E363D">
        <w:rPr>
          <w:sz w:val="24"/>
          <w:szCs w:val="24"/>
          <w:vertAlign w:val="subscript"/>
        </w:rPr>
        <w:t>max</w:t>
      </w:r>
      <w:r w:rsidRPr="004E363D">
        <w:rPr>
          <w:sz w:val="24"/>
          <w:szCs w:val="24"/>
        </w:rPr>
        <w:t xml:space="preserve"> 0,06 ng/ml).</w:t>
      </w:r>
      <w:r w:rsidRPr="004E363D">
        <w:rPr>
          <w:sz w:val="24"/>
          <w:szCs w:val="24"/>
          <w:lang w:val="fr-LU"/>
        </w:rPr>
        <w:t xml:space="preserve"> </w:t>
      </w:r>
      <w:r w:rsidRPr="004E363D">
        <w:rPr>
          <w:sz w:val="24"/>
          <w:szCs w:val="24"/>
        </w:rPr>
        <w:t>Der er en lille ophobning i blodet efter flere applikationer (to gange dagligt i 10 dage). AUC</w:t>
      </w:r>
      <w:r w:rsidRPr="004E363D">
        <w:rPr>
          <w:sz w:val="24"/>
          <w:szCs w:val="24"/>
          <w:vertAlign w:val="subscript"/>
        </w:rPr>
        <w:t>0-12t</w:t>
      </w:r>
      <w:r w:rsidRPr="004E363D">
        <w:rPr>
          <w:sz w:val="24"/>
          <w:szCs w:val="24"/>
        </w:rPr>
        <w:t xml:space="preserve"> ved </w:t>
      </w:r>
      <w:r w:rsidRPr="004E363D">
        <w:rPr>
          <w:i/>
          <w:iCs/>
          <w:sz w:val="24"/>
          <w:szCs w:val="24"/>
        </w:rPr>
        <w:t>steady state</w:t>
      </w:r>
      <w:r w:rsidRPr="004E363D">
        <w:rPr>
          <w:sz w:val="24"/>
          <w:szCs w:val="24"/>
        </w:rPr>
        <w:t xml:space="preserve"> er rapporteret som 0,31 ng*t/ml sammenlignet med 0,23 ng*t/ml efter den initiale dosis. Den gennemsnitlige halveringstid i den systemiske cirkulation var ca. 3 timer efter topikal dosering til mennesker. Brimonidins binding til plasmaproteiner efter topikal dosering til mennesker er ca. 29 %.</w:t>
      </w:r>
    </w:p>
    <w:p w14:paraId="69244B9F" w14:textId="77777777" w:rsidR="004E363D" w:rsidRPr="004E363D" w:rsidRDefault="004E363D" w:rsidP="004E363D">
      <w:pPr>
        <w:tabs>
          <w:tab w:val="left" w:pos="851"/>
        </w:tabs>
        <w:ind w:left="851"/>
        <w:rPr>
          <w:sz w:val="24"/>
          <w:szCs w:val="24"/>
        </w:rPr>
      </w:pPr>
    </w:p>
    <w:p w14:paraId="3075F13F" w14:textId="77777777" w:rsidR="004E363D" w:rsidRPr="004E363D" w:rsidRDefault="004E363D" w:rsidP="004E363D">
      <w:pPr>
        <w:tabs>
          <w:tab w:val="left" w:pos="851"/>
        </w:tabs>
        <w:ind w:left="851"/>
        <w:rPr>
          <w:sz w:val="24"/>
          <w:szCs w:val="24"/>
        </w:rPr>
      </w:pPr>
      <w:r w:rsidRPr="004E363D">
        <w:rPr>
          <w:sz w:val="24"/>
          <w:szCs w:val="24"/>
          <w:u w:val="single"/>
        </w:rPr>
        <w:t>Biotransformation</w:t>
      </w:r>
      <w:r w:rsidRPr="004E363D">
        <w:rPr>
          <w:sz w:val="24"/>
          <w:szCs w:val="24"/>
        </w:rPr>
        <w:t xml:space="preserve"> </w:t>
      </w:r>
    </w:p>
    <w:p w14:paraId="37B4D99A" w14:textId="77777777" w:rsidR="004E363D" w:rsidRPr="004E363D" w:rsidRDefault="004E363D" w:rsidP="004E363D">
      <w:pPr>
        <w:tabs>
          <w:tab w:val="left" w:pos="851"/>
        </w:tabs>
        <w:ind w:left="851"/>
        <w:rPr>
          <w:sz w:val="24"/>
          <w:szCs w:val="24"/>
        </w:rPr>
      </w:pPr>
      <w:r w:rsidRPr="004E363D">
        <w:rPr>
          <w:i/>
          <w:sz w:val="24"/>
          <w:szCs w:val="24"/>
        </w:rPr>
        <w:t>In-vitro</w:t>
      </w:r>
      <w:r w:rsidRPr="004E363D">
        <w:rPr>
          <w:sz w:val="24"/>
          <w:szCs w:val="24"/>
        </w:rPr>
        <w:t xml:space="preserve"> studier under anvendelse af dyre- og menneskelever indikerer, at metabolismen i stor udstrækning medieres af aldehydoxidase og cytokrom P450. Dog synes den systemiske elimination fortrinsvis at være hepatisk metabolisme.</w:t>
      </w:r>
    </w:p>
    <w:p w14:paraId="300CA903" w14:textId="77777777" w:rsidR="004E363D" w:rsidRPr="004E363D" w:rsidRDefault="004E363D" w:rsidP="004E363D">
      <w:pPr>
        <w:tabs>
          <w:tab w:val="left" w:pos="851"/>
        </w:tabs>
        <w:ind w:left="851"/>
        <w:rPr>
          <w:sz w:val="24"/>
          <w:szCs w:val="24"/>
        </w:rPr>
      </w:pPr>
    </w:p>
    <w:p w14:paraId="70BC972D" w14:textId="77777777" w:rsidR="004E363D" w:rsidRPr="004E363D" w:rsidRDefault="004E363D" w:rsidP="004E363D">
      <w:pPr>
        <w:tabs>
          <w:tab w:val="left" w:pos="851"/>
        </w:tabs>
        <w:ind w:left="851"/>
        <w:rPr>
          <w:sz w:val="24"/>
          <w:szCs w:val="24"/>
        </w:rPr>
      </w:pPr>
      <w:r w:rsidRPr="004E363D">
        <w:rPr>
          <w:sz w:val="24"/>
          <w:szCs w:val="24"/>
          <w:u w:val="single"/>
        </w:rPr>
        <w:t>Elimination</w:t>
      </w:r>
      <w:r w:rsidRPr="004E363D">
        <w:rPr>
          <w:sz w:val="24"/>
          <w:szCs w:val="24"/>
        </w:rPr>
        <w:t xml:space="preserve"> </w:t>
      </w:r>
    </w:p>
    <w:p w14:paraId="0E00974E" w14:textId="77777777" w:rsidR="004E363D" w:rsidRPr="004E363D" w:rsidRDefault="004E363D" w:rsidP="004E363D">
      <w:pPr>
        <w:tabs>
          <w:tab w:val="left" w:pos="851"/>
        </w:tabs>
        <w:ind w:left="851"/>
        <w:rPr>
          <w:sz w:val="24"/>
          <w:szCs w:val="24"/>
        </w:rPr>
      </w:pPr>
      <w:r w:rsidRPr="004E363D">
        <w:rPr>
          <w:sz w:val="24"/>
          <w:szCs w:val="24"/>
        </w:rPr>
        <w:t xml:space="preserve">Efter oral administration til mennesker udskilles brimonidin hurtigt. Størstedelen af dosis (ca. 75 %) udskilles hurtigt som metabolitter i urinen i løbet af 5 dage. Intet uomdannet stof er påvist i urinen. </w:t>
      </w:r>
    </w:p>
    <w:p w14:paraId="47B94BD9" w14:textId="77777777" w:rsidR="004E363D" w:rsidRPr="004E363D" w:rsidRDefault="004E363D" w:rsidP="004E363D">
      <w:pPr>
        <w:tabs>
          <w:tab w:val="left" w:pos="851"/>
        </w:tabs>
        <w:ind w:left="851"/>
        <w:rPr>
          <w:sz w:val="24"/>
          <w:szCs w:val="24"/>
        </w:rPr>
      </w:pPr>
    </w:p>
    <w:p w14:paraId="2A9FACBC" w14:textId="77777777" w:rsidR="004E363D" w:rsidRPr="004E363D" w:rsidRDefault="004E363D" w:rsidP="004E363D">
      <w:pPr>
        <w:tabs>
          <w:tab w:val="left" w:pos="851"/>
        </w:tabs>
        <w:ind w:left="851"/>
        <w:rPr>
          <w:sz w:val="24"/>
          <w:szCs w:val="24"/>
          <w:u w:val="single"/>
        </w:rPr>
      </w:pPr>
      <w:r w:rsidRPr="004E363D">
        <w:rPr>
          <w:sz w:val="24"/>
          <w:szCs w:val="24"/>
          <w:u w:val="single"/>
        </w:rPr>
        <w:t xml:space="preserve">Linearitet/ikke-linearitet </w:t>
      </w:r>
    </w:p>
    <w:p w14:paraId="4AB26729" w14:textId="77777777" w:rsidR="004E363D" w:rsidRPr="004E363D" w:rsidRDefault="004E363D" w:rsidP="004E363D">
      <w:pPr>
        <w:tabs>
          <w:tab w:val="left" w:pos="851"/>
        </w:tabs>
        <w:ind w:left="851"/>
        <w:rPr>
          <w:sz w:val="24"/>
          <w:szCs w:val="24"/>
        </w:rPr>
      </w:pPr>
      <w:r w:rsidRPr="004E363D">
        <w:rPr>
          <w:sz w:val="24"/>
          <w:szCs w:val="24"/>
        </w:rPr>
        <w:t>Der foreligger begrænsede data for brimonidintartrats farmakokinetik ved okulær applikation, og der foreligger ingen oplysninger om linearitet eller ikke-linearitet.</w:t>
      </w:r>
    </w:p>
    <w:p w14:paraId="050D7EB5" w14:textId="77777777" w:rsidR="009260DE" w:rsidRPr="00C84483" w:rsidRDefault="009260DE" w:rsidP="009260DE">
      <w:pPr>
        <w:tabs>
          <w:tab w:val="left" w:pos="851"/>
        </w:tabs>
        <w:ind w:left="851"/>
        <w:rPr>
          <w:sz w:val="24"/>
          <w:szCs w:val="24"/>
        </w:rPr>
      </w:pPr>
    </w:p>
    <w:p w14:paraId="71C2ABE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3D70628" w14:textId="77777777" w:rsidR="004E363D" w:rsidRPr="004E363D" w:rsidRDefault="004E363D" w:rsidP="004E363D">
      <w:pPr>
        <w:tabs>
          <w:tab w:val="left" w:pos="851"/>
        </w:tabs>
        <w:ind w:left="851"/>
        <w:rPr>
          <w:sz w:val="24"/>
          <w:szCs w:val="24"/>
        </w:rPr>
      </w:pPr>
      <w:r w:rsidRPr="004E363D">
        <w:rPr>
          <w:sz w:val="24"/>
          <w:szCs w:val="24"/>
        </w:rPr>
        <w:t>Publicerede non-kliniske data viser ingen speciel risiko for mennesker vurderet ud fra konventionelle studier af sikkerhedsfarmakologi, toksicitet efter gentagne doser, genotoksicitet, carcinogent potentiale samt reproduktions- og udviklingstoksicitet.</w:t>
      </w:r>
    </w:p>
    <w:p w14:paraId="0B13E375" w14:textId="77777777" w:rsidR="004E363D" w:rsidRPr="004E363D" w:rsidRDefault="004E363D" w:rsidP="004E363D">
      <w:pPr>
        <w:tabs>
          <w:tab w:val="left" w:pos="851"/>
        </w:tabs>
        <w:ind w:left="851"/>
        <w:rPr>
          <w:sz w:val="24"/>
          <w:szCs w:val="24"/>
        </w:rPr>
      </w:pPr>
    </w:p>
    <w:p w14:paraId="1509B874" w14:textId="77777777" w:rsidR="004E363D" w:rsidRPr="004E363D" w:rsidRDefault="004E363D" w:rsidP="004E363D">
      <w:pPr>
        <w:tabs>
          <w:tab w:val="left" w:pos="851"/>
        </w:tabs>
        <w:ind w:left="851"/>
        <w:rPr>
          <w:sz w:val="24"/>
          <w:szCs w:val="24"/>
        </w:rPr>
      </w:pPr>
      <w:r w:rsidRPr="004E363D">
        <w:rPr>
          <w:sz w:val="24"/>
          <w:szCs w:val="24"/>
        </w:rPr>
        <w:t xml:space="preserve">Der foreligger ingen data vedrørende virkningen af brimonidin, der appliceres okulært, på graviditet hos dyr. Det vides heller ikke, om brimonidin udskilles i dyremælk efter okulær administration. </w:t>
      </w:r>
    </w:p>
    <w:p w14:paraId="30F5EF6A" w14:textId="77777777" w:rsidR="004E363D" w:rsidRPr="004E363D" w:rsidRDefault="004E363D" w:rsidP="004E363D">
      <w:pPr>
        <w:tabs>
          <w:tab w:val="left" w:pos="851"/>
        </w:tabs>
        <w:ind w:left="851"/>
        <w:rPr>
          <w:sz w:val="24"/>
          <w:szCs w:val="24"/>
        </w:rPr>
      </w:pPr>
    </w:p>
    <w:p w14:paraId="65EE94F7" w14:textId="77777777" w:rsidR="004E363D" w:rsidRPr="004E363D" w:rsidRDefault="004E363D" w:rsidP="004E363D">
      <w:pPr>
        <w:tabs>
          <w:tab w:val="left" w:pos="851"/>
        </w:tabs>
        <w:ind w:left="851"/>
        <w:rPr>
          <w:sz w:val="24"/>
          <w:szCs w:val="24"/>
        </w:rPr>
      </w:pPr>
      <w:r w:rsidRPr="004E363D">
        <w:rPr>
          <w:sz w:val="24"/>
          <w:szCs w:val="24"/>
        </w:rPr>
        <w:t>Hos kaniner har det vist sig, at brimonidintartrat (oralt), ved plasmaniveauer, der er højere end dem, der opnås under behandling hos mennesker, forårsager øget præimplantationstab og nedsat vækst postnatalt. Stoffet udskilles i mælken hos den diegivende rotte.</w:t>
      </w:r>
    </w:p>
    <w:p w14:paraId="0F416A0D" w14:textId="77777777" w:rsidR="009260DE" w:rsidRPr="00C84483" w:rsidRDefault="009260DE" w:rsidP="009260DE">
      <w:pPr>
        <w:tabs>
          <w:tab w:val="left" w:pos="851"/>
        </w:tabs>
        <w:ind w:left="851"/>
        <w:rPr>
          <w:sz w:val="24"/>
          <w:szCs w:val="24"/>
        </w:rPr>
      </w:pPr>
    </w:p>
    <w:p w14:paraId="5B8E341C" w14:textId="1E645237" w:rsidR="00926412" w:rsidRDefault="00926412">
      <w:pPr>
        <w:rPr>
          <w:sz w:val="24"/>
          <w:szCs w:val="24"/>
        </w:rPr>
      </w:pPr>
      <w:r>
        <w:rPr>
          <w:sz w:val="24"/>
          <w:szCs w:val="24"/>
        </w:rPr>
        <w:br w:type="page"/>
      </w:r>
    </w:p>
    <w:p w14:paraId="09B2B7CA" w14:textId="77777777" w:rsidR="009260DE" w:rsidRPr="00C84483" w:rsidRDefault="009260DE" w:rsidP="009260DE">
      <w:pPr>
        <w:tabs>
          <w:tab w:val="left" w:pos="851"/>
        </w:tabs>
        <w:ind w:left="851"/>
        <w:rPr>
          <w:sz w:val="24"/>
          <w:szCs w:val="24"/>
        </w:rPr>
      </w:pPr>
    </w:p>
    <w:p w14:paraId="797209A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6E88889" w14:textId="77777777" w:rsidR="009260DE" w:rsidRPr="00BA09F1" w:rsidRDefault="009260DE" w:rsidP="009260DE">
      <w:pPr>
        <w:tabs>
          <w:tab w:val="left" w:pos="851"/>
        </w:tabs>
        <w:ind w:left="851"/>
        <w:rPr>
          <w:sz w:val="24"/>
          <w:szCs w:val="24"/>
        </w:rPr>
      </w:pPr>
    </w:p>
    <w:p w14:paraId="41CAACD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902DE4E" w14:textId="77777777" w:rsidR="004E363D" w:rsidRPr="004E363D" w:rsidRDefault="004E363D" w:rsidP="004E363D">
      <w:pPr>
        <w:tabs>
          <w:tab w:val="left" w:pos="851"/>
        </w:tabs>
        <w:ind w:left="851"/>
        <w:rPr>
          <w:sz w:val="24"/>
          <w:szCs w:val="24"/>
        </w:rPr>
      </w:pPr>
      <w:r w:rsidRPr="004E363D">
        <w:rPr>
          <w:sz w:val="24"/>
          <w:szCs w:val="24"/>
        </w:rPr>
        <w:t>Glycerol E422</w:t>
      </w:r>
    </w:p>
    <w:p w14:paraId="5E174348" w14:textId="77777777" w:rsidR="004E363D" w:rsidRPr="004E363D" w:rsidRDefault="004E363D" w:rsidP="004E363D">
      <w:pPr>
        <w:tabs>
          <w:tab w:val="left" w:pos="851"/>
        </w:tabs>
        <w:ind w:left="851"/>
        <w:rPr>
          <w:sz w:val="24"/>
          <w:szCs w:val="24"/>
        </w:rPr>
      </w:pPr>
      <w:r w:rsidRPr="004E363D">
        <w:rPr>
          <w:sz w:val="24"/>
          <w:szCs w:val="24"/>
        </w:rPr>
        <w:t>Borax E285</w:t>
      </w:r>
    </w:p>
    <w:p w14:paraId="3D7CFF0B" w14:textId="77777777" w:rsidR="004E363D" w:rsidRPr="004E363D" w:rsidRDefault="004E363D" w:rsidP="004E363D">
      <w:pPr>
        <w:tabs>
          <w:tab w:val="left" w:pos="851"/>
        </w:tabs>
        <w:ind w:left="851"/>
        <w:rPr>
          <w:sz w:val="24"/>
          <w:szCs w:val="24"/>
        </w:rPr>
      </w:pPr>
      <w:r w:rsidRPr="004E363D">
        <w:rPr>
          <w:sz w:val="24"/>
          <w:szCs w:val="24"/>
        </w:rPr>
        <w:t>Borsyre E284</w:t>
      </w:r>
    </w:p>
    <w:p w14:paraId="7F511352" w14:textId="77777777" w:rsidR="004E363D" w:rsidRPr="004E363D" w:rsidRDefault="004E363D" w:rsidP="004E363D">
      <w:pPr>
        <w:tabs>
          <w:tab w:val="left" w:pos="851"/>
        </w:tabs>
        <w:ind w:left="851"/>
        <w:rPr>
          <w:sz w:val="24"/>
          <w:szCs w:val="24"/>
        </w:rPr>
      </w:pPr>
      <w:r w:rsidRPr="004E363D">
        <w:rPr>
          <w:sz w:val="24"/>
          <w:szCs w:val="24"/>
        </w:rPr>
        <w:t>Kaliumchlorid E508</w:t>
      </w:r>
    </w:p>
    <w:p w14:paraId="645F382F" w14:textId="77777777" w:rsidR="004E363D" w:rsidRPr="004E363D" w:rsidRDefault="004E363D" w:rsidP="004E363D">
      <w:pPr>
        <w:tabs>
          <w:tab w:val="left" w:pos="851"/>
        </w:tabs>
        <w:ind w:left="851"/>
        <w:rPr>
          <w:sz w:val="24"/>
          <w:szCs w:val="24"/>
        </w:rPr>
      </w:pPr>
      <w:r w:rsidRPr="004E363D">
        <w:rPr>
          <w:sz w:val="24"/>
          <w:szCs w:val="24"/>
        </w:rPr>
        <w:t>Calciumchloriddihydrat</w:t>
      </w:r>
    </w:p>
    <w:p w14:paraId="33FB459B" w14:textId="77777777" w:rsidR="004E363D" w:rsidRPr="004E363D" w:rsidRDefault="004E363D" w:rsidP="004E363D">
      <w:pPr>
        <w:tabs>
          <w:tab w:val="left" w:pos="851"/>
        </w:tabs>
        <w:ind w:left="851"/>
        <w:rPr>
          <w:sz w:val="24"/>
          <w:szCs w:val="24"/>
        </w:rPr>
      </w:pPr>
      <w:r w:rsidRPr="004E363D">
        <w:rPr>
          <w:sz w:val="24"/>
          <w:szCs w:val="24"/>
        </w:rPr>
        <w:t>Natriumchlorid</w:t>
      </w:r>
    </w:p>
    <w:p w14:paraId="49AA1FAD" w14:textId="77777777" w:rsidR="004E363D" w:rsidRPr="004E363D" w:rsidRDefault="004E363D" w:rsidP="004E363D">
      <w:pPr>
        <w:tabs>
          <w:tab w:val="left" w:pos="851"/>
        </w:tabs>
        <w:ind w:left="851"/>
        <w:rPr>
          <w:sz w:val="24"/>
          <w:szCs w:val="24"/>
        </w:rPr>
      </w:pPr>
      <w:r w:rsidRPr="004E363D">
        <w:rPr>
          <w:sz w:val="24"/>
          <w:szCs w:val="24"/>
        </w:rPr>
        <w:t>Benzalkoniumchlorid (BAK) 25 % opløsning</w:t>
      </w:r>
    </w:p>
    <w:p w14:paraId="1E8E1DEB" w14:textId="77777777" w:rsidR="004E363D" w:rsidRPr="004E363D" w:rsidRDefault="004E363D" w:rsidP="004E363D">
      <w:pPr>
        <w:tabs>
          <w:tab w:val="left" w:pos="851"/>
        </w:tabs>
        <w:ind w:left="851"/>
        <w:rPr>
          <w:sz w:val="24"/>
          <w:szCs w:val="24"/>
        </w:rPr>
      </w:pPr>
      <w:r w:rsidRPr="004E363D">
        <w:rPr>
          <w:sz w:val="24"/>
          <w:szCs w:val="24"/>
        </w:rPr>
        <w:t xml:space="preserve">Natriumhydroxid (til pH-justering) </w:t>
      </w:r>
      <w:bookmarkStart w:id="3" w:name="_Hlk160112577"/>
      <w:r w:rsidRPr="004E363D">
        <w:rPr>
          <w:sz w:val="24"/>
          <w:szCs w:val="24"/>
        </w:rPr>
        <w:t>E524</w:t>
      </w:r>
      <w:bookmarkEnd w:id="3"/>
    </w:p>
    <w:p w14:paraId="4D1E93B1" w14:textId="77777777" w:rsidR="004E363D" w:rsidRPr="004E363D" w:rsidRDefault="004E363D" w:rsidP="004E363D">
      <w:pPr>
        <w:tabs>
          <w:tab w:val="left" w:pos="851"/>
        </w:tabs>
        <w:ind w:left="851"/>
        <w:rPr>
          <w:sz w:val="24"/>
          <w:szCs w:val="24"/>
        </w:rPr>
      </w:pPr>
      <w:r w:rsidRPr="004E363D">
        <w:rPr>
          <w:sz w:val="24"/>
          <w:szCs w:val="24"/>
        </w:rPr>
        <w:t>Saltsyre (til pH-justering) E507</w:t>
      </w:r>
    </w:p>
    <w:p w14:paraId="2914C68B" w14:textId="77777777" w:rsidR="004E363D" w:rsidRPr="004E363D" w:rsidRDefault="004E363D" w:rsidP="004E363D">
      <w:pPr>
        <w:tabs>
          <w:tab w:val="left" w:pos="851"/>
        </w:tabs>
        <w:ind w:left="851"/>
        <w:rPr>
          <w:sz w:val="24"/>
          <w:szCs w:val="24"/>
        </w:rPr>
      </w:pPr>
      <w:r w:rsidRPr="004E363D">
        <w:rPr>
          <w:sz w:val="24"/>
          <w:szCs w:val="24"/>
        </w:rPr>
        <w:t>Vand til injektionsvæsker</w:t>
      </w:r>
    </w:p>
    <w:p w14:paraId="1D1182C9" w14:textId="77777777" w:rsidR="004E363D" w:rsidRPr="004E363D" w:rsidRDefault="004E363D" w:rsidP="004E363D">
      <w:pPr>
        <w:tabs>
          <w:tab w:val="left" w:pos="851"/>
        </w:tabs>
        <w:ind w:left="851"/>
        <w:rPr>
          <w:sz w:val="24"/>
          <w:szCs w:val="24"/>
        </w:rPr>
      </w:pPr>
    </w:p>
    <w:p w14:paraId="15C0BDC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5CEA520" w14:textId="77777777" w:rsidR="004E363D" w:rsidRPr="004E363D" w:rsidRDefault="004E363D" w:rsidP="004E363D">
      <w:pPr>
        <w:tabs>
          <w:tab w:val="left" w:pos="851"/>
        </w:tabs>
        <w:ind w:left="851"/>
        <w:rPr>
          <w:sz w:val="24"/>
          <w:szCs w:val="24"/>
        </w:rPr>
      </w:pPr>
      <w:r w:rsidRPr="004E363D">
        <w:rPr>
          <w:sz w:val="24"/>
          <w:szCs w:val="24"/>
        </w:rPr>
        <w:t>Ikke relevant.</w:t>
      </w:r>
    </w:p>
    <w:p w14:paraId="3CCACE5B" w14:textId="77777777" w:rsidR="009260DE" w:rsidRPr="00C84483" w:rsidRDefault="009260DE" w:rsidP="009260DE">
      <w:pPr>
        <w:tabs>
          <w:tab w:val="left" w:pos="851"/>
        </w:tabs>
        <w:ind w:left="851"/>
        <w:rPr>
          <w:sz w:val="24"/>
          <w:szCs w:val="24"/>
        </w:rPr>
      </w:pPr>
    </w:p>
    <w:p w14:paraId="4B5B3D2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822D304" w14:textId="50C52AD9" w:rsidR="004E363D" w:rsidRPr="004E363D" w:rsidRDefault="00926412" w:rsidP="004E363D">
      <w:pPr>
        <w:tabs>
          <w:tab w:val="left" w:pos="851"/>
        </w:tabs>
        <w:ind w:left="851"/>
        <w:rPr>
          <w:sz w:val="24"/>
          <w:szCs w:val="24"/>
        </w:rPr>
      </w:pPr>
      <w:r>
        <w:rPr>
          <w:sz w:val="24"/>
          <w:szCs w:val="24"/>
        </w:rPr>
        <w:t xml:space="preserve">Uåbnet: </w:t>
      </w:r>
      <w:r w:rsidR="004E363D" w:rsidRPr="004E363D">
        <w:rPr>
          <w:sz w:val="24"/>
          <w:szCs w:val="24"/>
        </w:rPr>
        <w:t>2 år</w:t>
      </w:r>
      <w:r>
        <w:rPr>
          <w:sz w:val="24"/>
          <w:szCs w:val="24"/>
        </w:rPr>
        <w:t>.</w:t>
      </w:r>
    </w:p>
    <w:p w14:paraId="4B062934" w14:textId="5891059D" w:rsidR="004E363D" w:rsidRPr="004E363D" w:rsidRDefault="00926412" w:rsidP="004E363D">
      <w:pPr>
        <w:tabs>
          <w:tab w:val="left" w:pos="851"/>
        </w:tabs>
        <w:ind w:left="851"/>
        <w:rPr>
          <w:sz w:val="24"/>
          <w:szCs w:val="24"/>
          <w:lang w:val="fr-LU"/>
        </w:rPr>
      </w:pPr>
      <w:r>
        <w:rPr>
          <w:sz w:val="24"/>
          <w:szCs w:val="24"/>
        </w:rPr>
        <w:t xml:space="preserve">Efter første åbning: </w:t>
      </w:r>
      <w:r w:rsidR="004E363D" w:rsidRPr="004E363D">
        <w:rPr>
          <w:sz w:val="24"/>
          <w:szCs w:val="24"/>
        </w:rPr>
        <w:t>Kasseres 121 dage efter første åbning.</w:t>
      </w:r>
    </w:p>
    <w:p w14:paraId="4667872F" w14:textId="77777777" w:rsidR="004E363D" w:rsidRPr="004E363D" w:rsidRDefault="004E363D" w:rsidP="004E363D">
      <w:pPr>
        <w:tabs>
          <w:tab w:val="left" w:pos="851"/>
        </w:tabs>
        <w:ind w:left="851"/>
        <w:rPr>
          <w:sz w:val="24"/>
          <w:szCs w:val="24"/>
        </w:rPr>
      </w:pPr>
    </w:p>
    <w:p w14:paraId="06D8AF4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A766F4C" w14:textId="77777777" w:rsidR="004E363D" w:rsidRPr="004E363D" w:rsidRDefault="004E363D" w:rsidP="004E363D">
      <w:pPr>
        <w:tabs>
          <w:tab w:val="left" w:pos="851"/>
        </w:tabs>
        <w:ind w:left="851"/>
        <w:rPr>
          <w:sz w:val="24"/>
          <w:szCs w:val="24"/>
          <w:lang w:val="fr-LU"/>
        </w:rPr>
      </w:pPr>
      <w:r w:rsidRPr="004E363D">
        <w:rPr>
          <w:sz w:val="24"/>
          <w:szCs w:val="24"/>
        </w:rPr>
        <w:t>Må ikke opbevares ved temperaturer over 25 °C.</w:t>
      </w:r>
    </w:p>
    <w:p w14:paraId="6C44D110" w14:textId="77777777" w:rsidR="009260DE" w:rsidRPr="004E363D" w:rsidRDefault="009260DE" w:rsidP="009260DE">
      <w:pPr>
        <w:tabs>
          <w:tab w:val="left" w:pos="851"/>
        </w:tabs>
        <w:ind w:left="851"/>
        <w:rPr>
          <w:sz w:val="24"/>
          <w:szCs w:val="24"/>
          <w:lang w:val="fr-LU"/>
        </w:rPr>
      </w:pPr>
    </w:p>
    <w:p w14:paraId="271553E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DAA8532" w14:textId="4E913AB7" w:rsidR="004E363D" w:rsidRDefault="004E363D" w:rsidP="004E363D">
      <w:pPr>
        <w:tabs>
          <w:tab w:val="left" w:pos="851"/>
        </w:tabs>
        <w:ind w:left="851"/>
        <w:rPr>
          <w:sz w:val="24"/>
          <w:szCs w:val="24"/>
        </w:rPr>
      </w:pPr>
      <w:r w:rsidRPr="004E363D">
        <w:rPr>
          <w:sz w:val="24"/>
          <w:szCs w:val="24"/>
        </w:rPr>
        <w:t>7,5 ml fyldevolumen i 10 ml LDPE-flasker med LLDPE-dråbeapplikatorer (spidser) og todelte børnesikret PP/HDPE-skruelåg.</w:t>
      </w:r>
    </w:p>
    <w:p w14:paraId="348660CA" w14:textId="223BE4D9" w:rsidR="00926412" w:rsidRDefault="00926412" w:rsidP="004E363D">
      <w:pPr>
        <w:tabs>
          <w:tab w:val="left" w:pos="851"/>
        </w:tabs>
        <w:ind w:left="851"/>
        <w:rPr>
          <w:sz w:val="24"/>
          <w:szCs w:val="24"/>
        </w:rPr>
      </w:pPr>
    </w:p>
    <w:p w14:paraId="6EC72CE6" w14:textId="1E2E48FF" w:rsidR="00926412" w:rsidRPr="004E363D" w:rsidRDefault="00926412" w:rsidP="004E363D">
      <w:pPr>
        <w:tabs>
          <w:tab w:val="left" w:pos="851"/>
        </w:tabs>
        <w:ind w:left="851"/>
        <w:rPr>
          <w:sz w:val="24"/>
          <w:szCs w:val="24"/>
        </w:rPr>
      </w:pPr>
      <w:r>
        <w:rPr>
          <w:sz w:val="24"/>
          <w:szCs w:val="24"/>
        </w:rPr>
        <w:t>Ikke alle pakningsstørrelser er nødvendigvis markedsført.</w:t>
      </w:r>
    </w:p>
    <w:p w14:paraId="73288592" w14:textId="77777777" w:rsidR="009260DE" w:rsidRPr="00C84483" w:rsidRDefault="009260DE" w:rsidP="009260DE">
      <w:pPr>
        <w:tabs>
          <w:tab w:val="left" w:pos="851"/>
        </w:tabs>
        <w:ind w:left="851"/>
        <w:rPr>
          <w:sz w:val="24"/>
          <w:szCs w:val="24"/>
        </w:rPr>
      </w:pPr>
    </w:p>
    <w:p w14:paraId="74992726"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F18AE2F" w14:textId="77777777" w:rsidR="004E363D" w:rsidRPr="004E363D" w:rsidRDefault="004E363D" w:rsidP="004E363D">
      <w:pPr>
        <w:tabs>
          <w:tab w:val="left" w:pos="851"/>
        </w:tabs>
        <w:ind w:left="851"/>
        <w:rPr>
          <w:sz w:val="24"/>
          <w:szCs w:val="24"/>
        </w:rPr>
      </w:pPr>
      <w:r w:rsidRPr="004E363D">
        <w:rPr>
          <w:sz w:val="24"/>
          <w:szCs w:val="24"/>
        </w:rPr>
        <w:t>Ikke anvendt lægemiddel samt affald heraf skal bortskaffes i henhold til lokale retningslinjer.</w:t>
      </w:r>
    </w:p>
    <w:p w14:paraId="6DC46DAE" w14:textId="77777777" w:rsidR="009260DE" w:rsidRPr="00C84483" w:rsidRDefault="009260DE" w:rsidP="000730CA">
      <w:pPr>
        <w:tabs>
          <w:tab w:val="left" w:pos="851"/>
        </w:tabs>
        <w:ind w:left="851"/>
        <w:rPr>
          <w:sz w:val="24"/>
          <w:szCs w:val="24"/>
        </w:rPr>
      </w:pPr>
    </w:p>
    <w:p w14:paraId="23B0929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C05A4A1" w14:textId="77777777" w:rsidR="004E363D" w:rsidRPr="00FE1D7F" w:rsidRDefault="004E363D" w:rsidP="004E363D">
      <w:pPr>
        <w:tabs>
          <w:tab w:val="left" w:pos="851"/>
        </w:tabs>
        <w:ind w:left="851"/>
        <w:rPr>
          <w:sz w:val="24"/>
          <w:szCs w:val="24"/>
        </w:rPr>
      </w:pPr>
      <w:r w:rsidRPr="00FE1D7F">
        <w:rPr>
          <w:sz w:val="24"/>
          <w:szCs w:val="24"/>
        </w:rPr>
        <w:t>Bausch + Lomb Ireland Limited</w:t>
      </w:r>
    </w:p>
    <w:p w14:paraId="0F8999F2" w14:textId="77777777" w:rsidR="004E363D" w:rsidRPr="004E363D" w:rsidRDefault="004E363D" w:rsidP="004E363D">
      <w:pPr>
        <w:tabs>
          <w:tab w:val="left" w:pos="851"/>
        </w:tabs>
        <w:ind w:left="851"/>
        <w:rPr>
          <w:sz w:val="24"/>
          <w:szCs w:val="24"/>
          <w:lang w:val="en-US"/>
        </w:rPr>
      </w:pPr>
      <w:r w:rsidRPr="004E363D">
        <w:rPr>
          <w:sz w:val="24"/>
          <w:szCs w:val="24"/>
          <w:lang w:val="en-US"/>
        </w:rPr>
        <w:t>3013 Lake Drive</w:t>
      </w:r>
    </w:p>
    <w:p w14:paraId="2CE38A25" w14:textId="77777777" w:rsidR="004E363D" w:rsidRPr="004E363D" w:rsidRDefault="004E363D" w:rsidP="004E363D">
      <w:pPr>
        <w:tabs>
          <w:tab w:val="left" w:pos="851"/>
        </w:tabs>
        <w:ind w:left="851"/>
        <w:rPr>
          <w:sz w:val="24"/>
          <w:szCs w:val="24"/>
          <w:lang w:val="en-US"/>
        </w:rPr>
      </w:pPr>
      <w:r w:rsidRPr="004E363D">
        <w:rPr>
          <w:sz w:val="24"/>
          <w:szCs w:val="24"/>
          <w:lang w:val="en-US"/>
        </w:rPr>
        <w:t>Citywest Business Campus</w:t>
      </w:r>
    </w:p>
    <w:p w14:paraId="30376DE2" w14:textId="6B60CE5F" w:rsidR="004E363D" w:rsidRPr="004E363D" w:rsidRDefault="004E363D" w:rsidP="004E363D">
      <w:pPr>
        <w:tabs>
          <w:tab w:val="left" w:pos="851"/>
        </w:tabs>
        <w:ind w:left="851"/>
        <w:rPr>
          <w:sz w:val="24"/>
          <w:szCs w:val="24"/>
          <w:lang w:val="en-US"/>
        </w:rPr>
      </w:pPr>
      <w:r w:rsidRPr="004E363D">
        <w:rPr>
          <w:sz w:val="24"/>
          <w:szCs w:val="24"/>
          <w:lang w:val="en-US"/>
        </w:rPr>
        <w:t>D24 PPT3</w:t>
      </w:r>
      <w:r>
        <w:rPr>
          <w:sz w:val="24"/>
          <w:szCs w:val="24"/>
          <w:lang w:val="en-US"/>
        </w:rPr>
        <w:t xml:space="preserve">, </w:t>
      </w:r>
      <w:r w:rsidRPr="004E363D">
        <w:rPr>
          <w:sz w:val="24"/>
          <w:szCs w:val="24"/>
          <w:lang w:val="en-US"/>
        </w:rPr>
        <w:t>Dublin 24</w:t>
      </w:r>
    </w:p>
    <w:p w14:paraId="597F32AB" w14:textId="77777777" w:rsidR="004E363D" w:rsidRPr="004E363D" w:rsidRDefault="004E363D" w:rsidP="004E363D">
      <w:pPr>
        <w:tabs>
          <w:tab w:val="left" w:pos="851"/>
        </w:tabs>
        <w:ind w:left="851"/>
        <w:rPr>
          <w:sz w:val="24"/>
          <w:szCs w:val="24"/>
        </w:rPr>
      </w:pPr>
      <w:r w:rsidRPr="004E363D">
        <w:rPr>
          <w:sz w:val="24"/>
          <w:szCs w:val="24"/>
        </w:rPr>
        <w:t>Irland</w:t>
      </w:r>
    </w:p>
    <w:p w14:paraId="7FC7B377" w14:textId="77777777" w:rsidR="004E363D" w:rsidRPr="004E363D" w:rsidRDefault="004E363D" w:rsidP="004E363D">
      <w:pPr>
        <w:tabs>
          <w:tab w:val="left" w:pos="851"/>
        </w:tabs>
        <w:ind w:left="851"/>
        <w:rPr>
          <w:sz w:val="24"/>
          <w:szCs w:val="24"/>
        </w:rPr>
      </w:pPr>
    </w:p>
    <w:p w14:paraId="2B3CEB45" w14:textId="77777777" w:rsidR="004E363D" w:rsidRPr="004E363D" w:rsidRDefault="004E363D" w:rsidP="004E363D">
      <w:pPr>
        <w:tabs>
          <w:tab w:val="left" w:pos="851"/>
        </w:tabs>
        <w:ind w:left="851"/>
        <w:rPr>
          <w:b/>
          <w:sz w:val="24"/>
          <w:szCs w:val="24"/>
          <w:lang w:val="fr-LU"/>
        </w:rPr>
      </w:pPr>
      <w:r w:rsidRPr="004E363D">
        <w:rPr>
          <w:b/>
          <w:sz w:val="24"/>
          <w:szCs w:val="24"/>
          <w:lang w:val="fr-LU"/>
        </w:rPr>
        <w:t>Repræsentant</w:t>
      </w:r>
    </w:p>
    <w:p w14:paraId="5B1A8677" w14:textId="77777777" w:rsidR="004E363D" w:rsidRPr="004E363D" w:rsidRDefault="004E363D" w:rsidP="004E363D">
      <w:pPr>
        <w:tabs>
          <w:tab w:val="left" w:pos="851"/>
        </w:tabs>
        <w:ind w:left="851"/>
        <w:rPr>
          <w:sz w:val="24"/>
          <w:szCs w:val="24"/>
          <w:lang w:val="fr-LU"/>
        </w:rPr>
      </w:pPr>
      <w:r w:rsidRPr="004E363D">
        <w:rPr>
          <w:sz w:val="24"/>
          <w:szCs w:val="24"/>
          <w:lang w:val="fr-LU"/>
        </w:rPr>
        <w:t>Bausch &amp; Lomb Nordic AB</w:t>
      </w:r>
    </w:p>
    <w:p w14:paraId="23A55940" w14:textId="77777777" w:rsidR="004E363D" w:rsidRPr="004E363D" w:rsidRDefault="004E363D" w:rsidP="004E363D">
      <w:pPr>
        <w:tabs>
          <w:tab w:val="left" w:pos="851"/>
        </w:tabs>
        <w:ind w:left="851"/>
        <w:rPr>
          <w:sz w:val="24"/>
          <w:szCs w:val="24"/>
          <w:lang w:val="fr-LU"/>
        </w:rPr>
      </w:pPr>
      <w:r w:rsidRPr="004E363D">
        <w:rPr>
          <w:sz w:val="24"/>
          <w:szCs w:val="24"/>
          <w:lang w:val="fr-LU"/>
        </w:rPr>
        <w:t>Söder Mälarstrand 45</w:t>
      </w:r>
    </w:p>
    <w:p w14:paraId="195DB3CF" w14:textId="77777777" w:rsidR="004E363D" w:rsidRPr="004E363D" w:rsidRDefault="004E363D" w:rsidP="004E363D">
      <w:pPr>
        <w:tabs>
          <w:tab w:val="left" w:pos="851"/>
        </w:tabs>
        <w:ind w:left="851"/>
        <w:rPr>
          <w:sz w:val="24"/>
          <w:szCs w:val="24"/>
          <w:lang w:val="fr-LU"/>
        </w:rPr>
      </w:pPr>
      <w:r w:rsidRPr="004E363D">
        <w:rPr>
          <w:sz w:val="24"/>
          <w:szCs w:val="24"/>
          <w:lang w:val="fr-LU"/>
        </w:rPr>
        <w:t>104 65 Stockholm</w:t>
      </w:r>
    </w:p>
    <w:p w14:paraId="3AC7D195" w14:textId="77777777" w:rsidR="004E363D" w:rsidRPr="004E363D" w:rsidRDefault="004E363D" w:rsidP="004E363D">
      <w:pPr>
        <w:tabs>
          <w:tab w:val="left" w:pos="851"/>
        </w:tabs>
        <w:ind w:left="851"/>
        <w:rPr>
          <w:sz w:val="24"/>
          <w:szCs w:val="24"/>
          <w:lang w:val="fr-LU"/>
        </w:rPr>
      </w:pPr>
      <w:r w:rsidRPr="004E363D">
        <w:rPr>
          <w:sz w:val="24"/>
          <w:szCs w:val="24"/>
          <w:lang w:val="fr-LU"/>
        </w:rPr>
        <w:t>Sverige</w:t>
      </w:r>
    </w:p>
    <w:p w14:paraId="3C06EF27" w14:textId="77777777" w:rsidR="00641C65" w:rsidRPr="004E363D" w:rsidRDefault="00641C65" w:rsidP="009260DE">
      <w:pPr>
        <w:tabs>
          <w:tab w:val="left" w:pos="851"/>
        </w:tabs>
        <w:ind w:left="851"/>
        <w:rPr>
          <w:sz w:val="24"/>
          <w:szCs w:val="24"/>
          <w:lang w:val="fr-LU"/>
        </w:rPr>
      </w:pPr>
    </w:p>
    <w:p w14:paraId="71118F1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9AC7DF0" w14:textId="1231A7B0" w:rsidR="009260DE" w:rsidRPr="00C84483" w:rsidRDefault="004E363D" w:rsidP="009260DE">
      <w:pPr>
        <w:tabs>
          <w:tab w:val="left" w:pos="851"/>
        </w:tabs>
        <w:ind w:left="851"/>
        <w:rPr>
          <w:sz w:val="24"/>
          <w:szCs w:val="24"/>
        </w:rPr>
      </w:pPr>
      <w:r>
        <w:rPr>
          <w:sz w:val="24"/>
          <w:szCs w:val="24"/>
        </w:rPr>
        <w:t>70404</w:t>
      </w:r>
    </w:p>
    <w:p w14:paraId="79684CC1" w14:textId="77777777" w:rsidR="009260DE" w:rsidRPr="00C84483" w:rsidRDefault="009260DE" w:rsidP="009260DE">
      <w:pPr>
        <w:tabs>
          <w:tab w:val="left" w:pos="851"/>
        </w:tabs>
        <w:ind w:left="851"/>
        <w:jc w:val="both"/>
        <w:rPr>
          <w:sz w:val="24"/>
          <w:szCs w:val="24"/>
        </w:rPr>
      </w:pPr>
    </w:p>
    <w:p w14:paraId="31558FE2" w14:textId="77777777"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14:paraId="3A7DB009" w14:textId="6C4534A7" w:rsidR="009260DE" w:rsidRPr="00C84483" w:rsidRDefault="00FE1D7F" w:rsidP="009260DE">
      <w:pPr>
        <w:tabs>
          <w:tab w:val="left" w:pos="851"/>
        </w:tabs>
        <w:ind w:left="851"/>
        <w:rPr>
          <w:sz w:val="24"/>
          <w:szCs w:val="24"/>
        </w:rPr>
      </w:pPr>
      <w:r>
        <w:rPr>
          <w:sz w:val="24"/>
          <w:szCs w:val="24"/>
        </w:rPr>
        <w:t>29. august 2024</w:t>
      </w:r>
    </w:p>
    <w:p w14:paraId="02D7286F" w14:textId="77777777" w:rsidR="009260DE" w:rsidRPr="00C84483" w:rsidRDefault="009260DE" w:rsidP="009260DE">
      <w:pPr>
        <w:tabs>
          <w:tab w:val="left" w:pos="851"/>
        </w:tabs>
        <w:ind w:left="851"/>
        <w:rPr>
          <w:sz w:val="24"/>
          <w:szCs w:val="24"/>
        </w:rPr>
      </w:pPr>
    </w:p>
    <w:p w14:paraId="1336D1A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9162819" w14:textId="0075C2D8" w:rsidR="009260DE" w:rsidRPr="00C84483" w:rsidRDefault="004E363D"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A0FD" w14:textId="77777777" w:rsidR="00332A04" w:rsidRDefault="00332A04">
      <w:r>
        <w:separator/>
      </w:r>
    </w:p>
  </w:endnote>
  <w:endnote w:type="continuationSeparator" w:id="0">
    <w:p w14:paraId="37462B64" w14:textId="77777777" w:rsidR="00332A04" w:rsidRDefault="003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40AC" w14:textId="77777777" w:rsidR="000259B9" w:rsidRDefault="000259B9">
    <w:pPr>
      <w:pStyle w:val="Sidefod"/>
      <w:pBdr>
        <w:bottom w:val="single" w:sz="6" w:space="1" w:color="auto"/>
      </w:pBdr>
    </w:pPr>
  </w:p>
  <w:p w14:paraId="338CDF93" w14:textId="77777777" w:rsidR="000259B9" w:rsidRDefault="000259B9" w:rsidP="00C42586">
    <w:pPr>
      <w:pStyle w:val="Sidefod"/>
      <w:tabs>
        <w:tab w:val="clear" w:pos="4819"/>
        <w:tab w:val="left" w:pos="8505"/>
      </w:tabs>
      <w:rPr>
        <w:i/>
        <w:sz w:val="18"/>
        <w:szCs w:val="18"/>
      </w:rPr>
    </w:pPr>
  </w:p>
  <w:p w14:paraId="3E69E31E" w14:textId="3EF0BD6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E363D">
      <w:rPr>
        <w:i/>
        <w:noProof/>
        <w:sz w:val="18"/>
        <w:szCs w:val="18"/>
      </w:rPr>
      <w:t>Lumobry, øjendråber, opløsning 0,25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697B" w14:textId="77777777" w:rsidR="00332A04" w:rsidRDefault="00332A04">
      <w:r>
        <w:separator/>
      </w:r>
    </w:p>
  </w:footnote>
  <w:footnote w:type="continuationSeparator" w:id="0">
    <w:p w14:paraId="201D1CD7" w14:textId="77777777" w:rsidR="00332A04" w:rsidRDefault="003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02592"/>
    <w:multiLevelType w:val="hybridMultilevel"/>
    <w:tmpl w:val="F2ECCAD0"/>
    <w:lvl w:ilvl="0" w:tplc="432AED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04"/>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32A04"/>
    <w:rsid w:val="003A29AE"/>
    <w:rsid w:val="003A32D7"/>
    <w:rsid w:val="003B4074"/>
    <w:rsid w:val="003C769A"/>
    <w:rsid w:val="003D3A90"/>
    <w:rsid w:val="003F1838"/>
    <w:rsid w:val="004251C1"/>
    <w:rsid w:val="0045746C"/>
    <w:rsid w:val="0049104B"/>
    <w:rsid w:val="004E363D"/>
    <w:rsid w:val="004E3B12"/>
    <w:rsid w:val="00532310"/>
    <w:rsid w:val="00565F0F"/>
    <w:rsid w:val="00594A86"/>
    <w:rsid w:val="00596D86"/>
    <w:rsid w:val="005D62E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26412"/>
    <w:rsid w:val="0093258A"/>
    <w:rsid w:val="009579F4"/>
    <w:rsid w:val="009C7BA3"/>
    <w:rsid w:val="009D1F5A"/>
    <w:rsid w:val="00A10294"/>
    <w:rsid w:val="00A367EE"/>
    <w:rsid w:val="00B003BF"/>
    <w:rsid w:val="00B373D7"/>
    <w:rsid w:val="00B55271"/>
    <w:rsid w:val="00BD7931"/>
    <w:rsid w:val="00BF6243"/>
    <w:rsid w:val="00C36276"/>
    <w:rsid w:val="00C42586"/>
    <w:rsid w:val="00C45F6B"/>
    <w:rsid w:val="00C60CCD"/>
    <w:rsid w:val="00C84483"/>
    <w:rsid w:val="00C95551"/>
    <w:rsid w:val="00CB20D7"/>
    <w:rsid w:val="00D020B0"/>
    <w:rsid w:val="00D05213"/>
    <w:rsid w:val="00D11748"/>
    <w:rsid w:val="00D237F6"/>
    <w:rsid w:val="00D34D98"/>
    <w:rsid w:val="00D366CF"/>
    <w:rsid w:val="00D91272"/>
    <w:rsid w:val="00D93992"/>
    <w:rsid w:val="00E108AA"/>
    <w:rsid w:val="00E3749A"/>
    <w:rsid w:val="00E7437F"/>
    <w:rsid w:val="00E865B8"/>
    <w:rsid w:val="00EC0B9B"/>
    <w:rsid w:val="00ED5E9F"/>
    <w:rsid w:val="00F66D4F"/>
    <w:rsid w:val="00FB6D01"/>
    <w:rsid w:val="00FE1D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AE44"/>
  <w15:chartTrackingRefBased/>
  <w15:docId w15:val="{F5A7B785-9A77-449A-8C1E-CDC289FB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E363D"/>
    <w:rPr>
      <w:color w:val="0563C1" w:themeColor="hyperlink"/>
      <w:u w:val="single"/>
    </w:rPr>
  </w:style>
  <w:style w:type="character" w:styleId="Ulstomtale">
    <w:name w:val="Unresolved Mention"/>
    <w:basedOn w:val="Standardskrifttypeiafsnit"/>
    <w:uiPriority w:val="99"/>
    <w:semiHidden/>
    <w:unhideWhenUsed/>
    <w:rsid w:val="004E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501">
      <w:bodyDiv w:val="1"/>
      <w:marLeft w:val="0"/>
      <w:marRight w:val="0"/>
      <w:marTop w:val="0"/>
      <w:marBottom w:val="0"/>
      <w:divBdr>
        <w:top w:val="none" w:sz="0" w:space="0" w:color="auto"/>
        <w:left w:val="none" w:sz="0" w:space="0" w:color="auto"/>
        <w:bottom w:val="none" w:sz="0" w:space="0" w:color="auto"/>
        <w:right w:val="none" w:sz="0" w:space="0" w:color="auto"/>
      </w:divBdr>
    </w:div>
    <w:div w:id="28995192">
      <w:bodyDiv w:val="1"/>
      <w:marLeft w:val="0"/>
      <w:marRight w:val="0"/>
      <w:marTop w:val="0"/>
      <w:marBottom w:val="0"/>
      <w:divBdr>
        <w:top w:val="none" w:sz="0" w:space="0" w:color="auto"/>
        <w:left w:val="none" w:sz="0" w:space="0" w:color="auto"/>
        <w:bottom w:val="none" w:sz="0" w:space="0" w:color="auto"/>
        <w:right w:val="none" w:sz="0" w:space="0" w:color="auto"/>
      </w:divBdr>
    </w:div>
    <w:div w:id="44379191">
      <w:bodyDiv w:val="1"/>
      <w:marLeft w:val="0"/>
      <w:marRight w:val="0"/>
      <w:marTop w:val="0"/>
      <w:marBottom w:val="0"/>
      <w:divBdr>
        <w:top w:val="none" w:sz="0" w:space="0" w:color="auto"/>
        <w:left w:val="none" w:sz="0" w:space="0" w:color="auto"/>
        <w:bottom w:val="none" w:sz="0" w:space="0" w:color="auto"/>
        <w:right w:val="none" w:sz="0" w:space="0" w:color="auto"/>
      </w:divBdr>
    </w:div>
    <w:div w:id="1059738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537475">
      <w:bodyDiv w:val="1"/>
      <w:marLeft w:val="0"/>
      <w:marRight w:val="0"/>
      <w:marTop w:val="0"/>
      <w:marBottom w:val="0"/>
      <w:divBdr>
        <w:top w:val="none" w:sz="0" w:space="0" w:color="auto"/>
        <w:left w:val="none" w:sz="0" w:space="0" w:color="auto"/>
        <w:bottom w:val="none" w:sz="0" w:space="0" w:color="auto"/>
        <w:right w:val="none" w:sz="0" w:space="0" w:color="auto"/>
      </w:divBdr>
    </w:div>
    <w:div w:id="202524099">
      <w:bodyDiv w:val="1"/>
      <w:marLeft w:val="0"/>
      <w:marRight w:val="0"/>
      <w:marTop w:val="0"/>
      <w:marBottom w:val="0"/>
      <w:divBdr>
        <w:top w:val="none" w:sz="0" w:space="0" w:color="auto"/>
        <w:left w:val="none" w:sz="0" w:space="0" w:color="auto"/>
        <w:bottom w:val="none" w:sz="0" w:space="0" w:color="auto"/>
        <w:right w:val="none" w:sz="0" w:space="0" w:color="auto"/>
      </w:divBdr>
    </w:div>
    <w:div w:id="358553788">
      <w:bodyDiv w:val="1"/>
      <w:marLeft w:val="0"/>
      <w:marRight w:val="0"/>
      <w:marTop w:val="0"/>
      <w:marBottom w:val="0"/>
      <w:divBdr>
        <w:top w:val="none" w:sz="0" w:space="0" w:color="auto"/>
        <w:left w:val="none" w:sz="0" w:space="0" w:color="auto"/>
        <w:bottom w:val="none" w:sz="0" w:space="0" w:color="auto"/>
        <w:right w:val="none" w:sz="0" w:space="0" w:color="auto"/>
      </w:divBdr>
    </w:div>
    <w:div w:id="373699102">
      <w:bodyDiv w:val="1"/>
      <w:marLeft w:val="0"/>
      <w:marRight w:val="0"/>
      <w:marTop w:val="0"/>
      <w:marBottom w:val="0"/>
      <w:divBdr>
        <w:top w:val="none" w:sz="0" w:space="0" w:color="auto"/>
        <w:left w:val="none" w:sz="0" w:space="0" w:color="auto"/>
        <w:bottom w:val="none" w:sz="0" w:space="0" w:color="auto"/>
        <w:right w:val="none" w:sz="0" w:space="0" w:color="auto"/>
      </w:divBdr>
    </w:div>
    <w:div w:id="396631173">
      <w:bodyDiv w:val="1"/>
      <w:marLeft w:val="0"/>
      <w:marRight w:val="0"/>
      <w:marTop w:val="0"/>
      <w:marBottom w:val="0"/>
      <w:divBdr>
        <w:top w:val="none" w:sz="0" w:space="0" w:color="auto"/>
        <w:left w:val="none" w:sz="0" w:space="0" w:color="auto"/>
        <w:bottom w:val="none" w:sz="0" w:space="0" w:color="auto"/>
        <w:right w:val="none" w:sz="0" w:space="0" w:color="auto"/>
      </w:divBdr>
    </w:div>
    <w:div w:id="408313460">
      <w:bodyDiv w:val="1"/>
      <w:marLeft w:val="0"/>
      <w:marRight w:val="0"/>
      <w:marTop w:val="0"/>
      <w:marBottom w:val="0"/>
      <w:divBdr>
        <w:top w:val="none" w:sz="0" w:space="0" w:color="auto"/>
        <w:left w:val="none" w:sz="0" w:space="0" w:color="auto"/>
        <w:bottom w:val="none" w:sz="0" w:space="0" w:color="auto"/>
        <w:right w:val="none" w:sz="0" w:space="0" w:color="auto"/>
      </w:divBdr>
    </w:div>
    <w:div w:id="452213438">
      <w:bodyDiv w:val="1"/>
      <w:marLeft w:val="0"/>
      <w:marRight w:val="0"/>
      <w:marTop w:val="0"/>
      <w:marBottom w:val="0"/>
      <w:divBdr>
        <w:top w:val="none" w:sz="0" w:space="0" w:color="auto"/>
        <w:left w:val="none" w:sz="0" w:space="0" w:color="auto"/>
        <w:bottom w:val="none" w:sz="0" w:space="0" w:color="auto"/>
        <w:right w:val="none" w:sz="0" w:space="0" w:color="auto"/>
      </w:divBdr>
    </w:div>
    <w:div w:id="465122247">
      <w:bodyDiv w:val="1"/>
      <w:marLeft w:val="0"/>
      <w:marRight w:val="0"/>
      <w:marTop w:val="0"/>
      <w:marBottom w:val="0"/>
      <w:divBdr>
        <w:top w:val="none" w:sz="0" w:space="0" w:color="auto"/>
        <w:left w:val="none" w:sz="0" w:space="0" w:color="auto"/>
        <w:bottom w:val="none" w:sz="0" w:space="0" w:color="auto"/>
        <w:right w:val="none" w:sz="0" w:space="0" w:color="auto"/>
      </w:divBdr>
    </w:div>
    <w:div w:id="471557558">
      <w:bodyDiv w:val="1"/>
      <w:marLeft w:val="0"/>
      <w:marRight w:val="0"/>
      <w:marTop w:val="0"/>
      <w:marBottom w:val="0"/>
      <w:divBdr>
        <w:top w:val="none" w:sz="0" w:space="0" w:color="auto"/>
        <w:left w:val="none" w:sz="0" w:space="0" w:color="auto"/>
        <w:bottom w:val="none" w:sz="0" w:space="0" w:color="auto"/>
        <w:right w:val="none" w:sz="0" w:space="0" w:color="auto"/>
      </w:divBdr>
    </w:div>
    <w:div w:id="602029778">
      <w:bodyDiv w:val="1"/>
      <w:marLeft w:val="0"/>
      <w:marRight w:val="0"/>
      <w:marTop w:val="0"/>
      <w:marBottom w:val="0"/>
      <w:divBdr>
        <w:top w:val="none" w:sz="0" w:space="0" w:color="auto"/>
        <w:left w:val="none" w:sz="0" w:space="0" w:color="auto"/>
        <w:bottom w:val="none" w:sz="0" w:space="0" w:color="auto"/>
        <w:right w:val="none" w:sz="0" w:space="0" w:color="auto"/>
      </w:divBdr>
    </w:div>
    <w:div w:id="638269891">
      <w:bodyDiv w:val="1"/>
      <w:marLeft w:val="0"/>
      <w:marRight w:val="0"/>
      <w:marTop w:val="0"/>
      <w:marBottom w:val="0"/>
      <w:divBdr>
        <w:top w:val="none" w:sz="0" w:space="0" w:color="auto"/>
        <w:left w:val="none" w:sz="0" w:space="0" w:color="auto"/>
        <w:bottom w:val="none" w:sz="0" w:space="0" w:color="auto"/>
        <w:right w:val="none" w:sz="0" w:space="0" w:color="auto"/>
      </w:divBdr>
    </w:div>
    <w:div w:id="793332594">
      <w:bodyDiv w:val="1"/>
      <w:marLeft w:val="0"/>
      <w:marRight w:val="0"/>
      <w:marTop w:val="0"/>
      <w:marBottom w:val="0"/>
      <w:divBdr>
        <w:top w:val="none" w:sz="0" w:space="0" w:color="auto"/>
        <w:left w:val="none" w:sz="0" w:space="0" w:color="auto"/>
        <w:bottom w:val="none" w:sz="0" w:space="0" w:color="auto"/>
        <w:right w:val="none" w:sz="0" w:space="0" w:color="auto"/>
      </w:divBdr>
    </w:div>
    <w:div w:id="799152073">
      <w:bodyDiv w:val="1"/>
      <w:marLeft w:val="0"/>
      <w:marRight w:val="0"/>
      <w:marTop w:val="0"/>
      <w:marBottom w:val="0"/>
      <w:divBdr>
        <w:top w:val="none" w:sz="0" w:space="0" w:color="auto"/>
        <w:left w:val="none" w:sz="0" w:space="0" w:color="auto"/>
        <w:bottom w:val="none" w:sz="0" w:space="0" w:color="auto"/>
        <w:right w:val="none" w:sz="0" w:space="0" w:color="auto"/>
      </w:divBdr>
    </w:div>
    <w:div w:id="824056710">
      <w:bodyDiv w:val="1"/>
      <w:marLeft w:val="0"/>
      <w:marRight w:val="0"/>
      <w:marTop w:val="0"/>
      <w:marBottom w:val="0"/>
      <w:divBdr>
        <w:top w:val="none" w:sz="0" w:space="0" w:color="auto"/>
        <w:left w:val="none" w:sz="0" w:space="0" w:color="auto"/>
        <w:bottom w:val="none" w:sz="0" w:space="0" w:color="auto"/>
        <w:right w:val="none" w:sz="0" w:space="0" w:color="auto"/>
      </w:divBdr>
    </w:div>
    <w:div w:id="906380948">
      <w:bodyDiv w:val="1"/>
      <w:marLeft w:val="0"/>
      <w:marRight w:val="0"/>
      <w:marTop w:val="0"/>
      <w:marBottom w:val="0"/>
      <w:divBdr>
        <w:top w:val="none" w:sz="0" w:space="0" w:color="auto"/>
        <w:left w:val="none" w:sz="0" w:space="0" w:color="auto"/>
        <w:bottom w:val="none" w:sz="0" w:space="0" w:color="auto"/>
        <w:right w:val="none" w:sz="0" w:space="0" w:color="auto"/>
      </w:divBdr>
    </w:div>
    <w:div w:id="918946767">
      <w:bodyDiv w:val="1"/>
      <w:marLeft w:val="0"/>
      <w:marRight w:val="0"/>
      <w:marTop w:val="0"/>
      <w:marBottom w:val="0"/>
      <w:divBdr>
        <w:top w:val="none" w:sz="0" w:space="0" w:color="auto"/>
        <w:left w:val="none" w:sz="0" w:space="0" w:color="auto"/>
        <w:bottom w:val="none" w:sz="0" w:space="0" w:color="auto"/>
        <w:right w:val="none" w:sz="0" w:space="0" w:color="auto"/>
      </w:divBdr>
    </w:div>
    <w:div w:id="923609745">
      <w:bodyDiv w:val="1"/>
      <w:marLeft w:val="0"/>
      <w:marRight w:val="0"/>
      <w:marTop w:val="0"/>
      <w:marBottom w:val="0"/>
      <w:divBdr>
        <w:top w:val="none" w:sz="0" w:space="0" w:color="auto"/>
        <w:left w:val="none" w:sz="0" w:space="0" w:color="auto"/>
        <w:bottom w:val="none" w:sz="0" w:space="0" w:color="auto"/>
        <w:right w:val="none" w:sz="0" w:space="0" w:color="auto"/>
      </w:divBdr>
    </w:div>
    <w:div w:id="963927337">
      <w:bodyDiv w:val="1"/>
      <w:marLeft w:val="0"/>
      <w:marRight w:val="0"/>
      <w:marTop w:val="0"/>
      <w:marBottom w:val="0"/>
      <w:divBdr>
        <w:top w:val="none" w:sz="0" w:space="0" w:color="auto"/>
        <w:left w:val="none" w:sz="0" w:space="0" w:color="auto"/>
        <w:bottom w:val="none" w:sz="0" w:space="0" w:color="auto"/>
        <w:right w:val="none" w:sz="0" w:space="0" w:color="auto"/>
      </w:divBdr>
    </w:div>
    <w:div w:id="978609341">
      <w:bodyDiv w:val="1"/>
      <w:marLeft w:val="0"/>
      <w:marRight w:val="0"/>
      <w:marTop w:val="0"/>
      <w:marBottom w:val="0"/>
      <w:divBdr>
        <w:top w:val="none" w:sz="0" w:space="0" w:color="auto"/>
        <w:left w:val="none" w:sz="0" w:space="0" w:color="auto"/>
        <w:bottom w:val="none" w:sz="0" w:space="0" w:color="auto"/>
        <w:right w:val="none" w:sz="0" w:space="0" w:color="auto"/>
      </w:divBdr>
    </w:div>
    <w:div w:id="1000815478">
      <w:bodyDiv w:val="1"/>
      <w:marLeft w:val="0"/>
      <w:marRight w:val="0"/>
      <w:marTop w:val="0"/>
      <w:marBottom w:val="0"/>
      <w:divBdr>
        <w:top w:val="none" w:sz="0" w:space="0" w:color="auto"/>
        <w:left w:val="none" w:sz="0" w:space="0" w:color="auto"/>
        <w:bottom w:val="none" w:sz="0" w:space="0" w:color="auto"/>
        <w:right w:val="none" w:sz="0" w:space="0" w:color="auto"/>
      </w:divBdr>
    </w:div>
    <w:div w:id="1134562349">
      <w:bodyDiv w:val="1"/>
      <w:marLeft w:val="0"/>
      <w:marRight w:val="0"/>
      <w:marTop w:val="0"/>
      <w:marBottom w:val="0"/>
      <w:divBdr>
        <w:top w:val="none" w:sz="0" w:space="0" w:color="auto"/>
        <w:left w:val="none" w:sz="0" w:space="0" w:color="auto"/>
        <w:bottom w:val="none" w:sz="0" w:space="0" w:color="auto"/>
        <w:right w:val="none" w:sz="0" w:space="0" w:color="auto"/>
      </w:divBdr>
    </w:div>
    <w:div w:id="1224944892">
      <w:bodyDiv w:val="1"/>
      <w:marLeft w:val="0"/>
      <w:marRight w:val="0"/>
      <w:marTop w:val="0"/>
      <w:marBottom w:val="0"/>
      <w:divBdr>
        <w:top w:val="none" w:sz="0" w:space="0" w:color="auto"/>
        <w:left w:val="none" w:sz="0" w:space="0" w:color="auto"/>
        <w:bottom w:val="none" w:sz="0" w:space="0" w:color="auto"/>
        <w:right w:val="none" w:sz="0" w:space="0" w:color="auto"/>
      </w:divBdr>
    </w:div>
    <w:div w:id="1231311697">
      <w:bodyDiv w:val="1"/>
      <w:marLeft w:val="0"/>
      <w:marRight w:val="0"/>
      <w:marTop w:val="0"/>
      <w:marBottom w:val="0"/>
      <w:divBdr>
        <w:top w:val="none" w:sz="0" w:space="0" w:color="auto"/>
        <w:left w:val="none" w:sz="0" w:space="0" w:color="auto"/>
        <w:bottom w:val="none" w:sz="0" w:space="0" w:color="auto"/>
        <w:right w:val="none" w:sz="0" w:space="0" w:color="auto"/>
      </w:divBdr>
    </w:div>
    <w:div w:id="1286622667">
      <w:bodyDiv w:val="1"/>
      <w:marLeft w:val="0"/>
      <w:marRight w:val="0"/>
      <w:marTop w:val="0"/>
      <w:marBottom w:val="0"/>
      <w:divBdr>
        <w:top w:val="none" w:sz="0" w:space="0" w:color="auto"/>
        <w:left w:val="none" w:sz="0" w:space="0" w:color="auto"/>
        <w:bottom w:val="none" w:sz="0" w:space="0" w:color="auto"/>
        <w:right w:val="none" w:sz="0" w:space="0" w:color="auto"/>
      </w:divBdr>
    </w:div>
    <w:div w:id="1366365988">
      <w:bodyDiv w:val="1"/>
      <w:marLeft w:val="0"/>
      <w:marRight w:val="0"/>
      <w:marTop w:val="0"/>
      <w:marBottom w:val="0"/>
      <w:divBdr>
        <w:top w:val="none" w:sz="0" w:space="0" w:color="auto"/>
        <w:left w:val="none" w:sz="0" w:space="0" w:color="auto"/>
        <w:bottom w:val="none" w:sz="0" w:space="0" w:color="auto"/>
        <w:right w:val="none" w:sz="0" w:space="0" w:color="auto"/>
      </w:divBdr>
    </w:div>
    <w:div w:id="1376467513">
      <w:bodyDiv w:val="1"/>
      <w:marLeft w:val="0"/>
      <w:marRight w:val="0"/>
      <w:marTop w:val="0"/>
      <w:marBottom w:val="0"/>
      <w:divBdr>
        <w:top w:val="none" w:sz="0" w:space="0" w:color="auto"/>
        <w:left w:val="none" w:sz="0" w:space="0" w:color="auto"/>
        <w:bottom w:val="none" w:sz="0" w:space="0" w:color="auto"/>
        <w:right w:val="none" w:sz="0" w:space="0" w:color="auto"/>
      </w:divBdr>
    </w:div>
    <w:div w:id="1420100399">
      <w:bodyDiv w:val="1"/>
      <w:marLeft w:val="0"/>
      <w:marRight w:val="0"/>
      <w:marTop w:val="0"/>
      <w:marBottom w:val="0"/>
      <w:divBdr>
        <w:top w:val="none" w:sz="0" w:space="0" w:color="auto"/>
        <w:left w:val="none" w:sz="0" w:space="0" w:color="auto"/>
        <w:bottom w:val="none" w:sz="0" w:space="0" w:color="auto"/>
        <w:right w:val="none" w:sz="0" w:space="0" w:color="auto"/>
      </w:divBdr>
    </w:div>
    <w:div w:id="1420785438">
      <w:bodyDiv w:val="1"/>
      <w:marLeft w:val="0"/>
      <w:marRight w:val="0"/>
      <w:marTop w:val="0"/>
      <w:marBottom w:val="0"/>
      <w:divBdr>
        <w:top w:val="none" w:sz="0" w:space="0" w:color="auto"/>
        <w:left w:val="none" w:sz="0" w:space="0" w:color="auto"/>
        <w:bottom w:val="none" w:sz="0" w:space="0" w:color="auto"/>
        <w:right w:val="none" w:sz="0" w:space="0" w:color="auto"/>
      </w:divBdr>
    </w:div>
    <w:div w:id="1425111807">
      <w:bodyDiv w:val="1"/>
      <w:marLeft w:val="0"/>
      <w:marRight w:val="0"/>
      <w:marTop w:val="0"/>
      <w:marBottom w:val="0"/>
      <w:divBdr>
        <w:top w:val="none" w:sz="0" w:space="0" w:color="auto"/>
        <w:left w:val="none" w:sz="0" w:space="0" w:color="auto"/>
        <w:bottom w:val="none" w:sz="0" w:space="0" w:color="auto"/>
        <w:right w:val="none" w:sz="0" w:space="0" w:color="auto"/>
      </w:divBdr>
    </w:div>
    <w:div w:id="1439980432">
      <w:bodyDiv w:val="1"/>
      <w:marLeft w:val="0"/>
      <w:marRight w:val="0"/>
      <w:marTop w:val="0"/>
      <w:marBottom w:val="0"/>
      <w:divBdr>
        <w:top w:val="none" w:sz="0" w:space="0" w:color="auto"/>
        <w:left w:val="none" w:sz="0" w:space="0" w:color="auto"/>
        <w:bottom w:val="none" w:sz="0" w:space="0" w:color="auto"/>
        <w:right w:val="none" w:sz="0" w:space="0" w:color="auto"/>
      </w:divBdr>
    </w:div>
    <w:div w:id="1492212513">
      <w:bodyDiv w:val="1"/>
      <w:marLeft w:val="0"/>
      <w:marRight w:val="0"/>
      <w:marTop w:val="0"/>
      <w:marBottom w:val="0"/>
      <w:divBdr>
        <w:top w:val="none" w:sz="0" w:space="0" w:color="auto"/>
        <w:left w:val="none" w:sz="0" w:space="0" w:color="auto"/>
        <w:bottom w:val="none" w:sz="0" w:space="0" w:color="auto"/>
        <w:right w:val="none" w:sz="0" w:space="0" w:color="auto"/>
      </w:divBdr>
    </w:div>
    <w:div w:id="1504471901">
      <w:bodyDiv w:val="1"/>
      <w:marLeft w:val="0"/>
      <w:marRight w:val="0"/>
      <w:marTop w:val="0"/>
      <w:marBottom w:val="0"/>
      <w:divBdr>
        <w:top w:val="none" w:sz="0" w:space="0" w:color="auto"/>
        <w:left w:val="none" w:sz="0" w:space="0" w:color="auto"/>
        <w:bottom w:val="none" w:sz="0" w:space="0" w:color="auto"/>
        <w:right w:val="none" w:sz="0" w:space="0" w:color="auto"/>
      </w:divBdr>
    </w:div>
    <w:div w:id="1614438571">
      <w:bodyDiv w:val="1"/>
      <w:marLeft w:val="0"/>
      <w:marRight w:val="0"/>
      <w:marTop w:val="0"/>
      <w:marBottom w:val="0"/>
      <w:divBdr>
        <w:top w:val="none" w:sz="0" w:space="0" w:color="auto"/>
        <w:left w:val="none" w:sz="0" w:space="0" w:color="auto"/>
        <w:bottom w:val="none" w:sz="0" w:space="0" w:color="auto"/>
        <w:right w:val="none" w:sz="0" w:space="0" w:color="auto"/>
      </w:divBdr>
    </w:div>
    <w:div w:id="1648625200">
      <w:bodyDiv w:val="1"/>
      <w:marLeft w:val="0"/>
      <w:marRight w:val="0"/>
      <w:marTop w:val="0"/>
      <w:marBottom w:val="0"/>
      <w:divBdr>
        <w:top w:val="none" w:sz="0" w:space="0" w:color="auto"/>
        <w:left w:val="none" w:sz="0" w:space="0" w:color="auto"/>
        <w:bottom w:val="none" w:sz="0" w:space="0" w:color="auto"/>
        <w:right w:val="none" w:sz="0" w:space="0" w:color="auto"/>
      </w:divBdr>
    </w:div>
    <w:div w:id="1655602758">
      <w:bodyDiv w:val="1"/>
      <w:marLeft w:val="0"/>
      <w:marRight w:val="0"/>
      <w:marTop w:val="0"/>
      <w:marBottom w:val="0"/>
      <w:divBdr>
        <w:top w:val="none" w:sz="0" w:space="0" w:color="auto"/>
        <w:left w:val="none" w:sz="0" w:space="0" w:color="auto"/>
        <w:bottom w:val="none" w:sz="0" w:space="0" w:color="auto"/>
        <w:right w:val="none" w:sz="0" w:space="0" w:color="auto"/>
      </w:divBdr>
    </w:div>
    <w:div w:id="1659338030">
      <w:bodyDiv w:val="1"/>
      <w:marLeft w:val="0"/>
      <w:marRight w:val="0"/>
      <w:marTop w:val="0"/>
      <w:marBottom w:val="0"/>
      <w:divBdr>
        <w:top w:val="none" w:sz="0" w:space="0" w:color="auto"/>
        <w:left w:val="none" w:sz="0" w:space="0" w:color="auto"/>
        <w:bottom w:val="none" w:sz="0" w:space="0" w:color="auto"/>
        <w:right w:val="none" w:sz="0" w:space="0" w:color="auto"/>
      </w:divBdr>
    </w:div>
    <w:div w:id="1676179073">
      <w:bodyDiv w:val="1"/>
      <w:marLeft w:val="0"/>
      <w:marRight w:val="0"/>
      <w:marTop w:val="0"/>
      <w:marBottom w:val="0"/>
      <w:divBdr>
        <w:top w:val="none" w:sz="0" w:space="0" w:color="auto"/>
        <w:left w:val="none" w:sz="0" w:space="0" w:color="auto"/>
        <w:bottom w:val="none" w:sz="0" w:space="0" w:color="auto"/>
        <w:right w:val="none" w:sz="0" w:space="0" w:color="auto"/>
      </w:divBdr>
    </w:div>
    <w:div w:id="1698585251">
      <w:bodyDiv w:val="1"/>
      <w:marLeft w:val="0"/>
      <w:marRight w:val="0"/>
      <w:marTop w:val="0"/>
      <w:marBottom w:val="0"/>
      <w:divBdr>
        <w:top w:val="none" w:sz="0" w:space="0" w:color="auto"/>
        <w:left w:val="none" w:sz="0" w:space="0" w:color="auto"/>
        <w:bottom w:val="none" w:sz="0" w:space="0" w:color="auto"/>
        <w:right w:val="none" w:sz="0" w:space="0" w:color="auto"/>
      </w:divBdr>
    </w:div>
    <w:div w:id="1760640128">
      <w:bodyDiv w:val="1"/>
      <w:marLeft w:val="0"/>
      <w:marRight w:val="0"/>
      <w:marTop w:val="0"/>
      <w:marBottom w:val="0"/>
      <w:divBdr>
        <w:top w:val="none" w:sz="0" w:space="0" w:color="auto"/>
        <w:left w:val="none" w:sz="0" w:space="0" w:color="auto"/>
        <w:bottom w:val="none" w:sz="0" w:space="0" w:color="auto"/>
        <w:right w:val="none" w:sz="0" w:space="0" w:color="auto"/>
      </w:divBdr>
    </w:div>
    <w:div w:id="1946502131">
      <w:bodyDiv w:val="1"/>
      <w:marLeft w:val="0"/>
      <w:marRight w:val="0"/>
      <w:marTop w:val="0"/>
      <w:marBottom w:val="0"/>
      <w:divBdr>
        <w:top w:val="none" w:sz="0" w:space="0" w:color="auto"/>
        <w:left w:val="none" w:sz="0" w:space="0" w:color="auto"/>
        <w:bottom w:val="none" w:sz="0" w:space="0" w:color="auto"/>
        <w:right w:val="none" w:sz="0" w:space="0" w:color="auto"/>
      </w:divBdr>
    </w:div>
    <w:div w:id="19535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TotalTime>
  <Pages>10</Pages>
  <Words>2586</Words>
  <Characters>17215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2023100082 mt</dc:description>
  <cp:lastModifiedBy>Hanne Thy Iversen</cp:lastModifiedBy>
  <cp:revision>8</cp:revision>
  <cp:lastPrinted>2012-08-22T08:53:00Z</cp:lastPrinted>
  <dcterms:created xsi:type="dcterms:W3CDTF">2024-08-28T11:28:00Z</dcterms:created>
  <dcterms:modified xsi:type="dcterms:W3CDTF">2024-08-29T10:57:00Z</dcterms:modified>
</cp:coreProperties>
</file>