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E62C4" w14:textId="3CF4E44E" w:rsidR="009260DE" w:rsidRPr="00212B5E" w:rsidRDefault="0021526C" w:rsidP="00212B5E">
      <w:pPr>
        <w:rPr>
          <w:b/>
          <w:sz w:val="24"/>
          <w:szCs w:val="24"/>
        </w:rPr>
      </w:pPr>
      <w:bookmarkStart w:id="0" w:name="_GoBack"/>
      <w:bookmarkEnd w:id="0"/>
      <w:r w:rsidRPr="00212B5E">
        <w:rPr>
          <w:noProof/>
          <w:sz w:val="24"/>
          <w:szCs w:val="24"/>
          <w:lang w:eastAsia="da-DK"/>
        </w:rPr>
        <w:drawing>
          <wp:anchor distT="0" distB="0" distL="114300" distR="114300" simplePos="0" relativeHeight="251658240" behindDoc="0" locked="0" layoutInCell="1" allowOverlap="1" wp14:anchorId="5F85B021" wp14:editId="26C2DB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12B5E">
        <w:rPr>
          <w:sz w:val="24"/>
          <w:szCs w:val="24"/>
        </w:rPr>
        <w:br w:type="textWrapping" w:clear="all"/>
      </w:r>
    </w:p>
    <w:p w14:paraId="736FF907" w14:textId="0E8C6C30" w:rsidR="009260DE" w:rsidRPr="00212B5E" w:rsidRDefault="009260DE" w:rsidP="009260DE">
      <w:pPr>
        <w:pStyle w:val="Titel"/>
        <w:tabs>
          <w:tab w:val="right" w:pos="9356"/>
        </w:tabs>
        <w:jc w:val="left"/>
        <w:rPr>
          <w:b w:val="0"/>
          <w:szCs w:val="24"/>
          <w:lang w:eastAsia="en-US"/>
        </w:rPr>
      </w:pPr>
      <w:r w:rsidRPr="00212B5E">
        <w:rPr>
          <w:b w:val="0"/>
          <w:szCs w:val="24"/>
          <w:lang w:eastAsia="en-US"/>
        </w:rPr>
        <w:tab/>
      </w:r>
      <w:r w:rsidR="00B04442">
        <w:rPr>
          <w:szCs w:val="24"/>
        </w:rPr>
        <w:t>12. september 2024</w:t>
      </w:r>
    </w:p>
    <w:p w14:paraId="29B17D1A" w14:textId="77777777" w:rsidR="009260DE" w:rsidRPr="00212B5E" w:rsidRDefault="009260DE" w:rsidP="009260DE">
      <w:pPr>
        <w:pStyle w:val="Titel"/>
        <w:tabs>
          <w:tab w:val="left" w:pos="8222"/>
        </w:tabs>
        <w:jc w:val="left"/>
        <w:rPr>
          <w:b w:val="0"/>
          <w:szCs w:val="24"/>
        </w:rPr>
      </w:pPr>
    </w:p>
    <w:p w14:paraId="19191628" w14:textId="77777777" w:rsidR="009260DE" w:rsidRPr="00212B5E" w:rsidRDefault="009260DE" w:rsidP="009260DE">
      <w:pPr>
        <w:pStyle w:val="Titel"/>
        <w:jc w:val="left"/>
        <w:rPr>
          <w:b w:val="0"/>
          <w:szCs w:val="24"/>
        </w:rPr>
      </w:pPr>
    </w:p>
    <w:p w14:paraId="7273A97C" w14:textId="77777777" w:rsidR="009260DE" w:rsidRPr="00212B5E" w:rsidRDefault="009260DE" w:rsidP="009260DE">
      <w:pPr>
        <w:pStyle w:val="Titel"/>
        <w:jc w:val="left"/>
        <w:rPr>
          <w:b w:val="0"/>
          <w:szCs w:val="24"/>
        </w:rPr>
      </w:pPr>
    </w:p>
    <w:p w14:paraId="5A39F9A6" w14:textId="77777777" w:rsidR="009260DE" w:rsidRPr="00212B5E" w:rsidRDefault="009260DE" w:rsidP="009260DE">
      <w:pPr>
        <w:jc w:val="center"/>
        <w:rPr>
          <w:b/>
          <w:sz w:val="24"/>
          <w:szCs w:val="24"/>
        </w:rPr>
      </w:pPr>
      <w:r w:rsidRPr="00212B5E">
        <w:rPr>
          <w:b/>
          <w:sz w:val="24"/>
          <w:szCs w:val="24"/>
        </w:rPr>
        <w:t>PRODUKTRESUMÉ</w:t>
      </w:r>
    </w:p>
    <w:p w14:paraId="7D2B3C07" w14:textId="77777777" w:rsidR="009260DE" w:rsidRPr="00212B5E" w:rsidRDefault="009260DE" w:rsidP="009260DE">
      <w:pPr>
        <w:jc w:val="center"/>
        <w:rPr>
          <w:b/>
          <w:sz w:val="24"/>
          <w:szCs w:val="24"/>
        </w:rPr>
      </w:pPr>
    </w:p>
    <w:p w14:paraId="7EAAD9DE" w14:textId="77777777" w:rsidR="009260DE" w:rsidRPr="00212B5E" w:rsidRDefault="009260DE" w:rsidP="009260DE">
      <w:pPr>
        <w:jc w:val="center"/>
        <w:rPr>
          <w:b/>
          <w:sz w:val="24"/>
          <w:szCs w:val="24"/>
        </w:rPr>
      </w:pPr>
      <w:r w:rsidRPr="00212B5E">
        <w:rPr>
          <w:b/>
          <w:sz w:val="24"/>
          <w:szCs w:val="24"/>
        </w:rPr>
        <w:t>for</w:t>
      </w:r>
    </w:p>
    <w:p w14:paraId="7B750744" w14:textId="77777777" w:rsidR="000B058C" w:rsidRPr="00212B5E" w:rsidRDefault="000B058C" w:rsidP="009260DE">
      <w:pPr>
        <w:jc w:val="center"/>
        <w:rPr>
          <w:b/>
          <w:sz w:val="24"/>
          <w:szCs w:val="24"/>
        </w:rPr>
      </w:pPr>
    </w:p>
    <w:p w14:paraId="53A4B204" w14:textId="52D28A84" w:rsidR="009260DE" w:rsidRPr="00212B5E" w:rsidRDefault="00821687" w:rsidP="009260DE">
      <w:pPr>
        <w:jc w:val="center"/>
        <w:rPr>
          <w:b/>
          <w:sz w:val="24"/>
          <w:szCs w:val="24"/>
        </w:rPr>
      </w:pPr>
      <w:proofErr w:type="spellStart"/>
      <w:r w:rsidRPr="00212B5E">
        <w:rPr>
          <w:b/>
          <w:sz w:val="24"/>
          <w:szCs w:val="24"/>
        </w:rPr>
        <w:t>Lurasidone</w:t>
      </w:r>
      <w:proofErr w:type="spellEnd"/>
      <w:r w:rsidRPr="00212B5E">
        <w:rPr>
          <w:b/>
          <w:sz w:val="24"/>
          <w:szCs w:val="24"/>
        </w:rPr>
        <w:t xml:space="preserve"> </w:t>
      </w:r>
      <w:r w:rsidR="00325BA6">
        <w:rPr>
          <w:b/>
          <w:sz w:val="24"/>
          <w:szCs w:val="24"/>
        </w:rPr>
        <w:t>"Orifarm"</w:t>
      </w:r>
      <w:r w:rsidRPr="00212B5E">
        <w:rPr>
          <w:b/>
          <w:sz w:val="24"/>
          <w:szCs w:val="24"/>
        </w:rPr>
        <w:t>, filmovertrukne tabletter</w:t>
      </w:r>
    </w:p>
    <w:p w14:paraId="704E1619" w14:textId="77777777" w:rsidR="009260DE" w:rsidRPr="00212B5E" w:rsidRDefault="009260DE" w:rsidP="009260DE">
      <w:pPr>
        <w:jc w:val="both"/>
        <w:rPr>
          <w:sz w:val="24"/>
          <w:szCs w:val="24"/>
        </w:rPr>
      </w:pPr>
    </w:p>
    <w:p w14:paraId="7EB2A454" w14:textId="77777777" w:rsidR="009260DE" w:rsidRPr="00212B5E" w:rsidRDefault="009260DE" w:rsidP="009260DE">
      <w:pPr>
        <w:jc w:val="both"/>
        <w:rPr>
          <w:sz w:val="24"/>
          <w:szCs w:val="24"/>
        </w:rPr>
      </w:pPr>
    </w:p>
    <w:p w14:paraId="26573669" w14:textId="77777777" w:rsidR="009260DE" w:rsidRPr="00212B5E" w:rsidRDefault="009260DE" w:rsidP="009260DE">
      <w:pPr>
        <w:tabs>
          <w:tab w:val="left" w:pos="851"/>
        </w:tabs>
        <w:ind w:left="851" w:hanging="851"/>
        <w:rPr>
          <w:b/>
          <w:sz w:val="24"/>
          <w:szCs w:val="24"/>
        </w:rPr>
      </w:pPr>
      <w:r w:rsidRPr="00212B5E">
        <w:rPr>
          <w:b/>
          <w:sz w:val="24"/>
          <w:szCs w:val="24"/>
        </w:rPr>
        <w:t>0.</w:t>
      </w:r>
      <w:r w:rsidRPr="00212B5E">
        <w:rPr>
          <w:b/>
          <w:sz w:val="24"/>
          <w:szCs w:val="24"/>
        </w:rPr>
        <w:tab/>
        <w:t>D.SP.NR.</w:t>
      </w:r>
    </w:p>
    <w:p w14:paraId="7ACF126A" w14:textId="40E439CF" w:rsidR="009260DE" w:rsidRPr="00212B5E" w:rsidRDefault="00821687" w:rsidP="009260DE">
      <w:pPr>
        <w:tabs>
          <w:tab w:val="left" w:pos="851"/>
        </w:tabs>
        <w:ind w:left="851"/>
        <w:rPr>
          <w:sz w:val="24"/>
          <w:szCs w:val="24"/>
        </w:rPr>
      </w:pPr>
      <w:r w:rsidRPr="00212B5E">
        <w:rPr>
          <w:sz w:val="24"/>
          <w:szCs w:val="24"/>
        </w:rPr>
        <w:t>33298</w:t>
      </w:r>
    </w:p>
    <w:p w14:paraId="75025627" w14:textId="77777777" w:rsidR="009260DE" w:rsidRPr="00212B5E" w:rsidRDefault="009260DE" w:rsidP="009260DE">
      <w:pPr>
        <w:tabs>
          <w:tab w:val="left" w:pos="851"/>
        </w:tabs>
        <w:ind w:left="851"/>
        <w:rPr>
          <w:sz w:val="24"/>
          <w:szCs w:val="24"/>
        </w:rPr>
      </w:pPr>
    </w:p>
    <w:p w14:paraId="75B01ADD" w14:textId="77777777" w:rsidR="009260DE" w:rsidRPr="00212B5E" w:rsidRDefault="009260DE" w:rsidP="009260DE">
      <w:pPr>
        <w:tabs>
          <w:tab w:val="left" w:pos="851"/>
        </w:tabs>
        <w:ind w:left="851" w:hanging="851"/>
        <w:rPr>
          <w:b/>
          <w:sz w:val="24"/>
          <w:szCs w:val="24"/>
        </w:rPr>
      </w:pPr>
      <w:r w:rsidRPr="00212B5E">
        <w:rPr>
          <w:b/>
          <w:sz w:val="24"/>
          <w:szCs w:val="24"/>
        </w:rPr>
        <w:t>1.</w:t>
      </w:r>
      <w:r w:rsidRPr="00212B5E">
        <w:rPr>
          <w:b/>
          <w:sz w:val="24"/>
          <w:szCs w:val="24"/>
        </w:rPr>
        <w:tab/>
        <w:t>LÆGEMIDLETS NAVN</w:t>
      </w:r>
    </w:p>
    <w:p w14:paraId="00038481" w14:textId="3A475DFD" w:rsidR="009260DE" w:rsidRPr="00212B5E" w:rsidRDefault="00821687" w:rsidP="009260DE">
      <w:pPr>
        <w:tabs>
          <w:tab w:val="left" w:pos="851"/>
        </w:tabs>
        <w:ind w:left="851"/>
        <w:rPr>
          <w:sz w:val="24"/>
          <w:szCs w:val="24"/>
        </w:rPr>
      </w:pPr>
      <w:proofErr w:type="spellStart"/>
      <w:r w:rsidRPr="00212B5E">
        <w:rPr>
          <w:sz w:val="24"/>
          <w:szCs w:val="24"/>
        </w:rPr>
        <w:t>Lurasidone</w:t>
      </w:r>
      <w:proofErr w:type="spellEnd"/>
      <w:r w:rsidRPr="00212B5E">
        <w:rPr>
          <w:sz w:val="24"/>
          <w:szCs w:val="24"/>
        </w:rPr>
        <w:t xml:space="preserve"> </w:t>
      </w:r>
      <w:r w:rsidR="00325BA6">
        <w:rPr>
          <w:sz w:val="24"/>
          <w:szCs w:val="24"/>
        </w:rPr>
        <w:t>"Orifarm"</w:t>
      </w:r>
    </w:p>
    <w:p w14:paraId="21FEF1DA" w14:textId="77777777" w:rsidR="009260DE" w:rsidRPr="00212B5E" w:rsidRDefault="009260DE" w:rsidP="009260DE">
      <w:pPr>
        <w:tabs>
          <w:tab w:val="left" w:pos="851"/>
        </w:tabs>
        <w:ind w:left="851"/>
        <w:rPr>
          <w:sz w:val="24"/>
          <w:szCs w:val="24"/>
        </w:rPr>
      </w:pPr>
    </w:p>
    <w:p w14:paraId="4C90F962" w14:textId="77777777" w:rsidR="009260DE" w:rsidRPr="00212B5E" w:rsidRDefault="009260DE" w:rsidP="009260DE">
      <w:pPr>
        <w:tabs>
          <w:tab w:val="left" w:pos="851"/>
        </w:tabs>
        <w:ind w:left="851" w:hanging="851"/>
        <w:rPr>
          <w:b/>
          <w:sz w:val="24"/>
          <w:szCs w:val="24"/>
        </w:rPr>
      </w:pPr>
      <w:r w:rsidRPr="00212B5E">
        <w:rPr>
          <w:b/>
          <w:sz w:val="24"/>
          <w:szCs w:val="24"/>
        </w:rPr>
        <w:t>2.</w:t>
      </w:r>
      <w:r w:rsidRPr="00212B5E">
        <w:rPr>
          <w:b/>
          <w:sz w:val="24"/>
          <w:szCs w:val="24"/>
        </w:rPr>
        <w:tab/>
        <w:t>KVALITATIV OG KVANTITATIV SAMMENSÆTNING</w:t>
      </w:r>
    </w:p>
    <w:p w14:paraId="5BE3D837" w14:textId="77777777" w:rsidR="00212B5E" w:rsidRDefault="00212B5E" w:rsidP="002836D2">
      <w:pPr>
        <w:ind w:left="851"/>
        <w:rPr>
          <w:sz w:val="24"/>
          <w:szCs w:val="24"/>
        </w:rPr>
      </w:pPr>
    </w:p>
    <w:p w14:paraId="2DBDE182" w14:textId="59E1778F" w:rsidR="00314C3D" w:rsidRPr="00212B5E" w:rsidRDefault="00314C3D" w:rsidP="002836D2">
      <w:pPr>
        <w:ind w:left="851"/>
        <w:rPr>
          <w:sz w:val="24"/>
          <w:szCs w:val="24"/>
          <w:u w:val="single"/>
          <w:lang w:eastAsia="da-DK"/>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18,5 mg filmovertrukne tabletter</w:t>
      </w:r>
    </w:p>
    <w:p w14:paraId="688104F3" w14:textId="57DFDFAF" w:rsidR="00314C3D" w:rsidRPr="00212B5E" w:rsidRDefault="00314C3D" w:rsidP="002836D2">
      <w:pPr>
        <w:ind w:left="851"/>
        <w:rPr>
          <w:sz w:val="24"/>
          <w:szCs w:val="24"/>
        </w:rPr>
      </w:pPr>
      <w:r w:rsidRPr="00212B5E">
        <w:rPr>
          <w:sz w:val="24"/>
          <w:szCs w:val="24"/>
        </w:rPr>
        <w:t xml:space="preserve">Hver </w:t>
      </w:r>
      <w:r w:rsidR="00325BA6">
        <w:rPr>
          <w:sz w:val="24"/>
          <w:szCs w:val="24"/>
        </w:rPr>
        <w:t>filmovertrukket</w:t>
      </w:r>
      <w:r w:rsidRPr="00212B5E">
        <w:rPr>
          <w:sz w:val="24"/>
          <w:szCs w:val="24"/>
        </w:rPr>
        <w:t xml:space="preserve"> tablet indeholder </w:t>
      </w:r>
      <w:proofErr w:type="spellStart"/>
      <w:r w:rsidRPr="00212B5E">
        <w:rPr>
          <w:sz w:val="24"/>
          <w:szCs w:val="24"/>
        </w:rPr>
        <w:t>lurasidonhydrochlorid</w:t>
      </w:r>
      <w:proofErr w:type="spellEnd"/>
      <w:r w:rsidRPr="00212B5E">
        <w:rPr>
          <w:sz w:val="24"/>
          <w:szCs w:val="24"/>
        </w:rPr>
        <w:t xml:space="preserve"> svarende til 18,62 mg </w:t>
      </w:r>
      <w:proofErr w:type="spellStart"/>
      <w:r w:rsidRPr="00212B5E">
        <w:rPr>
          <w:sz w:val="24"/>
          <w:szCs w:val="24"/>
        </w:rPr>
        <w:t>lurasidon</w:t>
      </w:r>
      <w:proofErr w:type="spellEnd"/>
      <w:r w:rsidRPr="00212B5E">
        <w:rPr>
          <w:sz w:val="24"/>
          <w:szCs w:val="24"/>
        </w:rPr>
        <w:t>.</w:t>
      </w:r>
    </w:p>
    <w:p w14:paraId="38A7DE7B" w14:textId="77777777" w:rsidR="00314C3D" w:rsidRPr="00212B5E" w:rsidRDefault="00314C3D" w:rsidP="002836D2">
      <w:pPr>
        <w:ind w:left="851"/>
        <w:rPr>
          <w:sz w:val="24"/>
          <w:szCs w:val="24"/>
        </w:rPr>
      </w:pPr>
    </w:p>
    <w:p w14:paraId="1B0EE65C" w14:textId="5F7CF4DC" w:rsidR="00314C3D" w:rsidRPr="00212B5E" w:rsidRDefault="00314C3D" w:rsidP="002836D2">
      <w:pPr>
        <w:ind w:left="851"/>
        <w:rPr>
          <w:sz w:val="24"/>
          <w:szCs w:val="24"/>
          <w:u w:val="single"/>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37 mg filmovertrukne tabletter</w:t>
      </w:r>
    </w:p>
    <w:p w14:paraId="25A80A73" w14:textId="6FB44DB5" w:rsidR="00314C3D" w:rsidRPr="00212B5E" w:rsidRDefault="00314C3D" w:rsidP="002836D2">
      <w:pPr>
        <w:ind w:left="851"/>
        <w:rPr>
          <w:sz w:val="24"/>
          <w:szCs w:val="24"/>
        </w:rPr>
      </w:pPr>
      <w:r w:rsidRPr="00212B5E">
        <w:rPr>
          <w:sz w:val="24"/>
          <w:szCs w:val="24"/>
        </w:rPr>
        <w:t xml:space="preserve">Hver </w:t>
      </w:r>
      <w:r w:rsidR="00325BA6">
        <w:rPr>
          <w:sz w:val="24"/>
          <w:szCs w:val="24"/>
        </w:rPr>
        <w:t>filmovertrukket</w:t>
      </w:r>
      <w:r w:rsidRPr="00212B5E">
        <w:rPr>
          <w:sz w:val="24"/>
          <w:szCs w:val="24"/>
        </w:rPr>
        <w:t xml:space="preserve"> tablet indeholder </w:t>
      </w:r>
      <w:proofErr w:type="spellStart"/>
      <w:r w:rsidRPr="00212B5E">
        <w:rPr>
          <w:sz w:val="24"/>
          <w:szCs w:val="24"/>
        </w:rPr>
        <w:t>lurasidonhydrochlorid</w:t>
      </w:r>
      <w:proofErr w:type="spellEnd"/>
      <w:r w:rsidRPr="00212B5E">
        <w:rPr>
          <w:sz w:val="24"/>
          <w:szCs w:val="24"/>
        </w:rPr>
        <w:t xml:space="preserve"> svarende til 37,24 mg </w:t>
      </w:r>
      <w:proofErr w:type="spellStart"/>
      <w:r w:rsidRPr="00212B5E">
        <w:rPr>
          <w:sz w:val="24"/>
          <w:szCs w:val="24"/>
        </w:rPr>
        <w:t>lurasidon</w:t>
      </w:r>
      <w:proofErr w:type="spellEnd"/>
      <w:r w:rsidRPr="00212B5E">
        <w:rPr>
          <w:sz w:val="24"/>
          <w:szCs w:val="24"/>
        </w:rPr>
        <w:t>.</w:t>
      </w:r>
    </w:p>
    <w:p w14:paraId="3AA5AC01" w14:textId="77777777" w:rsidR="00314C3D" w:rsidRPr="00212B5E" w:rsidRDefault="00314C3D" w:rsidP="002836D2">
      <w:pPr>
        <w:ind w:left="851"/>
        <w:rPr>
          <w:sz w:val="24"/>
          <w:szCs w:val="24"/>
          <w:u w:val="single"/>
        </w:rPr>
      </w:pPr>
    </w:p>
    <w:p w14:paraId="00C46E1F" w14:textId="105BE5C0" w:rsidR="00314C3D" w:rsidRPr="00212B5E" w:rsidRDefault="00314C3D" w:rsidP="002836D2">
      <w:pPr>
        <w:ind w:left="851"/>
        <w:rPr>
          <w:sz w:val="24"/>
          <w:szCs w:val="24"/>
          <w:u w:val="single"/>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74 mg filmovertrukne tabletter</w:t>
      </w:r>
    </w:p>
    <w:p w14:paraId="0AC140E1" w14:textId="3007D4ED" w:rsidR="00314C3D" w:rsidRPr="00212B5E" w:rsidRDefault="00314C3D" w:rsidP="002836D2">
      <w:pPr>
        <w:ind w:left="851"/>
        <w:rPr>
          <w:sz w:val="24"/>
          <w:szCs w:val="24"/>
        </w:rPr>
      </w:pPr>
      <w:r w:rsidRPr="00212B5E">
        <w:rPr>
          <w:sz w:val="24"/>
          <w:szCs w:val="24"/>
        </w:rPr>
        <w:t xml:space="preserve">Hver </w:t>
      </w:r>
      <w:r w:rsidR="00325BA6">
        <w:rPr>
          <w:sz w:val="24"/>
          <w:szCs w:val="24"/>
        </w:rPr>
        <w:t>filmovertrukket</w:t>
      </w:r>
      <w:r w:rsidRPr="00212B5E">
        <w:rPr>
          <w:sz w:val="24"/>
          <w:szCs w:val="24"/>
        </w:rPr>
        <w:t xml:space="preserve"> tablet indeholder </w:t>
      </w:r>
      <w:proofErr w:type="spellStart"/>
      <w:r w:rsidRPr="00212B5E">
        <w:rPr>
          <w:sz w:val="24"/>
          <w:szCs w:val="24"/>
        </w:rPr>
        <w:t>lurasidonhydrochlorid</w:t>
      </w:r>
      <w:proofErr w:type="spellEnd"/>
      <w:r w:rsidRPr="00212B5E">
        <w:rPr>
          <w:sz w:val="24"/>
          <w:szCs w:val="24"/>
        </w:rPr>
        <w:t xml:space="preserve"> svarende til 74,49 mg </w:t>
      </w:r>
      <w:proofErr w:type="spellStart"/>
      <w:r w:rsidRPr="00212B5E">
        <w:rPr>
          <w:sz w:val="24"/>
          <w:szCs w:val="24"/>
        </w:rPr>
        <w:t>lurasidon</w:t>
      </w:r>
      <w:proofErr w:type="spellEnd"/>
      <w:r w:rsidRPr="00212B5E">
        <w:rPr>
          <w:sz w:val="24"/>
          <w:szCs w:val="24"/>
        </w:rPr>
        <w:t>.</w:t>
      </w:r>
    </w:p>
    <w:p w14:paraId="32E2B242" w14:textId="77777777" w:rsidR="00314C3D" w:rsidRPr="00212B5E" w:rsidRDefault="00314C3D" w:rsidP="002836D2">
      <w:pPr>
        <w:ind w:left="851"/>
        <w:rPr>
          <w:sz w:val="24"/>
          <w:szCs w:val="24"/>
        </w:rPr>
      </w:pPr>
    </w:p>
    <w:p w14:paraId="3DDD6DFF" w14:textId="77777777" w:rsidR="00314C3D" w:rsidRPr="00212B5E" w:rsidRDefault="00314C3D" w:rsidP="002836D2">
      <w:pPr>
        <w:ind w:left="851"/>
        <w:rPr>
          <w:sz w:val="24"/>
          <w:szCs w:val="24"/>
          <w:u w:val="single"/>
        </w:rPr>
      </w:pPr>
      <w:r w:rsidRPr="00212B5E">
        <w:rPr>
          <w:sz w:val="24"/>
          <w:szCs w:val="24"/>
          <w:u w:val="single"/>
        </w:rPr>
        <w:t>Hjælpestof, som behandleren skal være opmærksom på:</w:t>
      </w:r>
    </w:p>
    <w:p w14:paraId="72D1B3ED" w14:textId="77777777" w:rsidR="00314C3D" w:rsidRPr="00212B5E" w:rsidRDefault="00314C3D" w:rsidP="002836D2">
      <w:pPr>
        <w:ind w:left="851"/>
        <w:rPr>
          <w:sz w:val="24"/>
          <w:szCs w:val="24"/>
        </w:rPr>
      </w:pPr>
      <w:r w:rsidRPr="00212B5E">
        <w:rPr>
          <w:sz w:val="24"/>
          <w:szCs w:val="24"/>
        </w:rPr>
        <w:t xml:space="preserve">Hver 18,5 mg filmoverstrukket tablet indeholder 30,00 mg </w:t>
      </w:r>
      <w:proofErr w:type="spellStart"/>
      <w:r w:rsidRPr="00212B5E">
        <w:rPr>
          <w:sz w:val="24"/>
          <w:szCs w:val="24"/>
        </w:rPr>
        <w:t>mannitol</w:t>
      </w:r>
      <w:proofErr w:type="spellEnd"/>
      <w:r w:rsidRPr="00212B5E">
        <w:rPr>
          <w:sz w:val="24"/>
          <w:szCs w:val="24"/>
        </w:rPr>
        <w:t xml:space="preserve">. </w:t>
      </w:r>
    </w:p>
    <w:p w14:paraId="71F07CFC" w14:textId="77777777" w:rsidR="00314C3D" w:rsidRPr="00212B5E" w:rsidRDefault="00314C3D" w:rsidP="002836D2">
      <w:pPr>
        <w:ind w:left="851"/>
        <w:rPr>
          <w:sz w:val="24"/>
          <w:szCs w:val="24"/>
        </w:rPr>
      </w:pPr>
      <w:r w:rsidRPr="00212B5E">
        <w:rPr>
          <w:sz w:val="24"/>
          <w:szCs w:val="24"/>
        </w:rPr>
        <w:t xml:space="preserve">Hver 37 mg filmoverstrukket tablet indeholder 60,00 mg </w:t>
      </w:r>
      <w:proofErr w:type="spellStart"/>
      <w:r w:rsidRPr="00212B5E">
        <w:rPr>
          <w:sz w:val="24"/>
          <w:szCs w:val="24"/>
        </w:rPr>
        <w:t>mannitol</w:t>
      </w:r>
      <w:proofErr w:type="spellEnd"/>
      <w:r w:rsidRPr="00212B5E">
        <w:rPr>
          <w:sz w:val="24"/>
          <w:szCs w:val="24"/>
        </w:rPr>
        <w:t xml:space="preserve">. </w:t>
      </w:r>
    </w:p>
    <w:p w14:paraId="31F7D359" w14:textId="77777777" w:rsidR="00314C3D" w:rsidRPr="00212B5E" w:rsidRDefault="00314C3D" w:rsidP="002836D2">
      <w:pPr>
        <w:ind w:left="851"/>
        <w:rPr>
          <w:sz w:val="24"/>
          <w:szCs w:val="24"/>
        </w:rPr>
      </w:pPr>
      <w:r w:rsidRPr="00212B5E">
        <w:rPr>
          <w:sz w:val="24"/>
          <w:szCs w:val="24"/>
        </w:rPr>
        <w:t xml:space="preserve">Hver 74 mg filmoverstrukket tablet indeholder 120,00 mg </w:t>
      </w:r>
      <w:proofErr w:type="spellStart"/>
      <w:r w:rsidRPr="00212B5E">
        <w:rPr>
          <w:sz w:val="24"/>
          <w:szCs w:val="24"/>
        </w:rPr>
        <w:t>mannitol</w:t>
      </w:r>
      <w:proofErr w:type="spellEnd"/>
      <w:r w:rsidRPr="00212B5E">
        <w:rPr>
          <w:sz w:val="24"/>
          <w:szCs w:val="24"/>
        </w:rPr>
        <w:t xml:space="preserve">. </w:t>
      </w:r>
    </w:p>
    <w:p w14:paraId="0B73C44B" w14:textId="77777777" w:rsidR="00314C3D" w:rsidRPr="00212B5E" w:rsidRDefault="00314C3D" w:rsidP="002836D2">
      <w:pPr>
        <w:ind w:left="851"/>
        <w:rPr>
          <w:sz w:val="24"/>
          <w:szCs w:val="24"/>
        </w:rPr>
      </w:pPr>
    </w:p>
    <w:p w14:paraId="733E253E" w14:textId="77777777" w:rsidR="00314C3D" w:rsidRPr="00212B5E" w:rsidRDefault="00314C3D" w:rsidP="002836D2">
      <w:pPr>
        <w:ind w:left="851"/>
        <w:rPr>
          <w:sz w:val="24"/>
          <w:szCs w:val="24"/>
        </w:rPr>
      </w:pPr>
      <w:r w:rsidRPr="00212B5E">
        <w:rPr>
          <w:sz w:val="24"/>
          <w:szCs w:val="24"/>
        </w:rPr>
        <w:t>Alle hjælpestoffer er anført under pkt. 6.1.</w:t>
      </w:r>
    </w:p>
    <w:p w14:paraId="79579D03" w14:textId="77777777" w:rsidR="009260DE" w:rsidRPr="00212B5E" w:rsidRDefault="009260DE" w:rsidP="009260DE">
      <w:pPr>
        <w:tabs>
          <w:tab w:val="left" w:pos="851"/>
        </w:tabs>
        <w:ind w:left="851"/>
        <w:rPr>
          <w:sz w:val="24"/>
          <w:szCs w:val="24"/>
        </w:rPr>
      </w:pPr>
    </w:p>
    <w:p w14:paraId="312F6C1C" w14:textId="77777777" w:rsidR="009260DE" w:rsidRPr="00212B5E" w:rsidRDefault="009260DE" w:rsidP="009260DE">
      <w:pPr>
        <w:tabs>
          <w:tab w:val="left" w:pos="851"/>
        </w:tabs>
        <w:ind w:left="851" w:hanging="851"/>
        <w:rPr>
          <w:b/>
          <w:sz w:val="24"/>
          <w:szCs w:val="24"/>
        </w:rPr>
      </w:pPr>
      <w:r w:rsidRPr="00212B5E">
        <w:rPr>
          <w:b/>
          <w:sz w:val="24"/>
          <w:szCs w:val="24"/>
        </w:rPr>
        <w:t>3.</w:t>
      </w:r>
      <w:r w:rsidRPr="00212B5E">
        <w:rPr>
          <w:b/>
          <w:sz w:val="24"/>
          <w:szCs w:val="24"/>
        </w:rPr>
        <w:tab/>
        <w:t>LÆGEMIDDELFORM</w:t>
      </w:r>
    </w:p>
    <w:p w14:paraId="3B613E82" w14:textId="0ED8A837" w:rsidR="00314C3D" w:rsidRPr="00212B5E" w:rsidRDefault="00314C3D" w:rsidP="002836D2">
      <w:pPr>
        <w:ind w:left="851"/>
        <w:rPr>
          <w:sz w:val="24"/>
          <w:szCs w:val="24"/>
          <w:lang w:eastAsia="da-DK"/>
        </w:rPr>
      </w:pPr>
      <w:r w:rsidRPr="00212B5E">
        <w:rPr>
          <w:sz w:val="24"/>
          <w:szCs w:val="24"/>
        </w:rPr>
        <w:t>Filmovertruk</w:t>
      </w:r>
      <w:r w:rsidR="00212B5E">
        <w:rPr>
          <w:sz w:val="24"/>
          <w:szCs w:val="24"/>
        </w:rPr>
        <w:t>ne</w:t>
      </w:r>
      <w:r w:rsidRPr="00212B5E">
        <w:rPr>
          <w:sz w:val="24"/>
          <w:szCs w:val="24"/>
        </w:rPr>
        <w:t xml:space="preserve"> tablet</w:t>
      </w:r>
      <w:r w:rsidR="00212B5E">
        <w:rPr>
          <w:sz w:val="24"/>
          <w:szCs w:val="24"/>
        </w:rPr>
        <w:t>ter</w:t>
      </w:r>
    </w:p>
    <w:p w14:paraId="1CA7CE55" w14:textId="77777777" w:rsidR="00314C3D" w:rsidRPr="00212B5E" w:rsidRDefault="00314C3D" w:rsidP="002836D2">
      <w:pPr>
        <w:ind w:left="851"/>
        <w:rPr>
          <w:sz w:val="24"/>
          <w:szCs w:val="24"/>
        </w:rPr>
      </w:pPr>
    </w:p>
    <w:p w14:paraId="6CA342D5" w14:textId="2FE65B9E" w:rsidR="00314C3D" w:rsidRPr="00212B5E" w:rsidRDefault="00314C3D" w:rsidP="002836D2">
      <w:pPr>
        <w:ind w:left="851"/>
        <w:rPr>
          <w:sz w:val="24"/>
          <w:szCs w:val="24"/>
          <w:u w:val="single"/>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18,5 mg filmovertrukne tabletter</w:t>
      </w:r>
    </w:p>
    <w:p w14:paraId="4E47C8CF" w14:textId="77777777" w:rsidR="00314C3D" w:rsidRPr="00212B5E" w:rsidRDefault="00314C3D" w:rsidP="002836D2">
      <w:pPr>
        <w:ind w:left="851"/>
        <w:rPr>
          <w:sz w:val="24"/>
          <w:szCs w:val="24"/>
        </w:rPr>
      </w:pPr>
      <w:r w:rsidRPr="00212B5E">
        <w:rPr>
          <w:sz w:val="24"/>
          <w:szCs w:val="24"/>
        </w:rPr>
        <w:t>Hvide til råhvide, runde, filmovertrukne tabletter, præget med "LL" på den ene side, blank på den anden side, 6 mm i diameter.</w:t>
      </w:r>
    </w:p>
    <w:p w14:paraId="32EF888A" w14:textId="286B158A" w:rsidR="00325BA6" w:rsidRDefault="00325BA6">
      <w:pPr>
        <w:rPr>
          <w:sz w:val="24"/>
          <w:szCs w:val="24"/>
        </w:rPr>
      </w:pPr>
      <w:r>
        <w:rPr>
          <w:sz w:val="24"/>
          <w:szCs w:val="24"/>
        </w:rPr>
        <w:br w:type="page"/>
      </w:r>
    </w:p>
    <w:p w14:paraId="2F262501" w14:textId="77777777" w:rsidR="00314C3D" w:rsidRPr="00212B5E" w:rsidRDefault="00314C3D" w:rsidP="002836D2">
      <w:pPr>
        <w:ind w:left="851"/>
        <w:rPr>
          <w:sz w:val="24"/>
          <w:szCs w:val="24"/>
        </w:rPr>
      </w:pPr>
    </w:p>
    <w:p w14:paraId="2A55D9B8" w14:textId="74747F36" w:rsidR="00314C3D" w:rsidRPr="00212B5E" w:rsidRDefault="00314C3D" w:rsidP="002836D2">
      <w:pPr>
        <w:ind w:left="851"/>
        <w:rPr>
          <w:sz w:val="24"/>
          <w:szCs w:val="24"/>
          <w:u w:val="single"/>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37 mg filmovertrukne tabletter</w:t>
      </w:r>
    </w:p>
    <w:p w14:paraId="3A8E3B8A" w14:textId="77777777" w:rsidR="00314C3D" w:rsidRPr="00212B5E" w:rsidRDefault="00314C3D" w:rsidP="002836D2">
      <w:pPr>
        <w:ind w:left="851"/>
        <w:rPr>
          <w:sz w:val="24"/>
          <w:szCs w:val="24"/>
        </w:rPr>
      </w:pPr>
      <w:r w:rsidRPr="00212B5E">
        <w:rPr>
          <w:sz w:val="24"/>
          <w:szCs w:val="24"/>
        </w:rPr>
        <w:t>Hvide til råhvide, runde, filmovertrukne tabletter, præget med "LI" på den ene side, blank på den anden side, 8 mm i diameter.</w:t>
      </w:r>
    </w:p>
    <w:p w14:paraId="7D8EF2D9" w14:textId="77777777" w:rsidR="00314C3D" w:rsidRPr="00212B5E" w:rsidRDefault="00314C3D" w:rsidP="002836D2">
      <w:pPr>
        <w:ind w:left="851"/>
        <w:rPr>
          <w:sz w:val="24"/>
          <w:szCs w:val="24"/>
        </w:rPr>
      </w:pPr>
    </w:p>
    <w:p w14:paraId="7007673D" w14:textId="42444106" w:rsidR="00314C3D" w:rsidRPr="00212B5E" w:rsidRDefault="00314C3D" w:rsidP="002836D2">
      <w:pPr>
        <w:ind w:left="851"/>
        <w:rPr>
          <w:sz w:val="24"/>
          <w:szCs w:val="24"/>
          <w:u w:val="single"/>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74 mg filmovertrukne tabletter</w:t>
      </w:r>
    </w:p>
    <w:p w14:paraId="67108B77" w14:textId="2143EE37" w:rsidR="00314C3D" w:rsidRPr="00212B5E" w:rsidRDefault="00314C3D" w:rsidP="002836D2">
      <w:pPr>
        <w:ind w:left="851"/>
        <w:rPr>
          <w:sz w:val="24"/>
          <w:szCs w:val="24"/>
        </w:rPr>
      </w:pPr>
      <w:r w:rsidRPr="00212B5E">
        <w:rPr>
          <w:sz w:val="24"/>
          <w:szCs w:val="24"/>
        </w:rPr>
        <w:t xml:space="preserve">Lysegrønne til grønne, ovale, filmovertrukne tabletter, præget med "LH" på den ene side, blank på den anden side med målene 12 </w:t>
      </w:r>
      <w:r w:rsidR="00325BA6">
        <w:rPr>
          <w:sz w:val="24"/>
          <w:szCs w:val="24"/>
        </w:rPr>
        <w:t>×</w:t>
      </w:r>
      <w:r w:rsidRPr="00212B5E">
        <w:rPr>
          <w:sz w:val="24"/>
          <w:szCs w:val="24"/>
        </w:rPr>
        <w:t xml:space="preserve"> 7 mm.</w:t>
      </w:r>
    </w:p>
    <w:p w14:paraId="2A6F0A40" w14:textId="77777777" w:rsidR="009260DE" w:rsidRPr="00212B5E" w:rsidRDefault="009260DE" w:rsidP="009260DE">
      <w:pPr>
        <w:tabs>
          <w:tab w:val="left" w:pos="851"/>
        </w:tabs>
        <w:ind w:left="851"/>
        <w:rPr>
          <w:sz w:val="24"/>
          <w:szCs w:val="24"/>
        </w:rPr>
      </w:pPr>
    </w:p>
    <w:p w14:paraId="00E8FF2A" w14:textId="77777777" w:rsidR="009260DE" w:rsidRPr="00212B5E" w:rsidRDefault="009260DE" w:rsidP="009260DE">
      <w:pPr>
        <w:tabs>
          <w:tab w:val="left" w:pos="851"/>
        </w:tabs>
        <w:ind w:left="851"/>
        <w:rPr>
          <w:sz w:val="24"/>
          <w:szCs w:val="24"/>
        </w:rPr>
      </w:pPr>
    </w:p>
    <w:p w14:paraId="0591A46F" w14:textId="77777777" w:rsidR="009260DE" w:rsidRPr="00212B5E" w:rsidRDefault="009260DE" w:rsidP="009260DE">
      <w:pPr>
        <w:tabs>
          <w:tab w:val="left" w:pos="851"/>
        </w:tabs>
        <w:ind w:left="851" w:hanging="851"/>
        <w:rPr>
          <w:b/>
          <w:sz w:val="24"/>
          <w:szCs w:val="24"/>
        </w:rPr>
      </w:pPr>
      <w:r w:rsidRPr="00212B5E">
        <w:rPr>
          <w:b/>
          <w:sz w:val="24"/>
          <w:szCs w:val="24"/>
        </w:rPr>
        <w:t>4.</w:t>
      </w:r>
      <w:r w:rsidRPr="00212B5E">
        <w:rPr>
          <w:b/>
          <w:sz w:val="24"/>
          <w:szCs w:val="24"/>
        </w:rPr>
        <w:tab/>
        <w:t>KLINISKE OPLYSNINGER</w:t>
      </w:r>
    </w:p>
    <w:p w14:paraId="3F5DF651" w14:textId="77777777" w:rsidR="009260DE" w:rsidRPr="00212B5E" w:rsidRDefault="009260DE" w:rsidP="009260DE">
      <w:pPr>
        <w:tabs>
          <w:tab w:val="left" w:pos="851"/>
        </w:tabs>
        <w:ind w:left="851"/>
        <w:rPr>
          <w:b/>
          <w:sz w:val="24"/>
          <w:szCs w:val="24"/>
        </w:rPr>
      </w:pPr>
    </w:p>
    <w:p w14:paraId="12BF450C" w14:textId="77777777" w:rsidR="009260DE" w:rsidRPr="00212B5E" w:rsidRDefault="009260DE" w:rsidP="009260DE">
      <w:pPr>
        <w:tabs>
          <w:tab w:val="left" w:pos="851"/>
        </w:tabs>
        <w:ind w:left="851" w:hanging="851"/>
        <w:rPr>
          <w:b/>
          <w:sz w:val="24"/>
          <w:szCs w:val="24"/>
          <w:u w:val="single"/>
        </w:rPr>
      </w:pPr>
      <w:r w:rsidRPr="00212B5E">
        <w:rPr>
          <w:b/>
          <w:sz w:val="24"/>
          <w:szCs w:val="24"/>
        </w:rPr>
        <w:t>4.1</w:t>
      </w:r>
      <w:r w:rsidRPr="00212B5E">
        <w:rPr>
          <w:b/>
          <w:sz w:val="24"/>
          <w:szCs w:val="24"/>
        </w:rPr>
        <w:tab/>
        <w:t>Terapeutiske indikationer</w:t>
      </w:r>
    </w:p>
    <w:p w14:paraId="21121CF5" w14:textId="63824199" w:rsidR="00314C3D" w:rsidRPr="00212B5E" w:rsidRDefault="00314C3D" w:rsidP="002836D2">
      <w:pPr>
        <w:ind w:left="851"/>
        <w:rPr>
          <w:sz w:val="24"/>
          <w:szCs w:val="24"/>
          <w:lang w:eastAsia="da-DK"/>
        </w:rPr>
      </w:pP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er indiceret til behandling af skizofreni hos voksne og unge i alderen 13 år og derover.</w:t>
      </w:r>
    </w:p>
    <w:p w14:paraId="00BF4407" w14:textId="77777777" w:rsidR="009260DE" w:rsidRPr="00212B5E" w:rsidRDefault="009260DE" w:rsidP="009260DE">
      <w:pPr>
        <w:tabs>
          <w:tab w:val="left" w:pos="851"/>
        </w:tabs>
        <w:ind w:left="851"/>
        <w:rPr>
          <w:sz w:val="24"/>
          <w:szCs w:val="24"/>
        </w:rPr>
      </w:pPr>
    </w:p>
    <w:p w14:paraId="44A17BE3" w14:textId="77777777" w:rsidR="009260DE" w:rsidRPr="00212B5E" w:rsidRDefault="009260DE" w:rsidP="009260DE">
      <w:pPr>
        <w:tabs>
          <w:tab w:val="left" w:pos="851"/>
        </w:tabs>
        <w:ind w:left="851" w:hanging="851"/>
        <w:rPr>
          <w:b/>
          <w:sz w:val="24"/>
          <w:szCs w:val="24"/>
        </w:rPr>
      </w:pPr>
      <w:r w:rsidRPr="00212B5E">
        <w:rPr>
          <w:b/>
          <w:sz w:val="24"/>
          <w:szCs w:val="24"/>
        </w:rPr>
        <w:t>4.2</w:t>
      </w:r>
      <w:r w:rsidRPr="00212B5E">
        <w:rPr>
          <w:b/>
          <w:sz w:val="24"/>
          <w:szCs w:val="24"/>
        </w:rPr>
        <w:tab/>
        <w:t xml:space="preserve">Dosering og </w:t>
      </w:r>
      <w:r w:rsidR="002C1EC0" w:rsidRPr="00212B5E">
        <w:rPr>
          <w:b/>
          <w:sz w:val="24"/>
          <w:szCs w:val="24"/>
        </w:rPr>
        <w:t>administration</w:t>
      </w:r>
    </w:p>
    <w:p w14:paraId="03D17617" w14:textId="77777777" w:rsidR="00212B5E" w:rsidRDefault="00212B5E" w:rsidP="002836D2">
      <w:pPr>
        <w:ind w:left="851"/>
        <w:rPr>
          <w:sz w:val="24"/>
          <w:szCs w:val="24"/>
        </w:rPr>
      </w:pPr>
    </w:p>
    <w:p w14:paraId="2C7A0555" w14:textId="28BA07FE" w:rsidR="00314C3D" w:rsidRPr="00212B5E" w:rsidRDefault="00314C3D" w:rsidP="002836D2">
      <w:pPr>
        <w:ind w:left="851"/>
        <w:rPr>
          <w:sz w:val="24"/>
          <w:szCs w:val="24"/>
          <w:u w:val="single"/>
          <w:lang w:eastAsia="da-DK"/>
        </w:rPr>
      </w:pPr>
      <w:r w:rsidRPr="00212B5E">
        <w:rPr>
          <w:sz w:val="24"/>
          <w:szCs w:val="24"/>
          <w:u w:val="single"/>
        </w:rPr>
        <w:t>Dosering</w:t>
      </w:r>
    </w:p>
    <w:p w14:paraId="602B6A31" w14:textId="77777777" w:rsidR="00314C3D" w:rsidRPr="00212B5E" w:rsidRDefault="00314C3D" w:rsidP="002836D2">
      <w:pPr>
        <w:ind w:left="851"/>
        <w:rPr>
          <w:sz w:val="24"/>
          <w:szCs w:val="24"/>
        </w:rPr>
      </w:pPr>
    </w:p>
    <w:p w14:paraId="7C95B6BF" w14:textId="77777777" w:rsidR="00314C3D" w:rsidRPr="00212B5E" w:rsidRDefault="00314C3D" w:rsidP="002836D2">
      <w:pPr>
        <w:ind w:left="851"/>
        <w:rPr>
          <w:i/>
          <w:iCs/>
          <w:sz w:val="24"/>
          <w:szCs w:val="24"/>
        </w:rPr>
      </w:pPr>
      <w:r w:rsidRPr="00212B5E">
        <w:rPr>
          <w:i/>
          <w:iCs/>
          <w:sz w:val="24"/>
          <w:szCs w:val="24"/>
        </w:rPr>
        <w:t>Voksen population</w:t>
      </w:r>
    </w:p>
    <w:p w14:paraId="1690B6EC" w14:textId="77777777" w:rsidR="00314C3D" w:rsidRPr="00212B5E" w:rsidRDefault="00314C3D" w:rsidP="002836D2">
      <w:pPr>
        <w:ind w:left="851"/>
        <w:rPr>
          <w:sz w:val="24"/>
          <w:szCs w:val="24"/>
        </w:rPr>
      </w:pPr>
      <w:r w:rsidRPr="00212B5E">
        <w:rPr>
          <w:sz w:val="24"/>
          <w:szCs w:val="24"/>
        </w:rPr>
        <w:t xml:space="preserve">Den anbefalede startdosis er 37 mg </w:t>
      </w:r>
      <w:proofErr w:type="spellStart"/>
      <w:r w:rsidRPr="00212B5E">
        <w:rPr>
          <w:sz w:val="24"/>
          <w:szCs w:val="24"/>
        </w:rPr>
        <w:t>lurasidon</w:t>
      </w:r>
      <w:proofErr w:type="spellEnd"/>
      <w:r w:rsidRPr="00212B5E">
        <w:rPr>
          <w:sz w:val="24"/>
          <w:szCs w:val="24"/>
        </w:rPr>
        <w:t xml:space="preserve"> én gang dagligt. Initial dosistitrering er ikke nødvendig. Det er virkningsfuldt i en dosis på 37 til 148 mg taget én gang dagligt. Dosisforøgelse skal foretages på grundlag af lægelig vurdering og det observerede kliniske respons. Den maksimale daglige dosis bør ikke overstige 148 mg.</w:t>
      </w:r>
    </w:p>
    <w:p w14:paraId="48C64730" w14:textId="77777777" w:rsidR="00314C3D" w:rsidRPr="00212B5E" w:rsidRDefault="00314C3D" w:rsidP="002836D2">
      <w:pPr>
        <w:ind w:left="851"/>
        <w:rPr>
          <w:sz w:val="24"/>
          <w:szCs w:val="24"/>
        </w:rPr>
      </w:pPr>
    </w:p>
    <w:p w14:paraId="6998D948" w14:textId="03F64A3A" w:rsidR="00314C3D" w:rsidRPr="00212B5E" w:rsidRDefault="00314C3D" w:rsidP="002836D2">
      <w:pPr>
        <w:ind w:left="851"/>
        <w:rPr>
          <w:sz w:val="24"/>
          <w:szCs w:val="24"/>
        </w:rPr>
      </w:pPr>
      <w:r w:rsidRPr="00212B5E">
        <w:rPr>
          <w:sz w:val="24"/>
          <w:szCs w:val="24"/>
        </w:rPr>
        <w:t>Patienter med højere doser end 111 mg én gang dagligt, som afbryder deres behandling i mere end</w:t>
      </w:r>
      <w:r w:rsidR="00212B5E">
        <w:rPr>
          <w:sz w:val="24"/>
          <w:szCs w:val="24"/>
        </w:rPr>
        <w:t xml:space="preserve"> </w:t>
      </w:r>
      <w:r w:rsidRPr="00212B5E">
        <w:rPr>
          <w:sz w:val="24"/>
          <w:szCs w:val="24"/>
        </w:rPr>
        <w:t xml:space="preserve">3 dage, kan genoptage behandling med 111 mg én gang dagligt og </w:t>
      </w:r>
      <w:proofErr w:type="spellStart"/>
      <w:r w:rsidRPr="00212B5E">
        <w:rPr>
          <w:sz w:val="24"/>
          <w:szCs w:val="24"/>
        </w:rPr>
        <w:t>optitreres</w:t>
      </w:r>
      <w:proofErr w:type="spellEnd"/>
      <w:r w:rsidRPr="00212B5E">
        <w:rPr>
          <w:sz w:val="24"/>
          <w:szCs w:val="24"/>
        </w:rPr>
        <w:t xml:space="preserve"> til deres optimale dosis. Ved alle andre doser kan patienter genstartes på deres tidligere dosis, uden behov for </w:t>
      </w:r>
      <w:proofErr w:type="spellStart"/>
      <w:r w:rsidRPr="00212B5E">
        <w:rPr>
          <w:sz w:val="24"/>
          <w:szCs w:val="24"/>
        </w:rPr>
        <w:t>optitrering</w:t>
      </w:r>
      <w:proofErr w:type="spellEnd"/>
      <w:r w:rsidRPr="00212B5E">
        <w:rPr>
          <w:sz w:val="24"/>
          <w:szCs w:val="24"/>
        </w:rPr>
        <w:t>.</w:t>
      </w:r>
    </w:p>
    <w:p w14:paraId="27D4989E" w14:textId="77777777" w:rsidR="00314C3D" w:rsidRPr="00212B5E" w:rsidRDefault="00314C3D" w:rsidP="002836D2">
      <w:pPr>
        <w:ind w:left="851"/>
        <w:rPr>
          <w:i/>
          <w:iCs/>
          <w:sz w:val="24"/>
          <w:szCs w:val="24"/>
        </w:rPr>
      </w:pPr>
    </w:p>
    <w:p w14:paraId="21EFA9BC" w14:textId="77777777" w:rsidR="00314C3D" w:rsidRPr="00212B5E" w:rsidRDefault="00314C3D" w:rsidP="002836D2">
      <w:pPr>
        <w:ind w:left="851"/>
        <w:rPr>
          <w:i/>
          <w:iCs/>
          <w:sz w:val="24"/>
          <w:szCs w:val="24"/>
        </w:rPr>
      </w:pPr>
      <w:r w:rsidRPr="00212B5E">
        <w:rPr>
          <w:i/>
          <w:iCs/>
          <w:sz w:val="24"/>
          <w:szCs w:val="24"/>
        </w:rPr>
        <w:t>Pædiatrisk population</w:t>
      </w:r>
    </w:p>
    <w:p w14:paraId="39D40626" w14:textId="44BE862C" w:rsidR="00314C3D" w:rsidRPr="00212B5E" w:rsidRDefault="00314C3D" w:rsidP="002836D2">
      <w:pPr>
        <w:ind w:left="851"/>
        <w:rPr>
          <w:sz w:val="24"/>
          <w:szCs w:val="24"/>
        </w:rPr>
      </w:pPr>
      <w:r w:rsidRPr="00212B5E">
        <w:rPr>
          <w:sz w:val="24"/>
          <w:szCs w:val="24"/>
        </w:rPr>
        <w:t xml:space="preserve">Den anbefalede startdosis er 37 mg </w:t>
      </w:r>
      <w:proofErr w:type="spellStart"/>
      <w:r w:rsidRPr="00212B5E">
        <w:rPr>
          <w:sz w:val="24"/>
          <w:szCs w:val="24"/>
        </w:rPr>
        <w:t>lurasidon</w:t>
      </w:r>
      <w:proofErr w:type="spellEnd"/>
      <w:r w:rsidRPr="00212B5E">
        <w:rPr>
          <w:sz w:val="24"/>
          <w:szCs w:val="24"/>
        </w:rPr>
        <w:t xml:space="preserve"> én gang dagligt. Initial dosistitrering er ikke nødvendig. Det er virkningsfuldt i et dosisinterval på 37 til 74 mg én gang dagligt. Dosisforøgelse skal foretages på</w:t>
      </w:r>
      <w:r w:rsidR="00212B5E">
        <w:rPr>
          <w:sz w:val="24"/>
          <w:szCs w:val="24"/>
        </w:rPr>
        <w:t xml:space="preserve"> </w:t>
      </w:r>
      <w:r w:rsidRPr="00212B5E">
        <w:rPr>
          <w:sz w:val="24"/>
          <w:szCs w:val="24"/>
        </w:rPr>
        <w:t xml:space="preserve">grundlag af lægelig vurdering og det observerede kliniske respons. Den maksimale daglige dosis bør ikke overstige 74 mg. Hos børn skal </w:t>
      </w:r>
      <w:proofErr w:type="spellStart"/>
      <w:r w:rsidRPr="00212B5E">
        <w:rPr>
          <w:sz w:val="24"/>
          <w:szCs w:val="24"/>
        </w:rPr>
        <w:t>lurasidon</w:t>
      </w:r>
      <w:proofErr w:type="spellEnd"/>
      <w:r w:rsidRPr="00212B5E">
        <w:rPr>
          <w:sz w:val="24"/>
          <w:szCs w:val="24"/>
        </w:rPr>
        <w:t xml:space="preserve"> ordineres af en ekspert i pædiatrisk psykiatri.</w:t>
      </w:r>
    </w:p>
    <w:p w14:paraId="15FCB59A" w14:textId="77777777" w:rsidR="00314C3D" w:rsidRPr="00212B5E" w:rsidRDefault="00314C3D" w:rsidP="002836D2">
      <w:pPr>
        <w:ind w:left="851"/>
        <w:rPr>
          <w:sz w:val="24"/>
          <w:szCs w:val="24"/>
        </w:rPr>
      </w:pPr>
    </w:p>
    <w:p w14:paraId="1ACF9E9A" w14:textId="77777777" w:rsidR="00314C3D" w:rsidRPr="00212B5E" w:rsidRDefault="00314C3D" w:rsidP="002836D2">
      <w:pPr>
        <w:ind w:left="851"/>
        <w:rPr>
          <w:i/>
          <w:iCs/>
          <w:sz w:val="24"/>
          <w:szCs w:val="24"/>
        </w:rPr>
      </w:pPr>
      <w:r w:rsidRPr="00212B5E">
        <w:rPr>
          <w:i/>
          <w:iCs/>
          <w:sz w:val="24"/>
          <w:szCs w:val="24"/>
        </w:rPr>
        <w:t>Dosisjustering som følge af interaktioner</w:t>
      </w:r>
    </w:p>
    <w:p w14:paraId="2A0442A1" w14:textId="77777777" w:rsidR="00314C3D" w:rsidRPr="00212B5E" w:rsidRDefault="00314C3D" w:rsidP="002836D2">
      <w:pPr>
        <w:ind w:left="851"/>
        <w:rPr>
          <w:sz w:val="24"/>
          <w:szCs w:val="24"/>
        </w:rPr>
      </w:pPr>
      <w:r w:rsidRPr="00212B5E">
        <w:rPr>
          <w:sz w:val="24"/>
          <w:szCs w:val="24"/>
        </w:rPr>
        <w:t xml:space="preserve">Der anbefales en startdosis på 18,5 mg, og den maksimale dosis </w:t>
      </w:r>
      <w:proofErr w:type="spellStart"/>
      <w:r w:rsidRPr="00212B5E">
        <w:rPr>
          <w:sz w:val="24"/>
          <w:szCs w:val="24"/>
        </w:rPr>
        <w:t>lurasidon</w:t>
      </w:r>
      <w:proofErr w:type="spellEnd"/>
      <w:r w:rsidRPr="00212B5E">
        <w:rPr>
          <w:sz w:val="24"/>
          <w:szCs w:val="24"/>
        </w:rPr>
        <w:t xml:space="preserve"> bør ikke overstige 74 mg en gang dagligt i kombination med moderate CYP3A4-hæmmere. Dosisjustering af </w:t>
      </w:r>
      <w:proofErr w:type="spellStart"/>
      <w:r w:rsidRPr="00212B5E">
        <w:rPr>
          <w:sz w:val="24"/>
          <w:szCs w:val="24"/>
        </w:rPr>
        <w:t>lurasidon</w:t>
      </w:r>
      <w:proofErr w:type="spellEnd"/>
      <w:r w:rsidRPr="00212B5E">
        <w:rPr>
          <w:sz w:val="24"/>
          <w:szCs w:val="24"/>
        </w:rPr>
        <w:t xml:space="preserve"> kan være nødvendig i kombination med lette eller moderate CYP3A4-induktorer (se pkt. 4.5). For kraftige CYP3A4-hæmmere og -induktorer se pkt. 4.3.</w:t>
      </w:r>
    </w:p>
    <w:p w14:paraId="007CD550" w14:textId="77777777" w:rsidR="00314C3D" w:rsidRPr="00212B5E" w:rsidRDefault="00314C3D" w:rsidP="002836D2">
      <w:pPr>
        <w:ind w:left="851"/>
        <w:rPr>
          <w:sz w:val="24"/>
          <w:szCs w:val="24"/>
        </w:rPr>
      </w:pPr>
    </w:p>
    <w:p w14:paraId="501001BA" w14:textId="77777777" w:rsidR="00314C3D" w:rsidRPr="00212B5E" w:rsidRDefault="00314C3D" w:rsidP="002836D2">
      <w:pPr>
        <w:ind w:left="851"/>
        <w:rPr>
          <w:i/>
          <w:iCs/>
          <w:sz w:val="24"/>
          <w:szCs w:val="24"/>
        </w:rPr>
      </w:pPr>
      <w:r w:rsidRPr="00212B5E">
        <w:rPr>
          <w:i/>
          <w:iCs/>
          <w:sz w:val="24"/>
          <w:szCs w:val="24"/>
        </w:rPr>
        <w:t>Skift mellem antipsykotiske lægemidler</w:t>
      </w:r>
    </w:p>
    <w:p w14:paraId="7351F8C2" w14:textId="6E8DCA15" w:rsidR="00314C3D" w:rsidRPr="00212B5E" w:rsidRDefault="00314C3D" w:rsidP="002836D2">
      <w:pPr>
        <w:ind w:left="851"/>
        <w:rPr>
          <w:sz w:val="24"/>
          <w:szCs w:val="24"/>
        </w:rPr>
      </w:pPr>
      <w:r w:rsidRPr="00212B5E">
        <w:rPr>
          <w:sz w:val="24"/>
          <w:szCs w:val="24"/>
        </w:rPr>
        <w:t xml:space="preserve">På grund af de forskellige antipsykotiske lægemidlers varierende </w:t>
      </w:r>
      <w:proofErr w:type="spellStart"/>
      <w:r w:rsidRPr="00212B5E">
        <w:rPr>
          <w:sz w:val="24"/>
          <w:szCs w:val="24"/>
        </w:rPr>
        <w:t>farmakodynamiske</w:t>
      </w:r>
      <w:proofErr w:type="spellEnd"/>
      <w:r w:rsidRPr="00212B5E">
        <w:rPr>
          <w:sz w:val="24"/>
          <w:szCs w:val="24"/>
        </w:rPr>
        <w:t xml:space="preserve"> og</w:t>
      </w:r>
      <w:r w:rsidR="00212B5E">
        <w:rPr>
          <w:sz w:val="24"/>
          <w:szCs w:val="24"/>
        </w:rPr>
        <w:t xml:space="preserve"> </w:t>
      </w:r>
      <w:proofErr w:type="spellStart"/>
      <w:r w:rsidRPr="00212B5E">
        <w:rPr>
          <w:sz w:val="24"/>
          <w:szCs w:val="24"/>
        </w:rPr>
        <w:t>farmakokinetiske</w:t>
      </w:r>
      <w:proofErr w:type="spellEnd"/>
      <w:r w:rsidRPr="00212B5E">
        <w:rPr>
          <w:sz w:val="24"/>
          <w:szCs w:val="24"/>
        </w:rPr>
        <w:t xml:space="preserve"> profiler skal medicinsk relevante skift til andre antipsykotiske lægemidler ske under lægelig overvågning.</w:t>
      </w:r>
    </w:p>
    <w:p w14:paraId="2AC114BA" w14:textId="46166582" w:rsidR="002C44AE" w:rsidRDefault="002C44AE">
      <w:pPr>
        <w:rPr>
          <w:sz w:val="24"/>
          <w:szCs w:val="24"/>
        </w:rPr>
      </w:pPr>
      <w:r>
        <w:rPr>
          <w:sz w:val="24"/>
          <w:szCs w:val="24"/>
        </w:rPr>
        <w:br w:type="page"/>
      </w:r>
    </w:p>
    <w:p w14:paraId="64410889" w14:textId="77777777" w:rsidR="00314C3D" w:rsidRPr="00212B5E" w:rsidRDefault="00314C3D" w:rsidP="002836D2">
      <w:pPr>
        <w:ind w:left="851"/>
        <w:rPr>
          <w:sz w:val="24"/>
          <w:szCs w:val="24"/>
        </w:rPr>
      </w:pPr>
    </w:p>
    <w:p w14:paraId="4C44ECED" w14:textId="77777777" w:rsidR="00314C3D" w:rsidRPr="00212B5E" w:rsidRDefault="00314C3D" w:rsidP="002836D2">
      <w:pPr>
        <w:ind w:left="851"/>
        <w:rPr>
          <w:i/>
          <w:iCs/>
          <w:sz w:val="24"/>
          <w:szCs w:val="24"/>
        </w:rPr>
      </w:pPr>
      <w:r w:rsidRPr="00212B5E">
        <w:rPr>
          <w:i/>
          <w:iCs/>
          <w:sz w:val="24"/>
          <w:szCs w:val="24"/>
        </w:rPr>
        <w:t>Ældre</w:t>
      </w:r>
    </w:p>
    <w:p w14:paraId="0B421346" w14:textId="77777777" w:rsidR="00314C3D" w:rsidRPr="00212B5E" w:rsidRDefault="00314C3D" w:rsidP="002836D2">
      <w:pPr>
        <w:ind w:left="851"/>
        <w:rPr>
          <w:sz w:val="24"/>
          <w:szCs w:val="24"/>
        </w:rPr>
      </w:pPr>
      <w:r w:rsidRPr="00212B5E">
        <w:rPr>
          <w:sz w:val="24"/>
          <w:szCs w:val="24"/>
        </w:rPr>
        <w:t>Den anbefalede dosis til ældre med normal nyrefunktion (</w:t>
      </w:r>
      <w:proofErr w:type="spellStart"/>
      <w:r w:rsidRPr="00212B5E">
        <w:rPr>
          <w:sz w:val="24"/>
          <w:szCs w:val="24"/>
        </w:rPr>
        <w:t>CrCl</w:t>
      </w:r>
      <w:proofErr w:type="spellEnd"/>
      <w:r w:rsidRPr="00212B5E">
        <w:rPr>
          <w:sz w:val="24"/>
          <w:szCs w:val="24"/>
        </w:rPr>
        <w:t xml:space="preserve"> ≥ 80 ml/min) er den samme som for voksne med normal nyrefunktion. Eftersom ældre patienter kan have nedsat nyrefunktion, kan der dog være behov for dosisjustering, alt efter nyrefunktionsstatus (se afsnittet "Nedsat nyrefunktion" nedenfor).</w:t>
      </w:r>
    </w:p>
    <w:p w14:paraId="00EA0960" w14:textId="77777777" w:rsidR="00314C3D" w:rsidRPr="00212B5E" w:rsidRDefault="00314C3D" w:rsidP="002836D2">
      <w:pPr>
        <w:ind w:left="851"/>
        <w:rPr>
          <w:sz w:val="24"/>
          <w:szCs w:val="24"/>
        </w:rPr>
      </w:pPr>
    </w:p>
    <w:p w14:paraId="3BE631AB" w14:textId="45E4DBC4" w:rsidR="00314C3D" w:rsidRPr="00212B5E" w:rsidRDefault="00314C3D" w:rsidP="002836D2">
      <w:pPr>
        <w:ind w:left="851"/>
        <w:rPr>
          <w:sz w:val="24"/>
          <w:szCs w:val="24"/>
        </w:rPr>
      </w:pPr>
      <w:r w:rsidRPr="00212B5E">
        <w:rPr>
          <w:sz w:val="24"/>
          <w:szCs w:val="24"/>
        </w:rPr>
        <w:t xml:space="preserve">Der er begrænset data tilgængelig for behandling af ældre mennesker med højere doser af </w:t>
      </w:r>
      <w:proofErr w:type="spellStart"/>
      <w:r w:rsidRPr="00212B5E">
        <w:rPr>
          <w:sz w:val="24"/>
          <w:szCs w:val="24"/>
        </w:rPr>
        <w:t>lurasidon</w:t>
      </w:r>
      <w:proofErr w:type="spellEnd"/>
      <w:r w:rsidRPr="00212B5E">
        <w:rPr>
          <w:sz w:val="24"/>
          <w:szCs w:val="24"/>
        </w:rPr>
        <w:t>.</w:t>
      </w:r>
      <w:r w:rsidR="00212B5E">
        <w:rPr>
          <w:sz w:val="24"/>
          <w:szCs w:val="24"/>
        </w:rPr>
        <w:t xml:space="preserve"> </w:t>
      </w:r>
      <w:r w:rsidRPr="00212B5E">
        <w:rPr>
          <w:sz w:val="24"/>
          <w:szCs w:val="24"/>
        </w:rPr>
        <w:t xml:space="preserve">Der foreligger ingen data for behandling af ældre mennesker med en daglig dosis af </w:t>
      </w:r>
      <w:proofErr w:type="spellStart"/>
      <w:r w:rsidRPr="00212B5E">
        <w:rPr>
          <w:sz w:val="24"/>
          <w:szCs w:val="24"/>
        </w:rPr>
        <w:t>lurasidon</w:t>
      </w:r>
      <w:proofErr w:type="spellEnd"/>
      <w:r w:rsidRPr="00212B5E">
        <w:rPr>
          <w:sz w:val="24"/>
          <w:szCs w:val="24"/>
        </w:rPr>
        <w:t xml:space="preserve"> på</w:t>
      </w:r>
      <w:r w:rsidR="00212B5E">
        <w:rPr>
          <w:sz w:val="24"/>
          <w:szCs w:val="24"/>
        </w:rPr>
        <w:t xml:space="preserve"> </w:t>
      </w:r>
      <w:r w:rsidRPr="00212B5E">
        <w:rPr>
          <w:sz w:val="24"/>
          <w:szCs w:val="24"/>
        </w:rPr>
        <w:t>148 mg. Der bør udvises forsigtighed ved behandling af patienter ≥ 65 år med højere doser af</w:t>
      </w:r>
      <w:r w:rsidR="00212B5E">
        <w:rPr>
          <w:sz w:val="24"/>
          <w:szCs w:val="24"/>
        </w:rPr>
        <w:t xml:space="preserve"> </w:t>
      </w:r>
      <w:proofErr w:type="spellStart"/>
      <w:r w:rsidRPr="00212B5E">
        <w:rPr>
          <w:sz w:val="24"/>
          <w:szCs w:val="24"/>
        </w:rPr>
        <w:t>lurasidon</w:t>
      </w:r>
      <w:proofErr w:type="spellEnd"/>
      <w:r w:rsidRPr="00212B5E">
        <w:rPr>
          <w:sz w:val="24"/>
          <w:szCs w:val="24"/>
        </w:rPr>
        <w:t>.</w:t>
      </w:r>
    </w:p>
    <w:p w14:paraId="090C4132" w14:textId="77777777" w:rsidR="00314C3D" w:rsidRPr="00212B5E" w:rsidRDefault="00314C3D" w:rsidP="002836D2">
      <w:pPr>
        <w:ind w:left="851"/>
        <w:rPr>
          <w:sz w:val="24"/>
          <w:szCs w:val="24"/>
        </w:rPr>
      </w:pPr>
    </w:p>
    <w:p w14:paraId="362DC6FF" w14:textId="77777777" w:rsidR="00314C3D" w:rsidRPr="00212B5E" w:rsidRDefault="00314C3D" w:rsidP="002836D2">
      <w:pPr>
        <w:ind w:left="851"/>
        <w:rPr>
          <w:i/>
          <w:iCs/>
          <w:sz w:val="24"/>
          <w:szCs w:val="24"/>
        </w:rPr>
      </w:pPr>
      <w:r w:rsidRPr="00212B5E">
        <w:rPr>
          <w:i/>
          <w:iCs/>
          <w:sz w:val="24"/>
          <w:szCs w:val="24"/>
        </w:rPr>
        <w:t>Nedsat nyrefunktion</w:t>
      </w:r>
    </w:p>
    <w:p w14:paraId="2F20E682" w14:textId="2B80D622" w:rsidR="00314C3D" w:rsidRPr="00212B5E" w:rsidRDefault="00314C3D" w:rsidP="002836D2">
      <w:pPr>
        <w:ind w:left="851"/>
        <w:rPr>
          <w:sz w:val="24"/>
          <w:szCs w:val="24"/>
        </w:rPr>
      </w:pPr>
      <w:r w:rsidRPr="00212B5E">
        <w:rPr>
          <w:sz w:val="24"/>
          <w:szCs w:val="24"/>
        </w:rPr>
        <w:t xml:space="preserve">Der er ikke behov for dosisjustering af </w:t>
      </w:r>
      <w:proofErr w:type="spellStart"/>
      <w:r w:rsidRPr="00212B5E">
        <w:rPr>
          <w:sz w:val="24"/>
          <w:szCs w:val="24"/>
        </w:rPr>
        <w:t>lurasidon</w:t>
      </w:r>
      <w:proofErr w:type="spellEnd"/>
      <w:r w:rsidRPr="00212B5E">
        <w:rPr>
          <w:sz w:val="24"/>
          <w:szCs w:val="24"/>
        </w:rPr>
        <w:t xml:space="preserve"> til patienter med let nedsat nyrefunktion. Hos</w:t>
      </w:r>
      <w:r w:rsidR="00212B5E">
        <w:rPr>
          <w:sz w:val="24"/>
          <w:szCs w:val="24"/>
        </w:rPr>
        <w:t xml:space="preserve"> </w:t>
      </w:r>
      <w:r w:rsidRPr="00212B5E">
        <w:rPr>
          <w:sz w:val="24"/>
          <w:szCs w:val="24"/>
        </w:rPr>
        <w:t>patienter med moderat (</w:t>
      </w:r>
      <w:proofErr w:type="spellStart"/>
      <w:r w:rsidRPr="00212B5E">
        <w:rPr>
          <w:sz w:val="24"/>
          <w:szCs w:val="24"/>
        </w:rPr>
        <w:t>kreatinin-clearance</w:t>
      </w:r>
      <w:proofErr w:type="spellEnd"/>
      <w:r w:rsidRPr="00212B5E">
        <w:rPr>
          <w:sz w:val="24"/>
          <w:szCs w:val="24"/>
        </w:rPr>
        <w:t xml:space="preserve"> (</w:t>
      </w:r>
      <w:proofErr w:type="spellStart"/>
      <w:r w:rsidRPr="00212B5E">
        <w:rPr>
          <w:sz w:val="24"/>
          <w:szCs w:val="24"/>
        </w:rPr>
        <w:t>CrCl</w:t>
      </w:r>
      <w:proofErr w:type="spellEnd"/>
      <w:r w:rsidRPr="00212B5E">
        <w:rPr>
          <w:sz w:val="24"/>
          <w:szCs w:val="24"/>
        </w:rPr>
        <w:t>) på ≥ 30 og &lt; 50 ml/min), alvorligt nedsat nyrefunktion (</w:t>
      </w:r>
      <w:proofErr w:type="spellStart"/>
      <w:r w:rsidRPr="00212B5E">
        <w:rPr>
          <w:sz w:val="24"/>
          <w:szCs w:val="24"/>
        </w:rPr>
        <w:t>CrCl</w:t>
      </w:r>
      <w:proofErr w:type="spellEnd"/>
      <w:r w:rsidRPr="00212B5E">
        <w:rPr>
          <w:sz w:val="24"/>
          <w:szCs w:val="24"/>
        </w:rPr>
        <w:t xml:space="preserve"> &gt;15 og &lt; 30 ml/min) og patienter med End Stage </w:t>
      </w:r>
      <w:proofErr w:type="spellStart"/>
      <w:r w:rsidRPr="00212B5E">
        <w:rPr>
          <w:sz w:val="24"/>
          <w:szCs w:val="24"/>
        </w:rPr>
        <w:t>Renal</w:t>
      </w:r>
      <w:proofErr w:type="spellEnd"/>
      <w:r w:rsidRPr="00212B5E">
        <w:rPr>
          <w:sz w:val="24"/>
          <w:szCs w:val="24"/>
        </w:rPr>
        <w:t xml:space="preserve"> </w:t>
      </w:r>
      <w:proofErr w:type="spellStart"/>
      <w:r w:rsidRPr="00212B5E">
        <w:rPr>
          <w:sz w:val="24"/>
          <w:szCs w:val="24"/>
        </w:rPr>
        <w:t>Disease</w:t>
      </w:r>
      <w:proofErr w:type="spellEnd"/>
      <w:r w:rsidRPr="00212B5E">
        <w:rPr>
          <w:sz w:val="24"/>
          <w:szCs w:val="24"/>
        </w:rPr>
        <w:t xml:space="preserve"> (ESRD)</w:t>
      </w:r>
      <w:r w:rsidR="00212B5E">
        <w:rPr>
          <w:sz w:val="24"/>
          <w:szCs w:val="24"/>
        </w:rPr>
        <w:t xml:space="preserve"> </w:t>
      </w:r>
      <w:r w:rsidRPr="00212B5E">
        <w:rPr>
          <w:sz w:val="24"/>
          <w:szCs w:val="24"/>
        </w:rPr>
        <w:t>(</w:t>
      </w:r>
      <w:proofErr w:type="spellStart"/>
      <w:r w:rsidRPr="00212B5E">
        <w:rPr>
          <w:sz w:val="24"/>
          <w:szCs w:val="24"/>
        </w:rPr>
        <w:t>CrCl</w:t>
      </w:r>
      <w:proofErr w:type="spellEnd"/>
      <w:r w:rsidRPr="00212B5E">
        <w:rPr>
          <w:sz w:val="24"/>
          <w:szCs w:val="24"/>
        </w:rPr>
        <w:t xml:space="preserve"> &lt; 15 ml/min) er den anbefalede startdosis 18,5 mg, og den maksimale dosis må ikke overstige</w:t>
      </w:r>
      <w:r w:rsidR="00212B5E">
        <w:rPr>
          <w:sz w:val="24"/>
          <w:szCs w:val="24"/>
        </w:rPr>
        <w:t xml:space="preserve"> </w:t>
      </w:r>
      <w:r w:rsidRPr="00212B5E">
        <w:rPr>
          <w:sz w:val="24"/>
          <w:szCs w:val="24"/>
        </w:rPr>
        <w:t xml:space="preserve">74 mg givet én gang dagligt. </w:t>
      </w:r>
      <w:proofErr w:type="spellStart"/>
      <w:r w:rsidRPr="00212B5E">
        <w:rPr>
          <w:sz w:val="24"/>
          <w:szCs w:val="24"/>
        </w:rPr>
        <w:t>Lurasidon</w:t>
      </w:r>
      <w:proofErr w:type="spellEnd"/>
      <w:r w:rsidRPr="00212B5E">
        <w:rPr>
          <w:sz w:val="24"/>
          <w:szCs w:val="24"/>
        </w:rPr>
        <w:t xml:space="preserve"> må ikke anvendes til patienter med ESRD, medmindre de</w:t>
      </w:r>
      <w:r w:rsidR="00212B5E">
        <w:rPr>
          <w:sz w:val="24"/>
          <w:szCs w:val="24"/>
        </w:rPr>
        <w:t xml:space="preserve"> </w:t>
      </w:r>
      <w:r w:rsidRPr="00212B5E">
        <w:rPr>
          <w:sz w:val="24"/>
          <w:szCs w:val="24"/>
        </w:rPr>
        <w:t>potentielle fordele opvejer de potentielle risici. Klinisk monitorering tilrådes ved behandling af</w:t>
      </w:r>
      <w:r w:rsidR="00212B5E">
        <w:rPr>
          <w:sz w:val="24"/>
          <w:szCs w:val="24"/>
        </w:rPr>
        <w:t xml:space="preserve"> </w:t>
      </w:r>
      <w:r w:rsidRPr="00212B5E">
        <w:rPr>
          <w:sz w:val="24"/>
          <w:szCs w:val="24"/>
        </w:rPr>
        <w:t>patienter med ESRD.</w:t>
      </w:r>
    </w:p>
    <w:p w14:paraId="1C37D6B4" w14:textId="77777777" w:rsidR="00314C3D" w:rsidRPr="00212B5E" w:rsidRDefault="00314C3D" w:rsidP="002836D2">
      <w:pPr>
        <w:ind w:left="851"/>
        <w:rPr>
          <w:sz w:val="24"/>
          <w:szCs w:val="24"/>
        </w:rPr>
      </w:pPr>
    </w:p>
    <w:p w14:paraId="25348A30" w14:textId="77777777" w:rsidR="00314C3D" w:rsidRPr="00212B5E" w:rsidRDefault="00314C3D" w:rsidP="002836D2">
      <w:pPr>
        <w:ind w:left="851"/>
        <w:rPr>
          <w:i/>
          <w:iCs/>
          <w:sz w:val="24"/>
          <w:szCs w:val="24"/>
        </w:rPr>
      </w:pPr>
      <w:r w:rsidRPr="00212B5E">
        <w:rPr>
          <w:i/>
          <w:iCs/>
          <w:sz w:val="24"/>
          <w:szCs w:val="24"/>
        </w:rPr>
        <w:t>Nedsat leverfunktion</w:t>
      </w:r>
    </w:p>
    <w:p w14:paraId="6BA62242" w14:textId="77777777" w:rsidR="00314C3D" w:rsidRPr="00212B5E" w:rsidRDefault="00314C3D" w:rsidP="002836D2">
      <w:pPr>
        <w:ind w:left="851"/>
        <w:rPr>
          <w:sz w:val="24"/>
          <w:szCs w:val="24"/>
        </w:rPr>
      </w:pPr>
      <w:r w:rsidRPr="00212B5E">
        <w:rPr>
          <w:sz w:val="24"/>
          <w:szCs w:val="24"/>
        </w:rPr>
        <w:t xml:space="preserve">Der er ikke behov for dosisjustering af </w:t>
      </w:r>
      <w:proofErr w:type="spellStart"/>
      <w:r w:rsidRPr="00212B5E">
        <w:rPr>
          <w:sz w:val="24"/>
          <w:szCs w:val="24"/>
        </w:rPr>
        <w:t>lurasidon</w:t>
      </w:r>
      <w:proofErr w:type="spellEnd"/>
      <w:r w:rsidRPr="00212B5E">
        <w:rPr>
          <w:sz w:val="24"/>
          <w:szCs w:val="24"/>
        </w:rPr>
        <w:t xml:space="preserve"> til patienter med let nedsat leverfunktion.</w:t>
      </w:r>
    </w:p>
    <w:p w14:paraId="6345B6C4" w14:textId="076F3EB9" w:rsidR="00314C3D" w:rsidRPr="00212B5E" w:rsidRDefault="00314C3D" w:rsidP="002836D2">
      <w:pPr>
        <w:ind w:left="851"/>
        <w:rPr>
          <w:sz w:val="24"/>
          <w:szCs w:val="24"/>
        </w:rPr>
      </w:pPr>
      <w:r w:rsidRPr="00212B5E">
        <w:rPr>
          <w:sz w:val="24"/>
          <w:szCs w:val="24"/>
        </w:rPr>
        <w:t>Dosisjustering anbefales til patienter med moderat (Child-</w:t>
      </w:r>
      <w:proofErr w:type="spellStart"/>
      <w:r w:rsidRPr="00212B5E">
        <w:rPr>
          <w:sz w:val="24"/>
          <w:szCs w:val="24"/>
        </w:rPr>
        <w:t>Pugh</w:t>
      </w:r>
      <w:proofErr w:type="spellEnd"/>
      <w:r w:rsidRPr="00212B5E">
        <w:rPr>
          <w:sz w:val="24"/>
          <w:szCs w:val="24"/>
        </w:rPr>
        <w:t>, klasse B) og patienter med alvorligt</w:t>
      </w:r>
      <w:r w:rsidR="00212B5E">
        <w:rPr>
          <w:sz w:val="24"/>
          <w:szCs w:val="24"/>
        </w:rPr>
        <w:t xml:space="preserve"> </w:t>
      </w:r>
      <w:r w:rsidRPr="00212B5E">
        <w:rPr>
          <w:sz w:val="24"/>
          <w:szCs w:val="24"/>
        </w:rPr>
        <w:t>nedsat leverfunktion (Child-</w:t>
      </w:r>
      <w:proofErr w:type="spellStart"/>
      <w:r w:rsidRPr="00212B5E">
        <w:rPr>
          <w:sz w:val="24"/>
          <w:szCs w:val="24"/>
        </w:rPr>
        <w:t>Pugh</w:t>
      </w:r>
      <w:proofErr w:type="spellEnd"/>
      <w:r w:rsidRPr="00212B5E">
        <w:rPr>
          <w:sz w:val="24"/>
          <w:szCs w:val="24"/>
        </w:rPr>
        <w:t>, klasse C). Den anbefalede startdosis er 18,5 mg. Den maksimale dosis til patienter med moderat nedsat leverfunktion må ikke overstige 74 mg én gang dagligt, og 37 mg én gang dagligt for patienter med alvorligt nedsat leverfunktion.</w:t>
      </w:r>
    </w:p>
    <w:p w14:paraId="0481680E" w14:textId="77777777" w:rsidR="00314C3D" w:rsidRPr="00212B5E" w:rsidRDefault="00314C3D" w:rsidP="002836D2">
      <w:pPr>
        <w:ind w:left="851"/>
        <w:rPr>
          <w:sz w:val="24"/>
          <w:szCs w:val="24"/>
        </w:rPr>
      </w:pPr>
    </w:p>
    <w:p w14:paraId="7381954F" w14:textId="77777777" w:rsidR="00314C3D" w:rsidRPr="00212B5E" w:rsidRDefault="00314C3D" w:rsidP="002836D2">
      <w:pPr>
        <w:ind w:left="851"/>
        <w:rPr>
          <w:sz w:val="24"/>
          <w:szCs w:val="24"/>
          <w:u w:val="single"/>
        </w:rPr>
      </w:pPr>
      <w:r w:rsidRPr="00212B5E">
        <w:rPr>
          <w:sz w:val="24"/>
          <w:szCs w:val="24"/>
          <w:u w:val="single"/>
        </w:rPr>
        <w:t>Administration</w:t>
      </w:r>
    </w:p>
    <w:p w14:paraId="2770A4D8" w14:textId="160FB98C" w:rsidR="00314C3D" w:rsidRPr="00212B5E" w:rsidRDefault="00314C3D" w:rsidP="002836D2">
      <w:pPr>
        <w:ind w:left="851"/>
        <w:rPr>
          <w:sz w:val="24"/>
          <w:szCs w:val="24"/>
        </w:rPr>
      </w:pP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filmovertrukne tabletter er til oral brug, og skal tages én gang dagligt sammen med et måltid. Hvis de indtages uden et måltid, forventes det, at </w:t>
      </w:r>
      <w:proofErr w:type="spellStart"/>
      <w:r w:rsidRPr="00212B5E">
        <w:rPr>
          <w:sz w:val="24"/>
          <w:szCs w:val="24"/>
        </w:rPr>
        <w:t>lurasidon</w:t>
      </w:r>
      <w:proofErr w:type="spellEnd"/>
      <w:r w:rsidRPr="00212B5E">
        <w:rPr>
          <w:sz w:val="24"/>
          <w:szCs w:val="24"/>
        </w:rPr>
        <w:t>-eksponeringen vil være betydeligt lavere sammenlignet med, når de indtages sammen med et måltid (se pkt. 5.2).</w:t>
      </w:r>
    </w:p>
    <w:p w14:paraId="2770C471" w14:textId="77777777" w:rsidR="00314C3D" w:rsidRPr="00212B5E" w:rsidRDefault="00314C3D" w:rsidP="002836D2">
      <w:pPr>
        <w:ind w:left="851"/>
        <w:rPr>
          <w:sz w:val="24"/>
          <w:szCs w:val="24"/>
        </w:rPr>
      </w:pPr>
    </w:p>
    <w:p w14:paraId="2C2CF1F4" w14:textId="5C3C12FD" w:rsidR="00314C3D" w:rsidRPr="00212B5E" w:rsidRDefault="00314C3D" w:rsidP="002836D2">
      <w:pPr>
        <w:ind w:left="851"/>
        <w:rPr>
          <w:sz w:val="24"/>
          <w:szCs w:val="24"/>
        </w:rPr>
      </w:pPr>
      <w:proofErr w:type="spellStart"/>
      <w:r w:rsidRPr="00212B5E">
        <w:rPr>
          <w:sz w:val="24"/>
          <w:szCs w:val="24"/>
        </w:rPr>
        <w:t>Lurasidone</w:t>
      </w:r>
      <w:proofErr w:type="spellEnd"/>
      <w:r w:rsidRPr="00212B5E">
        <w:rPr>
          <w:sz w:val="24"/>
          <w:szCs w:val="24"/>
        </w:rPr>
        <w:t xml:space="preserve"> </w:t>
      </w:r>
      <w:r w:rsidR="00325BA6">
        <w:rPr>
          <w:sz w:val="24"/>
          <w:szCs w:val="24"/>
        </w:rPr>
        <w:t>"</w:t>
      </w:r>
      <w:proofErr w:type="spellStart"/>
      <w:r w:rsidR="00325BA6">
        <w:rPr>
          <w:sz w:val="24"/>
          <w:szCs w:val="24"/>
        </w:rPr>
        <w:t>Orifarm"</w:t>
      </w:r>
      <w:r w:rsidRPr="00212B5E">
        <w:rPr>
          <w:sz w:val="24"/>
          <w:szCs w:val="24"/>
        </w:rPr>
        <w:t>-tabletterne</w:t>
      </w:r>
      <w:proofErr w:type="spellEnd"/>
      <w:r w:rsidRPr="00212B5E">
        <w:rPr>
          <w:sz w:val="24"/>
          <w:szCs w:val="24"/>
        </w:rPr>
        <w:t xml:space="preserve"> skal synkes hele for at dække over den bitre smag. </w:t>
      </w:r>
      <w:proofErr w:type="spellStart"/>
      <w:r w:rsidRPr="00212B5E">
        <w:rPr>
          <w:sz w:val="24"/>
          <w:szCs w:val="24"/>
        </w:rPr>
        <w:t>Lurasidone</w:t>
      </w:r>
      <w:proofErr w:type="spellEnd"/>
      <w:r w:rsidRPr="00212B5E">
        <w:rPr>
          <w:sz w:val="24"/>
          <w:szCs w:val="24"/>
        </w:rPr>
        <w:t xml:space="preserve"> </w:t>
      </w:r>
      <w:r w:rsidR="00325BA6">
        <w:rPr>
          <w:sz w:val="24"/>
          <w:szCs w:val="24"/>
        </w:rPr>
        <w:t>"</w:t>
      </w:r>
      <w:proofErr w:type="spellStart"/>
      <w:r w:rsidR="00325BA6">
        <w:rPr>
          <w:sz w:val="24"/>
          <w:szCs w:val="24"/>
        </w:rPr>
        <w:t>Orifarm"</w:t>
      </w:r>
      <w:r w:rsidRPr="00212B5E">
        <w:rPr>
          <w:sz w:val="24"/>
          <w:szCs w:val="24"/>
        </w:rPr>
        <w:t>-tabletterne</w:t>
      </w:r>
      <w:proofErr w:type="spellEnd"/>
      <w:r w:rsidRPr="00212B5E">
        <w:rPr>
          <w:sz w:val="24"/>
          <w:szCs w:val="24"/>
        </w:rPr>
        <w:t xml:space="preserve"> skal tages på samme tid hver dag for at forbedre </w:t>
      </w:r>
      <w:proofErr w:type="spellStart"/>
      <w:r w:rsidRPr="00212B5E">
        <w:rPr>
          <w:sz w:val="24"/>
          <w:szCs w:val="24"/>
        </w:rPr>
        <w:t>kompliance</w:t>
      </w:r>
      <w:proofErr w:type="spellEnd"/>
      <w:r w:rsidRPr="00212B5E">
        <w:rPr>
          <w:sz w:val="24"/>
          <w:szCs w:val="24"/>
        </w:rPr>
        <w:t>.</w:t>
      </w:r>
    </w:p>
    <w:p w14:paraId="4EDCCFC8" w14:textId="77777777" w:rsidR="009260DE" w:rsidRPr="00212B5E" w:rsidRDefault="009260DE" w:rsidP="009260DE">
      <w:pPr>
        <w:tabs>
          <w:tab w:val="left" w:pos="851"/>
        </w:tabs>
        <w:ind w:left="851"/>
        <w:rPr>
          <w:sz w:val="24"/>
          <w:szCs w:val="24"/>
        </w:rPr>
      </w:pPr>
    </w:p>
    <w:p w14:paraId="081C1935" w14:textId="77777777" w:rsidR="009260DE" w:rsidRPr="00212B5E" w:rsidRDefault="009260DE" w:rsidP="009260DE">
      <w:pPr>
        <w:tabs>
          <w:tab w:val="left" w:pos="851"/>
        </w:tabs>
        <w:ind w:left="851" w:hanging="851"/>
        <w:rPr>
          <w:b/>
          <w:sz w:val="24"/>
          <w:szCs w:val="24"/>
        </w:rPr>
      </w:pPr>
      <w:r w:rsidRPr="00212B5E">
        <w:rPr>
          <w:b/>
          <w:sz w:val="24"/>
          <w:szCs w:val="24"/>
        </w:rPr>
        <w:t>4.3</w:t>
      </w:r>
      <w:r w:rsidRPr="00212B5E">
        <w:rPr>
          <w:b/>
          <w:sz w:val="24"/>
          <w:szCs w:val="24"/>
        </w:rPr>
        <w:tab/>
        <w:t>Kontraindikationer</w:t>
      </w:r>
    </w:p>
    <w:p w14:paraId="049452E0" w14:textId="77777777" w:rsidR="00314C3D" w:rsidRPr="00212B5E" w:rsidRDefault="00314C3D" w:rsidP="002836D2">
      <w:pPr>
        <w:pStyle w:val="Listeafsnit"/>
        <w:numPr>
          <w:ilvl w:val="0"/>
          <w:numId w:val="6"/>
        </w:numPr>
        <w:ind w:left="1276" w:hanging="425"/>
        <w:rPr>
          <w:szCs w:val="24"/>
        </w:rPr>
      </w:pPr>
      <w:r w:rsidRPr="00212B5E">
        <w:rPr>
          <w:szCs w:val="24"/>
        </w:rPr>
        <w:t>Overfølsomhed over for det aktive stof eller over for et eller flere af hjælpestofferne anført i pkt. 6.1.</w:t>
      </w:r>
    </w:p>
    <w:p w14:paraId="493C1F1C" w14:textId="77777777" w:rsidR="00314C3D" w:rsidRPr="00212B5E" w:rsidRDefault="00314C3D" w:rsidP="002836D2">
      <w:pPr>
        <w:pStyle w:val="Listeafsnit"/>
        <w:numPr>
          <w:ilvl w:val="0"/>
          <w:numId w:val="6"/>
        </w:numPr>
        <w:ind w:left="1276" w:hanging="425"/>
        <w:rPr>
          <w:szCs w:val="24"/>
        </w:rPr>
      </w:pPr>
      <w:r w:rsidRPr="00212B5E">
        <w:rPr>
          <w:szCs w:val="24"/>
        </w:rPr>
        <w:t xml:space="preserve">Samtidig administration af kraftige CYP3A4-hæmmere (f.eks. </w:t>
      </w:r>
      <w:proofErr w:type="spellStart"/>
      <w:r w:rsidRPr="00212B5E">
        <w:rPr>
          <w:szCs w:val="24"/>
        </w:rPr>
        <w:t>boceprevir</w:t>
      </w:r>
      <w:proofErr w:type="spellEnd"/>
      <w:r w:rsidRPr="00212B5E">
        <w:rPr>
          <w:szCs w:val="24"/>
        </w:rPr>
        <w:t xml:space="preserve">, </w:t>
      </w:r>
      <w:proofErr w:type="spellStart"/>
      <w:r w:rsidRPr="00212B5E">
        <w:rPr>
          <w:szCs w:val="24"/>
        </w:rPr>
        <w:t>clarithromycin</w:t>
      </w:r>
      <w:proofErr w:type="spellEnd"/>
      <w:r w:rsidRPr="00212B5E">
        <w:rPr>
          <w:szCs w:val="24"/>
        </w:rPr>
        <w:t xml:space="preserve">, </w:t>
      </w:r>
      <w:proofErr w:type="spellStart"/>
      <w:r w:rsidRPr="00212B5E">
        <w:rPr>
          <w:szCs w:val="24"/>
        </w:rPr>
        <w:t>cobicistat</w:t>
      </w:r>
      <w:proofErr w:type="spellEnd"/>
      <w:r w:rsidRPr="00212B5E">
        <w:rPr>
          <w:szCs w:val="24"/>
        </w:rPr>
        <w:t xml:space="preserve">, </w:t>
      </w:r>
      <w:proofErr w:type="spellStart"/>
      <w:r w:rsidRPr="00212B5E">
        <w:rPr>
          <w:szCs w:val="24"/>
        </w:rPr>
        <w:t>indinavir</w:t>
      </w:r>
      <w:proofErr w:type="spellEnd"/>
      <w:r w:rsidRPr="00212B5E">
        <w:rPr>
          <w:szCs w:val="24"/>
        </w:rPr>
        <w:t xml:space="preserve">, </w:t>
      </w:r>
      <w:proofErr w:type="spellStart"/>
      <w:r w:rsidRPr="00212B5E">
        <w:rPr>
          <w:szCs w:val="24"/>
        </w:rPr>
        <w:t>itraconazol</w:t>
      </w:r>
      <w:proofErr w:type="spellEnd"/>
      <w:r w:rsidRPr="00212B5E">
        <w:rPr>
          <w:szCs w:val="24"/>
        </w:rPr>
        <w:t xml:space="preserve">, </w:t>
      </w:r>
      <w:proofErr w:type="spellStart"/>
      <w:r w:rsidRPr="00212B5E">
        <w:rPr>
          <w:szCs w:val="24"/>
        </w:rPr>
        <w:t>ketoconazol</w:t>
      </w:r>
      <w:proofErr w:type="spellEnd"/>
      <w:r w:rsidRPr="00212B5E">
        <w:rPr>
          <w:szCs w:val="24"/>
        </w:rPr>
        <w:t xml:space="preserve">, </w:t>
      </w:r>
      <w:proofErr w:type="spellStart"/>
      <w:r w:rsidRPr="00212B5E">
        <w:rPr>
          <w:szCs w:val="24"/>
        </w:rPr>
        <w:t>nefazodon</w:t>
      </w:r>
      <w:proofErr w:type="spellEnd"/>
      <w:r w:rsidRPr="00212B5E">
        <w:rPr>
          <w:szCs w:val="24"/>
        </w:rPr>
        <w:t xml:space="preserve">, </w:t>
      </w:r>
      <w:proofErr w:type="spellStart"/>
      <w:r w:rsidRPr="00212B5E">
        <w:rPr>
          <w:szCs w:val="24"/>
        </w:rPr>
        <w:t>nelfinavir</w:t>
      </w:r>
      <w:proofErr w:type="spellEnd"/>
      <w:r w:rsidRPr="00212B5E">
        <w:rPr>
          <w:szCs w:val="24"/>
        </w:rPr>
        <w:t xml:space="preserve">, </w:t>
      </w:r>
      <w:proofErr w:type="spellStart"/>
      <w:r w:rsidRPr="00212B5E">
        <w:rPr>
          <w:szCs w:val="24"/>
        </w:rPr>
        <w:t>posaconazol</w:t>
      </w:r>
      <w:proofErr w:type="spellEnd"/>
      <w:r w:rsidRPr="00212B5E">
        <w:rPr>
          <w:szCs w:val="24"/>
        </w:rPr>
        <w:t xml:space="preserve">, </w:t>
      </w:r>
      <w:proofErr w:type="spellStart"/>
      <w:r w:rsidRPr="00212B5E">
        <w:rPr>
          <w:szCs w:val="24"/>
        </w:rPr>
        <w:t>ritonavir</w:t>
      </w:r>
      <w:proofErr w:type="spellEnd"/>
      <w:r w:rsidRPr="00212B5E">
        <w:rPr>
          <w:szCs w:val="24"/>
        </w:rPr>
        <w:t xml:space="preserve">, </w:t>
      </w:r>
      <w:proofErr w:type="spellStart"/>
      <w:r w:rsidRPr="00212B5E">
        <w:rPr>
          <w:szCs w:val="24"/>
        </w:rPr>
        <w:t>saquinavir</w:t>
      </w:r>
      <w:proofErr w:type="spellEnd"/>
      <w:r w:rsidRPr="00212B5E">
        <w:rPr>
          <w:szCs w:val="24"/>
        </w:rPr>
        <w:t xml:space="preserve">, </w:t>
      </w:r>
      <w:proofErr w:type="spellStart"/>
      <w:r w:rsidRPr="00212B5E">
        <w:rPr>
          <w:szCs w:val="24"/>
        </w:rPr>
        <w:t>telaprevir</w:t>
      </w:r>
      <w:proofErr w:type="spellEnd"/>
      <w:r w:rsidRPr="00212B5E">
        <w:rPr>
          <w:szCs w:val="24"/>
        </w:rPr>
        <w:t xml:space="preserve">, </w:t>
      </w:r>
      <w:proofErr w:type="spellStart"/>
      <w:r w:rsidRPr="00212B5E">
        <w:rPr>
          <w:szCs w:val="24"/>
        </w:rPr>
        <w:t>telithromycin</w:t>
      </w:r>
      <w:proofErr w:type="spellEnd"/>
      <w:r w:rsidRPr="00212B5E">
        <w:rPr>
          <w:szCs w:val="24"/>
        </w:rPr>
        <w:t xml:space="preserve">, </w:t>
      </w:r>
      <w:proofErr w:type="spellStart"/>
      <w:r w:rsidRPr="00212B5E">
        <w:rPr>
          <w:szCs w:val="24"/>
        </w:rPr>
        <w:t>voriconazol</w:t>
      </w:r>
      <w:proofErr w:type="spellEnd"/>
      <w:r w:rsidRPr="00212B5E">
        <w:rPr>
          <w:szCs w:val="24"/>
        </w:rPr>
        <w:t xml:space="preserve">) og kraftige CYP3A4-induktorer (f.eks. </w:t>
      </w:r>
      <w:proofErr w:type="spellStart"/>
      <w:r w:rsidRPr="00212B5E">
        <w:rPr>
          <w:szCs w:val="24"/>
        </w:rPr>
        <w:t>carbamazepin</w:t>
      </w:r>
      <w:proofErr w:type="spellEnd"/>
      <w:r w:rsidRPr="00212B5E">
        <w:rPr>
          <w:szCs w:val="24"/>
        </w:rPr>
        <w:t xml:space="preserve">, </w:t>
      </w:r>
      <w:proofErr w:type="spellStart"/>
      <w:r w:rsidRPr="00212B5E">
        <w:rPr>
          <w:szCs w:val="24"/>
        </w:rPr>
        <w:t>phenobarbital</w:t>
      </w:r>
      <w:proofErr w:type="spellEnd"/>
      <w:r w:rsidRPr="00212B5E">
        <w:rPr>
          <w:szCs w:val="24"/>
        </w:rPr>
        <w:t xml:space="preserve">, </w:t>
      </w:r>
      <w:proofErr w:type="spellStart"/>
      <w:r w:rsidRPr="00212B5E">
        <w:rPr>
          <w:szCs w:val="24"/>
        </w:rPr>
        <w:t>phenytoin</w:t>
      </w:r>
      <w:proofErr w:type="spellEnd"/>
      <w:r w:rsidRPr="00212B5E">
        <w:rPr>
          <w:szCs w:val="24"/>
        </w:rPr>
        <w:t xml:space="preserve">, </w:t>
      </w:r>
      <w:proofErr w:type="spellStart"/>
      <w:r w:rsidRPr="00212B5E">
        <w:rPr>
          <w:szCs w:val="24"/>
        </w:rPr>
        <w:t>rifampicin</w:t>
      </w:r>
      <w:proofErr w:type="spellEnd"/>
      <w:r w:rsidRPr="00212B5E">
        <w:rPr>
          <w:szCs w:val="24"/>
        </w:rPr>
        <w:t>, prikbladet perikon (</w:t>
      </w:r>
      <w:r w:rsidRPr="00212B5E">
        <w:rPr>
          <w:i/>
          <w:iCs/>
          <w:szCs w:val="24"/>
        </w:rPr>
        <w:t xml:space="preserve">Hypericum </w:t>
      </w:r>
      <w:proofErr w:type="spellStart"/>
      <w:r w:rsidRPr="00212B5E">
        <w:rPr>
          <w:i/>
          <w:iCs/>
          <w:szCs w:val="24"/>
        </w:rPr>
        <w:t>perforatum</w:t>
      </w:r>
      <w:proofErr w:type="spellEnd"/>
      <w:r w:rsidRPr="00212B5E">
        <w:rPr>
          <w:szCs w:val="24"/>
        </w:rPr>
        <w:t>)) (se pkt. 4.5).</w:t>
      </w:r>
    </w:p>
    <w:p w14:paraId="466DE221" w14:textId="77777777" w:rsidR="009260DE" w:rsidRPr="00212B5E" w:rsidRDefault="009260DE" w:rsidP="009260DE">
      <w:pPr>
        <w:tabs>
          <w:tab w:val="left" w:pos="851"/>
        </w:tabs>
        <w:ind w:left="851"/>
        <w:rPr>
          <w:sz w:val="24"/>
          <w:szCs w:val="24"/>
        </w:rPr>
      </w:pPr>
    </w:p>
    <w:p w14:paraId="0088F0D9" w14:textId="77777777" w:rsidR="009260DE" w:rsidRPr="00212B5E" w:rsidRDefault="009260DE" w:rsidP="009260DE">
      <w:pPr>
        <w:tabs>
          <w:tab w:val="left" w:pos="851"/>
        </w:tabs>
        <w:ind w:left="851" w:hanging="851"/>
        <w:rPr>
          <w:b/>
          <w:sz w:val="24"/>
          <w:szCs w:val="24"/>
        </w:rPr>
      </w:pPr>
      <w:r w:rsidRPr="00212B5E">
        <w:rPr>
          <w:b/>
          <w:sz w:val="24"/>
          <w:szCs w:val="24"/>
        </w:rPr>
        <w:t>4.4</w:t>
      </w:r>
      <w:r w:rsidRPr="00212B5E">
        <w:rPr>
          <w:b/>
          <w:sz w:val="24"/>
          <w:szCs w:val="24"/>
        </w:rPr>
        <w:tab/>
        <w:t>Særlige advarsler og forsigtighedsregler vedrørende brugen</w:t>
      </w:r>
    </w:p>
    <w:p w14:paraId="1C2BEB6D" w14:textId="318EBA29" w:rsidR="00314C3D" w:rsidRPr="00212B5E" w:rsidRDefault="00314C3D" w:rsidP="002836D2">
      <w:pPr>
        <w:ind w:left="851"/>
        <w:rPr>
          <w:sz w:val="24"/>
          <w:szCs w:val="24"/>
        </w:rPr>
      </w:pPr>
      <w:r w:rsidRPr="00212B5E">
        <w:rPr>
          <w:sz w:val="24"/>
          <w:szCs w:val="24"/>
        </w:rPr>
        <w:t>Under antipsykotisk behandling kan det vare et par dage eller nogle uger, før patientens kliniske</w:t>
      </w:r>
      <w:r w:rsidR="00212B5E">
        <w:rPr>
          <w:sz w:val="24"/>
          <w:szCs w:val="24"/>
        </w:rPr>
        <w:t xml:space="preserve"> </w:t>
      </w:r>
      <w:r w:rsidRPr="00212B5E">
        <w:rPr>
          <w:sz w:val="24"/>
          <w:szCs w:val="24"/>
        </w:rPr>
        <w:t>tilstand forbedres. Patienterne skal overvåges tæt i denne periode.</w:t>
      </w:r>
    </w:p>
    <w:p w14:paraId="5BF38751" w14:textId="77777777" w:rsidR="00314C3D" w:rsidRPr="00212B5E" w:rsidRDefault="00314C3D" w:rsidP="002836D2">
      <w:pPr>
        <w:ind w:left="851"/>
        <w:rPr>
          <w:sz w:val="24"/>
          <w:szCs w:val="24"/>
        </w:rPr>
      </w:pPr>
    </w:p>
    <w:p w14:paraId="289B1CA6" w14:textId="77777777" w:rsidR="00314C3D" w:rsidRPr="00212B5E" w:rsidRDefault="00314C3D" w:rsidP="002836D2">
      <w:pPr>
        <w:ind w:left="851"/>
        <w:rPr>
          <w:sz w:val="24"/>
          <w:szCs w:val="24"/>
          <w:u w:val="single"/>
        </w:rPr>
      </w:pPr>
      <w:r w:rsidRPr="00212B5E">
        <w:rPr>
          <w:sz w:val="24"/>
          <w:szCs w:val="24"/>
          <w:u w:val="single"/>
        </w:rPr>
        <w:lastRenderedPageBreak/>
        <w:t>Selvmordsadfærd</w:t>
      </w:r>
    </w:p>
    <w:p w14:paraId="61A6C732" w14:textId="77777777" w:rsidR="00314C3D" w:rsidRPr="00212B5E" w:rsidRDefault="00314C3D" w:rsidP="002836D2">
      <w:pPr>
        <w:ind w:left="851"/>
        <w:rPr>
          <w:sz w:val="24"/>
          <w:szCs w:val="24"/>
        </w:rPr>
      </w:pPr>
      <w:r w:rsidRPr="00212B5E">
        <w:rPr>
          <w:sz w:val="24"/>
          <w:szCs w:val="24"/>
        </w:rPr>
        <w:t>Selvmordsadfærd er forbundet med psykotiske tilstande og har i nogle tilfælde været rapporteret kort efter opstart eller ændring af antipsykotisk behandling. Højrisikopatienter bør overvåges tæt i denne periode.</w:t>
      </w:r>
    </w:p>
    <w:p w14:paraId="5634C086" w14:textId="77777777" w:rsidR="00314C3D" w:rsidRPr="00212B5E" w:rsidRDefault="00314C3D" w:rsidP="002836D2">
      <w:pPr>
        <w:ind w:left="851"/>
        <w:rPr>
          <w:sz w:val="24"/>
          <w:szCs w:val="24"/>
        </w:rPr>
      </w:pPr>
    </w:p>
    <w:p w14:paraId="40CABC15" w14:textId="77777777" w:rsidR="00314C3D" w:rsidRPr="00212B5E" w:rsidRDefault="00314C3D" w:rsidP="002836D2">
      <w:pPr>
        <w:ind w:left="851"/>
        <w:rPr>
          <w:sz w:val="24"/>
          <w:szCs w:val="24"/>
        </w:rPr>
      </w:pPr>
      <w:r w:rsidRPr="00212B5E">
        <w:rPr>
          <w:sz w:val="24"/>
          <w:szCs w:val="24"/>
          <w:u w:val="single"/>
        </w:rPr>
        <w:t>Parkinsons sygdom</w:t>
      </w:r>
    </w:p>
    <w:p w14:paraId="3C9E3E95" w14:textId="77777777" w:rsidR="00314C3D" w:rsidRPr="00212B5E" w:rsidRDefault="00314C3D" w:rsidP="002836D2">
      <w:pPr>
        <w:ind w:left="851"/>
        <w:rPr>
          <w:sz w:val="24"/>
          <w:szCs w:val="24"/>
        </w:rPr>
      </w:pPr>
      <w:r w:rsidRPr="00212B5E">
        <w:rPr>
          <w:sz w:val="24"/>
          <w:szCs w:val="24"/>
        </w:rPr>
        <w:t xml:space="preserve">Hvis antipsykotiske lægemidler ordineres til patienter med Parkinsons sygdom, kan de underliggende </w:t>
      </w:r>
      <w:proofErr w:type="spellStart"/>
      <w:r w:rsidRPr="00212B5E">
        <w:rPr>
          <w:sz w:val="24"/>
          <w:szCs w:val="24"/>
        </w:rPr>
        <w:t>parkinsonistiske</w:t>
      </w:r>
      <w:proofErr w:type="spellEnd"/>
      <w:r w:rsidRPr="00212B5E">
        <w:rPr>
          <w:sz w:val="24"/>
          <w:szCs w:val="24"/>
        </w:rPr>
        <w:t xml:space="preserve">-symptomer forværres. Lægerne skal derfor opveje risici i forhold til fordelene, når de ordinerer </w:t>
      </w:r>
      <w:proofErr w:type="spellStart"/>
      <w:r w:rsidRPr="00212B5E">
        <w:rPr>
          <w:sz w:val="24"/>
          <w:szCs w:val="24"/>
        </w:rPr>
        <w:t>lurasidon</w:t>
      </w:r>
      <w:proofErr w:type="spellEnd"/>
      <w:r w:rsidRPr="00212B5E">
        <w:rPr>
          <w:sz w:val="24"/>
          <w:szCs w:val="24"/>
        </w:rPr>
        <w:t xml:space="preserve"> til patienter med Parkinsons sygdom.</w:t>
      </w:r>
    </w:p>
    <w:p w14:paraId="1DD3A283" w14:textId="77777777" w:rsidR="00314C3D" w:rsidRPr="00212B5E" w:rsidRDefault="00314C3D" w:rsidP="002836D2">
      <w:pPr>
        <w:ind w:left="851"/>
        <w:rPr>
          <w:sz w:val="24"/>
          <w:szCs w:val="24"/>
        </w:rPr>
      </w:pPr>
    </w:p>
    <w:p w14:paraId="5B0E40E6" w14:textId="77777777" w:rsidR="00314C3D" w:rsidRPr="00212B5E" w:rsidRDefault="00314C3D" w:rsidP="002836D2">
      <w:pPr>
        <w:ind w:left="851"/>
        <w:rPr>
          <w:sz w:val="24"/>
          <w:szCs w:val="24"/>
        </w:rPr>
      </w:pPr>
      <w:r w:rsidRPr="00212B5E">
        <w:rPr>
          <w:sz w:val="24"/>
          <w:szCs w:val="24"/>
          <w:u w:val="single"/>
        </w:rPr>
        <w:t>Ekstrapyramidale symptomer (EPS)</w:t>
      </w:r>
    </w:p>
    <w:p w14:paraId="31AE377A" w14:textId="3902620F" w:rsidR="00314C3D" w:rsidRPr="00212B5E" w:rsidRDefault="00314C3D" w:rsidP="002836D2">
      <w:pPr>
        <w:ind w:left="851"/>
        <w:rPr>
          <w:sz w:val="24"/>
          <w:szCs w:val="24"/>
        </w:rPr>
      </w:pPr>
      <w:r w:rsidRPr="00212B5E">
        <w:rPr>
          <w:sz w:val="24"/>
          <w:szCs w:val="24"/>
        </w:rPr>
        <w:t>Lægemidler med dopaminreceptor-antagonistiske egenskaber er blevet forbundet med</w:t>
      </w:r>
      <w:r w:rsidR="00212B5E">
        <w:rPr>
          <w:sz w:val="24"/>
          <w:szCs w:val="24"/>
        </w:rPr>
        <w:t xml:space="preserve"> </w:t>
      </w:r>
      <w:r w:rsidRPr="00212B5E">
        <w:rPr>
          <w:sz w:val="24"/>
          <w:szCs w:val="24"/>
        </w:rPr>
        <w:t xml:space="preserve">ekstrapyramidale bivirkninger, herunder stivhed, rystelser, maskeagtigt ansigt, </w:t>
      </w:r>
      <w:proofErr w:type="spellStart"/>
      <w:r w:rsidRPr="00212B5E">
        <w:rPr>
          <w:sz w:val="24"/>
          <w:szCs w:val="24"/>
        </w:rPr>
        <w:t>dystonier</w:t>
      </w:r>
      <w:proofErr w:type="spellEnd"/>
      <w:r w:rsidRPr="00212B5E">
        <w:rPr>
          <w:sz w:val="24"/>
          <w:szCs w:val="24"/>
        </w:rPr>
        <w:t xml:space="preserve">, </w:t>
      </w:r>
      <w:proofErr w:type="spellStart"/>
      <w:r w:rsidRPr="00212B5E">
        <w:rPr>
          <w:sz w:val="24"/>
          <w:szCs w:val="24"/>
        </w:rPr>
        <w:t>savlen</w:t>
      </w:r>
      <w:proofErr w:type="spellEnd"/>
      <w:r w:rsidRPr="00212B5E">
        <w:rPr>
          <w:sz w:val="24"/>
          <w:szCs w:val="24"/>
        </w:rPr>
        <w:t>,</w:t>
      </w:r>
      <w:r w:rsidR="00212B5E">
        <w:rPr>
          <w:sz w:val="24"/>
          <w:szCs w:val="24"/>
        </w:rPr>
        <w:t xml:space="preserve"> </w:t>
      </w:r>
      <w:r w:rsidRPr="00212B5E">
        <w:rPr>
          <w:sz w:val="24"/>
          <w:szCs w:val="24"/>
        </w:rPr>
        <w:t>hængende kropsholdning og abnorm gangart. I placebokontrollerede kliniske forsøg med voksne</w:t>
      </w:r>
      <w:r w:rsidR="00212B5E">
        <w:rPr>
          <w:sz w:val="24"/>
          <w:szCs w:val="24"/>
        </w:rPr>
        <w:t xml:space="preserve"> </w:t>
      </w:r>
      <w:r w:rsidRPr="00212B5E">
        <w:rPr>
          <w:sz w:val="24"/>
          <w:szCs w:val="24"/>
        </w:rPr>
        <w:t xml:space="preserve">patienter med skizofreni var der en øget forekomst af EPS efter behandling med </w:t>
      </w:r>
      <w:proofErr w:type="spellStart"/>
      <w:r w:rsidRPr="00212B5E">
        <w:rPr>
          <w:sz w:val="24"/>
          <w:szCs w:val="24"/>
        </w:rPr>
        <w:t>lurasidon</w:t>
      </w:r>
      <w:proofErr w:type="spellEnd"/>
      <w:r w:rsidR="00212B5E">
        <w:rPr>
          <w:sz w:val="24"/>
          <w:szCs w:val="24"/>
        </w:rPr>
        <w:t xml:space="preserve"> </w:t>
      </w:r>
      <w:r w:rsidRPr="00212B5E">
        <w:rPr>
          <w:sz w:val="24"/>
          <w:szCs w:val="24"/>
        </w:rPr>
        <w:t>sammenlignet med placebo.</w:t>
      </w:r>
    </w:p>
    <w:p w14:paraId="039315AC" w14:textId="77777777" w:rsidR="00314C3D" w:rsidRPr="00212B5E" w:rsidRDefault="00314C3D" w:rsidP="002836D2">
      <w:pPr>
        <w:ind w:left="851"/>
        <w:rPr>
          <w:sz w:val="24"/>
          <w:szCs w:val="24"/>
        </w:rPr>
      </w:pPr>
    </w:p>
    <w:p w14:paraId="3CB30C80" w14:textId="77777777" w:rsidR="00314C3D" w:rsidRPr="00212B5E" w:rsidRDefault="00314C3D" w:rsidP="002836D2">
      <w:pPr>
        <w:ind w:left="851"/>
        <w:rPr>
          <w:sz w:val="24"/>
          <w:szCs w:val="24"/>
        </w:rPr>
      </w:pPr>
      <w:proofErr w:type="spellStart"/>
      <w:r w:rsidRPr="00212B5E">
        <w:rPr>
          <w:sz w:val="24"/>
          <w:szCs w:val="24"/>
          <w:u w:val="single"/>
        </w:rPr>
        <w:t>Tardiv</w:t>
      </w:r>
      <w:proofErr w:type="spellEnd"/>
      <w:r w:rsidRPr="00212B5E">
        <w:rPr>
          <w:sz w:val="24"/>
          <w:szCs w:val="24"/>
          <w:u w:val="single"/>
        </w:rPr>
        <w:t xml:space="preserve"> </w:t>
      </w:r>
      <w:proofErr w:type="spellStart"/>
      <w:r w:rsidRPr="00212B5E">
        <w:rPr>
          <w:sz w:val="24"/>
          <w:szCs w:val="24"/>
          <w:u w:val="single"/>
        </w:rPr>
        <w:t>dyskinesi</w:t>
      </w:r>
      <w:proofErr w:type="spellEnd"/>
    </w:p>
    <w:p w14:paraId="36F67B46" w14:textId="1DCA61F2" w:rsidR="00314C3D" w:rsidRPr="00212B5E" w:rsidRDefault="00314C3D" w:rsidP="002836D2">
      <w:pPr>
        <w:ind w:left="851"/>
        <w:rPr>
          <w:sz w:val="24"/>
          <w:szCs w:val="24"/>
        </w:rPr>
      </w:pPr>
      <w:r w:rsidRPr="00212B5E">
        <w:rPr>
          <w:sz w:val="24"/>
          <w:szCs w:val="24"/>
        </w:rPr>
        <w:t xml:space="preserve">Lægemidler med dopaminreceptor-antagonistiske egenskaber er blevet forbundet med fremkaldelse af </w:t>
      </w:r>
      <w:proofErr w:type="spellStart"/>
      <w:r w:rsidRPr="00212B5E">
        <w:rPr>
          <w:sz w:val="24"/>
          <w:szCs w:val="24"/>
        </w:rPr>
        <w:t>tardiv</w:t>
      </w:r>
      <w:proofErr w:type="spellEnd"/>
      <w:r w:rsidRPr="00212B5E">
        <w:rPr>
          <w:sz w:val="24"/>
          <w:szCs w:val="24"/>
        </w:rPr>
        <w:t xml:space="preserve"> </w:t>
      </w:r>
      <w:proofErr w:type="spellStart"/>
      <w:r w:rsidRPr="00212B5E">
        <w:rPr>
          <w:sz w:val="24"/>
          <w:szCs w:val="24"/>
        </w:rPr>
        <w:t>dyskinesi</w:t>
      </w:r>
      <w:proofErr w:type="spellEnd"/>
      <w:r w:rsidRPr="00212B5E">
        <w:rPr>
          <w:sz w:val="24"/>
          <w:szCs w:val="24"/>
        </w:rPr>
        <w:t>, der er karakteriseret ved ufrivillige rytmiske bevægelser, overvejende i tungen</w:t>
      </w:r>
      <w:r w:rsidR="00212B5E">
        <w:rPr>
          <w:sz w:val="24"/>
          <w:szCs w:val="24"/>
        </w:rPr>
        <w:t xml:space="preserve"> </w:t>
      </w:r>
      <w:r w:rsidRPr="00212B5E">
        <w:rPr>
          <w:sz w:val="24"/>
          <w:szCs w:val="24"/>
        </w:rPr>
        <w:t xml:space="preserve">og/eller ansigtet. Hvis der opstår tegn og symptomer på </w:t>
      </w:r>
      <w:proofErr w:type="spellStart"/>
      <w:r w:rsidRPr="00212B5E">
        <w:rPr>
          <w:sz w:val="24"/>
          <w:szCs w:val="24"/>
        </w:rPr>
        <w:t>tardiv</w:t>
      </w:r>
      <w:proofErr w:type="spellEnd"/>
      <w:r w:rsidRPr="00212B5E">
        <w:rPr>
          <w:sz w:val="24"/>
          <w:szCs w:val="24"/>
        </w:rPr>
        <w:t xml:space="preserve"> </w:t>
      </w:r>
      <w:proofErr w:type="spellStart"/>
      <w:r w:rsidRPr="00212B5E">
        <w:rPr>
          <w:sz w:val="24"/>
          <w:szCs w:val="24"/>
        </w:rPr>
        <w:t>dyskinesi</w:t>
      </w:r>
      <w:proofErr w:type="spellEnd"/>
      <w:r w:rsidRPr="00212B5E">
        <w:rPr>
          <w:sz w:val="24"/>
          <w:szCs w:val="24"/>
        </w:rPr>
        <w:t>, skal det overvejes at</w:t>
      </w:r>
      <w:r w:rsidR="00212B5E">
        <w:rPr>
          <w:sz w:val="24"/>
          <w:szCs w:val="24"/>
        </w:rPr>
        <w:t xml:space="preserve"> </w:t>
      </w:r>
      <w:r w:rsidRPr="00212B5E">
        <w:rPr>
          <w:sz w:val="24"/>
          <w:szCs w:val="24"/>
        </w:rPr>
        <w:t xml:space="preserve">seponere alle antipsykotika, herunder </w:t>
      </w:r>
      <w:proofErr w:type="spellStart"/>
      <w:r w:rsidRPr="00212B5E">
        <w:rPr>
          <w:sz w:val="24"/>
          <w:szCs w:val="24"/>
        </w:rPr>
        <w:t>lurasidon</w:t>
      </w:r>
      <w:proofErr w:type="spellEnd"/>
      <w:r w:rsidRPr="00212B5E">
        <w:rPr>
          <w:sz w:val="24"/>
          <w:szCs w:val="24"/>
        </w:rPr>
        <w:t>.</w:t>
      </w:r>
    </w:p>
    <w:p w14:paraId="28E3ED52" w14:textId="77777777" w:rsidR="00314C3D" w:rsidRPr="00212B5E" w:rsidRDefault="00314C3D" w:rsidP="002836D2">
      <w:pPr>
        <w:ind w:left="851"/>
        <w:rPr>
          <w:sz w:val="24"/>
          <w:szCs w:val="24"/>
        </w:rPr>
      </w:pPr>
    </w:p>
    <w:p w14:paraId="4B1438CE" w14:textId="77777777" w:rsidR="00314C3D" w:rsidRPr="00212B5E" w:rsidRDefault="00314C3D" w:rsidP="002836D2">
      <w:pPr>
        <w:ind w:left="851"/>
        <w:rPr>
          <w:sz w:val="24"/>
          <w:szCs w:val="24"/>
        </w:rPr>
      </w:pPr>
      <w:proofErr w:type="spellStart"/>
      <w:r w:rsidRPr="00212B5E">
        <w:rPr>
          <w:sz w:val="24"/>
          <w:szCs w:val="24"/>
          <w:u w:val="single"/>
        </w:rPr>
        <w:t>Kardiovaskulære</w:t>
      </w:r>
      <w:proofErr w:type="spellEnd"/>
      <w:r w:rsidRPr="00212B5E">
        <w:rPr>
          <w:sz w:val="24"/>
          <w:szCs w:val="24"/>
          <w:u w:val="single"/>
        </w:rPr>
        <w:t xml:space="preserve"> lidelser/QT-forlængelse</w:t>
      </w:r>
    </w:p>
    <w:p w14:paraId="796F3867" w14:textId="53CD6BFD" w:rsidR="00314C3D" w:rsidRPr="00212B5E" w:rsidRDefault="00314C3D" w:rsidP="002836D2">
      <w:pPr>
        <w:ind w:left="851"/>
        <w:rPr>
          <w:sz w:val="24"/>
          <w:szCs w:val="24"/>
        </w:rPr>
      </w:pPr>
      <w:r w:rsidRPr="00212B5E">
        <w:rPr>
          <w:sz w:val="24"/>
          <w:szCs w:val="24"/>
        </w:rPr>
        <w:t xml:space="preserve">Som ved andre antipsykotiske lægemidler bør der udvises forsigtighed, når </w:t>
      </w:r>
      <w:proofErr w:type="spellStart"/>
      <w:r w:rsidRPr="00212B5E">
        <w:rPr>
          <w:sz w:val="24"/>
          <w:szCs w:val="24"/>
        </w:rPr>
        <w:t>lurasidon</w:t>
      </w:r>
      <w:proofErr w:type="spellEnd"/>
      <w:r w:rsidRPr="00212B5E">
        <w:rPr>
          <w:sz w:val="24"/>
          <w:szCs w:val="24"/>
        </w:rPr>
        <w:t xml:space="preserve"> ordineres til</w:t>
      </w:r>
      <w:r w:rsidR="00212B5E">
        <w:rPr>
          <w:sz w:val="24"/>
          <w:szCs w:val="24"/>
        </w:rPr>
        <w:t xml:space="preserve"> </w:t>
      </w:r>
      <w:r w:rsidRPr="00212B5E">
        <w:rPr>
          <w:sz w:val="24"/>
          <w:szCs w:val="24"/>
        </w:rPr>
        <w:t>patienter med kendt hjertekarsygdom eller familiær disposition til forlængelse af QT-intervallet,</w:t>
      </w:r>
      <w:r w:rsidR="00212B5E">
        <w:rPr>
          <w:sz w:val="24"/>
          <w:szCs w:val="24"/>
        </w:rPr>
        <w:t xml:space="preserve"> </w:t>
      </w:r>
      <w:proofErr w:type="spellStart"/>
      <w:r w:rsidRPr="00212B5E">
        <w:rPr>
          <w:sz w:val="24"/>
          <w:szCs w:val="24"/>
        </w:rPr>
        <w:t>hyperkalæmi</w:t>
      </w:r>
      <w:proofErr w:type="spellEnd"/>
      <w:r w:rsidRPr="00212B5E">
        <w:rPr>
          <w:sz w:val="24"/>
          <w:szCs w:val="24"/>
        </w:rPr>
        <w:t xml:space="preserve"> og ved samtidig brug af andre lægemidler, som menes at forlænge QT-intervallet.</w:t>
      </w:r>
    </w:p>
    <w:p w14:paraId="3AD3AD52" w14:textId="77777777" w:rsidR="00314C3D" w:rsidRPr="00212B5E" w:rsidRDefault="00314C3D" w:rsidP="002836D2">
      <w:pPr>
        <w:ind w:left="851"/>
        <w:rPr>
          <w:sz w:val="24"/>
          <w:szCs w:val="24"/>
        </w:rPr>
      </w:pPr>
    </w:p>
    <w:p w14:paraId="65ACFDD3" w14:textId="77777777" w:rsidR="00314C3D" w:rsidRPr="00212B5E" w:rsidRDefault="00314C3D" w:rsidP="002836D2">
      <w:pPr>
        <w:ind w:left="851"/>
        <w:rPr>
          <w:sz w:val="24"/>
          <w:szCs w:val="24"/>
        </w:rPr>
      </w:pPr>
      <w:r w:rsidRPr="00212B5E">
        <w:rPr>
          <w:sz w:val="24"/>
          <w:szCs w:val="24"/>
          <w:u w:val="single"/>
        </w:rPr>
        <w:t>Krampeanfald</w:t>
      </w:r>
    </w:p>
    <w:p w14:paraId="38927C17" w14:textId="77777777"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bør anvendes med forsigtighed til patienter med tidligere krampeanfald eller andre tilstande, som potentielt sænker krampetærsklen.</w:t>
      </w:r>
    </w:p>
    <w:p w14:paraId="66AF6288" w14:textId="77777777" w:rsidR="00314C3D" w:rsidRPr="00212B5E" w:rsidRDefault="00314C3D" w:rsidP="002836D2">
      <w:pPr>
        <w:ind w:left="851"/>
        <w:rPr>
          <w:sz w:val="24"/>
          <w:szCs w:val="24"/>
        </w:rPr>
      </w:pPr>
    </w:p>
    <w:p w14:paraId="7163F5FC" w14:textId="77777777" w:rsidR="00314C3D" w:rsidRPr="00212B5E" w:rsidRDefault="00314C3D" w:rsidP="002836D2">
      <w:pPr>
        <w:ind w:left="851"/>
        <w:rPr>
          <w:sz w:val="24"/>
          <w:szCs w:val="24"/>
        </w:rPr>
      </w:pPr>
      <w:r w:rsidRPr="00212B5E">
        <w:rPr>
          <w:sz w:val="24"/>
          <w:szCs w:val="24"/>
          <w:u w:val="single"/>
        </w:rPr>
        <w:t xml:space="preserve">Malignt </w:t>
      </w:r>
      <w:proofErr w:type="spellStart"/>
      <w:r w:rsidRPr="00212B5E">
        <w:rPr>
          <w:sz w:val="24"/>
          <w:szCs w:val="24"/>
          <w:u w:val="single"/>
        </w:rPr>
        <w:t>neuroleptikasyndrom</w:t>
      </w:r>
      <w:proofErr w:type="spellEnd"/>
      <w:r w:rsidRPr="00212B5E">
        <w:rPr>
          <w:sz w:val="24"/>
          <w:szCs w:val="24"/>
          <w:u w:val="single"/>
        </w:rPr>
        <w:t xml:space="preserve"> (NMS)</w:t>
      </w:r>
    </w:p>
    <w:p w14:paraId="22E0CB0C" w14:textId="77777777" w:rsidR="00314C3D" w:rsidRPr="00212B5E" w:rsidRDefault="00314C3D" w:rsidP="002836D2">
      <w:pPr>
        <w:ind w:left="851"/>
        <w:rPr>
          <w:sz w:val="24"/>
          <w:szCs w:val="24"/>
        </w:rPr>
      </w:pPr>
      <w:r w:rsidRPr="00212B5E">
        <w:rPr>
          <w:sz w:val="24"/>
          <w:szCs w:val="24"/>
        </w:rPr>
        <w:t xml:space="preserve">For </w:t>
      </w:r>
      <w:proofErr w:type="spellStart"/>
      <w:r w:rsidRPr="00212B5E">
        <w:rPr>
          <w:sz w:val="24"/>
          <w:szCs w:val="24"/>
        </w:rPr>
        <w:t>lurasidon</w:t>
      </w:r>
      <w:proofErr w:type="spellEnd"/>
      <w:r w:rsidRPr="00212B5E">
        <w:rPr>
          <w:sz w:val="24"/>
          <w:szCs w:val="24"/>
        </w:rPr>
        <w:t xml:space="preserve"> er der rapporteret om forekomst af malignt </w:t>
      </w:r>
      <w:proofErr w:type="spellStart"/>
      <w:r w:rsidRPr="00212B5E">
        <w:rPr>
          <w:sz w:val="24"/>
          <w:szCs w:val="24"/>
        </w:rPr>
        <w:t>neuroleptikasyndrom</w:t>
      </w:r>
      <w:proofErr w:type="spellEnd"/>
      <w:r w:rsidRPr="00212B5E">
        <w:rPr>
          <w:sz w:val="24"/>
          <w:szCs w:val="24"/>
        </w:rPr>
        <w:t xml:space="preserve">, som er karakteriseret ved </w:t>
      </w:r>
      <w:proofErr w:type="spellStart"/>
      <w:r w:rsidRPr="00212B5E">
        <w:rPr>
          <w:sz w:val="24"/>
          <w:szCs w:val="24"/>
        </w:rPr>
        <w:t>hypertermi</w:t>
      </w:r>
      <w:proofErr w:type="spellEnd"/>
      <w:r w:rsidRPr="00212B5E">
        <w:rPr>
          <w:sz w:val="24"/>
          <w:szCs w:val="24"/>
        </w:rPr>
        <w:t xml:space="preserve">, muskelrigiditet, autonom ustabilitet, ændret bevidsthedsniveau og forhøjet </w:t>
      </w:r>
      <w:proofErr w:type="spellStart"/>
      <w:r w:rsidRPr="00212B5E">
        <w:rPr>
          <w:sz w:val="24"/>
          <w:szCs w:val="24"/>
        </w:rPr>
        <w:t>serumkreatinfosfokinase</w:t>
      </w:r>
      <w:proofErr w:type="spellEnd"/>
      <w:r w:rsidRPr="00212B5E">
        <w:rPr>
          <w:sz w:val="24"/>
          <w:szCs w:val="24"/>
        </w:rPr>
        <w:t xml:space="preserve">. Yderligere kliniske tegn er bl.a. </w:t>
      </w:r>
      <w:proofErr w:type="spellStart"/>
      <w:r w:rsidRPr="00212B5E">
        <w:rPr>
          <w:sz w:val="24"/>
          <w:szCs w:val="24"/>
        </w:rPr>
        <w:t>myoglobinuri</w:t>
      </w:r>
      <w:proofErr w:type="spellEnd"/>
      <w:r w:rsidRPr="00212B5E">
        <w:rPr>
          <w:sz w:val="24"/>
          <w:szCs w:val="24"/>
        </w:rPr>
        <w:t xml:space="preserve"> (</w:t>
      </w:r>
      <w:proofErr w:type="spellStart"/>
      <w:r w:rsidRPr="00212B5E">
        <w:rPr>
          <w:sz w:val="24"/>
          <w:szCs w:val="24"/>
        </w:rPr>
        <w:t>rabdomyolyse</w:t>
      </w:r>
      <w:proofErr w:type="spellEnd"/>
      <w:r w:rsidRPr="00212B5E">
        <w:rPr>
          <w:sz w:val="24"/>
          <w:szCs w:val="24"/>
        </w:rPr>
        <w:t xml:space="preserve">) og akut nyresvigt. Hvis de nævnte symptomer opstår, skal </w:t>
      </w:r>
      <w:proofErr w:type="spellStart"/>
      <w:r w:rsidRPr="00212B5E">
        <w:rPr>
          <w:sz w:val="24"/>
          <w:szCs w:val="24"/>
        </w:rPr>
        <w:t>lurasidon</w:t>
      </w:r>
      <w:proofErr w:type="spellEnd"/>
      <w:r w:rsidRPr="00212B5E">
        <w:rPr>
          <w:sz w:val="24"/>
          <w:szCs w:val="24"/>
        </w:rPr>
        <w:t xml:space="preserve"> seponeres.</w:t>
      </w:r>
    </w:p>
    <w:p w14:paraId="24DA40A3" w14:textId="77777777" w:rsidR="00314C3D" w:rsidRPr="00212B5E" w:rsidRDefault="00314C3D" w:rsidP="002836D2">
      <w:pPr>
        <w:ind w:left="851"/>
        <w:rPr>
          <w:sz w:val="24"/>
          <w:szCs w:val="24"/>
        </w:rPr>
      </w:pPr>
    </w:p>
    <w:p w14:paraId="63EE664F" w14:textId="77777777" w:rsidR="00314C3D" w:rsidRPr="00212B5E" w:rsidRDefault="00314C3D" w:rsidP="002836D2">
      <w:pPr>
        <w:ind w:left="851"/>
        <w:rPr>
          <w:sz w:val="24"/>
          <w:szCs w:val="24"/>
        </w:rPr>
      </w:pPr>
      <w:r w:rsidRPr="00212B5E">
        <w:rPr>
          <w:sz w:val="24"/>
          <w:szCs w:val="24"/>
          <w:u w:val="single"/>
        </w:rPr>
        <w:t>Ældre patienter med demens</w:t>
      </w:r>
    </w:p>
    <w:p w14:paraId="4BD7CE46" w14:textId="77777777"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er ikke undersøgt til ældre patienter med demens.</w:t>
      </w:r>
    </w:p>
    <w:p w14:paraId="31112AA6" w14:textId="77777777" w:rsidR="00314C3D" w:rsidRPr="00212B5E" w:rsidRDefault="00314C3D" w:rsidP="002836D2">
      <w:pPr>
        <w:ind w:left="851"/>
        <w:rPr>
          <w:sz w:val="24"/>
          <w:szCs w:val="24"/>
        </w:rPr>
      </w:pPr>
    </w:p>
    <w:p w14:paraId="7A9DE643" w14:textId="77777777" w:rsidR="00314C3D" w:rsidRPr="00212B5E" w:rsidRDefault="00314C3D" w:rsidP="002836D2">
      <w:pPr>
        <w:ind w:left="851"/>
        <w:rPr>
          <w:sz w:val="24"/>
          <w:szCs w:val="24"/>
        </w:rPr>
      </w:pPr>
      <w:r w:rsidRPr="00212B5E">
        <w:rPr>
          <w:sz w:val="24"/>
          <w:szCs w:val="24"/>
          <w:u w:val="single"/>
        </w:rPr>
        <w:t>Samlet dødelighed</w:t>
      </w:r>
    </w:p>
    <w:p w14:paraId="4F510F00" w14:textId="4DC91D73" w:rsidR="00314C3D" w:rsidRPr="00212B5E" w:rsidRDefault="00314C3D" w:rsidP="002836D2">
      <w:pPr>
        <w:ind w:left="851"/>
        <w:rPr>
          <w:sz w:val="24"/>
          <w:szCs w:val="24"/>
        </w:rPr>
      </w:pPr>
      <w:r w:rsidRPr="00212B5E">
        <w:rPr>
          <w:sz w:val="24"/>
          <w:szCs w:val="24"/>
        </w:rPr>
        <w:t xml:space="preserve">I en </w:t>
      </w:r>
      <w:proofErr w:type="spellStart"/>
      <w:r w:rsidRPr="00212B5E">
        <w:rPr>
          <w:sz w:val="24"/>
          <w:szCs w:val="24"/>
        </w:rPr>
        <w:t>meta</w:t>
      </w:r>
      <w:proofErr w:type="spellEnd"/>
      <w:r w:rsidRPr="00212B5E">
        <w:rPr>
          <w:sz w:val="24"/>
          <w:szCs w:val="24"/>
        </w:rPr>
        <w:t>-analyse af 17 kontrollerede, kliniske forsøg havde ældre patienter med demens, som blev</w:t>
      </w:r>
      <w:r w:rsidR="00212B5E">
        <w:rPr>
          <w:sz w:val="24"/>
          <w:szCs w:val="24"/>
        </w:rPr>
        <w:t xml:space="preserve"> </w:t>
      </w:r>
      <w:r w:rsidRPr="00212B5E">
        <w:rPr>
          <w:sz w:val="24"/>
          <w:szCs w:val="24"/>
        </w:rPr>
        <w:t xml:space="preserve">behandlet med andre atypiske antipsykotiske lægemidler, herunder </w:t>
      </w:r>
      <w:proofErr w:type="spellStart"/>
      <w:r w:rsidRPr="00212B5E">
        <w:rPr>
          <w:sz w:val="24"/>
          <w:szCs w:val="24"/>
        </w:rPr>
        <w:t>risperidon</w:t>
      </w:r>
      <w:proofErr w:type="spellEnd"/>
      <w:r w:rsidRPr="00212B5E">
        <w:rPr>
          <w:sz w:val="24"/>
          <w:szCs w:val="24"/>
        </w:rPr>
        <w:t xml:space="preserve">, </w:t>
      </w:r>
      <w:proofErr w:type="spellStart"/>
      <w:r w:rsidRPr="00212B5E">
        <w:rPr>
          <w:sz w:val="24"/>
          <w:szCs w:val="24"/>
        </w:rPr>
        <w:t>aripiprazol</w:t>
      </w:r>
      <w:proofErr w:type="spellEnd"/>
      <w:r w:rsidRPr="00212B5E">
        <w:rPr>
          <w:sz w:val="24"/>
          <w:szCs w:val="24"/>
        </w:rPr>
        <w:t xml:space="preserve">, </w:t>
      </w:r>
      <w:proofErr w:type="spellStart"/>
      <w:r w:rsidRPr="00212B5E">
        <w:rPr>
          <w:sz w:val="24"/>
          <w:szCs w:val="24"/>
        </w:rPr>
        <w:t>olanzapin</w:t>
      </w:r>
      <w:proofErr w:type="spellEnd"/>
      <w:r w:rsidRPr="00212B5E">
        <w:rPr>
          <w:sz w:val="24"/>
          <w:szCs w:val="24"/>
        </w:rPr>
        <w:t xml:space="preserve"> og </w:t>
      </w:r>
      <w:proofErr w:type="spellStart"/>
      <w:r w:rsidRPr="00212B5E">
        <w:rPr>
          <w:sz w:val="24"/>
          <w:szCs w:val="24"/>
        </w:rPr>
        <w:t>quetiapin</w:t>
      </w:r>
      <w:proofErr w:type="spellEnd"/>
      <w:r w:rsidRPr="00212B5E">
        <w:rPr>
          <w:sz w:val="24"/>
          <w:szCs w:val="24"/>
        </w:rPr>
        <w:t>, øget mortalitetsrisiko i forhold til placebo.</w:t>
      </w:r>
    </w:p>
    <w:p w14:paraId="73B954DB" w14:textId="77777777" w:rsidR="00314C3D" w:rsidRPr="00212B5E" w:rsidRDefault="00314C3D" w:rsidP="002836D2">
      <w:pPr>
        <w:ind w:left="851"/>
        <w:rPr>
          <w:sz w:val="24"/>
          <w:szCs w:val="24"/>
        </w:rPr>
      </w:pPr>
    </w:p>
    <w:p w14:paraId="27F937F1" w14:textId="77777777" w:rsidR="00314C3D" w:rsidRPr="00212B5E" w:rsidRDefault="00314C3D" w:rsidP="002836D2">
      <w:pPr>
        <w:ind w:left="851"/>
        <w:rPr>
          <w:sz w:val="24"/>
          <w:szCs w:val="24"/>
        </w:rPr>
      </w:pPr>
      <w:proofErr w:type="spellStart"/>
      <w:r w:rsidRPr="00212B5E">
        <w:rPr>
          <w:sz w:val="24"/>
          <w:szCs w:val="24"/>
          <w:u w:val="single"/>
        </w:rPr>
        <w:t>Cerebrovaskulær</w:t>
      </w:r>
      <w:proofErr w:type="spellEnd"/>
      <w:r w:rsidRPr="00212B5E">
        <w:rPr>
          <w:sz w:val="24"/>
          <w:szCs w:val="24"/>
          <w:u w:val="single"/>
        </w:rPr>
        <w:t xml:space="preserve"> hændelse</w:t>
      </w:r>
    </w:p>
    <w:p w14:paraId="0A66F99A" w14:textId="7F755274" w:rsidR="00314C3D" w:rsidRPr="00212B5E" w:rsidRDefault="00314C3D" w:rsidP="002836D2">
      <w:pPr>
        <w:ind w:left="851"/>
        <w:rPr>
          <w:sz w:val="24"/>
          <w:szCs w:val="24"/>
        </w:rPr>
      </w:pPr>
      <w:r w:rsidRPr="00212B5E">
        <w:rPr>
          <w:sz w:val="24"/>
          <w:szCs w:val="24"/>
        </w:rPr>
        <w:t xml:space="preserve">Der er set en tilnærmelsesvis 3-foldig forøgelse af risikoen for </w:t>
      </w:r>
      <w:proofErr w:type="spellStart"/>
      <w:r w:rsidRPr="00212B5E">
        <w:rPr>
          <w:sz w:val="24"/>
          <w:szCs w:val="24"/>
        </w:rPr>
        <w:t>cerebrovaskulære</w:t>
      </w:r>
      <w:proofErr w:type="spellEnd"/>
      <w:r w:rsidRPr="00212B5E">
        <w:rPr>
          <w:sz w:val="24"/>
          <w:szCs w:val="24"/>
        </w:rPr>
        <w:t xml:space="preserve"> bivirkninger i</w:t>
      </w:r>
      <w:r w:rsidR="00212B5E">
        <w:rPr>
          <w:sz w:val="24"/>
          <w:szCs w:val="24"/>
        </w:rPr>
        <w:t xml:space="preserve"> </w:t>
      </w:r>
      <w:r w:rsidRPr="00212B5E">
        <w:rPr>
          <w:sz w:val="24"/>
          <w:szCs w:val="24"/>
        </w:rPr>
        <w:t>randomiserede, placebokontrollerede kliniske forsøg med patienter med demens, der behandles med</w:t>
      </w:r>
      <w:r w:rsidR="00212B5E">
        <w:rPr>
          <w:sz w:val="24"/>
          <w:szCs w:val="24"/>
        </w:rPr>
        <w:t xml:space="preserve"> </w:t>
      </w:r>
      <w:r w:rsidRPr="00212B5E">
        <w:rPr>
          <w:sz w:val="24"/>
          <w:szCs w:val="24"/>
        </w:rPr>
        <w:t xml:space="preserve">visse atypiske antipsykotika, bl.a. </w:t>
      </w:r>
      <w:proofErr w:type="spellStart"/>
      <w:r w:rsidRPr="00212B5E">
        <w:rPr>
          <w:sz w:val="24"/>
          <w:szCs w:val="24"/>
        </w:rPr>
        <w:t>risperidon</w:t>
      </w:r>
      <w:proofErr w:type="spellEnd"/>
      <w:r w:rsidRPr="00212B5E">
        <w:rPr>
          <w:sz w:val="24"/>
          <w:szCs w:val="24"/>
        </w:rPr>
        <w:t xml:space="preserve">, </w:t>
      </w:r>
      <w:proofErr w:type="spellStart"/>
      <w:r w:rsidRPr="00212B5E">
        <w:rPr>
          <w:sz w:val="24"/>
          <w:szCs w:val="24"/>
        </w:rPr>
        <w:t>aripiprazol</w:t>
      </w:r>
      <w:proofErr w:type="spellEnd"/>
      <w:r w:rsidRPr="00212B5E">
        <w:rPr>
          <w:sz w:val="24"/>
          <w:szCs w:val="24"/>
        </w:rPr>
        <w:t xml:space="preserve"> og </w:t>
      </w:r>
      <w:proofErr w:type="spellStart"/>
      <w:r w:rsidRPr="00212B5E">
        <w:rPr>
          <w:sz w:val="24"/>
          <w:szCs w:val="24"/>
        </w:rPr>
        <w:t>olanzapin</w:t>
      </w:r>
      <w:proofErr w:type="spellEnd"/>
      <w:r w:rsidRPr="00212B5E">
        <w:rPr>
          <w:sz w:val="24"/>
          <w:szCs w:val="24"/>
        </w:rPr>
        <w:t xml:space="preserve">. </w:t>
      </w:r>
      <w:r w:rsidRPr="00212B5E">
        <w:rPr>
          <w:sz w:val="24"/>
          <w:szCs w:val="24"/>
        </w:rPr>
        <w:lastRenderedPageBreak/>
        <w:t xml:space="preserve">Mekanismen bag denne øgede risiko er ukendt. En øget risiko med andre antipsykotiske midler og andre patientpopulationer kan ikke udelukkes. Der bør udvises forsigtighed ved brug af </w:t>
      </w:r>
      <w:proofErr w:type="spellStart"/>
      <w:r w:rsidRPr="00212B5E">
        <w:rPr>
          <w:sz w:val="24"/>
          <w:szCs w:val="24"/>
        </w:rPr>
        <w:t>lurasidon</w:t>
      </w:r>
      <w:proofErr w:type="spellEnd"/>
      <w:r w:rsidRPr="00212B5E">
        <w:rPr>
          <w:sz w:val="24"/>
          <w:szCs w:val="24"/>
        </w:rPr>
        <w:t xml:space="preserve"> hos ældre patienter med demens, som har risikofaktorer for slagtilfælde.</w:t>
      </w:r>
    </w:p>
    <w:p w14:paraId="2B82433E" w14:textId="77777777" w:rsidR="00314C3D" w:rsidRPr="00212B5E" w:rsidRDefault="00314C3D" w:rsidP="002836D2">
      <w:pPr>
        <w:ind w:left="851"/>
        <w:rPr>
          <w:sz w:val="24"/>
          <w:szCs w:val="24"/>
        </w:rPr>
      </w:pPr>
    </w:p>
    <w:p w14:paraId="3F5A6123" w14:textId="77777777" w:rsidR="00314C3D" w:rsidRPr="00212B5E" w:rsidRDefault="00314C3D" w:rsidP="002836D2">
      <w:pPr>
        <w:ind w:left="851"/>
        <w:rPr>
          <w:sz w:val="24"/>
          <w:szCs w:val="24"/>
        </w:rPr>
      </w:pPr>
      <w:r w:rsidRPr="00212B5E">
        <w:rPr>
          <w:sz w:val="24"/>
          <w:szCs w:val="24"/>
          <w:u w:val="single"/>
        </w:rPr>
        <w:t xml:space="preserve">Venøs </w:t>
      </w:r>
      <w:proofErr w:type="spellStart"/>
      <w:r w:rsidRPr="00212B5E">
        <w:rPr>
          <w:sz w:val="24"/>
          <w:szCs w:val="24"/>
          <w:u w:val="single"/>
        </w:rPr>
        <w:t>tromboemboli</w:t>
      </w:r>
      <w:proofErr w:type="spellEnd"/>
    </w:p>
    <w:p w14:paraId="094D5DBA" w14:textId="77777777" w:rsidR="00314C3D" w:rsidRPr="00212B5E" w:rsidRDefault="00314C3D" w:rsidP="002836D2">
      <w:pPr>
        <w:ind w:left="851"/>
        <w:rPr>
          <w:sz w:val="24"/>
          <w:szCs w:val="24"/>
        </w:rPr>
      </w:pPr>
      <w:r w:rsidRPr="00212B5E">
        <w:rPr>
          <w:sz w:val="24"/>
          <w:szCs w:val="24"/>
        </w:rPr>
        <w:t xml:space="preserve">Der er blevet rapporteret om tilfælde af venøs </w:t>
      </w:r>
      <w:proofErr w:type="spellStart"/>
      <w:r w:rsidRPr="00212B5E">
        <w:rPr>
          <w:sz w:val="24"/>
          <w:szCs w:val="24"/>
        </w:rPr>
        <w:t>tromboemboli</w:t>
      </w:r>
      <w:proofErr w:type="spellEnd"/>
      <w:r w:rsidRPr="00212B5E">
        <w:rPr>
          <w:sz w:val="24"/>
          <w:szCs w:val="24"/>
        </w:rPr>
        <w:t xml:space="preserve"> (VTE) i forbindelse med antipsykotiske lægemidler. Da patienter i behandling med antipsykotiske lægemidler ofte har sygdomsbetingede risikofaktorer for VTE, bør alle mulige risikofaktorer for VTE identificeres før og under behandling med </w:t>
      </w:r>
      <w:proofErr w:type="spellStart"/>
      <w:r w:rsidRPr="00212B5E">
        <w:rPr>
          <w:sz w:val="24"/>
          <w:szCs w:val="24"/>
        </w:rPr>
        <w:t>lurasidon</w:t>
      </w:r>
      <w:proofErr w:type="spellEnd"/>
      <w:r w:rsidRPr="00212B5E">
        <w:rPr>
          <w:sz w:val="24"/>
          <w:szCs w:val="24"/>
        </w:rPr>
        <w:t xml:space="preserve"> og forebyggende tiltag iværksættes.</w:t>
      </w:r>
    </w:p>
    <w:p w14:paraId="78114C28" w14:textId="77777777" w:rsidR="00314C3D" w:rsidRPr="00212B5E" w:rsidRDefault="00314C3D" w:rsidP="002836D2">
      <w:pPr>
        <w:ind w:left="851"/>
        <w:rPr>
          <w:sz w:val="24"/>
          <w:szCs w:val="24"/>
        </w:rPr>
      </w:pPr>
    </w:p>
    <w:p w14:paraId="4AA3A573" w14:textId="77777777" w:rsidR="00314C3D" w:rsidRPr="00212B5E" w:rsidRDefault="00314C3D" w:rsidP="002836D2">
      <w:pPr>
        <w:ind w:left="851"/>
        <w:rPr>
          <w:sz w:val="24"/>
          <w:szCs w:val="24"/>
        </w:rPr>
      </w:pPr>
      <w:proofErr w:type="spellStart"/>
      <w:r w:rsidRPr="00212B5E">
        <w:rPr>
          <w:sz w:val="24"/>
          <w:szCs w:val="24"/>
          <w:u w:val="single"/>
        </w:rPr>
        <w:t>Hyperprolaktinæmi</w:t>
      </w:r>
      <w:proofErr w:type="spellEnd"/>
    </w:p>
    <w:p w14:paraId="030EFDA1" w14:textId="77777777"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forhøjer </w:t>
      </w:r>
      <w:proofErr w:type="spellStart"/>
      <w:r w:rsidRPr="00212B5E">
        <w:rPr>
          <w:sz w:val="24"/>
          <w:szCs w:val="24"/>
        </w:rPr>
        <w:t>prolaktinniveauet</w:t>
      </w:r>
      <w:proofErr w:type="spellEnd"/>
      <w:r w:rsidRPr="00212B5E">
        <w:rPr>
          <w:sz w:val="24"/>
          <w:szCs w:val="24"/>
        </w:rPr>
        <w:t xml:space="preserve"> som følge af antagonismen fra dopamin D2-receptorerne. Patienterne bør rådgives om tegn og symptomer på forhøjet </w:t>
      </w:r>
      <w:proofErr w:type="spellStart"/>
      <w:r w:rsidRPr="00212B5E">
        <w:rPr>
          <w:sz w:val="24"/>
          <w:szCs w:val="24"/>
        </w:rPr>
        <w:t>prolaktin</w:t>
      </w:r>
      <w:proofErr w:type="spellEnd"/>
      <w:r w:rsidRPr="00212B5E">
        <w:rPr>
          <w:sz w:val="24"/>
          <w:szCs w:val="24"/>
        </w:rPr>
        <w:t xml:space="preserve"> som f.eks. </w:t>
      </w:r>
      <w:proofErr w:type="spellStart"/>
      <w:r w:rsidRPr="00212B5E">
        <w:rPr>
          <w:sz w:val="24"/>
          <w:szCs w:val="24"/>
        </w:rPr>
        <w:t>gynækomasti</w:t>
      </w:r>
      <w:proofErr w:type="spellEnd"/>
      <w:r w:rsidRPr="00212B5E">
        <w:rPr>
          <w:sz w:val="24"/>
          <w:szCs w:val="24"/>
        </w:rPr>
        <w:t xml:space="preserve">, </w:t>
      </w:r>
      <w:proofErr w:type="spellStart"/>
      <w:r w:rsidRPr="00212B5E">
        <w:rPr>
          <w:sz w:val="24"/>
          <w:szCs w:val="24"/>
        </w:rPr>
        <w:t>galaktoré</w:t>
      </w:r>
      <w:proofErr w:type="spellEnd"/>
      <w:r w:rsidRPr="00212B5E">
        <w:rPr>
          <w:sz w:val="24"/>
          <w:szCs w:val="24"/>
        </w:rPr>
        <w:t xml:space="preserve">, </w:t>
      </w:r>
      <w:proofErr w:type="spellStart"/>
      <w:r w:rsidRPr="00212B5E">
        <w:rPr>
          <w:sz w:val="24"/>
          <w:szCs w:val="24"/>
        </w:rPr>
        <w:t>amenorré</w:t>
      </w:r>
      <w:proofErr w:type="spellEnd"/>
      <w:r w:rsidRPr="00212B5E">
        <w:rPr>
          <w:sz w:val="24"/>
          <w:szCs w:val="24"/>
        </w:rPr>
        <w:t xml:space="preserve"> og </w:t>
      </w:r>
      <w:proofErr w:type="spellStart"/>
      <w:r w:rsidRPr="00212B5E">
        <w:rPr>
          <w:sz w:val="24"/>
          <w:szCs w:val="24"/>
        </w:rPr>
        <w:t>erektil</w:t>
      </w:r>
      <w:proofErr w:type="spellEnd"/>
      <w:r w:rsidRPr="00212B5E">
        <w:rPr>
          <w:sz w:val="24"/>
          <w:szCs w:val="24"/>
        </w:rPr>
        <w:t xml:space="preserve"> dysfunktion. Patienterne bør rådes til at søge lægehjælp, hvis de oplever tegn og symptomer.</w:t>
      </w:r>
    </w:p>
    <w:p w14:paraId="7124BC96" w14:textId="77777777" w:rsidR="00314C3D" w:rsidRPr="00212B5E" w:rsidRDefault="00314C3D" w:rsidP="002836D2">
      <w:pPr>
        <w:ind w:left="851"/>
        <w:rPr>
          <w:sz w:val="24"/>
          <w:szCs w:val="24"/>
        </w:rPr>
      </w:pPr>
    </w:p>
    <w:p w14:paraId="2963C20E" w14:textId="77777777" w:rsidR="00314C3D" w:rsidRPr="00212B5E" w:rsidRDefault="00314C3D" w:rsidP="002836D2">
      <w:pPr>
        <w:ind w:left="851"/>
        <w:rPr>
          <w:sz w:val="24"/>
          <w:szCs w:val="24"/>
        </w:rPr>
      </w:pPr>
      <w:r w:rsidRPr="00212B5E">
        <w:rPr>
          <w:sz w:val="24"/>
          <w:szCs w:val="24"/>
          <w:u w:val="single"/>
        </w:rPr>
        <w:t>Vægtforøgelse</w:t>
      </w:r>
    </w:p>
    <w:p w14:paraId="060FCBB6" w14:textId="5448F54E" w:rsidR="00314C3D" w:rsidRPr="00212B5E" w:rsidRDefault="00314C3D" w:rsidP="002836D2">
      <w:pPr>
        <w:ind w:left="851"/>
        <w:rPr>
          <w:sz w:val="24"/>
          <w:szCs w:val="24"/>
        </w:rPr>
      </w:pPr>
      <w:r w:rsidRPr="00212B5E">
        <w:rPr>
          <w:sz w:val="24"/>
          <w:szCs w:val="24"/>
        </w:rPr>
        <w:t>Vægtforøgelse er blevet observeret i forbindelse med indtagelse af antipsykotiske midler. Klinisk</w:t>
      </w:r>
      <w:r w:rsidR="00212B5E">
        <w:rPr>
          <w:sz w:val="24"/>
          <w:szCs w:val="24"/>
        </w:rPr>
        <w:t xml:space="preserve"> </w:t>
      </w:r>
      <w:r w:rsidRPr="00212B5E">
        <w:rPr>
          <w:sz w:val="24"/>
          <w:szCs w:val="24"/>
        </w:rPr>
        <w:t>monitorering af patientens vægt anbefales.</w:t>
      </w:r>
    </w:p>
    <w:p w14:paraId="2706BD17" w14:textId="77777777" w:rsidR="00314C3D" w:rsidRPr="00212B5E" w:rsidRDefault="00314C3D" w:rsidP="002836D2">
      <w:pPr>
        <w:ind w:left="851"/>
        <w:rPr>
          <w:sz w:val="24"/>
          <w:szCs w:val="24"/>
        </w:rPr>
      </w:pPr>
    </w:p>
    <w:p w14:paraId="4890E921" w14:textId="77777777" w:rsidR="00314C3D" w:rsidRPr="00212B5E" w:rsidRDefault="00314C3D" w:rsidP="002836D2">
      <w:pPr>
        <w:ind w:left="851"/>
        <w:rPr>
          <w:sz w:val="24"/>
          <w:szCs w:val="24"/>
        </w:rPr>
      </w:pPr>
      <w:proofErr w:type="spellStart"/>
      <w:r w:rsidRPr="00212B5E">
        <w:rPr>
          <w:sz w:val="24"/>
          <w:szCs w:val="24"/>
          <w:u w:val="single"/>
        </w:rPr>
        <w:t>Hyperglykæmi</w:t>
      </w:r>
      <w:proofErr w:type="spellEnd"/>
    </w:p>
    <w:p w14:paraId="7A4C85A7" w14:textId="0DF7A3FB" w:rsidR="00314C3D" w:rsidRPr="00212B5E" w:rsidRDefault="00314C3D" w:rsidP="002836D2">
      <w:pPr>
        <w:ind w:left="851"/>
        <w:rPr>
          <w:sz w:val="24"/>
          <w:szCs w:val="24"/>
        </w:rPr>
      </w:pPr>
      <w:r w:rsidRPr="00212B5E">
        <w:rPr>
          <w:sz w:val="24"/>
          <w:szCs w:val="24"/>
        </w:rPr>
        <w:t xml:space="preserve">I kliniske forsøg med </w:t>
      </w:r>
      <w:proofErr w:type="spellStart"/>
      <w:r w:rsidRPr="00212B5E">
        <w:rPr>
          <w:sz w:val="24"/>
          <w:szCs w:val="24"/>
        </w:rPr>
        <w:t>lurasidon</w:t>
      </w:r>
      <w:proofErr w:type="spellEnd"/>
      <w:r w:rsidRPr="00212B5E">
        <w:rPr>
          <w:sz w:val="24"/>
          <w:szCs w:val="24"/>
        </w:rPr>
        <w:t xml:space="preserve"> er der i sjældne tilfælde rapporteret om glukoserelaterede bivirkninger, f.eks. forhøjet blodglukose. Relevant klinisk monitorering tilrådes under behandlingen af patienter med diabetes mellitus og patienter med risikofaktorer for udvikling af diabetes mellitus.</w:t>
      </w:r>
    </w:p>
    <w:p w14:paraId="64B062BC" w14:textId="77777777" w:rsidR="00314C3D" w:rsidRPr="00212B5E" w:rsidRDefault="00314C3D" w:rsidP="002836D2">
      <w:pPr>
        <w:ind w:left="851"/>
        <w:rPr>
          <w:sz w:val="24"/>
          <w:szCs w:val="24"/>
        </w:rPr>
      </w:pPr>
    </w:p>
    <w:p w14:paraId="5DC8A4EE" w14:textId="77777777" w:rsidR="00314C3D" w:rsidRPr="00212B5E" w:rsidRDefault="00314C3D" w:rsidP="002836D2">
      <w:pPr>
        <w:ind w:left="851"/>
        <w:rPr>
          <w:sz w:val="24"/>
          <w:szCs w:val="24"/>
        </w:rPr>
      </w:pPr>
      <w:proofErr w:type="spellStart"/>
      <w:r w:rsidRPr="00212B5E">
        <w:rPr>
          <w:sz w:val="24"/>
          <w:szCs w:val="24"/>
          <w:u w:val="single"/>
        </w:rPr>
        <w:t>Ortostatisk</w:t>
      </w:r>
      <w:proofErr w:type="spellEnd"/>
      <w:r w:rsidRPr="00212B5E">
        <w:rPr>
          <w:sz w:val="24"/>
          <w:szCs w:val="24"/>
          <w:u w:val="single"/>
        </w:rPr>
        <w:t xml:space="preserve"> hypotension/synkope</w:t>
      </w:r>
    </w:p>
    <w:p w14:paraId="756C281B" w14:textId="77777777"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kan medføre </w:t>
      </w:r>
      <w:proofErr w:type="spellStart"/>
      <w:r w:rsidRPr="00212B5E">
        <w:rPr>
          <w:sz w:val="24"/>
          <w:szCs w:val="24"/>
        </w:rPr>
        <w:t>ortostatisk</w:t>
      </w:r>
      <w:proofErr w:type="spellEnd"/>
      <w:r w:rsidRPr="00212B5E">
        <w:rPr>
          <w:sz w:val="24"/>
          <w:szCs w:val="24"/>
        </w:rPr>
        <w:t xml:space="preserve"> hypotension, som muligvis forårsages af dens α1-adrenerge receptorantagonisme. Monitorering af </w:t>
      </w:r>
      <w:proofErr w:type="spellStart"/>
      <w:r w:rsidRPr="00212B5E">
        <w:rPr>
          <w:sz w:val="24"/>
          <w:szCs w:val="24"/>
        </w:rPr>
        <w:t>ortostatiske</w:t>
      </w:r>
      <w:proofErr w:type="spellEnd"/>
      <w:r w:rsidRPr="00212B5E">
        <w:rPr>
          <w:sz w:val="24"/>
          <w:szCs w:val="24"/>
        </w:rPr>
        <w:t>, vitale tegn bør overvejes hos patienter med tilbøjelighed til hypotension.</w:t>
      </w:r>
    </w:p>
    <w:p w14:paraId="514B985B" w14:textId="77777777" w:rsidR="00314C3D" w:rsidRPr="00212B5E" w:rsidRDefault="00314C3D" w:rsidP="002836D2">
      <w:pPr>
        <w:ind w:left="851"/>
        <w:rPr>
          <w:sz w:val="24"/>
          <w:szCs w:val="24"/>
        </w:rPr>
      </w:pPr>
    </w:p>
    <w:p w14:paraId="5C20C156" w14:textId="77777777" w:rsidR="00314C3D" w:rsidRPr="00212B5E" w:rsidRDefault="00314C3D" w:rsidP="002836D2">
      <w:pPr>
        <w:ind w:left="851"/>
        <w:rPr>
          <w:sz w:val="24"/>
          <w:szCs w:val="24"/>
        </w:rPr>
      </w:pPr>
      <w:r w:rsidRPr="00212B5E">
        <w:rPr>
          <w:sz w:val="24"/>
          <w:szCs w:val="24"/>
          <w:u w:val="single"/>
        </w:rPr>
        <w:t>Interaktion med grapefrugtjuice</w:t>
      </w:r>
    </w:p>
    <w:p w14:paraId="6FA5D7C1" w14:textId="77777777" w:rsidR="00314C3D" w:rsidRPr="00212B5E" w:rsidRDefault="00314C3D" w:rsidP="002836D2">
      <w:pPr>
        <w:ind w:left="851"/>
        <w:rPr>
          <w:sz w:val="24"/>
          <w:szCs w:val="24"/>
        </w:rPr>
      </w:pPr>
      <w:r w:rsidRPr="00212B5E">
        <w:rPr>
          <w:sz w:val="24"/>
          <w:szCs w:val="24"/>
        </w:rPr>
        <w:t xml:space="preserve">Indtagelse af grapefrugtjuice skal undgås under behandling med </w:t>
      </w:r>
      <w:proofErr w:type="spellStart"/>
      <w:r w:rsidRPr="00212B5E">
        <w:rPr>
          <w:sz w:val="24"/>
          <w:szCs w:val="24"/>
        </w:rPr>
        <w:t>lurasidon</w:t>
      </w:r>
      <w:proofErr w:type="spellEnd"/>
      <w:r w:rsidRPr="00212B5E">
        <w:rPr>
          <w:sz w:val="24"/>
          <w:szCs w:val="24"/>
        </w:rPr>
        <w:t xml:space="preserve"> (se pkt. 4.5).</w:t>
      </w:r>
    </w:p>
    <w:p w14:paraId="48530D4F" w14:textId="77777777" w:rsidR="00314C3D" w:rsidRPr="00212B5E" w:rsidRDefault="00314C3D" w:rsidP="002836D2">
      <w:pPr>
        <w:ind w:left="851"/>
        <w:rPr>
          <w:sz w:val="24"/>
          <w:szCs w:val="24"/>
        </w:rPr>
      </w:pPr>
    </w:p>
    <w:p w14:paraId="353275D4" w14:textId="77777777" w:rsidR="00314C3D" w:rsidRPr="00212B5E" w:rsidRDefault="00314C3D" w:rsidP="002836D2">
      <w:pPr>
        <w:ind w:left="851"/>
        <w:rPr>
          <w:sz w:val="24"/>
          <w:szCs w:val="24"/>
        </w:rPr>
      </w:pPr>
      <w:r w:rsidRPr="00212B5E">
        <w:rPr>
          <w:sz w:val="24"/>
          <w:szCs w:val="24"/>
          <w:u w:val="single"/>
        </w:rPr>
        <w:t>Serotoninsyndrom</w:t>
      </w:r>
    </w:p>
    <w:p w14:paraId="6BDF0F98" w14:textId="3BDA8410"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og andre </w:t>
      </w:r>
      <w:proofErr w:type="spellStart"/>
      <w:r w:rsidRPr="00212B5E">
        <w:rPr>
          <w:sz w:val="24"/>
          <w:szCs w:val="24"/>
        </w:rPr>
        <w:t>serotonerge</w:t>
      </w:r>
      <w:proofErr w:type="spellEnd"/>
      <w:r w:rsidRPr="00212B5E">
        <w:rPr>
          <w:sz w:val="24"/>
          <w:szCs w:val="24"/>
        </w:rPr>
        <w:t xml:space="preserve"> midler såsom </w:t>
      </w:r>
      <w:proofErr w:type="spellStart"/>
      <w:r w:rsidRPr="00212B5E">
        <w:rPr>
          <w:sz w:val="24"/>
          <w:szCs w:val="24"/>
        </w:rPr>
        <w:t>buprenorphin</w:t>
      </w:r>
      <w:proofErr w:type="spellEnd"/>
      <w:r w:rsidRPr="00212B5E">
        <w:rPr>
          <w:sz w:val="24"/>
          <w:szCs w:val="24"/>
        </w:rPr>
        <w:t>/opioider, MAO-</w:t>
      </w:r>
      <w:proofErr w:type="spellStart"/>
      <w:r w:rsidRPr="00212B5E">
        <w:rPr>
          <w:sz w:val="24"/>
          <w:szCs w:val="24"/>
        </w:rPr>
        <w:t>hæmmere</w:t>
      </w:r>
      <w:proofErr w:type="spellEnd"/>
      <w:r w:rsidRPr="00212B5E">
        <w:rPr>
          <w:sz w:val="24"/>
          <w:szCs w:val="24"/>
        </w:rPr>
        <w:t xml:space="preserve">, selektive </w:t>
      </w:r>
      <w:proofErr w:type="spellStart"/>
      <w:r w:rsidRPr="00212B5E">
        <w:rPr>
          <w:sz w:val="24"/>
          <w:szCs w:val="24"/>
        </w:rPr>
        <w:t>serotoningenoptagshæmmere</w:t>
      </w:r>
      <w:proofErr w:type="spellEnd"/>
      <w:r w:rsidRPr="00212B5E">
        <w:rPr>
          <w:sz w:val="24"/>
          <w:szCs w:val="24"/>
        </w:rPr>
        <w:t xml:space="preserve"> (SSRI), serotonin- og </w:t>
      </w:r>
      <w:proofErr w:type="spellStart"/>
      <w:r w:rsidRPr="00212B5E">
        <w:rPr>
          <w:sz w:val="24"/>
          <w:szCs w:val="24"/>
        </w:rPr>
        <w:t>noradrenalingenoptagshæmmere</w:t>
      </w:r>
      <w:proofErr w:type="spellEnd"/>
      <w:r w:rsidRPr="00212B5E">
        <w:rPr>
          <w:sz w:val="24"/>
          <w:szCs w:val="24"/>
        </w:rPr>
        <w:t xml:space="preserve"> (SNRI) eller tricykliske </w:t>
      </w:r>
      <w:proofErr w:type="spellStart"/>
      <w:r w:rsidRPr="00212B5E">
        <w:rPr>
          <w:sz w:val="24"/>
          <w:szCs w:val="24"/>
        </w:rPr>
        <w:t>antidepressiva</w:t>
      </w:r>
      <w:proofErr w:type="spellEnd"/>
      <w:r w:rsidRPr="00212B5E">
        <w:rPr>
          <w:sz w:val="24"/>
          <w:szCs w:val="24"/>
        </w:rPr>
        <w:t xml:space="preserve"> kan medføre serotoninsyndrom, der er en potentielt livstruende tilstand (se pkt. 4.5).</w:t>
      </w:r>
    </w:p>
    <w:p w14:paraId="6766224B" w14:textId="77777777" w:rsidR="00314C3D" w:rsidRPr="00212B5E" w:rsidRDefault="00314C3D" w:rsidP="002836D2">
      <w:pPr>
        <w:ind w:left="851"/>
        <w:rPr>
          <w:sz w:val="24"/>
          <w:szCs w:val="24"/>
        </w:rPr>
      </w:pPr>
      <w:r w:rsidRPr="00212B5E">
        <w:rPr>
          <w:sz w:val="24"/>
          <w:szCs w:val="24"/>
        </w:rPr>
        <w:t xml:space="preserve">Hvis samtidig behandling med andre </w:t>
      </w:r>
      <w:proofErr w:type="spellStart"/>
      <w:r w:rsidRPr="00212B5E">
        <w:rPr>
          <w:sz w:val="24"/>
          <w:szCs w:val="24"/>
        </w:rPr>
        <w:t>serotonerge</w:t>
      </w:r>
      <w:proofErr w:type="spellEnd"/>
      <w:r w:rsidRPr="00212B5E">
        <w:rPr>
          <w:sz w:val="24"/>
          <w:szCs w:val="24"/>
        </w:rPr>
        <w:t xml:space="preserve"> midler er klinisk berettiget, bør patienten overvåges nøje, navnlig under opstart af behandlingen og dosisøgninger. Symptomerne på serotoninsyndrom kan omfatte ændringer i mental status, autonom </w:t>
      </w:r>
      <w:proofErr w:type="spellStart"/>
      <w:r w:rsidRPr="00212B5E">
        <w:rPr>
          <w:sz w:val="24"/>
          <w:szCs w:val="24"/>
        </w:rPr>
        <w:t>instabilitet</w:t>
      </w:r>
      <w:proofErr w:type="spellEnd"/>
      <w:r w:rsidRPr="00212B5E">
        <w:rPr>
          <w:sz w:val="24"/>
          <w:szCs w:val="24"/>
        </w:rPr>
        <w:t xml:space="preserve">, </w:t>
      </w:r>
      <w:proofErr w:type="spellStart"/>
      <w:r w:rsidRPr="00212B5E">
        <w:rPr>
          <w:sz w:val="24"/>
          <w:szCs w:val="24"/>
        </w:rPr>
        <w:t>neuromuskulære</w:t>
      </w:r>
      <w:proofErr w:type="spellEnd"/>
      <w:r w:rsidRPr="00212B5E">
        <w:rPr>
          <w:sz w:val="24"/>
          <w:szCs w:val="24"/>
        </w:rPr>
        <w:t xml:space="preserve"> forstyrrelser og/eller </w:t>
      </w:r>
      <w:proofErr w:type="spellStart"/>
      <w:r w:rsidRPr="00212B5E">
        <w:rPr>
          <w:sz w:val="24"/>
          <w:szCs w:val="24"/>
        </w:rPr>
        <w:t>gastrointestinale</w:t>
      </w:r>
      <w:proofErr w:type="spellEnd"/>
      <w:r w:rsidRPr="00212B5E">
        <w:rPr>
          <w:sz w:val="24"/>
          <w:szCs w:val="24"/>
        </w:rPr>
        <w:t xml:space="preserve"> symptomer. Ved mistanke om serotoninsyndrom bør dosisnedsættelse eller </w:t>
      </w:r>
      <w:proofErr w:type="spellStart"/>
      <w:r w:rsidRPr="00212B5E">
        <w:rPr>
          <w:sz w:val="24"/>
          <w:szCs w:val="24"/>
        </w:rPr>
        <w:t>seponering</w:t>
      </w:r>
      <w:proofErr w:type="spellEnd"/>
      <w:r w:rsidRPr="00212B5E">
        <w:rPr>
          <w:sz w:val="24"/>
          <w:szCs w:val="24"/>
        </w:rPr>
        <w:t xml:space="preserve"> af behandlingen overvejes, afhængigt af symptomernes sværhedsgrad.</w:t>
      </w:r>
    </w:p>
    <w:p w14:paraId="543E7CA0" w14:textId="77777777" w:rsidR="00314C3D" w:rsidRPr="00212B5E" w:rsidRDefault="00314C3D" w:rsidP="002836D2">
      <w:pPr>
        <w:ind w:left="851"/>
        <w:rPr>
          <w:sz w:val="24"/>
          <w:szCs w:val="24"/>
        </w:rPr>
      </w:pPr>
    </w:p>
    <w:p w14:paraId="381E484F" w14:textId="5B8EF604" w:rsidR="00314C3D" w:rsidRPr="00212B5E" w:rsidRDefault="00314C3D" w:rsidP="002836D2">
      <w:pPr>
        <w:ind w:left="851"/>
        <w:rPr>
          <w:sz w:val="24"/>
          <w:szCs w:val="24"/>
        </w:rPr>
      </w:pPr>
      <w:r w:rsidRPr="00212B5E">
        <w:rPr>
          <w:sz w:val="24"/>
          <w:szCs w:val="24"/>
        </w:rPr>
        <w:t>Dette lægemiddel indeholder mindre end 1 mmol (23 mg) natrium pr. tablet, dvs. det er i det</w:t>
      </w:r>
      <w:r w:rsidR="00212B5E">
        <w:rPr>
          <w:sz w:val="24"/>
          <w:szCs w:val="24"/>
        </w:rPr>
        <w:t xml:space="preserve"> </w:t>
      </w:r>
      <w:r w:rsidRPr="00212B5E">
        <w:rPr>
          <w:sz w:val="24"/>
          <w:szCs w:val="24"/>
        </w:rPr>
        <w:t>væsentlige natriumfrit.</w:t>
      </w:r>
    </w:p>
    <w:p w14:paraId="7CC8E054" w14:textId="77777777" w:rsidR="00314C3D" w:rsidRPr="00212B5E" w:rsidRDefault="00314C3D" w:rsidP="002836D2">
      <w:pPr>
        <w:ind w:left="851"/>
        <w:rPr>
          <w:sz w:val="24"/>
          <w:szCs w:val="24"/>
        </w:rPr>
      </w:pPr>
    </w:p>
    <w:p w14:paraId="4152EA5B" w14:textId="77777777" w:rsidR="00314C3D" w:rsidRPr="00212B5E" w:rsidRDefault="00314C3D" w:rsidP="002836D2">
      <w:pPr>
        <w:ind w:left="851"/>
        <w:rPr>
          <w:sz w:val="24"/>
          <w:szCs w:val="24"/>
        </w:rPr>
      </w:pPr>
      <w:r w:rsidRPr="00212B5E">
        <w:rPr>
          <w:sz w:val="24"/>
          <w:szCs w:val="24"/>
        </w:rPr>
        <w:t xml:space="preserve">Dette lægemiddel indeholder </w:t>
      </w:r>
      <w:proofErr w:type="spellStart"/>
      <w:r w:rsidRPr="00212B5E">
        <w:rPr>
          <w:sz w:val="24"/>
          <w:szCs w:val="24"/>
        </w:rPr>
        <w:t>mannitol</w:t>
      </w:r>
      <w:proofErr w:type="spellEnd"/>
      <w:r w:rsidRPr="00212B5E">
        <w:rPr>
          <w:sz w:val="24"/>
          <w:szCs w:val="24"/>
        </w:rPr>
        <w:t>, som kan have en mild afførende virkning.</w:t>
      </w:r>
    </w:p>
    <w:p w14:paraId="42995241" w14:textId="77777777" w:rsidR="009260DE" w:rsidRPr="00212B5E" w:rsidRDefault="009260DE" w:rsidP="009260DE">
      <w:pPr>
        <w:tabs>
          <w:tab w:val="left" w:pos="851"/>
        </w:tabs>
        <w:ind w:left="851"/>
        <w:rPr>
          <w:sz w:val="24"/>
          <w:szCs w:val="24"/>
        </w:rPr>
      </w:pPr>
    </w:p>
    <w:p w14:paraId="0EF5720D" w14:textId="77777777" w:rsidR="009260DE" w:rsidRPr="00212B5E" w:rsidRDefault="009260DE" w:rsidP="009260DE">
      <w:pPr>
        <w:tabs>
          <w:tab w:val="left" w:pos="851"/>
        </w:tabs>
        <w:ind w:left="851" w:hanging="851"/>
        <w:rPr>
          <w:b/>
          <w:sz w:val="24"/>
          <w:szCs w:val="24"/>
        </w:rPr>
      </w:pPr>
      <w:r w:rsidRPr="00212B5E">
        <w:rPr>
          <w:b/>
          <w:sz w:val="24"/>
          <w:szCs w:val="24"/>
        </w:rPr>
        <w:lastRenderedPageBreak/>
        <w:t>4.5</w:t>
      </w:r>
      <w:r w:rsidRPr="00212B5E">
        <w:rPr>
          <w:b/>
          <w:sz w:val="24"/>
          <w:szCs w:val="24"/>
        </w:rPr>
        <w:tab/>
        <w:t>Interaktion med andre lægemidler og andre former for interaktion</w:t>
      </w:r>
    </w:p>
    <w:p w14:paraId="66828092" w14:textId="77777777" w:rsidR="00212B5E" w:rsidRDefault="00212B5E" w:rsidP="002836D2">
      <w:pPr>
        <w:ind w:left="851"/>
        <w:rPr>
          <w:sz w:val="24"/>
          <w:szCs w:val="24"/>
        </w:rPr>
      </w:pPr>
    </w:p>
    <w:p w14:paraId="33BCFFB9" w14:textId="1680CE99" w:rsidR="00314C3D" w:rsidRPr="00212B5E" w:rsidRDefault="00314C3D" w:rsidP="002836D2">
      <w:pPr>
        <w:ind w:left="851"/>
        <w:rPr>
          <w:sz w:val="24"/>
          <w:szCs w:val="24"/>
          <w:u w:val="single"/>
          <w:lang w:eastAsia="da-DK"/>
        </w:rPr>
      </w:pPr>
      <w:proofErr w:type="spellStart"/>
      <w:r w:rsidRPr="00212B5E">
        <w:rPr>
          <w:sz w:val="24"/>
          <w:szCs w:val="24"/>
          <w:u w:val="single"/>
        </w:rPr>
        <w:t>Farmakodynamiske</w:t>
      </w:r>
      <w:proofErr w:type="spellEnd"/>
      <w:r w:rsidRPr="00212B5E">
        <w:rPr>
          <w:sz w:val="24"/>
          <w:szCs w:val="24"/>
          <w:u w:val="single"/>
        </w:rPr>
        <w:t xml:space="preserve"> interaktioner</w:t>
      </w:r>
    </w:p>
    <w:p w14:paraId="74AB3598" w14:textId="77777777" w:rsidR="00314C3D" w:rsidRPr="00212B5E" w:rsidRDefault="00314C3D" w:rsidP="002836D2">
      <w:pPr>
        <w:ind w:left="851"/>
        <w:rPr>
          <w:sz w:val="24"/>
          <w:szCs w:val="24"/>
        </w:rPr>
      </w:pPr>
    </w:p>
    <w:p w14:paraId="50765CF3" w14:textId="7849A2C3" w:rsidR="00314C3D" w:rsidRPr="00212B5E" w:rsidRDefault="00314C3D" w:rsidP="002836D2">
      <w:pPr>
        <w:ind w:left="851"/>
        <w:rPr>
          <w:sz w:val="24"/>
          <w:szCs w:val="24"/>
        </w:rPr>
      </w:pPr>
      <w:r w:rsidRPr="00212B5E">
        <w:rPr>
          <w:sz w:val="24"/>
          <w:szCs w:val="24"/>
        </w:rPr>
        <w:t xml:space="preserve">Som følge af </w:t>
      </w:r>
      <w:proofErr w:type="spellStart"/>
      <w:r w:rsidRPr="00212B5E">
        <w:rPr>
          <w:sz w:val="24"/>
          <w:szCs w:val="24"/>
        </w:rPr>
        <w:t>lurasidons</w:t>
      </w:r>
      <w:proofErr w:type="spellEnd"/>
      <w:r w:rsidRPr="00212B5E">
        <w:rPr>
          <w:sz w:val="24"/>
          <w:szCs w:val="24"/>
        </w:rPr>
        <w:t xml:space="preserve"> primære effekt på centralnervesystemet bør der udvises forsigtighed, når</w:t>
      </w:r>
      <w:r w:rsidR="00212B5E">
        <w:rPr>
          <w:sz w:val="24"/>
          <w:szCs w:val="24"/>
        </w:rPr>
        <w:t xml:space="preserve"> </w:t>
      </w:r>
      <w:proofErr w:type="spellStart"/>
      <w:r w:rsidRPr="00212B5E">
        <w:rPr>
          <w:sz w:val="24"/>
          <w:szCs w:val="24"/>
        </w:rPr>
        <w:t>lurasidon</w:t>
      </w:r>
      <w:proofErr w:type="spellEnd"/>
      <w:r w:rsidRPr="00212B5E">
        <w:rPr>
          <w:sz w:val="24"/>
          <w:szCs w:val="24"/>
        </w:rPr>
        <w:t xml:space="preserve"> anvendes i kombination med andre centralt virkende lægemidler og alkohol.</w:t>
      </w:r>
    </w:p>
    <w:p w14:paraId="67D8C89E" w14:textId="77777777" w:rsidR="00314C3D" w:rsidRPr="00212B5E" w:rsidRDefault="00314C3D" w:rsidP="002836D2">
      <w:pPr>
        <w:ind w:left="851"/>
        <w:rPr>
          <w:sz w:val="24"/>
          <w:szCs w:val="24"/>
        </w:rPr>
      </w:pPr>
    </w:p>
    <w:p w14:paraId="02953649" w14:textId="77777777" w:rsidR="00314C3D" w:rsidRPr="00212B5E" w:rsidRDefault="00314C3D" w:rsidP="002836D2">
      <w:pPr>
        <w:ind w:left="851"/>
        <w:rPr>
          <w:sz w:val="24"/>
          <w:szCs w:val="24"/>
        </w:rPr>
      </w:pPr>
      <w:r w:rsidRPr="00212B5E">
        <w:rPr>
          <w:sz w:val="24"/>
          <w:szCs w:val="24"/>
        </w:rPr>
        <w:t xml:space="preserve">Der tilrådes forsigtighed ved ordinering af </w:t>
      </w:r>
      <w:proofErr w:type="spellStart"/>
      <w:r w:rsidRPr="00212B5E">
        <w:rPr>
          <w:sz w:val="24"/>
          <w:szCs w:val="24"/>
        </w:rPr>
        <w:t>lurasidon</w:t>
      </w:r>
      <w:proofErr w:type="spellEnd"/>
      <w:r w:rsidRPr="00212B5E">
        <w:rPr>
          <w:sz w:val="24"/>
          <w:szCs w:val="24"/>
        </w:rPr>
        <w:t xml:space="preserve"> sammen med lægemidler, som vides at forlænge QT-intervallet, f.eks. </w:t>
      </w:r>
      <w:proofErr w:type="spellStart"/>
      <w:r w:rsidRPr="00212B5E">
        <w:rPr>
          <w:sz w:val="24"/>
          <w:szCs w:val="24"/>
        </w:rPr>
        <w:t>antiarytmika</w:t>
      </w:r>
      <w:proofErr w:type="spellEnd"/>
      <w:r w:rsidRPr="00212B5E">
        <w:rPr>
          <w:sz w:val="24"/>
          <w:szCs w:val="24"/>
        </w:rPr>
        <w:t xml:space="preserve"> af klasse IA (f.eks. </w:t>
      </w:r>
      <w:proofErr w:type="spellStart"/>
      <w:r w:rsidRPr="00212B5E">
        <w:rPr>
          <w:sz w:val="24"/>
          <w:szCs w:val="24"/>
        </w:rPr>
        <w:t>kinidin</w:t>
      </w:r>
      <w:proofErr w:type="spellEnd"/>
      <w:r w:rsidRPr="00212B5E">
        <w:rPr>
          <w:sz w:val="24"/>
          <w:szCs w:val="24"/>
        </w:rPr>
        <w:t xml:space="preserve">, </w:t>
      </w:r>
      <w:proofErr w:type="spellStart"/>
      <w:r w:rsidRPr="00212B5E">
        <w:rPr>
          <w:sz w:val="24"/>
          <w:szCs w:val="24"/>
        </w:rPr>
        <w:t>disopyramid</w:t>
      </w:r>
      <w:proofErr w:type="spellEnd"/>
      <w:r w:rsidRPr="00212B5E">
        <w:rPr>
          <w:sz w:val="24"/>
          <w:szCs w:val="24"/>
        </w:rPr>
        <w:t xml:space="preserve">) og </w:t>
      </w:r>
      <w:proofErr w:type="spellStart"/>
      <w:r w:rsidRPr="00212B5E">
        <w:rPr>
          <w:sz w:val="24"/>
          <w:szCs w:val="24"/>
        </w:rPr>
        <w:t>antiarytmika</w:t>
      </w:r>
      <w:proofErr w:type="spellEnd"/>
      <w:r w:rsidRPr="00212B5E">
        <w:rPr>
          <w:sz w:val="24"/>
          <w:szCs w:val="24"/>
        </w:rPr>
        <w:t xml:space="preserve"> af klasse III (f.eks. </w:t>
      </w:r>
      <w:proofErr w:type="spellStart"/>
      <w:r w:rsidRPr="00212B5E">
        <w:rPr>
          <w:sz w:val="24"/>
          <w:szCs w:val="24"/>
        </w:rPr>
        <w:t>amiodaron</w:t>
      </w:r>
      <w:proofErr w:type="spellEnd"/>
      <w:r w:rsidRPr="00212B5E">
        <w:rPr>
          <w:sz w:val="24"/>
          <w:szCs w:val="24"/>
        </w:rPr>
        <w:t xml:space="preserve">, </w:t>
      </w:r>
      <w:proofErr w:type="spellStart"/>
      <w:r w:rsidRPr="00212B5E">
        <w:rPr>
          <w:sz w:val="24"/>
          <w:szCs w:val="24"/>
        </w:rPr>
        <w:t>sotalol</w:t>
      </w:r>
      <w:proofErr w:type="spellEnd"/>
      <w:r w:rsidRPr="00212B5E">
        <w:rPr>
          <w:sz w:val="24"/>
          <w:szCs w:val="24"/>
        </w:rPr>
        <w:t xml:space="preserve">), visse antihistaminer, visse andre antipsykotika, og visse malariamidler (f.eks. </w:t>
      </w:r>
      <w:proofErr w:type="spellStart"/>
      <w:r w:rsidRPr="00212B5E">
        <w:rPr>
          <w:sz w:val="24"/>
          <w:szCs w:val="24"/>
        </w:rPr>
        <w:t>mefloquin</w:t>
      </w:r>
      <w:proofErr w:type="spellEnd"/>
      <w:r w:rsidRPr="00212B5E">
        <w:rPr>
          <w:sz w:val="24"/>
          <w:szCs w:val="24"/>
        </w:rPr>
        <w:t>).</w:t>
      </w:r>
    </w:p>
    <w:p w14:paraId="31503CAD" w14:textId="77777777" w:rsidR="00314C3D" w:rsidRPr="00212B5E" w:rsidRDefault="00314C3D" w:rsidP="002836D2">
      <w:pPr>
        <w:ind w:left="851"/>
        <w:rPr>
          <w:sz w:val="24"/>
          <w:szCs w:val="24"/>
        </w:rPr>
      </w:pPr>
    </w:p>
    <w:p w14:paraId="6E348E7E" w14:textId="01E135E7" w:rsidR="00314C3D" w:rsidRPr="00212B5E" w:rsidRDefault="00314C3D" w:rsidP="002836D2">
      <w:pPr>
        <w:ind w:left="851"/>
        <w:rPr>
          <w:sz w:val="24"/>
          <w:szCs w:val="24"/>
        </w:rPr>
      </w:pP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skal anvendes med forsigtighed, når det administreres samtidig med andre </w:t>
      </w:r>
      <w:proofErr w:type="spellStart"/>
      <w:r w:rsidRPr="00212B5E">
        <w:rPr>
          <w:sz w:val="24"/>
          <w:szCs w:val="24"/>
        </w:rPr>
        <w:t>serotonerge</w:t>
      </w:r>
      <w:proofErr w:type="spellEnd"/>
      <w:r w:rsidRPr="00212B5E">
        <w:rPr>
          <w:sz w:val="24"/>
          <w:szCs w:val="24"/>
        </w:rPr>
        <w:t xml:space="preserve"> midler såsom </w:t>
      </w:r>
      <w:proofErr w:type="spellStart"/>
      <w:r w:rsidRPr="00212B5E">
        <w:rPr>
          <w:sz w:val="24"/>
          <w:szCs w:val="24"/>
        </w:rPr>
        <w:t>buprenorphin</w:t>
      </w:r>
      <w:proofErr w:type="spellEnd"/>
      <w:r w:rsidRPr="00212B5E">
        <w:rPr>
          <w:sz w:val="24"/>
          <w:szCs w:val="24"/>
        </w:rPr>
        <w:t>/opioider, MAO-</w:t>
      </w:r>
      <w:proofErr w:type="spellStart"/>
      <w:r w:rsidRPr="00212B5E">
        <w:rPr>
          <w:sz w:val="24"/>
          <w:szCs w:val="24"/>
        </w:rPr>
        <w:t>hæmmere</w:t>
      </w:r>
      <w:proofErr w:type="spellEnd"/>
      <w:r w:rsidRPr="00212B5E">
        <w:rPr>
          <w:sz w:val="24"/>
          <w:szCs w:val="24"/>
        </w:rPr>
        <w:t xml:space="preserve">, selektive </w:t>
      </w:r>
      <w:proofErr w:type="spellStart"/>
      <w:r w:rsidRPr="00212B5E">
        <w:rPr>
          <w:sz w:val="24"/>
          <w:szCs w:val="24"/>
        </w:rPr>
        <w:t>serotoningenoptagshæmmere</w:t>
      </w:r>
      <w:proofErr w:type="spellEnd"/>
      <w:r w:rsidRPr="00212B5E">
        <w:rPr>
          <w:sz w:val="24"/>
          <w:szCs w:val="24"/>
        </w:rPr>
        <w:t xml:space="preserve"> (SSRI), serotonin- og </w:t>
      </w:r>
      <w:proofErr w:type="spellStart"/>
      <w:r w:rsidRPr="00212B5E">
        <w:rPr>
          <w:sz w:val="24"/>
          <w:szCs w:val="24"/>
        </w:rPr>
        <w:t>noradrenalingenoptagshæmmere</w:t>
      </w:r>
      <w:proofErr w:type="spellEnd"/>
      <w:r w:rsidRPr="00212B5E">
        <w:rPr>
          <w:sz w:val="24"/>
          <w:szCs w:val="24"/>
        </w:rPr>
        <w:t xml:space="preserve"> (SNRI) eller tricykliske </w:t>
      </w:r>
      <w:proofErr w:type="spellStart"/>
      <w:r w:rsidRPr="00212B5E">
        <w:rPr>
          <w:sz w:val="24"/>
          <w:szCs w:val="24"/>
        </w:rPr>
        <w:t>antidepressiva</w:t>
      </w:r>
      <w:proofErr w:type="spellEnd"/>
      <w:r w:rsidRPr="00212B5E">
        <w:rPr>
          <w:sz w:val="24"/>
          <w:szCs w:val="24"/>
        </w:rPr>
        <w:t xml:space="preserve"> på grund af den forhøjede risiko for serotoninsyndrom, der er en potentielt livstruende tilstand (se pkt. 4.4).</w:t>
      </w:r>
    </w:p>
    <w:p w14:paraId="714B59DA" w14:textId="77777777" w:rsidR="00314C3D" w:rsidRPr="00212B5E" w:rsidRDefault="00314C3D" w:rsidP="002836D2">
      <w:pPr>
        <w:ind w:left="851"/>
        <w:rPr>
          <w:sz w:val="24"/>
          <w:szCs w:val="24"/>
        </w:rPr>
      </w:pPr>
    </w:p>
    <w:p w14:paraId="72C2F78E" w14:textId="77777777" w:rsidR="00314C3D" w:rsidRPr="00212B5E" w:rsidRDefault="00314C3D" w:rsidP="002836D2">
      <w:pPr>
        <w:ind w:left="851"/>
        <w:rPr>
          <w:sz w:val="24"/>
          <w:szCs w:val="24"/>
          <w:u w:val="single"/>
        </w:rPr>
      </w:pPr>
      <w:proofErr w:type="spellStart"/>
      <w:r w:rsidRPr="00212B5E">
        <w:rPr>
          <w:sz w:val="24"/>
          <w:szCs w:val="24"/>
          <w:u w:val="single"/>
        </w:rPr>
        <w:t>Farmakokinetiske</w:t>
      </w:r>
      <w:proofErr w:type="spellEnd"/>
      <w:r w:rsidRPr="00212B5E">
        <w:rPr>
          <w:sz w:val="24"/>
          <w:szCs w:val="24"/>
          <w:u w:val="single"/>
        </w:rPr>
        <w:t xml:space="preserve"> interaktioner</w:t>
      </w:r>
    </w:p>
    <w:p w14:paraId="3C9FEA10" w14:textId="77777777" w:rsidR="00314C3D" w:rsidRPr="00212B5E" w:rsidRDefault="00314C3D" w:rsidP="002836D2">
      <w:pPr>
        <w:ind w:left="851"/>
        <w:rPr>
          <w:sz w:val="24"/>
          <w:szCs w:val="24"/>
        </w:rPr>
      </w:pPr>
    </w:p>
    <w:p w14:paraId="717A3F6D" w14:textId="69E962E1" w:rsidR="00314C3D" w:rsidRPr="00212B5E" w:rsidRDefault="00314C3D" w:rsidP="002836D2">
      <w:pPr>
        <w:ind w:left="851"/>
        <w:rPr>
          <w:sz w:val="24"/>
          <w:szCs w:val="24"/>
        </w:rPr>
      </w:pPr>
      <w:r w:rsidRPr="00212B5E">
        <w:rPr>
          <w:sz w:val="24"/>
          <w:szCs w:val="24"/>
        </w:rPr>
        <w:t xml:space="preserve">Indtagelse af grapefrugtjuice sammen med </w:t>
      </w:r>
      <w:proofErr w:type="spellStart"/>
      <w:r w:rsidRPr="00212B5E">
        <w:rPr>
          <w:sz w:val="24"/>
          <w:szCs w:val="24"/>
        </w:rPr>
        <w:t>lurasidon</w:t>
      </w:r>
      <w:proofErr w:type="spellEnd"/>
      <w:r w:rsidRPr="00212B5E">
        <w:rPr>
          <w:sz w:val="24"/>
          <w:szCs w:val="24"/>
        </w:rPr>
        <w:t xml:space="preserve"> er ikke blevet undersøgt. Grapefrugtjuice</w:t>
      </w:r>
      <w:r w:rsidR="00212B5E">
        <w:rPr>
          <w:sz w:val="24"/>
          <w:szCs w:val="24"/>
        </w:rPr>
        <w:t xml:space="preserve"> </w:t>
      </w:r>
      <w:r w:rsidRPr="00212B5E">
        <w:rPr>
          <w:sz w:val="24"/>
          <w:szCs w:val="24"/>
        </w:rPr>
        <w:t xml:space="preserve">hæmmer CYP3A4 og kan øge serumkoncentrationen af </w:t>
      </w:r>
      <w:proofErr w:type="spellStart"/>
      <w:r w:rsidRPr="00212B5E">
        <w:rPr>
          <w:sz w:val="24"/>
          <w:szCs w:val="24"/>
        </w:rPr>
        <w:t>lurasidon</w:t>
      </w:r>
      <w:proofErr w:type="spellEnd"/>
      <w:r w:rsidRPr="00212B5E">
        <w:rPr>
          <w:sz w:val="24"/>
          <w:szCs w:val="24"/>
        </w:rPr>
        <w:t xml:space="preserve">. Indtagelsen af grapefrugtjuice skal derfor undgås under behandling med </w:t>
      </w:r>
      <w:proofErr w:type="spellStart"/>
      <w:r w:rsidRPr="00212B5E">
        <w:rPr>
          <w:sz w:val="24"/>
          <w:szCs w:val="24"/>
        </w:rPr>
        <w:t>lurasidon</w:t>
      </w:r>
      <w:proofErr w:type="spellEnd"/>
      <w:r w:rsidRPr="00212B5E">
        <w:rPr>
          <w:sz w:val="24"/>
          <w:szCs w:val="24"/>
        </w:rPr>
        <w:t>.</w:t>
      </w:r>
    </w:p>
    <w:p w14:paraId="79E02085" w14:textId="77777777" w:rsidR="00314C3D" w:rsidRPr="00212B5E" w:rsidRDefault="00314C3D" w:rsidP="002836D2">
      <w:pPr>
        <w:ind w:left="851"/>
        <w:rPr>
          <w:sz w:val="24"/>
          <w:szCs w:val="24"/>
        </w:rPr>
      </w:pPr>
    </w:p>
    <w:p w14:paraId="264C8C1F" w14:textId="77777777" w:rsidR="00314C3D" w:rsidRPr="00212B5E" w:rsidRDefault="00314C3D" w:rsidP="002836D2">
      <w:pPr>
        <w:ind w:left="851"/>
        <w:rPr>
          <w:sz w:val="24"/>
          <w:szCs w:val="24"/>
          <w:u w:val="single"/>
          <w:lang w:val="nb-NO"/>
        </w:rPr>
      </w:pPr>
      <w:r w:rsidRPr="00212B5E">
        <w:rPr>
          <w:sz w:val="24"/>
          <w:szCs w:val="24"/>
          <w:u w:val="single"/>
          <w:lang w:val="nb-NO"/>
        </w:rPr>
        <w:t>Potentiel risiko for, at andre lægemidler kan påvirke lurasidon</w:t>
      </w:r>
    </w:p>
    <w:p w14:paraId="61A85A33" w14:textId="77777777" w:rsidR="00314C3D" w:rsidRPr="00212B5E" w:rsidRDefault="00314C3D" w:rsidP="002836D2">
      <w:pPr>
        <w:ind w:left="851"/>
        <w:rPr>
          <w:sz w:val="24"/>
          <w:szCs w:val="24"/>
          <w:lang w:val="nb-NO"/>
        </w:rPr>
      </w:pPr>
    </w:p>
    <w:p w14:paraId="1D5F4F9A" w14:textId="7BA99637" w:rsidR="00314C3D" w:rsidRPr="00212B5E" w:rsidRDefault="00314C3D" w:rsidP="002836D2">
      <w:pPr>
        <w:ind w:left="851"/>
        <w:rPr>
          <w:sz w:val="24"/>
          <w:szCs w:val="24"/>
          <w:lang w:val="nb-NO"/>
        </w:rPr>
      </w:pPr>
      <w:r w:rsidRPr="00212B5E">
        <w:rPr>
          <w:sz w:val="24"/>
          <w:szCs w:val="24"/>
          <w:lang w:val="nb-NO"/>
        </w:rPr>
        <w:t>Lurasidon og dets aktive metabolit ID-14283 bidrager begge til den farmakodynamiske effekt på</w:t>
      </w:r>
      <w:r w:rsidR="00212B5E">
        <w:rPr>
          <w:sz w:val="24"/>
          <w:szCs w:val="24"/>
          <w:lang w:val="nb-NO"/>
        </w:rPr>
        <w:t xml:space="preserve"> </w:t>
      </w:r>
      <w:r w:rsidRPr="00212B5E">
        <w:rPr>
          <w:sz w:val="24"/>
          <w:szCs w:val="24"/>
          <w:lang w:val="nb-NO"/>
        </w:rPr>
        <w:t>dopaminerge og serotonerge receptorer. Lurasidon og dens aktive metabolit ID-14283 metaboliseres primært af CYP3A4.</w:t>
      </w:r>
    </w:p>
    <w:p w14:paraId="6C7D90AC" w14:textId="77777777" w:rsidR="00314C3D" w:rsidRPr="00212B5E" w:rsidRDefault="00314C3D" w:rsidP="002836D2">
      <w:pPr>
        <w:ind w:left="851"/>
        <w:rPr>
          <w:sz w:val="24"/>
          <w:szCs w:val="24"/>
          <w:lang w:val="nb-NO"/>
        </w:rPr>
      </w:pPr>
    </w:p>
    <w:p w14:paraId="28240C80" w14:textId="77777777" w:rsidR="00314C3D" w:rsidRPr="00B04442" w:rsidRDefault="00314C3D" w:rsidP="002836D2">
      <w:pPr>
        <w:ind w:left="851"/>
        <w:rPr>
          <w:i/>
          <w:iCs/>
          <w:sz w:val="24"/>
          <w:szCs w:val="24"/>
          <w:lang w:val="nb-NO"/>
        </w:rPr>
      </w:pPr>
      <w:r w:rsidRPr="00B04442">
        <w:rPr>
          <w:i/>
          <w:iCs/>
          <w:sz w:val="24"/>
          <w:szCs w:val="24"/>
          <w:lang w:val="nb-NO"/>
        </w:rPr>
        <w:t>CYP3A4-hæmmere</w:t>
      </w:r>
    </w:p>
    <w:p w14:paraId="7166FB59" w14:textId="169F44ED" w:rsidR="00314C3D" w:rsidRPr="00212B5E" w:rsidRDefault="00314C3D" w:rsidP="002836D2">
      <w:pPr>
        <w:ind w:left="851"/>
        <w:rPr>
          <w:sz w:val="24"/>
          <w:szCs w:val="24"/>
          <w:lang w:val="es-ES"/>
        </w:rPr>
      </w:pPr>
      <w:r w:rsidRPr="00B04442">
        <w:rPr>
          <w:sz w:val="24"/>
          <w:szCs w:val="24"/>
          <w:lang w:val="nb-NO"/>
        </w:rPr>
        <w:t>Lurasidon er kontraindiceret ved samtidig administration af kraftige CYP3A4-hæmmere (f.eks.</w:t>
      </w:r>
      <w:r w:rsidR="00212B5E" w:rsidRPr="00B04442">
        <w:rPr>
          <w:sz w:val="24"/>
          <w:szCs w:val="24"/>
          <w:lang w:val="nb-NO"/>
        </w:rPr>
        <w:t xml:space="preserve"> </w:t>
      </w:r>
      <w:r w:rsidRPr="00B04442">
        <w:rPr>
          <w:sz w:val="24"/>
          <w:szCs w:val="24"/>
          <w:lang w:val="nb-NO"/>
        </w:rPr>
        <w:t>boceprevir, clarithromycin, cobicistat, indinavir, itraconazol, ketoconazol, nefazodon, nelfinavir,</w:t>
      </w:r>
      <w:r w:rsidR="00212B5E" w:rsidRPr="00B04442">
        <w:rPr>
          <w:sz w:val="24"/>
          <w:szCs w:val="24"/>
          <w:lang w:val="nb-NO"/>
        </w:rPr>
        <w:t xml:space="preserve"> </w:t>
      </w:r>
      <w:r w:rsidRPr="00212B5E">
        <w:rPr>
          <w:sz w:val="24"/>
          <w:szCs w:val="24"/>
          <w:lang w:val="es-ES"/>
        </w:rPr>
        <w:t>posaconazol, ritonavir, saquinavir, telaprevir, telithromycin, voriconazol) (se pkt. 4.3).</w:t>
      </w:r>
    </w:p>
    <w:p w14:paraId="16C58A68" w14:textId="77777777" w:rsidR="00314C3D" w:rsidRPr="00212B5E" w:rsidRDefault="00314C3D" w:rsidP="002836D2">
      <w:pPr>
        <w:ind w:left="851"/>
        <w:rPr>
          <w:sz w:val="24"/>
          <w:szCs w:val="24"/>
          <w:lang w:val="es-ES"/>
        </w:rPr>
      </w:pPr>
    </w:p>
    <w:p w14:paraId="335B8209" w14:textId="77777777" w:rsidR="00314C3D" w:rsidRPr="00212B5E" w:rsidRDefault="00314C3D" w:rsidP="002836D2">
      <w:pPr>
        <w:ind w:left="851"/>
        <w:rPr>
          <w:sz w:val="24"/>
          <w:szCs w:val="24"/>
          <w:lang w:val="es-ES"/>
        </w:rPr>
      </w:pPr>
      <w:r w:rsidRPr="00212B5E">
        <w:rPr>
          <w:sz w:val="24"/>
          <w:szCs w:val="24"/>
          <w:lang w:val="es-ES"/>
        </w:rPr>
        <w:t>Samtidig administration af lurasidon med den kraftige CYP3A4-hæmmer ketoconazol medførte en 9- og 6-foldig øgning i eksponeringen for hhv. lurasidon og dens aktive metabolit ID-14283.</w:t>
      </w:r>
    </w:p>
    <w:p w14:paraId="58986D55" w14:textId="77777777" w:rsidR="00314C3D" w:rsidRPr="00212B5E" w:rsidRDefault="00314C3D" w:rsidP="002836D2">
      <w:pPr>
        <w:ind w:left="851"/>
        <w:rPr>
          <w:sz w:val="24"/>
          <w:szCs w:val="24"/>
          <w:lang w:val="es-ES"/>
        </w:rPr>
      </w:pPr>
    </w:p>
    <w:p w14:paraId="6E5E2DC1" w14:textId="376EC3AA"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w:t>
      </w:r>
      <w:proofErr w:type="spellStart"/>
      <w:r w:rsidRPr="00212B5E">
        <w:rPr>
          <w:sz w:val="24"/>
          <w:szCs w:val="24"/>
        </w:rPr>
        <w:t>posaconazol</w:t>
      </w:r>
      <w:proofErr w:type="spellEnd"/>
      <w:r w:rsidRPr="00212B5E">
        <w:rPr>
          <w:sz w:val="24"/>
          <w:szCs w:val="24"/>
        </w:rPr>
        <w:t xml:space="preserve"> (stærk CYP3A4-hæmmer) resulterede i en</w:t>
      </w:r>
      <w:r w:rsidR="00212B5E">
        <w:rPr>
          <w:sz w:val="24"/>
          <w:szCs w:val="24"/>
        </w:rPr>
        <w:t xml:space="preserve"> </w:t>
      </w:r>
      <w:r w:rsidRPr="00212B5E">
        <w:rPr>
          <w:sz w:val="24"/>
          <w:szCs w:val="24"/>
        </w:rPr>
        <w:t xml:space="preserve">stigning på omtrent 4-5 gange i eksponering over for </w:t>
      </w:r>
      <w:proofErr w:type="spellStart"/>
      <w:r w:rsidRPr="00212B5E">
        <w:rPr>
          <w:sz w:val="24"/>
          <w:szCs w:val="24"/>
        </w:rPr>
        <w:t>lurasidon</w:t>
      </w:r>
      <w:proofErr w:type="spellEnd"/>
      <w:r w:rsidRPr="00212B5E">
        <w:rPr>
          <w:sz w:val="24"/>
          <w:szCs w:val="24"/>
        </w:rPr>
        <w:t>. Der blev observeret en vedvarende</w:t>
      </w:r>
      <w:r w:rsidR="00212B5E">
        <w:rPr>
          <w:sz w:val="24"/>
          <w:szCs w:val="24"/>
        </w:rPr>
        <w:t xml:space="preserve"> </w:t>
      </w:r>
      <w:r w:rsidRPr="00212B5E">
        <w:rPr>
          <w:sz w:val="24"/>
          <w:szCs w:val="24"/>
        </w:rPr>
        <w:t xml:space="preserve">virkning af </w:t>
      </w:r>
      <w:proofErr w:type="spellStart"/>
      <w:r w:rsidRPr="00212B5E">
        <w:rPr>
          <w:sz w:val="24"/>
          <w:szCs w:val="24"/>
        </w:rPr>
        <w:t>posaconazol</w:t>
      </w:r>
      <w:proofErr w:type="spellEnd"/>
      <w:r w:rsidRPr="00212B5E">
        <w:rPr>
          <w:sz w:val="24"/>
          <w:szCs w:val="24"/>
        </w:rPr>
        <w:t xml:space="preserve"> på </w:t>
      </w:r>
      <w:proofErr w:type="spellStart"/>
      <w:r w:rsidRPr="00212B5E">
        <w:rPr>
          <w:sz w:val="24"/>
          <w:szCs w:val="24"/>
        </w:rPr>
        <w:t>lurasidoneksponering</w:t>
      </w:r>
      <w:proofErr w:type="spellEnd"/>
      <w:r w:rsidRPr="00212B5E">
        <w:rPr>
          <w:sz w:val="24"/>
          <w:szCs w:val="24"/>
        </w:rPr>
        <w:t xml:space="preserve"> i op til 2-3 uger, efter at samtidig administration af </w:t>
      </w:r>
      <w:proofErr w:type="spellStart"/>
      <w:r w:rsidRPr="00212B5E">
        <w:rPr>
          <w:sz w:val="24"/>
          <w:szCs w:val="24"/>
        </w:rPr>
        <w:t>posaconazol</w:t>
      </w:r>
      <w:proofErr w:type="spellEnd"/>
      <w:r w:rsidRPr="00212B5E">
        <w:rPr>
          <w:sz w:val="24"/>
          <w:szCs w:val="24"/>
        </w:rPr>
        <w:t xml:space="preserve"> blev standset.</w:t>
      </w:r>
    </w:p>
    <w:p w14:paraId="2E0E2CAA" w14:textId="77777777" w:rsidR="00314C3D" w:rsidRPr="00212B5E" w:rsidRDefault="00314C3D" w:rsidP="002836D2">
      <w:pPr>
        <w:ind w:left="851"/>
        <w:rPr>
          <w:sz w:val="24"/>
          <w:szCs w:val="24"/>
        </w:rPr>
      </w:pPr>
    </w:p>
    <w:p w14:paraId="1C2C7030" w14:textId="7A8135EE"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lægemidler, der hæmmer CYP3A4 i moderat grad (f.eks.</w:t>
      </w:r>
      <w:r w:rsidR="009A43A5">
        <w:rPr>
          <w:sz w:val="24"/>
          <w:szCs w:val="24"/>
        </w:rPr>
        <w:t xml:space="preserve"> </w:t>
      </w:r>
      <w:proofErr w:type="spellStart"/>
      <w:r w:rsidRPr="00212B5E">
        <w:rPr>
          <w:sz w:val="24"/>
          <w:szCs w:val="24"/>
        </w:rPr>
        <w:t>diltiazem</w:t>
      </w:r>
      <w:proofErr w:type="spellEnd"/>
      <w:r w:rsidRPr="00212B5E">
        <w:rPr>
          <w:sz w:val="24"/>
          <w:szCs w:val="24"/>
        </w:rPr>
        <w:t xml:space="preserve">, </w:t>
      </w:r>
      <w:proofErr w:type="spellStart"/>
      <w:r w:rsidRPr="00212B5E">
        <w:rPr>
          <w:sz w:val="24"/>
          <w:szCs w:val="24"/>
        </w:rPr>
        <w:t>erythromycin</w:t>
      </w:r>
      <w:proofErr w:type="spellEnd"/>
      <w:r w:rsidRPr="00212B5E">
        <w:rPr>
          <w:sz w:val="24"/>
          <w:szCs w:val="24"/>
        </w:rPr>
        <w:t xml:space="preserve">, </w:t>
      </w:r>
      <w:proofErr w:type="spellStart"/>
      <w:r w:rsidRPr="00212B5E">
        <w:rPr>
          <w:sz w:val="24"/>
          <w:szCs w:val="24"/>
        </w:rPr>
        <w:t>fluconazol</w:t>
      </w:r>
      <w:proofErr w:type="spellEnd"/>
      <w:r w:rsidRPr="00212B5E">
        <w:rPr>
          <w:sz w:val="24"/>
          <w:szCs w:val="24"/>
        </w:rPr>
        <w:t xml:space="preserve">, </w:t>
      </w:r>
      <w:proofErr w:type="spellStart"/>
      <w:r w:rsidRPr="00212B5E">
        <w:rPr>
          <w:sz w:val="24"/>
          <w:szCs w:val="24"/>
        </w:rPr>
        <w:t>verapamil</w:t>
      </w:r>
      <w:proofErr w:type="spellEnd"/>
      <w:r w:rsidRPr="00212B5E">
        <w:rPr>
          <w:sz w:val="24"/>
          <w:szCs w:val="24"/>
        </w:rPr>
        <w:t xml:space="preserve">), kan øge eksponeringen for </w:t>
      </w:r>
      <w:proofErr w:type="spellStart"/>
      <w:r w:rsidRPr="00212B5E">
        <w:rPr>
          <w:sz w:val="24"/>
          <w:szCs w:val="24"/>
        </w:rPr>
        <w:t>lurasidon</w:t>
      </w:r>
      <w:proofErr w:type="spellEnd"/>
      <w:r w:rsidRPr="00212B5E">
        <w:rPr>
          <w:sz w:val="24"/>
          <w:szCs w:val="24"/>
        </w:rPr>
        <w:t>. Moderate CYP3A4-hæmmere er estimeret til at medføre en 2-5-foldig øgning i eksponeringen for CYP3A4-substrater.</w:t>
      </w:r>
    </w:p>
    <w:p w14:paraId="6FD89F67" w14:textId="77777777" w:rsidR="00314C3D" w:rsidRPr="00212B5E" w:rsidRDefault="00314C3D" w:rsidP="002836D2">
      <w:pPr>
        <w:ind w:left="851"/>
        <w:rPr>
          <w:sz w:val="24"/>
          <w:szCs w:val="24"/>
        </w:rPr>
      </w:pPr>
    </w:p>
    <w:p w14:paraId="64681492" w14:textId="77777777"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w:t>
      </w:r>
      <w:proofErr w:type="spellStart"/>
      <w:r w:rsidRPr="00212B5E">
        <w:rPr>
          <w:sz w:val="24"/>
          <w:szCs w:val="24"/>
        </w:rPr>
        <w:t>diltiazem</w:t>
      </w:r>
      <w:proofErr w:type="spellEnd"/>
      <w:r w:rsidRPr="00212B5E">
        <w:rPr>
          <w:sz w:val="24"/>
          <w:szCs w:val="24"/>
        </w:rPr>
        <w:t xml:space="preserve"> (</w:t>
      </w:r>
      <w:proofErr w:type="spellStart"/>
      <w:r w:rsidRPr="00212B5E">
        <w:rPr>
          <w:sz w:val="24"/>
          <w:szCs w:val="24"/>
        </w:rPr>
        <w:t>protraheretfomuleringer</w:t>
      </w:r>
      <w:proofErr w:type="spellEnd"/>
      <w:r w:rsidRPr="00212B5E">
        <w:rPr>
          <w:sz w:val="24"/>
          <w:szCs w:val="24"/>
        </w:rPr>
        <w:t>), en moderate</w:t>
      </w:r>
    </w:p>
    <w:p w14:paraId="12D2A32E" w14:textId="6EF1090E" w:rsidR="00314C3D" w:rsidRPr="00212B5E" w:rsidRDefault="00314C3D" w:rsidP="002836D2">
      <w:pPr>
        <w:ind w:left="851"/>
        <w:rPr>
          <w:sz w:val="24"/>
          <w:szCs w:val="24"/>
        </w:rPr>
      </w:pPr>
      <w:r w:rsidRPr="00212B5E">
        <w:rPr>
          <w:sz w:val="24"/>
          <w:szCs w:val="24"/>
        </w:rPr>
        <w:t xml:space="preserve">CYP3A4-hæmmer, medførte en 2,2- og 2,4-foldig øgning i eksponeringen for hhv. </w:t>
      </w:r>
      <w:proofErr w:type="spellStart"/>
      <w:r w:rsidRPr="00212B5E">
        <w:rPr>
          <w:sz w:val="24"/>
          <w:szCs w:val="24"/>
        </w:rPr>
        <w:t>lurasidon</w:t>
      </w:r>
      <w:proofErr w:type="spellEnd"/>
      <w:r w:rsidRPr="00212B5E">
        <w:rPr>
          <w:sz w:val="24"/>
          <w:szCs w:val="24"/>
        </w:rPr>
        <w:t xml:space="preserve"> og</w:t>
      </w:r>
      <w:r w:rsidR="009A43A5">
        <w:rPr>
          <w:sz w:val="24"/>
          <w:szCs w:val="24"/>
        </w:rPr>
        <w:t xml:space="preserve"> </w:t>
      </w:r>
      <w:r w:rsidRPr="00212B5E">
        <w:rPr>
          <w:sz w:val="24"/>
          <w:szCs w:val="24"/>
        </w:rPr>
        <w:t xml:space="preserve">ID-14283 (se pkt. 4.2). Anvendelse af </w:t>
      </w:r>
      <w:proofErr w:type="spellStart"/>
      <w:r w:rsidRPr="00212B5E">
        <w:rPr>
          <w:sz w:val="24"/>
          <w:szCs w:val="24"/>
        </w:rPr>
        <w:t>diltiazem</w:t>
      </w:r>
      <w:proofErr w:type="spellEnd"/>
      <w:r w:rsidRPr="00212B5E">
        <w:rPr>
          <w:sz w:val="24"/>
          <w:szCs w:val="24"/>
        </w:rPr>
        <w:t>-formuleringer, der frigives hurtigt, kan medføre en</w:t>
      </w:r>
      <w:r w:rsidR="009A43A5">
        <w:rPr>
          <w:sz w:val="24"/>
          <w:szCs w:val="24"/>
        </w:rPr>
        <w:t xml:space="preserve"> </w:t>
      </w:r>
      <w:r w:rsidRPr="00212B5E">
        <w:rPr>
          <w:sz w:val="24"/>
          <w:szCs w:val="24"/>
        </w:rPr>
        <w:t xml:space="preserve">større øgning i </w:t>
      </w:r>
      <w:proofErr w:type="spellStart"/>
      <w:r w:rsidRPr="00212B5E">
        <w:rPr>
          <w:sz w:val="24"/>
          <w:szCs w:val="24"/>
        </w:rPr>
        <w:t>lurasidon</w:t>
      </w:r>
      <w:proofErr w:type="spellEnd"/>
      <w:r w:rsidRPr="00212B5E">
        <w:rPr>
          <w:sz w:val="24"/>
          <w:szCs w:val="24"/>
        </w:rPr>
        <w:t>-eksponeringen.</w:t>
      </w:r>
    </w:p>
    <w:p w14:paraId="35CAE0F2" w14:textId="77777777" w:rsidR="00314C3D" w:rsidRPr="00212B5E" w:rsidRDefault="00314C3D" w:rsidP="002836D2">
      <w:pPr>
        <w:ind w:left="851"/>
        <w:rPr>
          <w:sz w:val="24"/>
          <w:szCs w:val="24"/>
        </w:rPr>
      </w:pPr>
    </w:p>
    <w:p w14:paraId="43247776" w14:textId="77777777" w:rsidR="00314C3D" w:rsidRPr="00212B5E" w:rsidRDefault="00314C3D" w:rsidP="002836D2">
      <w:pPr>
        <w:ind w:left="851"/>
        <w:rPr>
          <w:i/>
          <w:iCs/>
          <w:sz w:val="24"/>
          <w:szCs w:val="24"/>
        </w:rPr>
      </w:pPr>
      <w:r w:rsidRPr="00212B5E">
        <w:rPr>
          <w:i/>
          <w:iCs/>
          <w:sz w:val="24"/>
          <w:szCs w:val="24"/>
        </w:rPr>
        <w:t>CYP3A4-induktorer</w:t>
      </w:r>
    </w:p>
    <w:p w14:paraId="67370797" w14:textId="6FED7422"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er kontraindiceret ved samtidig administration af kraftige CYP3A4-induktorer (f.eks.</w:t>
      </w:r>
      <w:r w:rsidR="009A43A5">
        <w:rPr>
          <w:sz w:val="24"/>
          <w:szCs w:val="24"/>
        </w:rPr>
        <w:t xml:space="preserve"> </w:t>
      </w:r>
      <w:proofErr w:type="spellStart"/>
      <w:r w:rsidRPr="00212B5E">
        <w:rPr>
          <w:sz w:val="24"/>
          <w:szCs w:val="24"/>
        </w:rPr>
        <w:t>carbamazepin</w:t>
      </w:r>
      <w:proofErr w:type="spellEnd"/>
      <w:r w:rsidRPr="00212B5E">
        <w:rPr>
          <w:sz w:val="24"/>
          <w:szCs w:val="24"/>
        </w:rPr>
        <w:t xml:space="preserve">, </w:t>
      </w:r>
      <w:proofErr w:type="spellStart"/>
      <w:r w:rsidRPr="00212B5E">
        <w:rPr>
          <w:sz w:val="24"/>
          <w:szCs w:val="24"/>
        </w:rPr>
        <w:t>phenobarbital</w:t>
      </w:r>
      <w:proofErr w:type="spellEnd"/>
      <w:r w:rsidRPr="00212B5E">
        <w:rPr>
          <w:sz w:val="24"/>
          <w:szCs w:val="24"/>
        </w:rPr>
        <w:t xml:space="preserve">, </w:t>
      </w:r>
      <w:proofErr w:type="spellStart"/>
      <w:r w:rsidRPr="00212B5E">
        <w:rPr>
          <w:sz w:val="24"/>
          <w:szCs w:val="24"/>
        </w:rPr>
        <w:t>phenytoin</w:t>
      </w:r>
      <w:proofErr w:type="spellEnd"/>
      <w:r w:rsidRPr="00212B5E">
        <w:rPr>
          <w:sz w:val="24"/>
          <w:szCs w:val="24"/>
        </w:rPr>
        <w:t xml:space="preserve">, </w:t>
      </w:r>
      <w:proofErr w:type="spellStart"/>
      <w:r w:rsidRPr="00212B5E">
        <w:rPr>
          <w:sz w:val="24"/>
          <w:szCs w:val="24"/>
        </w:rPr>
        <w:t>rifampicin</w:t>
      </w:r>
      <w:proofErr w:type="spellEnd"/>
      <w:r w:rsidRPr="00212B5E">
        <w:rPr>
          <w:sz w:val="24"/>
          <w:szCs w:val="24"/>
        </w:rPr>
        <w:t xml:space="preserve">, prikbladet perikon (Hypericum </w:t>
      </w:r>
      <w:proofErr w:type="spellStart"/>
      <w:r w:rsidRPr="00212B5E">
        <w:rPr>
          <w:sz w:val="24"/>
          <w:szCs w:val="24"/>
        </w:rPr>
        <w:t>perforatum</w:t>
      </w:r>
      <w:proofErr w:type="spellEnd"/>
      <w:r w:rsidRPr="00212B5E">
        <w:rPr>
          <w:sz w:val="24"/>
          <w:szCs w:val="24"/>
        </w:rPr>
        <w:t xml:space="preserve">)) (se pkt. 4.3). </w:t>
      </w:r>
    </w:p>
    <w:p w14:paraId="452B2756" w14:textId="77777777" w:rsidR="00314C3D" w:rsidRPr="00212B5E" w:rsidRDefault="00314C3D" w:rsidP="002836D2">
      <w:pPr>
        <w:ind w:left="851"/>
        <w:rPr>
          <w:sz w:val="24"/>
          <w:szCs w:val="24"/>
        </w:rPr>
      </w:pPr>
    </w:p>
    <w:p w14:paraId="2390F545" w14:textId="77777777"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den kraftige CYP3A4-induktor </w:t>
      </w:r>
      <w:proofErr w:type="spellStart"/>
      <w:r w:rsidRPr="00212B5E">
        <w:rPr>
          <w:sz w:val="24"/>
          <w:szCs w:val="24"/>
        </w:rPr>
        <w:t>rifampicin</w:t>
      </w:r>
      <w:proofErr w:type="spellEnd"/>
      <w:r w:rsidRPr="00212B5E">
        <w:rPr>
          <w:sz w:val="24"/>
          <w:szCs w:val="24"/>
        </w:rPr>
        <w:t xml:space="preserve"> medførte en 6-foldig reduktion i </w:t>
      </w:r>
      <w:proofErr w:type="spellStart"/>
      <w:r w:rsidRPr="00212B5E">
        <w:rPr>
          <w:sz w:val="24"/>
          <w:szCs w:val="24"/>
        </w:rPr>
        <w:t>lurasidon</w:t>
      </w:r>
      <w:proofErr w:type="spellEnd"/>
      <w:r w:rsidRPr="00212B5E">
        <w:rPr>
          <w:sz w:val="24"/>
          <w:szCs w:val="24"/>
        </w:rPr>
        <w:t>-eksponeringen.</w:t>
      </w:r>
    </w:p>
    <w:p w14:paraId="0B1E288B" w14:textId="77777777" w:rsidR="00314C3D" w:rsidRPr="00212B5E" w:rsidRDefault="00314C3D" w:rsidP="002836D2">
      <w:pPr>
        <w:ind w:left="851"/>
        <w:rPr>
          <w:sz w:val="24"/>
          <w:szCs w:val="24"/>
        </w:rPr>
      </w:pPr>
    </w:p>
    <w:p w14:paraId="0AB64BCA" w14:textId="06BBF397"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milde (f.eks. </w:t>
      </w:r>
      <w:proofErr w:type="spellStart"/>
      <w:r w:rsidRPr="00212B5E">
        <w:rPr>
          <w:sz w:val="24"/>
          <w:szCs w:val="24"/>
        </w:rPr>
        <w:t>armodafinil</w:t>
      </w:r>
      <w:proofErr w:type="spellEnd"/>
      <w:r w:rsidRPr="00212B5E">
        <w:rPr>
          <w:sz w:val="24"/>
          <w:szCs w:val="24"/>
        </w:rPr>
        <w:t xml:space="preserve">, </w:t>
      </w:r>
      <w:proofErr w:type="spellStart"/>
      <w:r w:rsidRPr="00212B5E">
        <w:rPr>
          <w:sz w:val="24"/>
          <w:szCs w:val="24"/>
        </w:rPr>
        <w:t>amprenavir</w:t>
      </w:r>
      <w:proofErr w:type="spellEnd"/>
      <w:r w:rsidRPr="00212B5E">
        <w:rPr>
          <w:sz w:val="24"/>
          <w:szCs w:val="24"/>
        </w:rPr>
        <w:t xml:space="preserve">, </w:t>
      </w:r>
      <w:proofErr w:type="spellStart"/>
      <w:r w:rsidRPr="00212B5E">
        <w:rPr>
          <w:sz w:val="24"/>
          <w:szCs w:val="24"/>
        </w:rPr>
        <w:t>aprepitant</w:t>
      </w:r>
      <w:proofErr w:type="spellEnd"/>
      <w:r w:rsidRPr="00212B5E">
        <w:rPr>
          <w:sz w:val="24"/>
          <w:szCs w:val="24"/>
        </w:rPr>
        <w:t xml:space="preserve">, </w:t>
      </w:r>
      <w:proofErr w:type="spellStart"/>
      <w:r w:rsidRPr="00212B5E">
        <w:rPr>
          <w:sz w:val="24"/>
          <w:szCs w:val="24"/>
        </w:rPr>
        <w:t>prednison</w:t>
      </w:r>
      <w:proofErr w:type="spellEnd"/>
      <w:r w:rsidRPr="00212B5E">
        <w:rPr>
          <w:sz w:val="24"/>
          <w:szCs w:val="24"/>
        </w:rPr>
        <w:t xml:space="preserve">, </w:t>
      </w:r>
      <w:proofErr w:type="spellStart"/>
      <w:r w:rsidRPr="00212B5E">
        <w:rPr>
          <w:sz w:val="24"/>
          <w:szCs w:val="24"/>
        </w:rPr>
        <w:t>rufinamid</w:t>
      </w:r>
      <w:proofErr w:type="spellEnd"/>
      <w:r w:rsidRPr="00212B5E">
        <w:rPr>
          <w:sz w:val="24"/>
          <w:szCs w:val="24"/>
        </w:rPr>
        <w:t xml:space="preserve">) eller moderate (f.eks. </w:t>
      </w:r>
      <w:proofErr w:type="spellStart"/>
      <w:r w:rsidRPr="00212B5E">
        <w:rPr>
          <w:sz w:val="24"/>
          <w:szCs w:val="24"/>
        </w:rPr>
        <w:t>bosentan</w:t>
      </w:r>
      <w:proofErr w:type="spellEnd"/>
      <w:r w:rsidRPr="00212B5E">
        <w:rPr>
          <w:sz w:val="24"/>
          <w:szCs w:val="24"/>
        </w:rPr>
        <w:t xml:space="preserve">, </w:t>
      </w:r>
      <w:proofErr w:type="spellStart"/>
      <w:r w:rsidRPr="00212B5E">
        <w:rPr>
          <w:sz w:val="24"/>
          <w:szCs w:val="24"/>
        </w:rPr>
        <w:t>efavirenz</w:t>
      </w:r>
      <w:proofErr w:type="spellEnd"/>
      <w:r w:rsidRPr="00212B5E">
        <w:rPr>
          <w:sz w:val="24"/>
          <w:szCs w:val="24"/>
        </w:rPr>
        <w:t xml:space="preserve">, </w:t>
      </w:r>
      <w:proofErr w:type="spellStart"/>
      <w:r w:rsidRPr="00212B5E">
        <w:rPr>
          <w:sz w:val="24"/>
          <w:szCs w:val="24"/>
        </w:rPr>
        <w:t>etravirin</w:t>
      </w:r>
      <w:proofErr w:type="spellEnd"/>
      <w:r w:rsidRPr="00212B5E">
        <w:rPr>
          <w:sz w:val="24"/>
          <w:szCs w:val="24"/>
        </w:rPr>
        <w:t xml:space="preserve">, </w:t>
      </w:r>
      <w:proofErr w:type="spellStart"/>
      <w:r w:rsidRPr="00212B5E">
        <w:rPr>
          <w:sz w:val="24"/>
          <w:szCs w:val="24"/>
        </w:rPr>
        <w:t>modafinil</w:t>
      </w:r>
      <w:proofErr w:type="spellEnd"/>
      <w:r w:rsidRPr="00212B5E">
        <w:rPr>
          <w:sz w:val="24"/>
          <w:szCs w:val="24"/>
        </w:rPr>
        <w:t xml:space="preserve">, </w:t>
      </w:r>
      <w:proofErr w:type="spellStart"/>
      <w:r w:rsidRPr="00212B5E">
        <w:rPr>
          <w:sz w:val="24"/>
          <w:szCs w:val="24"/>
        </w:rPr>
        <w:t>nafcillin</w:t>
      </w:r>
      <w:proofErr w:type="spellEnd"/>
      <w:r w:rsidRPr="00212B5E">
        <w:rPr>
          <w:sz w:val="24"/>
          <w:szCs w:val="24"/>
        </w:rPr>
        <w:t>)</w:t>
      </w:r>
      <w:r w:rsidR="009A43A5">
        <w:rPr>
          <w:sz w:val="24"/>
          <w:szCs w:val="24"/>
        </w:rPr>
        <w:t xml:space="preserve">. </w:t>
      </w:r>
      <w:r w:rsidRPr="00212B5E">
        <w:rPr>
          <w:sz w:val="24"/>
          <w:szCs w:val="24"/>
        </w:rPr>
        <w:t xml:space="preserve">CYP3A4-induktorer forventes at give en &lt;2-foldig reduktion i </w:t>
      </w:r>
      <w:proofErr w:type="spellStart"/>
      <w:r w:rsidRPr="00212B5E">
        <w:rPr>
          <w:sz w:val="24"/>
          <w:szCs w:val="24"/>
        </w:rPr>
        <w:t>lurasidon</w:t>
      </w:r>
      <w:proofErr w:type="spellEnd"/>
      <w:r w:rsidRPr="00212B5E">
        <w:rPr>
          <w:sz w:val="24"/>
          <w:szCs w:val="24"/>
        </w:rPr>
        <w:t>-eksponeringen under den</w:t>
      </w:r>
      <w:r w:rsidR="009A43A5">
        <w:rPr>
          <w:sz w:val="24"/>
          <w:szCs w:val="24"/>
        </w:rPr>
        <w:t xml:space="preserve"> </w:t>
      </w:r>
      <w:r w:rsidRPr="00212B5E">
        <w:rPr>
          <w:sz w:val="24"/>
          <w:szCs w:val="24"/>
        </w:rPr>
        <w:t xml:space="preserve">samtidige administration og i op til 2 uger efter ophør af de milde eller moderate CYP3A4-induktorer. </w:t>
      </w:r>
    </w:p>
    <w:p w14:paraId="0E863BFC" w14:textId="77777777" w:rsidR="00314C3D" w:rsidRPr="00212B5E" w:rsidRDefault="00314C3D" w:rsidP="002836D2">
      <w:pPr>
        <w:ind w:left="851"/>
        <w:rPr>
          <w:sz w:val="24"/>
          <w:szCs w:val="24"/>
        </w:rPr>
      </w:pPr>
    </w:p>
    <w:p w14:paraId="4EB7DD7B" w14:textId="77777777" w:rsidR="00314C3D" w:rsidRPr="00212B5E" w:rsidRDefault="00314C3D" w:rsidP="002836D2">
      <w:pPr>
        <w:ind w:left="851"/>
        <w:rPr>
          <w:sz w:val="24"/>
          <w:szCs w:val="24"/>
        </w:rPr>
      </w:pPr>
      <w:r w:rsidRPr="00212B5E">
        <w:rPr>
          <w:sz w:val="24"/>
          <w:szCs w:val="24"/>
        </w:rPr>
        <w:t xml:space="preserve">Når </w:t>
      </w:r>
      <w:proofErr w:type="spellStart"/>
      <w:r w:rsidRPr="00212B5E">
        <w:rPr>
          <w:sz w:val="24"/>
          <w:szCs w:val="24"/>
        </w:rPr>
        <w:t>lurasidon</w:t>
      </w:r>
      <w:proofErr w:type="spellEnd"/>
      <w:r w:rsidRPr="00212B5E">
        <w:rPr>
          <w:sz w:val="24"/>
          <w:szCs w:val="24"/>
        </w:rPr>
        <w:t xml:space="preserve"> administreres samtidig med milde eller moderate CYP3A4-induktorer, skal effekten af </w:t>
      </w:r>
      <w:proofErr w:type="spellStart"/>
      <w:r w:rsidRPr="00212B5E">
        <w:rPr>
          <w:sz w:val="24"/>
          <w:szCs w:val="24"/>
        </w:rPr>
        <w:t>lurasidon</w:t>
      </w:r>
      <w:proofErr w:type="spellEnd"/>
      <w:r w:rsidRPr="00212B5E">
        <w:rPr>
          <w:sz w:val="24"/>
          <w:szCs w:val="24"/>
        </w:rPr>
        <w:t xml:space="preserve"> nøje monitoreres og dosisjustering kan være nødvendig.</w:t>
      </w:r>
    </w:p>
    <w:p w14:paraId="7EB89497" w14:textId="77777777" w:rsidR="00314C3D" w:rsidRPr="00212B5E" w:rsidRDefault="00314C3D" w:rsidP="002836D2">
      <w:pPr>
        <w:ind w:left="851"/>
        <w:rPr>
          <w:sz w:val="24"/>
          <w:szCs w:val="24"/>
        </w:rPr>
      </w:pPr>
    </w:p>
    <w:p w14:paraId="0A296E0E" w14:textId="77777777" w:rsidR="00314C3D" w:rsidRPr="00212B5E" w:rsidRDefault="00314C3D" w:rsidP="002836D2">
      <w:pPr>
        <w:ind w:left="851"/>
        <w:rPr>
          <w:i/>
          <w:iCs/>
          <w:sz w:val="24"/>
          <w:szCs w:val="24"/>
        </w:rPr>
      </w:pPr>
      <w:r w:rsidRPr="00212B5E">
        <w:rPr>
          <w:i/>
          <w:iCs/>
          <w:sz w:val="24"/>
          <w:szCs w:val="24"/>
        </w:rPr>
        <w:t>Transportører</w:t>
      </w:r>
    </w:p>
    <w:p w14:paraId="42267B67" w14:textId="0E76DC85"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er et substrat for P-gp og BCRP </w:t>
      </w:r>
      <w:r w:rsidRPr="00212B5E">
        <w:rPr>
          <w:i/>
          <w:iCs/>
          <w:sz w:val="24"/>
          <w:szCs w:val="24"/>
        </w:rPr>
        <w:t xml:space="preserve">in </w:t>
      </w:r>
      <w:proofErr w:type="spellStart"/>
      <w:r w:rsidRPr="00212B5E">
        <w:rPr>
          <w:i/>
          <w:iCs/>
          <w:sz w:val="24"/>
          <w:szCs w:val="24"/>
        </w:rPr>
        <w:t>vitro</w:t>
      </w:r>
      <w:proofErr w:type="spellEnd"/>
      <w:r w:rsidRPr="00212B5E">
        <w:rPr>
          <w:sz w:val="24"/>
          <w:szCs w:val="24"/>
        </w:rPr>
        <w:t xml:space="preserve"> og </w:t>
      </w:r>
      <w:r w:rsidRPr="00212B5E">
        <w:rPr>
          <w:i/>
          <w:iCs/>
          <w:sz w:val="24"/>
          <w:szCs w:val="24"/>
        </w:rPr>
        <w:t xml:space="preserve">in </w:t>
      </w:r>
      <w:proofErr w:type="spellStart"/>
      <w:r w:rsidRPr="00212B5E">
        <w:rPr>
          <w:i/>
          <w:iCs/>
          <w:sz w:val="24"/>
          <w:szCs w:val="24"/>
        </w:rPr>
        <w:t>vivo</w:t>
      </w:r>
      <w:proofErr w:type="spellEnd"/>
      <w:r w:rsidRPr="00212B5E">
        <w:rPr>
          <w:sz w:val="24"/>
          <w:szCs w:val="24"/>
        </w:rPr>
        <w:t>, relevansen af dette er uklar. Samtidig</w:t>
      </w:r>
      <w:r w:rsidR="009A43A5">
        <w:rPr>
          <w:sz w:val="24"/>
          <w:szCs w:val="24"/>
        </w:rPr>
        <w:t xml:space="preserve"> </w:t>
      </w:r>
      <w:r w:rsidRPr="00212B5E">
        <w:rPr>
          <w:sz w:val="24"/>
          <w:szCs w:val="24"/>
        </w:rPr>
        <w:t xml:space="preserve">administration af </w:t>
      </w:r>
      <w:proofErr w:type="spellStart"/>
      <w:r w:rsidRPr="00212B5E">
        <w:rPr>
          <w:sz w:val="24"/>
          <w:szCs w:val="24"/>
        </w:rPr>
        <w:t>lurasidon</w:t>
      </w:r>
      <w:proofErr w:type="spellEnd"/>
      <w:r w:rsidRPr="00212B5E">
        <w:rPr>
          <w:sz w:val="24"/>
          <w:szCs w:val="24"/>
        </w:rPr>
        <w:t xml:space="preserve"> og P-</w:t>
      </w:r>
      <w:proofErr w:type="spellStart"/>
      <w:r w:rsidRPr="00212B5E">
        <w:rPr>
          <w:sz w:val="24"/>
          <w:szCs w:val="24"/>
        </w:rPr>
        <w:t>gp-</w:t>
      </w:r>
      <w:proofErr w:type="spellEnd"/>
      <w:r w:rsidRPr="00212B5E">
        <w:rPr>
          <w:sz w:val="24"/>
          <w:szCs w:val="24"/>
        </w:rPr>
        <w:t xml:space="preserve"> og BCRP-</w:t>
      </w:r>
      <w:proofErr w:type="spellStart"/>
      <w:r w:rsidRPr="00212B5E">
        <w:rPr>
          <w:sz w:val="24"/>
          <w:szCs w:val="24"/>
        </w:rPr>
        <w:t>hæmmere</w:t>
      </w:r>
      <w:proofErr w:type="spellEnd"/>
      <w:r w:rsidRPr="00212B5E">
        <w:rPr>
          <w:sz w:val="24"/>
          <w:szCs w:val="24"/>
        </w:rPr>
        <w:t xml:space="preserve"> kan øge eksponeringen af </w:t>
      </w:r>
      <w:proofErr w:type="spellStart"/>
      <w:r w:rsidRPr="00212B5E">
        <w:rPr>
          <w:sz w:val="24"/>
          <w:szCs w:val="24"/>
        </w:rPr>
        <w:t>lurasidon</w:t>
      </w:r>
      <w:proofErr w:type="spellEnd"/>
      <w:r w:rsidRPr="00212B5E">
        <w:rPr>
          <w:sz w:val="24"/>
          <w:szCs w:val="24"/>
        </w:rPr>
        <w:t>.</w:t>
      </w:r>
    </w:p>
    <w:p w14:paraId="5958EF44" w14:textId="77777777" w:rsidR="00314C3D" w:rsidRPr="00212B5E" w:rsidRDefault="00314C3D" w:rsidP="002836D2">
      <w:pPr>
        <w:ind w:left="851"/>
        <w:rPr>
          <w:sz w:val="24"/>
          <w:szCs w:val="24"/>
        </w:rPr>
      </w:pPr>
    </w:p>
    <w:p w14:paraId="43DFDD2B" w14:textId="77777777" w:rsidR="00314C3D" w:rsidRPr="009A43A5" w:rsidRDefault="00314C3D" w:rsidP="002836D2">
      <w:pPr>
        <w:ind w:left="851"/>
        <w:rPr>
          <w:sz w:val="24"/>
          <w:szCs w:val="24"/>
          <w:u w:val="single"/>
        </w:rPr>
      </w:pPr>
      <w:r w:rsidRPr="009A43A5">
        <w:rPr>
          <w:sz w:val="24"/>
          <w:szCs w:val="24"/>
          <w:u w:val="single"/>
        </w:rPr>
        <w:t xml:space="preserve">Potentiel risiko for, at </w:t>
      </w:r>
      <w:proofErr w:type="spellStart"/>
      <w:r w:rsidRPr="009A43A5">
        <w:rPr>
          <w:sz w:val="24"/>
          <w:szCs w:val="24"/>
          <w:u w:val="single"/>
        </w:rPr>
        <w:t>lurasidon</w:t>
      </w:r>
      <w:proofErr w:type="spellEnd"/>
      <w:r w:rsidRPr="009A43A5">
        <w:rPr>
          <w:sz w:val="24"/>
          <w:szCs w:val="24"/>
          <w:u w:val="single"/>
        </w:rPr>
        <w:t xml:space="preserve"> kan påvirke andre lægemidler</w:t>
      </w:r>
    </w:p>
    <w:p w14:paraId="7E348FD0" w14:textId="77777777" w:rsidR="00314C3D" w:rsidRPr="00212B5E" w:rsidRDefault="00314C3D" w:rsidP="002836D2">
      <w:pPr>
        <w:ind w:left="851"/>
        <w:rPr>
          <w:sz w:val="24"/>
          <w:szCs w:val="24"/>
        </w:rPr>
      </w:pPr>
    </w:p>
    <w:p w14:paraId="0FC8D429" w14:textId="171A91D5"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med </w:t>
      </w:r>
      <w:proofErr w:type="spellStart"/>
      <w:r w:rsidRPr="00212B5E">
        <w:rPr>
          <w:sz w:val="24"/>
          <w:szCs w:val="24"/>
        </w:rPr>
        <w:t>midazolam</w:t>
      </w:r>
      <w:proofErr w:type="spellEnd"/>
      <w:r w:rsidRPr="00212B5E">
        <w:rPr>
          <w:sz w:val="24"/>
          <w:szCs w:val="24"/>
        </w:rPr>
        <w:t>, et følsomt CYP3A4-substrat, medførte en</w:t>
      </w:r>
      <w:r w:rsidR="009A43A5">
        <w:rPr>
          <w:sz w:val="24"/>
          <w:szCs w:val="24"/>
        </w:rPr>
        <w:t xml:space="preserve"> </w:t>
      </w:r>
      <w:r w:rsidRPr="00212B5E">
        <w:rPr>
          <w:sz w:val="24"/>
          <w:szCs w:val="24"/>
        </w:rPr>
        <w:t xml:space="preserve">&lt;1,5-foldig øgning i eksponeringen for </w:t>
      </w:r>
      <w:proofErr w:type="spellStart"/>
      <w:r w:rsidRPr="00212B5E">
        <w:rPr>
          <w:sz w:val="24"/>
          <w:szCs w:val="24"/>
        </w:rPr>
        <w:t>midazolam</w:t>
      </w:r>
      <w:proofErr w:type="spellEnd"/>
      <w:r w:rsidRPr="00212B5E">
        <w:rPr>
          <w:sz w:val="24"/>
          <w:szCs w:val="24"/>
        </w:rPr>
        <w:t>. Monitorering anbefales, når der samtidig gives</w:t>
      </w:r>
      <w:r w:rsidR="009A43A5">
        <w:rPr>
          <w:sz w:val="24"/>
          <w:szCs w:val="24"/>
        </w:rPr>
        <w:t xml:space="preserve"> </w:t>
      </w:r>
      <w:r w:rsidRPr="00212B5E">
        <w:rPr>
          <w:sz w:val="24"/>
          <w:szCs w:val="24"/>
        </w:rPr>
        <w:t xml:space="preserve">CYP3A4-substrater, der vides at have et snævert terapeutisk indeks (f.eks. </w:t>
      </w:r>
      <w:proofErr w:type="spellStart"/>
      <w:r w:rsidRPr="00212B5E">
        <w:rPr>
          <w:sz w:val="24"/>
          <w:szCs w:val="24"/>
        </w:rPr>
        <w:t>astemizol</w:t>
      </w:r>
      <w:proofErr w:type="spellEnd"/>
      <w:r w:rsidRPr="00212B5E">
        <w:rPr>
          <w:sz w:val="24"/>
          <w:szCs w:val="24"/>
        </w:rPr>
        <w:t xml:space="preserve">, </w:t>
      </w:r>
      <w:proofErr w:type="spellStart"/>
      <w:r w:rsidRPr="00212B5E">
        <w:rPr>
          <w:sz w:val="24"/>
          <w:szCs w:val="24"/>
        </w:rPr>
        <w:t>terfenadin</w:t>
      </w:r>
      <w:proofErr w:type="spellEnd"/>
      <w:r w:rsidRPr="00212B5E">
        <w:rPr>
          <w:sz w:val="24"/>
          <w:szCs w:val="24"/>
        </w:rPr>
        <w:t>,</w:t>
      </w:r>
      <w:r w:rsidR="009A43A5">
        <w:rPr>
          <w:sz w:val="24"/>
          <w:szCs w:val="24"/>
        </w:rPr>
        <w:t xml:space="preserve"> </w:t>
      </w:r>
      <w:proofErr w:type="spellStart"/>
      <w:r w:rsidRPr="00212B5E">
        <w:rPr>
          <w:sz w:val="24"/>
          <w:szCs w:val="24"/>
        </w:rPr>
        <w:t>cisaprid</w:t>
      </w:r>
      <w:proofErr w:type="spellEnd"/>
      <w:r w:rsidRPr="00212B5E">
        <w:rPr>
          <w:sz w:val="24"/>
          <w:szCs w:val="24"/>
        </w:rPr>
        <w:t xml:space="preserve">, </w:t>
      </w:r>
      <w:proofErr w:type="spellStart"/>
      <w:r w:rsidRPr="00212B5E">
        <w:rPr>
          <w:sz w:val="24"/>
          <w:szCs w:val="24"/>
        </w:rPr>
        <w:t>pimozid</w:t>
      </w:r>
      <w:proofErr w:type="spellEnd"/>
      <w:r w:rsidRPr="00212B5E">
        <w:rPr>
          <w:sz w:val="24"/>
          <w:szCs w:val="24"/>
        </w:rPr>
        <w:t xml:space="preserve">, </w:t>
      </w:r>
      <w:proofErr w:type="spellStart"/>
      <w:r w:rsidRPr="00212B5E">
        <w:rPr>
          <w:sz w:val="24"/>
          <w:szCs w:val="24"/>
        </w:rPr>
        <w:t>quinidin</w:t>
      </w:r>
      <w:proofErr w:type="spellEnd"/>
      <w:r w:rsidRPr="00212B5E">
        <w:rPr>
          <w:sz w:val="24"/>
          <w:szCs w:val="24"/>
        </w:rPr>
        <w:t xml:space="preserve">, </w:t>
      </w:r>
      <w:proofErr w:type="spellStart"/>
      <w:r w:rsidRPr="00212B5E">
        <w:rPr>
          <w:sz w:val="24"/>
          <w:szCs w:val="24"/>
        </w:rPr>
        <w:t>bepridil</w:t>
      </w:r>
      <w:proofErr w:type="spellEnd"/>
      <w:r w:rsidRPr="00212B5E">
        <w:rPr>
          <w:sz w:val="24"/>
          <w:szCs w:val="24"/>
        </w:rPr>
        <w:t xml:space="preserve"> eller </w:t>
      </w:r>
      <w:proofErr w:type="spellStart"/>
      <w:r w:rsidRPr="00212B5E">
        <w:rPr>
          <w:sz w:val="24"/>
          <w:szCs w:val="24"/>
        </w:rPr>
        <w:t>ergotalkaloider</w:t>
      </w:r>
      <w:proofErr w:type="spellEnd"/>
      <w:r w:rsidRPr="00212B5E">
        <w:rPr>
          <w:sz w:val="24"/>
          <w:szCs w:val="24"/>
        </w:rPr>
        <w:t xml:space="preserve"> [</w:t>
      </w:r>
      <w:proofErr w:type="spellStart"/>
      <w:r w:rsidRPr="00212B5E">
        <w:rPr>
          <w:sz w:val="24"/>
          <w:szCs w:val="24"/>
        </w:rPr>
        <w:t>ergotamin</w:t>
      </w:r>
      <w:proofErr w:type="spellEnd"/>
      <w:r w:rsidRPr="00212B5E">
        <w:rPr>
          <w:sz w:val="24"/>
          <w:szCs w:val="24"/>
        </w:rPr>
        <w:t xml:space="preserve">, </w:t>
      </w:r>
      <w:proofErr w:type="spellStart"/>
      <w:r w:rsidRPr="00212B5E">
        <w:rPr>
          <w:sz w:val="24"/>
          <w:szCs w:val="24"/>
        </w:rPr>
        <w:t>dihydroergotamin</w:t>
      </w:r>
      <w:proofErr w:type="spellEnd"/>
      <w:r w:rsidRPr="00212B5E">
        <w:rPr>
          <w:sz w:val="24"/>
          <w:szCs w:val="24"/>
        </w:rPr>
        <w:t>]).</w:t>
      </w:r>
    </w:p>
    <w:p w14:paraId="267FDA20" w14:textId="77777777" w:rsidR="00314C3D" w:rsidRPr="00212B5E" w:rsidRDefault="00314C3D" w:rsidP="002836D2">
      <w:pPr>
        <w:ind w:left="851"/>
        <w:rPr>
          <w:sz w:val="24"/>
          <w:szCs w:val="24"/>
        </w:rPr>
      </w:pPr>
    </w:p>
    <w:p w14:paraId="11DFBE11" w14:textId="77777777"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w:t>
      </w:r>
      <w:proofErr w:type="spellStart"/>
      <w:r w:rsidRPr="00212B5E">
        <w:rPr>
          <w:sz w:val="24"/>
          <w:szCs w:val="24"/>
        </w:rPr>
        <w:t>digoxin</w:t>
      </w:r>
      <w:proofErr w:type="spellEnd"/>
      <w:r w:rsidRPr="00212B5E">
        <w:rPr>
          <w:sz w:val="24"/>
          <w:szCs w:val="24"/>
        </w:rPr>
        <w:t xml:space="preserve"> (et P-gp-substrat) forøgede ikke eksponeringen over for </w:t>
      </w:r>
      <w:proofErr w:type="spellStart"/>
      <w:r w:rsidRPr="00212B5E">
        <w:rPr>
          <w:sz w:val="24"/>
          <w:szCs w:val="24"/>
        </w:rPr>
        <w:t>digoxin</w:t>
      </w:r>
      <w:proofErr w:type="spellEnd"/>
      <w:r w:rsidRPr="00212B5E">
        <w:rPr>
          <w:sz w:val="24"/>
          <w:szCs w:val="24"/>
        </w:rPr>
        <w:t xml:space="preserve"> og forøgede kun i let grad </w:t>
      </w:r>
      <w:proofErr w:type="spellStart"/>
      <w:r w:rsidRPr="00212B5E">
        <w:rPr>
          <w:sz w:val="24"/>
          <w:szCs w:val="24"/>
        </w:rPr>
        <w:t>C</w:t>
      </w:r>
      <w:r w:rsidRPr="00212B5E">
        <w:rPr>
          <w:sz w:val="24"/>
          <w:szCs w:val="24"/>
          <w:vertAlign w:val="subscript"/>
        </w:rPr>
        <w:t>max</w:t>
      </w:r>
      <w:proofErr w:type="spellEnd"/>
      <w:r w:rsidRPr="00212B5E">
        <w:rPr>
          <w:sz w:val="24"/>
          <w:szCs w:val="24"/>
        </w:rPr>
        <w:t xml:space="preserve"> (1,3 gange), og i denne sammenhæng betragtes det som sikkert at administrere </w:t>
      </w:r>
      <w:proofErr w:type="spellStart"/>
      <w:r w:rsidRPr="00212B5E">
        <w:rPr>
          <w:sz w:val="24"/>
          <w:szCs w:val="24"/>
        </w:rPr>
        <w:t>lurasidon</w:t>
      </w:r>
      <w:proofErr w:type="spellEnd"/>
      <w:r w:rsidRPr="00212B5E">
        <w:rPr>
          <w:sz w:val="24"/>
          <w:szCs w:val="24"/>
        </w:rPr>
        <w:t xml:space="preserve"> sammen med </w:t>
      </w:r>
      <w:proofErr w:type="spellStart"/>
      <w:r w:rsidRPr="00212B5E">
        <w:rPr>
          <w:sz w:val="24"/>
          <w:szCs w:val="24"/>
        </w:rPr>
        <w:t>digoxin</w:t>
      </w:r>
      <w:proofErr w:type="spellEnd"/>
      <w:r w:rsidRPr="00212B5E">
        <w:rPr>
          <w:sz w:val="24"/>
          <w:szCs w:val="24"/>
        </w:rPr>
        <w:t xml:space="preserve">. </w:t>
      </w:r>
      <w:proofErr w:type="spellStart"/>
      <w:r w:rsidRPr="00212B5E">
        <w:rPr>
          <w:sz w:val="24"/>
          <w:szCs w:val="24"/>
        </w:rPr>
        <w:t>Lurasidon</w:t>
      </w:r>
      <w:proofErr w:type="spellEnd"/>
      <w:r w:rsidRPr="00212B5E">
        <w:rPr>
          <w:sz w:val="24"/>
          <w:szCs w:val="24"/>
        </w:rPr>
        <w:t xml:space="preserve"> er en </w:t>
      </w:r>
      <w:r w:rsidRPr="00212B5E">
        <w:rPr>
          <w:i/>
          <w:iCs/>
          <w:sz w:val="24"/>
          <w:szCs w:val="24"/>
        </w:rPr>
        <w:t xml:space="preserve">in </w:t>
      </w:r>
      <w:proofErr w:type="spellStart"/>
      <w:r w:rsidRPr="00212B5E">
        <w:rPr>
          <w:i/>
          <w:iCs/>
          <w:sz w:val="24"/>
          <w:szCs w:val="24"/>
        </w:rPr>
        <w:t>vitro</w:t>
      </w:r>
      <w:proofErr w:type="spellEnd"/>
      <w:r w:rsidRPr="00212B5E">
        <w:rPr>
          <w:sz w:val="24"/>
          <w:szCs w:val="24"/>
        </w:rPr>
        <w:t xml:space="preserve">-hæmmer af </w:t>
      </w:r>
      <w:proofErr w:type="spellStart"/>
      <w:r w:rsidRPr="00212B5E">
        <w:rPr>
          <w:sz w:val="24"/>
          <w:szCs w:val="24"/>
        </w:rPr>
        <w:t>effluks</w:t>
      </w:r>
      <w:proofErr w:type="spellEnd"/>
      <w:r w:rsidRPr="00212B5E">
        <w:rPr>
          <w:sz w:val="24"/>
          <w:szCs w:val="24"/>
        </w:rPr>
        <w:t xml:space="preserve">-transportøren P-gp og den kliniske relevans af P-gp-hæmning i tarmkanalen kan ikke udelukkes. Samtidig administration af P-gp substratet </w:t>
      </w:r>
      <w:proofErr w:type="spellStart"/>
      <w:r w:rsidRPr="00212B5E">
        <w:rPr>
          <w:sz w:val="24"/>
          <w:szCs w:val="24"/>
        </w:rPr>
        <w:t>dabigatran</w:t>
      </w:r>
      <w:proofErr w:type="spellEnd"/>
      <w:r w:rsidRPr="00212B5E">
        <w:rPr>
          <w:sz w:val="24"/>
          <w:szCs w:val="24"/>
        </w:rPr>
        <w:t xml:space="preserve"> </w:t>
      </w:r>
      <w:proofErr w:type="spellStart"/>
      <w:r w:rsidRPr="00212B5E">
        <w:rPr>
          <w:sz w:val="24"/>
          <w:szCs w:val="24"/>
        </w:rPr>
        <w:t>etexilat</w:t>
      </w:r>
      <w:proofErr w:type="spellEnd"/>
      <w:r w:rsidRPr="00212B5E">
        <w:rPr>
          <w:sz w:val="24"/>
          <w:szCs w:val="24"/>
        </w:rPr>
        <w:t xml:space="preserve"> kan resultere i øget plasmakoncentrationer af </w:t>
      </w:r>
      <w:proofErr w:type="spellStart"/>
      <w:r w:rsidRPr="00212B5E">
        <w:rPr>
          <w:sz w:val="24"/>
          <w:szCs w:val="24"/>
        </w:rPr>
        <w:t>dabigatran</w:t>
      </w:r>
      <w:proofErr w:type="spellEnd"/>
      <w:r w:rsidRPr="00212B5E">
        <w:rPr>
          <w:sz w:val="24"/>
          <w:szCs w:val="24"/>
        </w:rPr>
        <w:t>.</w:t>
      </w:r>
    </w:p>
    <w:p w14:paraId="4F8B4DBE" w14:textId="77777777" w:rsidR="00314C3D" w:rsidRPr="00212B5E" w:rsidRDefault="00314C3D" w:rsidP="002836D2">
      <w:pPr>
        <w:ind w:left="851"/>
        <w:rPr>
          <w:sz w:val="24"/>
          <w:szCs w:val="24"/>
        </w:rPr>
      </w:pPr>
    </w:p>
    <w:p w14:paraId="2E325B60" w14:textId="77777777"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er en </w:t>
      </w:r>
      <w:r w:rsidRPr="00212B5E">
        <w:rPr>
          <w:i/>
          <w:iCs/>
          <w:sz w:val="24"/>
          <w:szCs w:val="24"/>
        </w:rPr>
        <w:t xml:space="preserve">in </w:t>
      </w:r>
      <w:proofErr w:type="spellStart"/>
      <w:r w:rsidRPr="00212B5E">
        <w:rPr>
          <w:i/>
          <w:iCs/>
          <w:sz w:val="24"/>
          <w:szCs w:val="24"/>
        </w:rPr>
        <w:t>vitro</w:t>
      </w:r>
      <w:proofErr w:type="spellEnd"/>
      <w:r w:rsidRPr="00212B5E">
        <w:rPr>
          <w:sz w:val="24"/>
          <w:szCs w:val="24"/>
        </w:rPr>
        <w:t xml:space="preserve">-hæmmer af </w:t>
      </w:r>
      <w:proofErr w:type="spellStart"/>
      <w:r w:rsidRPr="00212B5E">
        <w:rPr>
          <w:sz w:val="24"/>
          <w:szCs w:val="24"/>
        </w:rPr>
        <w:t>effluks</w:t>
      </w:r>
      <w:proofErr w:type="spellEnd"/>
      <w:r w:rsidRPr="00212B5E">
        <w:rPr>
          <w:sz w:val="24"/>
          <w:szCs w:val="24"/>
        </w:rPr>
        <w:t xml:space="preserve">-transportøren BCRP og den kliniske relevans af BCRP-hæmning i tarmkanalen kan ikke udelukkes. Samtidig administration af </w:t>
      </w:r>
      <w:proofErr w:type="gramStart"/>
      <w:r w:rsidRPr="00212B5E">
        <w:rPr>
          <w:sz w:val="24"/>
          <w:szCs w:val="24"/>
        </w:rPr>
        <w:t>BCRP substrater</w:t>
      </w:r>
      <w:proofErr w:type="gramEnd"/>
      <w:r w:rsidRPr="00212B5E">
        <w:rPr>
          <w:sz w:val="24"/>
          <w:szCs w:val="24"/>
        </w:rPr>
        <w:t xml:space="preserve"> kan resultere i øget plasmakoncentrationer af disse substrater.</w:t>
      </w:r>
    </w:p>
    <w:p w14:paraId="5CE8342F" w14:textId="77777777" w:rsidR="00314C3D" w:rsidRPr="00212B5E" w:rsidRDefault="00314C3D" w:rsidP="002836D2">
      <w:pPr>
        <w:ind w:left="851"/>
        <w:rPr>
          <w:sz w:val="24"/>
          <w:szCs w:val="24"/>
        </w:rPr>
      </w:pPr>
    </w:p>
    <w:p w14:paraId="5326E5C3" w14:textId="77777777" w:rsidR="00314C3D" w:rsidRPr="00212B5E" w:rsidRDefault="00314C3D" w:rsidP="002836D2">
      <w:pPr>
        <w:ind w:left="851"/>
        <w:rPr>
          <w:sz w:val="24"/>
          <w:szCs w:val="24"/>
        </w:rPr>
      </w:pPr>
      <w:r w:rsidRPr="00212B5E">
        <w:rPr>
          <w:sz w:val="24"/>
          <w:szCs w:val="24"/>
        </w:rPr>
        <w:t xml:space="preserve">Samtidig administration af </w:t>
      </w:r>
      <w:proofErr w:type="spellStart"/>
      <w:r w:rsidRPr="00212B5E">
        <w:rPr>
          <w:sz w:val="24"/>
          <w:szCs w:val="24"/>
        </w:rPr>
        <w:t>lurasidon</w:t>
      </w:r>
      <w:proofErr w:type="spellEnd"/>
      <w:r w:rsidRPr="00212B5E">
        <w:rPr>
          <w:sz w:val="24"/>
          <w:szCs w:val="24"/>
        </w:rPr>
        <w:t xml:space="preserve"> og </w:t>
      </w:r>
      <w:proofErr w:type="spellStart"/>
      <w:r w:rsidRPr="00212B5E">
        <w:rPr>
          <w:sz w:val="24"/>
          <w:szCs w:val="24"/>
        </w:rPr>
        <w:t>lithium</w:t>
      </w:r>
      <w:proofErr w:type="spellEnd"/>
      <w:r w:rsidRPr="00212B5E">
        <w:rPr>
          <w:sz w:val="24"/>
          <w:szCs w:val="24"/>
        </w:rPr>
        <w:t xml:space="preserve"> tydede på, at litium kun havde en klinisk ubetydelig indvirkning på </w:t>
      </w:r>
      <w:proofErr w:type="spellStart"/>
      <w:r w:rsidRPr="00212B5E">
        <w:rPr>
          <w:sz w:val="24"/>
          <w:szCs w:val="24"/>
        </w:rPr>
        <w:t>lurasidons</w:t>
      </w:r>
      <w:proofErr w:type="spellEnd"/>
      <w:r w:rsidRPr="00212B5E">
        <w:rPr>
          <w:sz w:val="24"/>
          <w:szCs w:val="24"/>
        </w:rPr>
        <w:t xml:space="preserve"> </w:t>
      </w:r>
      <w:proofErr w:type="spellStart"/>
      <w:r w:rsidRPr="00212B5E">
        <w:rPr>
          <w:sz w:val="24"/>
          <w:szCs w:val="24"/>
        </w:rPr>
        <w:t>farmakokinetiske</w:t>
      </w:r>
      <w:proofErr w:type="spellEnd"/>
      <w:r w:rsidRPr="00212B5E">
        <w:rPr>
          <w:sz w:val="24"/>
          <w:szCs w:val="24"/>
        </w:rPr>
        <w:t xml:space="preserve"> egenskaber, og derfor er en dosisjustering af </w:t>
      </w:r>
      <w:proofErr w:type="spellStart"/>
      <w:r w:rsidRPr="00212B5E">
        <w:rPr>
          <w:sz w:val="24"/>
          <w:szCs w:val="24"/>
        </w:rPr>
        <w:t>lurasidon</w:t>
      </w:r>
      <w:proofErr w:type="spellEnd"/>
      <w:r w:rsidRPr="00212B5E">
        <w:rPr>
          <w:sz w:val="24"/>
          <w:szCs w:val="24"/>
        </w:rPr>
        <w:t xml:space="preserve"> ikke nødvendig, når det administreres samtidig med litium. </w:t>
      </w:r>
      <w:proofErr w:type="spellStart"/>
      <w:r w:rsidRPr="00212B5E">
        <w:rPr>
          <w:sz w:val="24"/>
          <w:szCs w:val="24"/>
        </w:rPr>
        <w:t>Lurasidon</w:t>
      </w:r>
      <w:proofErr w:type="spellEnd"/>
      <w:r w:rsidRPr="00212B5E">
        <w:rPr>
          <w:sz w:val="24"/>
          <w:szCs w:val="24"/>
        </w:rPr>
        <w:t xml:space="preserve"> påvirker ikke koncentrationerne af litium.</w:t>
      </w:r>
    </w:p>
    <w:p w14:paraId="164938E4" w14:textId="77777777" w:rsidR="00314C3D" w:rsidRPr="00212B5E" w:rsidRDefault="00314C3D" w:rsidP="002836D2">
      <w:pPr>
        <w:ind w:left="851"/>
        <w:rPr>
          <w:sz w:val="24"/>
          <w:szCs w:val="24"/>
        </w:rPr>
      </w:pPr>
    </w:p>
    <w:p w14:paraId="4988963C" w14:textId="14F489BD" w:rsidR="00314C3D" w:rsidRPr="00212B5E" w:rsidRDefault="00314C3D" w:rsidP="002836D2">
      <w:pPr>
        <w:ind w:left="851"/>
        <w:rPr>
          <w:sz w:val="24"/>
          <w:szCs w:val="24"/>
        </w:rPr>
      </w:pPr>
      <w:r w:rsidRPr="00212B5E">
        <w:rPr>
          <w:sz w:val="24"/>
          <w:szCs w:val="24"/>
        </w:rPr>
        <w:t xml:space="preserve">En klinisk undersøgelse af lægemiddelinteraktionen, der skulle undersøge virkningen ved samtidig administration af </w:t>
      </w:r>
      <w:proofErr w:type="spellStart"/>
      <w:r w:rsidRPr="00212B5E">
        <w:rPr>
          <w:sz w:val="24"/>
          <w:szCs w:val="24"/>
        </w:rPr>
        <w:t>lurasidon</w:t>
      </w:r>
      <w:proofErr w:type="spellEnd"/>
      <w:r w:rsidRPr="00212B5E">
        <w:rPr>
          <w:sz w:val="24"/>
          <w:szCs w:val="24"/>
        </w:rPr>
        <w:t xml:space="preserve"> hos patienter, der tager orale kombinations</w:t>
      </w:r>
      <w:r w:rsidR="009A43A5">
        <w:rPr>
          <w:sz w:val="24"/>
          <w:szCs w:val="24"/>
        </w:rPr>
        <w:softHyphen/>
      </w:r>
      <w:r w:rsidRPr="00212B5E">
        <w:rPr>
          <w:sz w:val="24"/>
          <w:szCs w:val="24"/>
        </w:rPr>
        <w:t>præventionsmidler, herunder</w:t>
      </w:r>
      <w:r w:rsidR="009A43A5">
        <w:rPr>
          <w:sz w:val="24"/>
          <w:szCs w:val="24"/>
        </w:rPr>
        <w:t xml:space="preserve"> </w:t>
      </w:r>
      <w:proofErr w:type="spellStart"/>
      <w:r w:rsidRPr="00212B5E">
        <w:rPr>
          <w:sz w:val="24"/>
          <w:szCs w:val="24"/>
        </w:rPr>
        <w:t>norgestimat</w:t>
      </w:r>
      <w:proofErr w:type="spellEnd"/>
      <w:r w:rsidRPr="00212B5E">
        <w:rPr>
          <w:sz w:val="24"/>
          <w:szCs w:val="24"/>
        </w:rPr>
        <w:t xml:space="preserve"> og </w:t>
      </w:r>
      <w:proofErr w:type="spellStart"/>
      <w:r w:rsidRPr="00212B5E">
        <w:rPr>
          <w:sz w:val="24"/>
          <w:szCs w:val="24"/>
        </w:rPr>
        <w:t>ethinyl-estradiol</w:t>
      </w:r>
      <w:proofErr w:type="spellEnd"/>
      <w:r w:rsidRPr="00212B5E">
        <w:rPr>
          <w:sz w:val="24"/>
          <w:szCs w:val="24"/>
        </w:rPr>
        <w:t xml:space="preserve">, tydede på, at </w:t>
      </w:r>
      <w:proofErr w:type="spellStart"/>
      <w:r w:rsidRPr="00212B5E">
        <w:rPr>
          <w:sz w:val="24"/>
          <w:szCs w:val="24"/>
        </w:rPr>
        <w:t>lurasidon</w:t>
      </w:r>
      <w:proofErr w:type="spellEnd"/>
      <w:r w:rsidRPr="00212B5E">
        <w:rPr>
          <w:sz w:val="24"/>
          <w:szCs w:val="24"/>
        </w:rPr>
        <w:t xml:space="preserve"> ikke havde nogen klinisk eller statistisk signifikant virkning på farmakokinetikken fra præventionsmidlet eller kønshormonbindende </w:t>
      </w:r>
      <w:proofErr w:type="spellStart"/>
      <w:r w:rsidRPr="00212B5E">
        <w:rPr>
          <w:sz w:val="24"/>
          <w:szCs w:val="24"/>
        </w:rPr>
        <w:t>globulinniveauer</w:t>
      </w:r>
      <w:proofErr w:type="spellEnd"/>
      <w:r w:rsidRPr="00212B5E">
        <w:rPr>
          <w:sz w:val="24"/>
          <w:szCs w:val="24"/>
        </w:rPr>
        <w:t xml:space="preserve"> (SHBG). Derfor kan </w:t>
      </w:r>
      <w:proofErr w:type="spellStart"/>
      <w:r w:rsidRPr="00212B5E">
        <w:rPr>
          <w:sz w:val="24"/>
          <w:szCs w:val="24"/>
        </w:rPr>
        <w:t>lurasidon</w:t>
      </w:r>
      <w:proofErr w:type="spellEnd"/>
      <w:r w:rsidRPr="00212B5E">
        <w:rPr>
          <w:sz w:val="24"/>
          <w:szCs w:val="24"/>
        </w:rPr>
        <w:t xml:space="preserve"> administreres samtidig med orale præventionsmidler.</w:t>
      </w:r>
    </w:p>
    <w:p w14:paraId="20EAC3AC" w14:textId="77777777" w:rsidR="009260DE" w:rsidRPr="00212B5E" w:rsidRDefault="009260DE" w:rsidP="009260DE">
      <w:pPr>
        <w:tabs>
          <w:tab w:val="left" w:pos="851"/>
        </w:tabs>
        <w:ind w:left="851"/>
        <w:rPr>
          <w:sz w:val="24"/>
          <w:szCs w:val="24"/>
        </w:rPr>
      </w:pPr>
    </w:p>
    <w:p w14:paraId="69615CCC" w14:textId="77777777" w:rsidR="009260DE" w:rsidRPr="00212B5E" w:rsidRDefault="009260DE" w:rsidP="009260DE">
      <w:pPr>
        <w:tabs>
          <w:tab w:val="left" w:pos="851"/>
        </w:tabs>
        <w:ind w:left="851" w:hanging="851"/>
        <w:rPr>
          <w:b/>
          <w:sz w:val="24"/>
          <w:szCs w:val="24"/>
        </w:rPr>
      </w:pPr>
      <w:r w:rsidRPr="00212B5E">
        <w:rPr>
          <w:b/>
          <w:sz w:val="24"/>
          <w:szCs w:val="24"/>
        </w:rPr>
        <w:t>4.6</w:t>
      </w:r>
      <w:r w:rsidRPr="00212B5E">
        <w:rPr>
          <w:b/>
          <w:sz w:val="24"/>
          <w:szCs w:val="24"/>
        </w:rPr>
        <w:tab/>
      </w:r>
      <w:r w:rsidR="0071241E" w:rsidRPr="00212B5E">
        <w:rPr>
          <w:b/>
          <w:sz w:val="24"/>
          <w:szCs w:val="24"/>
        </w:rPr>
        <w:t>Fertilitet, g</w:t>
      </w:r>
      <w:r w:rsidRPr="00212B5E">
        <w:rPr>
          <w:b/>
          <w:sz w:val="24"/>
          <w:szCs w:val="24"/>
        </w:rPr>
        <w:t>raviditet og amning</w:t>
      </w:r>
    </w:p>
    <w:p w14:paraId="57D1A427" w14:textId="77777777" w:rsidR="009E6DD9" w:rsidRDefault="009E6DD9" w:rsidP="002836D2">
      <w:pPr>
        <w:ind w:left="851"/>
        <w:rPr>
          <w:sz w:val="24"/>
          <w:szCs w:val="24"/>
        </w:rPr>
      </w:pPr>
    </w:p>
    <w:p w14:paraId="75A666FD" w14:textId="6895D9CE" w:rsidR="00314C3D" w:rsidRPr="009E6DD9" w:rsidRDefault="00314C3D" w:rsidP="002836D2">
      <w:pPr>
        <w:ind w:left="851"/>
        <w:rPr>
          <w:sz w:val="24"/>
          <w:szCs w:val="24"/>
          <w:u w:val="single"/>
          <w:lang w:eastAsia="da-DK"/>
        </w:rPr>
      </w:pPr>
      <w:r w:rsidRPr="009E6DD9">
        <w:rPr>
          <w:sz w:val="24"/>
          <w:szCs w:val="24"/>
          <w:u w:val="single"/>
        </w:rPr>
        <w:t>Graviditet</w:t>
      </w:r>
    </w:p>
    <w:p w14:paraId="0BC9EF0D" w14:textId="77777777" w:rsidR="00314C3D" w:rsidRPr="00212B5E" w:rsidRDefault="00314C3D" w:rsidP="002836D2">
      <w:pPr>
        <w:ind w:left="851"/>
        <w:rPr>
          <w:sz w:val="24"/>
          <w:szCs w:val="24"/>
        </w:rPr>
      </w:pPr>
    </w:p>
    <w:p w14:paraId="42F6779D" w14:textId="4E8C99E7" w:rsidR="00314C3D" w:rsidRPr="00212B5E" w:rsidRDefault="00314C3D" w:rsidP="002836D2">
      <w:pPr>
        <w:ind w:left="851"/>
        <w:rPr>
          <w:sz w:val="24"/>
          <w:szCs w:val="24"/>
        </w:rPr>
      </w:pPr>
      <w:r w:rsidRPr="00212B5E">
        <w:rPr>
          <w:sz w:val="24"/>
          <w:szCs w:val="24"/>
        </w:rPr>
        <w:t>Der er ingen eller utilstrækkelige data (mindre end 300 gravide forsøgspersoner) fra anvendelse af</w:t>
      </w:r>
      <w:r w:rsidR="009E6DD9">
        <w:rPr>
          <w:sz w:val="24"/>
          <w:szCs w:val="24"/>
        </w:rPr>
        <w:t xml:space="preserve"> </w:t>
      </w:r>
      <w:proofErr w:type="spellStart"/>
      <w:r w:rsidRPr="00212B5E">
        <w:rPr>
          <w:sz w:val="24"/>
          <w:szCs w:val="24"/>
        </w:rPr>
        <w:t>lurasidon</w:t>
      </w:r>
      <w:proofErr w:type="spellEnd"/>
      <w:r w:rsidRPr="00212B5E">
        <w:rPr>
          <w:sz w:val="24"/>
          <w:szCs w:val="24"/>
        </w:rPr>
        <w:t xml:space="preserve"> til gravide kvinder. Data fra dyreforsøg er utilstrækkelige hvad angår reproduktionstoksicitet (se pkt. 5.3). Den potentielle risiko for mennesker er ukendt. </w:t>
      </w:r>
      <w:proofErr w:type="spellStart"/>
      <w:r w:rsidRPr="00212B5E">
        <w:rPr>
          <w:sz w:val="24"/>
          <w:szCs w:val="24"/>
        </w:rPr>
        <w:t>Lurasidon</w:t>
      </w:r>
      <w:proofErr w:type="spellEnd"/>
      <w:r w:rsidRPr="00212B5E">
        <w:rPr>
          <w:sz w:val="24"/>
          <w:szCs w:val="24"/>
        </w:rPr>
        <w:t xml:space="preserve"> bør ikke anvendes under graviditeten, medmindre kvindens kliniske tilstand kræver behandling med </w:t>
      </w:r>
      <w:proofErr w:type="spellStart"/>
      <w:r w:rsidRPr="00212B5E">
        <w:rPr>
          <w:sz w:val="24"/>
          <w:szCs w:val="24"/>
        </w:rPr>
        <w:t>lurasidon</w:t>
      </w:r>
      <w:proofErr w:type="spellEnd"/>
      <w:r w:rsidRPr="00212B5E">
        <w:rPr>
          <w:sz w:val="24"/>
          <w:szCs w:val="24"/>
        </w:rPr>
        <w:t>.</w:t>
      </w:r>
    </w:p>
    <w:p w14:paraId="0457A76B" w14:textId="77777777" w:rsidR="00314C3D" w:rsidRPr="00212B5E" w:rsidRDefault="00314C3D" w:rsidP="002836D2">
      <w:pPr>
        <w:ind w:left="851"/>
        <w:rPr>
          <w:sz w:val="24"/>
          <w:szCs w:val="24"/>
        </w:rPr>
      </w:pPr>
    </w:p>
    <w:p w14:paraId="18B9C2B7" w14:textId="77D831FD" w:rsidR="00314C3D" w:rsidRPr="00212B5E" w:rsidRDefault="00314C3D" w:rsidP="002836D2">
      <w:pPr>
        <w:ind w:left="851"/>
        <w:rPr>
          <w:sz w:val="24"/>
          <w:szCs w:val="24"/>
        </w:rPr>
      </w:pPr>
      <w:r w:rsidRPr="00212B5E">
        <w:rPr>
          <w:sz w:val="24"/>
          <w:szCs w:val="24"/>
        </w:rPr>
        <w:t xml:space="preserve">Nyfødte, der har været udsat for antipsykotiske lægemidler (herunder </w:t>
      </w:r>
      <w:proofErr w:type="spellStart"/>
      <w:r w:rsidRPr="00212B5E">
        <w:rPr>
          <w:sz w:val="24"/>
          <w:szCs w:val="24"/>
        </w:rPr>
        <w:t>lurasidon</w:t>
      </w:r>
      <w:proofErr w:type="spellEnd"/>
      <w:r w:rsidRPr="00212B5E">
        <w:rPr>
          <w:sz w:val="24"/>
          <w:szCs w:val="24"/>
        </w:rPr>
        <w:t>) i løbet af det tredje</w:t>
      </w:r>
      <w:r w:rsidR="009E6DD9">
        <w:rPr>
          <w:sz w:val="24"/>
          <w:szCs w:val="24"/>
        </w:rPr>
        <w:t xml:space="preserve"> </w:t>
      </w:r>
      <w:r w:rsidRPr="00212B5E">
        <w:rPr>
          <w:sz w:val="24"/>
          <w:szCs w:val="24"/>
        </w:rPr>
        <w:t>trimester har en øget risiko for bivirkninger efter fødslen, herunder ekstrapyramidale og/eller</w:t>
      </w:r>
      <w:r w:rsidR="009E6DD9">
        <w:rPr>
          <w:sz w:val="24"/>
          <w:szCs w:val="24"/>
        </w:rPr>
        <w:t xml:space="preserve"> </w:t>
      </w:r>
      <w:r w:rsidRPr="00212B5E">
        <w:rPr>
          <w:sz w:val="24"/>
          <w:szCs w:val="24"/>
        </w:rPr>
        <w:t>abstinenssymptomer, som kan variere i sværhedsgrad og varighed. Der er blevet rapporteret om</w:t>
      </w:r>
      <w:r w:rsidR="009E6DD9">
        <w:rPr>
          <w:sz w:val="24"/>
          <w:szCs w:val="24"/>
        </w:rPr>
        <w:t xml:space="preserve"> </w:t>
      </w:r>
      <w:r w:rsidRPr="00212B5E">
        <w:rPr>
          <w:sz w:val="24"/>
          <w:szCs w:val="24"/>
        </w:rPr>
        <w:t xml:space="preserve">ophidselse, </w:t>
      </w:r>
      <w:proofErr w:type="spellStart"/>
      <w:r w:rsidRPr="00212B5E">
        <w:rPr>
          <w:sz w:val="24"/>
          <w:szCs w:val="24"/>
        </w:rPr>
        <w:t>hypertoni</w:t>
      </w:r>
      <w:proofErr w:type="spellEnd"/>
      <w:r w:rsidRPr="00212B5E">
        <w:rPr>
          <w:sz w:val="24"/>
          <w:szCs w:val="24"/>
        </w:rPr>
        <w:t xml:space="preserve">, </w:t>
      </w:r>
      <w:proofErr w:type="spellStart"/>
      <w:r w:rsidRPr="00212B5E">
        <w:rPr>
          <w:sz w:val="24"/>
          <w:szCs w:val="24"/>
        </w:rPr>
        <w:t>hypotoni</w:t>
      </w:r>
      <w:proofErr w:type="spellEnd"/>
      <w:r w:rsidRPr="00212B5E">
        <w:rPr>
          <w:sz w:val="24"/>
          <w:szCs w:val="24"/>
        </w:rPr>
        <w:t xml:space="preserve">, </w:t>
      </w:r>
      <w:proofErr w:type="spellStart"/>
      <w:r w:rsidRPr="00212B5E">
        <w:rPr>
          <w:sz w:val="24"/>
          <w:szCs w:val="24"/>
        </w:rPr>
        <w:t>tremor</w:t>
      </w:r>
      <w:proofErr w:type="spellEnd"/>
      <w:r w:rsidRPr="00212B5E">
        <w:rPr>
          <w:sz w:val="24"/>
          <w:szCs w:val="24"/>
        </w:rPr>
        <w:t xml:space="preserve">, </w:t>
      </w:r>
      <w:proofErr w:type="spellStart"/>
      <w:r w:rsidRPr="00212B5E">
        <w:rPr>
          <w:sz w:val="24"/>
          <w:szCs w:val="24"/>
        </w:rPr>
        <w:t>somnolens</w:t>
      </w:r>
      <w:proofErr w:type="spellEnd"/>
      <w:r w:rsidRPr="00212B5E">
        <w:rPr>
          <w:sz w:val="24"/>
          <w:szCs w:val="24"/>
        </w:rPr>
        <w:t>, åndedrætsbesvær eller spiseforstyrrelse. Derfor</w:t>
      </w:r>
      <w:r w:rsidR="009E6DD9">
        <w:rPr>
          <w:sz w:val="24"/>
          <w:szCs w:val="24"/>
        </w:rPr>
        <w:t xml:space="preserve"> </w:t>
      </w:r>
      <w:r w:rsidRPr="00212B5E">
        <w:rPr>
          <w:sz w:val="24"/>
          <w:szCs w:val="24"/>
        </w:rPr>
        <w:t>skal spædbørn overvåges omhyggeligt.</w:t>
      </w:r>
    </w:p>
    <w:p w14:paraId="296FACB1" w14:textId="77777777" w:rsidR="00314C3D" w:rsidRPr="00212B5E" w:rsidRDefault="00314C3D" w:rsidP="002836D2">
      <w:pPr>
        <w:ind w:left="851"/>
        <w:rPr>
          <w:sz w:val="24"/>
          <w:szCs w:val="24"/>
        </w:rPr>
      </w:pPr>
    </w:p>
    <w:p w14:paraId="3C40BD58" w14:textId="77777777" w:rsidR="00314C3D" w:rsidRPr="009E6DD9" w:rsidRDefault="00314C3D" w:rsidP="002836D2">
      <w:pPr>
        <w:ind w:left="851"/>
        <w:rPr>
          <w:sz w:val="24"/>
          <w:szCs w:val="24"/>
          <w:u w:val="single"/>
        </w:rPr>
      </w:pPr>
      <w:r w:rsidRPr="009E6DD9">
        <w:rPr>
          <w:sz w:val="24"/>
          <w:szCs w:val="24"/>
          <w:u w:val="single"/>
        </w:rPr>
        <w:t>Amning</w:t>
      </w:r>
    </w:p>
    <w:p w14:paraId="1AACB7E8" w14:textId="77777777" w:rsidR="00314C3D" w:rsidRPr="00212B5E" w:rsidRDefault="00314C3D" w:rsidP="002836D2">
      <w:pPr>
        <w:ind w:left="851"/>
        <w:rPr>
          <w:sz w:val="24"/>
          <w:szCs w:val="24"/>
        </w:rPr>
      </w:pPr>
    </w:p>
    <w:p w14:paraId="0594E4F8" w14:textId="4FE6FD51"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udskilles i mælk hos diegivende rotter (se pkt. 5.3). Det er ukendt, om </w:t>
      </w:r>
      <w:proofErr w:type="spellStart"/>
      <w:r w:rsidRPr="00212B5E">
        <w:rPr>
          <w:sz w:val="24"/>
          <w:szCs w:val="24"/>
        </w:rPr>
        <w:t>lurasidon</w:t>
      </w:r>
      <w:proofErr w:type="spellEnd"/>
      <w:r w:rsidRPr="00212B5E">
        <w:rPr>
          <w:sz w:val="24"/>
          <w:szCs w:val="24"/>
        </w:rPr>
        <w:t xml:space="preserve">/metabolitter udskilles i human mælk. Kvinder, der tager </w:t>
      </w:r>
      <w:proofErr w:type="spellStart"/>
      <w:r w:rsidRPr="00212B5E">
        <w:rPr>
          <w:sz w:val="24"/>
          <w:szCs w:val="24"/>
        </w:rPr>
        <w:t>lurasidon</w:t>
      </w:r>
      <w:proofErr w:type="spellEnd"/>
      <w:r w:rsidRPr="00212B5E">
        <w:rPr>
          <w:sz w:val="24"/>
          <w:szCs w:val="24"/>
        </w:rPr>
        <w:t>, bør kun amme, hvis de</w:t>
      </w:r>
      <w:r w:rsidR="009E6DD9">
        <w:rPr>
          <w:sz w:val="24"/>
          <w:szCs w:val="24"/>
        </w:rPr>
        <w:t xml:space="preserve"> </w:t>
      </w:r>
      <w:r w:rsidRPr="00212B5E">
        <w:rPr>
          <w:sz w:val="24"/>
          <w:szCs w:val="24"/>
        </w:rPr>
        <w:t>potentielle fordele ved behandlingen, opvejer den potentielle risiko for det ammede barn.</w:t>
      </w:r>
    </w:p>
    <w:p w14:paraId="3C20BF82" w14:textId="77777777" w:rsidR="00314C3D" w:rsidRPr="00212B5E" w:rsidRDefault="00314C3D" w:rsidP="002836D2">
      <w:pPr>
        <w:ind w:left="851"/>
        <w:rPr>
          <w:sz w:val="24"/>
          <w:szCs w:val="24"/>
        </w:rPr>
      </w:pPr>
    </w:p>
    <w:p w14:paraId="4F5FA7A8" w14:textId="77777777" w:rsidR="00314C3D" w:rsidRPr="009E6DD9" w:rsidRDefault="00314C3D" w:rsidP="002836D2">
      <w:pPr>
        <w:ind w:left="851"/>
        <w:rPr>
          <w:sz w:val="24"/>
          <w:szCs w:val="24"/>
          <w:u w:val="single"/>
        </w:rPr>
      </w:pPr>
      <w:r w:rsidRPr="009E6DD9">
        <w:rPr>
          <w:sz w:val="24"/>
          <w:szCs w:val="24"/>
          <w:u w:val="single"/>
        </w:rPr>
        <w:t>Fertilitet</w:t>
      </w:r>
    </w:p>
    <w:p w14:paraId="23AFB22C" w14:textId="77777777" w:rsidR="00314C3D" w:rsidRPr="00212B5E" w:rsidRDefault="00314C3D" w:rsidP="002836D2">
      <w:pPr>
        <w:ind w:left="851"/>
        <w:rPr>
          <w:sz w:val="24"/>
          <w:szCs w:val="24"/>
        </w:rPr>
      </w:pPr>
    </w:p>
    <w:p w14:paraId="2653092B" w14:textId="77777777" w:rsidR="00314C3D" w:rsidRPr="00212B5E" w:rsidRDefault="00314C3D" w:rsidP="002836D2">
      <w:pPr>
        <w:ind w:left="851"/>
        <w:rPr>
          <w:sz w:val="24"/>
          <w:szCs w:val="24"/>
        </w:rPr>
      </w:pPr>
      <w:r w:rsidRPr="00212B5E">
        <w:rPr>
          <w:sz w:val="24"/>
          <w:szCs w:val="24"/>
        </w:rPr>
        <w:t xml:space="preserve">Dyreforsøg har vist tegn på påvirkning af fertiliteten, der især var forbundet med </w:t>
      </w:r>
      <w:proofErr w:type="spellStart"/>
      <w:r w:rsidRPr="00212B5E">
        <w:rPr>
          <w:sz w:val="24"/>
          <w:szCs w:val="24"/>
        </w:rPr>
        <w:t>prolaktinstigningen</w:t>
      </w:r>
      <w:proofErr w:type="spellEnd"/>
      <w:r w:rsidRPr="00212B5E">
        <w:rPr>
          <w:sz w:val="24"/>
          <w:szCs w:val="24"/>
        </w:rPr>
        <w:t>, og som ikke anses for at være relevant for den menneskelige reproduktion (se pkt. 5.3).</w:t>
      </w:r>
    </w:p>
    <w:p w14:paraId="310216C0" w14:textId="77777777" w:rsidR="009260DE" w:rsidRPr="00212B5E" w:rsidRDefault="009260DE" w:rsidP="009260DE">
      <w:pPr>
        <w:tabs>
          <w:tab w:val="left" w:pos="851"/>
        </w:tabs>
        <w:ind w:left="851"/>
        <w:rPr>
          <w:sz w:val="24"/>
          <w:szCs w:val="24"/>
        </w:rPr>
      </w:pPr>
    </w:p>
    <w:p w14:paraId="382F8071" w14:textId="77777777" w:rsidR="009260DE" w:rsidRPr="00212B5E" w:rsidRDefault="009260DE" w:rsidP="009260DE">
      <w:pPr>
        <w:tabs>
          <w:tab w:val="left" w:pos="851"/>
        </w:tabs>
        <w:ind w:left="851" w:hanging="851"/>
        <w:rPr>
          <w:b/>
          <w:sz w:val="24"/>
          <w:szCs w:val="24"/>
        </w:rPr>
      </w:pPr>
      <w:r w:rsidRPr="00212B5E">
        <w:rPr>
          <w:b/>
          <w:sz w:val="24"/>
          <w:szCs w:val="24"/>
        </w:rPr>
        <w:t>4.7</w:t>
      </w:r>
      <w:r w:rsidRPr="00212B5E">
        <w:rPr>
          <w:b/>
          <w:sz w:val="24"/>
          <w:szCs w:val="24"/>
        </w:rPr>
        <w:tab/>
        <w:t xml:space="preserve">Virkning på evnen til at føre motorkøretøj </w:t>
      </w:r>
      <w:r w:rsidR="0071241E" w:rsidRPr="00212B5E">
        <w:rPr>
          <w:b/>
          <w:sz w:val="24"/>
          <w:szCs w:val="24"/>
        </w:rPr>
        <w:t>og</w:t>
      </w:r>
      <w:r w:rsidRPr="00212B5E">
        <w:rPr>
          <w:b/>
          <w:sz w:val="24"/>
          <w:szCs w:val="24"/>
        </w:rPr>
        <w:t xml:space="preserve"> betjene maskiner</w:t>
      </w:r>
    </w:p>
    <w:p w14:paraId="67BF5053" w14:textId="77777777" w:rsidR="00314C3D" w:rsidRPr="00212B5E" w:rsidRDefault="00314C3D" w:rsidP="002836D2">
      <w:pPr>
        <w:ind w:left="851"/>
        <w:rPr>
          <w:sz w:val="24"/>
          <w:szCs w:val="24"/>
          <w:lang w:eastAsia="da-DK"/>
        </w:rPr>
      </w:pPr>
      <w:r w:rsidRPr="00212B5E">
        <w:rPr>
          <w:sz w:val="24"/>
          <w:szCs w:val="24"/>
        </w:rPr>
        <w:t>Ikke mærkning.</w:t>
      </w:r>
    </w:p>
    <w:p w14:paraId="31796ADA" w14:textId="77777777" w:rsidR="00314C3D" w:rsidRPr="00212B5E" w:rsidRDefault="00314C3D" w:rsidP="002836D2">
      <w:pPr>
        <w:ind w:left="851"/>
        <w:rPr>
          <w:sz w:val="24"/>
          <w:szCs w:val="24"/>
        </w:rPr>
      </w:pPr>
      <w:proofErr w:type="spellStart"/>
      <w:r w:rsidRPr="00212B5E">
        <w:rPr>
          <w:sz w:val="24"/>
          <w:szCs w:val="24"/>
        </w:rPr>
        <w:t>Lurasidon</w:t>
      </w:r>
      <w:proofErr w:type="spellEnd"/>
      <w:r w:rsidRPr="00212B5E">
        <w:rPr>
          <w:sz w:val="24"/>
          <w:szCs w:val="24"/>
        </w:rPr>
        <w:t xml:space="preserve"> påvirker i mindre grad evnen til at føre motorkøretøj og betjene maskiner. Patienterne bør dog advares mod at betjene farlige maskiner og føre motorkøretøj og cykler, indtil man er sikker på, hvordan </w:t>
      </w:r>
      <w:proofErr w:type="spellStart"/>
      <w:r w:rsidRPr="00212B5E">
        <w:rPr>
          <w:sz w:val="24"/>
          <w:szCs w:val="24"/>
        </w:rPr>
        <w:t>lurasidon</w:t>
      </w:r>
      <w:proofErr w:type="spellEnd"/>
      <w:r w:rsidRPr="00212B5E">
        <w:rPr>
          <w:sz w:val="24"/>
          <w:szCs w:val="24"/>
        </w:rPr>
        <w:t xml:space="preserve"> påvirker patienten (se pkt. 4.8). Når det gælder færdselssikkerhed, kan unge, som måske ikke er gamle nok til at køre bil, alligevel cykle.</w:t>
      </w:r>
    </w:p>
    <w:p w14:paraId="1039DBF8" w14:textId="77777777" w:rsidR="009260DE" w:rsidRPr="00212B5E" w:rsidRDefault="009260DE" w:rsidP="009260DE">
      <w:pPr>
        <w:tabs>
          <w:tab w:val="left" w:pos="851"/>
        </w:tabs>
        <w:ind w:left="851"/>
        <w:rPr>
          <w:sz w:val="24"/>
          <w:szCs w:val="24"/>
        </w:rPr>
      </w:pPr>
    </w:p>
    <w:p w14:paraId="16B868AD" w14:textId="77777777" w:rsidR="009260DE" w:rsidRPr="00212B5E" w:rsidRDefault="009260DE" w:rsidP="009260DE">
      <w:pPr>
        <w:tabs>
          <w:tab w:val="left" w:pos="851"/>
        </w:tabs>
        <w:ind w:left="851" w:hanging="851"/>
        <w:rPr>
          <w:b/>
          <w:sz w:val="24"/>
          <w:szCs w:val="24"/>
        </w:rPr>
      </w:pPr>
      <w:r w:rsidRPr="00212B5E">
        <w:rPr>
          <w:b/>
          <w:sz w:val="24"/>
          <w:szCs w:val="24"/>
        </w:rPr>
        <w:t>4.8</w:t>
      </w:r>
      <w:r w:rsidRPr="00212B5E">
        <w:rPr>
          <w:b/>
          <w:sz w:val="24"/>
          <w:szCs w:val="24"/>
        </w:rPr>
        <w:tab/>
        <w:t>Bivirkninger</w:t>
      </w:r>
    </w:p>
    <w:p w14:paraId="49C3F2C7" w14:textId="77777777" w:rsidR="001C15F0" w:rsidRDefault="001C15F0" w:rsidP="002836D2">
      <w:pPr>
        <w:ind w:left="851"/>
        <w:rPr>
          <w:sz w:val="24"/>
          <w:szCs w:val="24"/>
        </w:rPr>
      </w:pPr>
    </w:p>
    <w:p w14:paraId="5E32F967" w14:textId="4C5A92F1" w:rsidR="00314C3D" w:rsidRPr="001C15F0" w:rsidRDefault="00314C3D" w:rsidP="002836D2">
      <w:pPr>
        <w:ind w:left="851"/>
        <w:rPr>
          <w:sz w:val="24"/>
          <w:szCs w:val="24"/>
          <w:u w:val="single"/>
          <w:lang w:eastAsia="da-DK"/>
        </w:rPr>
      </w:pPr>
      <w:r w:rsidRPr="001C15F0">
        <w:rPr>
          <w:sz w:val="24"/>
          <w:szCs w:val="24"/>
          <w:u w:val="single"/>
        </w:rPr>
        <w:t>Resumé af sikkerhedsprofilen</w:t>
      </w:r>
    </w:p>
    <w:p w14:paraId="6496E00C" w14:textId="77777777" w:rsidR="00314C3D" w:rsidRPr="00212B5E" w:rsidRDefault="00314C3D" w:rsidP="002836D2">
      <w:pPr>
        <w:ind w:left="851"/>
        <w:rPr>
          <w:sz w:val="24"/>
          <w:szCs w:val="24"/>
        </w:rPr>
      </w:pPr>
    </w:p>
    <w:p w14:paraId="0B1E2153" w14:textId="77777777" w:rsidR="00314C3D" w:rsidRPr="00212B5E" w:rsidRDefault="00314C3D" w:rsidP="002836D2">
      <w:pPr>
        <w:ind w:left="851"/>
        <w:rPr>
          <w:sz w:val="24"/>
          <w:szCs w:val="24"/>
        </w:rPr>
      </w:pPr>
      <w:r w:rsidRPr="00212B5E">
        <w:rPr>
          <w:sz w:val="24"/>
          <w:szCs w:val="24"/>
        </w:rPr>
        <w:t xml:space="preserve">Sikkerheden af </w:t>
      </w:r>
      <w:proofErr w:type="spellStart"/>
      <w:r w:rsidRPr="00212B5E">
        <w:rPr>
          <w:sz w:val="24"/>
          <w:szCs w:val="24"/>
        </w:rPr>
        <w:t>lurasidon</w:t>
      </w:r>
      <w:proofErr w:type="spellEnd"/>
      <w:r w:rsidRPr="00212B5E">
        <w:rPr>
          <w:sz w:val="24"/>
          <w:szCs w:val="24"/>
        </w:rPr>
        <w:t xml:space="preserve"> er blevet evalueret ved doser på 18,5-148 mg i kliniske studier med patienter med skizofreni, som blev behandlet i op til 52 uger og efter markedsføring. De mest almindelige bivirkninger (≥ 10 %) var </w:t>
      </w:r>
      <w:proofErr w:type="spellStart"/>
      <w:r w:rsidRPr="00212B5E">
        <w:rPr>
          <w:sz w:val="24"/>
          <w:szCs w:val="24"/>
        </w:rPr>
        <w:t>akatisi</w:t>
      </w:r>
      <w:proofErr w:type="spellEnd"/>
      <w:r w:rsidRPr="00212B5E">
        <w:rPr>
          <w:sz w:val="24"/>
          <w:szCs w:val="24"/>
        </w:rPr>
        <w:t>, kvalme og søvnløshed.</w:t>
      </w:r>
    </w:p>
    <w:p w14:paraId="1DF13563" w14:textId="77777777" w:rsidR="00314C3D" w:rsidRPr="00212B5E" w:rsidRDefault="00314C3D" w:rsidP="002836D2">
      <w:pPr>
        <w:ind w:left="851"/>
        <w:rPr>
          <w:sz w:val="24"/>
          <w:szCs w:val="24"/>
        </w:rPr>
      </w:pPr>
    </w:p>
    <w:p w14:paraId="4999CE56" w14:textId="77777777" w:rsidR="00314C3D" w:rsidRPr="001C15F0" w:rsidRDefault="00314C3D" w:rsidP="002836D2">
      <w:pPr>
        <w:ind w:left="851"/>
        <w:rPr>
          <w:sz w:val="24"/>
          <w:szCs w:val="24"/>
          <w:u w:val="single"/>
        </w:rPr>
      </w:pPr>
      <w:r w:rsidRPr="001C15F0">
        <w:rPr>
          <w:sz w:val="24"/>
          <w:szCs w:val="24"/>
          <w:u w:val="single"/>
        </w:rPr>
        <w:t>Sammendrag af bivirkninger i tabelform</w:t>
      </w:r>
    </w:p>
    <w:p w14:paraId="2C8D9C00" w14:textId="77777777" w:rsidR="00314C3D" w:rsidRPr="00212B5E" w:rsidRDefault="00314C3D" w:rsidP="002836D2">
      <w:pPr>
        <w:ind w:left="851"/>
        <w:rPr>
          <w:sz w:val="24"/>
          <w:szCs w:val="24"/>
        </w:rPr>
      </w:pPr>
    </w:p>
    <w:p w14:paraId="4FA66EE9" w14:textId="77777777" w:rsidR="00314C3D" w:rsidRPr="00212B5E" w:rsidRDefault="00314C3D" w:rsidP="002836D2">
      <w:pPr>
        <w:ind w:left="851"/>
        <w:rPr>
          <w:sz w:val="24"/>
          <w:szCs w:val="24"/>
        </w:rPr>
      </w:pPr>
      <w:r w:rsidRPr="00212B5E">
        <w:rPr>
          <w:sz w:val="24"/>
          <w:szCs w:val="24"/>
        </w:rPr>
        <w:t xml:space="preserve">Bivirkninger, der er baseret på </w:t>
      </w:r>
      <w:proofErr w:type="spellStart"/>
      <w:r w:rsidRPr="00212B5E">
        <w:rPr>
          <w:sz w:val="24"/>
          <w:szCs w:val="24"/>
        </w:rPr>
        <w:t>poolede</w:t>
      </w:r>
      <w:proofErr w:type="spellEnd"/>
      <w:r w:rsidRPr="00212B5E">
        <w:rPr>
          <w:sz w:val="24"/>
          <w:szCs w:val="24"/>
        </w:rPr>
        <w:t xml:space="preserve"> data, er opstillet i tabel 1 nedenfor efter systemorganklasse og efter foretrukken term. Forekomsten af bivirkninger rapporteret i kliniske forsøg er opstillet i tabellen efter frekvenskategori. Frekvens er blevet evalueret på grundlag af følgende kriterier: meget almindelig (≥1/10), almindelig (≥1/100 til &lt;1/10), ikke almindelig (≥1/1.000 til &lt;1/100), sjælden (≥1/10.000 til &lt;1/1.000), meget sjælden (&lt;1/10.000), ikke kendt (kan ikke estimeres ud fra forhåndenværende data).</w:t>
      </w:r>
    </w:p>
    <w:p w14:paraId="3EF9C25A" w14:textId="77777777" w:rsidR="00314C3D" w:rsidRPr="00212B5E" w:rsidRDefault="00314C3D" w:rsidP="002836D2">
      <w:pPr>
        <w:ind w:left="851"/>
        <w:rPr>
          <w:sz w:val="24"/>
          <w:szCs w:val="24"/>
        </w:rPr>
      </w:pPr>
    </w:p>
    <w:p w14:paraId="0EA1CB25" w14:textId="7D45A437" w:rsidR="00314C3D" w:rsidRPr="00212B5E" w:rsidRDefault="00314C3D" w:rsidP="00314C3D">
      <w:pPr>
        <w:tabs>
          <w:tab w:val="left" w:pos="851"/>
        </w:tabs>
        <w:rPr>
          <w:b/>
          <w:bCs/>
          <w:sz w:val="24"/>
          <w:szCs w:val="24"/>
        </w:rPr>
      </w:pPr>
      <w:r w:rsidRPr="00212B5E">
        <w:rPr>
          <w:b/>
          <w:bCs/>
          <w:sz w:val="24"/>
          <w:szCs w:val="24"/>
        </w:rPr>
        <w:t xml:space="preserve">Tabel 1: Bivirkninger baseret på </w:t>
      </w:r>
      <w:proofErr w:type="spellStart"/>
      <w:r w:rsidRPr="00212B5E">
        <w:rPr>
          <w:b/>
          <w:bCs/>
          <w:sz w:val="24"/>
          <w:szCs w:val="24"/>
        </w:rPr>
        <w:t>poolede</w:t>
      </w:r>
      <w:proofErr w:type="spellEnd"/>
      <w:r w:rsidRPr="00212B5E">
        <w:rPr>
          <w:b/>
          <w:bCs/>
          <w:sz w:val="24"/>
          <w:szCs w:val="24"/>
        </w:rPr>
        <w:t xml:space="preserve"> data for voksne</w:t>
      </w:r>
    </w:p>
    <w:p w14:paraId="6FFAF2C0" w14:textId="77777777" w:rsidR="00314C3D" w:rsidRPr="00212B5E" w:rsidRDefault="00314C3D" w:rsidP="00314C3D">
      <w:pPr>
        <w:tabs>
          <w:tab w:val="left" w:pos="851"/>
        </w:tabs>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6"/>
        <w:gridCol w:w="897"/>
        <w:gridCol w:w="1945"/>
        <w:gridCol w:w="1594"/>
        <w:gridCol w:w="1635"/>
        <w:gridCol w:w="2051"/>
      </w:tblGrid>
      <w:tr w:rsidR="00314C3D" w:rsidRPr="00212B5E" w14:paraId="1CEF8E17" w14:textId="77777777" w:rsidTr="001C15F0">
        <w:trPr>
          <w:trHeight w:val="758"/>
          <w:tblHeader/>
        </w:trPr>
        <w:tc>
          <w:tcPr>
            <w:tcW w:w="782" w:type="pct"/>
            <w:tcBorders>
              <w:top w:val="single" w:sz="4" w:space="0" w:color="000000"/>
              <w:left w:val="single" w:sz="4" w:space="0" w:color="000000"/>
              <w:bottom w:val="single" w:sz="4" w:space="0" w:color="000000"/>
              <w:right w:val="single" w:sz="4" w:space="0" w:color="000000"/>
            </w:tcBorders>
            <w:hideMark/>
          </w:tcPr>
          <w:p w14:paraId="093FA551" w14:textId="71A56458" w:rsidR="00314C3D" w:rsidRPr="001C15F0" w:rsidRDefault="00314C3D">
            <w:pPr>
              <w:pStyle w:val="TableParagraph"/>
              <w:ind w:left="108"/>
              <w:rPr>
                <w:b/>
                <w:sz w:val="20"/>
                <w:szCs w:val="20"/>
                <w:lang w:val="da-DK"/>
              </w:rPr>
            </w:pPr>
            <w:r w:rsidRPr="001C15F0">
              <w:rPr>
                <w:b/>
                <w:spacing w:val="-2"/>
                <w:sz w:val="20"/>
                <w:szCs w:val="20"/>
                <w:lang w:val="da-DK"/>
              </w:rPr>
              <w:t>Systemorgan</w:t>
            </w:r>
            <w:r w:rsidR="001C15F0">
              <w:rPr>
                <w:b/>
                <w:spacing w:val="-2"/>
                <w:sz w:val="20"/>
                <w:szCs w:val="20"/>
                <w:lang w:val="da-DK"/>
              </w:rPr>
              <w:softHyphen/>
            </w:r>
            <w:r w:rsidRPr="001C15F0">
              <w:rPr>
                <w:b/>
                <w:spacing w:val="-2"/>
                <w:sz w:val="20"/>
                <w:szCs w:val="20"/>
                <w:lang w:val="da-DK"/>
              </w:rPr>
              <w:t>kl</w:t>
            </w:r>
            <w:r w:rsidRPr="001C15F0">
              <w:rPr>
                <w:b/>
                <w:spacing w:val="-4"/>
                <w:sz w:val="20"/>
                <w:szCs w:val="20"/>
                <w:lang w:val="da-DK"/>
              </w:rPr>
              <w:t>asse</w:t>
            </w:r>
          </w:p>
        </w:tc>
        <w:tc>
          <w:tcPr>
            <w:tcW w:w="466" w:type="pct"/>
            <w:tcBorders>
              <w:top w:val="single" w:sz="4" w:space="0" w:color="000000"/>
              <w:left w:val="single" w:sz="4" w:space="0" w:color="000000"/>
              <w:bottom w:val="single" w:sz="4" w:space="0" w:color="000000"/>
              <w:right w:val="single" w:sz="4" w:space="0" w:color="000000"/>
            </w:tcBorders>
            <w:hideMark/>
          </w:tcPr>
          <w:p w14:paraId="69B5C7C0" w14:textId="3654A26E" w:rsidR="00314C3D" w:rsidRPr="001C15F0" w:rsidRDefault="00314C3D">
            <w:pPr>
              <w:pStyle w:val="TableParagraph"/>
              <w:spacing w:line="250" w:lineRule="atLeast"/>
              <w:ind w:left="107" w:right="122"/>
              <w:rPr>
                <w:b/>
                <w:sz w:val="20"/>
                <w:szCs w:val="20"/>
                <w:lang w:val="da-DK"/>
              </w:rPr>
            </w:pPr>
            <w:r w:rsidRPr="001C15F0">
              <w:rPr>
                <w:b/>
                <w:spacing w:val="-2"/>
                <w:sz w:val="20"/>
                <w:szCs w:val="20"/>
                <w:lang w:val="da-DK"/>
              </w:rPr>
              <w:t xml:space="preserve">Meget </w:t>
            </w:r>
            <w:r w:rsidR="002C44AE">
              <w:rPr>
                <w:b/>
                <w:spacing w:val="-2"/>
                <w:sz w:val="20"/>
                <w:szCs w:val="20"/>
                <w:lang w:val="da-DK"/>
              </w:rPr>
              <w:t>almindelig</w:t>
            </w:r>
          </w:p>
        </w:tc>
        <w:tc>
          <w:tcPr>
            <w:tcW w:w="1010" w:type="pct"/>
            <w:tcBorders>
              <w:top w:val="single" w:sz="4" w:space="0" w:color="000000"/>
              <w:left w:val="single" w:sz="4" w:space="0" w:color="000000"/>
              <w:bottom w:val="single" w:sz="4" w:space="0" w:color="000000"/>
              <w:right w:val="single" w:sz="4" w:space="0" w:color="000000"/>
            </w:tcBorders>
            <w:hideMark/>
          </w:tcPr>
          <w:p w14:paraId="7DBCFAD8" w14:textId="77777777" w:rsidR="00314C3D" w:rsidRPr="001C15F0" w:rsidRDefault="00314C3D">
            <w:pPr>
              <w:pStyle w:val="TableParagraph"/>
              <w:ind w:left="108"/>
              <w:rPr>
                <w:b/>
                <w:sz w:val="20"/>
                <w:szCs w:val="20"/>
                <w:lang w:val="da-DK"/>
              </w:rPr>
            </w:pPr>
            <w:r w:rsidRPr="001C15F0">
              <w:rPr>
                <w:b/>
                <w:spacing w:val="-2"/>
                <w:sz w:val="20"/>
                <w:szCs w:val="20"/>
                <w:lang w:val="da-DK"/>
              </w:rPr>
              <w:t>Almindelig</w:t>
            </w:r>
          </w:p>
        </w:tc>
        <w:tc>
          <w:tcPr>
            <w:tcW w:w="828" w:type="pct"/>
            <w:tcBorders>
              <w:top w:val="single" w:sz="4" w:space="0" w:color="000000"/>
              <w:left w:val="single" w:sz="4" w:space="0" w:color="000000"/>
              <w:bottom w:val="single" w:sz="4" w:space="0" w:color="000000"/>
              <w:right w:val="single" w:sz="4" w:space="0" w:color="000000"/>
            </w:tcBorders>
            <w:hideMark/>
          </w:tcPr>
          <w:p w14:paraId="55F03876" w14:textId="77777777" w:rsidR="00314C3D" w:rsidRPr="001C15F0" w:rsidRDefault="00314C3D">
            <w:pPr>
              <w:pStyle w:val="TableParagraph"/>
              <w:ind w:left="108"/>
              <w:rPr>
                <w:b/>
                <w:sz w:val="20"/>
                <w:szCs w:val="20"/>
                <w:lang w:val="da-DK"/>
              </w:rPr>
            </w:pPr>
            <w:r w:rsidRPr="001C15F0">
              <w:rPr>
                <w:b/>
                <w:sz w:val="20"/>
                <w:szCs w:val="20"/>
                <w:lang w:val="da-DK"/>
              </w:rPr>
              <w:t xml:space="preserve">Ikke </w:t>
            </w:r>
            <w:r w:rsidRPr="001C15F0">
              <w:rPr>
                <w:b/>
                <w:spacing w:val="-2"/>
                <w:sz w:val="20"/>
                <w:szCs w:val="20"/>
                <w:lang w:val="da-DK"/>
              </w:rPr>
              <w:t>almindelig</w:t>
            </w:r>
          </w:p>
        </w:tc>
        <w:tc>
          <w:tcPr>
            <w:tcW w:w="849" w:type="pct"/>
            <w:tcBorders>
              <w:top w:val="single" w:sz="4" w:space="0" w:color="000000"/>
              <w:left w:val="single" w:sz="4" w:space="0" w:color="000000"/>
              <w:bottom w:val="single" w:sz="4" w:space="0" w:color="000000"/>
              <w:right w:val="single" w:sz="4" w:space="0" w:color="000000"/>
            </w:tcBorders>
            <w:hideMark/>
          </w:tcPr>
          <w:p w14:paraId="7BB2FAC7" w14:textId="77777777" w:rsidR="00314C3D" w:rsidRPr="001C15F0" w:rsidRDefault="00314C3D">
            <w:pPr>
              <w:pStyle w:val="TableParagraph"/>
              <w:ind w:left="108"/>
              <w:rPr>
                <w:b/>
                <w:sz w:val="20"/>
                <w:szCs w:val="20"/>
                <w:lang w:val="da-DK"/>
              </w:rPr>
            </w:pPr>
            <w:r w:rsidRPr="001C15F0">
              <w:rPr>
                <w:b/>
                <w:spacing w:val="-2"/>
                <w:sz w:val="20"/>
                <w:szCs w:val="20"/>
                <w:lang w:val="da-DK"/>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1C4BA46C" w14:textId="77777777" w:rsidR="00314C3D" w:rsidRPr="001C15F0" w:rsidRDefault="00314C3D">
            <w:pPr>
              <w:pStyle w:val="TableParagraph"/>
              <w:ind w:left="108" w:right="227"/>
              <w:rPr>
                <w:b/>
                <w:sz w:val="20"/>
                <w:szCs w:val="20"/>
                <w:lang w:val="da-DK"/>
              </w:rPr>
            </w:pPr>
            <w:r w:rsidRPr="001C15F0">
              <w:rPr>
                <w:b/>
                <w:spacing w:val="-2"/>
                <w:sz w:val="20"/>
                <w:szCs w:val="20"/>
                <w:lang w:val="da-DK"/>
              </w:rPr>
              <w:t xml:space="preserve">Hyppighed </w:t>
            </w:r>
            <w:r w:rsidRPr="001C15F0">
              <w:rPr>
                <w:b/>
                <w:sz w:val="20"/>
                <w:szCs w:val="20"/>
                <w:lang w:val="da-DK"/>
              </w:rPr>
              <w:t xml:space="preserve">ikke </w:t>
            </w:r>
            <w:r w:rsidRPr="001C15F0">
              <w:rPr>
                <w:b/>
                <w:spacing w:val="-2"/>
                <w:sz w:val="20"/>
                <w:szCs w:val="20"/>
                <w:lang w:val="da-DK"/>
              </w:rPr>
              <w:t>kendt</w:t>
            </w:r>
          </w:p>
        </w:tc>
      </w:tr>
      <w:tr w:rsidR="00314C3D" w:rsidRPr="00212B5E" w14:paraId="1B579416" w14:textId="77777777" w:rsidTr="001C15F0">
        <w:trPr>
          <w:trHeight w:val="758"/>
        </w:trPr>
        <w:tc>
          <w:tcPr>
            <w:tcW w:w="782" w:type="pct"/>
            <w:tcBorders>
              <w:top w:val="single" w:sz="4" w:space="0" w:color="000000"/>
              <w:left w:val="single" w:sz="4" w:space="0" w:color="000000"/>
              <w:bottom w:val="single" w:sz="4" w:space="0" w:color="000000"/>
              <w:right w:val="single" w:sz="4" w:space="0" w:color="000000"/>
            </w:tcBorders>
            <w:hideMark/>
          </w:tcPr>
          <w:p w14:paraId="2D2ACD71" w14:textId="77777777" w:rsidR="00314C3D" w:rsidRPr="001C15F0" w:rsidRDefault="00314C3D">
            <w:pPr>
              <w:pStyle w:val="TableParagraph"/>
              <w:spacing w:line="250" w:lineRule="atLeast"/>
              <w:ind w:left="108" w:right="272"/>
              <w:rPr>
                <w:sz w:val="20"/>
                <w:szCs w:val="20"/>
                <w:lang w:val="da-DK"/>
              </w:rPr>
            </w:pPr>
            <w:r w:rsidRPr="001C15F0">
              <w:rPr>
                <w:sz w:val="20"/>
                <w:szCs w:val="20"/>
                <w:lang w:val="da-DK"/>
              </w:rPr>
              <w:t>Infektioner</w:t>
            </w:r>
            <w:r w:rsidRPr="001C15F0">
              <w:rPr>
                <w:spacing w:val="-14"/>
                <w:sz w:val="20"/>
                <w:szCs w:val="20"/>
                <w:lang w:val="da-DK"/>
              </w:rPr>
              <w:t xml:space="preserve"> </w:t>
            </w:r>
            <w:r w:rsidRPr="001C15F0">
              <w:rPr>
                <w:sz w:val="20"/>
                <w:szCs w:val="20"/>
                <w:lang w:val="da-DK"/>
              </w:rPr>
              <w:t xml:space="preserve">og </w:t>
            </w:r>
            <w:r w:rsidRPr="001C15F0">
              <w:rPr>
                <w:spacing w:val="-2"/>
                <w:sz w:val="20"/>
                <w:szCs w:val="20"/>
                <w:lang w:val="da-DK"/>
              </w:rPr>
              <w:t>parasitære sygdomme</w:t>
            </w:r>
          </w:p>
        </w:tc>
        <w:tc>
          <w:tcPr>
            <w:tcW w:w="466" w:type="pct"/>
            <w:tcBorders>
              <w:top w:val="single" w:sz="4" w:space="0" w:color="000000"/>
              <w:left w:val="single" w:sz="4" w:space="0" w:color="000000"/>
              <w:bottom w:val="single" w:sz="4" w:space="0" w:color="000000"/>
              <w:right w:val="single" w:sz="4" w:space="0" w:color="000000"/>
            </w:tcBorders>
          </w:tcPr>
          <w:p w14:paraId="5E182DA8"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609C7C6B" w14:textId="77777777" w:rsidR="00314C3D" w:rsidRPr="001C15F0" w:rsidRDefault="00314C3D">
            <w:pPr>
              <w:pStyle w:val="TableParagraph"/>
              <w:rPr>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hideMark/>
          </w:tcPr>
          <w:p w14:paraId="6E5DEE68" w14:textId="77777777" w:rsidR="00314C3D" w:rsidRPr="001C15F0" w:rsidRDefault="00314C3D">
            <w:pPr>
              <w:pStyle w:val="TableParagraph"/>
              <w:ind w:left="108"/>
              <w:rPr>
                <w:sz w:val="20"/>
                <w:szCs w:val="20"/>
                <w:lang w:val="da-DK"/>
              </w:rPr>
            </w:pPr>
            <w:proofErr w:type="spellStart"/>
            <w:r w:rsidRPr="001C15F0">
              <w:rPr>
                <w:spacing w:val="-2"/>
                <w:sz w:val="20"/>
                <w:szCs w:val="20"/>
                <w:lang w:val="da-DK"/>
              </w:rPr>
              <w:t>Nasofaryngitis</w:t>
            </w:r>
            <w:proofErr w:type="spellEnd"/>
          </w:p>
        </w:tc>
        <w:tc>
          <w:tcPr>
            <w:tcW w:w="849" w:type="pct"/>
            <w:tcBorders>
              <w:top w:val="single" w:sz="4" w:space="0" w:color="000000"/>
              <w:left w:val="single" w:sz="4" w:space="0" w:color="000000"/>
              <w:bottom w:val="single" w:sz="4" w:space="0" w:color="000000"/>
              <w:right w:val="single" w:sz="4" w:space="0" w:color="000000"/>
            </w:tcBorders>
          </w:tcPr>
          <w:p w14:paraId="24900E4F"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4581B05C" w14:textId="77777777" w:rsidR="00314C3D" w:rsidRPr="001C15F0" w:rsidRDefault="00314C3D">
            <w:pPr>
              <w:pStyle w:val="TableParagraph"/>
              <w:rPr>
                <w:sz w:val="20"/>
                <w:szCs w:val="20"/>
                <w:lang w:val="da-DK"/>
              </w:rPr>
            </w:pPr>
          </w:p>
        </w:tc>
      </w:tr>
      <w:tr w:rsidR="00314C3D" w:rsidRPr="00212B5E" w14:paraId="664069BE" w14:textId="77777777" w:rsidTr="001C15F0">
        <w:trPr>
          <w:trHeight w:val="980"/>
        </w:trPr>
        <w:tc>
          <w:tcPr>
            <w:tcW w:w="782" w:type="pct"/>
            <w:tcBorders>
              <w:top w:val="single" w:sz="4" w:space="0" w:color="000000"/>
              <w:left w:val="single" w:sz="4" w:space="0" w:color="000000"/>
              <w:bottom w:val="single" w:sz="4" w:space="0" w:color="000000"/>
              <w:right w:val="single" w:sz="4" w:space="0" w:color="000000"/>
            </w:tcBorders>
            <w:hideMark/>
          </w:tcPr>
          <w:p w14:paraId="09D8E198" w14:textId="77777777" w:rsidR="00314C3D" w:rsidRPr="001C15F0" w:rsidRDefault="00314C3D">
            <w:pPr>
              <w:pStyle w:val="TableParagraph"/>
              <w:ind w:left="108"/>
              <w:rPr>
                <w:sz w:val="20"/>
                <w:szCs w:val="20"/>
                <w:lang w:val="da-DK"/>
              </w:rPr>
            </w:pPr>
            <w:r w:rsidRPr="001C15F0">
              <w:rPr>
                <w:sz w:val="20"/>
                <w:szCs w:val="20"/>
                <w:lang w:val="da-DK"/>
              </w:rPr>
              <w:t xml:space="preserve">Blod og </w:t>
            </w:r>
            <w:r w:rsidRPr="001C15F0">
              <w:rPr>
                <w:spacing w:val="-2"/>
                <w:sz w:val="20"/>
                <w:szCs w:val="20"/>
                <w:lang w:val="da-DK"/>
              </w:rPr>
              <w:t>lymfesystem</w:t>
            </w:r>
          </w:p>
        </w:tc>
        <w:tc>
          <w:tcPr>
            <w:tcW w:w="466" w:type="pct"/>
            <w:tcBorders>
              <w:top w:val="single" w:sz="4" w:space="0" w:color="000000"/>
              <w:left w:val="single" w:sz="4" w:space="0" w:color="000000"/>
              <w:bottom w:val="single" w:sz="4" w:space="0" w:color="000000"/>
              <w:right w:val="single" w:sz="4" w:space="0" w:color="000000"/>
            </w:tcBorders>
          </w:tcPr>
          <w:p w14:paraId="60533046"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726FE623" w14:textId="77777777" w:rsidR="00314C3D" w:rsidRPr="001C15F0" w:rsidRDefault="00314C3D">
            <w:pPr>
              <w:pStyle w:val="TableParagraph"/>
              <w:rPr>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hideMark/>
          </w:tcPr>
          <w:p w14:paraId="49DCBE75" w14:textId="77777777" w:rsidR="00314C3D" w:rsidRPr="001C15F0" w:rsidRDefault="00314C3D">
            <w:pPr>
              <w:pStyle w:val="TableParagraph"/>
              <w:ind w:left="108"/>
              <w:rPr>
                <w:sz w:val="20"/>
                <w:szCs w:val="20"/>
                <w:lang w:val="da-DK"/>
              </w:rPr>
            </w:pPr>
            <w:r w:rsidRPr="001C15F0">
              <w:rPr>
                <w:spacing w:val="-2"/>
                <w:sz w:val="20"/>
                <w:szCs w:val="20"/>
                <w:lang w:val="da-DK"/>
              </w:rPr>
              <w:t>Anæmi</w:t>
            </w:r>
          </w:p>
        </w:tc>
        <w:tc>
          <w:tcPr>
            <w:tcW w:w="849" w:type="pct"/>
            <w:tcBorders>
              <w:top w:val="single" w:sz="4" w:space="0" w:color="000000"/>
              <w:left w:val="single" w:sz="4" w:space="0" w:color="000000"/>
              <w:bottom w:val="single" w:sz="4" w:space="0" w:color="000000"/>
              <w:right w:val="single" w:sz="4" w:space="0" w:color="000000"/>
            </w:tcBorders>
            <w:hideMark/>
          </w:tcPr>
          <w:p w14:paraId="4E28FA8F" w14:textId="77777777" w:rsidR="002C44AE" w:rsidRDefault="00314C3D">
            <w:pPr>
              <w:pStyle w:val="TableParagraph"/>
              <w:ind w:left="108"/>
              <w:rPr>
                <w:spacing w:val="-2"/>
                <w:sz w:val="20"/>
                <w:szCs w:val="20"/>
                <w:lang w:val="da-DK"/>
              </w:rPr>
            </w:pPr>
            <w:proofErr w:type="spellStart"/>
            <w:r w:rsidRPr="001C15F0">
              <w:rPr>
                <w:spacing w:val="-2"/>
                <w:sz w:val="20"/>
                <w:szCs w:val="20"/>
                <w:lang w:val="da-DK"/>
              </w:rPr>
              <w:t>Eosinofili</w:t>
            </w:r>
            <w:proofErr w:type="spellEnd"/>
            <w:r w:rsidRPr="001C15F0">
              <w:rPr>
                <w:spacing w:val="-2"/>
                <w:sz w:val="20"/>
                <w:szCs w:val="20"/>
                <w:lang w:val="da-DK"/>
              </w:rPr>
              <w:t xml:space="preserve"> </w:t>
            </w:r>
          </w:p>
          <w:p w14:paraId="34835E27" w14:textId="67E8198C" w:rsidR="00314C3D" w:rsidRPr="001C15F0" w:rsidRDefault="00314C3D">
            <w:pPr>
              <w:pStyle w:val="TableParagraph"/>
              <w:ind w:left="108"/>
              <w:rPr>
                <w:sz w:val="20"/>
                <w:szCs w:val="20"/>
                <w:lang w:val="da-DK"/>
              </w:rPr>
            </w:pPr>
            <w:proofErr w:type="spellStart"/>
            <w:r w:rsidRPr="001C15F0">
              <w:rPr>
                <w:spacing w:val="-2"/>
                <w:sz w:val="20"/>
                <w:szCs w:val="20"/>
                <w:lang w:val="da-DK"/>
              </w:rPr>
              <w:t>Leukopeni</w:t>
            </w:r>
            <w:proofErr w:type="spellEnd"/>
          </w:p>
        </w:tc>
        <w:tc>
          <w:tcPr>
            <w:tcW w:w="1066" w:type="pct"/>
            <w:tcBorders>
              <w:top w:val="single" w:sz="4" w:space="0" w:color="000000"/>
              <w:left w:val="single" w:sz="4" w:space="0" w:color="000000"/>
              <w:bottom w:val="single" w:sz="4" w:space="0" w:color="000000"/>
              <w:right w:val="single" w:sz="4" w:space="0" w:color="000000"/>
            </w:tcBorders>
            <w:hideMark/>
          </w:tcPr>
          <w:p w14:paraId="2EBFDB3B" w14:textId="77777777" w:rsidR="00314C3D" w:rsidRPr="001C15F0" w:rsidRDefault="00314C3D">
            <w:pPr>
              <w:pStyle w:val="TableParagraph"/>
              <w:ind w:left="108"/>
              <w:rPr>
                <w:sz w:val="20"/>
                <w:szCs w:val="20"/>
                <w:lang w:val="da-DK"/>
              </w:rPr>
            </w:pPr>
            <w:proofErr w:type="spellStart"/>
            <w:r w:rsidRPr="001C15F0">
              <w:rPr>
                <w:spacing w:val="-2"/>
                <w:sz w:val="20"/>
                <w:szCs w:val="20"/>
                <w:lang w:val="da-DK"/>
              </w:rPr>
              <w:t>Neutropeni</w:t>
            </w:r>
            <w:proofErr w:type="spellEnd"/>
            <w:r w:rsidRPr="001C15F0">
              <w:rPr>
                <w:spacing w:val="-2"/>
                <w:sz w:val="20"/>
                <w:szCs w:val="20"/>
                <w:lang w:val="da-DK"/>
              </w:rPr>
              <w:t>*</w:t>
            </w:r>
          </w:p>
          <w:p w14:paraId="114A30D7" w14:textId="77777777" w:rsidR="00314C3D" w:rsidRPr="001C15F0" w:rsidRDefault="00314C3D">
            <w:pPr>
              <w:pStyle w:val="TableParagraph"/>
              <w:ind w:left="108"/>
              <w:rPr>
                <w:sz w:val="20"/>
                <w:szCs w:val="20"/>
                <w:lang w:val="da-DK"/>
              </w:rPr>
            </w:pPr>
            <w:r w:rsidRPr="001C15F0">
              <w:rPr>
                <w:spacing w:val="-5"/>
                <w:sz w:val="20"/>
                <w:szCs w:val="20"/>
                <w:lang w:val="da-DK"/>
              </w:rPr>
              <w:t>***</w:t>
            </w:r>
          </w:p>
        </w:tc>
      </w:tr>
      <w:tr w:rsidR="00314C3D" w:rsidRPr="00212B5E" w14:paraId="2B8D5619" w14:textId="77777777" w:rsidTr="001C15F0">
        <w:trPr>
          <w:trHeight w:val="1016"/>
        </w:trPr>
        <w:tc>
          <w:tcPr>
            <w:tcW w:w="782" w:type="pct"/>
            <w:tcBorders>
              <w:top w:val="single" w:sz="4" w:space="0" w:color="000000"/>
              <w:left w:val="single" w:sz="4" w:space="0" w:color="000000"/>
              <w:bottom w:val="single" w:sz="4" w:space="0" w:color="000000"/>
              <w:right w:val="single" w:sz="4" w:space="0" w:color="000000"/>
            </w:tcBorders>
            <w:hideMark/>
          </w:tcPr>
          <w:p w14:paraId="50257C5C" w14:textId="77777777" w:rsidR="00314C3D" w:rsidRPr="001C15F0" w:rsidRDefault="00314C3D">
            <w:pPr>
              <w:pStyle w:val="TableParagraph"/>
              <w:ind w:left="108"/>
              <w:rPr>
                <w:sz w:val="20"/>
                <w:szCs w:val="20"/>
                <w:lang w:val="da-DK"/>
              </w:rPr>
            </w:pPr>
            <w:r w:rsidRPr="001C15F0">
              <w:rPr>
                <w:spacing w:val="-2"/>
                <w:sz w:val="20"/>
                <w:szCs w:val="20"/>
                <w:lang w:val="da-DK"/>
              </w:rPr>
              <w:t>Immunsystemet</w:t>
            </w:r>
          </w:p>
        </w:tc>
        <w:tc>
          <w:tcPr>
            <w:tcW w:w="466" w:type="pct"/>
            <w:tcBorders>
              <w:top w:val="single" w:sz="4" w:space="0" w:color="000000"/>
              <w:left w:val="single" w:sz="4" w:space="0" w:color="000000"/>
              <w:bottom w:val="single" w:sz="4" w:space="0" w:color="000000"/>
              <w:right w:val="single" w:sz="4" w:space="0" w:color="000000"/>
            </w:tcBorders>
          </w:tcPr>
          <w:p w14:paraId="4920A332"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0421A3D6" w14:textId="189A42C1" w:rsidR="00314C3D" w:rsidRPr="001C15F0" w:rsidRDefault="00314C3D">
            <w:pPr>
              <w:pStyle w:val="TableParagraph"/>
              <w:ind w:left="108" w:right="66"/>
              <w:rPr>
                <w:sz w:val="20"/>
                <w:szCs w:val="20"/>
                <w:lang w:val="da-DK"/>
              </w:rPr>
            </w:pPr>
            <w:r w:rsidRPr="001C15F0">
              <w:rPr>
                <w:spacing w:val="-2"/>
                <w:sz w:val="20"/>
                <w:szCs w:val="20"/>
                <w:lang w:val="da-DK"/>
              </w:rPr>
              <w:t>Hypersensitivit</w:t>
            </w:r>
            <w:r w:rsidRPr="001C15F0">
              <w:rPr>
                <w:spacing w:val="-6"/>
                <w:sz w:val="20"/>
                <w:szCs w:val="20"/>
                <w:lang w:val="da-DK"/>
              </w:rPr>
              <w:t>et</w:t>
            </w:r>
          </w:p>
        </w:tc>
        <w:tc>
          <w:tcPr>
            <w:tcW w:w="828" w:type="pct"/>
            <w:tcBorders>
              <w:top w:val="single" w:sz="4" w:space="0" w:color="000000"/>
              <w:left w:val="single" w:sz="4" w:space="0" w:color="000000"/>
              <w:bottom w:val="single" w:sz="4" w:space="0" w:color="000000"/>
              <w:right w:val="single" w:sz="4" w:space="0" w:color="000000"/>
            </w:tcBorders>
          </w:tcPr>
          <w:p w14:paraId="19970716" w14:textId="77777777" w:rsidR="00314C3D" w:rsidRPr="001C15F0" w:rsidRDefault="00314C3D">
            <w:pPr>
              <w:pStyle w:val="TableParagraph"/>
              <w:rPr>
                <w:sz w:val="20"/>
                <w:szCs w:val="20"/>
                <w:lang w:val="da-DK"/>
              </w:rPr>
            </w:pPr>
          </w:p>
        </w:tc>
        <w:tc>
          <w:tcPr>
            <w:tcW w:w="849" w:type="pct"/>
            <w:tcBorders>
              <w:top w:val="single" w:sz="4" w:space="0" w:color="000000"/>
              <w:left w:val="single" w:sz="4" w:space="0" w:color="000000"/>
              <w:bottom w:val="single" w:sz="4" w:space="0" w:color="000000"/>
              <w:right w:val="single" w:sz="4" w:space="0" w:color="000000"/>
            </w:tcBorders>
          </w:tcPr>
          <w:p w14:paraId="51F78F43"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213FE6FE" w14:textId="77777777" w:rsidR="00314C3D" w:rsidRPr="001C15F0" w:rsidRDefault="00314C3D">
            <w:pPr>
              <w:pStyle w:val="TableParagraph"/>
              <w:rPr>
                <w:sz w:val="20"/>
                <w:szCs w:val="20"/>
                <w:lang w:val="da-DK"/>
              </w:rPr>
            </w:pPr>
          </w:p>
        </w:tc>
      </w:tr>
      <w:tr w:rsidR="00314C3D" w:rsidRPr="00212B5E" w14:paraId="2A4F4FB3" w14:textId="77777777" w:rsidTr="001C15F0">
        <w:trPr>
          <w:trHeight w:val="1016"/>
        </w:trPr>
        <w:tc>
          <w:tcPr>
            <w:tcW w:w="782" w:type="pct"/>
            <w:tcBorders>
              <w:top w:val="single" w:sz="4" w:space="0" w:color="000000"/>
              <w:left w:val="single" w:sz="4" w:space="0" w:color="000000"/>
              <w:bottom w:val="single" w:sz="4" w:space="0" w:color="000000"/>
              <w:right w:val="single" w:sz="4" w:space="0" w:color="000000"/>
            </w:tcBorders>
            <w:hideMark/>
          </w:tcPr>
          <w:p w14:paraId="682CBCEB" w14:textId="77777777" w:rsidR="00314C3D" w:rsidRPr="001C15F0" w:rsidRDefault="00314C3D">
            <w:pPr>
              <w:pStyle w:val="TableParagraph"/>
              <w:ind w:left="108" w:right="101"/>
              <w:rPr>
                <w:sz w:val="20"/>
                <w:szCs w:val="20"/>
                <w:lang w:val="da-DK"/>
              </w:rPr>
            </w:pPr>
            <w:r w:rsidRPr="001C15F0">
              <w:rPr>
                <w:sz w:val="20"/>
                <w:szCs w:val="20"/>
                <w:lang w:val="da-DK"/>
              </w:rPr>
              <w:t>Metabolisme</w:t>
            </w:r>
            <w:r w:rsidRPr="001C15F0">
              <w:rPr>
                <w:spacing w:val="-14"/>
                <w:sz w:val="20"/>
                <w:szCs w:val="20"/>
                <w:lang w:val="da-DK"/>
              </w:rPr>
              <w:t xml:space="preserve"> </w:t>
            </w:r>
            <w:r w:rsidRPr="001C15F0">
              <w:rPr>
                <w:sz w:val="20"/>
                <w:szCs w:val="20"/>
                <w:lang w:val="da-DK"/>
              </w:rPr>
              <w:t xml:space="preserve">og </w:t>
            </w:r>
            <w:r w:rsidRPr="001C15F0">
              <w:rPr>
                <w:spacing w:val="-2"/>
                <w:sz w:val="20"/>
                <w:szCs w:val="20"/>
                <w:lang w:val="da-DK"/>
              </w:rPr>
              <w:t>ernæring</w:t>
            </w:r>
          </w:p>
        </w:tc>
        <w:tc>
          <w:tcPr>
            <w:tcW w:w="466" w:type="pct"/>
            <w:tcBorders>
              <w:top w:val="single" w:sz="4" w:space="0" w:color="000000"/>
              <w:left w:val="single" w:sz="4" w:space="0" w:color="000000"/>
              <w:bottom w:val="single" w:sz="4" w:space="0" w:color="000000"/>
              <w:right w:val="single" w:sz="4" w:space="0" w:color="000000"/>
            </w:tcBorders>
          </w:tcPr>
          <w:p w14:paraId="17587A49"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1C48FE46" w14:textId="77777777" w:rsidR="001C15F0" w:rsidRDefault="00314C3D">
            <w:pPr>
              <w:pStyle w:val="TableParagraph"/>
              <w:ind w:left="108" w:right="204"/>
              <w:rPr>
                <w:spacing w:val="-2"/>
                <w:sz w:val="20"/>
                <w:szCs w:val="20"/>
                <w:lang w:val="da-DK"/>
              </w:rPr>
            </w:pPr>
            <w:r w:rsidRPr="001C15F0">
              <w:rPr>
                <w:spacing w:val="-2"/>
                <w:sz w:val="20"/>
                <w:szCs w:val="20"/>
                <w:lang w:val="da-DK"/>
              </w:rPr>
              <w:t xml:space="preserve">Vægtøgning </w:t>
            </w:r>
          </w:p>
          <w:p w14:paraId="3858001D" w14:textId="70FFB17D" w:rsidR="00314C3D" w:rsidRPr="001C15F0" w:rsidRDefault="00314C3D">
            <w:pPr>
              <w:pStyle w:val="TableParagraph"/>
              <w:ind w:left="108" w:right="204"/>
              <w:rPr>
                <w:sz w:val="20"/>
                <w:szCs w:val="20"/>
                <w:lang w:val="da-DK"/>
              </w:rPr>
            </w:pPr>
            <w:r w:rsidRPr="001C15F0">
              <w:rPr>
                <w:sz w:val="20"/>
                <w:szCs w:val="20"/>
                <w:lang w:val="da-DK"/>
              </w:rPr>
              <w:t>Nedsat</w:t>
            </w:r>
            <w:r w:rsidRPr="001C15F0">
              <w:rPr>
                <w:spacing w:val="-14"/>
                <w:sz w:val="20"/>
                <w:szCs w:val="20"/>
                <w:lang w:val="da-DK"/>
              </w:rPr>
              <w:t xml:space="preserve"> </w:t>
            </w:r>
            <w:r w:rsidRPr="001C15F0">
              <w:rPr>
                <w:sz w:val="20"/>
                <w:szCs w:val="20"/>
                <w:lang w:val="da-DK"/>
              </w:rPr>
              <w:t>appetit</w:t>
            </w:r>
          </w:p>
        </w:tc>
        <w:tc>
          <w:tcPr>
            <w:tcW w:w="828" w:type="pct"/>
            <w:tcBorders>
              <w:top w:val="single" w:sz="4" w:space="0" w:color="000000"/>
              <w:left w:val="single" w:sz="4" w:space="0" w:color="000000"/>
              <w:bottom w:val="single" w:sz="4" w:space="0" w:color="000000"/>
              <w:right w:val="single" w:sz="4" w:space="0" w:color="000000"/>
            </w:tcBorders>
            <w:hideMark/>
          </w:tcPr>
          <w:p w14:paraId="02B9041B" w14:textId="77777777" w:rsidR="001C15F0" w:rsidRDefault="00314C3D">
            <w:pPr>
              <w:pStyle w:val="TableParagraph"/>
              <w:ind w:left="108"/>
              <w:rPr>
                <w:spacing w:val="-2"/>
                <w:sz w:val="20"/>
                <w:szCs w:val="20"/>
                <w:lang w:val="da-DK"/>
              </w:rPr>
            </w:pPr>
            <w:r w:rsidRPr="001C15F0">
              <w:rPr>
                <w:spacing w:val="-2"/>
                <w:sz w:val="20"/>
                <w:szCs w:val="20"/>
                <w:lang w:val="da-DK"/>
              </w:rPr>
              <w:t xml:space="preserve">Forhøjet blodsukker </w:t>
            </w:r>
          </w:p>
          <w:p w14:paraId="230917DA" w14:textId="374F92A1" w:rsidR="00314C3D" w:rsidRPr="001C15F0" w:rsidRDefault="00314C3D">
            <w:pPr>
              <w:pStyle w:val="TableParagraph"/>
              <w:ind w:left="108"/>
              <w:rPr>
                <w:sz w:val="20"/>
                <w:szCs w:val="20"/>
                <w:lang w:val="da-DK"/>
              </w:rPr>
            </w:pPr>
            <w:proofErr w:type="spellStart"/>
            <w:r w:rsidRPr="001C15F0">
              <w:rPr>
                <w:spacing w:val="-2"/>
                <w:sz w:val="20"/>
                <w:szCs w:val="20"/>
                <w:lang w:val="da-DK"/>
              </w:rPr>
              <w:t>Hyponatriæmi</w:t>
            </w:r>
            <w:proofErr w:type="spellEnd"/>
          </w:p>
        </w:tc>
        <w:tc>
          <w:tcPr>
            <w:tcW w:w="849" w:type="pct"/>
            <w:tcBorders>
              <w:top w:val="single" w:sz="4" w:space="0" w:color="000000"/>
              <w:left w:val="single" w:sz="4" w:space="0" w:color="000000"/>
              <w:bottom w:val="single" w:sz="4" w:space="0" w:color="000000"/>
              <w:right w:val="single" w:sz="4" w:space="0" w:color="000000"/>
            </w:tcBorders>
          </w:tcPr>
          <w:p w14:paraId="2EE4CC54"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1A7F8CF5" w14:textId="77777777" w:rsidR="00314C3D" w:rsidRPr="001C15F0" w:rsidRDefault="00314C3D">
            <w:pPr>
              <w:pStyle w:val="TableParagraph"/>
              <w:rPr>
                <w:sz w:val="20"/>
                <w:szCs w:val="20"/>
                <w:lang w:val="da-DK"/>
              </w:rPr>
            </w:pPr>
          </w:p>
        </w:tc>
      </w:tr>
      <w:tr w:rsidR="00314C3D" w:rsidRPr="00212B5E" w14:paraId="4A390009" w14:textId="77777777" w:rsidTr="001C15F0">
        <w:trPr>
          <w:trHeight w:val="1011"/>
        </w:trPr>
        <w:tc>
          <w:tcPr>
            <w:tcW w:w="782" w:type="pct"/>
            <w:tcBorders>
              <w:top w:val="single" w:sz="4" w:space="0" w:color="000000"/>
              <w:left w:val="single" w:sz="4" w:space="0" w:color="000000"/>
              <w:bottom w:val="single" w:sz="4" w:space="0" w:color="000000"/>
              <w:right w:val="single" w:sz="4" w:space="0" w:color="000000"/>
            </w:tcBorders>
            <w:hideMark/>
          </w:tcPr>
          <w:p w14:paraId="3FB13E73" w14:textId="77777777" w:rsidR="00314C3D" w:rsidRPr="001C15F0" w:rsidRDefault="00314C3D">
            <w:pPr>
              <w:pStyle w:val="TableParagraph"/>
              <w:ind w:left="108"/>
              <w:rPr>
                <w:sz w:val="20"/>
                <w:szCs w:val="20"/>
                <w:lang w:val="da-DK"/>
              </w:rPr>
            </w:pPr>
            <w:r w:rsidRPr="001C15F0">
              <w:rPr>
                <w:spacing w:val="-2"/>
                <w:sz w:val="20"/>
                <w:szCs w:val="20"/>
                <w:lang w:val="da-DK"/>
              </w:rPr>
              <w:t>Psykiske forstyrrelser</w:t>
            </w:r>
          </w:p>
        </w:tc>
        <w:tc>
          <w:tcPr>
            <w:tcW w:w="466" w:type="pct"/>
            <w:tcBorders>
              <w:top w:val="single" w:sz="4" w:space="0" w:color="000000"/>
              <w:left w:val="single" w:sz="4" w:space="0" w:color="000000"/>
              <w:bottom w:val="single" w:sz="4" w:space="0" w:color="000000"/>
              <w:right w:val="single" w:sz="4" w:space="0" w:color="000000"/>
            </w:tcBorders>
            <w:hideMark/>
          </w:tcPr>
          <w:p w14:paraId="0DB59301" w14:textId="5B26B3E2" w:rsidR="00314C3D" w:rsidRPr="001C15F0" w:rsidRDefault="00314C3D">
            <w:pPr>
              <w:pStyle w:val="TableParagraph"/>
              <w:ind w:left="107" w:right="170"/>
              <w:rPr>
                <w:sz w:val="20"/>
                <w:szCs w:val="20"/>
                <w:lang w:val="da-DK"/>
              </w:rPr>
            </w:pPr>
            <w:r w:rsidRPr="001C15F0">
              <w:rPr>
                <w:spacing w:val="-2"/>
                <w:sz w:val="20"/>
                <w:szCs w:val="20"/>
                <w:lang w:val="da-DK"/>
              </w:rPr>
              <w:t>Søvnlø</w:t>
            </w:r>
            <w:r w:rsidR="001C15F0">
              <w:rPr>
                <w:spacing w:val="-2"/>
                <w:sz w:val="20"/>
                <w:szCs w:val="20"/>
                <w:lang w:val="da-DK"/>
              </w:rPr>
              <w:t>s</w:t>
            </w:r>
            <w:r w:rsidRPr="001C15F0">
              <w:rPr>
                <w:spacing w:val="-4"/>
                <w:sz w:val="20"/>
                <w:szCs w:val="20"/>
                <w:lang w:val="da-DK"/>
              </w:rPr>
              <w:t>hed</w:t>
            </w:r>
          </w:p>
        </w:tc>
        <w:tc>
          <w:tcPr>
            <w:tcW w:w="1010" w:type="pct"/>
            <w:tcBorders>
              <w:top w:val="single" w:sz="4" w:space="0" w:color="000000"/>
              <w:left w:val="single" w:sz="4" w:space="0" w:color="000000"/>
              <w:bottom w:val="single" w:sz="4" w:space="0" w:color="000000"/>
              <w:right w:val="single" w:sz="4" w:space="0" w:color="000000"/>
            </w:tcBorders>
            <w:hideMark/>
          </w:tcPr>
          <w:p w14:paraId="2523B929" w14:textId="77777777" w:rsidR="001C15F0" w:rsidRDefault="00314C3D">
            <w:pPr>
              <w:pStyle w:val="TableParagraph"/>
              <w:ind w:left="108" w:right="66"/>
              <w:rPr>
                <w:spacing w:val="-2"/>
                <w:sz w:val="20"/>
                <w:szCs w:val="20"/>
                <w:lang w:val="da-DK"/>
              </w:rPr>
            </w:pPr>
            <w:r w:rsidRPr="001C15F0">
              <w:rPr>
                <w:spacing w:val="-2"/>
                <w:sz w:val="20"/>
                <w:szCs w:val="20"/>
                <w:lang w:val="da-DK"/>
              </w:rPr>
              <w:t xml:space="preserve">Ophidselse </w:t>
            </w:r>
          </w:p>
          <w:p w14:paraId="4E2E9577" w14:textId="77777777" w:rsidR="001C15F0" w:rsidRDefault="00314C3D">
            <w:pPr>
              <w:pStyle w:val="TableParagraph"/>
              <w:ind w:left="108" w:right="66"/>
              <w:rPr>
                <w:spacing w:val="-2"/>
                <w:sz w:val="20"/>
                <w:szCs w:val="20"/>
                <w:lang w:val="da-DK"/>
              </w:rPr>
            </w:pPr>
            <w:r w:rsidRPr="001C15F0">
              <w:rPr>
                <w:spacing w:val="-2"/>
                <w:sz w:val="20"/>
                <w:szCs w:val="20"/>
                <w:lang w:val="da-DK"/>
              </w:rPr>
              <w:t xml:space="preserve">Angst </w:t>
            </w:r>
          </w:p>
          <w:p w14:paraId="09D53CF2" w14:textId="668317A2" w:rsidR="00314C3D" w:rsidRPr="001C15F0" w:rsidRDefault="00314C3D">
            <w:pPr>
              <w:pStyle w:val="TableParagraph"/>
              <w:ind w:left="108" w:right="66"/>
              <w:rPr>
                <w:sz w:val="20"/>
                <w:szCs w:val="20"/>
                <w:lang w:val="da-DK"/>
              </w:rPr>
            </w:pPr>
            <w:r w:rsidRPr="001C15F0">
              <w:rPr>
                <w:spacing w:val="-2"/>
                <w:sz w:val="20"/>
                <w:szCs w:val="20"/>
                <w:lang w:val="da-DK"/>
              </w:rPr>
              <w:t>Rastløshed</w:t>
            </w:r>
          </w:p>
        </w:tc>
        <w:tc>
          <w:tcPr>
            <w:tcW w:w="828" w:type="pct"/>
            <w:tcBorders>
              <w:top w:val="single" w:sz="4" w:space="0" w:color="000000"/>
              <w:left w:val="single" w:sz="4" w:space="0" w:color="000000"/>
              <w:bottom w:val="single" w:sz="4" w:space="0" w:color="000000"/>
              <w:right w:val="single" w:sz="4" w:space="0" w:color="000000"/>
            </w:tcBorders>
            <w:hideMark/>
          </w:tcPr>
          <w:p w14:paraId="1C3BA573" w14:textId="77777777" w:rsidR="001C15F0" w:rsidRDefault="00314C3D">
            <w:pPr>
              <w:pStyle w:val="TableParagraph"/>
              <w:ind w:left="108" w:right="414"/>
              <w:rPr>
                <w:spacing w:val="-2"/>
                <w:sz w:val="20"/>
                <w:szCs w:val="20"/>
                <w:lang w:val="da-DK"/>
              </w:rPr>
            </w:pPr>
            <w:r w:rsidRPr="001C15F0">
              <w:rPr>
                <w:spacing w:val="-2"/>
                <w:sz w:val="20"/>
                <w:szCs w:val="20"/>
                <w:lang w:val="da-DK"/>
              </w:rPr>
              <w:t xml:space="preserve">Mareridt </w:t>
            </w:r>
          </w:p>
          <w:p w14:paraId="3469770C" w14:textId="77777777" w:rsidR="001C15F0" w:rsidRDefault="00314C3D">
            <w:pPr>
              <w:pStyle w:val="TableParagraph"/>
              <w:ind w:left="108" w:right="414"/>
              <w:rPr>
                <w:spacing w:val="-2"/>
                <w:sz w:val="20"/>
                <w:szCs w:val="20"/>
                <w:lang w:val="da-DK"/>
              </w:rPr>
            </w:pPr>
            <w:proofErr w:type="spellStart"/>
            <w:r w:rsidRPr="001C15F0">
              <w:rPr>
                <w:spacing w:val="-2"/>
                <w:sz w:val="20"/>
                <w:szCs w:val="20"/>
                <w:lang w:val="da-DK"/>
              </w:rPr>
              <w:t>Katatoni</w:t>
            </w:r>
            <w:proofErr w:type="spellEnd"/>
            <w:r w:rsidRPr="001C15F0">
              <w:rPr>
                <w:spacing w:val="-2"/>
                <w:sz w:val="20"/>
                <w:szCs w:val="20"/>
                <w:lang w:val="da-DK"/>
              </w:rPr>
              <w:t xml:space="preserve"> </w:t>
            </w:r>
          </w:p>
          <w:p w14:paraId="548FD080" w14:textId="3746DBC2" w:rsidR="00314C3D" w:rsidRPr="001C15F0" w:rsidRDefault="00314C3D">
            <w:pPr>
              <w:pStyle w:val="TableParagraph"/>
              <w:ind w:left="108" w:right="414"/>
              <w:rPr>
                <w:sz w:val="20"/>
                <w:szCs w:val="20"/>
                <w:lang w:val="da-DK"/>
              </w:rPr>
            </w:pPr>
            <w:r w:rsidRPr="001C15F0">
              <w:rPr>
                <w:spacing w:val="-2"/>
                <w:sz w:val="20"/>
                <w:szCs w:val="20"/>
                <w:lang w:val="da-DK"/>
              </w:rPr>
              <w:t>Panikanfald</w:t>
            </w:r>
          </w:p>
        </w:tc>
        <w:tc>
          <w:tcPr>
            <w:tcW w:w="849" w:type="pct"/>
            <w:tcBorders>
              <w:top w:val="single" w:sz="4" w:space="0" w:color="000000"/>
              <w:left w:val="single" w:sz="4" w:space="0" w:color="000000"/>
              <w:bottom w:val="single" w:sz="4" w:space="0" w:color="000000"/>
              <w:right w:val="single" w:sz="4" w:space="0" w:color="000000"/>
            </w:tcBorders>
            <w:hideMark/>
          </w:tcPr>
          <w:p w14:paraId="2C3EAE5F" w14:textId="4D08CB78" w:rsidR="00314C3D" w:rsidRPr="001C15F0" w:rsidRDefault="00314C3D">
            <w:pPr>
              <w:pStyle w:val="TableParagraph"/>
              <w:ind w:left="108" w:right="101"/>
              <w:rPr>
                <w:sz w:val="20"/>
                <w:szCs w:val="20"/>
                <w:lang w:val="da-DK"/>
              </w:rPr>
            </w:pPr>
            <w:r w:rsidRPr="001C15F0">
              <w:rPr>
                <w:spacing w:val="-2"/>
                <w:sz w:val="20"/>
                <w:szCs w:val="20"/>
                <w:lang w:val="da-DK"/>
              </w:rPr>
              <w:t>Selvmordsadfæ</w:t>
            </w:r>
            <w:r w:rsidRPr="001C15F0">
              <w:rPr>
                <w:spacing w:val="-6"/>
                <w:sz w:val="20"/>
                <w:szCs w:val="20"/>
                <w:lang w:val="da-DK"/>
              </w:rPr>
              <w:t>rd</w:t>
            </w:r>
          </w:p>
        </w:tc>
        <w:tc>
          <w:tcPr>
            <w:tcW w:w="1066" w:type="pct"/>
            <w:tcBorders>
              <w:top w:val="single" w:sz="4" w:space="0" w:color="000000"/>
              <w:left w:val="single" w:sz="4" w:space="0" w:color="000000"/>
              <w:bottom w:val="single" w:sz="4" w:space="0" w:color="000000"/>
              <w:right w:val="single" w:sz="4" w:space="0" w:color="000000"/>
            </w:tcBorders>
            <w:hideMark/>
          </w:tcPr>
          <w:p w14:paraId="7BB42D41" w14:textId="657298B4" w:rsidR="00314C3D" w:rsidRPr="001C15F0" w:rsidRDefault="00314C3D">
            <w:pPr>
              <w:pStyle w:val="TableParagraph"/>
              <w:ind w:left="108"/>
              <w:rPr>
                <w:sz w:val="20"/>
                <w:szCs w:val="20"/>
                <w:lang w:val="da-DK"/>
              </w:rPr>
            </w:pPr>
            <w:r w:rsidRPr="001C15F0">
              <w:rPr>
                <w:spacing w:val="-2"/>
                <w:sz w:val="20"/>
                <w:szCs w:val="20"/>
                <w:lang w:val="da-DK"/>
              </w:rPr>
              <w:t>Søvnforstyrr</w:t>
            </w:r>
            <w:r w:rsidRPr="001C15F0">
              <w:rPr>
                <w:sz w:val="20"/>
                <w:szCs w:val="20"/>
                <w:lang w:val="da-DK"/>
              </w:rPr>
              <w:t>elser ****</w:t>
            </w:r>
          </w:p>
        </w:tc>
      </w:tr>
      <w:tr w:rsidR="00314C3D" w:rsidRPr="00212B5E" w14:paraId="00D2BE82" w14:textId="77777777" w:rsidTr="001C15F0">
        <w:trPr>
          <w:trHeight w:val="1517"/>
        </w:trPr>
        <w:tc>
          <w:tcPr>
            <w:tcW w:w="782" w:type="pct"/>
            <w:tcBorders>
              <w:top w:val="single" w:sz="4" w:space="0" w:color="000000"/>
              <w:left w:val="single" w:sz="4" w:space="0" w:color="000000"/>
              <w:bottom w:val="single" w:sz="4" w:space="0" w:color="000000"/>
              <w:right w:val="single" w:sz="4" w:space="0" w:color="000000"/>
            </w:tcBorders>
            <w:hideMark/>
          </w:tcPr>
          <w:p w14:paraId="07C348FE" w14:textId="77777777" w:rsidR="00314C3D" w:rsidRPr="001C15F0" w:rsidRDefault="00314C3D">
            <w:pPr>
              <w:pStyle w:val="TableParagraph"/>
              <w:ind w:left="108"/>
              <w:rPr>
                <w:sz w:val="20"/>
                <w:szCs w:val="20"/>
                <w:lang w:val="da-DK"/>
              </w:rPr>
            </w:pPr>
            <w:r w:rsidRPr="001C15F0">
              <w:rPr>
                <w:spacing w:val="-2"/>
                <w:sz w:val="20"/>
                <w:szCs w:val="20"/>
                <w:lang w:val="da-DK"/>
              </w:rPr>
              <w:t>Nervesystemet</w:t>
            </w:r>
          </w:p>
        </w:tc>
        <w:tc>
          <w:tcPr>
            <w:tcW w:w="466" w:type="pct"/>
            <w:tcBorders>
              <w:top w:val="single" w:sz="4" w:space="0" w:color="000000"/>
              <w:left w:val="single" w:sz="4" w:space="0" w:color="000000"/>
              <w:bottom w:val="single" w:sz="4" w:space="0" w:color="000000"/>
              <w:right w:val="single" w:sz="4" w:space="0" w:color="000000"/>
            </w:tcBorders>
            <w:hideMark/>
          </w:tcPr>
          <w:p w14:paraId="69D3E514" w14:textId="77777777" w:rsidR="00314C3D" w:rsidRPr="001C15F0" w:rsidRDefault="00314C3D">
            <w:pPr>
              <w:pStyle w:val="TableParagraph"/>
              <w:ind w:right="139"/>
              <w:jc w:val="center"/>
              <w:rPr>
                <w:sz w:val="20"/>
                <w:szCs w:val="20"/>
                <w:lang w:val="da-DK"/>
              </w:rPr>
            </w:pPr>
            <w:proofErr w:type="spellStart"/>
            <w:r w:rsidRPr="001C15F0">
              <w:rPr>
                <w:spacing w:val="-2"/>
                <w:sz w:val="20"/>
                <w:szCs w:val="20"/>
                <w:lang w:val="da-DK"/>
              </w:rPr>
              <w:t>Akatisi</w:t>
            </w:r>
            <w:proofErr w:type="spellEnd"/>
          </w:p>
        </w:tc>
        <w:tc>
          <w:tcPr>
            <w:tcW w:w="1010" w:type="pct"/>
            <w:tcBorders>
              <w:top w:val="single" w:sz="4" w:space="0" w:color="000000"/>
              <w:left w:val="single" w:sz="4" w:space="0" w:color="000000"/>
              <w:bottom w:val="single" w:sz="4" w:space="0" w:color="000000"/>
              <w:right w:val="single" w:sz="4" w:space="0" w:color="000000"/>
            </w:tcBorders>
            <w:hideMark/>
          </w:tcPr>
          <w:p w14:paraId="0BDF9ECC" w14:textId="77777777" w:rsidR="001C15F0" w:rsidRDefault="00314C3D">
            <w:pPr>
              <w:pStyle w:val="TableParagraph"/>
              <w:ind w:left="108"/>
              <w:rPr>
                <w:spacing w:val="-2"/>
                <w:sz w:val="20"/>
                <w:szCs w:val="20"/>
                <w:lang w:val="da-DK"/>
              </w:rPr>
            </w:pPr>
            <w:proofErr w:type="spellStart"/>
            <w:r w:rsidRPr="001C15F0">
              <w:rPr>
                <w:spacing w:val="-2"/>
                <w:sz w:val="20"/>
                <w:szCs w:val="20"/>
                <w:lang w:val="da-DK"/>
              </w:rPr>
              <w:t>Somnolens</w:t>
            </w:r>
            <w:proofErr w:type="spellEnd"/>
            <w:r w:rsidRPr="001C15F0">
              <w:rPr>
                <w:spacing w:val="-2"/>
                <w:sz w:val="20"/>
                <w:szCs w:val="20"/>
                <w:lang w:val="da-DK"/>
              </w:rPr>
              <w:t xml:space="preserve">* </w:t>
            </w:r>
          </w:p>
          <w:p w14:paraId="7B349D36" w14:textId="77777777" w:rsidR="001C15F0" w:rsidRDefault="00314C3D" w:rsidP="001C15F0">
            <w:pPr>
              <w:pStyle w:val="TableParagraph"/>
              <w:ind w:left="108"/>
              <w:rPr>
                <w:spacing w:val="-6"/>
                <w:sz w:val="20"/>
                <w:szCs w:val="20"/>
                <w:lang w:val="da-DK"/>
              </w:rPr>
            </w:pPr>
            <w:r w:rsidRPr="001C15F0">
              <w:rPr>
                <w:spacing w:val="-2"/>
                <w:sz w:val="20"/>
                <w:szCs w:val="20"/>
                <w:lang w:val="da-DK"/>
              </w:rPr>
              <w:t>Parkinsonisme</w:t>
            </w:r>
            <w:r w:rsidRPr="001C15F0">
              <w:rPr>
                <w:spacing w:val="-6"/>
                <w:sz w:val="20"/>
                <w:szCs w:val="20"/>
                <w:lang w:val="da-DK"/>
              </w:rPr>
              <w:t>**</w:t>
            </w:r>
          </w:p>
          <w:p w14:paraId="06FDB4A4" w14:textId="77777777" w:rsidR="001C15F0" w:rsidRDefault="001C15F0" w:rsidP="001C15F0">
            <w:pPr>
              <w:pStyle w:val="TableParagraph"/>
              <w:ind w:left="108"/>
              <w:rPr>
                <w:spacing w:val="-2"/>
                <w:sz w:val="20"/>
                <w:szCs w:val="20"/>
                <w:lang w:val="da-DK"/>
              </w:rPr>
            </w:pPr>
            <w:r>
              <w:rPr>
                <w:spacing w:val="-2"/>
                <w:sz w:val="20"/>
                <w:szCs w:val="20"/>
                <w:lang w:val="da-DK"/>
              </w:rPr>
              <w:t>S</w:t>
            </w:r>
            <w:r w:rsidR="00314C3D" w:rsidRPr="001C15F0">
              <w:rPr>
                <w:spacing w:val="-2"/>
                <w:sz w:val="20"/>
                <w:szCs w:val="20"/>
                <w:lang w:val="da-DK"/>
              </w:rPr>
              <w:t>vimmelhed</w:t>
            </w:r>
          </w:p>
          <w:p w14:paraId="0B724261" w14:textId="77777777" w:rsidR="001C15F0" w:rsidRDefault="00314C3D" w:rsidP="001C15F0">
            <w:pPr>
              <w:pStyle w:val="TableParagraph"/>
              <w:ind w:left="108"/>
              <w:rPr>
                <w:spacing w:val="-2"/>
                <w:sz w:val="20"/>
                <w:szCs w:val="20"/>
                <w:lang w:val="da-DK"/>
              </w:rPr>
            </w:pPr>
            <w:proofErr w:type="spellStart"/>
            <w:r w:rsidRPr="001C15F0">
              <w:rPr>
                <w:spacing w:val="-2"/>
                <w:sz w:val="20"/>
                <w:szCs w:val="20"/>
                <w:lang w:val="da-DK"/>
              </w:rPr>
              <w:t>Dystoni</w:t>
            </w:r>
            <w:proofErr w:type="spellEnd"/>
            <w:r w:rsidRPr="001C15F0">
              <w:rPr>
                <w:spacing w:val="-2"/>
                <w:sz w:val="20"/>
                <w:szCs w:val="20"/>
                <w:lang w:val="da-DK"/>
              </w:rPr>
              <w:t xml:space="preserve">*** </w:t>
            </w:r>
          </w:p>
          <w:p w14:paraId="300A965B" w14:textId="14D00591" w:rsidR="00314C3D" w:rsidRPr="001C15F0" w:rsidRDefault="00314C3D" w:rsidP="001C15F0">
            <w:pPr>
              <w:pStyle w:val="TableParagraph"/>
              <w:ind w:left="108"/>
              <w:rPr>
                <w:sz w:val="20"/>
                <w:szCs w:val="20"/>
                <w:lang w:val="da-DK"/>
              </w:rPr>
            </w:pPr>
            <w:proofErr w:type="spellStart"/>
            <w:r w:rsidRPr="001C15F0">
              <w:rPr>
                <w:spacing w:val="-2"/>
                <w:sz w:val="20"/>
                <w:szCs w:val="20"/>
                <w:lang w:val="da-DK"/>
              </w:rPr>
              <w:t>Dyskinesi</w:t>
            </w:r>
            <w:proofErr w:type="spellEnd"/>
          </w:p>
        </w:tc>
        <w:tc>
          <w:tcPr>
            <w:tcW w:w="828" w:type="pct"/>
            <w:tcBorders>
              <w:top w:val="single" w:sz="4" w:space="0" w:color="000000"/>
              <w:left w:val="single" w:sz="4" w:space="0" w:color="000000"/>
              <w:bottom w:val="single" w:sz="4" w:space="0" w:color="000000"/>
              <w:right w:val="single" w:sz="4" w:space="0" w:color="000000"/>
            </w:tcBorders>
            <w:hideMark/>
          </w:tcPr>
          <w:p w14:paraId="3FB56815" w14:textId="77777777" w:rsidR="001C15F0" w:rsidRDefault="00314C3D">
            <w:pPr>
              <w:pStyle w:val="TableParagraph"/>
              <w:ind w:left="108" w:right="240"/>
              <w:rPr>
                <w:spacing w:val="-2"/>
                <w:sz w:val="20"/>
                <w:szCs w:val="20"/>
                <w:lang w:val="da-DK"/>
              </w:rPr>
            </w:pPr>
            <w:r w:rsidRPr="001C15F0">
              <w:rPr>
                <w:spacing w:val="-2"/>
                <w:sz w:val="20"/>
                <w:szCs w:val="20"/>
                <w:lang w:val="da-DK"/>
              </w:rPr>
              <w:t>Sløvhed</w:t>
            </w:r>
          </w:p>
          <w:p w14:paraId="59304D16" w14:textId="77777777" w:rsidR="001C15F0" w:rsidRDefault="00314C3D">
            <w:pPr>
              <w:pStyle w:val="TableParagraph"/>
              <w:ind w:left="108" w:right="240"/>
              <w:rPr>
                <w:spacing w:val="-2"/>
                <w:sz w:val="20"/>
                <w:szCs w:val="20"/>
                <w:lang w:val="da-DK"/>
              </w:rPr>
            </w:pPr>
            <w:proofErr w:type="spellStart"/>
            <w:r w:rsidRPr="001C15F0">
              <w:rPr>
                <w:spacing w:val="-2"/>
                <w:sz w:val="20"/>
                <w:szCs w:val="20"/>
                <w:lang w:val="da-DK"/>
              </w:rPr>
              <w:t>Dysartri</w:t>
            </w:r>
            <w:proofErr w:type="spellEnd"/>
            <w:r w:rsidRPr="001C15F0">
              <w:rPr>
                <w:spacing w:val="-2"/>
                <w:sz w:val="20"/>
                <w:szCs w:val="20"/>
                <w:lang w:val="da-DK"/>
              </w:rPr>
              <w:t xml:space="preserve"> </w:t>
            </w:r>
          </w:p>
          <w:p w14:paraId="79EE704C" w14:textId="77777777" w:rsidR="001C15F0" w:rsidRDefault="00314C3D">
            <w:pPr>
              <w:pStyle w:val="TableParagraph"/>
              <w:ind w:left="108" w:right="240"/>
              <w:rPr>
                <w:spacing w:val="-2"/>
                <w:sz w:val="20"/>
                <w:szCs w:val="20"/>
                <w:lang w:val="da-DK"/>
              </w:rPr>
            </w:pPr>
            <w:proofErr w:type="spellStart"/>
            <w:r w:rsidRPr="001C15F0">
              <w:rPr>
                <w:spacing w:val="-2"/>
                <w:sz w:val="20"/>
                <w:szCs w:val="20"/>
                <w:lang w:val="da-DK"/>
              </w:rPr>
              <w:t>Tardivdyskinesi</w:t>
            </w:r>
            <w:proofErr w:type="spellEnd"/>
            <w:r w:rsidRPr="001C15F0">
              <w:rPr>
                <w:spacing w:val="-2"/>
                <w:sz w:val="20"/>
                <w:szCs w:val="20"/>
                <w:lang w:val="da-DK"/>
              </w:rPr>
              <w:t xml:space="preserve"> </w:t>
            </w:r>
          </w:p>
          <w:p w14:paraId="633EAB4F" w14:textId="77777777" w:rsidR="001C15F0" w:rsidRDefault="00314C3D">
            <w:pPr>
              <w:pStyle w:val="TableParagraph"/>
              <w:ind w:left="108" w:right="240"/>
              <w:rPr>
                <w:spacing w:val="-2"/>
                <w:sz w:val="20"/>
                <w:szCs w:val="20"/>
                <w:lang w:val="da-DK"/>
              </w:rPr>
            </w:pPr>
            <w:r w:rsidRPr="001C15F0">
              <w:rPr>
                <w:spacing w:val="-2"/>
                <w:sz w:val="20"/>
                <w:szCs w:val="20"/>
                <w:lang w:val="da-DK"/>
              </w:rPr>
              <w:t xml:space="preserve">Synkope </w:t>
            </w:r>
          </w:p>
          <w:p w14:paraId="2136F44F" w14:textId="4B56FD42" w:rsidR="00314C3D" w:rsidRPr="001C15F0" w:rsidRDefault="00314C3D">
            <w:pPr>
              <w:pStyle w:val="TableParagraph"/>
              <w:ind w:left="108" w:right="240"/>
              <w:rPr>
                <w:sz w:val="20"/>
                <w:szCs w:val="20"/>
                <w:lang w:val="da-DK"/>
              </w:rPr>
            </w:pPr>
            <w:r w:rsidRPr="001C15F0">
              <w:rPr>
                <w:spacing w:val="-2"/>
                <w:sz w:val="20"/>
                <w:szCs w:val="20"/>
                <w:lang w:val="da-DK"/>
              </w:rPr>
              <w:t>Krampeanfald</w:t>
            </w:r>
          </w:p>
        </w:tc>
        <w:tc>
          <w:tcPr>
            <w:tcW w:w="849" w:type="pct"/>
            <w:tcBorders>
              <w:top w:val="single" w:sz="4" w:space="0" w:color="000000"/>
              <w:left w:val="single" w:sz="4" w:space="0" w:color="000000"/>
              <w:bottom w:val="single" w:sz="4" w:space="0" w:color="000000"/>
              <w:right w:val="single" w:sz="4" w:space="0" w:color="000000"/>
            </w:tcBorders>
            <w:hideMark/>
          </w:tcPr>
          <w:p w14:paraId="57397C20" w14:textId="77777777" w:rsidR="001C15F0" w:rsidRDefault="00314C3D">
            <w:pPr>
              <w:pStyle w:val="TableParagraph"/>
              <w:ind w:left="108" w:right="76"/>
              <w:rPr>
                <w:sz w:val="20"/>
                <w:szCs w:val="20"/>
                <w:lang w:val="da-DK"/>
              </w:rPr>
            </w:pPr>
            <w:r w:rsidRPr="001C15F0">
              <w:rPr>
                <w:spacing w:val="-2"/>
                <w:sz w:val="20"/>
                <w:szCs w:val="20"/>
                <w:lang w:val="da-DK"/>
              </w:rPr>
              <w:t xml:space="preserve">Malignt </w:t>
            </w:r>
            <w:proofErr w:type="spellStart"/>
            <w:r w:rsidRPr="001C15F0">
              <w:rPr>
                <w:spacing w:val="-2"/>
                <w:sz w:val="20"/>
                <w:szCs w:val="20"/>
                <w:lang w:val="da-DK"/>
              </w:rPr>
              <w:t>neuroleptikasyn</w:t>
            </w:r>
            <w:r w:rsidRPr="001C15F0">
              <w:rPr>
                <w:sz w:val="20"/>
                <w:szCs w:val="20"/>
                <w:lang w:val="da-DK"/>
              </w:rPr>
              <w:t>drom</w:t>
            </w:r>
            <w:proofErr w:type="spellEnd"/>
            <w:r w:rsidRPr="001C15F0">
              <w:rPr>
                <w:sz w:val="20"/>
                <w:szCs w:val="20"/>
                <w:lang w:val="da-DK"/>
              </w:rPr>
              <w:t xml:space="preserve"> (NMS) </w:t>
            </w:r>
          </w:p>
          <w:p w14:paraId="5447321C" w14:textId="1A29F8C6" w:rsidR="00314C3D" w:rsidRPr="001C15F0" w:rsidRDefault="001C15F0">
            <w:pPr>
              <w:pStyle w:val="TableParagraph"/>
              <w:ind w:left="108" w:right="76"/>
              <w:rPr>
                <w:sz w:val="20"/>
                <w:szCs w:val="20"/>
                <w:lang w:val="da-DK"/>
              </w:rPr>
            </w:pPr>
            <w:proofErr w:type="spellStart"/>
            <w:r>
              <w:rPr>
                <w:sz w:val="20"/>
                <w:szCs w:val="20"/>
                <w:lang w:val="da-DK"/>
              </w:rPr>
              <w:t>C</w:t>
            </w:r>
            <w:r w:rsidR="00314C3D" w:rsidRPr="001C15F0">
              <w:rPr>
                <w:spacing w:val="-2"/>
                <w:sz w:val="20"/>
                <w:szCs w:val="20"/>
                <w:lang w:val="da-DK"/>
              </w:rPr>
              <w:t>erebrovaskulæ</w:t>
            </w:r>
            <w:r w:rsidR="00314C3D" w:rsidRPr="001C15F0">
              <w:rPr>
                <w:sz w:val="20"/>
                <w:szCs w:val="20"/>
                <w:lang w:val="da-DK"/>
              </w:rPr>
              <w:t>r</w:t>
            </w:r>
            <w:proofErr w:type="spellEnd"/>
            <w:r w:rsidR="00314C3D" w:rsidRPr="001C15F0">
              <w:rPr>
                <w:sz w:val="20"/>
                <w:szCs w:val="20"/>
                <w:lang w:val="da-DK"/>
              </w:rPr>
              <w:t xml:space="preserve"> hændelse</w:t>
            </w:r>
          </w:p>
        </w:tc>
        <w:tc>
          <w:tcPr>
            <w:tcW w:w="1066" w:type="pct"/>
            <w:tcBorders>
              <w:top w:val="single" w:sz="4" w:space="0" w:color="000000"/>
              <w:left w:val="single" w:sz="4" w:space="0" w:color="000000"/>
              <w:bottom w:val="single" w:sz="4" w:space="0" w:color="000000"/>
              <w:right w:val="single" w:sz="4" w:space="0" w:color="000000"/>
            </w:tcBorders>
          </w:tcPr>
          <w:p w14:paraId="4A5A2F3B" w14:textId="77777777" w:rsidR="00314C3D" w:rsidRPr="001C15F0" w:rsidRDefault="00314C3D">
            <w:pPr>
              <w:pStyle w:val="TableParagraph"/>
              <w:rPr>
                <w:sz w:val="20"/>
                <w:szCs w:val="20"/>
                <w:lang w:val="da-DK"/>
              </w:rPr>
            </w:pPr>
          </w:p>
        </w:tc>
      </w:tr>
      <w:tr w:rsidR="00314C3D" w:rsidRPr="00212B5E" w14:paraId="762C294F" w14:textId="77777777" w:rsidTr="001C15F0">
        <w:trPr>
          <w:trHeight w:val="332"/>
        </w:trPr>
        <w:tc>
          <w:tcPr>
            <w:tcW w:w="782" w:type="pct"/>
            <w:tcBorders>
              <w:top w:val="single" w:sz="4" w:space="0" w:color="000000"/>
              <w:left w:val="single" w:sz="4" w:space="0" w:color="000000"/>
              <w:bottom w:val="single" w:sz="4" w:space="0" w:color="000000"/>
              <w:right w:val="single" w:sz="4" w:space="0" w:color="000000"/>
            </w:tcBorders>
            <w:hideMark/>
          </w:tcPr>
          <w:p w14:paraId="2FE32D10" w14:textId="77777777" w:rsidR="00314C3D" w:rsidRPr="001C15F0" w:rsidRDefault="00314C3D">
            <w:pPr>
              <w:pStyle w:val="TableParagraph"/>
              <w:ind w:left="108"/>
              <w:rPr>
                <w:sz w:val="20"/>
                <w:szCs w:val="20"/>
                <w:lang w:val="da-DK"/>
              </w:rPr>
            </w:pPr>
            <w:r w:rsidRPr="001C15F0">
              <w:rPr>
                <w:spacing w:val="-4"/>
                <w:sz w:val="20"/>
                <w:szCs w:val="20"/>
                <w:lang w:val="da-DK"/>
              </w:rPr>
              <w:t>Øjne</w:t>
            </w:r>
          </w:p>
        </w:tc>
        <w:tc>
          <w:tcPr>
            <w:tcW w:w="466" w:type="pct"/>
            <w:tcBorders>
              <w:top w:val="single" w:sz="4" w:space="0" w:color="000000"/>
              <w:left w:val="single" w:sz="4" w:space="0" w:color="000000"/>
              <w:bottom w:val="single" w:sz="4" w:space="0" w:color="000000"/>
              <w:right w:val="single" w:sz="4" w:space="0" w:color="000000"/>
            </w:tcBorders>
          </w:tcPr>
          <w:p w14:paraId="39447C41"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135FACDC" w14:textId="77777777" w:rsidR="00314C3D" w:rsidRPr="001C15F0" w:rsidRDefault="00314C3D">
            <w:pPr>
              <w:pStyle w:val="TableParagraph"/>
              <w:rPr>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hideMark/>
          </w:tcPr>
          <w:p w14:paraId="58772A9E" w14:textId="77777777" w:rsidR="00314C3D" w:rsidRPr="001C15F0" w:rsidRDefault="00314C3D">
            <w:pPr>
              <w:pStyle w:val="TableParagraph"/>
              <w:ind w:left="108"/>
              <w:rPr>
                <w:sz w:val="20"/>
                <w:szCs w:val="20"/>
                <w:lang w:val="da-DK"/>
              </w:rPr>
            </w:pPr>
            <w:r w:rsidRPr="001C15F0">
              <w:rPr>
                <w:sz w:val="20"/>
                <w:szCs w:val="20"/>
                <w:lang w:val="da-DK"/>
              </w:rPr>
              <w:t xml:space="preserve">Sløret </w:t>
            </w:r>
            <w:r w:rsidRPr="001C15F0">
              <w:rPr>
                <w:spacing w:val="-5"/>
                <w:sz w:val="20"/>
                <w:szCs w:val="20"/>
                <w:lang w:val="da-DK"/>
              </w:rPr>
              <w:t>syn</w:t>
            </w:r>
          </w:p>
        </w:tc>
        <w:tc>
          <w:tcPr>
            <w:tcW w:w="849" w:type="pct"/>
            <w:tcBorders>
              <w:top w:val="single" w:sz="4" w:space="0" w:color="000000"/>
              <w:left w:val="single" w:sz="4" w:space="0" w:color="000000"/>
              <w:bottom w:val="single" w:sz="4" w:space="0" w:color="000000"/>
              <w:right w:val="single" w:sz="4" w:space="0" w:color="000000"/>
            </w:tcBorders>
          </w:tcPr>
          <w:p w14:paraId="6EAAE02A"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2C669343" w14:textId="77777777" w:rsidR="00314C3D" w:rsidRPr="001C15F0" w:rsidRDefault="00314C3D">
            <w:pPr>
              <w:pStyle w:val="TableParagraph"/>
              <w:rPr>
                <w:sz w:val="20"/>
                <w:szCs w:val="20"/>
                <w:lang w:val="da-DK"/>
              </w:rPr>
            </w:pPr>
          </w:p>
        </w:tc>
      </w:tr>
      <w:tr w:rsidR="00314C3D" w:rsidRPr="00212B5E" w14:paraId="34E4BEC0" w14:textId="77777777" w:rsidTr="001C15F0">
        <w:trPr>
          <w:trHeight w:val="817"/>
        </w:trPr>
        <w:tc>
          <w:tcPr>
            <w:tcW w:w="782" w:type="pct"/>
            <w:tcBorders>
              <w:top w:val="single" w:sz="4" w:space="0" w:color="000000"/>
              <w:left w:val="single" w:sz="4" w:space="0" w:color="000000"/>
              <w:bottom w:val="single" w:sz="4" w:space="0" w:color="000000"/>
              <w:right w:val="single" w:sz="4" w:space="0" w:color="000000"/>
            </w:tcBorders>
            <w:hideMark/>
          </w:tcPr>
          <w:p w14:paraId="1739AFD7" w14:textId="77777777" w:rsidR="00314C3D" w:rsidRPr="001C15F0" w:rsidRDefault="00314C3D">
            <w:pPr>
              <w:pStyle w:val="TableParagraph"/>
              <w:ind w:left="108"/>
              <w:rPr>
                <w:sz w:val="20"/>
                <w:szCs w:val="20"/>
                <w:lang w:val="da-DK"/>
              </w:rPr>
            </w:pPr>
            <w:r w:rsidRPr="001C15F0">
              <w:rPr>
                <w:sz w:val="20"/>
                <w:szCs w:val="20"/>
                <w:lang w:val="da-DK"/>
              </w:rPr>
              <w:t xml:space="preserve">Øre og </w:t>
            </w:r>
            <w:r w:rsidRPr="001C15F0">
              <w:rPr>
                <w:spacing w:val="-2"/>
                <w:sz w:val="20"/>
                <w:szCs w:val="20"/>
                <w:lang w:val="da-DK"/>
              </w:rPr>
              <w:t>labyrint</w:t>
            </w:r>
          </w:p>
        </w:tc>
        <w:tc>
          <w:tcPr>
            <w:tcW w:w="466" w:type="pct"/>
            <w:tcBorders>
              <w:top w:val="single" w:sz="4" w:space="0" w:color="000000"/>
              <w:left w:val="single" w:sz="4" w:space="0" w:color="000000"/>
              <w:bottom w:val="single" w:sz="4" w:space="0" w:color="000000"/>
              <w:right w:val="single" w:sz="4" w:space="0" w:color="000000"/>
            </w:tcBorders>
          </w:tcPr>
          <w:p w14:paraId="1B1B9390"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0BF8C798" w14:textId="77777777" w:rsidR="00314C3D" w:rsidRPr="001C15F0" w:rsidRDefault="00314C3D">
            <w:pPr>
              <w:pStyle w:val="TableParagraph"/>
              <w:rPr>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hideMark/>
          </w:tcPr>
          <w:p w14:paraId="620DC23F" w14:textId="77777777" w:rsidR="00314C3D" w:rsidRPr="001C15F0" w:rsidRDefault="00314C3D">
            <w:pPr>
              <w:pStyle w:val="TableParagraph"/>
              <w:ind w:left="108"/>
              <w:rPr>
                <w:sz w:val="20"/>
                <w:szCs w:val="20"/>
                <w:lang w:val="da-DK"/>
              </w:rPr>
            </w:pPr>
            <w:r w:rsidRPr="001C15F0">
              <w:rPr>
                <w:spacing w:val="-2"/>
                <w:sz w:val="20"/>
                <w:szCs w:val="20"/>
                <w:lang w:val="da-DK"/>
              </w:rPr>
              <w:t>Svimmelhed</w:t>
            </w:r>
          </w:p>
        </w:tc>
        <w:tc>
          <w:tcPr>
            <w:tcW w:w="849" w:type="pct"/>
            <w:tcBorders>
              <w:top w:val="single" w:sz="4" w:space="0" w:color="000000"/>
              <w:left w:val="single" w:sz="4" w:space="0" w:color="000000"/>
              <w:bottom w:val="single" w:sz="4" w:space="0" w:color="000000"/>
              <w:right w:val="single" w:sz="4" w:space="0" w:color="000000"/>
            </w:tcBorders>
          </w:tcPr>
          <w:p w14:paraId="44E1D549"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26C028AA" w14:textId="77777777" w:rsidR="00314C3D" w:rsidRPr="001C15F0" w:rsidRDefault="00314C3D">
            <w:pPr>
              <w:pStyle w:val="TableParagraph"/>
              <w:rPr>
                <w:sz w:val="20"/>
                <w:szCs w:val="20"/>
                <w:lang w:val="da-DK"/>
              </w:rPr>
            </w:pPr>
          </w:p>
        </w:tc>
      </w:tr>
      <w:tr w:rsidR="00314C3D" w:rsidRPr="00212B5E" w14:paraId="0A2FD7C9" w14:textId="77777777" w:rsidTr="001C15F0">
        <w:trPr>
          <w:trHeight w:val="1264"/>
        </w:trPr>
        <w:tc>
          <w:tcPr>
            <w:tcW w:w="782" w:type="pct"/>
            <w:tcBorders>
              <w:top w:val="single" w:sz="4" w:space="0" w:color="000000"/>
              <w:left w:val="single" w:sz="4" w:space="0" w:color="000000"/>
              <w:bottom w:val="single" w:sz="4" w:space="0" w:color="000000"/>
              <w:right w:val="single" w:sz="4" w:space="0" w:color="000000"/>
            </w:tcBorders>
            <w:hideMark/>
          </w:tcPr>
          <w:p w14:paraId="4676A00B" w14:textId="77777777" w:rsidR="00314C3D" w:rsidRPr="001C15F0" w:rsidRDefault="00314C3D">
            <w:pPr>
              <w:pStyle w:val="TableParagraph"/>
              <w:ind w:left="108"/>
              <w:rPr>
                <w:sz w:val="20"/>
                <w:szCs w:val="20"/>
                <w:lang w:val="da-DK"/>
              </w:rPr>
            </w:pPr>
            <w:r w:rsidRPr="001C15F0">
              <w:rPr>
                <w:spacing w:val="-2"/>
                <w:sz w:val="20"/>
                <w:szCs w:val="20"/>
                <w:lang w:val="da-DK"/>
              </w:rPr>
              <w:t>Hjerte</w:t>
            </w:r>
          </w:p>
        </w:tc>
        <w:tc>
          <w:tcPr>
            <w:tcW w:w="466" w:type="pct"/>
            <w:tcBorders>
              <w:top w:val="single" w:sz="4" w:space="0" w:color="000000"/>
              <w:left w:val="single" w:sz="4" w:space="0" w:color="000000"/>
              <w:bottom w:val="single" w:sz="4" w:space="0" w:color="000000"/>
              <w:right w:val="single" w:sz="4" w:space="0" w:color="000000"/>
            </w:tcBorders>
          </w:tcPr>
          <w:p w14:paraId="4FE6AD19"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5F8B6F86" w14:textId="77777777" w:rsidR="00314C3D" w:rsidRPr="001C15F0" w:rsidRDefault="00314C3D">
            <w:pPr>
              <w:pStyle w:val="TableParagraph"/>
              <w:ind w:left="108"/>
              <w:rPr>
                <w:sz w:val="20"/>
                <w:szCs w:val="20"/>
                <w:lang w:val="da-DK"/>
              </w:rPr>
            </w:pPr>
            <w:proofErr w:type="spellStart"/>
            <w:r w:rsidRPr="001C15F0">
              <w:rPr>
                <w:spacing w:val="-2"/>
                <w:sz w:val="20"/>
                <w:szCs w:val="20"/>
                <w:lang w:val="da-DK"/>
              </w:rPr>
              <w:t>Takykardi</w:t>
            </w:r>
            <w:proofErr w:type="spellEnd"/>
          </w:p>
        </w:tc>
        <w:tc>
          <w:tcPr>
            <w:tcW w:w="828" w:type="pct"/>
            <w:tcBorders>
              <w:top w:val="single" w:sz="4" w:space="0" w:color="000000"/>
              <w:left w:val="single" w:sz="4" w:space="0" w:color="000000"/>
              <w:bottom w:val="single" w:sz="4" w:space="0" w:color="000000"/>
              <w:right w:val="single" w:sz="4" w:space="0" w:color="000000"/>
            </w:tcBorders>
            <w:hideMark/>
          </w:tcPr>
          <w:p w14:paraId="0342408C" w14:textId="77777777" w:rsidR="00314C3D" w:rsidRPr="001C15F0" w:rsidRDefault="00314C3D">
            <w:pPr>
              <w:pStyle w:val="TableParagraph"/>
              <w:ind w:left="108"/>
              <w:rPr>
                <w:sz w:val="20"/>
                <w:szCs w:val="20"/>
                <w:lang w:val="da-DK"/>
              </w:rPr>
            </w:pPr>
            <w:r w:rsidRPr="001C15F0">
              <w:rPr>
                <w:sz w:val="20"/>
                <w:szCs w:val="20"/>
                <w:lang w:val="da-DK"/>
              </w:rPr>
              <w:t xml:space="preserve">Angina </w:t>
            </w:r>
            <w:r w:rsidRPr="001C15F0">
              <w:rPr>
                <w:spacing w:val="-2"/>
                <w:sz w:val="20"/>
                <w:szCs w:val="20"/>
                <w:lang w:val="da-DK"/>
              </w:rPr>
              <w:t>pectoris</w:t>
            </w:r>
          </w:p>
          <w:p w14:paraId="010724A5" w14:textId="77777777" w:rsidR="001C15F0" w:rsidRDefault="00314C3D">
            <w:pPr>
              <w:pStyle w:val="TableParagraph"/>
              <w:spacing w:line="250" w:lineRule="atLeast"/>
              <w:ind w:left="108" w:right="256"/>
              <w:rPr>
                <w:spacing w:val="80"/>
                <w:sz w:val="20"/>
                <w:szCs w:val="20"/>
                <w:lang w:val="da-DK"/>
              </w:rPr>
            </w:pPr>
            <w:r w:rsidRPr="001C15F0">
              <w:rPr>
                <w:sz w:val="20"/>
                <w:szCs w:val="20"/>
                <w:lang w:val="da-DK"/>
              </w:rPr>
              <w:t xml:space="preserve">1. grads </w:t>
            </w:r>
            <w:proofErr w:type="spellStart"/>
            <w:r w:rsidRPr="001C15F0">
              <w:rPr>
                <w:spacing w:val="-2"/>
                <w:sz w:val="20"/>
                <w:szCs w:val="20"/>
                <w:lang w:val="da-DK"/>
              </w:rPr>
              <w:t>atrioventrikulær</w:t>
            </w:r>
            <w:proofErr w:type="spellEnd"/>
            <w:r w:rsidRPr="001C15F0">
              <w:rPr>
                <w:spacing w:val="-2"/>
                <w:sz w:val="20"/>
                <w:szCs w:val="20"/>
                <w:lang w:val="da-DK"/>
              </w:rPr>
              <w:t xml:space="preserve"> </w:t>
            </w:r>
            <w:r w:rsidRPr="001C15F0">
              <w:rPr>
                <w:spacing w:val="-4"/>
                <w:sz w:val="20"/>
                <w:szCs w:val="20"/>
                <w:lang w:val="da-DK"/>
              </w:rPr>
              <w:t>blok</w:t>
            </w:r>
            <w:r w:rsidRPr="001C15F0">
              <w:rPr>
                <w:spacing w:val="80"/>
                <w:sz w:val="20"/>
                <w:szCs w:val="20"/>
                <w:lang w:val="da-DK"/>
              </w:rPr>
              <w:t xml:space="preserve"> </w:t>
            </w:r>
          </w:p>
          <w:p w14:paraId="1FB2FEAC" w14:textId="535BBA4E" w:rsidR="00314C3D" w:rsidRPr="001C15F0" w:rsidRDefault="00314C3D">
            <w:pPr>
              <w:pStyle w:val="TableParagraph"/>
              <w:spacing w:line="250" w:lineRule="atLeast"/>
              <w:ind w:left="108" w:right="256"/>
              <w:rPr>
                <w:sz w:val="20"/>
                <w:szCs w:val="20"/>
                <w:lang w:val="da-DK"/>
              </w:rPr>
            </w:pPr>
            <w:r w:rsidRPr="001C15F0">
              <w:rPr>
                <w:spacing w:val="-2"/>
                <w:sz w:val="20"/>
                <w:szCs w:val="20"/>
                <w:lang w:val="da-DK"/>
              </w:rPr>
              <w:t>Bradykardi</w:t>
            </w:r>
          </w:p>
        </w:tc>
        <w:tc>
          <w:tcPr>
            <w:tcW w:w="849" w:type="pct"/>
            <w:tcBorders>
              <w:top w:val="single" w:sz="4" w:space="0" w:color="000000"/>
              <w:left w:val="single" w:sz="4" w:space="0" w:color="000000"/>
              <w:bottom w:val="single" w:sz="4" w:space="0" w:color="000000"/>
              <w:right w:val="single" w:sz="4" w:space="0" w:color="000000"/>
            </w:tcBorders>
          </w:tcPr>
          <w:p w14:paraId="30E0CEB9"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3B676F91" w14:textId="77777777" w:rsidR="00314C3D" w:rsidRPr="001C15F0" w:rsidRDefault="00314C3D">
            <w:pPr>
              <w:pStyle w:val="TableParagraph"/>
              <w:rPr>
                <w:sz w:val="20"/>
                <w:szCs w:val="20"/>
                <w:lang w:val="da-DK"/>
              </w:rPr>
            </w:pPr>
          </w:p>
        </w:tc>
      </w:tr>
      <w:tr w:rsidR="00314C3D" w:rsidRPr="00212B5E" w14:paraId="4B740D75" w14:textId="77777777" w:rsidTr="001C15F0">
        <w:trPr>
          <w:trHeight w:val="1606"/>
        </w:trPr>
        <w:tc>
          <w:tcPr>
            <w:tcW w:w="782" w:type="pct"/>
            <w:tcBorders>
              <w:top w:val="single" w:sz="4" w:space="0" w:color="000000"/>
              <w:left w:val="single" w:sz="4" w:space="0" w:color="000000"/>
              <w:bottom w:val="single" w:sz="4" w:space="0" w:color="000000"/>
              <w:right w:val="single" w:sz="4" w:space="0" w:color="000000"/>
            </w:tcBorders>
            <w:hideMark/>
          </w:tcPr>
          <w:p w14:paraId="6875DFC8" w14:textId="77777777" w:rsidR="00314C3D" w:rsidRPr="001C15F0" w:rsidRDefault="00314C3D">
            <w:pPr>
              <w:pStyle w:val="TableParagraph"/>
              <w:ind w:left="108" w:right="561"/>
              <w:rPr>
                <w:sz w:val="20"/>
                <w:szCs w:val="20"/>
                <w:lang w:val="da-DK"/>
              </w:rPr>
            </w:pPr>
            <w:proofErr w:type="spellStart"/>
            <w:r w:rsidRPr="001C15F0">
              <w:rPr>
                <w:spacing w:val="-2"/>
                <w:sz w:val="20"/>
                <w:szCs w:val="20"/>
                <w:lang w:val="da-DK"/>
              </w:rPr>
              <w:t>Vaskulære</w:t>
            </w:r>
            <w:proofErr w:type="spellEnd"/>
            <w:r w:rsidRPr="001C15F0">
              <w:rPr>
                <w:spacing w:val="-2"/>
                <w:sz w:val="20"/>
                <w:szCs w:val="20"/>
                <w:lang w:val="da-DK"/>
              </w:rPr>
              <w:t xml:space="preserve"> sygdomme</w:t>
            </w:r>
          </w:p>
        </w:tc>
        <w:tc>
          <w:tcPr>
            <w:tcW w:w="466" w:type="pct"/>
            <w:tcBorders>
              <w:top w:val="single" w:sz="4" w:space="0" w:color="000000"/>
              <w:left w:val="single" w:sz="4" w:space="0" w:color="000000"/>
              <w:bottom w:val="single" w:sz="4" w:space="0" w:color="000000"/>
              <w:right w:val="single" w:sz="4" w:space="0" w:color="000000"/>
            </w:tcBorders>
          </w:tcPr>
          <w:p w14:paraId="0D16EA7B"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432E1699" w14:textId="77777777" w:rsidR="00314C3D" w:rsidRPr="001C15F0" w:rsidRDefault="00314C3D">
            <w:pPr>
              <w:pStyle w:val="TableParagraph"/>
              <w:ind w:left="108"/>
              <w:rPr>
                <w:sz w:val="20"/>
                <w:szCs w:val="20"/>
                <w:lang w:val="da-DK"/>
              </w:rPr>
            </w:pPr>
            <w:r w:rsidRPr="001C15F0">
              <w:rPr>
                <w:spacing w:val="-2"/>
                <w:sz w:val="20"/>
                <w:szCs w:val="20"/>
                <w:lang w:val="da-DK"/>
              </w:rPr>
              <w:t>Hypertension</w:t>
            </w:r>
          </w:p>
        </w:tc>
        <w:tc>
          <w:tcPr>
            <w:tcW w:w="828" w:type="pct"/>
            <w:tcBorders>
              <w:top w:val="single" w:sz="4" w:space="0" w:color="000000"/>
              <w:left w:val="single" w:sz="4" w:space="0" w:color="000000"/>
              <w:bottom w:val="single" w:sz="4" w:space="0" w:color="000000"/>
              <w:right w:val="single" w:sz="4" w:space="0" w:color="000000"/>
            </w:tcBorders>
            <w:hideMark/>
          </w:tcPr>
          <w:p w14:paraId="331A62E5" w14:textId="77777777" w:rsidR="001C15F0" w:rsidRDefault="00314C3D">
            <w:pPr>
              <w:pStyle w:val="TableParagraph"/>
              <w:ind w:left="108" w:right="113"/>
              <w:rPr>
                <w:spacing w:val="-2"/>
                <w:sz w:val="20"/>
                <w:szCs w:val="20"/>
                <w:lang w:val="da-DK"/>
              </w:rPr>
            </w:pPr>
            <w:r w:rsidRPr="001C15F0">
              <w:rPr>
                <w:spacing w:val="-2"/>
                <w:sz w:val="20"/>
                <w:szCs w:val="20"/>
                <w:lang w:val="da-DK"/>
              </w:rPr>
              <w:t>Hypotension</w:t>
            </w:r>
          </w:p>
          <w:p w14:paraId="31986D1E" w14:textId="77777777" w:rsidR="001C15F0" w:rsidRDefault="00314C3D">
            <w:pPr>
              <w:pStyle w:val="TableParagraph"/>
              <w:ind w:left="108" w:right="113"/>
              <w:rPr>
                <w:spacing w:val="-2"/>
                <w:sz w:val="20"/>
                <w:szCs w:val="20"/>
                <w:lang w:val="da-DK"/>
              </w:rPr>
            </w:pPr>
            <w:proofErr w:type="spellStart"/>
            <w:r w:rsidRPr="001C15F0">
              <w:rPr>
                <w:spacing w:val="-2"/>
                <w:sz w:val="20"/>
                <w:szCs w:val="20"/>
                <w:lang w:val="da-DK"/>
              </w:rPr>
              <w:t>Ortostatisk</w:t>
            </w:r>
            <w:proofErr w:type="spellEnd"/>
            <w:r w:rsidRPr="001C15F0">
              <w:rPr>
                <w:spacing w:val="-2"/>
                <w:sz w:val="20"/>
                <w:szCs w:val="20"/>
                <w:lang w:val="da-DK"/>
              </w:rPr>
              <w:t xml:space="preserve"> hypotension </w:t>
            </w:r>
          </w:p>
          <w:p w14:paraId="4D064FDA" w14:textId="77777777" w:rsidR="001C15F0" w:rsidRDefault="00314C3D">
            <w:pPr>
              <w:pStyle w:val="TableParagraph"/>
              <w:ind w:left="108" w:right="113"/>
              <w:rPr>
                <w:sz w:val="20"/>
                <w:szCs w:val="20"/>
                <w:lang w:val="da-DK"/>
              </w:rPr>
            </w:pPr>
            <w:r w:rsidRPr="001C15F0">
              <w:rPr>
                <w:spacing w:val="-2"/>
                <w:sz w:val="20"/>
                <w:szCs w:val="20"/>
                <w:lang w:val="da-DK"/>
              </w:rPr>
              <w:t>Hedeture</w:t>
            </w:r>
            <w:r w:rsidRPr="001C15F0">
              <w:rPr>
                <w:sz w:val="20"/>
                <w:szCs w:val="20"/>
                <w:lang w:val="da-DK"/>
              </w:rPr>
              <w:t xml:space="preserve"> </w:t>
            </w:r>
          </w:p>
          <w:p w14:paraId="5A25C1F9" w14:textId="3F9EE00E" w:rsidR="00314C3D" w:rsidRPr="001C15F0" w:rsidRDefault="00314C3D">
            <w:pPr>
              <w:pStyle w:val="TableParagraph"/>
              <w:ind w:left="108" w:right="113"/>
              <w:rPr>
                <w:sz w:val="20"/>
                <w:szCs w:val="20"/>
                <w:lang w:val="da-DK"/>
              </w:rPr>
            </w:pPr>
            <w:r w:rsidRPr="001C15F0">
              <w:rPr>
                <w:sz w:val="20"/>
                <w:szCs w:val="20"/>
                <w:lang w:val="da-DK"/>
              </w:rPr>
              <w:t>Forhøjet</w:t>
            </w:r>
            <w:r w:rsidRPr="001C15F0">
              <w:rPr>
                <w:spacing w:val="-14"/>
                <w:sz w:val="20"/>
                <w:szCs w:val="20"/>
                <w:lang w:val="da-DK"/>
              </w:rPr>
              <w:t xml:space="preserve"> </w:t>
            </w:r>
            <w:r w:rsidRPr="001C15F0">
              <w:rPr>
                <w:sz w:val="20"/>
                <w:szCs w:val="20"/>
                <w:lang w:val="da-DK"/>
              </w:rPr>
              <w:t>blodtryk</w:t>
            </w:r>
          </w:p>
        </w:tc>
        <w:tc>
          <w:tcPr>
            <w:tcW w:w="849" w:type="pct"/>
            <w:tcBorders>
              <w:top w:val="single" w:sz="4" w:space="0" w:color="000000"/>
              <w:left w:val="single" w:sz="4" w:space="0" w:color="000000"/>
              <w:bottom w:val="single" w:sz="4" w:space="0" w:color="000000"/>
              <w:right w:val="single" w:sz="4" w:space="0" w:color="000000"/>
            </w:tcBorders>
          </w:tcPr>
          <w:p w14:paraId="758F57DA"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172A43B4" w14:textId="77777777" w:rsidR="00314C3D" w:rsidRPr="001C15F0" w:rsidRDefault="00314C3D">
            <w:pPr>
              <w:pStyle w:val="TableParagraph"/>
              <w:rPr>
                <w:sz w:val="20"/>
                <w:szCs w:val="20"/>
                <w:lang w:val="da-DK"/>
              </w:rPr>
            </w:pPr>
          </w:p>
        </w:tc>
      </w:tr>
      <w:tr w:rsidR="00314C3D" w:rsidRPr="00212B5E" w14:paraId="0A723CF3" w14:textId="77777777" w:rsidTr="001C15F0">
        <w:trPr>
          <w:trHeight w:val="2529"/>
        </w:trPr>
        <w:tc>
          <w:tcPr>
            <w:tcW w:w="782" w:type="pct"/>
            <w:tcBorders>
              <w:top w:val="single" w:sz="4" w:space="0" w:color="000000"/>
              <w:left w:val="single" w:sz="4" w:space="0" w:color="000000"/>
              <w:bottom w:val="single" w:sz="4" w:space="0" w:color="000000"/>
              <w:right w:val="single" w:sz="4" w:space="0" w:color="000000"/>
            </w:tcBorders>
            <w:hideMark/>
          </w:tcPr>
          <w:p w14:paraId="3E351CC4" w14:textId="15210C9B" w:rsidR="00314C3D" w:rsidRPr="001C15F0" w:rsidRDefault="00314C3D">
            <w:pPr>
              <w:pStyle w:val="TableParagraph"/>
              <w:ind w:left="108"/>
              <w:rPr>
                <w:sz w:val="20"/>
                <w:szCs w:val="20"/>
                <w:lang w:val="da-DK"/>
              </w:rPr>
            </w:pPr>
            <w:r w:rsidRPr="001C15F0">
              <w:rPr>
                <w:spacing w:val="-2"/>
                <w:sz w:val="20"/>
                <w:szCs w:val="20"/>
                <w:lang w:val="da-DK"/>
              </w:rPr>
              <w:t>Mave-tarm-kana</w:t>
            </w:r>
            <w:r w:rsidRPr="001C15F0">
              <w:rPr>
                <w:spacing w:val="-4"/>
                <w:sz w:val="20"/>
                <w:szCs w:val="20"/>
                <w:lang w:val="da-DK"/>
              </w:rPr>
              <w:t>len</w:t>
            </w:r>
          </w:p>
        </w:tc>
        <w:tc>
          <w:tcPr>
            <w:tcW w:w="466" w:type="pct"/>
            <w:tcBorders>
              <w:top w:val="single" w:sz="4" w:space="0" w:color="000000"/>
              <w:left w:val="single" w:sz="4" w:space="0" w:color="000000"/>
              <w:bottom w:val="single" w:sz="4" w:space="0" w:color="000000"/>
              <w:right w:val="single" w:sz="4" w:space="0" w:color="000000"/>
            </w:tcBorders>
            <w:hideMark/>
          </w:tcPr>
          <w:p w14:paraId="169D6E30" w14:textId="77777777" w:rsidR="00314C3D" w:rsidRPr="001C15F0" w:rsidRDefault="00314C3D">
            <w:pPr>
              <w:pStyle w:val="TableParagraph"/>
              <w:ind w:left="61" w:right="139"/>
              <w:jc w:val="center"/>
              <w:rPr>
                <w:sz w:val="20"/>
                <w:szCs w:val="20"/>
                <w:lang w:val="da-DK"/>
              </w:rPr>
            </w:pPr>
            <w:r w:rsidRPr="001C15F0">
              <w:rPr>
                <w:spacing w:val="-2"/>
                <w:sz w:val="20"/>
                <w:szCs w:val="20"/>
                <w:lang w:val="da-DK"/>
              </w:rPr>
              <w:t>Kvalme</w:t>
            </w:r>
          </w:p>
        </w:tc>
        <w:tc>
          <w:tcPr>
            <w:tcW w:w="1010" w:type="pct"/>
            <w:tcBorders>
              <w:top w:val="single" w:sz="4" w:space="0" w:color="000000"/>
              <w:left w:val="single" w:sz="4" w:space="0" w:color="000000"/>
              <w:bottom w:val="single" w:sz="4" w:space="0" w:color="000000"/>
              <w:right w:val="single" w:sz="4" w:space="0" w:color="000000"/>
            </w:tcBorders>
            <w:hideMark/>
          </w:tcPr>
          <w:p w14:paraId="5190AC70" w14:textId="77777777" w:rsidR="001C15F0" w:rsidRDefault="00314C3D">
            <w:pPr>
              <w:pStyle w:val="TableParagraph"/>
              <w:ind w:left="108" w:right="280"/>
              <w:rPr>
                <w:spacing w:val="-2"/>
                <w:sz w:val="20"/>
                <w:szCs w:val="20"/>
                <w:lang w:val="da-DK"/>
              </w:rPr>
            </w:pPr>
            <w:r w:rsidRPr="001C15F0">
              <w:rPr>
                <w:spacing w:val="-2"/>
                <w:sz w:val="20"/>
                <w:szCs w:val="20"/>
                <w:lang w:val="da-DK"/>
              </w:rPr>
              <w:t xml:space="preserve">Diarré </w:t>
            </w:r>
          </w:p>
          <w:p w14:paraId="0A38DF10" w14:textId="77777777" w:rsidR="001C15F0" w:rsidRDefault="00314C3D">
            <w:pPr>
              <w:pStyle w:val="TableParagraph"/>
              <w:ind w:left="108" w:right="280"/>
              <w:rPr>
                <w:spacing w:val="-2"/>
                <w:sz w:val="20"/>
                <w:szCs w:val="20"/>
                <w:lang w:val="da-DK"/>
              </w:rPr>
            </w:pPr>
            <w:r w:rsidRPr="001C15F0">
              <w:rPr>
                <w:spacing w:val="-2"/>
                <w:sz w:val="20"/>
                <w:szCs w:val="20"/>
                <w:lang w:val="da-DK"/>
              </w:rPr>
              <w:t xml:space="preserve">Opkastninger </w:t>
            </w:r>
          </w:p>
          <w:p w14:paraId="0F9FEB10" w14:textId="77777777" w:rsidR="001C15F0" w:rsidRDefault="00314C3D">
            <w:pPr>
              <w:pStyle w:val="TableParagraph"/>
              <w:ind w:left="108" w:right="280"/>
              <w:rPr>
                <w:spacing w:val="-2"/>
                <w:sz w:val="20"/>
                <w:szCs w:val="20"/>
                <w:lang w:val="da-DK"/>
              </w:rPr>
            </w:pPr>
            <w:r w:rsidRPr="001C15F0">
              <w:rPr>
                <w:spacing w:val="-2"/>
                <w:sz w:val="20"/>
                <w:szCs w:val="20"/>
                <w:lang w:val="da-DK"/>
              </w:rPr>
              <w:t xml:space="preserve">Dyspepsi </w:t>
            </w:r>
          </w:p>
          <w:p w14:paraId="542CCAE8" w14:textId="77777777" w:rsidR="001C15F0" w:rsidRDefault="00314C3D">
            <w:pPr>
              <w:pStyle w:val="TableParagraph"/>
              <w:ind w:left="108" w:right="280"/>
              <w:rPr>
                <w:spacing w:val="-2"/>
                <w:sz w:val="20"/>
                <w:szCs w:val="20"/>
                <w:lang w:val="da-DK"/>
              </w:rPr>
            </w:pPr>
            <w:r w:rsidRPr="001C15F0">
              <w:rPr>
                <w:spacing w:val="-4"/>
                <w:sz w:val="20"/>
                <w:szCs w:val="20"/>
                <w:lang w:val="da-DK"/>
              </w:rPr>
              <w:t xml:space="preserve">Øget </w:t>
            </w:r>
            <w:r w:rsidRPr="001C15F0">
              <w:rPr>
                <w:spacing w:val="-2"/>
                <w:sz w:val="20"/>
                <w:szCs w:val="20"/>
                <w:lang w:val="da-DK"/>
              </w:rPr>
              <w:t>spytsekretion</w:t>
            </w:r>
          </w:p>
          <w:p w14:paraId="6BAB5098" w14:textId="77777777" w:rsidR="001C15F0" w:rsidRDefault="00314C3D">
            <w:pPr>
              <w:pStyle w:val="TableParagraph"/>
              <w:ind w:left="108" w:right="280"/>
              <w:rPr>
                <w:spacing w:val="-2"/>
                <w:sz w:val="20"/>
                <w:szCs w:val="20"/>
                <w:lang w:val="da-DK"/>
              </w:rPr>
            </w:pPr>
            <w:r w:rsidRPr="001C15F0">
              <w:rPr>
                <w:spacing w:val="-2"/>
                <w:sz w:val="20"/>
                <w:szCs w:val="20"/>
                <w:lang w:val="da-DK"/>
              </w:rPr>
              <w:t xml:space="preserve">Mundtørhed </w:t>
            </w:r>
          </w:p>
          <w:p w14:paraId="3098D8E4" w14:textId="557103CA" w:rsidR="00314C3D" w:rsidRPr="001C15F0" w:rsidRDefault="00314C3D">
            <w:pPr>
              <w:pStyle w:val="TableParagraph"/>
              <w:ind w:left="108" w:right="280"/>
              <w:rPr>
                <w:sz w:val="20"/>
                <w:szCs w:val="20"/>
                <w:lang w:val="da-DK"/>
              </w:rPr>
            </w:pPr>
            <w:r w:rsidRPr="001C15F0">
              <w:rPr>
                <w:spacing w:val="-4"/>
                <w:sz w:val="20"/>
                <w:szCs w:val="20"/>
                <w:lang w:val="da-DK"/>
              </w:rPr>
              <w:t xml:space="preserve">Øvre </w:t>
            </w:r>
            <w:r w:rsidRPr="001C15F0">
              <w:rPr>
                <w:spacing w:val="-2"/>
                <w:sz w:val="20"/>
                <w:szCs w:val="20"/>
                <w:lang w:val="da-DK"/>
              </w:rPr>
              <w:t>mavesmerter</w:t>
            </w:r>
          </w:p>
          <w:p w14:paraId="72C5782B" w14:textId="263FCCDC" w:rsidR="00314C3D" w:rsidRPr="001C15F0" w:rsidRDefault="00314C3D">
            <w:pPr>
              <w:pStyle w:val="TableParagraph"/>
              <w:spacing w:line="250" w:lineRule="atLeast"/>
              <w:ind w:left="108"/>
              <w:rPr>
                <w:sz w:val="20"/>
                <w:szCs w:val="20"/>
                <w:lang w:val="da-DK"/>
              </w:rPr>
            </w:pPr>
            <w:r w:rsidRPr="001C15F0">
              <w:rPr>
                <w:spacing w:val="-2"/>
                <w:sz w:val="20"/>
                <w:szCs w:val="20"/>
                <w:lang w:val="da-DK"/>
              </w:rPr>
              <w:t>Mavepine/ubeh</w:t>
            </w:r>
            <w:r w:rsidRPr="001C15F0">
              <w:rPr>
                <w:spacing w:val="-6"/>
                <w:sz w:val="20"/>
                <w:szCs w:val="20"/>
                <w:lang w:val="da-DK"/>
              </w:rPr>
              <w:t>ag</w:t>
            </w:r>
          </w:p>
        </w:tc>
        <w:tc>
          <w:tcPr>
            <w:tcW w:w="828" w:type="pct"/>
            <w:tcBorders>
              <w:top w:val="single" w:sz="4" w:space="0" w:color="000000"/>
              <w:left w:val="single" w:sz="4" w:space="0" w:color="000000"/>
              <w:bottom w:val="single" w:sz="4" w:space="0" w:color="000000"/>
              <w:right w:val="single" w:sz="4" w:space="0" w:color="000000"/>
            </w:tcBorders>
            <w:hideMark/>
          </w:tcPr>
          <w:p w14:paraId="18D0D9D5" w14:textId="77777777" w:rsidR="001C15F0" w:rsidRDefault="00314C3D">
            <w:pPr>
              <w:pStyle w:val="TableParagraph"/>
              <w:ind w:left="108" w:right="414"/>
              <w:rPr>
                <w:sz w:val="20"/>
                <w:szCs w:val="20"/>
                <w:lang w:val="da-DK"/>
              </w:rPr>
            </w:pPr>
            <w:r w:rsidRPr="001C15F0">
              <w:rPr>
                <w:sz w:val="20"/>
                <w:szCs w:val="20"/>
                <w:lang w:val="da-DK"/>
              </w:rPr>
              <w:t>Luft</w:t>
            </w:r>
            <w:r w:rsidRPr="001C15F0">
              <w:rPr>
                <w:spacing w:val="-14"/>
                <w:sz w:val="20"/>
                <w:szCs w:val="20"/>
                <w:lang w:val="da-DK"/>
              </w:rPr>
              <w:t xml:space="preserve"> </w:t>
            </w:r>
            <w:r w:rsidRPr="001C15F0">
              <w:rPr>
                <w:sz w:val="20"/>
                <w:szCs w:val="20"/>
                <w:lang w:val="da-DK"/>
              </w:rPr>
              <w:t>i</w:t>
            </w:r>
            <w:r w:rsidRPr="001C15F0">
              <w:rPr>
                <w:spacing w:val="-14"/>
                <w:sz w:val="20"/>
                <w:szCs w:val="20"/>
                <w:lang w:val="da-DK"/>
              </w:rPr>
              <w:t xml:space="preserve"> </w:t>
            </w:r>
            <w:r w:rsidRPr="001C15F0">
              <w:rPr>
                <w:sz w:val="20"/>
                <w:szCs w:val="20"/>
                <w:lang w:val="da-DK"/>
              </w:rPr>
              <w:t xml:space="preserve">maven </w:t>
            </w:r>
          </w:p>
          <w:p w14:paraId="2DA762FD" w14:textId="77777777" w:rsidR="001C15F0" w:rsidRDefault="00314C3D">
            <w:pPr>
              <w:pStyle w:val="TableParagraph"/>
              <w:ind w:left="108" w:right="414"/>
              <w:rPr>
                <w:spacing w:val="-2"/>
                <w:sz w:val="20"/>
                <w:szCs w:val="20"/>
                <w:lang w:val="da-DK"/>
              </w:rPr>
            </w:pPr>
            <w:proofErr w:type="spellStart"/>
            <w:r w:rsidRPr="001C15F0">
              <w:rPr>
                <w:spacing w:val="-2"/>
                <w:sz w:val="20"/>
                <w:szCs w:val="20"/>
                <w:lang w:val="da-DK"/>
              </w:rPr>
              <w:t>Dysfagi</w:t>
            </w:r>
            <w:proofErr w:type="spellEnd"/>
            <w:r w:rsidRPr="001C15F0">
              <w:rPr>
                <w:spacing w:val="-2"/>
                <w:sz w:val="20"/>
                <w:szCs w:val="20"/>
                <w:lang w:val="da-DK"/>
              </w:rPr>
              <w:t xml:space="preserve"> </w:t>
            </w:r>
          </w:p>
          <w:p w14:paraId="1CA0058E" w14:textId="1F41780E" w:rsidR="00314C3D" w:rsidRPr="001C15F0" w:rsidRDefault="00314C3D">
            <w:pPr>
              <w:pStyle w:val="TableParagraph"/>
              <w:ind w:left="108" w:right="414"/>
              <w:rPr>
                <w:sz w:val="20"/>
                <w:szCs w:val="20"/>
                <w:lang w:val="da-DK"/>
              </w:rPr>
            </w:pPr>
            <w:r w:rsidRPr="001C15F0">
              <w:rPr>
                <w:spacing w:val="-2"/>
                <w:sz w:val="20"/>
                <w:szCs w:val="20"/>
                <w:lang w:val="da-DK"/>
              </w:rPr>
              <w:t>Gastrit</w:t>
            </w:r>
          </w:p>
        </w:tc>
        <w:tc>
          <w:tcPr>
            <w:tcW w:w="849" w:type="pct"/>
            <w:tcBorders>
              <w:top w:val="single" w:sz="4" w:space="0" w:color="000000"/>
              <w:left w:val="single" w:sz="4" w:space="0" w:color="000000"/>
              <w:bottom w:val="single" w:sz="4" w:space="0" w:color="000000"/>
              <w:right w:val="single" w:sz="4" w:space="0" w:color="000000"/>
            </w:tcBorders>
          </w:tcPr>
          <w:p w14:paraId="4201DCD9"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5C823684" w14:textId="77777777" w:rsidR="00314C3D" w:rsidRPr="001C15F0" w:rsidRDefault="00314C3D">
            <w:pPr>
              <w:pStyle w:val="TableParagraph"/>
              <w:rPr>
                <w:sz w:val="20"/>
                <w:szCs w:val="20"/>
                <w:lang w:val="da-DK"/>
              </w:rPr>
            </w:pPr>
          </w:p>
        </w:tc>
      </w:tr>
      <w:tr w:rsidR="00314C3D" w:rsidRPr="00212B5E" w14:paraId="0A810EC7"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5B98E555" w14:textId="77777777" w:rsidR="00314C3D" w:rsidRPr="001C15F0" w:rsidRDefault="00314C3D">
            <w:pPr>
              <w:pStyle w:val="TableParagraph"/>
              <w:ind w:left="108"/>
              <w:rPr>
                <w:sz w:val="20"/>
                <w:szCs w:val="20"/>
                <w:lang w:val="da-DK"/>
              </w:rPr>
            </w:pPr>
            <w:r w:rsidRPr="001C15F0">
              <w:rPr>
                <w:sz w:val="20"/>
                <w:szCs w:val="20"/>
                <w:lang w:val="da-DK"/>
              </w:rPr>
              <w:t xml:space="preserve">Lever og </w:t>
            </w:r>
            <w:r w:rsidRPr="001C15F0">
              <w:rPr>
                <w:spacing w:val="-2"/>
                <w:sz w:val="20"/>
                <w:szCs w:val="20"/>
                <w:lang w:val="da-DK"/>
              </w:rPr>
              <w:t>galdeveje</w:t>
            </w:r>
          </w:p>
        </w:tc>
        <w:tc>
          <w:tcPr>
            <w:tcW w:w="466" w:type="pct"/>
            <w:tcBorders>
              <w:top w:val="single" w:sz="4" w:space="0" w:color="000000"/>
              <w:left w:val="single" w:sz="4" w:space="0" w:color="000000"/>
              <w:bottom w:val="single" w:sz="4" w:space="0" w:color="000000"/>
              <w:right w:val="single" w:sz="4" w:space="0" w:color="000000"/>
            </w:tcBorders>
          </w:tcPr>
          <w:p w14:paraId="13A2CA6B"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673C2ADC" w14:textId="77777777" w:rsidR="00314C3D" w:rsidRPr="001C15F0" w:rsidRDefault="00314C3D">
            <w:pPr>
              <w:pStyle w:val="TableParagraph"/>
              <w:rPr>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hideMark/>
          </w:tcPr>
          <w:p w14:paraId="0A451869" w14:textId="77777777" w:rsidR="00314C3D" w:rsidRPr="001C15F0" w:rsidRDefault="00314C3D">
            <w:pPr>
              <w:pStyle w:val="TableParagraph"/>
              <w:ind w:left="108"/>
              <w:rPr>
                <w:sz w:val="20"/>
                <w:szCs w:val="20"/>
                <w:lang w:val="da-DK"/>
              </w:rPr>
            </w:pPr>
            <w:r w:rsidRPr="001C15F0">
              <w:rPr>
                <w:spacing w:val="-2"/>
                <w:sz w:val="20"/>
                <w:szCs w:val="20"/>
                <w:lang w:val="da-DK"/>
              </w:rPr>
              <w:t>Forhøjet</w:t>
            </w:r>
          </w:p>
          <w:p w14:paraId="17C6297F" w14:textId="77777777" w:rsidR="00314C3D" w:rsidRPr="001C15F0" w:rsidRDefault="00314C3D">
            <w:pPr>
              <w:pStyle w:val="TableParagraph"/>
              <w:spacing w:line="250" w:lineRule="atLeast"/>
              <w:ind w:left="108"/>
              <w:rPr>
                <w:sz w:val="20"/>
                <w:szCs w:val="20"/>
                <w:lang w:val="da-DK"/>
              </w:rPr>
            </w:pPr>
            <w:proofErr w:type="spellStart"/>
            <w:r w:rsidRPr="001C15F0">
              <w:rPr>
                <w:spacing w:val="-2"/>
                <w:sz w:val="20"/>
                <w:szCs w:val="20"/>
                <w:lang w:val="da-DK"/>
              </w:rPr>
              <w:t>alaninaminotrans</w:t>
            </w:r>
            <w:proofErr w:type="spellEnd"/>
            <w:r w:rsidRPr="001C15F0">
              <w:rPr>
                <w:spacing w:val="-2"/>
                <w:sz w:val="20"/>
                <w:szCs w:val="20"/>
                <w:lang w:val="da-DK"/>
              </w:rPr>
              <w:t xml:space="preserve"> </w:t>
            </w:r>
            <w:proofErr w:type="spellStart"/>
            <w:r w:rsidRPr="001C15F0">
              <w:rPr>
                <w:spacing w:val="-2"/>
                <w:sz w:val="20"/>
                <w:szCs w:val="20"/>
                <w:lang w:val="da-DK"/>
              </w:rPr>
              <w:t>ferase</w:t>
            </w:r>
            <w:proofErr w:type="spellEnd"/>
          </w:p>
        </w:tc>
        <w:tc>
          <w:tcPr>
            <w:tcW w:w="849" w:type="pct"/>
            <w:tcBorders>
              <w:top w:val="single" w:sz="4" w:space="0" w:color="000000"/>
              <w:left w:val="single" w:sz="4" w:space="0" w:color="000000"/>
              <w:bottom w:val="single" w:sz="4" w:space="0" w:color="000000"/>
              <w:right w:val="single" w:sz="4" w:space="0" w:color="000000"/>
            </w:tcBorders>
          </w:tcPr>
          <w:p w14:paraId="2832AD34"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3B2B62FB" w14:textId="77777777" w:rsidR="00314C3D" w:rsidRPr="001C15F0" w:rsidRDefault="00314C3D">
            <w:pPr>
              <w:pStyle w:val="TableParagraph"/>
              <w:rPr>
                <w:sz w:val="20"/>
                <w:szCs w:val="20"/>
                <w:lang w:val="da-DK"/>
              </w:rPr>
            </w:pPr>
          </w:p>
        </w:tc>
      </w:tr>
      <w:tr w:rsidR="00314C3D" w:rsidRPr="00212B5E" w14:paraId="37F12948"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1420A8BC" w14:textId="77777777" w:rsidR="00314C3D" w:rsidRPr="001C15F0" w:rsidRDefault="00314C3D">
            <w:pPr>
              <w:pStyle w:val="TableParagraph"/>
              <w:ind w:left="108"/>
              <w:rPr>
                <w:sz w:val="20"/>
                <w:szCs w:val="20"/>
                <w:lang w:val="da-DK"/>
              </w:rPr>
            </w:pPr>
            <w:r w:rsidRPr="001C15F0">
              <w:rPr>
                <w:sz w:val="20"/>
                <w:szCs w:val="20"/>
                <w:lang w:val="da-DK"/>
              </w:rPr>
              <w:t>Hud og subkutane</w:t>
            </w:r>
            <w:r w:rsidRPr="001C15F0">
              <w:rPr>
                <w:spacing w:val="-14"/>
                <w:sz w:val="20"/>
                <w:szCs w:val="20"/>
                <w:lang w:val="da-DK"/>
              </w:rPr>
              <w:t xml:space="preserve"> </w:t>
            </w:r>
            <w:r w:rsidRPr="001C15F0">
              <w:rPr>
                <w:sz w:val="20"/>
                <w:szCs w:val="20"/>
                <w:lang w:val="da-DK"/>
              </w:rPr>
              <w:t>væv</w:t>
            </w:r>
          </w:p>
        </w:tc>
        <w:tc>
          <w:tcPr>
            <w:tcW w:w="466" w:type="pct"/>
            <w:tcBorders>
              <w:top w:val="single" w:sz="4" w:space="0" w:color="000000"/>
              <w:left w:val="single" w:sz="4" w:space="0" w:color="000000"/>
              <w:bottom w:val="single" w:sz="4" w:space="0" w:color="000000"/>
              <w:right w:val="single" w:sz="4" w:space="0" w:color="000000"/>
            </w:tcBorders>
          </w:tcPr>
          <w:p w14:paraId="43F5EFDD"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0F2A223C" w14:textId="77777777" w:rsidR="001C15F0" w:rsidRDefault="00314C3D">
            <w:pPr>
              <w:pStyle w:val="TableParagraph"/>
              <w:ind w:left="108" w:right="280"/>
              <w:rPr>
                <w:spacing w:val="-2"/>
                <w:sz w:val="20"/>
                <w:szCs w:val="20"/>
                <w:lang w:val="da-DK"/>
              </w:rPr>
            </w:pPr>
            <w:r w:rsidRPr="001C15F0">
              <w:rPr>
                <w:spacing w:val="-2"/>
                <w:sz w:val="20"/>
                <w:szCs w:val="20"/>
                <w:lang w:val="da-DK"/>
              </w:rPr>
              <w:t xml:space="preserve">Hududslæt </w:t>
            </w:r>
          </w:p>
          <w:p w14:paraId="4CFFDAA2" w14:textId="098D5CB4" w:rsidR="00314C3D" w:rsidRPr="001C15F0" w:rsidRDefault="00314C3D">
            <w:pPr>
              <w:pStyle w:val="TableParagraph"/>
              <w:ind w:left="108" w:right="280"/>
              <w:rPr>
                <w:sz w:val="20"/>
                <w:szCs w:val="20"/>
                <w:lang w:val="da-DK"/>
              </w:rPr>
            </w:pPr>
            <w:r w:rsidRPr="001C15F0">
              <w:rPr>
                <w:spacing w:val="-2"/>
                <w:sz w:val="20"/>
                <w:szCs w:val="20"/>
                <w:lang w:val="da-DK"/>
              </w:rPr>
              <w:t>Kløe</w:t>
            </w:r>
          </w:p>
        </w:tc>
        <w:tc>
          <w:tcPr>
            <w:tcW w:w="828" w:type="pct"/>
            <w:tcBorders>
              <w:top w:val="single" w:sz="4" w:space="0" w:color="000000"/>
              <w:left w:val="single" w:sz="4" w:space="0" w:color="000000"/>
              <w:bottom w:val="single" w:sz="4" w:space="0" w:color="000000"/>
              <w:right w:val="single" w:sz="4" w:space="0" w:color="000000"/>
            </w:tcBorders>
            <w:hideMark/>
          </w:tcPr>
          <w:p w14:paraId="0E736188" w14:textId="77777777" w:rsidR="00314C3D" w:rsidRPr="001C15F0" w:rsidRDefault="00314C3D">
            <w:pPr>
              <w:pStyle w:val="TableParagraph"/>
              <w:ind w:left="108"/>
              <w:rPr>
                <w:spacing w:val="-2"/>
                <w:sz w:val="20"/>
                <w:szCs w:val="20"/>
                <w:lang w:val="da-DK"/>
              </w:rPr>
            </w:pPr>
            <w:proofErr w:type="spellStart"/>
            <w:r w:rsidRPr="001C15F0">
              <w:rPr>
                <w:spacing w:val="-2"/>
                <w:sz w:val="20"/>
                <w:szCs w:val="20"/>
                <w:lang w:val="da-DK"/>
              </w:rPr>
              <w:t>Hyperhidrose</w:t>
            </w:r>
            <w:proofErr w:type="spellEnd"/>
          </w:p>
        </w:tc>
        <w:tc>
          <w:tcPr>
            <w:tcW w:w="849" w:type="pct"/>
            <w:tcBorders>
              <w:top w:val="single" w:sz="4" w:space="0" w:color="000000"/>
              <w:left w:val="single" w:sz="4" w:space="0" w:color="000000"/>
              <w:bottom w:val="single" w:sz="4" w:space="0" w:color="000000"/>
              <w:right w:val="single" w:sz="4" w:space="0" w:color="000000"/>
            </w:tcBorders>
            <w:hideMark/>
          </w:tcPr>
          <w:p w14:paraId="7B71485D" w14:textId="77777777" w:rsidR="00314C3D" w:rsidRPr="001C15F0" w:rsidRDefault="00314C3D">
            <w:pPr>
              <w:pStyle w:val="TableParagraph"/>
              <w:ind w:left="108"/>
              <w:rPr>
                <w:sz w:val="20"/>
                <w:szCs w:val="20"/>
                <w:lang w:val="da-DK"/>
              </w:rPr>
            </w:pPr>
            <w:proofErr w:type="spellStart"/>
            <w:r w:rsidRPr="001C15F0">
              <w:rPr>
                <w:spacing w:val="-2"/>
                <w:sz w:val="20"/>
                <w:szCs w:val="20"/>
                <w:lang w:val="da-DK"/>
              </w:rPr>
              <w:t>Angioødem</w:t>
            </w:r>
            <w:proofErr w:type="spellEnd"/>
          </w:p>
        </w:tc>
        <w:tc>
          <w:tcPr>
            <w:tcW w:w="1066" w:type="pct"/>
            <w:tcBorders>
              <w:top w:val="single" w:sz="4" w:space="0" w:color="000000"/>
              <w:left w:val="single" w:sz="4" w:space="0" w:color="000000"/>
              <w:bottom w:val="single" w:sz="4" w:space="0" w:color="000000"/>
              <w:right w:val="single" w:sz="4" w:space="0" w:color="000000"/>
            </w:tcBorders>
            <w:hideMark/>
          </w:tcPr>
          <w:p w14:paraId="43F20D33" w14:textId="2FED42D1" w:rsidR="00314C3D" w:rsidRPr="001C15F0" w:rsidRDefault="00314C3D">
            <w:pPr>
              <w:pStyle w:val="TableParagraph"/>
              <w:ind w:left="108"/>
              <w:rPr>
                <w:sz w:val="20"/>
                <w:szCs w:val="20"/>
                <w:lang w:val="da-DK"/>
              </w:rPr>
            </w:pPr>
            <w:r w:rsidRPr="001C15F0">
              <w:rPr>
                <w:spacing w:val="-2"/>
                <w:sz w:val="20"/>
                <w:szCs w:val="20"/>
                <w:lang w:val="da-DK"/>
              </w:rPr>
              <w:t>Stevens-Johnsons syndrom</w:t>
            </w:r>
          </w:p>
        </w:tc>
      </w:tr>
      <w:tr w:rsidR="00314C3D" w:rsidRPr="00212B5E" w14:paraId="601FB3FA"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39C97B22" w14:textId="77777777" w:rsidR="00314C3D" w:rsidRPr="001C15F0" w:rsidRDefault="00314C3D">
            <w:pPr>
              <w:pStyle w:val="TableParagraph"/>
              <w:ind w:left="108"/>
              <w:rPr>
                <w:sz w:val="20"/>
                <w:szCs w:val="20"/>
                <w:lang w:val="da-DK"/>
              </w:rPr>
            </w:pPr>
            <w:r w:rsidRPr="001C15F0">
              <w:rPr>
                <w:sz w:val="20"/>
                <w:szCs w:val="20"/>
                <w:lang w:val="da-DK"/>
              </w:rPr>
              <w:t>Knogler,</w:t>
            </w:r>
            <w:r w:rsidRPr="001C15F0">
              <w:rPr>
                <w:spacing w:val="-14"/>
                <w:sz w:val="20"/>
                <w:szCs w:val="20"/>
                <w:lang w:val="da-DK"/>
              </w:rPr>
              <w:t xml:space="preserve"> </w:t>
            </w:r>
            <w:r w:rsidRPr="001C15F0">
              <w:rPr>
                <w:sz w:val="20"/>
                <w:szCs w:val="20"/>
                <w:lang w:val="da-DK"/>
              </w:rPr>
              <w:t xml:space="preserve">led, muskler og </w:t>
            </w:r>
            <w:r w:rsidRPr="001C15F0">
              <w:rPr>
                <w:spacing w:val="-2"/>
                <w:sz w:val="20"/>
                <w:szCs w:val="20"/>
                <w:lang w:val="da-DK"/>
              </w:rPr>
              <w:t>bindevæv</w:t>
            </w:r>
          </w:p>
        </w:tc>
        <w:tc>
          <w:tcPr>
            <w:tcW w:w="466" w:type="pct"/>
            <w:tcBorders>
              <w:top w:val="single" w:sz="4" w:space="0" w:color="000000"/>
              <w:left w:val="single" w:sz="4" w:space="0" w:color="000000"/>
              <w:bottom w:val="single" w:sz="4" w:space="0" w:color="000000"/>
              <w:right w:val="single" w:sz="4" w:space="0" w:color="000000"/>
            </w:tcBorders>
          </w:tcPr>
          <w:p w14:paraId="0185A83D"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0E41AD84" w14:textId="77777777" w:rsidR="001C15F0" w:rsidRDefault="00314C3D">
            <w:pPr>
              <w:pStyle w:val="TableParagraph"/>
              <w:ind w:left="108" w:right="280"/>
              <w:rPr>
                <w:spacing w:val="-2"/>
                <w:sz w:val="20"/>
                <w:szCs w:val="20"/>
                <w:lang w:val="da-DK"/>
              </w:rPr>
            </w:pPr>
            <w:r w:rsidRPr="001C15F0">
              <w:rPr>
                <w:spacing w:val="-2"/>
                <w:sz w:val="20"/>
                <w:szCs w:val="20"/>
                <w:lang w:val="da-DK"/>
              </w:rPr>
              <w:t xml:space="preserve">Rygsmerter </w:t>
            </w:r>
          </w:p>
          <w:p w14:paraId="7F93DA50" w14:textId="5E701E27" w:rsidR="00314C3D" w:rsidRPr="001C15F0" w:rsidRDefault="00314C3D">
            <w:pPr>
              <w:pStyle w:val="TableParagraph"/>
              <w:ind w:left="108" w:right="280"/>
              <w:rPr>
                <w:spacing w:val="-2"/>
                <w:sz w:val="20"/>
                <w:szCs w:val="20"/>
                <w:lang w:val="da-DK"/>
              </w:rPr>
            </w:pPr>
            <w:proofErr w:type="spellStart"/>
            <w:r w:rsidRPr="001C15F0">
              <w:rPr>
                <w:spacing w:val="-2"/>
                <w:sz w:val="20"/>
                <w:szCs w:val="20"/>
                <w:lang w:val="da-DK"/>
              </w:rPr>
              <w:t>Muskuloskeletal</w:t>
            </w:r>
            <w:proofErr w:type="spellEnd"/>
            <w:r w:rsidRPr="001C15F0">
              <w:rPr>
                <w:spacing w:val="-2"/>
                <w:sz w:val="20"/>
                <w:szCs w:val="20"/>
                <w:lang w:val="da-DK"/>
              </w:rPr>
              <w:t xml:space="preserve"> stivhed</w:t>
            </w:r>
          </w:p>
        </w:tc>
        <w:tc>
          <w:tcPr>
            <w:tcW w:w="828" w:type="pct"/>
            <w:tcBorders>
              <w:top w:val="single" w:sz="4" w:space="0" w:color="000000"/>
              <w:left w:val="single" w:sz="4" w:space="0" w:color="000000"/>
              <w:bottom w:val="single" w:sz="4" w:space="0" w:color="000000"/>
              <w:right w:val="single" w:sz="4" w:space="0" w:color="000000"/>
            </w:tcBorders>
            <w:hideMark/>
          </w:tcPr>
          <w:p w14:paraId="662B2B11" w14:textId="77777777" w:rsidR="00314C3D" w:rsidRPr="001C15F0" w:rsidRDefault="00314C3D">
            <w:pPr>
              <w:pStyle w:val="TableParagraph"/>
              <w:ind w:left="108"/>
              <w:rPr>
                <w:sz w:val="20"/>
                <w:szCs w:val="20"/>
                <w:lang w:val="da-DK"/>
              </w:rPr>
            </w:pPr>
            <w:r w:rsidRPr="001C15F0">
              <w:rPr>
                <w:sz w:val="20"/>
                <w:szCs w:val="20"/>
                <w:lang w:val="da-DK"/>
              </w:rPr>
              <w:t xml:space="preserve">Stive led </w:t>
            </w:r>
          </w:p>
          <w:p w14:paraId="08FD1711" w14:textId="77777777" w:rsidR="001C15F0" w:rsidRDefault="00314C3D">
            <w:pPr>
              <w:pStyle w:val="TableParagraph"/>
              <w:ind w:left="108"/>
              <w:rPr>
                <w:spacing w:val="-2"/>
                <w:sz w:val="20"/>
                <w:szCs w:val="20"/>
                <w:lang w:val="da-DK"/>
              </w:rPr>
            </w:pPr>
            <w:r w:rsidRPr="001C15F0">
              <w:rPr>
                <w:spacing w:val="-2"/>
                <w:sz w:val="20"/>
                <w:szCs w:val="20"/>
                <w:lang w:val="da-DK"/>
              </w:rPr>
              <w:t xml:space="preserve">Myalgi </w:t>
            </w:r>
          </w:p>
          <w:p w14:paraId="2120283C" w14:textId="08AA5149" w:rsidR="00314C3D" w:rsidRPr="001C15F0" w:rsidRDefault="00314C3D">
            <w:pPr>
              <w:pStyle w:val="TableParagraph"/>
              <w:ind w:left="108"/>
              <w:rPr>
                <w:spacing w:val="-2"/>
                <w:sz w:val="20"/>
                <w:szCs w:val="20"/>
                <w:lang w:val="da-DK"/>
              </w:rPr>
            </w:pPr>
            <w:r w:rsidRPr="001C15F0">
              <w:rPr>
                <w:spacing w:val="-2"/>
                <w:sz w:val="20"/>
                <w:szCs w:val="20"/>
                <w:lang w:val="da-DK"/>
              </w:rPr>
              <w:t>Nakkesmerter</w:t>
            </w:r>
          </w:p>
        </w:tc>
        <w:tc>
          <w:tcPr>
            <w:tcW w:w="849" w:type="pct"/>
            <w:tcBorders>
              <w:top w:val="single" w:sz="4" w:space="0" w:color="000000"/>
              <w:left w:val="single" w:sz="4" w:space="0" w:color="000000"/>
              <w:bottom w:val="single" w:sz="4" w:space="0" w:color="000000"/>
              <w:right w:val="single" w:sz="4" w:space="0" w:color="000000"/>
            </w:tcBorders>
            <w:hideMark/>
          </w:tcPr>
          <w:p w14:paraId="69B43F57" w14:textId="77777777" w:rsidR="00314C3D" w:rsidRPr="001C15F0" w:rsidRDefault="00314C3D">
            <w:pPr>
              <w:pStyle w:val="TableParagraph"/>
              <w:ind w:left="108" w:right="280"/>
              <w:rPr>
                <w:spacing w:val="-2"/>
                <w:sz w:val="20"/>
                <w:szCs w:val="20"/>
                <w:lang w:val="da-DK"/>
              </w:rPr>
            </w:pPr>
            <w:proofErr w:type="spellStart"/>
            <w:r w:rsidRPr="001C15F0">
              <w:rPr>
                <w:spacing w:val="-2"/>
                <w:sz w:val="20"/>
                <w:szCs w:val="20"/>
                <w:lang w:val="da-DK"/>
              </w:rPr>
              <w:t>Rhabdomyolyse</w:t>
            </w:r>
            <w:proofErr w:type="spellEnd"/>
          </w:p>
        </w:tc>
        <w:tc>
          <w:tcPr>
            <w:tcW w:w="1066" w:type="pct"/>
            <w:tcBorders>
              <w:top w:val="single" w:sz="4" w:space="0" w:color="000000"/>
              <w:left w:val="single" w:sz="4" w:space="0" w:color="000000"/>
              <w:bottom w:val="single" w:sz="4" w:space="0" w:color="000000"/>
              <w:right w:val="single" w:sz="4" w:space="0" w:color="000000"/>
            </w:tcBorders>
          </w:tcPr>
          <w:p w14:paraId="42EED9A0" w14:textId="77777777" w:rsidR="00314C3D" w:rsidRPr="001C15F0" w:rsidRDefault="00314C3D">
            <w:pPr>
              <w:pStyle w:val="TableParagraph"/>
              <w:rPr>
                <w:spacing w:val="-2"/>
                <w:sz w:val="20"/>
                <w:szCs w:val="20"/>
                <w:lang w:val="da-DK"/>
              </w:rPr>
            </w:pPr>
          </w:p>
        </w:tc>
      </w:tr>
      <w:tr w:rsidR="00314C3D" w:rsidRPr="00212B5E" w14:paraId="262D8E5E"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3B486A64" w14:textId="77777777" w:rsidR="00314C3D" w:rsidRPr="001C15F0" w:rsidRDefault="00314C3D">
            <w:pPr>
              <w:pStyle w:val="TableParagraph"/>
              <w:ind w:left="108"/>
              <w:rPr>
                <w:sz w:val="20"/>
                <w:szCs w:val="20"/>
                <w:lang w:val="da-DK"/>
              </w:rPr>
            </w:pPr>
            <w:r w:rsidRPr="001C15F0">
              <w:rPr>
                <w:sz w:val="20"/>
                <w:szCs w:val="20"/>
                <w:lang w:val="da-DK"/>
              </w:rPr>
              <w:t>Nyrer</w:t>
            </w:r>
            <w:r w:rsidRPr="001C15F0">
              <w:rPr>
                <w:spacing w:val="-14"/>
                <w:sz w:val="20"/>
                <w:szCs w:val="20"/>
                <w:lang w:val="da-DK"/>
              </w:rPr>
              <w:t xml:space="preserve"> </w:t>
            </w:r>
            <w:r w:rsidRPr="001C15F0">
              <w:rPr>
                <w:sz w:val="20"/>
                <w:szCs w:val="20"/>
                <w:lang w:val="da-DK"/>
              </w:rPr>
              <w:t xml:space="preserve">og </w:t>
            </w:r>
            <w:r w:rsidRPr="001C15F0">
              <w:rPr>
                <w:spacing w:val="-2"/>
                <w:sz w:val="20"/>
                <w:szCs w:val="20"/>
                <w:lang w:val="da-DK"/>
              </w:rPr>
              <w:t>urinveje</w:t>
            </w:r>
          </w:p>
        </w:tc>
        <w:tc>
          <w:tcPr>
            <w:tcW w:w="466" w:type="pct"/>
            <w:tcBorders>
              <w:top w:val="single" w:sz="4" w:space="0" w:color="000000"/>
              <w:left w:val="single" w:sz="4" w:space="0" w:color="000000"/>
              <w:bottom w:val="single" w:sz="4" w:space="0" w:color="000000"/>
              <w:right w:val="single" w:sz="4" w:space="0" w:color="000000"/>
            </w:tcBorders>
          </w:tcPr>
          <w:p w14:paraId="64265FBC"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2F338E3B" w14:textId="77777777" w:rsidR="00314C3D" w:rsidRPr="001C15F0" w:rsidRDefault="00314C3D">
            <w:pPr>
              <w:pStyle w:val="TableParagraph"/>
              <w:ind w:left="108" w:right="280"/>
              <w:rPr>
                <w:spacing w:val="-2"/>
                <w:sz w:val="20"/>
                <w:szCs w:val="20"/>
                <w:lang w:val="da-DK"/>
              </w:rPr>
            </w:pPr>
            <w:r w:rsidRPr="001C15F0">
              <w:rPr>
                <w:spacing w:val="-2"/>
                <w:sz w:val="20"/>
                <w:szCs w:val="20"/>
                <w:lang w:val="da-DK"/>
              </w:rPr>
              <w:t>Forhøjet serum-</w:t>
            </w:r>
            <w:proofErr w:type="spellStart"/>
            <w:r w:rsidRPr="001C15F0">
              <w:rPr>
                <w:spacing w:val="-2"/>
                <w:sz w:val="20"/>
                <w:szCs w:val="20"/>
                <w:lang w:val="da-DK"/>
              </w:rPr>
              <w:t>kreatinin</w:t>
            </w:r>
            <w:proofErr w:type="spellEnd"/>
          </w:p>
        </w:tc>
        <w:tc>
          <w:tcPr>
            <w:tcW w:w="828" w:type="pct"/>
            <w:tcBorders>
              <w:top w:val="single" w:sz="4" w:space="0" w:color="000000"/>
              <w:left w:val="single" w:sz="4" w:space="0" w:color="000000"/>
              <w:bottom w:val="single" w:sz="4" w:space="0" w:color="000000"/>
              <w:right w:val="single" w:sz="4" w:space="0" w:color="000000"/>
            </w:tcBorders>
            <w:hideMark/>
          </w:tcPr>
          <w:p w14:paraId="67E44C97" w14:textId="77777777" w:rsidR="00314C3D" w:rsidRPr="001C15F0" w:rsidRDefault="00314C3D">
            <w:pPr>
              <w:pStyle w:val="TableParagraph"/>
              <w:ind w:left="108"/>
              <w:rPr>
                <w:sz w:val="20"/>
                <w:szCs w:val="20"/>
                <w:lang w:val="da-DK"/>
              </w:rPr>
            </w:pPr>
            <w:proofErr w:type="spellStart"/>
            <w:r w:rsidRPr="001C15F0">
              <w:rPr>
                <w:spacing w:val="-2"/>
                <w:sz w:val="20"/>
                <w:szCs w:val="20"/>
                <w:lang w:val="da-DK"/>
              </w:rPr>
              <w:t>Dysuri</w:t>
            </w:r>
            <w:proofErr w:type="spellEnd"/>
          </w:p>
        </w:tc>
        <w:tc>
          <w:tcPr>
            <w:tcW w:w="849" w:type="pct"/>
            <w:tcBorders>
              <w:top w:val="single" w:sz="4" w:space="0" w:color="000000"/>
              <w:left w:val="single" w:sz="4" w:space="0" w:color="000000"/>
              <w:bottom w:val="single" w:sz="4" w:space="0" w:color="000000"/>
              <w:right w:val="single" w:sz="4" w:space="0" w:color="000000"/>
            </w:tcBorders>
            <w:hideMark/>
          </w:tcPr>
          <w:p w14:paraId="3C5B30EC" w14:textId="77777777" w:rsidR="00314C3D" w:rsidRPr="001C15F0" w:rsidRDefault="00314C3D">
            <w:pPr>
              <w:pStyle w:val="TableParagraph"/>
              <w:ind w:left="108" w:right="280"/>
              <w:rPr>
                <w:spacing w:val="-2"/>
                <w:sz w:val="20"/>
                <w:szCs w:val="20"/>
                <w:lang w:val="da-DK"/>
              </w:rPr>
            </w:pPr>
            <w:r w:rsidRPr="001C15F0">
              <w:rPr>
                <w:spacing w:val="-2"/>
                <w:sz w:val="20"/>
                <w:szCs w:val="20"/>
                <w:lang w:val="da-DK"/>
              </w:rPr>
              <w:t>Nyresvigt</w:t>
            </w:r>
          </w:p>
        </w:tc>
        <w:tc>
          <w:tcPr>
            <w:tcW w:w="1066" w:type="pct"/>
            <w:tcBorders>
              <w:top w:val="single" w:sz="4" w:space="0" w:color="000000"/>
              <w:left w:val="single" w:sz="4" w:space="0" w:color="000000"/>
              <w:bottom w:val="single" w:sz="4" w:space="0" w:color="000000"/>
              <w:right w:val="single" w:sz="4" w:space="0" w:color="000000"/>
            </w:tcBorders>
          </w:tcPr>
          <w:p w14:paraId="11708F13" w14:textId="77777777" w:rsidR="00314C3D" w:rsidRPr="001C15F0" w:rsidRDefault="00314C3D">
            <w:pPr>
              <w:pStyle w:val="TableParagraph"/>
              <w:rPr>
                <w:spacing w:val="-2"/>
                <w:sz w:val="20"/>
                <w:szCs w:val="20"/>
                <w:lang w:val="da-DK"/>
              </w:rPr>
            </w:pPr>
          </w:p>
        </w:tc>
      </w:tr>
      <w:tr w:rsidR="00314C3D" w:rsidRPr="00212B5E" w14:paraId="63BF67B9"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3CBB640C" w14:textId="77777777" w:rsidR="00314C3D" w:rsidRPr="001C15F0" w:rsidRDefault="00314C3D">
            <w:pPr>
              <w:pStyle w:val="TableParagraph"/>
              <w:ind w:left="108"/>
              <w:rPr>
                <w:sz w:val="20"/>
                <w:szCs w:val="20"/>
                <w:lang w:val="da-DK"/>
              </w:rPr>
            </w:pPr>
            <w:r w:rsidRPr="001C15F0">
              <w:rPr>
                <w:spacing w:val="-2"/>
                <w:sz w:val="20"/>
                <w:szCs w:val="20"/>
                <w:lang w:val="da-DK"/>
              </w:rPr>
              <w:t xml:space="preserve">Graviditet, </w:t>
            </w:r>
            <w:proofErr w:type="spellStart"/>
            <w:r w:rsidRPr="001C15F0">
              <w:rPr>
                <w:sz w:val="20"/>
                <w:szCs w:val="20"/>
                <w:lang w:val="da-DK"/>
              </w:rPr>
              <w:t>puerperium</w:t>
            </w:r>
            <w:proofErr w:type="spellEnd"/>
            <w:r w:rsidRPr="001C15F0">
              <w:rPr>
                <w:spacing w:val="-14"/>
                <w:sz w:val="20"/>
                <w:szCs w:val="20"/>
                <w:lang w:val="da-DK"/>
              </w:rPr>
              <w:t xml:space="preserve"> </w:t>
            </w:r>
            <w:r w:rsidRPr="001C15F0">
              <w:rPr>
                <w:sz w:val="20"/>
                <w:szCs w:val="20"/>
                <w:lang w:val="da-DK"/>
              </w:rPr>
              <w:t xml:space="preserve">og den </w:t>
            </w:r>
            <w:proofErr w:type="spellStart"/>
            <w:r w:rsidRPr="001C15F0">
              <w:rPr>
                <w:sz w:val="20"/>
                <w:szCs w:val="20"/>
                <w:lang w:val="da-DK"/>
              </w:rPr>
              <w:t>perinatale</w:t>
            </w:r>
            <w:proofErr w:type="spellEnd"/>
            <w:r w:rsidRPr="001C15F0">
              <w:rPr>
                <w:sz w:val="20"/>
                <w:szCs w:val="20"/>
                <w:lang w:val="da-DK"/>
              </w:rPr>
              <w:t xml:space="preserve"> </w:t>
            </w:r>
            <w:r w:rsidRPr="001C15F0">
              <w:rPr>
                <w:spacing w:val="-2"/>
                <w:sz w:val="20"/>
                <w:szCs w:val="20"/>
                <w:lang w:val="da-DK"/>
              </w:rPr>
              <w:t>periode</w:t>
            </w:r>
          </w:p>
        </w:tc>
        <w:tc>
          <w:tcPr>
            <w:tcW w:w="466" w:type="pct"/>
            <w:tcBorders>
              <w:top w:val="single" w:sz="4" w:space="0" w:color="000000"/>
              <w:left w:val="single" w:sz="4" w:space="0" w:color="000000"/>
              <w:bottom w:val="single" w:sz="4" w:space="0" w:color="000000"/>
              <w:right w:val="single" w:sz="4" w:space="0" w:color="000000"/>
            </w:tcBorders>
          </w:tcPr>
          <w:p w14:paraId="7BF9E72A"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3D26290C" w14:textId="77777777" w:rsidR="00314C3D" w:rsidRPr="001C15F0" w:rsidRDefault="00314C3D">
            <w:pPr>
              <w:pStyle w:val="TableParagraph"/>
              <w:rPr>
                <w:spacing w:val="-2"/>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tcPr>
          <w:p w14:paraId="7C0195AF" w14:textId="77777777" w:rsidR="00314C3D" w:rsidRPr="001C15F0" w:rsidRDefault="00314C3D">
            <w:pPr>
              <w:pStyle w:val="TableParagraph"/>
              <w:ind w:left="108"/>
              <w:rPr>
                <w:spacing w:val="-2"/>
                <w:sz w:val="20"/>
                <w:szCs w:val="20"/>
                <w:lang w:val="da-DK"/>
              </w:rPr>
            </w:pPr>
          </w:p>
        </w:tc>
        <w:tc>
          <w:tcPr>
            <w:tcW w:w="849" w:type="pct"/>
            <w:tcBorders>
              <w:top w:val="single" w:sz="4" w:space="0" w:color="000000"/>
              <w:left w:val="single" w:sz="4" w:space="0" w:color="000000"/>
              <w:bottom w:val="single" w:sz="4" w:space="0" w:color="000000"/>
              <w:right w:val="single" w:sz="4" w:space="0" w:color="000000"/>
            </w:tcBorders>
          </w:tcPr>
          <w:p w14:paraId="63D86317" w14:textId="77777777" w:rsidR="00314C3D" w:rsidRPr="001C15F0" w:rsidRDefault="00314C3D">
            <w:pPr>
              <w:pStyle w:val="TableParagraph"/>
              <w:rPr>
                <w:spacing w:val="-2"/>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hideMark/>
          </w:tcPr>
          <w:p w14:paraId="7F5E67C2" w14:textId="479BA93B" w:rsidR="00314C3D" w:rsidRPr="001C15F0" w:rsidRDefault="00314C3D">
            <w:pPr>
              <w:pStyle w:val="TableParagraph"/>
              <w:ind w:left="108" w:right="280"/>
              <w:rPr>
                <w:spacing w:val="-2"/>
                <w:sz w:val="20"/>
                <w:szCs w:val="20"/>
                <w:lang w:val="da-DK"/>
              </w:rPr>
            </w:pPr>
            <w:r w:rsidRPr="001C15F0">
              <w:rPr>
                <w:spacing w:val="-2"/>
                <w:sz w:val="20"/>
                <w:szCs w:val="20"/>
                <w:lang w:val="da-DK"/>
              </w:rPr>
              <w:t>Abstinenssymptomer hos nyfødte (se pkt. 4.6)</w:t>
            </w:r>
          </w:p>
        </w:tc>
      </w:tr>
      <w:tr w:rsidR="00314C3D" w:rsidRPr="00212B5E" w14:paraId="396ECD4E"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40FB13ED" w14:textId="77777777" w:rsidR="00314C3D" w:rsidRPr="001C15F0" w:rsidRDefault="00314C3D">
            <w:pPr>
              <w:pStyle w:val="TableParagraph"/>
              <w:ind w:left="108"/>
              <w:rPr>
                <w:spacing w:val="-2"/>
                <w:sz w:val="20"/>
                <w:szCs w:val="20"/>
                <w:lang w:val="da-DK"/>
              </w:rPr>
            </w:pPr>
            <w:r w:rsidRPr="001C15F0">
              <w:rPr>
                <w:spacing w:val="-4"/>
                <w:sz w:val="20"/>
                <w:szCs w:val="20"/>
                <w:lang w:val="da-DK"/>
              </w:rPr>
              <w:t xml:space="preserve">Det </w:t>
            </w:r>
            <w:r w:rsidRPr="001C15F0">
              <w:rPr>
                <w:spacing w:val="-2"/>
                <w:sz w:val="20"/>
                <w:szCs w:val="20"/>
                <w:lang w:val="da-DK"/>
              </w:rPr>
              <w:t xml:space="preserve">reproduktive </w:t>
            </w:r>
            <w:r w:rsidRPr="001C15F0">
              <w:rPr>
                <w:sz w:val="20"/>
                <w:szCs w:val="20"/>
                <w:lang w:val="da-DK"/>
              </w:rPr>
              <w:t xml:space="preserve">system og </w:t>
            </w:r>
            <w:r w:rsidRPr="001C15F0">
              <w:rPr>
                <w:spacing w:val="-2"/>
                <w:sz w:val="20"/>
                <w:szCs w:val="20"/>
                <w:lang w:val="da-DK"/>
              </w:rPr>
              <w:t>mammae</w:t>
            </w:r>
          </w:p>
        </w:tc>
        <w:tc>
          <w:tcPr>
            <w:tcW w:w="466" w:type="pct"/>
            <w:tcBorders>
              <w:top w:val="single" w:sz="4" w:space="0" w:color="000000"/>
              <w:left w:val="single" w:sz="4" w:space="0" w:color="000000"/>
              <w:bottom w:val="single" w:sz="4" w:space="0" w:color="000000"/>
              <w:right w:val="single" w:sz="4" w:space="0" w:color="000000"/>
            </w:tcBorders>
          </w:tcPr>
          <w:p w14:paraId="7B383E44"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tcPr>
          <w:p w14:paraId="37B9A85F" w14:textId="77777777" w:rsidR="00314C3D" w:rsidRPr="001C15F0" w:rsidRDefault="00314C3D">
            <w:pPr>
              <w:pStyle w:val="TableParagraph"/>
              <w:rPr>
                <w:spacing w:val="-2"/>
                <w:sz w:val="20"/>
                <w:szCs w:val="20"/>
                <w:lang w:val="da-DK"/>
              </w:rPr>
            </w:pPr>
          </w:p>
        </w:tc>
        <w:tc>
          <w:tcPr>
            <w:tcW w:w="828" w:type="pct"/>
            <w:tcBorders>
              <w:top w:val="single" w:sz="4" w:space="0" w:color="000000"/>
              <w:left w:val="single" w:sz="4" w:space="0" w:color="000000"/>
              <w:bottom w:val="single" w:sz="4" w:space="0" w:color="000000"/>
              <w:right w:val="single" w:sz="4" w:space="0" w:color="000000"/>
            </w:tcBorders>
            <w:hideMark/>
          </w:tcPr>
          <w:p w14:paraId="687D0D1D" w14:textId="77777777" w:rsidR="00314C3D" w:rsidRPr="001C15F0" w:rsidRDefault="00314C3D">
            <w:pPr>
              <w:pStyle w:val="TableParagraph"/>
              <w:ind w:left="108"/>
              <w:rPr>
                <w:sz w:val="20"/>
                <w:szCs w:val="20"/>
                <w:lang w:val="da-DK"/>
              </w:rPr>
            </w:pPr>
            <w:r w:rsidRPr="001C15F0">
              <w:rPr>
                <w:spacing w:val="-2"/>
                <w:sz w:val="20"/>
                <w:szCs w:val="20"/>
                <w:lang w:val="da-DK"/>
              </w:rPr>
              <w:t xml:space="preserve">Forhøjet </w:t>
            </w:r>
            <w:proofErr w:type="spellStart"/>
            <w:r w:rsidRPr="001C15F0">
              <w:rPr>
                <w:sz w:val="20"/>
                <w:szCs w:val="20"/>
                <w:lang w:val="da-DK"/>
              </w:rPr>
              <w:t>prolaktin</w:t>
            </w:r>
            <w:proofErr w:type="spellEnd"/>
            <w:r w:rsidRPr="001C15F0">
              <w:rPr>
                <w:spacing w:val="-14"/>
                <w:sz w:val="20"/>
                <w:szCs w:val="20"/>
                <w:lang w:val="da-DK"/>
              </w:rPr>
              <w:t xml:space="preserve"> </w:t>
            </w:r>
            <w:r w:rsidRPr="001C15F0">
              <w:rPr>
                <w:sz w:val="20"/>
                <w:szCs w:val="20"/>
                <w:lang w:val="da-DK"/>
              </w:rPr>
              <w:t>i</w:t>
            </w:r>
            <w:r w:rsidRPr="001C15F0">
              <w:rPr>
                <w:spacing w:val="-14"/>
                <w:sz w:val="20"/>
                <w:szCs w:val="20"/>
                <w:lang w:val="da-DK"/>
              </w:rPr>
              <w:t xml:space="preserve"> </w:t>
            </w:r>
            <w:r w:rsidRPr="001C15F0">
              <w:rPr>
                <w:sz w:val="20"/>
                <w:szCs w:val="20"/>
                <w:lang w:val="da-DK"/>
              </w:rPr>
              <w:t xml:space="preserve">blodet </w:t>
            </w:r>
          </w:p>
          <w:p w14:paraId="690FAC82" w14:textId="77777777" w:rsidR="001C15F0" w:rsidRDefault="00314C3D">
            <w:pPr>
              <w:pStyle w:val="TableParagraph"/>
              <w:ind w:left="108"/>
              <w:rPr>
                <w:spacing w:val="-2"/>
                <w:sz w:val="20"/>
                <w:szCs w:val="20"/>
                <w:lang w:val="da-DK"/>
              </w:rPr>
            </w:pPr>
            <w:proofErr w:type="spellStart"/>
            <w:r w:rsidRPr="001C15F0">
              <w:rPr>
                <w:spacing w:val="-2"/>
                <w:sz w:val="20"/>
                <w:szCs w:val="20"/>
                <w:lang w:val="da-DK"/>
              </w:rPr>
              <w:t>Erektil</w:t>
            </w:r>
            <w:proofErr w:type="spellEnd"/>
            <w:r w:rsidRPr="001C15F0">
              <w:rPr>
                <w:spacing w:val="-2"/>
                <w:sz w:val="20"/>
                <w:szCs w:val="20"/>
                <w:lang w:val="da-DK"/>
              </w:rPr>
              <w:t xml:space="preserve"> dysfunktion </w:t>
            </w:r>
          </w:p>
          <w:p w14:paraId="2AFD4E11" w14:textId="77777777" w:rsidR="001C15F0" w:rsidRDefault="00314C3D">
            <w:pPr>
              <w:pStyle w:val="TableParagraph"/>
              <w:ind w:left="108"/>
              <w:rPr>
                <w:spacing w:val="-2"/>
                <w:sz w:val="20"/>
                <w:szCs w:val="20"/>
                <w:lang w:val="da-DK"/>
              </w:rPr>
            </w:pPr>
            <w:proofErr w:type="spellStart"/>
            <w:r w:rsidRPr="001C15F0">
              <w:rPr>
                <w:spacing w:val="-2"/>
                <w:sz w:val="20"/>
                <w:szCs w:val="20"/>
                <w:lang w:val="da-DK"/>
              </w:rPr>
              <w:t>Amenorré</w:t>
            </w:r>
            <w:proofErr w:type="spellEnd"/>
            <w:r w:rsidRPr="001C15F0">
              <w:rPr>
                <w:spacing w:val="-2"/>
                <w:sz w:val="20"/>
                <w:szCs w:val="20"/>
                <w:lang w:val="da-DK"/>
              </w:rPr>
              <w:t xml:space="preserve"> </w:t>
            </w:r>
          </w:p>
          <w:p w14:paraId="206D121D" w14:textId="1959F449" w:rsidR="00314C3D" w:rsidRPr="001C15F0" w:rsidRDefault="00314C3D">
            <w:pPr>
              <w:pStyle w:val="TableParagraph"/>
              <w:ind w:left="108"/>
              <w:rPr>
                <w:spacing w:val="-2"/>
                <w:sz w:val="20"/>
                <w:szCs w:val="20"/>
                <w:lang w:val="da-DK"/>
              </w:rPr>
            </w:pPr>
            <w:proofErr w:type="spellStart"/>
            <w:r w:rsidRPr="001C15F0">
              <w:rPr>
                <w:spacing w:val="-2"/>
                <w:sz w:val="20"/>
                <w:szCs w:val="20"/>
                <w:lang w:val="da-DK"/>
              </w:rPr>
              <w:t>Dysmenoré</w:t>
            </w:r>
            <w:proofErr w:type="spellEnd"/>
          </w:p>
        </w:tc>
        <w:tc>
          <w:tcPr>
            <w:tcW w:w="849" w:type="pct"/>
            <w:tcBorders>
              <w:top w:val="single" w:sz="4" w:space="0" w:color="000000"/>
              <w:left w:val="single" w:sz="4" w:space="0" w:color="000000"/>
              <w:bottom w:val="single" w:sz="4" w:space="0" w:color="000000"/>
              <w:right w:val="single" w:sz="4" w:space="0" w:color="000000"/>
            </w:tcBorders>
            <w:hideMark/>
          </w:tcPr>
          <w:p w14:paraId="2B61D83C" w14:textId="77777777" w:rsidR="001C15F0" w:rsidRDefault="00314C3D">
            <w:pPr>
              <w:pStyle w:val="TableParagraph"/>
              <w:ind w:left="108"/>
              <w:rPr>
                <w:spacing w:val="-2"/>
                <w:sz w:val="20"/>
                <w:szCs w:val="20"/>
                <w:lang w:val="da-DK"/>
              </w:rPr>
            </w:pPr>
            <w:r w:rsidRPr="001C15F0">
              <w:rPr>
                <w:spacing w:val="-2"/>
                <w:sz w:val="20"/>
                <w:szCs w:val="20"/>
                <w:lang w:val="da-DK"/>
              </w:rPr>
              <w:t xml:space="preserve">Brystsmerter </w:t>
            </w:r>
          </w:p>
          <w:p w14:paraId="135CB0B0" w14:textId="52A8A8D5" w:rsidR="00314C3D" w:rsidRPr="001C15F0" w:rsidRDefault="00314C3D">
            <w:pPr>
              <w:pStyle w:val="TableParagraph"/>
              <w:ind w:left="108"/>
              <w:rPr>
                <w:spacing w:val="-2"/>
                <w:sz w:val="20"/>
                <w:szCs w:val="20"/>
                <w:lang w:val="da-DK"/>
              </w:rPr>
            </w:pPr>
            <w:proofErr w:type="spellStart"/>
            <w:r w:rsidRPr="001C15F0">
              <w:rPr>
                <w:spacing w:val="-2"/>
                <w:sz w:val="20"/>
                <w:szCs w:val="20"/>
                <w:lang w:val="da-DK"/>
              </w:rPr>
              <w:t>Galaktorré</w:t>
            </w:r>
            <w:proofErr w:type="spellEnd"/>
          </w:p>
        </w:tc>
        <w:tc>
          <w:tcPr>
            <w:tcW w:w="1066" w:type="pct"/>
            <w:tcBorders>
              <w:top w:val="single" w:sz="4" w:space="0" w:color="000000"/>
              <w:left w:val="single" w:sz="4" w:space="0" w:color="000000"/>
              <w:bottom w:val="single" w:sz="4" w:space="0" w:color="000000"/>
              <w:right w:val="single" w:sz="4" w:space="0" w:color="000000"/>
            </w:tcBorders>
            <w:hideMark/>
          </w:tcPr>
          <w:p w14:paraId="65F314B8" w14:textId="77777777" w:rsidR="00314C3D" w:rsidRPr="001C15F0" w:rsidRDefault="00314C3D">
            <w:pPr>
              <w:pStyle w:val="TableParagraph"/>
              <w:ind w:left="108" w:right="280"/>
              <w:rPr>
                <w:spacing w:val="-2"/>
                <w:sz w:val="20"/>
                <w:szCs w:val="20"/>
                <w:lang w:val="da-DK"/>
              </w:rPr>
            </w:pPr>
            <w:r w:rsidRPr="001C15F0">
              <w:rPr>
                <w:spacing w:val="-2"/>
                <w:sz w:val="20"/>
                <w:szCs w:val="20"/>
                <w:lang w:val="da-DK"/>
              </w:rPr>
              <w:t>Brystforstørrelse****</w:t>
            </w:r>
          </w:p>
        </w:tc>
      </w:tr>
      <w:tr w:rsidR="00314C3D" w:rsidRPr="00212B5E" w14:paraId="225BDCF6"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6AC709D7" w14:textId="63B13C01" w:rsidR="00314C3D" w:rsidRPr="001C15F0" w:rsidRDefault="00314C3D">
            <w:pPr>
              <w:pStyle w:val="TableParagraph"/>
              <w:ind w:left="108"/>
              <w:rPr>
                <w:spacing w:val="-4"/>
                <w:sz w:val="20"/>
                <w:szCs w:val="20"/>
                <w:lang w:val="da-DK"/>
              </w:rPr>
            </w:pPr>
            <w:r w:rsidRPr="001C15F0">
              <w:rPr>
                <w:spacing w:val="-2"/>
                <w:sz w:val="20"/>
                <w:szCs w:val="20"/>
                <w:lang w:val="da-DK"/>
              </w:rPr>
              <w:t xml:space="preserve">Almene </w:t>
            </w:r>
            <w:r w:rsidRPr="001C15F0">
              <w:rPr>
                <w:sz w:val="20"/>
                <w:szCs w:val="20"/>
                <w:lang w:val="da-DK"/>
              </w:rPr>
              <w:t xml:space="preserve">symptomer og reaktioner på </w:t>
            </w:r>
            <w:r w:rsidRPr="001C15F0">
              <w:rPr>
                <w:spacing w:val="-2"/>
                <w:sz w:val="20"/>
                <w:szCs w:val="20"/>
                <w:lang w:val="da-DK"/>
              </w:rPr>
              <w:t>administrationsstedet</w:t>
            </w:r>
          </w:p>
        </w:tc>
        <w:tc>
          <w:tcPr>
            <w:tcW w:w="466" w:type="pct"/>
            <w:tcBorders>
              <w:top w:val="single" w:sz="4" w:space="0" w:color="000000"/>
              <w:left w:val="single" w:sz="4" w:space="0" w:color="000000"/>
              <w:bottom w:val="single" w:sz="4" w:space="0" w:color="000000"/>
              <w:right w:val="single" w:sz="4" w:space="0" w:color="000000"/>
            </w:tcBorders>
          </w:tcPr>
          <w:p w14:paraId="70D17B82"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2F7C148D" w14:textId="77777777" w:rsidR="00314C3D" w:rsidRPr="001C15F0" w:rsidRDefault="00314C3D">
            <w:pPr>
              <w:pStyle w:val="TableParagraph"/>
              <w:ind w:left="108"/>
              <w:rPr>
                <w:spacing w:val="-2"/>
                <w:sz w:val="20"/>
                <w:szCs w:val="20"/>
                <w:lang w:val="da-DK"/>
              </w:rPr>
            </w:pPr>
            <w:r w:rsidRPr="001C15F0">
              <w:rPr>
                <w:spacing w:val="-2"/>
                <w:sz w:val="20"/>
                <w:szCs w:val="20"/>
                <w:lang w:val="da-DK"/>
              </w:rPr>
              <w:t>Træthed</w:t>
            </w:r>
          </w:p>
        </w:tc>
        <w:tc>
          <w:tcPr>
            <w:tcW w:w="828" w:type="pct"/>
            <w:tcBorders>
              <w:top w:val="single" w:sz="4" w:space="0" w:color="000000"/>
              <w:left w:val="single" w:sz="4" w:space="0" w:color="000000"/>
              <w:bottom w:val="single" w:sz="4" w:space="0" w:color="000000"/>
              <w:right w:val="single" w:sz="4" w:space="0" w:color="000000"/>
            </w:tcBorders>
            <w:hideMark/>
          </w:tcPr>
          <w:p w14:paraId="462D3579" w14:textId="77777777" w:rsidR="00314C3D" w:rsidRPr="001C15F0" w:rsidRDefault="00314C3D">
            <w:pPr>
              <w:pStyle w:val="TableParagraph"/>
              <w:ind w:left="108"/>
              <w:rPr>
                <w:spacing w:val="-2"/>
                <w:sz w:val="20"/>
                <w:szCs w:val="20"/>
                <w:lang w:val="da-DK"/>
              </w:rPr>
            </w:pPr>
            <w:r w:rsidRPr="001C15F0">
              <w:rPr>
                <w:spacing w:val="-2"/>
                <w:sz w:val="20"/>
                <w:szCs w:val="20"/>
                <w:lang w:val="da-DK"/>
              </w:rPr>
              <w:t>Gangforstyrrelser</w:t>
            </w:r>
          </w:p>
        </w:tc>
        <w:tc>
          <w:tcPr>
            <w:tcW w:w="849" w:type="pct"/>
            <w:tcBorders>
              <w:top w:val="single" w:sz="4" w:space="0" w:color="000000"/>
              <w:left w:val="single" w:sz="4" w:space="0" w:color="000000"/>
              <w:bottom w:val="single" w:sz="4" w:space="0" w:color="000000"/>
              <w:right w:val="single" w:sz="4" w:space="0" w:color="000000"/>
            </w:tcBorders>
            <w:hideMark/>
          </w:tcPr>
          <w:p w14:paraId="4F692B0A" w14:textId="77777777" w:rsidR="00314C3D" w:rsidRPr="001C15F0" w:rsidRDefault="00314C3D">
            <w:pPr>
              <w:pStyle w:val="TableParagraph"/>
              <w:ind w:left="108" w:right="280"/>
              <w:rPr>
                <w:spacing w:val="-2"/>
                <w:sz w:val="20"/>
                <w:szCs w:val="20"/>
                <w:lang w:val="da-DK"/>
              </w:rPr>
            </w:pPr>
            <w:r w:rsidRPr="001C15F0">
              <w:rPr>
                <w:spacing w:val="-2"/>
                <w:sz w:val="20"/>
                <w:szCs w:val="20"/>
                <w:lang w:val="da-DK"/>
              </w:rPr>
              <w:t>Pludselig død</w:t>
            </w:r>
          </w:p>
        </w:tc>
        <w:tc>
          <w:tcPr>
            <w:tcW w:w="1066" w:type="pct"/>
            <w:tcBorders>
              <w:top w:val="single" w:sz="4" w:space="0" w:color="000000"/>
              <w:left w:val="single" w:sz="4" w:space="0" w:color="000000"/>
              <w:bottom w:val="single" w:sz="4" w:space="0" w:color="000000"/>
              <w:right w:val="single" w:sz="4" w:space="0" w:color="000000"/>
            </w:tcBorders>
          </w:tcPr>
          <w:p w14:paraId="10A4EE6F" w14:textId="77777777" w:rsidR="00314C3D" w:rsidRPr="001C15F0" w:rsidRDefault="00314C3D">
            <w:pPr>
              <w:pStyle w:val="TableParagraph"/>
              <w:rPr>
                <w:spacing w:val="-2"/>
                <w:sz w:val="20"/>
                <w:szCs w:val="20"/>
                <w:lang w:val="da-DK"/>
              </w:rPr>
            </w:pPr>
          </w:p>
        </w:tc>
      </w:tr>
      <w:tr w:rsidR="00314C3D" w:rsidRPr="00212B5E" w14:paraId="5FE1D7C3" w14:textId="77777777" w:rsidTr="001C15F0">
        <w:trPr>
          <w:trHeight w:val="735"/>
        </w:trPr>
        <w:tc>
          <w:tcPr>
            <w:tcW w:w="782" w:type="pct"/>
            <w:tcBorders>
              <w:top w:val="single" w:sz="4" w:space="0" w:color="000000"/>
              <w:left w:val="single" w:sz="4" w:space="0" w:color="000000"/>
              <w:bottom w:val="single" w:sz="4" w:space="0" w:color="000000"/>
              <w:right w:val="single" w:sz="4" w:space="0" w:color="000000"/>
            </w:tcBorders>
            <w:hideMark/>
          </w:tcPr>
          <w:p w14:paraId="39388B88" w14:textId="77777777" w:rsidR="00314C3D" w:rsidRPr="001C15F0" w:rsidRDefault="00314C3D">
            <w:pPr>
              <w:pStyle w:val="TableParagraph"/>
              <w:ind w:left="108"/>
              <w:rPr>
                <w:spacing w:val="-2"/>
                <w:sz w:val="20"/>
                <w:szCs w:val="20"/>
                <w:lang w:val="da-DK"/>
              </w:rPr>
            </w:pPr>
            <w:r w:rsidRPr="001C15F0">
              <w:rPr>
                <w:spacing w:val="-2"/>
                <w:sz w:val="20"/>
                <w:szCs w:val="20"/>
                <w:lang w:val="da-DK"/>
              </w:rPr>
              <w:t>Undersøgelser</w:t>
            </w:r>
          </w:p>
        </w:tc>
        <w:tc>
          <w:tcPr>
            <w:tcW w:w="466" w:type="pct"/>
            <w:tcBorders>
              <w:top w:val="single" w:sz="4" w:space="0" w:color="000000"/>
              <w:left w:val="single" w:sz="4" w:space="0" w:color="000000"/>
              <w:bottom w:val="single" w:sz="4" w:space="0" w:color="000000"/>
              <w:right w:val="single" w:sz="4" w:space="0" w:color="000000"/>
            </w:tcBorders>
          </w:tcPr>
          <w:p w14:paraId="494DA2CB" w14:textId="77777777" w:rsidR="00314C3D" w:rsidRPr="001C15F0" w:rsidRDefault="00314C3D">
            <w:pPr>
              <w:pStyle w:val="TableParagraph"/>
              <w:rPr>
                <w:sz w:val="20"/>
                <w:szCs w:val="20"/>
                <w:lang w:val="da-DK"/>
              </w:rPr>
            </w:pPr>
          </w:p>
        </w:tc>
        <w:tc>
          <w:tcPr>
            <w:tcW w:w="1010" w:type="pct"/>
            <w:tcBorders>
              <w:top w:val="single" w:sz="4" w:space="0" w:color="000000"/>
              <w:left w:val="single" w:sz="4" w:space="0" w:color="000000"/>
              <w:bottom w:val="single" w:sz="4" w:space="0" w:color="000000"/>
              <w:right w:val="single" w:sz="4" w:space="0" w:color="000000"/>
            </w:tcBorders>
            <w:hideMark/>
          </w:tcPr>
          <w:p w14:paraId="426B1D0A" w14:textId="77777777" w:rsidR="00314C3D" w:rsidRPr="001C15F0" w:rsidRDefault="00314C3D">
            <w:pPr>
              <w:pStyle w:val="TableParagraph"/>
              <w:ind w:left="108" w:right="280"/>
              <w:rPr>
                <w:spacing w:val="-2"/>
                <w:sz w:val="20"/>
                <w:szCs w:val="20"/>
                <w:lang w:val="da-DK"/>
              </w:rPr>
            </w:pPr>
            <w:r w:rsidRPr="001C15F0">
              <w:rPr>
                <w:spacing w:val="-2"/>
                <w:sz w:val="20"/>
                <w:szCs w:val="20"/>
                <w:lang w:val="da-DK"/>
              </w:rPr>
              <w:t xml:space="preserve">Forhøjet </w:t>
            </w:r>
            <w:proofErr w:type="spellStart"/>
            <w:r w:rsidRPr="001C15F0">
              <w:rPr>
                <w:spacing w:val="-2"/>
                <w:sz w:val="20"/>
                <w:szCs w:val="20"/>
                <w:lang w:val="da-DK"/>
              </w:rPr>
              <w:t>kreatininfosfokinase</w:t>
            </w:r>
            <w:proofErr w:type="spellEnd"/>
            <w:r w:rsidRPr="001C15F0">
              <w:rPr>
                <w:spacing w:val="-2"/>
                <w:sz w:val="20"/>
                <w:szCs w:val="20"/>
                <w:lang w:val="da-DK"/>
              </w:rPr>
              <w:t xml:space="preserve"> i blodet</w:t>
            </w:r>
          </w:p>
        </w:tc>
        <w:tc>
          <w:tcPr>
            <w:tcW w:w="828" w:type="pct"/>
            <w:tcBorders>
              <w:top w:val="single" w:sz="4" w:space="0" w:color="000000"/>
              <w:left w:val="single" w:sz="4" w:space="0" w:color="000000"/>
              <w:bottom w:val="single" w:sz="4" w:space="0" w:color="000000"/>
              <w:right w:val="single" w:sz="4" w:space="0" w:color="000000"/>
            </w:tcBorders>
          </w:tcPr>
          <w:p w14:paraId="2245D390" w14:textId="77777777" w:rsidR="00314C3D" w:rsidRPr="001C15F0" w:rsidRDefault="00314C3D">
            <w:pPr>
              <w:pStyle w:val="TableParagraph"/>
              <w:ind w:left="108"/>
              <w:rPr>
                <w:spacing w:val="-2"/>
                <w:sz w:val="20"/>
                <w:szCs w:val="20"/>
                <w:lang w:val="da-DK"/>
              </w:rPr>
            </w:pPr>
          </w:p>
        </w:tc>
        <w:tc>
          <w:tcPr>
            <w:tcW w:w="849" w:type="pct"/>
            <w:tcBorders>
              <w:top w:val="single" w:sz="4" w:space="0" w:color="000000"/>
              <w:left w:val="single" w:sz="4" w:space="0" w:color="000000"/>
              <w:bottom w:val="single" w:sz="4" w:space="0" w:color="000000"/>
              <w:right w:val="single" w:sz="4" w:space="0" w:color="000000"/>
            </w:tcBorders>
          </w:tcPr>
          <w:p w14:paraId="6BD2075D" w14:textId="77777777" w:rsidR="00314C3D" w:rsidRPr="001C15F0" w:rsidRDefault="00314C3D">
            <w:pPr>
              <w:pStyle w:val="TableParagraph"/>
              <w:rPr>
                <w:sz w:val="20"/>
                <w:szCs w:val="20"/>
                <w:lang w:val="da-DK"/>
              </w:rPr>
            </w:pPr>
          </w:p>
        </w:tc>
        <w:tc>
          <w:tcPr>
            <w:tcW w:w="1066" w:type="pct"/>
            <w:tcBorders>
              <w:top w:val="single" w:sz="4" w:space="0" w:color="000000"/>
              <w:left w:val="single" w:sz="4" w:space="0" w:color="000000"/>
              <w:bottom w:val="single" w:sz="4" w:space="0" w:color="000000"/>
              <w:right w:val="single" w:sz="4" w:space="0" w:color="000000"/>
            </w:tcBorders>
          </w:tcPr>
          <w:p w14:paraId="737162A2" w14:textId="77777777" w:rsidR="00314C3D" w:rsidRPr="001C15F0" w:rsidRDefault="00314C3D">
            <w:pPr>
              <w:pStyle w:val="TableParagraph"/>
              <w:rPr>
                <w:spacing w:val="-2"/>
                <w:sz w:val="20"/>
                <w:szCs w:val="20"/>
                <w:lang w:val="da-DK"/>
              </w:rPr>
            </w:pPr>
          </w:p>
        </w:tc>
      </w:tr>
    </w:tbl>
    <w:p w14:paraId="761F37DE" w14:textId="06AC4B6F" w:rsidR="00314C3D" w:rsidRPr="00192064" w:rsidRDefault="00314C3D" w:rsidP="00192064">
      <w:pPr>
        <w:autoSpaceDE w:val="0"/>
        <w:autoSpaceDN w:val="0"/>
        <w:adjustRightInd w:val="0"/>
        <w:ind w:left="567" w:hanging="567"/>
        <w:rPr>
          <w:sz w:val="20"/>
        </w:rPr>
      </w:pPr>
      <w:r w:rsidRPr="00192064">
        <w:rPr>
          <w:sz w:val="20"/>
        </w:rPr>
        <w:t>*</w:t>
      </w:r>
      <w:r w:rsidR="00192064">
        <w:rPr>
          <w:sz w:val="20"/>
        </w:rPr>
        <w:tab/>
      </w:r>
      <w:proofErr w:type="spellStart"/>
      <w:r w:rsidRPr="00192064">
        <w:rPr>
          <w:sz w:val="20"/>
        </w:rPr>
        <w:t>Somnolens</w:t>
      </w:r>
      <w:proofErr w:type="spellEnd"/>
      <w:r w:rsidRPr="00192064">
        <w:rPr>
          <w:sz w:val="20"/>
        </w:rPr>
        <w:t xml:space="preserve"> omfatter bivirkningerne: </w:t>
      </w:r>
      <w:proofErr w:type="spellStart"/>
      <w:r w:rsidRPr="00192064">
        <w:rPr>
          <w:sz w:val="20"/>
        </w:rPr>
        <w:t>hypersomni</w:t>
      </w:r>
      <w:proofErr w:type="spellEnd"/>
      <w:r w:rsidRPr="00192064">
        <w:rPr>
          <w:sz w:val="20"/>
        </w:rPr>
        <w:t xml:space="preserve">, </w:t>
      </w:r>
      <w:proofErr w:type="spellStart"/>
      <w:r w:rsidRPr="00192064">
        <w:rPr>
          <w:sz w:val="20"/>
        </w:rPr>
        <w:t>hypersomnolens</w:t>
      </w:r>
      <w:proofErr w:type="spellEnd"/>
      <w:r w:rsidRPr="00192064">
        <w:rPr>
          <w:sz w:val="20"/>
        </w:rPr>
        <w:t xml:space="preserve">, sedation og </w:t>
      </w:r>
      <w:proofErr w:type="spellStart"/>
      <w:r w:rsidRPr="00192064">
        <w:rPr>
          <w:sz w:val="20"/>
        </w:rPr>
        <w:t>somnolens</w:t>
      </w:r>
      <w:proofErr w:type="spellEnd"/>
      <w:r w:rsidRPr="00192064">
        <w:rPr>
          <w:sz w:val="20"/>
        </w:rPr>
        <w:t>.</w:t>
      </w:r>
    </w:p>
    <w:p w14:paraId="294321C6" w14:textId="176281D8" w:rsidR="00314C3D" w:rsidRPr="00192064" w:rsidRDefault="00314C3D" w:rsidP="00192064">
      <w:pPr>
        <w:autoSpaceDE w:val="0"/>
        <w:autoSpaceDN w:val="0"/>
        <w:adjustRightInd w:val="0"/>
        <w:ind w:left="567" w:hanging="567"/>
        <w:rPr>
          <w:sz w:val="20"/>
        </w:rPr>
      </w:pPr>
      <w:r w:rsidRPr="00192064">
        <w:rPr>
          <w:sz w:val="20"/>
        </w:rPr>
        <w:t>**</w:t>
      </w:r>
      <w:r w:rsidR="00192064">
        <w:rPr>
          <w:sz w:val="20"/>
        </w:rPr>
        <w:tab/>
      </w:r>
      <w:r w:rsidRPr="00192064">
        <w:rPr>
          <w:sz w:val="20"/>
        </w:rPr>
        <w:t xml:space="preserve">Parkinsonisme omfatter bivirkningerne: </w:t>
      </w:r>
      <w:proofErr w:type="spellStart"/>
      <w:r w:rsidRPr="00192064">
        <w:rPr>
          <w:sz w:val="20"/>
        </w:rPr>
        <w:t>bradykinesi</w:t>
      </w:r>
      <w:proofErr w:type="spellEnd"/>
      <w:r w:rsidRPr="00192064">
        <w:rPr>
          <w:sz w:val="20"/>
        </w:rPr>
        <w:t>, intermitterende stivhed (</w:t>
      </w:r>
      <w:proofErr w:type="spellStart"/>
      <w:r w:rsidRPr="00192064">
        <w:rPr>
          <w:sz w:val="20"/>
        </w:rPr>
        <w:t>cogwheel</w:t>
      </w:r>
      <w:proofErr w:type="spellEnd"/>
      <w:r w:rsidRPr="00192064">
        <w:rPr>
          <w:sz w:val="20"/>
        </w:rPr>
        <w:t xml:space="preserve">), </w:t>
      </w:r>
      <w:proofErr w:type="spellStart"/>
      <w:r w:rsidRPr="00192064">
        <w:rPr>
          <w:sz w:val="20"/>
        </w:rPr>
        <w:t>savlen</w:t>
      </w:r>
      <w:proofErr w:type="spellEnd"/>
      <w:r w:rsidRPr="00192064">
        <w:rPr>
          <w:sz w:val="20"/>
        </w:rPr>
        <w:t>, ekstrapyramidale</w:t>
      </w:r>
      <w:r w:rsidR="00192064">
        <w:rPr>
          <w:sz w:val="20"/>
        </w:rPr>
        <w:t xml:space="preserve"> </w:t>
      </w:r>
      <w:r w:rsidRPr="00192064">
        <w:rPr>
          <w:sz w:val="20"/>
        </w:rPr>
        <w:t xml:space="preserve">symptomer, </w:t>
      </w:r>
      <w:proofErr w:type="spellStart"/>
      <w:r w:rsidRPr="00192064">
        <w:rPr>
          <w:sz w:val="20"/>
        </w:rPr>
        <w:t>hypokinesi</w:t>
      </w:r>
      <w:proofErr w:type="spellEnd"/>
      <w:r w:rsidRPr="00192064">
        <w:rPr>
          <w:sz w:val="20"/>
        </w:rPr>
        <w:t xml:space="preserve">, muskelstivhed, parkinsonisme, </w:t>
      </w:r>
      <w:proofErr w:type="spellStart"/>
      <w:r w:rsidRPr="00192064">
        <w:rPr>
          <w:sz w:val="20"/>
        </w:rPr>
        <w:t>psykomotorisk</w:t>
      </w:r>
      <w:proofErr w:type="spellEnd"/>
      <w:r w:rsidRPr="00192064">
        <w:rPr>
          <w:sz w:val="20"/>
        </w:rPr>
        <w:t xml:space="preserve"> retardering og </w:t>
      </w:r>
      <w:proofErr w:type="spellStart"/>
      <w:r w:rsidRPr="00192064">
        <w:rPr>
          <w:sz w:val="20"/>
        </w:rPr>
        <w:t>tremor</w:t>
      </w:r>
      <w:proofErr w:type="spellEnd"/>
      <w:r w:rsidRPr="00192064">
        <w:rPr>
          <w:sz w:val="20"/>
        </w:rPr>
        <w:t>.</w:t>
      </w:r>
    </w:p>
    <w:p w14:paraId="0F736B52" w14:textId="391C037A" w:rsidR="00314C3D" w:rsidRPr="00192064" w:rsidRDefault="00314C3D" w:rsidP="00192064">
      <w:pPr>
        <w:autoSpaceDE w:val="0"/>
        <w:autoSpaceDN w:val="0"/>
        <w:adjustRightInd w:val="0"/>
        <w:ind w:left="567" w:hanging="567"/>
        <w:rPr>
          <w:sz w:val="20"/>
        </w:rPr>
      </w:pPr>
      <w:r w:rsidRPr="00192064">
        <w:rPr>
          <w:sz w:val="20"/>
        </w:rPr>
        <w:t>***</w:t>
      </w:r>
      <w:r w:rsidR="00192064">
        <w:rPr>
          <w:sz w:val="20"/>
        </w:rPr>
        <w:tab/>
      </w:r>
      <w:proofErr w:type="spellStart"/>
      <w:r w:rsidRPr="00192064">
        <w:rPr>
          <w:sz w:val="20"/>
        </w:rPr>
        <w:t>Dystoni</w:t>
      </w:r>
      <w:proofErr w:type="spellEnd"/>
      <w:r w:rsidRPr="00192064">
        <w:rPr>
          <w:sz w:val="20"/>
        </w:rPr>
        <w:t xml:space="preserve"> omfatter bivirkningerne: </w:t>
      </w:r>
      <w:proofErr w:type="spellStart"/>
      <w:r w:rsidRPr="00192064">
        <w:rPr>
          <w:sz w:val="20"/>
        </w:rPr>
        <w:t>dystoni</w:t>
      </w:r>
      <w:proofErr w:type="spellEnd"/>
      <w:r w:rsidRPr="00192064">
        <w:rPr>
          <w:sz w:val="20"/>
        </w:rPr>
        <w:t xml:space="preserve">, </w:t>
      </w:r>
      <w:proofErr w:type="spellStart"/>
      <w:r w:rsidRPr="00192064">
        <w:rPr>
          <w:sz w:val="20"/>
        </w:rPr>
        <w:t>oculogyrisk</w:t>
      </w:r>
      <w:proofErr w:type="spellEnd"/>
      <w:r w:rsidRPr="00192064">
        <w:rPr>
          <w:sz w:val="20"/>
        </w:rPr>
        <w:t xml:space="preserve"> krise, </w:t>
      </w:r>
      <w:proofErr w:type="spellStart"/>
      <w:r w:rsidRPr="00192064">
        <w:rPr>
          <w:sz w:val="20"/>
        </w:rPr>
        <w:t>oromandibulær</w:t>
      </w:r>
      <w:proofErr w:type="spellEnd"/>
      <w:r w:rsidRPr="00192064">
        <w:rPr>
          <w:sz w:val="20"/>
        </w:rPr>
        <w:t xml:space="preserve"> </w:t>
      </w:r>
      <w:proofErr w:type="spellStart"/>
      <w:r w:rsidRPr="00192064">
        <w:rPr>
          <w:sz w:val="20"/>
        </w:rPr>
        <w:t>dystoni</w:t>
      </w:r>
      <w:proofErr w:type="spellEnd"/>
      <w:r w:rsidRPr="00192064">
        <w:rPr>
          <w:sz w:val="20"/>
        </w:rPr>
        <w:t xml:space="preserve">, tungespasmer, </w:t>
      </w:r>
      <w:proofErr w:type="spellStart"/>
      <w:r w:rsidRPr="00192064">
        <w:rPr>
          <w:sz w:val="20"/>
        </w:rPr>
        <w:t>torticollis</w:t>
      </w:r>
      <w:proofErr w:type="spellEnd"/>
      <w:r w:rsidRPr="00192064">
        <w:rPr>
          <w:sz w:val="20"/>
        </w:rPr>
        <w:t xml:space="preserve"> og </w:t>
      </w:r>
      <w:proofErr w:type="spellStart"/>
      <w:r w:rsidRPr="00192064">
        <w:rPr>
          <w:sz w:val="20"/>
        </w:rPr>
        <w:t>trismus</w:t>
      </w:r>
      <w:proofErr w:type="spellEnd"/>
      <w:r w:rsidRPr="00192064">
        <w:rPr>
          <w:sz w:val="20"/>
        </w:rPr>
        <w:t>.</w:t>
      </w:r>
    </w:p>
    <w:p w14:paraId="59E8D9B7" w14:textId="02BE2828" w:rsidR="00314C3D" w:rsidRPr="00192064" w:rsidRDefault="00314C3D" w:rsidP="00192064">
      <w:pPr>
        <w:autoSpaceDE w:val="0"/>
        <w:autoSpaceDN w:val="0"/>
        <w:adjustRightInd w:val="0"/>
        <w:ind w:left="567" w:hanging="567"/>
        <w:rPr>
          <w:sz w:val="20"/>
        </w:rPr>
      </w:pPr>
      <w:r w:rsidRPr="00192064">
        <w:rPr>
          <w:sz w:val="20"/>
        </w:rPr>
        <w:t>****</w:t>
      </w:r>
      <w:r w:rsidR="00192064">
        <w:rPr>
          <w:sz w:val="20"/>
        </w:rPr>
        <w:tab/>
      </w:r>
      <w:r w:rsidRPr="00192064">
        <w:rPr>
          <w:sz w:val="20"/>
        </w:rPr>
        <w:t>Bivirkninger blev observeret i fase 2 og 3 af kontrollerede og ukontrollerede studier. Imidlertid er hyppigheden for deres forekomst for lav til at kunne estimere deres frekvens.</w:t>
      </w:r>
    </w:p>
    <w:p w14:paraId="54F532C5" w14:textId="3C2921B8" w:rsidR="002C44AE" w:rsidRDefault="002C44AE">
      <w:pPr>
        <w:rPr>
          <w:sz w:val="24"/>
          <w:szCs w:val="24"/>
        </w:rPr>
      </w:pPr>
      <w:r>
        <w:rPr>
          <w:sz w:val="24"/>
          <w:szCs w:val="24"/>
        </w:rPr>
        <w:br w:type="page"/>
      </w:r>
    </w:p>
    <w:p w14:paraId="10FF68DD" w14:textId="77777777" w:rsidR="00314C3D" w:rsidRPr="00212B5E" w:rsidRDefault="00314C3D" w:rsidP="00314C3D">
      <w:pPr>
        <w:tabs>
          <w:tab w:val="left" w:pos="851"/>
        </w:tabs>
        <w:rPr>
          <w:sz w:val="24"/>
          <w:szCs w:val="24"/>
        </w:rPr>
      </w:pPr>
    </w:p>
    <w:p w14:paraId="5DA9A1FB" w14:textId="541728EC" w:rsidR="00314C3D" w:rsidRPr="00212B5E" w:rsidRDefault="00314C3D" w:rsidP="00314C3D">
      <w:pPr>
        <w:tabs>
          <w:tab w:val="left" w:pos="851"/>
        </w:tabs>
        <w:rPr>
          <w:b/>
          <w:bCs/>
          <w:sz w:val="24"/>
          <w:szCs w:val="24"/>
        </w:rPr>
      </w:pPr>
      <w:r w:rsidRPr="00212B5E">
        <w:rPr>
          <w:b/>
          <w:bCs/>
          <w:sz w:val="24"/>
          <w:szCs w:val="24"/>
        </w:rPr>
        <w:t>Tabel 2: Bivirkninger for unge</w:t>
      </w:r>
    </w:p>
    <w:p w14:paraId="4FB80209" w14:textId="77777777" w:rsidR="00314C3D" w:rsidRPr="00212B5E" w:rsidRDefault="00314C3D" w:rsidP="00314C3D">
      <w:pPr>
        <w:tabs>
          <w:tab w:val="left" w:pos="851"/>
        </w:tabs>
        <w:rPr>
          <w:b/>
          <w:bCs/>
          <w:sz w:val="24"/>
          <w:szCs w:val="24"/>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1276"/>
        <w:gridCol w:w="1844"/>
        <w:gridCol w:w="2265"/>
        <w:gridCol w:w="851"/>
        <w:gridCol w:w="1133"/>
      </w:tblGrid>
      <w:tr w:rsidR="002C44AE" w:rsidRPr="00212B5E" w14:paraId="675B169C" w14:textId="77777777" w:rsidTr="002C44AE">
        <w:trPr>
          <w:trHeight w:val="758"/>
          <w:tblHeader/>
        </w:trPr>
        <w:tc>
          <w:tcPr>
            <w:tcW w:w="1119" w:type="pct"/>
            <w:tcBorders>
              <w:top w:val="single" w:sz="4" w:space="0" w:color="000000"/>
              <w:left w:val="single" w:sz="4" w:space="0" w:color="000000"/>
              <w:bottom w:val="single" w:sz="4" w:space="0" w:color="000000"/>
              <w:right w:val="single" w:sz="4" w:space="0" w:color="000000"/>
            </w:tcBorders>
            <w:hideMark/>
          </w:tcPr>
          <w:p w14:paraId="6132E3AA" w14:textId="77777777" w:rsidR="00314C3D" w:rsidRPr="00192064" w:rsidRDefault="00314C3D">
            <w:pPr>
              <w:pStyle w:val="TableParagraph"/>
              <w:ind w:left="56"/>
              <w:rPr>
                <w:b/>
                <w:sz w:val="20"/>
                <w:szCs w:val="20"/>
                <w:lang w:val="da-DK"/>
              </w:rPr>
            </w:pPr>
            <w:r w:rsidRPr="00192064">
              <w:rPr>
                <w:b/>
                <w:spacing w:val="-2"/>
                <w:sz w:val="20"/>
                <w:szCs w:val="20"/>
                <w:lang w:val="da-DK"/>
              </w:rPr>
              <w:t>Systemorganklasse</w:t>
            </w:r>
          </w:p>
        </w:tc>
        <w:tc>
          <w:tcPr>
            <w:tcW w:w="672" w:type="pct"/>
            <w:tcBorders>
              <w:top w:val="single" w:sz="4" w:space="0" w:color="000000"/>
              <w:left w:val="single" w:sz="4" w:space="0" w:color="000000"/>
              <w:bottom w:val="single" w:sz="4" w:space="0" w:color="000000"/>
              <w:right w:val="single" w:sz="4" w:space="0" w:color="000000"/>
            </w:tcBorders>
            <w:hideMark/>
          </w:tcPr>
          <w:p w14:paraId="7854ED23" w14:textId="2A1C49F2" w:rsidR="00314C3D" w:rsidRPr="00192064" w:rsidRDefault="00314C3D">
            <w:pPr>
              <w:pStyle w:val="TableParagraph"/>
              <w:spacing w:line="250" w:lineRule="atLeast"/>
              <w:ind w:left="56"/>
              <w:rPr>
                <w:b/>
                <w:sz w:val="20"/>
                <w:szCs w:val="20"/>
                <w:lang w:val="da-DK"/>
              </w:rPr>
            </w:pPr>
            <w:r w:rsidRPr="00192064">
              <w:rPr>
                <w:b/>
                <w:spacing w:val="-2"/>
                <w:sz w:val="20"/>
                <w:szCs w:val="20"/>
                <w:lang w:val="da-DK"/>
              </w:rPr>
              <w:t>Meget almindel</w:t>
            </w:r>
            <w:r w:rsidRPr="00192064">
              <w:rPr>
                <w:b/>
                <w:spacing w:val="-6"/>
                <w:sz w:val="20"/>
                <w:szCs w:val="20"/>
                <w:lang w:val="da-DK"/>
              </w:rPr>
              <w:t>ig</w:t>
            </w:r>
          </w:p>
        </w:tc>
        <w:tc>
          <w:tcPr>
            <w:tcW w:w="971" w:type="pct"/>
            <w:tcBorders>
              <w:top w:val="single" w:sz="4" w:space="0" w:color="000000"/>
              <w:left w:val="single" w:sz="4" w:space="0" w:color="000000"/>
              <w:bottom w:val="single" w:sz="4" w:space="0" w:color="000000"/>
              <w:right w:val="single" w:sz="4" w:space="0" w:color="000000"/>
            </w:tcBorders>
            <w:hideMark/>
          </w:tcPr>
          <w:p w14:paraId="6D1A45A2" w14:textId="77777777" w:rsidR="00314C3D" w:rsidRPr="00192064" w:rsidRDefault="00314C3D">
            <w:pPr>
              <w:pStyle w:val="TableParagraph"/>
              <w:ind w:left="56"/>
              <w:rPr>
                <w:b/>
                <w:sz w:val="20"/>
                <w:szCs w:val="20"/>
                <w:lang w:val="da-DK"/>
              </w:rPr>
            </w:pPr>
            <w:r w:rsidRPr="00192064">
              <w:rPr>
                <w:b/>
                <w:spacing w:val="-2"/>
                <w:sz w:val="20"/>
                <w:szCs w:val="20"/>
                <w:lang w:val="da-DK"/>
              </w:rPr>
              <w:t>Almindelig</w:t>
            </w:r>
          </w:p>
        </w:tc>
        <w:tc>
          <w:tcPr>
            <w:tcW w:w="1193" w:type="pct"/>
            <w:tcBorders>
              <w:top w:val="single" w:sz="4" w:space="0" w:color="000000"/>
              <w:left w:val="single" w:sz="4" w:space="0" w:color="000000"/>
              <w:bottom w:val="single" w:sz="4" w:space="0" w:color="000000"/>
              <w:right w:val="single" w:sz="4" w:space="0" w:color="000000"/>
            </w:tcBorders>
            <w:hideMark/>
          </w:tcPr>
          <w:p w14:paraId="23EE43AD" w14:textId="77777777" w:rsidR="00314C3D" w:rsidRPr="00192064" w:rsidRDefault="00314C3D">
            <w:pPr>
              <w:pStyle w:val="TableParagraph"/>
              <w:ind w:left="56"/>
              <w:rPr>
                <w:b/>
                <w:sz w:val="20"/>
                <w:szCs w:val="20"/>
                <w:lang w:val="da-DK"/>
              </w:rPr>
            </w:pPr>
            <w:r w:rsidRPr="00192064">
              <w:rPr>
                <w:b/>
                <w:sz w:val="20"/>
                <w:szCs w:val="20"/>
                <w:lang w:val="da-DK"/>
              </w:rPr>
              <w:t xml:space="preserve">Ikke </w:t>
            </w:r>
            <w:r w:rsidRPr="00192064">
              <w:rPr>
                <w:b/>
                <w:spacing w:val="-2"/>
                <w:sz w:val="20"/>
                <w:szCs w:val="20"/>
                <w:lang w:val="da-DK"/>
              </w:rPr>
              <w:t>almindelig</w:t>
            </w:r>
          </w:p>
        </w:tc>
        <w:tc>
          <w:tcPr>
            <w:tcW w:w="448" w:type="pct"/>
            <w:tcBorders>
              <w:top w:val="single" w:sz="4" w:space="0" w:color="000000"/>
              <w:left w:val="single" w:sz="4" w:space="0" w:color="000000"/>
              <w:bottom w:val="single" w:sz="4" w:space="0" w:color="000000"/>
              <w:right w:val="single" w:sz="4" w:space="0" w:color="000000"/>
            </w:tcBorders>
            <w:hideMark/>
          </w:tcPr>
          <w:p w14:paraId="06A70603" w14:textId="0B56169F" w:rsidR="00314C3D" w:rsidRPr="00192064" w:rsidRDefault="00314C3D">
            <w:pPr>
              <w:pStyle w:val="TableParagraph"/>
              <w:ind w:left="57" w:right="104"/>
              <w:rPr>
                <w:b/>
                <w:sz w:val="20"/>
                <w:szCs w:val="20"/>
                <w:lang w:val="da-DK"/>
              </w:rPr>
            </w:pPr>
            <w:r w:rsidRPr="00192064">
              <w:rPr>
                <w:b/>
                <w:spacing w:val="-2"/>
                <w:sz w:val="20"/>
                <w:szCs w:val="20"/>
                <w:lang w:val="da-DK"/>
              </w:rPr>
              <w:t>Sjæld</w:t>
            </w:r>
            <w:r w:rsidRPr="00192064">
              <w:rPr>
                <w:b/>
                <w:spacing w:val="-6"/>
                <w:sz w:val="20"/>
                <w:szCs w:val="20"/>
                <w:lang w:val="da-DK"/>
              </w:rPr>
              <w:t>en</w:t>
            </w:r>
          </w:p>
        </w:tc>
        <w:tc>
          <w:tcPr>
            <w:tcW w:w="597" w:type="pct"/>
            <w:tcBorders>
              <w:top w:val="single" w:sz="4" w:space="0" w:color="000000"/>
              <w:left w:val="single" w:sz="4" w:space="0" w:color="000000"/>
              <w:bottom w:val="single" w:sz="4" w:space="0" w:color="000000"/>
              <w:right w:val="single" w:sz="4" w:space="0" w:color="000000"/>
            </w:tcBorders>
            <w:hideMark/>
          </w:tcPr>
          <w:p w14:paraId="509E637A" w14:textId="77AEE362" w:rsidR="00314C3D" w:rsidRPr="00192064" w:rsidRDefault="00314C3D">
            <w:pPr>
              <w:pStyle w:val="TableParagraph"/>
              <w:spacing w:line="250" w:lineRule="atLeast"/>
              <w:ind w:left="56" w:right="53"/>
              <w:rPr>
                <w:b/>
                <w:sz w:val="20"/>
                <w:szCs w:val="20"/>
                <w:lang w:val="da-DK"/>
              </w:rPr>
            </w:pPr>
            <w:r w:rsidRPr="00192064">
              <w:rPr>
                <w:b/>
                <w:spacing w:val="-2"/>
                <w:sz w:val="20"/>
                <w:szCs w:val="20"/>
                <w:lang w:val="da-DK"/>
              </w:rPr>
              <w:t>Hyppigh</w:t>
            </w:r>
            <w:r w:rsidRPr="00192064">
              <w:rPr>
                <w:b/>
                <w:sz w:val="20"/>
                <w:szCs w:val="20"/>
                <w:lang w:val="da-DK"/>
              </w:rPr>
              <w:t xml:space="preserve">ed ikke </w:t>
            </w:r>
            <w:r w:rsidRPr="00192064">
              <w:rPr>
                <w:b/>
                <w:spacing w:val="-2"/>
                <w:sz w:val="20"/>
                <w:szCs w:val="20"/>
                <w:lang w:val="da-DK"/>
              </w:rPr>
              <w:t>kendt</w:t>
            </w:r>
          </w:p>
        </w:tc>
      </w:tr>
      <w:tr w:rsidR="002C44AE" w:rsidRPr="00212B5E" w14:paraId="1E97ED63" w14:textId="77777777" w:rsidTr="002C44AE">
        <w:trPr>
          <w:trHeight w:val="1009"/>
        </w:trPr>
        <w:tc>
          <w:tcPr>
            <w:tcW w:w="1119" w:type="pct"/>
            <w:tcBorders>
              <w:top w:val="single" w:sz="4" w:space="0" w:color="000000"/>
              <w:left w:val="single" w:sz="4" w:space="0" w:color="000000"/>
              <w:right w:val="single" w:sz="4" w:space="0" w:color="000000"/>
            </w:tcBorders>
            <w:hideMark/>
          </w:tcPr>
          <w:p w14:paraId="2C7F4FF7" w14:textId="396FB532" w:rsidR="00212B5E" w:rsidRPr="00192064" w:rsidRDefault="00212B5E" w:rsidP="00192064">
            <w:pPr>
              <w:pStyle w:val="TableParagraph"/>
              <w:spacing w:line="233" w:lineRule="exact"/>
              <w:ind w:left="56"/>
              <w:rPr>
                <w:sz w:val="20"/>
                <w:szCs w:val="20"/>
                <w:lang w:val="da-DK"/>
              </w:rPr>
            </w:pPr>
            <w:r w:rsidRPr="00192064">
              <w:rPr>
                <w:sz w:val="20"/>
                <w:szCs w:val="20"/>
                <w:lang w:val="da-DK"/>
              </w:rPr>
              <w:t>Infektioner</w:t>
            </w:r>
            <w:r w:rsidRPr="00192064">
              <w:rPr>
                <w:spacing w:val="-1"/>
                <w:sz w:val="20"/>
                <w:szCs w:val="20"/>
                <w:lang w:val="da-DK"/>
              </w:rPr>
              <w:t xml:space="preserve"> </w:t>
            </w:r>
            <w:r w:rsidRPr="00192064">
              <w:rPr>
                <w:spacing w:val="-5"/>
                <w:sz w:val="20"/>
                <w:szCs w:val="20"/>
                <w:lang w:val="da-DK"/>
              </w:rPr>
              <w:t>og</w:t>
            </w:r>
            <w:r w:rsidR="00192064">
              <w:rPr>
                <w:spacing w:val="-5"/>
                <w:sz w:val="20"/>
                <w:szCs w:val="20"/>
                <w:lang w:val="da-DK"/>
              </w:rPr>
              <w:t xml:space="preserve"> </w:t>
            </w:r>
            <w:r w:rsidRPr="00192064">
              <w:rPr>
                <w:spacing w:val="-2"/>
                <w:sz w:val="20"/>
                <w:szCs w:val="20"/>
                <w:lang w:val="da-DK"/>
              </w:rPr>
              <w:t>parasitære</w:t>
            </w:r>
            <w:r w:rsidR="00192064">
              <w:rPr>
                <w:spacing w:val="-2"/>
                <w:sz w:val="20"/>
                <w:szCs w:val="20"/>
                <w:lang w:val="da-DK"/>
              </w:rPr>
              <w:t xml:space="preserve"> </w:t>
            </w:r>
            <w:r w:rsidRPr="00192064">
              <w:rPr>
                <w:spacing w:val="-2"/>
                <w:sz w:val="20"/>
                <w:szCs w:val="20"/>
                <w:lang w:val="da-DK"/>
              </w:rPr>
              <w:t>sygdomme</w:t>
            </w:r>
          </w:p>
        </w:tc>
        <w:tc>
          <w:tcPr>
            <w:tcW w:w="672" w:type="pct"/>
            <w:tcBorders>
              <w:top w:val="single" w:sz="4" w:space="0" w:color="000000"/>
              <w:left w:val="single" w:sz="4" w:space="0" w:color="000000"/>
              <w:bottom w:val="single" w:sz="4" w:space="0" w:color="000000"/>
              <w:right w:val="single" w:sz="4" w:space="0" w:color="000000"/>
            </w:tcBorders>
          </w:tcPr>
          <w:p w14:paraId="2B2B82C9" w14:textId="77777777" w:rsidR="00212B5E" w:rsidRPr="00192064" w:rsidRDefault="00212B5E">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3F451A82" w14:textId="77777777" w:rsidR="00212B5E" w:rsidRPr="00192064" w:rsidRDefault="00212B5E">
            <w:pPr>
              <w:pStyle w:val="TableParagraph"/>
              <w:rPr>
                <w:sz w:val="20"/>
                <w:szCs w:val="20"/>
                <w:lang w:val="da-DK"/>
              </w:rPr>
            </w:pPr>
          </w:p>
        </w:tc>
        <w:tc>
          <w:tcPr>
            <w:tcW w:w="1193" w:type="pct"/>
            <w:tcBorders>
              <w:top w:val="single" w:sz="4" w:space="0" w:color="000000"/>
              <w:left w:val="single" w:sz="4" w:space="0" w:color="000000"/>
              <w:right w:val="single" w:sz="4" w:space="0" w:color="000000"/>
            </w:tcBorders>
            <w:hideMark/>
          </w:tcPr>
          <w:p w14:paraId="1888F7BD" w14:textId="77777777" w:rsidR="00212B5E" w:rsidRPr="00192064" w:rsidRDefault="00212B5E" w:rsidP="002C44AE">
            <w:pPr>
              <w:pStyle w:val="TableParagraph"/>
              <w:tabs>
                <w:tab w:val="left" w:pos="2330"/>
              </w:tabs>
              <w:spacing w:line="233" w:lineRule="exact"/>
              <w:ind w:left="56" w:right="202"/>
              <w:rPr>
                <w:sz w:val="20"/>
                <w:szCs w:val="20"/>
                <w:lang w:val="da-DK"/>
              </w:rPr>
            </w:pPr>
            <w:proofErr w:type="spellStart"/>
            <w:r w:rsidRPr="00192064">
              <w:rPr>
                <w:spacing w:val="-2"/>
                <w:sz w:val="20"/>
                <w:szCs w:val="20"/>
                <w:lang w:val="da-DK"/>
              </w:rPr>
              <w:t>Nasofaryngitis</w:t>
            </w:r>
            <w:proofErr w:type="spellEnd"/>
          </w:p>
          <w:p w14:paraId="5994B9CB" w14:textId="77777777" w:rsidR="00212B5E" w:rsidRPr="00192064" w:rsidRDefault="00212B5E" w:rsidP="002C44AE">
            <w:pPr>
              <w:pStyle w:val="TableParagraph"/>
              <w:tabs>
                <w:tab w:val="left" w:pos="2330"/>
              </w:tabs>
              <w:spacing w:line="223" w:lineRule="exact"/>
              <w:ind w:left="56" w:right="202"/>
              <w:rPr>
                <w:sz w:val="20"/>
                <w:szCs w:val="20"/>
                <w:lang w:val="da-DK"/>
              </w:rPr>
            </w:pPr>
            <w:proofErr w:type="spellStart"/>
            <w:r w:rsidRPr="00192064">
              <w:rPr>
                <w:spacing w:val="-2"/>
                <w:sz w:val="20"/>
                <w:szCs w:val="20"/>
                <w:lang w:val="da-DK"/>
              </w:rPr>
              <w:t>Rhinitis</w:t>
            </w:r>
            <w:proofErr w:type="spellEnd"/>
          </w:p>
          <w:p w14:paraId="5916BDA0" w14:textId="13164A31" w:rsidR="00212B5E" w:rsidRPr="00192064" w:rsidRDefault="00212B5E" w:rsidP="002C44AE">
            <w:pPr>
              <w:pStyle w:val="TableParagraph"/>
              <w:tabs>
                <w:tab w:val="left" w:pos="2330"/>
              </w:tabs>
              <w:spacing w:line="223" w:lineRule="exact"/>
              <w:ind w:left="56" w:right="202"/>
              <w:rPr>
                <w:sz w:val="20"/>
                <w:szCs w:val="20"/>
                <w:lang w:val="da-DK"/>
              </w:rPr>
            </w:pPr>
            <w:r w:rsidRPr="00192064">
              <w:rPr>
                <w:sz w:val="20"/>
                <w:szCs w:val="20"/>
                <w:lang w:val="da-DK"/>
              </w:rPr>
              <w:t>Infektion i</w:t>
            </w:r>
            <w:r w:rsidRPr="00192064">
              <w:rPr>
                <w:spacing w:val="-1"/>
                <w:sz w:val="20"/>
                <w:szCs w:val="20"/>
                <w:lang w:val="da-DK"/>
              </w:rPr>
              <w:t xml:space="preserve"> </w:t>
            </w:r>
            <w:r w:rsidRPr="00192064">
              <w:rPr>
                <w:sz w:val="20"/>
                <w:szCs w:val="20"/>
                <w:lang w:val="da-DK"/>
              </w:rPr>
              <w:t xml:space="preserve">de </w:t>
            </w:r>
            <w:r w:rsidRPr="00192064">
              <w:rPr>
                <w:spacing w:val="-4"/>
                <w:sz w:val="20"/>
                <w:szCs w:val="20"/>
                <w:lang w:val="da-DK"/>
              </w:rPr>
              <w:t>øvre</w:t>
            </w:r>
            <w:r w:rsidR="00192064">
              <w:rPr>
                <w:spacing w:val="-4"/>
                <w:sz w:val="20"/>
                <w:szCs w:val="20"/>
                <w:lang w:val="da-DK"/>
              </w:rPr>
              <w:t xml:space="preserve"> </w:t>
            </w:r>
            <w:r w:rsidRPr="00192064">
              <w:rPr>
                <w:spacing w:val="-2"/>
                <w:sz w:val="20"/>
                <w:szCs w:val="20"/>
                <w:lang w:val="da-DK"/>
              </w:rPr>
              <w:t>luftveje</w:t>
            </w:r>
          </w:p>
        </w:tc>
        <w:tc>
          <w:tcPr>
            <w:tcW w:w="448" w:type="pct"/>
            <w:tcBorders>
              <w:top w:val="single" w:sz="4" w:space="0" w:color="000000"/>
              <w:left w:val="single" w:sz="4" w:space="0" w:color="000000"/>
              <w:bottom w:val="single" w:sz="4" w:space="0" w:color="000000"/>
              <w:right w:val="single" w:sz="4" w:space="0" w:color="000000"/>
            </w:tcBorders>
          </w:tcPr>
          <w:p w14:paraId="58757924" w14:textId="77777777" w:rsidR="00212B5E" w:rsidRPr="00192064" w:rsidRDefault="00212B5E">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2DB54800" w14:textId="77777777" w:rsidR="00212B5E" w:rsidRPr="00192064" w:rsidRDefault="00212B5E">
            <w:pPr>
              <w:pStyle w:val="TableParagraph"/>
              <w:rPr>
                <w:sz w:val="20"/>
                <w:szCs w:val="20"/>
                <w:lang w:val="da-DK"/>
              </w:rPr>
            </w:pPr>
          </w:p>
        </w:tc>
      </w:tr>
      <w:tr w:rsidR="002C44AE" w:rsidRPr="00212B5E" w14:paraId="4ACEAF86" w14:textId="77777777" w:rsidTr="002C44AE">
        <w:trPr>
          <w:trHeight w:val="605"/>
        </w:trPr>
        <w:tc>
          <w:tcPr>
            <w:tcW w:w="1119" w:type="pct"/>
            <w:tcBorders>
              <w:top w:val="single" w:sz="4" w:space="0" w:color="000000"/>
              <w:left w:val="single" w:sz="4" w:space="0" w:color="000000"/>
              <w:bottom w:val="single" w:sz="4" w:space="0" w:color="000000"/>
              <w:right w:val="single" w:sz="4" w:space="0" w:color="000000"/>
            </w:tcBorders>
            <w:hideMark/>
          </w:tcPr>
          <w:p w14:paraId="13F8CE4D" w14:textId="77777777" w:rsidR="00314C3D" w:rsidRPr="00192064" w:rsidRDefault="00314C3D">
            <w:pPr>
              <w:pStyle w:val="TableParagraph"/>
              <w:ind w:left="56"/>
              <w:rPr>
                <w:sz w:val="20"/>
                <w:szCs w:val="20"/>
                <w:lang w:val="da-DK"/>
              </w:rPr>
            </w:pPr>
            <w:r w:rsidRPr="00192064">
              <w:rPr>
                <w:sz w:val="20"/>
                <w:szCs w:val="20"/>
                <w:lang w:val="da-DK"/>
              </w:rPr>
              <w:t xml:space="preserve">Blod og </w:t>
            </w:r>
            <w:r w:rsidRPr="00192064">
              <w:rPr>
                <w:spacing w:val="-2"/>
                <w:sz w:val="20"/>
                <w:szCs w:val="20"/>
                <w:lang w:val="da-DK"/>
              </w:rPr>
              <w:t>lymfesystem</w:t>
            </w:r>
          </w:p>
        </w:tc>
        <w:tc>
          <w:tcPr>
            <w:tcW w:w="672" w:type="pct"/>
            <w:tcBorders>
              <w:top w:val="single" w:sz="4" w:space="0" w:color="000000"/>
              <w:left w:val="single" w:sz="4" w:space="0" w:color="000000"/>
              <w:bottom w:val="single" w:sz="4" w:space="0" w:color="000000"/>
              <w:right w:val="single" w:sz="4" w:space="0" w:color="000000"/>
            </w:tcBorders>
          </w:tcPr>
          <w:p w14:paraId="4B0F2907"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1FA5CF35"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370AD9AE" w14:textId="77777777"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Neutropeni</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364DAF3E"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5D48BEDB" w14:textId="77777777" w:rsidR="00314C3D" w:rsidRPr="00192064" w:rsidRDefault="00314C3D">
            <w:pPr>
              <w:pStyle w:val="TableParagraph"/>
              <w:rPr>
                <w:sz w:val="20"/>
                <w:szCs w:val="20"/>
                <w:lang w:val="da-DK"/>
              </w:rPr>
            </w:pPr>
          </w:p>
        </w:tc>
      </w:tr>
      <w:tr w:rsidR="002C44AE" w:rsidRPr="00212B5E" w14:paraId="56A8257A" w14:textId="77777777" w:rsidTr="002C44AE">
        <w:trPr>
          <w:trHeight w:val="605"/>
        </w:trPr>
        <w:tc>
          <w:tcPr>
            <w:tcW w:w="1119" w:type="pct"/>
            <w:tcBorders>
              <w:top w:val="single" w:sz="4" w:space="0" w:color="000000"/>
              <w:left w:val="single" w:sz="4" w:space="0" w:color="000000"/>
              <w:bottom w:val="single" w:sz="4" w:space="0" w:color="000000"/>
              <w:right w:val="single" w:sz="4" w:space="0" w:color="000000"/>
            </w:tcBorders>
            <w:hideMark/>
          </w:tcPr>
          <w:p w14:paraId="76308AF5" w14:textId="77777777" w:rsidR="00314C3D" w:rsidRPr="00192064" w:rsidRDefault="00314C3D">
            <w:pPr>
              <w:pStyle w:val="TableParagraph"/>
              <w:ind w:left="56"/>
              <w:rPr>
                <w:sz w:val="20"/>
                <w:szCs w:val="20"/>
                <w:lang w:val="da-DK"/>
              </w:rPr>
            </w:pPr>
            <w:r w:rsidRPr="00192064">
              <w:rPr>
                <w:spacing w:val="-2"/>
                <w:sz w:val="20"/>
                <w:szCs w:val="20"/>
                <w:lang w:val="da-DK"/>
              </w:rPr>
              <w:t>Immunsystemet</w:t>
            </w:r>
          </w:p>
        </w:tc>
        <w:tc>
          <w:tcPr>
            <w:tcW w:w="672" w:type="pct"/>
            <w:tcBorders>
              <w:top w:val="single" w:sz="4" w:space="0" w:color="000000"/>
              <w:left w:val="single" w:sz="4" w:space="0" w:color="000000"/>
              <w:bottom w:val="single" w:sz="4" w:space="0" w:color="000000"/>
              <w:right w:val="single" w:sz="4" w:space="0" w:color="000000"/>
            </w:tcBorders>
          </w:tcPr>
          <w:p w14:paraId="3F4FCCB2"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736C8D85"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267E24C0" w14:textId="77777777"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Hypersensitivitet</w:t>
            </w:r>
          </w:p>
        </w:tc>
        <w:tc>
          <w:tcPr>
            <w:tcW w:w="448" w:type="pct"/>
            <w:tcBorders>
              <w:top w:val="single" w:sz="4" w:space="0" w:color="000000"/>
              <w:left w:val="single" w:sz="4" w:space="0" w:color="000000"/>
              <w:bottom w:val="single" w:sz="4" w:space="0" w:color="000000"/>
              <w:right w:val="single" w:sz="4" w:space="0" w:color="000000"/>
            </w:tcBorders>
          </w:tcPr>
          <w:p w14:paraId="50548FEC"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57223716" w14:textId="77777777" w:rsidR="00314C3D" w:rsidRPr="00192064" w:rsidRDefault="00314C3D">
            <w:pPr>
              <w:pStyle w:val="TableParagraph"/>
              <w:rPr>
                <w:sz w:val="20"/>
                <w:szCs w:val="20"/>
                <w:lang w:val="da-DK"/>
              </w:rPr>
            </w:pPr>
          </w:p>
        </w:tc>
      </w:tr>
      <w:tr w:rsidR="002C44AE" w:rsidRPr="00212B5E" w14:paraId="0D287B30" w14:textId="77777777" w:rsidTr="002C44AE">
        <w:trPr>
          <w:trHeight w:val="1011"/>
        </w:trPr>
        <w:tc>
          <w:tcPr>
            <w:tcW w:w="1119" w:type="pct"/>
            <w:tcBorders>
              <w:top w:val="single" w:sz="4" w:space="0" w:color="000000"/>
              <w:left w:val="single" w:sz="4" w:space="0" w:color="000000"/>
              <w:bottom w:val="single" w:sz="4" w:space="0" w:color="000000"/>
              <w:right w:val="single" w:sz="4" w:space="0" w:color="000000"/>
            </w:tcBorders>
            <w:hideMark/>
          </w:tcPr>
          <w:p w14:paraId="0BB29509" w14:textId="77777777" w:rsidR="00314C3D" w:rsidRPr="00192064" w:rsidRDefault="00314C3D">
            <w:pPr>
              <w:pStyle w:val="TableParagraph"/>
              <w:ind w:left="113" w:right="655"/>
              <w:rPr>
                <w:sz w:val="20"/>
                <w:szCs w:val="20"/>
                <w:lang w:val="da-DK"/>
              </w:rPr>
            </w:pPr>
            <w:r w:rsidRPr="00192064">
              <w:rPr>
                <w:sz w:val="20"/>
                <w:szCs w:val="20"/>
                <w:lang w:val="da-DK"/>
              </w:rPr>
              <w:t>Det</w:t>
            </w:r>
            <w:r w:rsidRPr="00192064">
              <w:rPr>
                <w:spacing w:val="-14"/>
                <w:sz w:val="20"/>
                <w:szCs w:val="20"/>
                <w:lang w:val="da-DK"/>
              </w:rPr>
              <w:t xml:space="preserve"> </w:t>
            </w:r>
            <w:r w:rsidRPr="00192064">
              <w:rPr>
                <w:sz w:val="20"/>
                <w:szCs w:val="20"/>
                <w:lang w:val="da-DK"/>
              </w:rPr>
              <w:t xml:space="preserve">endokrine </w:t>
            </w:r>
            <w:r w:rsidRPr="00192064">
              <w:rPr>
                <w:spacing w:val="-2"/>
                <w:sz w:val="20"/>
                <w:szCs w:val="20"/>
                <w:lang w:val="da-DK"/>
              </w:rPr>
              <w:t>system</w:t>
            </w:r>
          </w:p>
        </w:tc>
        <w:tc>
          <w:tcPr>
            <w:tcW w:w="672" w:type="pct"/>
            <w:tcBorders>
              <w:top w:val="single" w:sz="4" w:space="0" w:color="000000"/>
              <w:left w:val="single" w:sz="4" w:space="0" w:color="000000"/>
              <w:bottom w:val="single" w:sz="4" w:space="0" w:color="000000"/>
              <w:right w:val="single" w:sz="4" w:space="0" w:color="000000"/>
            </w:tcBorders>
          </w:tcPr>
          <w:p w14:paraId="5D0C3A55"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3926B455" w14:textId="77777777" w:rsidR="00314C3D" w:rsidRPr="00192064" w:rsidRDefault="00314C3D">
            <w:pPr>
              <w:pStyle w:val="TableParagraph"/>
              <w:ind w:left="56"/>
              <w:rPr>
                <w:sz w:val="20"/>
                <w:szCs w:val="20"/>
                <w:lang w:val="da-DK"/>
              </w:rPr>
            </w:pPr>
            <w:proofErr w:type="spellStart"/>
            <w:r w:rsidRPr="00192064">
              <w:rPr>
                <w:spacing w:val="-2"/>
                <w:sz w:val="20"/>
                <w:szCs w:val="20"/>
                <w:lang w:val="da-DK"/>
              </w:rPr>
              <w:t>Hyperprolaktinæmi</w:t>
            </w:r>
            <w:proofErr w:type="spellEnd"/>
            <w:r w:rsidRPr="00192064">
              <w:rPr>
                <w:spacing w:val="-2"/>
                <w:sz w:val="20"/>
                <w:szCs w:val="20"/>
                <w:lang w:val="da-DK"/>
              </w:rPr>
              <w:t xml:space="preserve"> </w:t>
            </w:r>
            <w:r w:rsidRPr="00192064">
              <w:rPr>
                <w:sz w:val="20"/>
                <w:szCs w:val="20"/>
                <w:lang w:val="da-DK"/>
              </w:rPr>
              <w:t xml:space="preserve">(herunder forhøjet </w:t>
            </w:r>
            <w:proofErr w:type="spellStart"/>
            <w:r w:rsidRPr="00192064">
              <w:rPr>
                <w:sz w:val="20"/>
                <w:szCs w:val="20"/>
                <w:lang w:val="da-DK"/>
              </w:rPr>
              <w:t>prolaktin</w:t>
            </w:r>
            <w:proofErr w:type="spellEnd"/>
            <w:r w:rsidRPr="00192064">
              <w:rPr>
                <w:sz w:val="20"/>
                <w:szCs w:val="20"/>
                <w:lang w:val="da-DK"/>
              </w:rPr>
              <w:t xml:space="preserve"> i blodet)</w:t>
            </w:r>
          </w:p>
        </w:tc>
        <w:tc>
          <w:tcPr>
            <w:tcW w:w="1193" w:type="pct"/>
            <w:tcBorders>
              <w:top w:val="single" w:sz="4" w:space="0" w:color="000000"/>
              <w:left w:val="single" w:sz="4" w:space="0" w:color="000000"/>
              <w:bottom w:val="single" w:sz="4" w:space="0" w:color="000000"/>
              <w:right w:val="single" w:sz="4" w:space="0" w:color="000000"/>
            </w:tcBorders>
            <w:hideMark/>
          </w:tcPr>
          <w:p w14:paraId="1CE0F879" w14:textId="77777777" w:rsidR="00314C3D" w:rsidRPr="00192064" w:rsidRDefault="00314C3D" w:rsidP="002C44AE">
            <w:pPr>
              <w:pStyle w:val="TableParagraph"/>
              <w:tabs>
                <w:tab w:val="left" w:pos="2330"/>
              </w:tabs>
              <w:spacing w:line="250" w:lineRule="atLeast"/>
              <w:ind w:left="113" w:right="202"/>
              <w:rPr>
                <w:sz w:val="20"/>
                <w:szCs w:val="20"/>
                <w:lang w:val="da-DK"/>
              </w:rPr>
            </w:pPr>
            <w:r w:rsidRPr="00192064">
              <w:rPr>
                <w:spacing w:val="-2"/>
                <w:sz w:val="20"/>
                <w:szCs w:val="20"/>
                <w:lang w:val="da-DK"/>
              </w:rPr>
              <w:t xml:space="preserve">Autoimmun </w:t>
            </w:r>
            <w:proofErr w:type="spellStart"/>
            <w:r w:rsidRPr="00192064">
              <w:rPr>
                <w:spacing w:val="-2"/>
                <w:sz w:val="20"/>
                <w:szCs w:val="20"/>
                <w:lang w:val="da-DK"/>
              </w:rPr>
              <w:t>thyroiditis</w:t>
            </w:r>
            <w:proofErr w:type="spellEnd"/>
            <w:r w:rsidRPr="00192064">
              <w:rPr>
                <w:spacing w:val="-2"/>
                <w:sz w:val="20"/>
                <w:szCs w:val="20"/>
                <w:lang w:val="da-DK"/>
              </w:rPr>
              <w:t xml:space="preserve"> </w:t>
            </w:r>
            <w:proofErr w:type="spellStart"/>
            <w:r w:rsidRPr="00192064">
              <w:rPr>
                <w:spacing w:val="-2"/>
                <w:sz w:val="20"/>
                <w:szCs w:val="20"/>
                <w:lang w:val="da-DK"/>
              </w:rPr>
              <w:t>Hyperandrogenisme</w:t>
            </w:r>
            <w:proofErr w:type="spellEnd"/>
            <w:r w:rsidRPr="00192064">
              <w:rPr>
                <w:spacing w:val="-2"/>
                <w:sz w:val="20"/>
                <w:szCs w:val="20"/>
                <w:lang w:val="da-DK"/>
              </w:rPr>
              <w:t xml:space="preserve"> </w:t>
            </w:r>
            <w:proofErr w:type="spellStart"/>
            <w:r w:rsidRPr="00192064">
              <w:rPr>
                <w:spacing w:val="-2"/>
                <w:sz w:val="20"/>
                <w:szCs w:val="20"/>
                <w:lang w:val="da-DK"/>
              </w:rPr>
              <w:t>Hypothyreoidisme</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7DA8FA64"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569AD69F" w14:textId="77777777" w:rsidR="00314C3D" w:rsidRPr="00192064" w:rsidRDefault="00314C3D">
            <w:pPr>
              <w:pStyle w:val="TableParagraph"/>
              <w:rPr>
                <w:sz w:val="20"/>
                <w:szCs w:val="20"/>
                <w:lang w:val="da-DK"/>
              </w:rPr>
            </w:pPr>
          </w:p>
        </w:tc>
      </w:tr>
      <w:tr w:rsidR="002C44AE" w:rsidRPr="00212B5E" w14:paraId="5B32070B" w14:textId="77777777" w:rsidTr="002C44AE">
        <w:trPr>
          <w:trHeight w:val="606"/>
        </w:trPr>
        <w:tc>
          <w:tcPr>
            <w:tcW w:w="1119" w:type="pct"/>
            <w:tcBorders>
              <w:top w:val="single" w:sz="4" w:space="0" w:color="000000"/>
              <w:left w:val="single" w:sz="4" w:space="0" w:color="000000"/>
              <w:bottom w:val="single" w:sz="4" w:space="0" w:color="000000"/>
              <w:right w:val="single" w:sz="4" w:space="0" w:color="000000"/>
            </w:tcBorders>
            <w:hideMark/>
          </w:tcPr>
          <w:p w14:paraId="650AA9B7" w14:textId="77777777" w:rsidR="00314C3D" w:rsidRPr="00192064" w:rsidRDefault="00314C3D">
            <w:pPr>
              <w:pStyle w:val="TableParagraph"/>
              <w:ind w:left="56" w:right="541"/>
              <w:rPr>
                <w:sz w:val="20"/>
                <w:szCs w:val="20"/>
                <w:lang w:val="da-DK"/>
              </w:rPr>
            </w:pPr>
            <w:r w:rsidRPr="00192064">
              <w:rPr>
                <w:sz w:val="20"/>
                <w:szCs w:val="20"/>
                <w:lang w:val="da-DK"/>
              </w:rPr>
              <w:t>Metabolisme</w:t>
            </w:r>
            <w:r w:rsidRPr="00192064">
              <w:rPr>
                <w:spacing w:val="-14"/>
                <w:sz w:val="20"/>
                <w:szCs w:val="20"/>
                <w:lang w:val="da-DK"/>
              </w:rPr>
              <w:t xml:space="preserve"> </w:t>
            </w:r>
            <w:r w:rsidRPr="00192064">
              <w:rPr>
                <w:sz w:val="20"/>
                <w:szCs w:val="20"/>
                <w:lang w:val="da-DK"/>
              </w:rPr>
              <w:t xml:space="preserve">og </w:t>
            </w:r>
            <w:r w:rsidRPr="00192064">
              <w:rPr>
                <w:spacing w:val="-2"/>
                <w:sz w:val="20"/>
                <w:szCs w:val="20"/>
                <w:lang w:val="da-DK"/>
              </w:rPr>
              <w:t>ernæring</w:t>
            </w:r>
          </w:p>
        </w:tc>
        <w:tc>
          <w:tcPr>
            <w:tcW w:w="672" w:type="pct"/>
            <w:tcBorders>
              <w:top w:val="single" w:sz="4" w:space="0" w:color="000000"/>
              <w:left w:val="single" w:sz="4" w:space="0" w:color="000000"/>
              <w:bottom w:val="single" w:sz="4" w:space="0" w:color="000000"/>
              <w:right w:val="single" w:sz="4" w:space="0" w:color="000000"/>
            </w:tcBorders>
          </w:tcPr>
          <w:p w14:paraId="651DC40B"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41F6CFC9" w14:textId="77777777" w:rsidR="00314C3D" w:rsidRPr="00192064" w:rsidRDefault="00314C3D">
            <w:pPr>
              <w:pStyle w:val="TableParagraph"/>
              <w:ind w:left="56" w:right="866"/>
              <w:rPr>
                <w:sz w:val="20"/>
                <w:szCs w:val="20"/>
                <w:lang w:val="da-DK"/>
              </w:rPr>
            </w:pPr>
            <w:r w:rsidRPr="00192064">
              <w:rPr>
                <w:sz w:val="20"/>
                <w:szCs w:val="20"/>
                <w:lang w:val="da-DK"/>
              </w:rPr>
              <w:t>Nedsat</w:t>
            </w:r>
            <w:r w:rsidRPr="00192064">
              <w:rPr>
                <w:spacing w:val="-14"/>
                <w:sz w:val="20"/>
                <w:szCs w:val="20"/>
                <w:lang w:val="da-DK"/>
              </w:rPr>
              <w:t xml:space="preserve"> </w:t>
            </w:r>
            <w:r w:rsidRPr="00192064">
              <w:rPr>
                <w:sz w:val="20"/>
                <w:szCs w:val="20"/>
                <w:lang w:val="da-DK"/>
              </w:rPr>
              <w:t>appetit Øget appetit</w:t>
            </w:r>
          </w:p>
        </w:tc>
        <w:tc>
          <w:tcPr>
            <w:tcW w:w="1193" w:type="pct"/>
            <w:tcBorders>
              <w:top w:val="single" w:sz="4" w:space="0" w:color="000000"/>
              <w:left w:val="single" w:sz="4" w:space="0" w:color="000000"/>
              <w:bottom w:val="single" w:sz="4" w:space="0" w:color="000000"/>
              <w:right w:val="single" w:sz="4" w:space="0" w:color="000000"/>
            </w:tcBorders>
            <w:hideMark/>
          </w:tcPr>
          <w:p w14:paraId="348E1A2D" w14:textId="77777777"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Hyperinsulinæmi</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4A8F071D"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6C10CA69" w14:textId="77777777" w:rsidR="00314C3D" w:rsidRPr="00192064" w:rsidRDefault="00314C3D">
            <w:pPr>
              <w:pStyle w:val="TableParagraph"/>
              <w:rPr>
                <w:sz w:val="20"/>
                <w:szCs w:val="20"/>
                <w:lang w:val="da-DK"/>
              </w:rPr>
            </w:pPr>
          </w:p>
        </w:tc>
      </w:tr>
      <w:tr w:rsidR="002C44AE" w:rsidRPr="00212B5E" w14:paraId="309FDA3C" w14:textId="77777777" w:rsidTr="002C44AE">
        <w:trPr>
          <w:trHeight w:val="6577"/>
        </w:trPr>
        <w:tc>
          <w:tcPr>
            <w:tcW w:w="1119" w:type="pct"/>
            <w:tcBorders>
              <w:top w:val="single" w:sz="4" w:space="0" w:color="000000"/>
              <w:left w:val="single" w:sz="4" w:space="0" w:color="000000"/>
              <w:bottom w:val="single" w:sz="4" w:space="0" w:color="000000"/>
              <w:right w:val="single" w:sz="4" w:space="0" w:color="000000"/>
            </w:tcBorders>
            <w:hideMark/>
          </w:tcPr>
          <w:p w14:paraId="2945163A" w14:textId="77777777" w:rsidR="00314C3D" w:rsidRPr="00192064" w:rsidRDefault="00314C3D">
            <w:pPr>
              <w:pStyle w:val="TableParagraph"/>
              <w:ind w:left="113" w:right="655"/>
              <w:rPr>
                <w:sz w:val="20"/>
                <w:szCs w:val="20"/>
                <w:lang w:val="da-DK"/>
              </w:rPr>
            </w:pPr>
            <w:r w:rsidRPr="00192064">
              <w:rPr>
                <w:spacing w:val="-2"/>
                <w:sz w:val="20"/>
                <w:szCs w:val="20"/>
                <w:lang w:val="da-DK"/>
              </w:rPr>
              <w:t>Psykiske forstyrrelser</w:t>
            </w:r>
          </w:p>
        </w:tc>
        <w:tc>
          <w:tcPr>
            <w:tcW w:w="672" w:type="pct"/>
            <w:tcBorders>
              <w:top w:val="single" w:sz="4" w:space="0" w:color="000000"/>
              <w:left w:val="single" w:sz="4" w:space="0" w:color="000000"/>
              <w:bottom w:val="single" w:sz="4" w:space="0" w:color="000000"/>
              <w:right w:val="single" w:sz="4" w:space="0" w:color="000000"/>
            </w:tcBorders>
          </w:tcPr>
          <w:p w14:paraId="5A7271C1"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7382EC46" w14:textId="77777777" w:rsidR="00314C3D" w:rsidRPr="00192064" w:rsidRDefault="00314C3D">
            <w:pPr>
              <w:pStyle w:val="TableParagraph"/>
              <w:ind w:left="56" w:right="463"/>
              <w:rPr>
                <w:sz w:val="20"/>
                <w:szCs w:val="20"/>
                <w:lang w:val="da-DK"/>
              </w:rPr>
            </w:pPr>
            <w:r w:rsidRPr="00192064">
              <w:rPr>
                <w:sz w:val="20"/>
                <w:szCs w:val="20"/>
                <w:lang w:val="da-DK"/>
              </w:rPr>
              <w:t>Unormale</w:t>
            </w:r>
            <w:r w:rsidRPr="00192064">
              <w:rPr>
                <w:spacing w:val="-14"/>
                <w:sz w:val="20"/>
                <w:szCs w:val="20"/>
                <w:lang w:val="da-DK"/>
              </w:rPr>
              <w:t xml:space="preserve"> </w:t>
            </w:r>
            <w:r w:rsidRPr="00192064">
              <w:rPr>
                <w:sz w:val="20"/>
                <w:szCs w:val="20"/>
                <w:lang w:val="da-DK"/>
              </w:rPr>
              <w:t xml:space="preserve">drømme </w:t>
            </w:r>
            <w:r w:rsidRPr="00192064">
              <w:rPr>
                <w:spacing w:val="-2"/>
                <w:sz w:val="20"/>
                <w:szCs w:val="20"/>
                <w:lang w:val="da-DK"/>
              </w:rPr>
              <w:t>Ophidselse</w:t>
            </w:r>
          </w:p>
          <w:p w14:paraId="15BB6515" w14:textId="77777777" w:rsidR="00192064" w:rsidRDefault="00314C3D">
            <w:pPr>
              <w:pStyle w:val="TableParagraph"/>
              <w:ind w:left="56" w:right="648"/>
              <w:rPr>
                <w:spacing w:val="-2"/>
                <w:sz w:val="20"/>
                <w:szCs w:val="20"/>
                <w:lang w:val="da-DK"/>
              </w:rPr>
            </w:pPr>
            <w:r w:rsidRPr="00192064">
              <w:rPr>
                <w:spacing w:val="-2"/>
                <w:sz w:val="20"/>
                <w:szCs w:val="20"/>
                <w:lang w:val="da-DK"/>
              </w:rPr>
              <w:t xml:space="preserve">Angst </w:t>
            </w:r>
          </w:p>
          <w:p w14:paraId="124296E0" w14:textId="77777777" w:rsidR="00192064" w:rsidRDefault="00314C3D">
            <w:pPr>
              <w:pStyle w:val="TableParagraph"/>
              <w:ind w:left="56" w:right="648"/>
              <w:rPr>
                <w:spacing w:val="-2"/>
                <w:sz w:val="20"/>
                <w:szCs w:val="20"/>
                <w:lang w:val="da-DK"/>
              </w:rPr>
            </w:pPr>
            <w:r w:rsidRPr="00192064">
              <w:rPr>
                <w:spacing w:val="-2"/>
                <w:sz w:val="20"/>
                <w:szCs w:val="20"/>
                <w:lang w:val="da-DK"/>
              </w:rPr>
              <w:t xml:space="preserve">Depression </w:t>
            </w:r>
          </w:p>
          <w:p w14:paraId="439565CC" w14:textId="77777777" w:rsidR="00192064" w:rsidRDefault="00314C3D">
            <w:pPr>
              <w:pStyle w:val="TableParagraph"/>
              <w:ind w:left="56" w:right="648"/>
              <w:rPr>
                <w:spacing w:val="-2"/>
                <w:sz w:val="20"/>
                <w:szCs w:val="20"/>
                <w:lang w:val="da-DK"/>
              </w:rPr>
            </w:pPr>
            <w:r w:rsidRPr="00192064">
              <w:rPr>
                <w:spacing w:val="-2"/>
                <w:sz w:val="20"/>
                <w:szCs w:val="20"/>
                <w:lang w:val="da-DK"/>
              </w:rPr>
              <w:t xml:space="preserve">Søvnløshed </w:t>
            </w:r>
          </w:p>
          <w:p w14:paraId="13CA2563" w14:textId="77777777" w:rsidR="00192064" w:rsidRDefault="00314C3D">
            <w:pPr>
              <w:pStyle w:val="TableParagraph"/>
              <w:ind w:left="56" w:right="648"/>
              <w:rPr>
                <w:sz w:val="20"/>
                <w:szCs w:val="20"/>
                <w:lang w:val="da-DK"/>
              </w:rPr>
            </w:pPr>
            <w:r w:rsidRPr="00192064">
              <w:rPr>
                <w:sz w:val="20"/>
                <w:szCs w:val="20"/>
                <w:lang w:val="da-DK"/>
              </w:rPr>
              <w:t>Psykotisk</w:t>
            </w:r>
            <w:r w:rsidRPr="00192064">
              <w:rPr>
                <w:spacing w:val="-14"/>
                <w:sz w:val="20"/>
                <w:szCs w:val="20"/>
                <w:lang w:val="da-DK"/>
              </w:rPr>
              <w:t xml:space="preserve"> </w:t>
            </w:r>
            <w:r w:rsidRPr="00192064">
              <w:rPr>
                <w:sz w:val="20"/>
                <w:szCs w:val="20"/>
                <w:lang w:val="da-DK"/>
              </w:rPr>
              <w:t>lidelse</w:t>
            </w:r>
          </w:p>
          <w:p w14:paraId="6AFE43EC" w14:textId="77777777" w:rsidR="00192064" w:rsidRDefault="00314C3D">
            <w:pPr>
              <w:pStyle w:val="TableParagraph"/>
              <w:ind w:left="56" w:right="648"/>
              <w:rPr>
                <w:spacing w:val="-2"/>
                <w:sz w:val="20"/>
                <w:szCs w:val="20"/>
                <w:lang w:val="da-DK"/>
              </w:rPr>
            </w:pPr>
            <w:r w:rsidRPr="00192064">
              <w:rPr>
                <w:spacing w:val="-2"/>
                <w:sz w:val="20"/>
                <w:szCs w:val="20"/>
                <w:lang w:val="da-DK"/>
              </w:rPr>
              <w:t xml:space="preserve">Skizofreni </w:t>
            </w:r>
          </w:p>
          <w:p w14:paraId="00AF409B" w14:textId="4D08F07A" w:rsidR="00314C3D" w:rsidRPr="00192064" w:rsidRDefault="00314C3D">
            <w:pPr>
              <w:pStyle w:val="TableParagraph"/>
              <w:ind w:left="56" w:right="648"/>
              <w:rPr>
                <w:sz w:val="20"/>
                <w:szCs w:val="20"/>
                <w:lang w:val="da-DK"/>
              </w:rPr>
            </w:pPr>
            <w:r w:rsidRPr="00192064">
              <w:rPr>
                <w:spacing w:val="-2"/>
                <w:sz w:val="20"/>
                <w:szCs w:val="20"/>
                <w:lang w:val="da-DK"/>
              </w:rPr>
              <w:t>Spænding</w:t>
            </w:r>
          </w:p>
        </w:tc>
        <w:tc>
          <w:tcPr>
            <w:tcW w:w="1193" w:type="pct"/>
            <w:tcBorders>
              <w:top w:val="single" w:sz="4" w:space="0" w:color="000000"/>
              <w:left w:val="single" w:sz="4" w:space="0" w:color="000000"/>
              <w:bottom w:val="single" w:sz="4" w:space="0" w:color="000000"/>
              <w:right w:val="single" w:sz="4" w:space="0" w:color="000000"/>
            </w:tcBorders>
            <w:hideMark/>
          </w:tcPr>
          <w:p w14:paraId="5B7FBCD6"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 xml:space="preserve">Aggression </w:t>
            </w:r>
          </w:p>
          <w:p w14:paraId="13440910"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 xml:space="preserve">Apati </w:t>
            </w:r>
          </w:p>
          <w:p w14:paraId="5E4E217F" w14:textId="4E7C57E0"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Forvirring</w:t>
            </w:r>
          </w:p>
          <w:p w14:paraId="0C053A62" w14:textId="77777777" w:rsidR="00192064" w:rsidRDefault="00314C3D" w:rsidP="002C44AE">
            <w:pPr>
              <w:pStyle w:val="TableParagraph"/>
              <w:tabs>
                <w:tab w:val="left" w:pos="2330"/>
              </w:tabs>
              <w:ind w:left="56" w:right="202"/>
              <w:rPr>
                <w:sz w:val="20"/>
                <w:szCs w:val="20"/>
                <w:lang w:val="da-DK"/>
              </w:rPr>
            </w:pPr>
            <w:r w:rsidRPr="00192064">
              <w:rPr>
                <w:sz w:val="20"/>
                <w:szCs w:val="20"/>
                <w:lang w:val="da-DK"/>
              </w:rPr>
              <w:t>Nedtrykt</w:t>
            </w:r>
            <w:r w:rsidRPr="00192064">
              <w:rPr>
                <w:spacing w:val="-14"/>
                <w:sz w:val="20"/>
                <w:szCs w:val="20"/>
                <w:lang w:val="da-DK"/>
              </w:rPr>
              <w:t xml:space="preserve"> </w:t>
            </w:r>
            <w:r w:rsidRPr="00192064">
              <w:rPr>
                <w:sz w:val="20"/>
                <w:szCs w:val="20"/>
                <w:lang w:val="da-DK"/>
              </w:rPr>
              <w:t>sindstilstand</w:t>
            </w:r>
          </w:p>
          <w:p w14:paraId="1776085F"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 xml:space="preserve">Dissociation </w:t>
            </w:r>
          </w:p>
          <w:p w14:paraId="60FA3154"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Hallucinationer (auditive)</w:t>
            </w:r>
          </w:p>
          <w:p w14:paraId="07CA5A40"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Hallucinationer (visuelle)</w:t>
            </w:r>
          </w:p>
          <w:p w14:paraId="7667DEE6" w14:textId="28BA2280"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Drabstanker</w:t>
            </w:r>
          </w:p>
          <w:p w14:paraId="6A8A51FD"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 xml:space="preserve">Impulsiv adfærd </w:t>
            </w:r>
          </w:p>
          <w:p w14:paraId="3CA79CBF"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 xml:space="preserve">Initial søvnløshed </w:t>
            </w:r>
          </w:p>
          <w:p w14:paraId="603B9243"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 xml:space="preserve">Nedsat libido </w:t>
            </w:r>
          </w:p>
          <w:p w14:paraId="51C055E1"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 xml:space="preserve">Forøget libido </w:t>
            </w:r>
          </w:p>
          <w:p w14:paraId="000C55C9"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Ugidelighed </w:t>
            </w:r>
          </w:p>
          <w:p w14:paraId="6255B750"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z w:val="20"/>
                <w:szCs w:val="20"/>
                <w:lang w:val="da-DK"/>
              </w:rPr>
              <w:t xml:space="preserve">Ændringer af </w:t>
            </w:r>
            <w:r w:rsidRPr="00192064">
              <w:rPr>
                <w:spacing w:val="-2"/>
                <w:sz w:val="20"/>
                <w:szCs w:val="20"/>
                <w:lang w:val="da-DK"/>
              </w:rPr>
              <w:t xml:space="preserve">mentaltilstand </w:t>
            </w:r>
          </w:p>
          <w:p w14:paraId="299A5A01"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Tvangstanker </w:t>
            </w:r>
          </w:p>
          <w:p w14:paraId="2084912B"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Panikanfald </w:t>
            </w:r>
          </w:p>
          <w:p w14:paraId="633AA5FD"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Psykomotorisk</w:t>
            </w:r>
            <w:proofErr w:type="spellEnd"/>
            <w:r w:rsidRPr="00192064">
              <w:rPr>
                <w:spacing w:val="-2"/>
                <w:sz w:val="20"/>
                <w:szCs w:val="20"/>
                <w:lang w:val="da-DK"/>
              </w:rPr>
              <w:t xml:space="preserve"> hyperaktivitet </w:t>
            </w:r>
          </w:p>
          <w:p w14:paraId="5654B0D1"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Rastløshed </w:t>
            </w:r>
          </w:p>
          <w:p w14:paraId="280E73FB"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Søvnforstyrrelser </w:t>
            </w:r>
          </w:p>
          <w:p w14:paraId="6027B915"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Selvmordstanker </w:t>
            </w:r>
          </w:p>
          <w:p w14:paraId="163E0CC0"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Terminal</w:t>
            </w:r>
            <w:r w:rsidRPr="00192064">
              <w:rPr>
                <w:spacing w:val="-14"/>
                <w:sz w:val="20"/>
                <w:szCs w:val="20"/>
                <w:lang w:val="da-DK"/>
              </w:rPr>
              <w:t xml:space="preserve"> </w:t>
            </w:r>
            <w:r w:rsidRPr="00192064">
              <w:rPr>
                <w:sz w:val="20"/>
                <w:szCs w:val="20"/>
                <w:lang w:val="da-DK"/>
              </w:rPr>
              <w:t>søvnløshed</w:t>
            </w:r>
          </w:p>
          <w:p w14:paraId="09DF1A17" w14:textId="2AA1A4DA" w:rsidR="00314C3D" w:rsidRP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Unormale tanker</w:t>
            </w:r>
          </w:p>
        </w:tc>
        <w:tc>
          <w:tcPr>
            <w:tcW w:w="448" w:type="pct"/>
            <w:tcBorders>
              <w:top w:val="single" w:sz="4" w:space="0" w:color="000000"/>
              <w:left w:val="single" w:sz="4" w:space="0" w:color="000000"/>
              <w:bottom w:val="single" w:sz="4" w:space="0" w:color="000000"/>
              <w:right w:val="single" w:sz="4" w:space="0" w:color="000000"/>
            </w:tcBorders>
          </w:tcPr>
          <w:p w14:paraId="4EF893A2"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31449F4B" w14:textId="77777777" w:rsidR="00314C3D" w:rsidRPr="00192064" w:rsidRDefault="00314C3D">
            <w:pPr>
              <w:pStyle w:val="TableParagraph"/>
              <w:rPr>
                <w:sz w:val="20"/>
                <w:szCs w:val="20"/>
                <w:lang w:val="da-DK"/>
              </w:rPr>
            </w:pPr>
          </w:p>
        </w:tc>
      </w:tr>
      <w:tr w:rsidR="002C44AE" w:rsidRPr="00212B5E" w14:paraId="15B1236D" w14:textId="77777777" w:rsidTr="002C44AE">
        <w:trPr>
          <w:trHeight w:val="3288"/>
        </w:trPr>
        <w:tc>
          <w:tcPr>
            <w:tcW w:w="1119" w:type="pct"/>
            <w:tcBorders>
              <w:top w:val="single" w:sz="4" w:space="0" w:color="000000"/>
              <w:left w:val="single" w:sz="4" w:space="0" w:color="000000"/>
              <w:bottom w:val="single" w:sz="4" w:space="0" w:color="000000"/>
              <w:right w:val="single" w:sz="4" w:space="0" w:color="000000"/>
            </w:tcBorders>
            <w:hideMark/>
          </w:tcPr>
          <w:p w14:paraId="7F840F67" w14:textId="77777777" w:rsidR="00314C3D" w:rsidRPr="00192064" w:rsidRDefault="00314C3D">
            <w:pPr>
              <w:pStyle w:val="TableParagraph"/>
              <w:ind w:left="56"/>
              <w:rPr>
                <w:sz w:val="20"/>
                <w:szCs w:val="20"/>
                <w:lang w:val="da-DK"/>
              </w:rPr>
            </w:pPr>
            <w:r w:rsidRPr="00192064">
              <w:rPr>
                <w:spacing w:val="-2"/>
                <w:sz w:val="20"/>
                <w:szCs w:val="20"/>
                <w:lang w:val="da-DK"/>
              </w:rPr>
              <w:t>Nervesystemet</w:t>
            </w:r>
          </w:p>
        </w:tc>
        <w:tc>
          <w:tcPr>
            <w:tcW w:w="672" w:type="pct"/>
            <w:tcBorders>
              <w:top w:val="single" w:sz="4" w:space="0" w:color="000000"/>
              <w:left w:val="single" w:sz="4" w:space="0" w:color="000000"/>
              <w:bottom w:val="single" w:sz="4" w:space="0" w:color="000000"/>
              <w:right w:val="single" w:sz="4" w:space="0" w:color="000000"/>
            </w:tcBorders>
            <w:hideMark/>
          </w:tcPr>
          <w:p w14:paraId="3A7A5F86" w14:textId="77777777" w:rsidR="00192064" w:rsidRDefault="00314C3D">
            <w:pPr>
              <w:pStyle w:val="TableParagraph"/>
              <w:ind w:left="56" w:right="46"/>
              <w:rPr>
                <w:spacing w:val="-2"/>
                <w:sz w:val="20"/>
                <w:szCs w:val="20"/>
                <w:lang w:val="da-DK"/>
              </w:rPr>
            </w:pPr>
            <w:proofErr w:type="spellStart"/>
            <w:r w:rsidRPr="00192064">
              <w:rPr>
                <w:spacing w:val="-2"/>
                <w:sz w:val="20"/>
                <w:szCs w:val="20"/>
                <w:lang w:val="da-DK"/>
              </w:rPr>
              <w:t>Akatisi</w:t>
            </w:r>
            <w:proofErr w:type="spellEnd"/>
          </w:p>
          <w:p w14:paraId="36373AD5" w14:textId="77777777" w:rsidR="00192064" w:rsidRDefault="00314C3D">
            <w:pPr>
              <w:pStyle w:val="TableParagraph"/>
              <w:ind w:left="56" w:right="46"/>
              <w:rPr>
                <w:spacing w:val="-10"/>
                <w:sz w:val="20"/>
                <w:szCs w:val="20"/>
                <w:lang w:val="da-DK"/>
              </w:rPr>
            </w:pPr>
            <w:r w:rsidRPr="00192064">
              <w:rPr>
                <w:spacing w:val="-2"/>
                <w:sz w:val="20"/>
                <w:szCs w:val="20"/>
                <w:lang w:val="da-DK"/>
              </w:rPr>
              <w:t>Hovedpin</w:t>
            </w:r>
            <w:r w:rsidRPr="00192064">
              <w:rPr>
                <w:spacing w:val="-10"/>
                <w:sz w:val="20"/>
                <w:szCs w:val="20"/>
                <w:lang w:val="da-DK"/>
              </w:rPr>
              <w:t>e</w:t>
            </w:r>
          </w:p>
          <w:p w14:paraId="084FD9EF" w14:textId="7FD8C41C" w:rsidR="00314C3D" w:rsidRPr="00192064" w:rsidRDefault="00314C3D">
            <w:pPr>
              <w:pStyle w:val="TableParagraph"/>
              <w:ind w:left="56" w:right="46"/>
              <w:rPr>
                <w:sz w:val="20"/>
                <w:szCs w:val="20"/>
                <w:lang w:val="da-DK"/>
              </w:rPr>
            </w:pPr>
            <w:proofErr w:type="spellStart"/>
            <w:r w:rsidRPr="00192064">
              <w:rPr>
                <w:spacing w:val="-2"/>
                <w:sz w:val="20"/>
                <w:szCs w:val="20"/>
                <w:lang w:val="da-DK"/>
              </w:rPr>
              <w:t>Somnole</w:t>
            </w:r>
            <w:r w:rsidRPr="00192064">
              <w:rPr>
                <w:spacing w:val="-4"/>
                <w:sz w:val="20"/>
                <w:szCs w:val="20"/>
                <w:lang w:val="da-DK"/>
              </w:rPr>
              <w:t>ns</w:t>
            </w:r>
            <w:proofErr w:type="spellEnd"/>
            <w:r w:rsidRPr="00192064">
              <w:rPr>
                <w:spacing w:val="-4"/>
                <w:sz w:val="20"/>
                <w:szCs w:val="20"/>
                <w:lang w:val="da-DK"/>
              </w:rPr>
              <w:t>*</w:t>
            </w:r>
          </w:p>
        </w:tc>
        <w:tc>
          <w:tcPr>
            <w:tcW w:w="971" w:type="pct"/>
            <w:tcBorders>
              <w:top w:val="single" w:sz="4" w:space="0" w:color="000000"/>
              <w:left w:val="single" w:sz="4" w:space="0" w:color="000000"/>
              <w:bottom w:val="single" w:sz="4" w:space="0" w:color="000000"/>
              <w:right w:val="single" w:sz="4" w:space="0" w:color="000000"/>
            </w:tcBorders>
            <w:hideMark/>
          </w:tcPr>
          <w:p w14:paraId="7A684E82" w14:textId="39E851FF" w:rsidR="00314C3D" w:rsidRPr="00192064" w:rsidRDefault="00314C3D">
            <w:pPr>
              <w:pStyle w:val="TableParagraph"/>
              <w:ind w:left="56"/>
              <w:rPr>
                <w:sz w:val="20"/>
                <w:szCs w:val="20"/>
                <w:lang w:val="da-DK"/>
              </w:rPr>
            </w:pPr>
            <w:r w:rsidRPr="00192064">
              <w:rPr>
                <w:spacing w:val="-2"/>
                <w:sz w:val="20"/>
                <w:szCs w:val="20"/>
                <w:lang w:val="da-DK"/>
              </w:rPr>
              <w:t>Opmærksomhedsforstyrrelser</w:t>
            </w:r>
          </w:p>
          <w:p w14:paraId="56036E36" w14:textId="77777777" w:rsidR="00192064" w:rsidRDefault="00314C3D">
            <w:pPr>
              <w:pStyle w:val="TableParagraph"/>
              <w:ind w:left="56" w:right="463"/>
              <w:rPr>
                <w:spacing w:val="-2"/>
                <w:sz w:val="20"/>
                <w:szCs w:val="20"/>
                <w:lang w:val="da-DK"/>
              </w:rPr>
            </w:pPr>
            <w:r w:rsidRPr="00192064">
              <w:rPr>
                <w:spacing w:val="-2"/>
                <w:sz w:val="20"/>
                <w:szCs w:val="20"/>
                <w:lang w:val="da-DK"/>
              </w:rPr>
              <w:t>Svimmelhed</w:t>
            </w:r>
          </w:p>
          <w:p w14:paraId="33EDDC92" w14:textId="77777777" w:rsidR="00192064" w:rsidRDefault="00314C3D">
            <w:pPr>
              <w:pStyle w:val="TableParagraph"/>
              <w:ind w:left="56" w:right="463"/>
              <w:rPr>
                <w:spacing w:val="-2"/>
                <w:sz w:val="20"/>
                <w:szCs w:val="20"/>
                <w:lang w:val="da-DK"/>
              </w:rPr>
            </w:pPr>
            <w:proofErr w:type="spellStart"/>
            <w:r w:rsidRPr="00192064">
              <w:rPr>
                <w:spacing w:val="-2"/>
                <w:sz w:val="20"/>
                <w:szCs w:val="20"/>
                <w:lang w:val="da-DK"/>
              </w:rPr>
              <w:t>Dyskinesi</w:t>
            </w:r>
            <w:proofErr w:type="spellEnd"/>
            <w:r w:rsidRPr="00192064">
              <w:rPr>
                <w:spacing w:val="-2"/>
                <w:sz w:val="20"/>
                <w:szCs w:val="20"/>
                <w:lang w:val="da-DK"/>
              </w:rPr>
              <w:t xml:space="preserve"> </w:t>
            </w:r>
          </w:p>
          <w:p w14:paraId="1F51888E" w14:textId="77777777" w:rsidR="00192064" w:rsidRDefault="00314C3D">
            <w:pPr>
              <w:pStyle w:val="TableParagraph"/>
              <w:ind w:left="56" w:right="463"/>
              <w:rPr>
                <w:spacing w:val="-2"/>
                <w:sz w:val="20"/>
                <w:szCs w:val="20"/>
                <w:lang w:val="da-DK"/>
              </w:rPr>
            </w:pPr>
            <w:proofErr w:type="spellStart"/>
            <w:r w:rsidRPr="00192064">
              <w:rPr>
                <w:spacing w:val="-2"/>
                <w:sz w:val="20"/>
                <w:szCs w:val="20"/>
                <w:lang w:val="da-DK"/>
              </w:rPr>
              <w:t>Dystoni</w:t>
            </w:r>
            <w:proofErr w:type="spellEnd"/>
            <w:r w:rsidRPr="00192064">
              <w:rPr>
                <w:spacing w:val="-2"/>
                <w:sz w:val="20"/>
                <w:szCs w:val="20"/>
                <w:lang w:val="da-DK"/>
              </w:rPr>
              <w:t xml:space="preserve">*** </w:t>
            </w:r>
          </w:p>
          <w:p w14:paraId="0E98C345" w14:textId="47338A68" w:rsidR="00314C3D" w:rsidRPr="00192064" w:rsidRDefault="00314C3D">
            <w:pPr>
              <w:pStyle w:val="TableParagraph"/>
              <w:ind w:left="56" w:right="463"/>
              <w:rPr>
                <w:sz w:val="20"/>
                <w:szCs w:val="20"/>
                <w:lang w:val="da-DK"/>
              </w:rPr>
            </w:pPr>
            <w:r w:rsidRPr="00192064">
              <w:rPr>
                <w:spacing w:val="-2"/>
                <w:sz w:val="20"/>
                <w:szCs w:val="20"/>
                <w:lang w:val="da-DK"/>
              </w:rPr>
              <w:t>Parkinsonisme**</w:t>
            </w:r>
          </w:p>
        </w:tc>
        <w:tc>
          <w:tcPr>
            <w:tcW w:w="1193" w:type="pct"/>
            <w:tcBorders>
              <w:top w:val="single" w:sz="4" w:space="0" w:color="000000"/>
              <w:left w:val="single" w:sz="4" w:space="0" w:color="000000"/>
              <w:bottom w:val="single" w:sz="4" w:space="0" w:color="000000"/>
              <w:right w:val="single" w:sz="4" w:space="0" w:color="000000"/>
            </w:tcBorders>
            <w:hideMark/>
          </w:tcPr>
          <w:p w14:paraId="1784632C" w14:textId="77777777" w:rsidR="00192064" w:rsidRDefault="00314C3D" w:rsidP="002C44AE">
            <w:pPr>
              <w:pStyle w:val="TableParagraph"/>
              <w:tabs>
                <w:tab w:val="left" w:pos="2330"/>
              </w:tabs>
              <w:ind w:left="56" w:right="202"/>
              <w:rPr>
                <w:sz w:val="20"/>
                <w:szCs w:val="20"/>
                <w:lang w:val="da-DK"/>
              </w:rPr>
            </w:pPr>
            <w:proofErr w:type="spellStart"/>
            <w:r w:rsidRPr="00192064">
              <w:rPr>
                <w:sz w:val="20"/>
                <w:szCs w:val="20"/>
                <w:lang w:val="da-DK"/>
              </w:rPr>
              <w:t>Postural</w:t>
            </w:r>
            <w:proofErr w:type="spellEnd"/>
            <w:r w:rsidRPr="00192064">
              <w:rPr>
                <w:spacing w:val="-14"/>
                <w:sz w:val="20"/>
                <w:szCs w:val="20"/>
                <w:lang w:val="da-DK"/>
              </w:rPr>
              <w:t xml:space="preserve"> </w:t>
            </w:r>
            <w:r w:rsidRPr="00192064">
              <w:rPr>
                <w:sz w:val="20"/>
                <w:szCs w:val="20"/>
                <w:lang w:val="da-DK"/>
              </w:rPr>
              <w:t>svimmelhed</w:t>
            </w:r>
          </w:p>
          <w:p w14:paraId="638CE986" w14:textId="77777777" w:rsidR="00192064" w:rsidRDefault="00314C3D" w:rsidP="002C44AE">
            <w:pPr>
              <w:pStyle w:val="TableParagraph"/>
              <w:tabs>
                <w:tab w:val="left" w:pos="2330"/>
              </w:tabs>
              <w:ind w:left="56" w:right="202"/>
              <w:rPr>
                <w:spacing w:val="-2"/>
                <w:sz w:val="20"/>
                <w:szCs w:val="20"/>
                <w:lang w:val="da-DK"/>
              </w:rPr>
            </w:pPr>
            <w:proofErr w:type="spellStart"/>
            <w:r w:rsidRPr="00192064">
              <w:rPr>
                <w:spacing w:val="-2"/>
                <w:sz w:val="20"/>
                <w:szCs w:val="20"/>
                <w:lang w:val="da-DK"/>
              </w:rPr>
              <w:t>Dysgeusi</w:t>
            </w:r>
            <w:proofErr w:type="spellEnd"/>
            <w:r w:rsidRPr="00192064">
              <w:rPr>
                <w:spacing w:val="-2"/>
                <w:sz w:val="20"/>
                <w:szCs w:val="20"/>
                <w:lang w:val="da-DK"/>
              </w:rPr>
              <w:t xml:space="preserve"> </w:t>
            </w:r>
          </w:p>
          <w:p w14:paraId="1587F33A" w14:textId="4CDD5EDC"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Hyperkinesi</w:t>
            </w:r>
            <w:proofErr w:type="spellEnd"/>
          </w:p>
          <w:p w14:paraId="1B8AC4A6" w14:textId="2FE79E16"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Hukommelsessvækkel</w:t>
            </w:r>
            <w:r w:rsidRPr="00192064">
              <w:rPr>
                <w:spacing w:val="-6"/>
                <w:sz w:val="20"/>
                <w:szCs w:val="20"/>
                <w:lang w:val="da-DK"/>
              </w:rPr>
              <w:t>se</w:t>
            </w:r>
          </w:p>
          <w:p w14:paraId="549A31C9"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Migræne</w:t>
            </w:r>
          </w:p>
          <w:p w14:paraId="30CE0CF1" w14:textId="77777777" w:rsidR="00192064" w:rsidRDefault="00314C3D" w:rsidP="002C44AE">
            <w:pPr>
              <w:pStyle w:val="TableParagraph"/>
              <w:tabs>
                <w:tab w:val="left" w:pos="2330"/>
              </w:tabs>
              <w:ind w:left="56" w:right="202"/>
              <w:rPr>
                <w:spacing w:val="-2"/>
                <w:sz w:val="20"/>
                <w:szCs w:val="20"/>
                <w:lang w:val="da-DK"/>
              </w:rPr>
            </w:pPr>
            <w:proofErr w:type="spellStart"/>
            <w:r w:rsidRPr="00192064">
              <w:rPr>
                <w:spacing w:val="-2"/>
                <w:sz w:val="20"/>
                <w:szCs w:val="20"/>
                <w:lang w:val="da-DK"/>
              </w:rPr>
              <w:t>Paræstesi</w:t>
            </w:r>
            <w:proofErr w:type="spellEnd"/>
            <w:r w:rsidRPr="00192064">
              <w:rPr>
                <w:spacing w:val="-2"/>
                <w:sz w:val="20"/>
                <w:szCs w:val="20"/>
                <w:lang w:val="da-DK"/>
              </w:rPr>
              <w:t xml:space="preserve"> </w:t>
            </w:r>
          </w:p>
          <w:p w14:paraId="35A6E035" w14:textId="3A74E04F"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Psykomotorisk</w:t>
            </w:r>
            <w:proofErr w:type="spellEnd"/>
            <w:r w:rsidRPr="00192064">
              <w:rPr>
                <w:spacing w:val="-2"/>
                <w:sz w:val="20"/>
                <w:szCs w:val="20"/>
                <w:lang w:val="da-DK"/>
              </w:rPr>
              <w:t xml:space="preserve"> hyperaktivitet</w:t>
            </w:r>
          </w:p>
          <w:p w14:paraId="2597907A"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Uro</w:t>
            </w:r>
            <w:r w:rsidRPr="00192064">
              <w:rPr>
                <w:spacing w:val="-13"/>
                <w:sz w:val="20"/>
                <w:szCs w:val="20"/>
                <w:lang w:val="da-DK"/>
              </w:rPr>
              <w:t xml:space="preserve"> </w:t>
            </w:r>
            <w:r w:rsidRPr="00192064">
              <w:rPr>
                <w:sz w:val="20"/>
                <w:szCs w:val="20"/>
                <w:lang w:val="da-DK"/>
              </w:rPr>
              <w:t>i</w:t>
            </w:r>
            <w:r w:rsidRPr="00192064">
              <w:rPr>
                <w:spacing w:val="-13"/>
                <w:sz w:val="20"/>
                <w:szCs w:val="20"/>
                <w:lang w:val="da-DK"/>
              </w:rPr>
              <w:t xml:space="preserve"> </w:t>
            </w:r>
            <w:r w:rsidRPr="00192064">
              <w:rPr>
                <w:sz w:val="20"/>
                <w:szCs w:val="20"/>
                <w:lang w:val="da-DK"/>
              </w:rPr>
              <w:t>benene</w:t>
            </w:r>
            <w:r w:rsidRPr="00192064">
              <w:rPr>
                <w:spacing w:val="-13"/>
                <w:sz w:val="20"/>
                <w:szCs w:val="20"/>
                <w:lang w:val="da-DK"/>
              </w:rPr>
              <w:t xml:space="preserve"> </w:t>
            </w:r>
            <w:r w:rsidRPr="00192064">
              <w:rPr>
                <w:sz w:val="20"/>
                <w:szCs w:val="20"/>
                <w:lang w:val="da-DK"/>
              </w:rPr>
              <w:t>(</w:t>
            </w:r>
            <w:proofErr w:type="spellStart"/>
            <w:r w:rsidRPr="00192064">
              <w:rPr>
                <w:sz w:val="20"/>
                <w:szCs w:val="20"/>
                <w:lang w:val="da-DK"/>
              </w:rPr>
              <w:t>Restless</w:t>
            </w:r>
            <w:proofErr w:type="spellEnd"/>
            <w:r w:rsidRPr="00192064">
              <w:rPr>
                <w:sz w:val="20"/>
                <w:szCs w:val="20"/>
                <w:lang w:val="da-DK"/>
              </w:rPr>
              <w:t xml:space="preserve"> Legs </w:t>
            </w:r>
            <w:proofErr w:type="spellStart"/>
            <w:r w:rsidRPr="00192064">
              <w:rPr>
                <w:sz w:val="20"/>
                <w:szCs w:val="20"/>
                <w:lang w:val="da-DK"/>
              </w:rPr>
              <w:t>Syndrome</w:t>
            </w:r>
            <w:proofErr w:type="spellEnd"/>
            <w:r w:rsidRPr="00192064">
              <w:rPr>
                <w:sz w:val="20"/>
                <w:szCs w:val="20"/>
                <w:lang w:val="da-DK"/>
              </w:rPr>
              <w:t xml:space="preserve">) </w:t>
            </w:r>
          </w:p>
          <w:p w14:paraId="6951D385" w14:textId="77777777" w:rsidR="00192064" w:rsidRDefault="00314C3D" w:rsidP="002C44AE">
            <w:pPr>
              <w:pStyle w:val="TableParagraph"/>
              <w:tabs>
                <w:tab w:val="left" w:pos="2330"/>
              </w:tabs>
              <w:spacing w:line="250" w:lineRule="atLeast"/>
              <w:ind w:left="56" w:right="202"/>
              <w:rPr>
                <w:sz w:val="20"/>
                <w:szCs w:val="20"/>
                <w:lang w:val="da-DK"/>
              </w:rPr>
            </w:pPr>
            <w:proofErr w:type="spellStart"/>
            <w:r w:rsidRPr="00192064">
              <w:rPr>
                <w:sz w:val="20"/>
                <w:szCs w:val="20"/>
                <w:lang w:val="da-DK"/>
              </w:rPr>
              <w:t>Tardiv</w:t>
            </w:r>
            <w:proofErr w:type="spellEnd"/>
            <w:r w:rsidRPr="00192064">
              <w:rPr>
                <w:sz w:val="20"/>
                <w:szCs w:val="20"/>
                <w:lang w:val="da-DK"/>
              </w:rPr>
              <w:t xml:space="preserve"> </w:t>
            </w:r>
            <w:proofErr w:type="spellStart"/>
            <w:r w:rsidRPr="00192064">
              <w:rPr>
                <w:sz w:val="20"/>
                <w:szCs w:val="20"/>
                <w:lang w:val="da-DK"/>
              </w:rPr>
              <w:t>dyskinesi</w:t>
            </w:r>
            <w:proofErr w:type="spellEnd"/>
            <w:r w:rsidRPr="00192064">
              <w:rPr>
                <w:sz w:val="20"/>
                <w:szCs w:val="20"/>
                <w:lang w:val="da-DK"/>
              </w:rPr>
              <w:t xml:space="preserve"> </w:t>
            </w:r>
          </w:p>
          <w:p w14:paraId="5DF42B2B" w14:textId="428E54A3" w:rsidR="00314C3D" w:rsidRPr="00192064" w:rsidRDefault="00314C3D" w:rsidP="002C44AE">
            <w:pPr>
              <w:pStyle w:val="TableParagraph"/>
              <w:tabs>
                <w:tab w:val="left" w:pos="2330"/>
              </w:tabs>
              <w:spacing w:line="250" w:lineRule="atLeast"/>
              <w:ind w:left="56" w:right="202"/>
              <w:rPr>
                <w:sz w:val="20"/>
                <w:szCs w:val="20"/>
                <w:lang w:val="da-DK"/>
              </w:rPr>
            </w:pPr>
            <w:r w:rsidRPr="00192064">
              <w:rPr>
                <w:spacing w:val="-2"/>
                <w:sz w:val="20"/>
                <w:szCs w:val="20"/>
                <w:lang w:val="da-DK"/>
              </w:rPr>
              <w:t>Spændingshovedpine</w:t>
            </w:r>
          </w:p>
        </w:tc>
        <w:tc>
          <w:tcPr>
            <w:tcW w:w="448" w:type="pct"/>
            <w:tcBorders>
              <w:top w:val="single" w:sz="4" w:space="0" w:color="000000"/>
              <w:left w:val="single" w:sz="4" w:space="0" w:color="000000"/>
              <w:bottom w:val="single" w:sz="4" w:space="0" w:color="000000"/>
              <w:right w:val="single" w:sz="4" w:space="0" w:color="000000"/>
            </w:tcBorders>
          </w:tcPr>
          <w:p w14:paraId="7B28E942"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6B89849B" w14:textId="77777777" w:rsidR="00314C3D" w:rsidRPr="00192064" w:rsidRDefault="00314C3D">
            <w:pPr>
              <w:pStyle w:val="TableParagraph"/>
              <w:rPr>
                <w:sz w:val="20"/>
                <w:szCs w:val="20"/>
                <w:lang w:val="da-DK"/>
              </w:rPr>
            </w:pPr>
          </w:p>
        </w:tc>
      </w:tr>
      <w:tr w:rsidR="002C44AE" w:rsidRPr="00212B5E" w14:paraId="4F9D5FBB" w14:textId="77777777" w:rsidTr="002C44AE">
        <w:trPr>
          <w:trHeight w:val="758"/>
        </w:trPr>
        <w:tc>
          <w:tcPr>
            <w:tcW w:w="1119" w:type="pct"/>
            <w:tcBorders>
              <w:top w:val="single" w:sz="4" w:space="0" w:color="000000"/>
              <w:left w:val="single" w:sz="4" w:space="0" w:color="000000"/>
              <w:bottom w:val="single" w:sz="4" w:space="0" w:color="000000"/>
              <w:right w:val="single" w:sz="4" w:space="0" w:color="000000"/>
            </w:tcBorders>
            <w:hideMark/>
          </w:tcPr>
          <w:p w14:paraId="47A8BC7A" w14:textId="77777777" w:rsidR="00314C3D" w:rsidRPr="00192064" w:rsidRDefault="00314C3D">
            <w:pPr>
              <w:pStyle w:val="TableParagraph"/>
              <w:ind w:left="56"/>
              <w:rPr>
                <w:sz w:val="20"/>
                <w:szCs w:val="20"/>
                <w:lang w:val="da-DK"/>
              </w:rPr>
            </w:pPr>
            <w:r w:rsidRPr="00192064">
              <w:rPr>
                <w:spacing w:val="-4"/>
                <w:sz w:val="20"/>
                <w:szCs w:val="20"/>
                <w:lang w:val="da-DK"/>
              </w:rPr>
              <w:t>Øjne</w:t>
            </w:r>
          </w:p>
        </w:tc>
        <w:tc>
          <w:tcPr>
            <w:tcW w:w="672" w:type="pct"/>
            <w:tcBorders>
              <w:top w:val="single" w:sz="4" w:space="0" w:color="000000"/>
              <w:left w:val="single" w:sz="4" w:space="0" w:color="000000"/>
              <w:bottom w:val="single" w:sz="4" w:space="0" w:color="000000"/>
              <w:right w:val="single" w:sz="4" w:space="0" w:color="000000"/>
            </w:tcBorders>
          </w:tcPr>
          <w:p w14:paraId="2F5370C8"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2F1A880B"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27E1CA3E" w14:textId="032C7B26"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Akkommodationsforstyrrelse</w:t>
            </w:r>
          </w:p>
          <w:p w14:paraId="1C186180" w14:textId="77777777" w:rsidR="00314C3D" w:rsidRPr="00192064" w:rsidRDefault="00314C3D" w:rsidP="002C44AE">
            <w:pPr>
              <w:pStyle w:val="TableParagraph"/>
              <w:tabs>
                <w:tab w:val="left" w:pos="2330"/>
              </w:tabs>
              <w:spacing w:line="233" w:lineRule="exact"/>
              <w:ind w:left="56" w:right="202"/>
              <w:rPr>
                <w:sz w:val="20"/>
                <w:szCs w:val="20"/>
                <w:lang w:val="da-DK"/>
              </w:rPr>
            </w:pPr>
            <w:r w:rsidRPr="00192064">
              <w:rPr>
                <w:sz w:val="20"/>
                <w:szCs w:val="20"/>
                <w:lang w:val="da-DK"/>
              </w:rPr>
              <w:t xml:space="preserve">Sløret </w:t>
            </w:r>
            <w:r w:rsidRPr="00192064">
              <w:rPr>
                <w:spacing w:val="-5"/>
                <w:sz w:val="20"/>
                <w:szCs w:val="20"/>
                <w:lang w:val="da-DK"/>
              </w:rPr>
              <w:t>syn</w:t>
            </w:r>
          </w:p>
        </w:tc>
        <w:tc>
          <w:tcPr>
            <w:tcW w:w="448" w:type="pct"/>
            <w:tcBorders>
              <w:top w:val="single" w:sz="4" w:space="0" w:color="000000"/>
              <w:left w:val="single" w:sz="4" w:space="0" w:color="000000"/>
              <w:bottom w:val="single" w:sz="4" w:space="0" w:color="000000"/>
              <w:right w:val="single" w:sz="4" w:space="0" w:color="000000"/>
            </w:tcBorders>
          </w:tcPr>
          <w:p w14:paraId="6E612F15"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215832B0" w14:textId="77777777" w:rsidR="00314C3D" w:rsidRPr="00192064" w:rsidRDefault="00314C3D">
            <w:pPr>
              <w:pStyle w:val="TableParagraph"/>
              <w:rPr>
                <w:sz w:val="20"/>
                <w:szCs w:val="20"/>
                <w:lang w:val="da-DK"/>
              </w:rPr>
            </w:pPr>
          </w:p>
        </w:tc>
      </w:tr>
      <w:tr w:rsidR="002C44AE" w:rsidRPr="00212B5E" w14:paraId="60D54BE1" w14:textId="77777777" w:rsidTr="002C44AE">
        <w:trPr>
          <w:trHeight w:val="605"/>
        </w:trPr>
        <w:tc>
          <w:tcPr>
            <w:tcW w:w="1119" w:type="pct"/>
            <w:tcBorders>
              <w:top w:val="single" w:sz="4" w:space="0" w:color="000000"/>
              <w:left w:val="single" w:sz="4" w:space="0" w:color="000000"/>
              <w:bottom w:val="single" w:sz="4" w:space="0" w:color="000000"/>
              <w:right w:val="single" w:sz="4" w:space="0" w:color="000000"/>
            </w:tcBorders>
            <w:hideMark/>
          </w:tcPr>
          <w:p w14:paraId="636E61F2" w14:textId="77777777" w:rsidR="00314C3D" w:rsidRPr="00192064" w:rsidRDefault="00314C3D">
            <w:pPr>
              <w:pStyle w:val="TableParagraph"/>
              <w:ind w:left="56"/>
              <w:rPr>
                <w:sz w:val="20"/>
                <w:szCs w:val="20"/>
                <w:lang w:val="da-DK"/>
              </w:rPr>
            </w:pPr>
            <w:r w:rsidRPr="00192064">
              <w:rPr>
                <w:sz w:val="20"/>
                <w:szCs w:val="20"/>
                <w:lang w:val="da-DK"/>
              </w:rPr>
              <w:t xml:space="preserve">Øre og </w:t>
            </w:r>
            <w:r w:rsidRPr="00192064">
              <w:rPr>
                <w:spacing w:val="-2"/>
                <w:sz w:val="20"/>
                <w:szCs w:val="20"/>
                <w:lang w:val="da-DK"/>
              </w:rPr>
              <w:t>labyrint</w:t>
            </w:r>
          </w:p>
        </w:tc>
        <w:tc>
          <w:tcPr>
            <w:tcW w:w="672" w:type="pct"/>
            <w:tcBorders>
              <w:top w:val="single" w:sz="4" w:space="0" w:color="000000"/>
              <w:left w:val="single" w:sz="4" w:space="0" w:color="000000"/>
              <w:bottom w:val="single" w:sz="4" w:space="0" w:color="000000"/>
              <w:right w:val="single" w:sz="4" w:space="0" w:color="000000"/>
            </w:tcBorders>
          </w:tcPr>
          <w:p w14:paraId="1CB07907"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391FBB8A"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116A673D" w14:textId="77777777"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Hyperacusis</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3A075B4A"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4745EE57" w14:textId="77777777" w:rsidR="00314C3D" w:rsidRPr="00192064" w:rsidRDefault="00314C3D">
            <w:pPr>
              <w:pStyle w:val="TableParagraph"/>
              <w:rPr>
                <w:sz w:val="20"/>
                <w:szCs w:val="20"/>
                <w:lang w:val="da-DK"/>
              </w:rPr>
            </w:pPr>
          </w:p>
        </w:tc>
      </w:tr>
      <w:tr w:rsidR="002C44AE" w:rsidRPr="00212B5E" w14:paraId="0AF84E8D" w14:textId="77777777" w:rsidTr="002C44AE">
        <w:trPr>
          <w:trHeight w:val="758"/>
        </w:trPr>
        <w:tc>
          <w:tcPr>
            <w:tcW w:w="1119" w:type="pct"/>
            <w:tcBorders>
              <w:top w:val="single" w:sz="4" w:space="0" w:color="000000"/>
              <w:left w:val="single" w:sz="4" w:space="0" w:color="000000"/>
              <w:bottom w:val="single" w:sz="4" w:space="0" w:color="000000"/>
              <w:right w:val="single" w:sz="4" w:space="0" w:color="000000"/>
            </w:tcBorders>
            <w:hideMark/>
          </w:tcPr>
          <w:p w14:paraId="71CCF37E" w14:textId="77777777" w:rsidR="00314C3D" w:rsidRPr="00192064" w:rsidRDefault="00314C3D">
            <w:pPr>
              <w:pStyle w:val="TableParagraph"/>
              <w:ind w:left="56"/>
              <w:rPr>
                <w:sz w:val="20"/>
                <w:szCs w:val="20"/>
                <w:lang w:val="da-DK"/>
              </w:rPr>
            </w:pPr>
            <w:r w:rsidRPr="00192064">
              <w:rPr>
                <w:spacing w:val="-2"/>
                <w:sz w:val="20"/>
                <w:szCs w:val="20"/>
                <w:lang w:val="da-DK"/>
              </w:rPr>
              <w:t>Hjerte</w:t>
            </w:r>
          </w:p>
        </w:tc>
        <w:tc>
          <w:tcPr>
            <w:tcW w:w="672" w:type="pct"/>
            <w:tcBorders>
              <w:top w:val="single" w:sz="4" w:space="0" w:color="000000"/>
              <w:left w:val="single" w:sz="4" w:space="0" w:color="000000"/>
              <w:bottom w:val="single" w:sz="4" w:space="0" w:color="000000"/>
              <w:right w:val="single" w:sz="4" w:space="0" w:color="000000"/>
            </w:tcBorders>
          </w:tcPr>
          <w:p w14:paraId="5EA6132C"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243A5621" w14:textId="77777777" w:rsidR="00314C3D" w:rsidRPr="00192064" w:rsidRDefault="00314C3D">
            <w:pPr>
              <w:pStyle w:val="TableParagraph"/>
              <w:ind w:left="56"/>
              <w:rPr>
                <w:sz w:val="20"/>
                <w:szCs w:val="20"/>
                <w:lang w:val="da-DK"/>
              </w:rPr>
            </w:pPr>
            <w:proofErr w:type="spellStart"/>
            <w:r w:rsidRPr="00192064">
              <w:rPr>
                <w:spacing w:val="-2"/>
                <w:sz w:val="20"/>
                <w:szCs w:val="20"/>
                <w:lang w:val="da-DK"/>
              </w:rPr>
              <w:t>Takykardi</w:t>
            </w:r>
            <w:proofErr w:type="spellEnd"/>
          </w:p>
        </w:tc>
        <w:tc>
          <w:tcPr>
            <w:tcW w:w="1193" w:type="pct"/>
            <w:tcBorders>
              <w:top w:val="single" w:sz="4" w:space="0" w:color="000000"/>
              <w:left w:val="single" w:sz="4" w:space="0" w:color="000000"/>
              <w:bottom w:val="single" w:sz="4" w:space="0" w:color="000000"/>
              <w:right w:val="single" w:sz="4" w:space="0" w:color="000000"/>
            </w:tcBorders>
            <w:hideMark/>
          </w:tcPr>
          <w:p w14:paraId="2A8CDED4"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Palpitationer</w:t>
            </w:r>
            <w:proofErr w:type="spellEnd"/>
          </w:p>
          <w:p w14:paraId="6D06ECFA" w14:textId="44A289CA" w:rsidR="00314C3D" w:rsidRPr="00192064" w:rsidRDefault="00314C3D" w:rsidP="002C44AE">
            <w:pPr>
              <w:pStyle w:val="TableParagraph"/>
              <w:tabs>
                <w:tab w:val="left" w:pos="2330"/>
              </w:tabs>
              <w:spacing w:line="250" w:lineRule="atLeast"/>
              <w:ind w:left="56" w:right="202"/>
              <w:rPr>
                <w:sz w:val="20"/>
                <w:szCs w:val="20"/>
                <w:lang w:val="da-DK"/>
              </w:rPr>
            </w:pPr>
            <w:proofErr w:type="spellStart"/>
            <w:r w:rsidRPr="00192064">
              <w:rPr>
                <w:spacing w:val="-2"/>
                <w:sz w:val="20"/>
                <w:szCs w:val="20"/>
                <w:lang w:val="da-DK"/>
              </w:rPr>
              <w:t>Supraventrikulære</w:t>
            </w:r>
            <w:proofErr w:type="spellEnd"/>
            <w:r w:rsidRPr="00192064">
              <w:rPr>
                <w:spacing w:val="-2"/>
                <w:sz w:val="20"/>
                <w:szCs w:val="20"/>
                <w:lang w:val="da-DK"/>
              </w:rPr>
              <w:t xml:space="preserve"> </w:t>
            </w:r>
            <w:proofErr w:type="spellStart"/>
            <w:r w:rsidRPr="00192064">
              <w:rPr>
                <w:spacing w:val="-2"/>
                <w:sz w:val="20"/>
                <w:szCs w:val="20"/>
                <w:lang w:val="da-DK"/>
              </w:rPr>
              <w:t>ekstrasystoler</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3DBE2D7A"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43E3887F" w14:textId="77777777" w:rsidR="00314C3D" w:rsidRPr="00192064" w:rsidRDefault="00314C3D">
            <w:pPr>
              <w:pStyle w:val="TableParagraph"/>
              <w:rPr>
                <w:sz w:val="20"/>
                <w:szCs w:val="20"/>
                <w:lang w:val="da-DK"/>
              </w:rPr>
            </w:pPr>
          </w:p>
        </w:tc>
      </w:tr>
      <w:tr w:rsidR="002C44AE" w:rsidRPr="00212B5E" w14:paraId="57D8142C" w14:textId="77777777" w:rsidTr="002C44AE">
        <w:trPr>
          <w:trHeight w:val="758"/>
        </w:trPr>
        <w:tc>
          <w:tcPr>
            <w:tcW w:w="1119" w:type="pct"/>
            <w:tcBorders>
              <w:top w:val="single" w:sz="4" w:space="0" w:color="000000"/>
              <w:left w:val="single" w:sz="4" w:space="0" w:color="000000"/>
              <w:bottom w:val="single" w:sz="4" w:space="0" w:color="000000"/>
              <w:right w:val="single" w:sz="4" w:space="0" w:color="000000"/>
            </w:tcBorders>
            <w:hideMark/>
          </w:tcPr>
          <w:p w14:paraId="72EA259A" w14:textId="77777777" w:rsidR="00314C3D" w:rsidRPr="00192064" w:rsidRDefault="00314C3D">
            <w:pPr>
              <w:pStyle w:val="TableParagraph"/>
              <w:ind w:left="56" w:right="1001"/>
              <w:rPr>
                <w:sz w:val="20"/>
                <w:szCs w:val="20"/>
                <w:lang w:val="da-DK"/>
              </w:rPr>
            </w:pPr>
            <w:proofErr w:type="spellStart"/>
            <w:r w:rsidRPr="00192064">
              <w:rPr>
                <w:spacing w:val="-2"/>
                <w:sz w:val="20"/>
                <w:szCs w:val="20"/>
                <w:lang w:val="da-DK"/>
              </w:rPr>
              <w:t>Vaskulære</w:t>
            </w:r>
            <w:proofErr w:type="spellEnd"/>
            <w:r w:rsidRPr="00192064">
              <w:rPr>
                <w:spacing w:val="-2"/>
                <w:sz w:val="20"/>
                <w:szCs w:val="20"/>
                <w:lang w:val="da-DK"/>
              </w:rPr>
              <w:t xml:space="preserve"> sygdomme</w:t>
            </w:r>
          </w:p>
        </w:tc>
        <w:tc>
          <w:tcPr>
            <w:tcW w:w="672" w:type="pct"/>
            <w:tcBorders>
              <w:top w:val="single" w:sz="4" w:space="0" w:color="000000"/>
              <w:left w:val="single" w:sz="4" w:space="0" w:color="000000"/>
              <w:bottom w:val="single" w:sz="4" w:space="0" w:color="000000"/>
              <w:right w:val="single" w:sz="4" w:space="0" w:color="000000"/>
            </w:tcBorders>
          </w:tcPr>
          <w:p w14:paraId="1BB16F7F"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010F1A01"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16BEAA31"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Ortostatisk</w:t>
            </w:r>
            <w:proofErr w:type="spellEnd"/>
            <w:r w:rsidRPr="00192064">
              <w:rPr>
                <w:spacing w:val="-2"/>
                <w:sz w:val="20"/>
                <w:szCs w:val="20"/>
                <w:lang w:val="da-DK"/>
              </w:rPr>
              <w:t xml:space="preserve"> hypotension</w:t>
            </w:r>
          </w:p>
          <w:p w14:paraId="3B655B0D" w14:textId="22AB0A81" w:rsidR="00314C3D" w:rsidRPr="00192064" w:rsidRDefault="00314C3D" w:rsidP="002C44AE">
            <w:pPr>
              <w:pStyle w:val="TableParagraph"/>
              <w:tabs>
                <w:tab w:val="left" w:pos="2330"/>
              </w:tabs>
              <w:spacing w:line="250" w:lineRule="atLeast"/>
              <w:ind w:left="56" w:right="202"/>
              <w:rPr>
                <w:sz w:val="20"/>
                <w:szCs w:val="20"/>
                <w:lang w:val="da-DK"/>
              </w:rPr>
            </w:pPr>
            <w:r w:rsidRPr="00192064">
              <w:rPr>
                <w:spacing w:val="-2"/>
                <w:sz w:val="20"/>
                <w:szCs w:val="20"/>
                <w:lang w:val="da-DK"/>
              </w:rPr>
              <w:t>Hypertension</w:t>
            </w:r>
          </w:p>
        </w:tc>
        <w:tc>
          <w:tcPr>
            <w:tcW w:w="448" w:type="pct"/>
            <w:tcBorders>
              <w:top w:val="single" w:sz="4" w:space="0" w:color="000000"/>
              <w:left w:val="single" w:sz="4" w:space="0" w:color="000000"/>
              <w:bottom w:val="single" w:sz="4" w:space="0" w:color="000000"/>
              <w:right w:val="single" w:sz="4" w:space="0" w:color="000000"/>
            </w:tcBorders>
          </w:tcPr>
          <w:p w14:paraId="3A62CE87"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7B99D6F3" w14:textId="77777777" w:rsidR="00314C3D" w:rsidRPr="00192064" w:rsidRDefault="00314C3D">
            <w:pPr>
              <w:pStyle w:val="TableParagraph"/>
              <w:rPr>
                <w:sz w:val="20"/>
                <w:szCs w:val="20"/>
                <w:lang w:val="da-DK"/>
              </w:rPr>
            </w:pPr>
          </w:p>
        </w:tc>
      </w:tr>
      <w:tr w:rsidR="002C44AE" w:rsidRPr="00212B5E" w14:paraId="3C8FBE92" w14:textId="77777777" w:rsidTr="002C44AE">
        <w:trPr>
          <w:trHeight w:val="758"/>
        </w:trPr>
        <w:tc>
          <w:tcPr>
            <w:tcW w:w="1119" w:type="pct"/>
            <w:tcBorders>
              <w:top w:val="single" w:sz="4" w:space="0" w:color="000000"/>
              <w:left w:val="single" w:sz="4" w:space="0" w:color="000000"/>
              <w:bottom w:val="single" w:sz="4" w:space="0" w:color="000000"/>
              <w:right w:val="single" w:sz="4" w:space="0" w:color="000000"/>
            </w:tcBorders>
            <w:hideMark/>
          </w:tcPr>
          <w:p w14:paraId="178ACB68" w14:textId="77777777" w:rsidR="00314C3D" w:rsidRPr="00192064" w:rsidRDefault="00314C3D">
            <w:pPr>
              <w:pStyle w:val="TableParagraph"/>
              <w:ind w:left="56"/>
              <w:rPr>
                <w:sz w:val="20"/>
                <w:szCs w:val="20"/>
                <w:lang w:val="da-DK"/>
              </w:rPr>
            </w:pPr>
            <w:r w:rsidRPr="00192064">
              <w:rPr>
                <w:sz w:val="20"/>
                <w:szCs w:val="20"/>
                <w:lang w:val="da-DK"/>
              </w:rPr>
              <w:t>Luftveje,</w:t>
            </w:r>
            <w:r w:rsidRPr="00192064">
              <w:rPr>
                <w:spacing w:val="-14"/>
                <w:sz w:val="20"/>
                <w:szCs w:val="20"/>
                <w:lang w:val="da-DK"/>
              </w:rPr>
              <w:t xml:space="preserve"> </w:t>
            </w:r>
            <w:r w:rsidRPr="00192064">
              <w:rPr>
                <w:sz w:val="20"/>
                <w:szCs w:val="20"/>
                <w:lang w:val="da-DK"/>
              </w:rPr>
              <w:t>thorax</w:t>
            </w:r>
            <w:r w:rsidRPr="00192064">
              <w:rPr>
                <w:spacing w:val="-14"/>
                <w:sz w:val="20"/>
                <w:szCs w:val="20"/>
                <w:lang w:val="da-DK"/>
              </w:rPr>
              <w:t xml:space="preserve"> </w:t>
            </w:r>
            <w:r w:rsidRPr="00192064">
              <w:rPr>
                <w:sz w:val="20"/>
                <w:szCs w:val="20"/>
                <w:lang w:val="da-DK"/>
              </w:rPr>
              <w:t xml:space="preserve">og </w:t>
            </w:r>
            <w:proofErr w:type="spellStart"/>
            <w:r w:rsidRPr="00192064">
              <w:rPr>
                <w:spacing w:val="-2"/>
                <w:sz w:val="20"/>
                <w:szCs w:val="20"/>
                <w:lang w:val="da-DK"/>
              </w:rPr>
              <w:t>mediastinum</w:t>
            </w:r>
            <w:proofErr w:type="spellEnd"/>
          </w:p>
        </w:tc>
        <w:tc>
          <w:tcPr>
            <w:tcW w:w="672" w:type="pct"/>
            <w:tcBorders>
              <w:top w:val="single" w:sz="4" w:space="0" w:color="000000"/>
              <w:left w:val="single" w:sz="4" w:space="0" w:color="000000"/>
              <w:bottom w:val="single" w:sz="4" w:space="0" w:color="000000"/>
              <w:right w:val="single" w:sz="4" w:space="0" w:color="000000"/>
            </w:tcBorders>
          </w:tcPr>
          <w:p w14:paraId="42AA0C14"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109E370E"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20B2DB1F" w14:textId="77777777"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Oropharyngeale</w:t>
            </w:r>
            <w:proofErr w:type="spellEnd"/>
            <w:r w:rsidRPr="00192064">
              <w:rPr>
                <w:spacing w:val="-2"/>
                <w:sz w:val="20"/>
                <w:szCs w:val="20"/>
                <w:lang w:val="da-DK"/>
              </w:rPr>
              <w:t xml:space="preserve"> smerter</w:t>
            </w:r>
          </w:p>
          <w:p w14:paraId="088CEF3C" w14:textId="77777777" w:rsidR="00314C3D" w:rsidRPr="00192064" w:rsidRDefault="00314C3D" w:rsidP="002C44AE">
            <w:pPr>
              <w:pStyle w:val="TableParagraph"/>
              <w:tabs>
                <w:tab w:val="left" w:pos="2330"/>
              </w:tabs>
              <w:spacing w:line="233" w:lineRule="exact"/>
              <w:ind w:left="56" w:right="202"/>
              <w:rPr>
                <w:sz w:val="20"/>
                <w:szCs w:val="20"/>
                <w:lang w:val="da-DK"/>
              </w:rPr>
            </w:pPr>
            <w:r w:rsidRPr="00192064">
              <w:rPr>
                <w:spacing w:val="-2"/>
                <w:sz w:val="20"/>
                <w:szCs w:val="20"/>
                <w:lang w:val="da-DK"/>
              </w:rPr>
              <w:t>Dyspnø</w:t>
            </w:r>
          </w:p>
        </w:tc>
        <w:tc>
          <w:tcPr>
            <w:tcW w:w="448" w:type="pct"/>
            <w:tcBorders>
              <w:top w:val="single" w:sz="4" w:space="0" w:color="000000"/>
              <w:left w:val="single" w:sz="4" w:space="0" w:color="000000"/>
              <w:bottom w:val="single" w:sz="4" w:space="0" w:color="000000"/>
              <w:right w:val="single" w:sz="4" w:space="0" w:color="000000"/>
            </w:tcBorders>
          </w:tcPr>
          <w:p w14:paraId="21C28267"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3E116656" w14:textId="77777777" w:rsidR="00314C3D" w:rsidRPr="00192064" w:rsidRDefault="00314C3D">
            <w:pPr>
              <w:pStyle w:val="TableParagraph"/>
              <w:rPr>
                <w:sz w:val="20"/>
                <w:szCs w:val="20"/>
                <w:lang w:val="da-DK"/>
              </w:rPr>
            </w:pPr>
          </w:p>
        </w:tc>
      </w:tr>
      <w:tr w:rsidR="002C44AE" w:rsidRPr="00212B5E" w14:paraId="6CA3630C" w14:textId="77777777" w:rsidTr="002C44AE">
        <w:trPr>
          <w:trHeight w:val="1770"/>
        </w:trPr>
        <w:tc>
          <w:tcPr>
            <w:tcW w:w="1119" w:type="pct"/>
            <w:tcBorders>
              <w:top w:val="single" w:sz="4" w:space="0" w:color="000000"/>
              <w:left w:val="single" w:sz="4" w:space="0" w:color="000000"/>
              <w:bottom w:val="single" w:sz="4" w:space="0" w:color="000000"/>
              <w:right w:val="single" w:sz="4" w:space="0" w:color="000000"/>
            </w:tcBorders>
            <w:hideMark/>
          </w:tcPr>
          <w:p w14:paraId="718EABE5" w14:textId="77777777" w:rsidR="00314C3D" w:rsidRPr="00192064" w:rsidRDefault="00314C3D">
            <w:pPr>
              <w:pStyle w:val="TableParagraph"/>
              <w:ind w:left="56"/>
              <w:rPr>
                <w:sz w:val="20"/>
                <w:szCs w:val="20"/>
                <w:lang w:val="da-DK"/>
              </w:rPr>
            </w:pPr>
            <w:r w:rsidRPr="00192064">
              <w:rPr>
                <w:spacing w:val="-2"/>
                <w:sz w:val="20"/>
                <w:szCs w:val="20"/>
                <w:lang w:val="da-DK"/>
              </w:rPr>
              <w:t>Mave-tarm-kanalen</w:t>
            </w:r>
          </w:p>
        </w:tc>
        <w:tc>
          <w:tcPr>
            <w:tcW w:w="672" w:type="pct"/>
            <w:tcBorders>
              <w:top w:val="single" w:sz="4" w:space="0" w:color="000000"/>
              <w:left w:val="single" w:sz="4" w:space="0" w:color="000000"/>
              <w:bottom w:val="single" w:sz="4" w:space="0" w:color="000000"/>
              <w:right w:val="single" w:sz="4" w:space="0" w:color="000000"/>
            </w:tcBorders>
            <w:hideMark/>
          </w:tcPr>
          <w:p w14:paraId="09656DA0" w14:textId="77777777" w:rsidR="00314C3D" w:rsidRPr="00192064" w:rsidRDefault="00314C3D">
            <w:pPr>
              <w:pStyle w:val="TableParagraph"/>
              <w:ind w:left="56"/>
              <w:rPr>
                <w:sz w:val="20"/>
                <w:szCs w:val="20"/>
                <w:lang w:val="da-DK"/>
              </w:rPr>
            </w:pPr>
            <w:r w:rsidRPr="00192064">
              <w:rPr>
                <w:spacing w:val="-2"/>
                <w:sz w:val="20"/>
                <w:szCs w:val="20"/>
                <w:lang w:val="da-DK"/>
              </w:rPr>
              <w:t>Kvalme</w:t>
            </w:r>
          </w:p>
        </w:tc>
        <w:tc>
          <w:tcPr>
            <w:tcW w:w="971" w:type="pct"/>
            <w:tcBorders>
              <w:top w:val="single" w:sz="4" w:space="0" w:color="000000"/>
              <w:left w:val="single" w:sz="4" w:space="0" w:color="000000"/>
              <w:bottom w:val="single" w:sz="4" w:space="0" w:color="000000"/>
              <w:right w:val="single" w:sz="4" w:space="0" w:color="000000"/>
            </w:tcBorders>
            <w:hideMark/>
          </w:tcPr>
          <w:p w14:paraId="3B0DE8B1" w14:textId="77777777" w:rsidR="00D9079D" w:rsidRDefault="00314C3D" w:rsidP="00D9079D">
            <w:pPr>
              <w:pStyle w:val="TableParagraph"/>
              <w:ind w:left="56" w:right="137"/>
              <w:rPr>
                <w:spacing w:val="-2"/>
                <w:sz w:val="20"/>
                <w:szCs w:val="20"/>
                <w:lang w:val="da-DK"/>
              </w:rPr>
            </w:pPr>
            <w:r w:rsidRPr="00192064">
              <w:rPr>
                <w:spacing w:val="-2"/>
                <w:sz w:val="20"/>
                <w:szCs w:val="20"/>
                <w:lang w:val="da-DK"/>
              </w:rPr>
              <w:t xml:space="preserve">Obstipation </w:t>
            </w:r>
          </w:p>
          <w:p w14:paraId="132B494D" w14:textId="0B3994CB" w:rsidR="00314C3D" w:rsidRPr="00192064" w:rsidRDefault="00314C3D" w:rsidP="00D9079D">
            <w:pPr>
              <w:pStyle w:val="TableParagraph"/>
              <w:ind w:left="56" w:right="137"/>
              <w:rPr>
                <w:sz w:val="20"/>
                <w:szCs w:val="20"/>
                <w:lang w:val="da-DK"/>
              </w:rPr>
            </w:pPr>
            <w:r w:rsidRPr="00192064">
              <w:rPr>
                <w:spacing w:val="-2"/>
                <w:sz w:val="20"/>
                <w:szCs w:val="20"/>
                <w:lang w:val="da-DK"/>
              </w:rPr>
              <w:t>Mundtø</w:t>
            </w:r>
            <w:r w:rsidR="00D9079D">
              <w:rPr>
                <w:spacing w:val="-2"/>
                <w:sz w:val="20"/>
                <w:szCs w:val="20"/>
                <w:lang w:val="da-DK"/>
              </w:rPr>
              <w:t>r</w:t>
            </w:r>
            <w:r w:rsidRPr="00192064">
              <w:rPr>
                <w:spacing w:val="-2"/>
                <w:sz w:val="20"/>
                <w:szCs w:val="20"/>
                <w:lang w:val="da-DK"/>
              </w:rPr>
              <w:t>hed</w:t>
            </w:r>
          </w:p>
          <w:p w14:paraId="62A6B266" w14:textId="77777777" w:rsidR="00192064" w:rsidRDefault="00314C3D" w:rsidP="00D9079D">
            <w:pPr>
              <w:pStyle w:val="TableParagraph"/>
              <w:ind w:left="56" w:right="137"/>
              <w:rPr>
                <w:sz w:val="20"/>
                <w:szCs w:val="20"/>
                <w:lang w:val="da-DK"/>
              </w:rPr>
            </w:pPr>
            <w:r w:rsidRPr="00192064">
              <w:rPr>
                <w:sz w:val="20"/>
                <w:szCs w:val="20"/>
                <w:lang w:val="da-DK"/>
              </w:rPr>
              <w:t>Øget</w:t>
            </w:r>
            <w:r w:rsidRPr="00192064">
              <w:rPr>
                <w:spacing w:val="-14"/>
                <w:sz w:val="20"/>
                <w:szCs w:val="20"/>
                <w:lang w:val="da-DK"/>
              </w:rPr>
              <w:t xml:space="preserve"> </w:t>
            </w:r>
            <w:r w:rsidRPr="00192064">
              <w:rPr>
                <w:sz w:val="20"/>
                <w:szCs w:val="20"/>
                <w:lang w:val="da-DK"/>
              </w:rPr>
              <w:t>spytsekretion</w:t>
            </w:r>
          </w:p>
          <w:p w14:paraId="7EA7CEF5" w14:textId="3016E6E5" w:rsidR="00314C3D" w:rsidRPr="00192064" w:rsidRDefault="00314C3D" w:rsidP="00D9079D">
            <w:pPr>
              <w:pStyle w:val="TableParagraph"/>
              <w:ind w:left="56" w:right="137"/>
              <w:rPr>
                <w:sz w:val="20"/>
                <w:szCs w:val="20"/>
                <w:lang w:val="da-DK"/>
              </w:rPr>
            </w:pPr>
            <w:r w:rsidRPr="00192064">
              <w:rPr>
                <w:spacing w:val="-2"/>
                <w:sz w:val="20"/>
                <w:szCs w:val="20"/>
                <w:lang w:val="da-DK"/>
              </w:rPr>
              <w:t>Opkastning</w:t>
            </w:r>
          </w:p>
        </w:tc>
        <w:tc>
          <w:tcPr>
            <w:tcW w:w="1193" w:type="pct"/>
            <w:tcBorders>
              <w:top w:val="single" w:sz="4" w:space="0" w:color="000000"/>
              <w:left w:val="single" w:sz="4" w:space="0" w:color="000000"/>
              <w:bottom w:val="single" w:sz="4" w:space="0" w:color="000000"/>
              <w:right w:val="single" w:sz="4" w:space="0" w:color="000000"/>
            </w:tcBorders>
            <w:hideMark/>
          </w:tcPr>
          <w:p w14:paraId="3E4D05BC" w14:textId="77777777" w:rsidR="00192064" w:rsidRDefault="00314C3D" w:rsidP="002C44AE">
            <w:pPr>
              <w:pStyle w:val="TableParagraph"/>
              <w:tabs>
                <w:tab w:val="left" w:pos="2330"/>
              </w:tabs>
              <w:ind w:left="56" w:right="202"/>
              <w:rPr>
                <w:sz w:val="20"/>
                <w:szCs w:val="20"/>
                <w:lang w:val="da-DK"/>
              </w:rPr>
            </w:pPr>
            <w:proofErr w:type="spellStart"/>
            <w:r w:rsidRPr="00192064">
              <w:rPr>
                <w:sz w:val="20"/>
                <w:szCs w:val="20"/>
                <w:lang w:val="da-DK"/>
              </w:rPr>
              <w:t>Abdominalt</w:t>
            </w:r>
            <w:proofErr w:type="spellEnd"/>
            <w:r w:rsidRPr="00192064">
              <w:rPr>
                <w:sz w:val="20"/>
                <w:szCs w:val="20"/>
                <w:lang w:val="da-DK"/>
              </w:rPr>
              <w:t xml:space="preserve"> ubehag </w:t>
            </w:r>
          </w:p>
          <w:p w14:paraId="1285A5B3" w14:textId="77777777" w:rsidR="00192064" w:rsidRDefault="00314C3D" w:rsidP="002C44AE">
            <w:pPr>
              <w:pStyle w:val="TableParagraph"/>
              <w:tabs>
                <w:tab w:val="left" w:pos="2330"/>
              </w:tabs>
              <w:ind w:left="56" w:right="202"/>
              <w:rPr>
                <w:sz w:val="20"/>
                <w:szCs w:val="20"/>
                <w:lang w:val="da-DK"/>
              </w:rPr>
            </w:pPr>
            <w:r w:rsidRPr="00192064">
              <w:rPr>
                <w:sz w:val="20"/>
                <w:szCs w:val="20"/>
                <w:lang w:val="da-DK"/>
              </w:rPr>
              <w:t xml:space="preserve">Øvre mavesmerter </w:t>
            </w:r>
          </w:p>
          <w:p w14:paraId="28A09035" w14:textId="77777777" w:rsidR="00192064" w:rsidRDefault="00314C3D" w:rsidP="002C44AE">
            <w:pPr>
              <w:pStyle w:val="TableParagraph"/>
              <w:tabs>
                <w:tab w:val="left" w:pos="2330"/>
              </w:tabs>
              <w:ind w:left="56" w:right="202"/>
              <w:rPr>
                <w:sz w:val="20"/>
                <w:szCs w:val="20"/>
                <w:lang w:val="da-DK"/>
              </w:rPr>
            </w:pPr>
            <w:r w:rsidRPr="00192064">
              <w:rPr>
                <w:sz w:val="20"/>
                <w:szCs w:val="20"/>
                <w:lang w:val="da-DK"/>
              </w:rPr>
              <w:t>Nedsat</w:t>
            </w:r>
            <w:r w:rsidRPr="00192064">
              <w:rPr>
                <w:spacing w:val="-14"/>
                <w:sz w:val="20"/>
                <w:szCs w:val="20"/>
                <w:lang w:val="da-DK"/>
              </w:rPr>
              <w:t xml:space="preserve"> </w:t>
            </w:r>
            <w:r w:rsidRPr="00192064">
              <w:rPr>
                <w:sz w:val="20"/>
                <w:szCs w:val="20"/>
                <w:lang w:val="da-DK"/>
              </w:rPr>
              <w:t xml:space="preserve">spytproduktion </w:t>
            </w:r>
          </w:p>
          <w:p w14:paraId="06BB91DB" w14:textId="2C32818C"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Diarré</w:t>
            </w:r>
          </w:p>
          <w:p w14:paraId="446D8176"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Dyspepsi</w:t>
            </w:r>
          </w:p>
          <w:p w14:paraId="40A94DAF" w14:textId="77777777" w:rsid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Tørre</w:t>
            </w:r>
            <w:r w:rsidRPr="00192064">
              <w:rPr>
                <w:spacing w:val="-14"/>
                <w:sz w:val="20"/>
                <w:szCs w:val="20"/>
                <w:lang w:val="da-DK"/>
              </w:rPr>
              <w:t xml:space="preserve"> </w:t>
            </w:r>
            <w:r w:rsidRPr="00192064">
              <w:rPr>
                <w:sz w:val="20"/>
                <w:szCs w:val="20"/>
                <w:lang w:val="da-DK"/>
              </w:rPr>
              <w:t>læber</w:t>
            </w:r>
          </w:p>
          <w:p w14:paraId="64D733FB" w14:textId="4CBB188A" w:rsidR="00314C3D" w:rsidRPr="00192064" w:rsidRDefault="00314C3D" w:rsidP="002C44AE">
            <w:pPr>
              <w:pStyle w:val="TableParagraph"/>
              <w:tabs>
                <w:tab w:val="left" w:pos="2330"/>
              </w:tabs>
              <w:spacing w:line="250" w:lineRule="atLeast"/>
              <w:ind w:left="56" w:right="202"/>
              <w:rPr>
                <w:sz w:val="20"/>
                <w:szCs w:val="20"/>
                <w:lang w:val="da-DK"/>
              </w:rPr>
            </w:pPr>
            <w:r w:rsidRPr="00192064">
              <w:rPr>
                <w:spacing w:val="-2"/>
                <w:sz w:val="20"/>
                <w:szCs w:val="20"/>
                <w:lang w:val="da-DK"/>
              </w:rPr>
              <w:t>Tandpine</w:t>
            </w:r>
          </w:p>
        </w:tc>
        <w:tc>
          <w:tcPr>
            <w:tcW w:w="448" w:type="pct"/>
            <w:tcBorders>
              <w:top w:val="single" w:sz="4" w:space="0" w:color="000000"/>
              <w:left w:val="single" w:sz="4" w:space="0" w:color="000000"/>
              <w:bottom w:val="single" w:sz="4" w:space="0" w:color="000000"/>
              <w:right w:val="single" w:sz="4" w:space="0" w:color="000000"/>
            </w:tcBorders>
          </w:tcPr>
          <w:p w14:paraId="2EF21195"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17993C1A" w14:textId="77777777" w:rsidR="00314C3D" w:rsidRPr="00192064" w:rsidRDefault="00314C3D">
            <w:pPr>
              <w:pStyle w:val="TableParagraph"/>
              <w:rPr>
                <w:sz w:val="20"/>
                <w:szCs w:val="20"/>
                <w:lang w:val="da-DK"/>
              </w:rPr>
            </w:pPr>
          </w:p>
        </w:tc>
      </w:tr>
      <w:tr w:rsidR="002C44AE" w:rsidRPr="00212B5E" w14:paraId="6202AC0E" w14:textId="77777777" w:rsidTr="002C44AE">
        <w:trPr>
          <w:trHeight w:val="1011"/>
        </w:trPr>
        <w:tc>
          <w:tcPr>
            <w:tcW w:w="1119" w:type="pct"/>
            <w:tcBorders>
              <w:top w:val="single" w:sz="4" w:space="0" w:color="000000"/>
              <w:left w:val="single" w:sz="4" w:space="0" w:color="000000"/>
              <w:bottom w:val="single" w:sz="4" w:space="0" w:color="000000"/>
              <w:right w:val="single" w:sz="4" w:space="0" w:color="000000"/>
            </w:tcBorders>
            <w:hideMark/>
          </w:tcPr>
          <w:p w14:paraId="531BA6A3" w14:textId="77777777" w:rsidR="00314C3D" w:rsidRPr="00192064" w:rsidRDefault="00314C3D">
            <w:pPr>
              <w:pStyle w:val="TableParagraph"/>
              <w:ind w:left="56" w:right="156"/>
              <w:rPr>
                <w:sz w:val="20"/>
                <w:szCs w:val="20"/>
                <w:lang w:val="da-DK"/>
              </w:rPr>
            </w:pPr>
            <w:r w:rsidRPr="00192064">
              <w:rPr>
                <w:sz w:val="20"/>
                <w:szCs w:val="20"/>
                <w:lang w:val="da-DK"/>
              </w:rPr>
              <w:t>Hud</w:t>
            </w:r>
            <w:r w:rsidRPr="00192064">
              <w:rPr>
                <w:spacing w:val="-14"/>
                <w:sz w:val="20"/>
                <w:szCs w:val="20"/>
                <w:lang w:val="da-DK"/>
              </w:rPr>
              <w:t xml:space="preserve"> </w:t>
            </w:r>
            <w:r w:rsidRPr="00192064">
              <w:rPr>
                <w:sz w:val="20"/>
                <w:szCs w:val="20"/>
                <w:lang w:val="da-DK"/>
              </w:rPr>
              <w:t>og</w:t>
            </w:r>
            <w:r w:rsidRPr="00192064">
              <w:rPr>
                <w:spacing w:val="-14"/>
                <w:sz w:val="20"/>
                <w:szCs w:val="20"/>
                <w:lang w:val="da-DK"/>
              </w:rPr>
              <w:t xml:space="preserve"> </w:t>
            </w:r>
            <w:r w:rsidRPr="00192064">
              <w:rPr>
                <w:sz w:val="20"/>
                <w:szCs w:val="20"/>
                <w:lang w:val="da-DK"/>
              </w:rPr>
              <w:t xml:space="preserve">subkutane </w:t>
            </w:r>
            <w:r w:rsidRPr="00192064">
              <w:rPr>
                <w:spacing w:val="-4"/>
                <w:sz w:val="20"/>
                <w:szCs w:val="20"/>
                <w:lang w:val="da-DK"/>
              </w:rPr>
              <w:t>væv</w:t>
            </w:r>
          </w:p>
        </w:tc>
        <w:tc>
          <w:tcPr>
            <w:tcW w:w="672" w:type="pct"/>
            <w:tcBorders>
              <w:top w:val="single" w:sz="4" w:space="0" w:color="000000"/>
              <w:left w:val="single" w:sz="4" w:space="0" w:color="000000"/>
              <w:bottom w:val="single" w:sz="4" w:space="0" w:color="000000"/>
              <w:right w:val="single" w:sz="4" w:space="0" w:color="000000"/>
            </w:tcBorders>
          </w:tcPr>
          <w:p w14:paraId="66D4AEFA"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08499F04" w14:textId="77777777" w:rsidR="00314C3D" w:rsidRPr="00192064" w:rsidRDefault="00314C3D">
            <w:pPr>
              <w:pStyle w:val="TableParagraph"/>
              <w:ind w:left="56"/>
              <w:rPr>
                <w:sz w:val="20"/>
                <w:szCs w:val="20"/>
                <w:lang w:val="da-DK"/>
              </w:rPr>
            </w:pPr>
            <w:proofErr w:type="spellStart"/>
            <w:r w:rsidRPr="00192064">
              <w:rPr>
                <w:spacing w:val="-2"/>
                <w:sz w:val="20"/>
                <w:szCs w:val="20"/>
                <w:lang w:val="da-DK"/>
              </w:rPr>
              <w:t>Hyperhidrosis</w:t>
            </w:r>
            <w:proofErr w:type="spellEnd"/>
          </w:p>
        </w:tc>
        <w:tc>
          <w:tcPr>
            <w:tcW w:w="1193" w:type="pct"/>
            <w:tcBorders>
              <w:top w:val="single" w:sz="4" w:space="0" w:color="000000"/>
              <w:left w:val="single" w:sz="4" w:space="0" w:color="000000"/>
              <w:bottom w:val="single" w:sz="4" w:space="0" w:color="000000"/>
              <w:right w:val="single" w:sz="4" w:space="0" w:color="000000"/>
            </w:tcBorders>
            <w:hideMark/>
          </w:tcPr>
          <w:p w14:paraId="0B66090A" w14:textId="77777777"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Alopeci</w:t>
            </w:r>
            <w:proofErr w:type="spellEnd"/>
          </w:p>
          <w:p w14:paraId="0B183BA6" w14:textId="77777777" w:rsidR="00D9079D"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Unormal</w:t>
            </w:r>
            <w:r w:rsidRPr="00192064">
              <w:rPr>
                <w:spacing w:val="-14"/>
                <w:sz w:val="20"/>
                <w:szCs w:val="20"/>
                <w:lang w:val="da-DK"/>
              </w:rPr>
              <w:t xml:space="preserve"> </w:t>
            </w:r>
            <w:r w:rsidRPr="00192064">
              <w:rPr>
                <w:sz w:val="20"/>
                <w:szCs w:val="20"/>
                <w:lang w:val="da-DK"/>
              </w:rPr>
              <w:t xml:space="preserve">hårvækst </w:t>
            </w:r>
          </w:p>
          <w:p w14:paraId="46EF2D7B" w14:textId="1FA4A9F1" w:rsidR="002C44AE"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Hududslæt </w:t>
            </w:r>
          </w:p>
          <w:p w14:paraId="64757B07" w14:textId="316691AB" w:rsidR="00314C3D" w:rsidRPr="00192064" w:rsidRDefault="00314C3D" w:rsidP="002C44AE">
            <w:pPr>
              <w:pStyle w:val="TableParagraph"/>
              <w:tabs>
                <w:tab w:val="left" w:pos="2330"/>
              </w:tabs>
              <w:spacing w:line="250" w:lineRule="atLeast"/>
              <w:ind w:left="56" w:right="202"/>
              <w:rPr>
                <w:sz w:val="20"/>
                <w:szCs w:val="20"/>
                <w:lang w:val="da-DK"/>
              </w:rPr>
            </w:pPr>
            <w:proofErr w:type="spellStart"/>
            <w:r w:rsidRPr="00192064">
              <w:rPr>
                <w:spacing w:val="-2"/>
                <w:sz w:val="20"/>
                <w:szCs w:val="20"/>
                <w:lang w:val="da-DK"/>
              </w:rPr>
              <w:t>Urticaria</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09FDB6CE"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655AA898" w14:textId="77777777" w:rsidR="00314C3D" w:rsidRPr="00192064" w:rsidRDefault="00314C3D">
            <w:pPr>
              <w:pStyle w:val="TableParagraph"/>
              <w:rPr>
                <w:sz w:val="20"/>
                <w:szCs w:val="20"/>
                <w:lang w:val="da-DK"/>
              </w:rPr>
            </w:pPr>
          </w:p>
        </w:tc>
      </w:tr>
      <w:tr w:rsidR="002C44AE" w:rsidRPr="00212B5E" w14:paraId="5021C73C" w14:textId="77777777" w:rsidTr="002C44AE">
        <w:trPr>
          <w:trHeight w:val="2043"/>
        </w:trPr>
        <w:tc>
          <w:tcPr>
            <w:tcW w:w="1119" w:type="pct"/>
            <w:tcBorders>
              <w:top w:val="single" w:sz="4" w:space="0" w:color="000000"/>
              <w:left w:val="single" w:sz="4" w:space="0" w:color="000000"/>
              <w:bottom w:val="single" w:sz="4" w:space="0" w:color="000000"/>
              <w:right w:val="single" w:sz="4" w:space="0" w:color="000000"/>
            </w:tcBorders>
            <w:hideMark/>
          </w:tcPr>
          <w:p w14:paraId="1B8F70F3" w14:textId="77777777" w:rsidR="00314C3D" w:rsidRPr="00192064" w:rsidRDefault="00314C3D">
            <w:pPr>
              <w:pStyle w:val="TableParagraph"/>
              <w:ind w:left="56"/>
              <w:rPr>
                <w:sz w:val="20"/>
                <w:szCs w:val="20"/>
                <w:lang w:val="da-DK"/>
              </w:rPr>
            </w:pPr>
            <w:r w:rsidRPr="00192064">
              <w:rPr>
                <w:sz w:val="20"/>
                <w:szCs w:val="20"/>
                <w:lang w:val="da-DK"/>
              </w:rPr>
              <w:t>Knogler,</w:t>
            </w:r>
            <w:r w:rsidRPr="00192064">
              <w:rPr>
                <w:spacing w:val="-14"/>
                <w:sz w:val="20"/>
                <w:szCs w:val="20"/>
                <w:lang w:val="da-DK"/>
              </w:rPr>
              <w:t xml:space="preserve"> </w:t>
            </w:r>
            <w:r w:rsidRPr="00192064">
              <w:rPr>
                <w:sz w:val="20"/>
                <w:szCs w:val="20"/>
                <w:lang w:val="da-DK"/>
              </w:rPr>
              <w:t>led,</w:t>
            </w:r>
            <w:r w:rsidRPr="00192064">
              <w:rPr>
                <w:spacing w:val="-14"/>
                <w:sz w:val="20"/>
                <w:szCs w:val="20"/>
                <w:lang w:val="da-DK"/>
              </w:rPr>
              <w:t xml:space="preserve"> </w:t>
            </w:r>
            <w:r w:rsidRPr="00192064">
              <w:rPr>
                <w:sz w:val="20"/>
                <w:szCs w:val="20"/>
                <w:lang w:val="da-DK"/>
              </w:rPr>
              <w:t>muskler og bindevæv</w:t>
            </w:r>
          </w:p>
        </w:tc>
        <w:tc>
          <w:tcPr>
            <w:tcW w:w="672" w:type="pct"/>
            <w:tcBorders>
              <w:top w:val="single" w:sz="4" w:space="0" w:color="000000"/>
              <w:left w:val="single" w:sz="4" w:space="0" w:color="000000"/>
              <w:bottom w:val="single" w:sz="4" w:space="0" w:color="000000"/>
              <w:right w:val="single" w:sz="4" w:space="0" w:color="000000"/>
            </w:tcBorders>
          </w:tcPr>
          <w:p w14:paraId="68ECE847"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6397C900" w14:textId="77777777" w:rsidR="00314C3D" w:rsidRPr="00192064" w:rsidRDefault="00314C3D">
            <w:pPr>
              <w:pStyle w:val="TableParagraph"/>
              <w:ind w:left="56"/>
              <w:rPr>
                <w:sz w:val="20"/>
                <w:szCs w:val="20"/>
                <w:lang w:val="da-DK"/>
              </w:rPr>
            </w:pPr>
            <w:r w:rsidRPr="00192064">
              <w:rPr>
                <w:spacing w:val="-2"/>
                <w:sz w:val="20"/>
                <w:szCs w:val="20"/>
                <w:lang w:val="da-DK"/>
              </w:rPr>
              <w:t>Muskelstivhed</w:t>
            </w:r>
          </w:p>
        </w:tc>
        <w:tc>
          <w:tcPr>
            <w:tcW w:w="1193" w:type="pct"/>
            <w:tcBorders>
              <w:top w:val="single" w:sz="4" w:space="0" w:color="000000"/>
              <w:left w:val="single" w:sz="4" w:space="0" w:color="000000"/>
              <w:bottom w:val="single" w:sz="4" w:space="0" w:color="000000"/>
              <w:right w:val="single" w:sz="4" w:space="0" w:color="000000"/>
            </w:tcBorders>
            <w:hideMark/>
          </w:tcPr>
          <w:p w14:paraId="510703B4" w14:textId="77777777"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Artralgi</w:t>
            </w:r>
            <w:proofErr w:type="spellEnd"/>
          </w:p>
          <w:p w14:paraId="153E5893" w14:textId="77777777" w:rsidR="00192064" w:rsidRDefault="00314C3D" w:rsidP="002C44AE">
            <w:pPr>
              <w:pStyle w:val="TableParagraph"/>
              <w:tabs>
                <w:tab w:val="left" w:pos="2330"/>
              </w:tabs>
              <w:ind w:left="56" w:right="202"/>
              <w:rPr>
                <w:sz w:val="20"/>
                <w:szCs w:val="20"/>
                <w:lang w:val="da-DK"/>
              </w:rPr>
            </w:pPr>
            <w:r w:rsidRPr="00192064">
              <w:rPr>
                <w:sz w:val="20"/>
                <w:szCs w:val="20"/>
                <w:lang w:val="da-DK"/>
              </w:rPr>
              <w:t>Spændte</w:t>
            </w:r>
            <w:r w:rsidRPr="00192064">
              <w:rPr>
                <w:spacing w:val="-14"/>
                <w:sz w:val="20"/>
                <w:szCs w:val="20"/>
                <w:lang w:val="da-DK"/>
              </w:rPr>
              <w:t xml:space="preserve"> </w:t>
            </w:r>
            <w:r w:rsidRPr="00192064">
              <w:rPr>
                <w:sz w:val="20"/>
                <w:szCs w:val="20"/>
                <w:lang w:val="da-DK"/>
              </w:rPr>
              <w:t>muskler</w:t>
            </w:r>
          </w:p>
          <w:p w14:paraId="1525F027" w14:textId="7B0F4E5E"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Muskuloskeletal</w:t>
            </w:r>
            <w:proofErr w:type="spellEnd"/>
            <w:r w:rsidRPr="00192064">
              <w:rPr>
                <w:spacing w:val="-2"/>
                <w:sz w:val="20"/>
                <w:szCs w:val="20"/>
                <w:lang w:val="da-DK"/>
              </w:rPr>
              <w:t xml:space="preserve"> stivhed</w:t>
            </w:r>
          </w:p>
          <w:p w14:paraId="7A61BE45" w14:textId="77777777" w:rsidR="00192064" w:rsidRDefault="00314C3D" w:rsidP="002C44AE">
            <w:pPr>
              <w:pStyle w:val="TableParagraph"/>
              <w:tabs>
                <w:tab w:val="left" w:pos="2330"/>
              </w:tabs>
              <w:ind w:left="56" w:right="202"/>
              <w:rPr>
                <w:spacing w:val="40"/>
                <w:sz w:val="20"/>
                <w:szCs w:val="20"/>
                <w:lang w:val="da-DK"/>
              </w:rPr>
            </w:pPr>
            <w:r w:rsidRPr="00192064">
              <w:rPr>
                <w:spacing w:val="-2"/>
                <w:sz w:val="20"/>
                <w:szCs w:val="20"/>
                <w:lang w:val="da-DK"/>
              </w:rPr>
              <w:t>Myalgi</w:t>
            </w:r>
            <w:r w:rsidRPr="00192064">
              <w:rPr>
                <w:spacing w:val="40"/>
                <w:sz w:val="20"/>
                <w:szCs w:val="20"/>
                <w:lang w:val="da-DK"/>
              </w:rPr>
              <w:t xml:space="preserve"> </w:t>
            </w:r>
          </w:p>
          <w:p w14:paraId="6B7AC0E3" w14:textId="13D8AC96"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 xml:space="preserve">Smerter i </w:t>
            </w:r>
            <w:r w:rsidRPr="00192064">
              <w:rPr>
                <w:spacing w:val="-2"/>
                <w:sz w:val="20"/>
                <w:szCs w:val="20"/>
                <w:lang w:val="da-DK"/>
              </w:rPr>
              <w:t>ekstremiteterne</w:t>
            </w:r>
          </w:p>
          <w:p w14:paraId="5F46B18F"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Smerter i</w:t>
            </w:r>
            <w:r w:rsidRPr="00192064">
              <w:rPr>
                <w:spacing w:val="-1"/>
                <w:sz w:val="20"/>
                <w:szCs w:val="20"/>
                <w:lang w:val="da-DK"/>
              </w:rPr>
              <w:t xml:space="preserve"> </w:t>
            </w:r>
            <w:r w:rsidRPr="00192064">
              <w:rPr>
                <w:spacing w:val="-2"/>
                <w:sz w:val="20"/>
                <w:szCs w:val="20"/>
                <w:lang w:val="da-DK"/>
              </w:rPr>
              <w:t>kæben</w:t>
            </w:r>
          </w:p>
        </w:tc>
        <w:tc>
          <w:tcPr>
            <w:tcW w:w="448" w:type="pct"/>
            <w:tcBorders>
              <w:top w:val="single" w:sz="4" w:space="0" w:color="000000"/>
              <w:left w:val="single" w:sz="4" w:space="0" w:color="000000"/>
              <w:bottom w:val="single" w:sz="4" w:space="0" w:color="000000"/>
              <w:right w:val="single" w:sz="4" w:space="0" w:color="000000"/>
            </w:tcBorders>
          </w:tcPr>
          <w:p w14:paraId="3616A6C6"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1E08BC05" w14:textId="77777777" w:rsidR="00314C3D" w:rsidRPr="00192064" w:rsidRDefault="00314C3D">
            <w:pPr>
              <w:pStyle w:val="TableParagraph"/>
              <w:rPr>
                <w:sz w:val="20"/>
                <w:szCs w:val="20"/>
                <w:lang w:val="da-DK"/>
              </w:rPr>
            </w:pPr>
          </w:p>
        </w:tc>
      </w:tr>
      <w:tr w:rsidR="002C44AE" w:rsidRPr="00212B5E" w14:paraId="14A8EEB2" w14:textId="77777777" w:rsidTr="002C44AE">
        <w:trPr>
          <w:trHeight w:val="1770"/>
        </w:trPr>
        <w:tc>
          <w:tcPr>
            <w:tcW w:w="1119" w:type="pct"/>
            <w:tcBorders>
              <w:top w:val="single" w:sz="4" w:space="0" w:color="000000"/>
              <w:left w:val="single" w:sz="4" w:space="0" w:color="000000"/>
              <w:bottom w:val="single" w:sz="4" w:space="0" w:color="000000"/>
              <w:right w:val="single" w:sz="4" w:space="0" w:color="000000"/>
            </w:tcBorders>
            <w:hideMark/>
          </w:tcPr>
          <w:p w14:paraId="3AE52436" w14:textId="77777777" w:rsidR="00314C3D" w:rsidRPr="00192064" w:rsidRDefault="00314C3D">
            <w:pPr>
              <w:pStyle w:val="TableParagraph"/>
              <w:ind w:left="56"/>
              <w:rPr>
                <w:sz w:val="20"/>
                <w:szCs w:val="20"/>
                <w:lang w:val="da-DK"/>
              </w:rPr>
            </w:pPr>
            <w:r w:rsidRPr="00192064">
              <w:rPr>
                <w:sz w:val="20"/>
                <w:szCs w:val="20"/>
                <w:lang w:val="da-DK"/>
              </w:rPr>
              <w:t xml:space="preserve">Nyrer og </w:t>
            </w:r>
            <w:r w:rsidRPr="00192064">
              <w:rPr>
                <w:spacing w:val="-2"/>
                <w:sz w:val="20"/>
                <w:szCs w:val="20"/>
                <w:lang w:val="da-DK"/>
              </w:rPr>
              <w:t>urinveje</w:t>
            </w:r>
          </w:p>
        </w:tc>
        <w:tc>
          <w:tcPr>
            <w:tcW w:w="672" w:type="pct"/>
            <w:tcBorders>
              <w:top w:val="single" w:sz="4" w:space="0" w:color="000000"/>
              <w:left w:val="single" w:sz="4" w:space="0" w:color="000000"/>
              <w:bottom w:val="single" w:sz="4" w:space="0" w:color="000000"/>
              <w:right w:val="single" w:sz="4" w:space="0" w:color="000000"/>
            </w:tcBorders>
          </w:tcPr>
          <w:p w14:paraId="03AAF62D"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50B2C58F"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6B913109" w14:textId="77777777" w:rsidR="00192064" w:rsidRDefault="00314C3D" w:rsidP="002C44AE">
            <w:pPr>
              <w:pStyle w:val="TableParagraph"/>
              <w:tabs>
                <w:tab w:val="left" w:pos="2330"/>
              </w:tabs>
              <w:ind w:left="56" w:right="202"/>
              <w:rPr>
                <w:spacing w:val="-2"/>
                <w:sz w:val="20"/>
                <w:szCs w:val="20"/>
                <w:lang w:val="da-DK"/>
              </w:rPr>
            </w:pPr>
            <w:proofErr w:type="spellStart"/>
            <w:r w:rsidRPr="00192064">
              <w:rPr>
                <w:spacing w:val="-2"/>
                <w:sz w:val="20"/>
                <w:szCs w:val="20"/>
                <w:lang w:val="da-DK"/>
              </w:rPr>
              <w:t>Bilirubinuri</w:t>
            </w:r>
            <w:proofErr w:type="spellEnd"/>
            <w:r w:rsidRPr="00192064">
              <w:rPr>
                <w:spacing w:val="-2"/>
                <w:sz w:val="20"/>
                <w:szCs w:val="20"/>
                <w:lang w:val="da-DK"/>
              </w:rPr>
              <w:t xml:space="preserve"> </w:t>
            </w:r>
          </w:p>
          <w:p w14:paraId="7551D50A" w14:textId="12CD5DB9" w:rsidR="00314C3D" w:rsidRPr="00192064" w:rsidRDefault="00314C3D" w:rsidP="002C44AE">
            <w:pPr>
              <w:pStyle w:val="TableParagraph"/>
              <w:tabs>
                <w:tab w:val="left" w:pos="2330"/>
              </w:tabs>
              <w:ind w:left="56" w:right="202"/>
              <w:rPr>
                <w:sz w:val="20"/>
                <w:szCs w:val="20"/>
                <w:lang w:val="da-DK"/>
              </w:rPr>
            </w:pPr>
            <w:proofErr w:type="spellStart"/>
            <w:r w:rsidRPr="00192064">
              <w:rPr>
                <w:spacing w:val="-2"/>
                <w:sz w:val="20"/>
                <w:szCs w:val="20"/>
                <w:lang w:val="da-DK"/>
              </w:rPr>
              <w:t>Dysuri</w:t>
            </w:r>
            <w:proofErr w:type="spellEnd"/>
          </w:p>
          <w:p w14:paraId="5F66D585" w14:textId="3C131444"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Vandladningsforstyrrel</w:t>
            </w:r>
            <w:r w:rsidRPr="00192064">
              <w:rPr>
                <w:spacing w:val="-6"/>
                <w:sz w:val="20"/>
                <w:szCs w:val="20"/>
                <w:lang w:val="da-DK"/>
              </w:rPr>
              <w:t>se</w:t>
            </w:r>
          </w:p>
          <w:p w14:paraId="08B59373"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Polyuri</w:t>
            </w:r>
            <w:proofErr w:type="spellEnd"/>
            <w:r w:rsidRPr="00192064">
              <w:rPr>
                <w:spacing w:val="-2"/>
                <w:sz w:val="20"/>
                <w:szCs w:val="20"/>
                <w:lang w:val="da-DK"/>
              </w:rPr>
              <w:t xml:space="preserve"> </w:t>
            </w:r>
          </w:p>
          <w:p w14:paraId="7964F7D0"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Proteinuri</w:t>
            </w:r>
            <w:proofErr w:type="spellEnd"/>
            <w:r w:rsidRPr="00192064">
              <w:rPr>
                <w:spacing w:val="-2"/>
                <w:sz w:val="20"/>
                <w:szCs w:val="20"/>
                <w:lang w:val="da-DK"/>
              </w:rPr>
              <w:t xml:space="preserve"> </w:t>
            </w:r>
          </w:p>
          <w:p w14:paraId="071A36F2" w14:textId="38E662B1" w:rsidR="00314C3D" w:rsidRPr="00192064" w:rsidRDefault="00314C3D" w:rsidP="002C44AE">
            <w:pPr>
              <w:pStyle w:val="TableParagraph"/>
              <w:tabs>
                <w:tab w:val="left" w:pos="2330"/>
              </w:tabs>
              <w:spacing w:line="250" w:lineRule="atLeast"/>
              <w:ind w:left="56" w:right="202"/>
              <w:rPr>
                <w:sz w:val="20"/>
                <w:szCs w:val="20"/>
                <w:lang w:val="da-DK"/>
              </w:rPr>
            </w:pPr>
            <w:r w:rsidRPr="00192064">
              <w:rPr>
                <w:spacing w:val="-2"/>
                <w:sz w:val="20"/>
                <w:szCs w:val="20"/>
                <w:lang w:val="da-DK"/>
              </w:rPr>
              <w:t>Nyreforstyrrelse</w:t>
            </w:r>
          </w:p>
        </w:tc>
        <w:tc>
          <w:tcPr>
            <w:tcW w:w="448" w:type="pct"/>
            <w:tcBorders>
              <w:top w:val="single" w:sz="4" w:space="0" w:color="000000"/>
              <w:left w:val="single" w:sz="4" w:space="0" w:color="000000"/>
              <w:bottom w:val="single" w:sz="4" w:space="0" w:color="000000"/>
              <w:right w:val="single" w:sz="4" w:space="0" w:color="000000"/>
            </w:tcBorders>
          </w:tcPr>
          <w:p w14:paraId="13BA9D69"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79358129" w14:textId="77777777" w:rsidR="00314C3D" w:rsidRPr="00192064" w:rsidRDefault="00314C3D">
            <w:pPr>
              <w:pStyle w:val="TableParagraph"/>
              <w:rPr>
                <w:sz w:val="20"/>
                <w:szCs w:val="20"/>
                <w:lang w:val="da-DK"/>
              </w:rPr>
            </w:pPr>
          </w:p>
        </w:tc>
      </w:tr>
      <w:tr w:rsidR="002C44AE" w:rsidRPr="00212B5E" w14:paraId="10151A8E" w14:textId="77777777" w:rsidTr="002C44AE">
        <w:trPr>
          <w:trHeight w:val="2529"/>
        </w:trPr>
        <w:tc>
          <w:tcPr>
            <w:tcW w:w="1119" w:type="pct"/>
            <w:tcBorders>
              <w:top w:val="single" w:sz="4" w:space="0" w:color="000000"/>
              <w:left w:val="single" w:sz="4" w:space="0" w:color="000000"/>
              <w:bottom w:val="single" w:sz="4" w:space="0" w:color="000000"/>
              <w:right w:val="single" w:sz="4" w:space="0" w:color="000000"/>
            </w:tcBorders>
            <w:hideMark/>
          </w:tcPr>
          <w:p w14:paraId="2FD9CC40" w14:textId="77777777" w:rsidR="00314C3D" w:rsidRPr="00192064" w:rsidRDefault="00314C3D">
            <w:pPr>
              <w:pStyle w:val="TableParagraph"/>
              <w:ind w:left="56"/>
              <w:rPr>
                <w:sz w:val="20"/>
                <w:szCs w:val="20"/>
                <w:lang w:val="da-DK"/>
              </w:rPr>
            </w:pPr>
            <w:r w:rsidRPr="00192064">
              <w:rPr>
                <w:sz w:val="20"/>
                <w:szCs w:val="20"/>
                <w:lang w:val="da-DK"/>
              </w:rPr>
              <w:t>Det reproduktive system</w:t>
            </w:r>
            <w:r w:rsidRPr="00192064">
              <w:rPr>
                <w:spacing w:val="-14"/>
                <w:sz w:val="20"/>
                <w:szCs w:val="20"/>
                <w:lang w:val="da-DK"/>
              </w:rPr>
              <w:t xml:space="preserve"> </w:t>
            </w:r>
            <w:r w:rsidRPr="00192064">
              <w:rPr>
                <w:sz w:val="20"/>
                <w:szCs w:val="20"/>
                <w:lang w:val="da-DK"/>
              </w:rPr>
              <w:t>og</w:t>
            </w:r>
            <w:r w:rsidRPr="00192064">
              <w:rPr>
                <w:spacing w:val="-14"/>
                <w:sz w:val="20"/>
                <w:szCs w:val="20"/>
                <w:lang w:val="da-DK"/>
              </w:rPr>
              <w:t xml:space="preserve"> </w:t>
            </w:r>
            <w:r w:rsidRPr="00192064">
              <w:rPr>
                <w:sz w:val="20"/>
                <w:szCs w:val="20"/>
                <w:lang w:val="da-DK"/>
              </w:rPr>
              <w:t>mammae</w:t>
            </w:r>
          </w:p>
        </w:tc>
        <w:tc>
          <w:tcPr>
            <w:tcW w:w="672" w:type="pct"/>
            <w:tcBorders>
              <w:top w:val="single" w:sz="4" w:space="0" w:color="000000"/>
              <w:left w:val="single" w:sz="4" w:space="0" w:color="000000"/>
              <w:bottom w:val="single" w:sz="4" w:space="0" w:color="000000"/>
              <w:right w:val="single" w:sz="4" w:space="0" w:color="000000"/>
            </w:tcBorders>
          </w:tcPr>
          <w:p w14:paraId="517D85D2"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5783A992" w14:textId="77777777" w:rsidR="00314C3D" w:rsidRPr="00192064" w:rsidRDefault="00314C3D">
            <w:pPr>
              <w:pStyle w:val="TableParagraph"/>
              <w:ind w:left="56"/>
              <w:rPr>
                <w:sz w:val="20"/>
                <w:szCs w:val="20"/>
                <w:lang w:val="da-DK"/>
              </w:rPr>
            </w:pPr>
            <w:proofErr w:type="spellStart"/>
            <w:r w:rsidRPr="00192064">
              <w:rPr>
                <w:sz w:val="20"/>
                <w:szCs w:val="20"/>
                <w:lang w:val="da-DK"/>
              </w:rPr>
              <w:t>Erektil</w:t>
            </w:r>
            <w:proofErr w:type="spellEnd"/>
            <w:r w:rsidRPr="00192064">
              <w:rPr>
                <w:spacing w:val="-1"/>
                <w:sz w:val="20"/>
                <w:szCs w:val="20"/>
                <w:lang w:val="da-DK"/>
              </w:rPr>
              <w:t xml:space="preserve"> </w:t>
            </w:r>
            <w:r w:rsidRPr="00192064">
              <w:rPr>
                <w:spacing w:val="-2"/>
                <w:sz w:val="20"/>
                <w:szCs w:val="20"/>
                <w:lang w:val="da-DK"/>
              </w:rPr>
              <w:t>dysfunktion</w:t>
            </w:r>
          </w:p>
        </w:tc>
        <w:tc>
          <w:tcPr>
            <w:tcW w:w="1193" w:type="pct"/>
            <w:tcBorders>
              <w:top w:val="single" w:sz="4" w:space="0" w:color="000000"/>
              <w:left w:val="single" w:sz="4" w:space="0" w:color="000000"/>
              <w:bottom w:val="single" w:sz="4" w:space="0" w:color="000000"/>
              <w:right w:val="single" w:sz="4" w:space="0" w:color="000000"/>
            </w:tcBorders>
            <w:hideMark/>
          </w:tcPr>
          <w:p w14:paraId="2D1EB49B" w14:textId="77777777" w:rsidR="00192064" w:rsidRDefault="00314C3D" w:rsidP="002C44AE">
            <w:pPr>
              <w:pStyle w:val="TableParagraph"/>
              <w:tabs>
                <w:tab w:val="left" w:pos="2330"/>
              </w:tabs>
              <w:ind w:left="56" w:right="202"/>
              <w:rPr>
                <w:spacing w:val="40"/>
                <w:sz w:val="20"/>
                <w:szCs w:val="20"/>
                <w:lang w:val="da-DK"/>
              </w:rPr>
            </w:pPr>
            <w:proofErr w:type="spellStart"/>
            <w:r w:rsidRPr="00192064">
              <w:rPr>
                <w:spacing w:val="-2"/>
                <w:sz w:val="20"/>
                <w:szCs w:val="20"/>
                <w:lang w:val="da-DK"/>
              </w:rPr>
              <w:t>Amenorré</w:t>
            </w:r>
            <w:proofErr w:type="spellEnd"/>
            <w:r w:rsidRPr="00192064">
              <w:rPr>
                <w:spacing w:val="40"/>
                <w:sz w:val="20"/>
                <w:szCs w:val="20"/>
                <w:lang w:val="da-DK"/>
              </w:rPr>
              <w:t xml:space="preserve"> </w:t>
            </w:r>
          </w:p>
          <w:p w14:paraId="33B5578B"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 xml:space="preserve">Brystsmerter </w:t>
            </w:r>
          </w:p>
          <w:p w14:paraId="710D2F89" w14:textId="4EEC2E6F"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Ejakulationsforstyrrels</w:t>
            </w:r>
            <w:r w:rsidRPr="00192064">
              <w:rPr>
                <w:spacing w:val="-10"/>
                <w:sz w:val="20"/>
                <w:szCs w:val="20"/>
                <w:lang w:val="da-DK"/>
              </w:rPr>
              <w:t>e</w:t>
            </w:r>
          </w:p>
          <w:p w14:paraId="7FEA20A5"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Galaktorré</w:t>
            </w:r>
            <w:proofErr w:type="spellEnd"/>
            <w:r w:rsidRPr="00192064">
              <w:rPr>
                <w:spacing w:val="-2"/>
                <w:sz w:val="20"/>
                <w:szCs w:val="20"/>
                <w:lang w:val="da-DK"/>
              </w:rPr>
              <w:t xml:space="preserve"> </w:t>
            </w:r>
          </w:p>
          <w:p w14:paraId="3AEFC284"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Gynækomasti</w:t>
            </w:r>
            <w:proofErr w:type="spellEnd"/>
            <w:r w:rsidRPr="00192064">
              <w:rPr>
                <w:spacing w:val="-2"/>
                <w:sz w:val="20"/>
                <w:szCs w:val="20"/>
                <w:lang w:val="da-DK"/>
              </w:rPr>
              <w:t xml:space="preserve"> </w:t>
            </w:r>
          </w:p>
          <w:p w14:paraId="52570415" w14:textId="77777777" w:rsidR="00192064" w:rsidRDefault="00314C3D" w:rsidP="002C44AE">
            <w:pPr>
              <w:pStyle w:val="TableParagraph"/>
              <w:tabs>
                <w:tab w:val="left" w:pos="2330"/>
              </w:tabs>
              <w:spacing w:line="250" w:lineRule="atLeast"/>
              <w:ind w:left="56" w:right="202"/>
              <w:rPr>
                <w:spacing w:val="-2"/>
                <w:sz w:val="20"/>
                <w:szCs w:val="20"/>
                <w:lang w:val="da-DK"/>
              </w:rPr>
            </w:pPr>
            <w:r w:rsidRPr="00192064">
              <w:rPr>
                <w:spacing w:val="-2"/>
                <w:sz w:val="20"/>
                <w:szCs w:val="20"/>
                <w:lang w:val="da-DK"/>
              </w:rPr>
              <w:t xml:space="preserve">Uregelmæssig menstruation </w:t>
            </w:r>
          </w:p>
          <w:p w14:paraId="33C60976" w14:textId="77777777" w:rsidR="00192064" w:rsidRDefault="00314C3D" w:rsidP="002C44AE">
            <w:pPr>
              <w:pStyle w:val="TableParagraph"/>
              <w:tabs>
                <w:tab w:val="left" w:pos="2330"/>
              </w:tabs>
              <w:spacing w:line="250" w:lineRule="atLeast"/>
              <w:ind w:left="56" w:right="202"/>
              <w:rPr>
                <w:spacing w:val="-2"/>
                <w:sz w:val="20"/>
                <w:szCs w:val="20"/>
                <w:lang w:val="da-DK"/>
              </w:rPr>
            </w:pPr>
            <w:proofErr w:type="spellStart"/>
            <w:r w:rsidRPr="00192064">
              <w:rPr>
                <w:spacing w:val="-2"/>
                <w:sz w:val="20"/>
                <w:szCs w:val="20"/>
                <w:lang w:val="da-DK"/>
              </w:rPr>
              <w:t>Oligomenoré</w:t>
            </w:r>
            <w:proofErr w:type="spellEnd"/>
            <w:r w:rsidRPr="00192064">
              <w:rPr>
                <w:spacing w:val="-2"/>
                <w:sz w:val="20"/>
                <w:szCs w:val="20"/>
                <w:lang w:val="da-DK"/>
              </w:rPr>
              <w:t xml:space="preserve"> </w:t>
            </w:r>
          </w:p>
          <w:p w14:paraId="21E59162" w14:textId="6F448C44" w:rsidR="00314C3D" w:rsidRP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Seksuel</w:t>
            </w:r>
            <w:r w:rsidRPr="00192064">
              <w:rPr>
                <w:spacing w:val="-14"/>
                <w:sz w:val="20"/>
                <w:szCs w:val="20"/>
                <w:lang w:val="da-DK"/>
              </w:rPr>
              <w:t xml:space="preserve"> </w:t>
            </w:r>
            <w:r w:rsidRPr="00192064">
              <w:rPr>
                <w:sz w:val="20"/>
                <w:szCs w:val="20"/>
                <w:lang w:val="da-DK"/>
              </w:rPr>
              <w:t>dysfunktion</w:t>
            </w:r>
          </w:p>
        </w:tc>
        <w:tc>
          <w:tcPr>
            <w:tcW w:w="448" w:type="pct"/>
            <w:tcBorders>
              <w:top w:val="single" w:sz="4" w:space="0" w:color="000000"/>
              <w:left w:val="single" w:sz="4" w:space="0" w:color="000000"/>
              <w:bottom w:val="single" w:sz="4" w:space="0" w:color="000000"/>
              <w:right w:val="single" w:sz="4" w:space="0" w:color="000000"/>
            </w:tcBorders>
          </w:tcPr>
          <w:p w14:paraId="7F0724C1"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5019FD3E" w14:textId="77777777" w:rsidR="00314C3D" w:rsidRPr="00192064" w:rsidRDefault="00314C3D">
            <w:pPr>
              <w:pStyle w:val="TableParagraph"/>
              <w:rPr>
                <w:sz w:val="20"/>
                <w:szCs w:val="20"/>
                <w:lang w:val="da-DK"/>
              </w:rPr>
            </w:pPr>
          </w:p>
        </w:tc>
      </w:tr>
      <w:tr w:rsidR="002C44AE" w:rsidRPr="00212B5E" w14:paraId="5910DB80" w14:textId="77777777" w:rsidTr="002C44AE">
        <w:trPr>
          <w:trHeight w:val="758"/>
        </w:trPr>
        <w:tc>
          <w:tcPr>
            <w:tcW w:w="1119" w:type="pct"/>
            <w:tcBorders>
              <w:top w:val="single" w:sz="4" w:space="0" w:color="000000"/>
              <w:left w:val="single" w:sz="4" w:space="0" w:color="000000"/>
              <w:bottom w:val="single" w:sz="4" w:space="0" w:color="000000"/>
              <w:right w:val="single" w:sz="4" w:space="0" w:color="000000"/>
            </w:tcBorders>
            <w:hideMark/>
          </w:tcPr>
          <w:p w14:paraId="14A863B3" w14:textId="77777777" w:rsidR="00314C3D" w:rsidRPr="00192064" w:rsidRDefault="00314C3D">
            <w:pPr>
              <w:pStyle w:val="TableParagraph"/>
              <w:spacing w:line="250" w:lineRule="atLeast"/>
              <w:ind w:left="56" w:right="156"/>
              <w:rPr>
                <w:sz w:val="20"/>
                <w:szCs w:val="20"/>
                <w:lang w:val="da-DK"/>
              </w:rPr>
            </w:pPr>
            <w:r w:rsidRPr="00192064">
              <w:rPr>
                <w:sz w:val="20"/>
                <w:szCs w:val="20"/>
                <w:lang w:val="da-DK"/>
              </w:rPr>
              <w:t>Medfødte,</w:t>
            </w:r>
            <w:r w:rsidRPr="00192064">
              <w:rPr>
                <w:spacing w:val="-14"/>
                <w:sz w:val="20"/>
                <w:szCs w:val="20"/>
                <w:lang w:val="da-DK"/>
              </w:rPr>
              <w:t xml:space="preserve"> </w:t>
            </w:r>
            <w:r w:rsidRPr="00192064">
              <w:rPr>
                <w:sz w:val="20"/>
                <w:szCs w:val="20"/>
                <w:lang w:val="da-DK"/>
              </w:rPr>
              <w:t xml:space="preserve">familiære og genetiske </w:t>
            </w:r>
            <w:r w:rsidRPr="00192064">
              <w:rPr>
                <w:spacing w:val="-2"/>
                <w:sz w:val="20"/>
                <w:szCs w:val="20"/>
                <w:lang w:val="da-DK"/>
              </w:rPr>
              <w:t>sygdomme</w:t>
            </w:r>
          </w:p>
        </w:tc>
        <w:tc>
          <w:tcPr>
            <w:tcW w:w="672" w:type="pct"/>
            <w:tcBorders>
              <w:top w:val="single" w:sz="4" w:space="0" w:color="000000"/>
              <w:left w:val="single" w:sz="4" w:space="0" w:color="000000"/>
              <w:bottom w:val="single" w:sz="4" w:space="0" w:color="000000"/>
              <w:right w:val="single" w:sz="4" w:space="0" w:color="000000"/>
            </w:tcBorders>
          </w:tcPr>
          <w:p w14:paraId="1B0580A7"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3D254A1B"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5A98B391"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Tourettes</w:t>
            </w:r>
            <w:r w:rsidRPr="00192064">
              <w:rPr>
                <w:spacing w:val="-3"/>
                <w:sz w:val="20"/>
                <w:szCs w:val="20"/>
                <w:lang w:val="da-DK"/>
              </w:rPr>
              <w:t xml:space="preserve"> </w:t>
            </w:r>
            <w:r w:rsidRPr="00192064">
              <w:rPr>
                <w:spacing w:val="-2"/>
                <w:sz w:val="20"/>
                <w:szCs w:val="20"/>
                <w:lang w:val="da-DK"/>
              </w:rPr>
              <w:t>syndrom</w:t>
            </w:r>
          </w:p>
        </w:tc>
        <w:tc>
          <w:tcPr>
            <w:tcW w:w="448" w:type="pct"/>
            <w:tcBorders>
              <w:top w:val="single" w:sz="4" w:space="0" w:color="000000"/>
              <w:left w:val="single" w:sz="4" w:space="0" w:color="000000"/>
              <w:bottom w:val="single" w:sz="4" w:space="0" w:color="000000"/>
              <w:right w:val="single" w:sz="4" w:space="0" w:color="000000"/>
            </w:tcBorders>
          </w:tcPr>
          <w:p w14:paraId="2F2D9FA3"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04520184" w14:textId="77777777" w:rsidR="00314C3D" w:rsidRPr="00192064" w:rsidRDefault="00314C3D">
            <w:pPr>
              <w:pStyle w:val="TableParagraph"/>
              <w:rPr>
                <w:sz w:val="20"/>
                <w:szCs w:val="20"/>
                <w:lang w:val="da-DK"/>
              </w:rPr>
            </w:pPr>
          </w:p>
        </w:tc>
      </w:tr>
      <w:tr w:rsidR="002C44AE" w:rsidRPr="00212B5E" w14:paraId="36CBDC7F" w14:textId="77777777" w:rsidTr="002C44AE">
        <w:trPr>
          <w:trHeight w:val="1517"/>
        </w:trPr>
        <w:tc>
          <w:tcPr>
            <w:tcW w:w="1119" w:type="pct"/>
            <w:tcBorders>
              <w:top w:val="single" w:sz="4" w:space="0" w:color="000000"/>
              <w:left w:val="single" w:sz="4" w:space="0" w:color="000000"/>
              <w:bottom w:val="single" w:sz="4" w:space="0" w:color="000000"/>
              <w:right w:val="single" w:sz="4" w:space="0" w:color="000000"/>
            </w:tcBorders>
            <w:hideMark/>
          </w:tcPr>
          <w:p w14:paraId="76C1A054" w14:textId="77777777" w:rsidR="00314C3D" w:rsidRPr="00192064" w:rsidRDefault="00314C3D">
            <w:pPr>
              <w:pStyle w:val="TableParagraph"/>
              <w:ind w:left="56" w:right="70"/>
              <w:rPr>
                <w:sz w:val="20"/>
                <w:szCs w:val="20"/>
                <w:lang w:val="da-DK"/>
              </w:rPr>
            </w:pPr>
            <w:r w:rsidRPr="00192064">
              <w:rPr>
                <w:sz w:val="20"/>
                <w:szCs w:val="20"/>
                <w:lang w:val="da-DK"/>
              </w:rPr>
              <w:t xml:space="preserve">Almene symptomer og reaktioner på </w:t>
            </w:r>
            <w:r w:rsidRPr="00192064">
              <w:rPr>
                <w:spacing w:val="-2"/>
                <w:sz w:val="20"/>
                <w:szCs w:val="20"/>
                <w:lang w:val="da-DK"/>
              </w:rPr>
              <w:t>administrationsstedet</w:t>
            </w:r>
          </w:p>
        </w:tc>
        <w:tc>
          <w:tcPr>
            <w:tcW w:w="672" w:type="pct"/>
            <w:tcBorders>
              <w:top w:val="single" w:sz="4" w:space="0" w:color="000000"/>
              <w:left w:val="single" w:sz="4" w:space="0" w:color="000000"/>
              <w:bottom w:val="single" w:sz="4" w:space="0" w:color="000000"/>
              <w:right w:val="single" w:sz="4" w:space="0" w:color="000000"/>
            </w:tcBorders>
          </w:tcPr>
          <w:p w14:paraId="7D30A6C1"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4E7A3E36" w14:textId="77777777" w:rsidR="00314C3D" w:rsidRPr="00192064" w:rsidRDefault="00314C3D">
            <w:pPr>
              <w:pStyle w:val="TableParagraph"/>
              <w:ind w:left="56" w:right="875"/>
              <w:rPr>
                <w:sz w:val="20"/>
                <w:szCs w:val="20"/>
                <w:lang w:val="da-DK"/>
              </w:rPr>
            </w:pPr>
            <w:r w:rsidRPr="00192064">
              <w:rPr>
                <w:spacing w:val="-2"/>
                <w:sz w:val="20"/>
                <w:szCs w:val="20"/>
                <w:lang w:val="da-DK"/>
              </w:rPr>
              <w:t>Asteni Træthed Irritabilitet</w:t>
            </w:r>
          </w:p>
        </w:tc>
        <w:tc>
          <w:tcPr>
            <w:tcW w:w="1193" w:type="pct"/>
            <w:tcBorders>
              <w:top w:val="single" w:sz="4" w:space="0" w:color="000000"/>
              <w:left w:val="single" w:sz="4" w:space="0" w:color="000000"/>
              <w:bottom w:val="single" w:sz="4" w:space="0" w:color="000000"/>
              <w:right w:val="single" w:sz="4" w:space="0" w:color="000000"/>
            </w:tcBorders>
            <w:hideMark/>
          </w:tcPr>
          <w:p w14:paraId="0C4FCFEF"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 xml:space="preserve">Kulderystelser </w:t>
            </w:r>
          </w:p>
          <w:p w14:paraId="379BCD55" w14:textId="77777777" w:rsidR="00192064" w:rsidRDefault="00314C3D" w:rsidP="002C44AE">
            <w:pPr>
              <w:pStyle w:val="TableParagraph"/>
              <w:tabs>
                <w:tab w:val="left" w:pos="2330"/>
              </w:tabs>
              <w:ind w:left="56" w:right="202"/>
              <w:rPr>
                <w:spacing w:val="-2"/>
                <w:sz w:val="20"/>
                <w:szCs w:val="20"/>
                <w:lang w:val="da-DK"/>
              </w:rPr>
            </w:pPr>
            <w:r w:rsidRPr="00192064">
              <w:rPr>
                <w:spacing w:val="-2"/>
                <w:sz w:val="20"/>
                <w:szCs w:val="20"/>
                <w:lang w:val="da-DK"/>
              </w:rPr>
              <w:t xml:space="preserve">Gangforstyrrelse </w:t>
            </w:r>
          </w:p>
          <w:p w14:paraId="42B18073" w14:textId="6CE8BCB1" w:rsidR="00314C3D" w:rsidRPr="00192064" w:rsidRDefault="00314C3D" w:rsidP="002C44AE">
            <w:pPr>
              <w:pStyle w:val="TableParagraph"/>
              <w:tabs>
                <w:tab w:val="left" w:pos="2330"/>
              </w:tabs>
              <w:ind w:left="56" w:right="202"/>
              <w:rPr>
                <w:sz w:val="20"/>
                <w:szCs w:val="20"/>
                <w:lang w:val="da-DK"/>
              </w:rPr>
            </w:pPr>
            <w:r w:rsidRPr="00192064">
              <w:rPr>
                <w:spacing w:val="-2"/>
                <w:sz w:val="20"/>
                <w:szCs w:val="20"/>
                <w:lang w:val="da-DK"/>
              </w:rPr>
              <w:t>Utilpashed</w:t>
            </w:r>
          </w:p>
          <w:p w14:paraId="63E04671" w14:textId="77777777" w:rsidR="00192064" w:rsidRDefault="00314C3D" w:rsidP="002C44AE">
            <w:pPr>
              <w:pStyle w:val="TableParagraph"/>
              <w:tabs>
                <w:tab w:val="left" w:pos="2330"/>
              </w:tabs>
              <w:spacing w:line="250" w:lineRule="atLeast"/>
              <w:ind w:left="56" w:right="202"/>
              <w:rPr>
                <w:sz w:val="20"/>
                <w:szCs w:val="20"/>
                <w:lang w:val="da-DK"/>
              </w:rPr>
            </w:pPr>
            <w:r w:rsidRPr="00192064">
              <w:rPr>
                <w:spacing w:val="-2"/>
                <w:sz w:val="20"/>
                <w:szCs w:val="20"/>
                <w:lang w:val="da-DK"/>
              </w:rPr>
              <w:t>Ikke-</w:t>
            </w:r>
            <w:proofErr w:type="spellStart"/>
            <w:r w:rsidRPr="00192064">
              <w:rPr>
                <w:spacing w:val="-2"/>
                <w:sz w:val="20"/>
                <w:szCs w:val="20"/>
                <w:lang w:val="da-DK"/>
              </w:rPr>
              <w:t>kardielle</w:t>
            </w:r>
            <w:proofErr w:type="spellEnd"/>
            <w:r w:rsidRPr="00192064">
              <w:rPr>
                <w:spacing w:val="-2"/>
                <w:sz w:val="20"/>
                <w:szCs w:val="20"/>
                <w:lang w:val="da-DK"/>
              </w:rPr>
              <w:t xml:space="preserve"> </w:t>
            </w:r>
            <w:proofErr w:type="spellStart"/>
            <w:r w:rsidRPr="00192064">
              <w:rPr>
                <w:sz w:val="20"/>
                <w:szCs w:val="20"/>
                <w:lang w:val="da-DK"/>
              </w:rPr>
              <w:t>thorakale</w:t>
            </w:r>
            <w:proofErr w:type="spellEnd"/>
            <w:r w:rsidRPr="00192064">
              <w:rPr>
                <w:spacing w:val="-14"/>
                <w:sz w:val="20"/>
                <w:szCs w:val="20"/>
                <w:lang w:val="da-DK"/>
              </w:rPr>
              <w:t xml:space="preserve"> </w:t>
            </w:r>
            <w:r w:rsidRPr="00192064">
              <w:rPr>
                <w:sz w:val="20"/>
                <w:szCs w:val="20"/>
                <w:lang w:val="da-DK"/>
              </w:rPr>
              <w:t xml:space="preserve">smerter </w:t>
            </w:r>
          </w:p>
          <w:p w14:paraId="2E9985A8" w14:textId="6F21199B" w:rsidR="00314C3D" w:rsidRPr="00192064" w:rsidRDefault="00314C3D" w:rsidP="002C44AE">
            <w:pPr>
              <w:pStyle w:val="TableParagraph"/>
              <w:tabs>
                <w:tab w:val="left" w:pos="2330"/>
              </w:tabs>
              <w:spacing w:line="250" w:lineRule="atLeast"/>
              <w:ind w:left="56" w:right="202"/>
              <w:rPr>
                <w:sz w:val="20"/>
                <w:szCs w:val="20"/>
                <w:lang w:val="da-DK"/>
              </w:rPr>
            </w:pPr>
            <w:proofErr w:type="spellStart"/>
            <w:r w:rsidRPr="00192064">
              <w:rPr>
                <w:spacing w:val="-2"/>
                <w:sz w:val="20"/>
                <w:szCs w:val="20"/>
                <w:lang w:val="da-DK"/>
              </w:rPr>
              <w:t>Pyreksi</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52A95B9E"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462C9138" w14:textId="77777777" w:rsidR="00314C3D" w:rsidRPr="00192064" w:rsidRDefault="00314C3D">
            <w:pPr>
              <w:pStyle w:val="TableParagraph"/>
              <w:rPr>
                <w:sz w:val="20"/>
                <w:szCs w:val="20"/>
                <w:lang w:val="da-DK"/>
              </w:rPr>
            </w:pPr>
          </w:p>
        </w:tc>
      </w:tr>
      <w:tr w:rsidR="002C44AE" w:rsidRPr="00212B5E" w14:paraId="7BEAD997" w14:textId="77777777" w:rsidTr="002C44AE">
        <w:trPr>
          <w:trHeight w:val="8095"/>
        </w:trPr>
        <w:tc>
          <w:tcPr>
            <w:tcW w:w="1119" w:type="pct"/>
            <w:tcBorders>
              <w:top w:val="single" w:sz="4" w:space="0" w:color="000000"/>
              <w:left w:val="single" w:sz="4" w:space="0" w:color="000000"/>
              <w:bottom w:val="single" w:sz="4" w:space="0" w:color="000000"/>
              <w:right w:val="single" w:sz="4" w:space="0" w:color="000000"/>
            </w:tcBorders>
            <w:hideMark/>
          </w:tcPr>
          <w:p w14:paraId="45D6D518" w14:textId="77777777" w:rsidR="00314C3D" w:rsidRPr="00192064" w:rsidRDefault="00314C3D">
            <w:pPr>
              <w:pStyle w:val="TableParagraph"/>
              <w:ind w:left="56"/>
              <w:rPr>
                <w:sz w:val="20"/>
                <w:szCs w:val="20"/>
                <w:lang w:val="da-DK"/>
              </w:rPr>
            </w:pPr>
            <w:r w:rsidRPr="00192064">
              <w:rPr>
                <w:spacing w:val="-2"/>
                <w:sz w:val="20"/>
                <w:szCs w:val="20"/>
                <w:lang w:val="da-DK"/>
              </w:rPr>
              <w:t>Undersøgelser</w:t>
            </w:r>
          </w:p>
        </w:tc>
        <w:tc>
          <w:tcPr>
            <w:tcW w:w="672" w:type="pct"/>
            <w:tcBorders>
              <w:top w:val="single" w:sz="4" w:space="0" w:color="000000"/>
              <w:left w:val="single" w:sz="4" w:space="0" w:color="000000"/>
              <w:bottom w:val="single" w:sz="4" w:space="0" w:color="000000"/>
              <w:right w:val="single" w:sz="4" w:space="0" w:color="000000"/>
            </w:tcBorders>
          </w:tcPr>
          <w:p w14:paraId="5DB9D534"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hideMark/>
          </w:tcPr>
          <w:p w14:paraId="3D3523C7" w14:textId="77777777" w:rsidR="00314C3D" w:rsidRPr="00192064" w:rsidRDefault="00314C3D" w:rsidP="00D9079D">
            <w:pPr>
              <w:pStyle w:val="TableParagraph"/>
              <w:ind w:left="56" w:right="137"/>
              <w:rPr>
                <w:sz w:val="20"/>
                <w:szCs w:val="20"/>
                <w:lang w:val="da-DK"/>
              </w:rPr>
            </w:pPr>
            <w:r w:rsidRPr="00192064">
              <w:rPr>
                <w:spacing w:val="-2"/>
                <w:sz w:val="20"/>
                <w:szCs w:val="20"/>
                <w:lang w:val="da-DK"/>
              </w:rPr>
              <w:t xml:space="preserve">Forhøjet </w:t>
            </w:r>
            <w:proofErr w:type="spellStart"/>
            <w:r w:rsidRPr="00192064">
              <w:rPr>
                <w:sz w:val="20"/>
                <w:szCs w:val="20"/>
                <w:lang w:val="da-DK"/>
              </w:rPr>
              <w:t>kreatininfosfokinase</w:t>
            </w:r>
            <w:proofErr w:type="spellEnd"/>
            <w:r w:rsidRPr="00192064">
              <w:rPr>
                <w:spacing w:val="-14"/>
                <w:sz w:val="20"/>
                <w:szCs w:val="20"/>
                <w:lang w:val="da-DK"/>
              </w:rPr>
              <w:t xml:space="preserve"> </w:t>
            </w:r>
            <w:r w:rsidRPr="00192064">
              <w:rPr>
                <w:sz w:val="20"/>
                <w:szCs w:val="20"/>
                <w:lang w:val="da-DK"/>
              </w:rPr>
              <w:t xml:space="preserve">i </w:t>
            </w:r>
            <w:r w:rsidRPr="00192064">
              <w:rPr>
                <w:spacing w:val="-2"/>
                <w:sz w:val="20"/>
                <w:szCs w:val="20"/>
                <w:lang w:val="da-DK"/>
              </w:rPr>
              <w:t>blodet</w:t>
            </w:r>
          </w:p>
          <w:p w14:paraId="3AAA54BF" w14:textId="77777777" w:rsidR="00314C3D" w:rsidRPr="00192064" w:rsidRDefault="00314C3D" w:rsidP="00D9079D">
            <w:pPr>
              <w:pStyle w:val="TableParagraph"/>
              <w:ind w:left="56" w:right="137"/>
              <w:rPr>
                <w:sz w:val="20"/>
                <w:szCs w:val="20"/>
                <w:lang w:val="da-DK"/>
              </w:rPr>
            </w:pPr>
            <w:r w:rsidRPr="00192064">
              <w:rPr>
                <w:sz w:val="20"/>
                <w:szCs w:val="20"/>
                <w:lang w:val="da-DK"/>
              </w:rPr>
              <w:t>Stigning</w:t>
            </w:r>
            <w:r w:rsidRPr="00192064">
              <w:rPr>
                <w:spacing w:val="-14"/>
                <w:sz w:val="20"/>
                <w:szCs w:val="20"/>
                <w:lang w:val="da-DK"/>
              </w:rPr>
              <w:t xml:space="preserve"> </w:t>
            </w:r>
            <w:r w:rsidRPr="00192064">
              <w:rPr>
                <w:sz w:val="20"/>
                <w:szCs w:val="20"/>
                <w:lang w:val="da-DK"/>
              </w:rPr>
              <w:t>i</w:t>
            </w:r>
            <w:r w:rsidRPr="00192064">
              <w:rPr>
                <w:spacing w:val="-14"/>
                <w:sz w:val="20"/>
                <w:szCs w:val="20"/>
                <w:lang w:val="da-DK"/>
              </w:rPr>
              <w:t xml:space="preserve"> </w:t>
            </w:r>
            <w:r w:rsidRPr="00192064">
              <w:rPr>
                <w:sz w:val="20"/>
                <w:szCs w:val="20"/>
                <w:lang w:val="da-DK"/>
              </w:rPr>
              <w:t xml:space="preserve">C-reaktivt </w:t>
            </w:r>
            <w:r w:rsidRPr="00192064">
              <w:rPr>
                <w:spacing w:val="-2"/>
                <w:sz w:val="20"/>
                <w:szCs w:val="20"/>
                <w:lang w:val="da-DK"/>
              </w:rPr>
              <w:t>protein</w:t>
            </w:r>
          </w:p>
          <w:p w14:paraId="1E2164B4" w14:textId="77777777" w:rsidR="00192064" w:rsidRDefault="00314C3D" w:rsidP="00D9079D">
            <w:pPr>
              <w:pStyle w:val="TableParagraph"/>
              <w:ind w:left="56" w:right="137"/>
              <w:rPr>
                <w:spacing w:val="-2"/>
                <w:sz w:val="20"/>
                <w:szCs w:val="20"/>
                <w:lang w:val="da-DK"/>
              </w:rPr>
            </w:pPr>
            <w:r w:rsidRPr="00192064">
              <w:rPr>
                <w:spacing w:val="-2"/>
                <w:sz w:val="20"/>
                <w:szCs w:val="20"/>
                <w:lang w:val="da-DK"/>
              </w:rPr>
              <w:t xml:space="preserve">Vægttab </w:t>
            </w:r>
          </w:p>
          <w:p w14:paraId="3381F9DB" w14:textId="2DFB5610" w:rsidR="00314C3D" w:rsidRPr="00192064" w:rsidRDefault="00314C3D" w:rsidP="00D9079D">
            <w:pPr>
              <w:pStyle w:val="TableParagraph"/>
              <w:ind w:left="56" w:right="137"/>
              <w:rPr>
                <w:sz w:val="20"/>
                <w:szCs w:val="20"/>
                <w:lang w:val="da-DK"/>
              </w:rPr>
            </w:pPr>
            <w:r w:rsidRPr="00192064">
              <w:rPr>
                <w:spacing w:val="-2"/>
                <w:sz w:val="20"/>
                <w:szCs w:val="20"/>
                <w:lang w:val="da-DK"/>
              </w:rPr>
              <w:t>Vægtøgning</w:t>
            </w:r>
          </w:p>
        </w:tc>
        <w:tc>
          <w:tcPr>
            <w:tcW w:w="1193" w:type="pct"/>
            <w:tcBorders>
              <w:top w:val="single" w:sz="4" w:space="0" w:color="000000"/>
              <w:left w:val="single" w:sz="4" w:space="0" w:color="000000"/>
              <w:bottom w:val="single" w:sz="4" w:space="0" w:color="000000"/>
              <w:right w:val="single" w:sz="4" w:space="0" w:color="000000"/>
            </w:tcBorders>
            <w:hideMark/>
          </w:tcPr>
          <w:p w14:paraId="202AB778" w14:textId="77777777" w:rsidR="00D9079D" w:rsidRDefault="00314C3D" w:rsidP="002C44AE">
            <w:pPr>
              <w:pStyle w:val="TableParagraph"/>
              <w:tabs>
                <w:tab w:val="left" w:pos="2330"/>
              </w:tabs>
              <w:ind w:left="56" w:right="202"/>
              <w:rPr>
                <w:spacing w:val="-2"/>
                <w:sz w:val="20"/>
                <w:szCs w:val="20"/>
                <w:lang w:val="es-ES"/>
              </w:rPr>
            </w:pPr>
            <w:r w:rsidRPr="00192064">
              <w:rPr>
                <w:spacing w:val="-4"/>
                <w:sz w:val="20"/>
                <w:szCs w:val="20"/>
                <w:lang w:val="es-ES"/>
              </w:rPr>
              <w:t xml:space="preserve">Øget </w:t>
            </w:r>
            <w:r w:rsidRPr="00192064">
              <w:rPr>
                <w:spacing w:val="-2"/>
                <w:sz w:val="20"/>
                <w:szCs w:val="20"/>
                <w:lang w:val="es-ES"/>
              </w:rPr>
              <w:t>alaninamino</w:t>
            </w:r>
            <w:r w:rsidR="00D9079D">
              <w:rPr>
                <w:spacing w:val="-2"/>
                <w:sz w:val="20"/>
                <w:szCs w:val="20"/>
                <w:lang w:val="es-ES"/>
              </w:rPr>
              <w:softHyphen/>
            </w:r>
            <w:r w:rsidRPr="00192064">
              <w:rPr>
                <w:spacing w:val="-2"/>
                <w:sz w:val="20"/>
                <w:szCs w:val="20"/>
                <w:lang w:val="es-ES"/>
              </w:rPr>
              <w:t xml:space="preserve">transferase </w:t>
            </w:r>
          </w:p>
          <w:p w14:paraId="1C5B1190" w14:textId="1A80F9AB" w:rsidR="00314C3D" w:rsidRPr="00192064" w:rsidRDefault="00314C3D" w:rsidP="002C44AE">
            <w:pPr>
              <w:pStyle w:val="TableParagraph"/>
              <w:tabs>
                <w:tab w:val="left" w:pos="2330"/>
              </w:tabs>
              <w:ind w:left="56" w:right="202"/>
              <w:rPr>
                <w:sz w:val="20"/>
                <w:szCs w:val="20"/>
                <w:lang w:val="es-ES"/>
              </w:rPr>
            </w:pPr>
            <w:r w:rsidRPr="00192064">
              <w:rPr>
                <w:sz w:val="20"/>
                <w:szCs w:val="20"/>
                <w:lang w:val="es-ES"/>
              </w:rPr>
              <w:t>Positiv antithyreoid</w:t>
            </w:r>
            <w:r w:rsidR="00D9079D">
              <w:rPr>
                <w:sz w:val="20"/>
                <w:szCs w:val="20"/>
                <w:lang w:val="es-ES"/>
              </w:rPr>
              <w:softHyphen/>
            </w:r>
            <w:r w:rsidRPr="00192064">
              <w:rPr>
                <w:spacing w:val="-2"/>
                <w:sz w:val="20"/>
                <w:szCs w:val="20"/>
                <w:lang w:val="es-ES"/>
              </w:rPr>
              <w:t>antistof</w:t>
            </w:r>
          </w:p>
          <w:p w14:paraId="6CBD9455" w14:textId="2C94292C" w:rsidR="00314C3D" w:rsidRPr="00192064" w:rsidRDefault="00314C3D" w:rsidP="002C44AE">
            <w:pPr>
              <w:pStyle w:val="TableParagraph"/>
              <w:tabs>
                <w:tab w:val="left" w:pos="2330"/>
              </w:tabs>
              <w:ind w:left="56" w:right="202"/>
              <w:rPr>
                <w:sz w:val="20"/>
                <w:szCs w:val="20"/>
                <w:lang w:val="es-ES"/>
              </w:rPr>
            </w:pPr>
            <w:r w:rsidRPr="00192064">
              <w:rPr>
                <w:spacing w:val="-4"/>
                <w:sz w:val="20"/>
                <w:szCs w:val="20"/>
                <w:lang w:val="es-ES"/>
              </w:rPr>
              <w:t xml:space="preserve">Øget </w:t>
            </w:r>
            <w:r w:rsidRPr="00192064">
              <w:rPr>
                <w:spacing w:val="-2"/>
                <w:sz w:val="20"/>
                <w:szCs w:val="20"/>
                <w:lang w:val="es-ES"/>
              </w:rPr>
              <w:t>aspartatamino</w:t>
            </w:r>
            <w:r w:rsidR="00D9079D">
              <w:rPr>
                <w:spacing w:val="-2"/>
                <w:sz w:val="20"/>
                <w:szCs w:val="20"/>
                <w:lang w:val="es-ES"/>
              </w:rPr>
              <w:softHyphen/>
            </w:r>
            <w:r w:rsidRPr="00192064">
              <w:rPr>
                <w:spacing w:val="-2"/>
                <w:sz w:val="20"/>
                <w:szCs w:val="20"/>
                <w:lang w:val="es-ES"/>
              </w:rPr>
              <w:t>transfera</w:t>
            </w:r>
            <w:r w:rsidRPr="00192064">
              <w:rPr>
                <w:spacing w:val="-6"/>
                <w:sz w:val="20"/>
                <w:szCs w:val="20"/>
                <w:lang w:val="es-ES"/>
              </w:rPr>
              <w:t>se</w:t>
            </w:r>
          </w:p>
          <w:p w14:paraId="3FF0649C"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Nedsat</w:t>
            </w:r>
            <w:r w:rsidRPr="00192064">
              <w:rPr>
                <w:spacing w:val="-14"/>
                <w:sz w:val="20"/>
                <w:szCs w:val="20"/>
                <w:lang w:val="da-DK"/>
              </w:rPr>
              <w:t xml:space="preserve"> </w:t>
            </w:r>
            <w:r w:rsidRPr="00192064">
              <w:rPr>
                <w:sz w:val="20"/>
                <w:szCs w:val="20"/>
                <w:lang w:val="da-DK"/>
              </w:rPr>
              <w:t>indhold</w:t>
            </w:r>
            <w:r w:rsidRPr="00192064">
              <w:rPr>
                <w:spacing w:val="-14"/>
                <w:sz w:val="20"/>
                <w:szCs w:val="20"/>
                <w:lang w:val="da-DK"/>
              </w:rPr>
              <w:t xml:space="preserve"> </w:t>
            </w:r>
            <w:r w:rsidRPr="00192064">
              <w:rPr>
                <w:sz w:val="20"/>
                <w:szCs w:val="20"/>
                <w:lang w:val="da-DK"/>
              </w:rPr>
              <w:t xml:space="preserve">af basisk fosfatase i </w:t>
            </w:r>
            <w:r w:rsidRPr="00192064">
              <w:rPr>
                <w:spacing w:val="-2"/>
                <w:sz w:val="20"/>
                <w:szCs w:val="20"/>
                <w:lang w:val="da-DK"/>
              </w:rPr>
              <w:t>blodet</w:t>
            </w:r>
          </w:p>
          <w:p w14:paraId="48E5C267" w14:textId="77777777" w:rsidR="00192064" w:rsidRDefault="00314C3D" w:rsidP="002C44AE">
            <w:pPr>
              <w:pStyle w:val="TableParagraph"/>
              <w:tabs>
                <w:tab w:val="left" w:pos="2330"/>
              </w:tabs>
              <w:ind w:left="56" w:right="202"/>
              <w:rPr>
                <w:sz w:val="20"/>
                <w:szCs w:val="20"/>
                <w:lang w:val="da-DK"/>
              </w:rPr>
            </w:pPr>
            <w:r w:rsidRPr="00192064">
              <w:rPr>
                <w:sz w:val="20"/>
                <w:szCs w:val="20"/>
                <w:lang w:val="da-DK"/>
              </w:rPr>
              <w:t xml:space="preserve">Forhøjet alkalisk fosfatase i blodet </w:t>
            </w:r>
          </w:p>
          <w:p w14:paraId="04508586" w14:textId="02210C69"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Forhøjet</w:t>
            </w:r>
            <w:r w:rsidRPr="00192064">
              <w:rPr>
                <w:spacing w:val="-14"/>
                <w:sz w:val="20"/>
                <w:szCs w:val="20"/>
                <w:lang w:val="da-DK"/>
              </w:rPr>
              <w:t xml:space="preserve"> </w:t>
            </w:r>
            <w:r w:rsidRPr="00192064">
              <w:rPr>
                <w:sz w:val="20"/>
                <w:szCs w:val="20"/>
                <w:lang w:val="da-DK"/>
              </w:rPr>
              <w:t>kolesterol</w:t>
            </w:r>
            <w:r w:rsidRPr="00192064">
              <w:rPr>
                <w:spacing w:val="-14"/>
                <w:sz w:val="20"/>
                <w:szCs w:val="20"/>
                <w:lang w:val="da-DK"/>
              </w:rPr>
              <w:t xml:space="preserve"> </w:t>
            </w:r>
            <w:r w:rsidRPr="00192064">
              <w:rPr>
                <w:sz w:val="20"/>
                <w:szCs w:val="20"/>
                <w:lang w:val="da-DK"/>
              </w:rPr>
              <w:t xml:space="preserve">i </w:t>
            </w:r>
            <w:r w:rsidRPr="00192064">
              <w:rPr>
                <w:spacing w:val="-2"/>
                <w:sz w:val="20"/>
                <w:szCs w:val="20"/>
                <w:lang w:val="da-DK"/>
              </w:rPr>
              <w:t>blodet</w:t>
            </w:r>
          </w:p>
          <w:p w14:paraId="201F18C8"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Forhøjet</w:t>
            </w:r>
            <w:r w:rsidRPr="00192064">
              <w:rPr>
                <w:spacing w:val="-14"/>
                <w:sz w:val="20"/>
                <w:szCs w:val="20"/>
                <w:lang w:val="da-DK"/>
              </w:rPr>
              <w:t xml:space="preserve"> </w:t>
            </w:r>
            <w:proofErr w:type="spellStart"/>
            <w:r w:rsidRPr="00192064">
              <w:rPr>
                <w:sz w:val="20"/>
                <w:szCs w:val="20"/>
                <w:lang w:val="da-DK"/>
              </w:rPr>
              <w:t>glucose</w:t>
            </w:r>
            <w:proofErr w:type="spellEnd"/>
            <w:r w:rsidRPr="00192064">
              <w:rPr>
                <w:spacing w:val="-14"/>
                <w:sz w:val="20"/>
                <w:szCs w:val="20"/>
                <w:lang w:val="da-DK"/>
              </w:rPr>
              <w:t xml:space="preserve"> </w:t>
            </w:r>
            <w:r w:rsidRPr="00192064">
              <w:rPr>
                <w:sz w:val="20"/>
                <w:szCs w:val="20"/>
                <w:lang w:val="da-DK"/>
              </w:rPr>
              <w:t xml:space="preserve">i </w:t>
            </w:r>
            <w:r w:rsidRPr="00192064">
              <w:rPr>
                <w:spacing w:val="-2"/>
                <w:sz w:val="20"/>
                <w:szCs w:val="20"/>
                <w:lang w:val="da-DK"/>
              </w:rPr>
              <w:t>blodet</w:t>
            </w:r>
          </w:p>
          <w:p w14:paraId="640685D9"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Forhøjet</w:t>
            </w:r>
            <w:r w:rsidRPr="00192064">
              <w:rPr>
                <w:spacing w:val="-14"/>
                <w:sz w:val="20"/>
                <w:szCs w:val="20"/>
                <w:lang w:val="da-DK"/>
              </w:rPr>
              <w:t xml:space="preserve"> </w:t>
            </w:r>
            <w:r w:rsidRPr="00192064">
              <w:rPr>
                <w:sz w:val="20"/>
                <w:szCs w:val="20"/>
                <w:lang w:val="da-DK"/>
              </w:rPr>
              <w:t>insulin</w:t>
            </w:r>
            <w:r w:rsidRPr="00192064">
              <w:rPr>
                <w:spacing w:val="-14"/>
                <w:sz w:val="20"/>
                <w:szCs w:val="20"/>
                <w:lang w:val="da-DK"/>
              </w:rPr>
              <w:t xml:space="preserve"> </w:t>
            </w:r>
            <w:r w:rsidRPr="00192064">
              <w:rPr>
                <w:sz w:val="20"/>
                <w:szCs w:val="20"/>
                <w:lang w:val="da-DK"/>
              </w:rPr>
              <w:t xml:space="preserve">i </w:t>
            </w:r>
            <w:r w:rsidRPr="00192064">
              <w:rPr>
                <w:spacing w:val="-2"/>
                <w:sz w:val="20"/>
                <w:szCs w:val="20"/>
                <w:lang w:val="da-DK"/>
              </w:rPr>
              <w:t>blodet</w:t>
            </w:r>
          </w:p>
          <w:p w14:paraId="6949C3D3"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Nedsat</w:t>
            </w:r>
            <w:r w:rsidRPr="00192064">
              <w:rPr>
                <w:spacing w:val="-14"/>
                <w:sz w:val="20"/>
                <w:szCs w:val="20"/>
                <w:lang w:val="da-DK"/>
              </w:rPr>
              <w:t xml:space="preserve"> </w:t>
            </w:r>
            <w:r w:rsidRPr="00192064">
              <w:rPr>
                <w:sz w:val="20"/>
                <w:szCs w:val="20"/>
                <w:lang w:val="da-DK"/>
              </w:rPr>
              <w:t>testosteron</w:t>
            </w:r>
            <w:r w:rsidRPr="00192064">
              <w:rPr>
                <w:spacing w:val="-14"/>
                <w:sz w:val="20"/>
                <w:szCs w:val="20"/>
                <w:lang w:val="da-DK"/>
              </w:rPr>
              <w:t xml:space="preserve"> </w:t>
            </w:r>
            <w:r w:rsidRPr="00192064">
              <w:rPr>
                <w:sz w:val="20"/>
                <w:szCs w:val="20"/>
                <w:lang w:val="da-DK"/>
              </w:rPr>
              <w:t xml:space="preserve">i </w:t>
            </w:r>
            <w:r w:rsidRPr="00192064">
              <w:rPr>
                <w:spacing w:val="-2"/>
                <w:sz w:val="20"/>
                <w:szCs w:val="20"/>
                <w:lang w:val="da-DK"/>
              </w:rPr>
              <w:t>blodet</w:t>
            </w:r>
          </w:p>
          <w:p w14:paraId="7F935D0F" w14:textId="77777777" w:rsidR="00192064" w:rsidRDefault="00314C3D" w:rsidP="002C44AE">
            <w:pPr>
              <w:pStyle w:val="TableParagraph"/>
              <w:tabs>
                <w:tab w:val="left" w:pos="2330"/>
              </w:tabs>
              <w:ind w:left="56" w:right="202"/>
              <w:rPr>
                <w:sz w:val="20"/>
                <w:szCs w:val="20"/>
                <w:lang w:val="da-DK"/>
              </w:rPr>
            </w:pPr>
            <w:r w:rsidRPr="00192064">
              <w:rPr>
                <w:spacing w:val="-2"/>
                <w:sz w:val="20"/>
                <w:szCs w:val="20"/>
                <w:lang w:val="da-DK"/>
              </w:rPr>
              <w:t xml:space="preserve">Forhøjet </w:t>
            </w:r>
            <w:proofErr w:type="spellStart"/>
            <w:r w:rsidRPr="00192064">
              <w:rPr>
                <w:spacing w:val="-2"/>
                <w:sz w:val="20"/>
                <w:szCs w:val="20"/>
                <w:lang w:val="da-DK"/>
              </w:rPr>
              <w:t>thyreoideastimulerend</w:t>
            </w:r>
            <w:r w:rsidRPr="00192064">
              <w:rPr>
                <w:sz w:val="20"/>
                <w:szCs w:val="20"/>
                <w:lang w:val="da-DK"/>
              </w:rPr>
              <w:t>e</w:t>
            </w:r>
            <w:proofErr w:type="spellEnd"/>
            <w:r w:rsidRPr="00192064">
              <w:rPr>
                <w:sz w:val="20"/>
                <w:szCs w:val="20"/>
                <w:lang w:val="da-DK"/>
              </w:rPr>
              <w:t xml:space="preserve"> hormon i blodet </w:t>
            </w:r>
          </w:p>
          <w:p w14:paraId="4DEA685E" w14:textId="4462062A"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Forhøjede</w:t>
            </w:r>
            <w:r w:rsidRPr="00192064">
              <w:rPr>
                <w:spacing w:val="-14"/>
                <w:sz w:val="20"/>
                <w:szCs w:val="20"/>
                <w:lang w:val="da-DK"/>
              </w:rPr>
              <w:t xml:space="preserve"> </w:t>
            </w:r>
            <w:r w:rsidRPr="00192064">
              <w:rPr>
                <w:sz w:val="20"/>
                <w:szCs w:val="20"/>
                <w:lang w:val="da-DK"/>
              </w:rPr>
              <w:t>triglycerider i blodet</w:t>
            </w:r>
          </w:p>
          <w:p w14:paraId="0C16440A" w14:textId="77777777" w:rsidR="00192064" w:rsidRDefault="00314C3D" w:rsidP="002C44AE">
            <w:pPr>
              <w:pStyle w:val="TableParagraph"/>
              <w:tabs>
                <w:tab w:val="left" w:pos="2330"/>
              </w:tabs>
              <w:ind w:left="56" w:right="202"/>
              <w:rPr>
                <w:spacing w:val="-2"/>
                <w:sz w:val="20"/>
                <w:szCs w:val="20"/>
                <w:lang w:val="da-DK"/>
              </w:rPr>
            </w:pPr>
            <w:r w:rsidRPr="00192064">
              <w:rPr>
                <w:sz w:val="20"/>
                <w:szCs w:val="20"/>
                <w:lang w:val="da-DK"/>
              </w:rPr>
              <w:t xml:space="preserve">Forkortet PR på </w:t>
            </w:r>
            <w:r w:rsidRPr="00192064">
              <w:rPr>
                <w:spacing w:val="-2"/>
                <w:sz w:val="20"/>
                <w:szCs w:val="20"/>
                <w:lang w:val="da-DK"/>
              </w:rPr>
              <w:t xml:space="preserve">elektrokardiogram </w:t>
            </w:r>
          </w:p>
          <w:p w14:paraId="1E3151E9" w14:textId="77777777" w:rsidR="00192064" w:rsidRDefault="00314C3D" w:rsidP="002C44AE">
            <w:pPr>
              <w:pStyle w:val="TableParagraph"/>
              <w:tabs>
                <w:tab w:val="left" w:pos="2330"/>
              </w:tabs>
              <w:ind w:left="56" w:right="202"/>
              <w:rPr>
                <w:sz w:val="20"/>
                <w:szCs w:val="20"/>
                <w:lang w:val="da-DK"/>
              </w:rPr>
            </w:pPr>
            <w:r w:rsidRPr="00192064">
              <w:rPr>
                <w:sz w:val="20"/>
                <w:szCs w:val="20"/>
                <w:lang w:val="da-DK"/>
              </w:rPr>
              <w:t>Nedsat</w:t>
            </w:r>
            <w:r w:rsidRPr="00192064">
              <w:rPr>
                <w:spacing w:val="-14"/>
                <w:sz w:val="20"/>
                <w:szCs w:val="20"/>
                <w:lang w:val="da-DK"/>
              </w:rPr>
              <w:t xml:space="preserve"> </w:t>
            </w:r>
            <w:r w:rsidRPr="00192064">
              <w:rPr>
                <w:sz w:val="20"/>
                <w:szCs w:val="20"/>
                <w:lang w:val="da-DK"/>
              </w:rPr>
              <w:t>hæmoglobin</w:t>
            </w:r>
          </w:p>
          <w:p w14:paraId="34B2BB83" w14:textId="35808313"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 xml:space="preserve">Nedsat højdensitet </w:t>
            </w:r>
            <w:proofErr w:type="spellStart"/>
            <w:r w:rsidRPr="00192064">
              <w:rPr>
                <w:spacing w:val="-2"/>
                <w:sz w:val="20"/>
                <w:szCs w:val="20"/>
                <w:lang w:val="da-DK"/>
              </w:rPr>
              <w:t>lipoprotein</w:t>
            </w:r>
            <w:proofErr w:type="spellEnd"/>
          </w:p>
          <w:p w14:paraId="47D05081" w14:textId="77777777" w:rsidR="00314C3D" w:rsidRPr="00192064" w:rsidRDefault="00314C3D" w:rsidP="002C44AE">
            <w:pPr>
              <w:pStyle w:val="TableParagraph"/>
              <w:tabs>
                <w:tab w:val="left" w:pos="2330"/>
              </w:tabs>
              <w:spacing w:line="250" w:lineRule="atLeast"/>
              <w:ind w:left="56" w:right="202"/>
              <w:rPr>
                <w:sz w:val="20"/>
                <w:szCs w:val="20"/>
                <w:lang w:val="da-DK"/>
              </w:rPr>
            </w:pPr>
            <w:r w:rsidRPr="00192064">
              <w:rPr>
                <w:sz w:val="20"/>
                <w:szCs w:val="20"/>
                <w:lang w:val="da-DK"/>
              </w:rPr>
              <w:t>Nedsat</w:t>
            </w:r>
            <w:r w:rsidRPr="00192064">
              <w:rPr>
                <w:spacing w:val="-14"/>
                <w:sz w:val="20"/>
                <w:szCs w:val="20"/>
                <w:lang w:val="da-DK"/>
              </w:rPr>
              <w:t xml:space="preserve"> </w:t>
            </w:r>
            <w:r w:rsidRPr="00192064">
              <w:rPr>
                <w:sz w:val="20"/>
                <w:szCs w:val="20"/>
                <w:lang w:val="da-DK"/>
              </w:rPr>
              <w:t xml:space="preserve">lavdensitet </w:t>
            </w:r>
            <w:proofErr w:type="spellStart"/>
            <w:r w:rsidRPr="00192064">
              <w:rPr>
                <w:spacing w:val="-2"/>
                <w:sz w:val="20"/>
                <w:szCs w:val="20"/>
                <w:lang w:val="da-DK"/>
              </w:rPr>
              <w:t>lipoprotein</w:t>
            </w:r>
            <w:proofErr w:type="spellEnd"/>
          </w:p>
        </w:tc>
        <w:tc>
          <w:tcPr>
            <w:tcW w:w="448" w:type="pct"/>
            <w:tcBorders>
              <w:top w:val="single" w:sz="4" w:space="0" w:color="000000"/>
              <w:left w:val="single" w:sz="4" w:space="0" w:color="000000"/>
              <w:bottom w:val="single" w:sz="4" w:space="0" w:color="000000"/>
              <w:right w:val="single" w:sz="4" w:space="0" w:color="000000"/>
            </w:tcBorders>
          </w:tcPr>
          <w:p w14:paraId="1DAD3C62"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19F23513" w14:textId="77777777" w:rsidR="00314C3D" w:rsidRPr="00192064" w:rsidRDefault="00314C3D">
            <w:pPr>
              <w:pStyle w:val="TableParagraph"/>
              <w:rPr>
                <w:sz w:val="20"/>
                <w:szCs w:val="20"/>
                <w:lang w:val="da-DK"/>
              </w:rPr>
            </w:pPr>
          </w:p>
        </w:tc>
      </w:tr>
      <w:tr w:rsidR="002C44AE" w:rsidRPr="00212B5E" w14:paraId="4D162A1B" w14:textId="77777777" w:rsidTr="002C44AE">
        <w:trPr>
          <w:trHeight w:val="1011"/>
        </w:trPr>
        <w:tc>
          <w:tcPr>
            <w:tcW w:w="1119" w:type="pct"/>
            <w:tcBorders>
              <w:top w:val="single" w:sz="4" w:space="0" w:color="000000"/>
              <w:left w:val="single" w:sz="4" w:space="0" w:color="000000"/>
              <w:bottom w:val="single" w:sz="4" w:space="0" w:color="000000"/>
              <w:right w:val="single" w:sz="4" w:space="0" w:color="000000"/>
            </w:tcBorders>
            <w:hideMark/>
          </w:tcPr>
          <w:p w14:paraId="7BAA5ED4" w14:textId="21B6F1A1" w:rsidR="00314C3D" w:rsidRPr="00192064" w:rsidRDefault="00314C3D">
            <w:pPr>
              <w:pStyle w:val="TableParagraph"/>
              <w:spacing w:line="250" w:lineRule="atLeast"/>
              <w:ind w:left="56" w:right="70"/>
              <w:rPr>
                <w:sz w:val="20"/>
                <w:szCs w:val="20"/>
                <w:lang w:val="da-DK"/>
              </w:rPr>
            </w:pPr>
            <w:r w:rsidRPr="00192064">
              <w:rPr>
                <w:spacing w:val="-2"/>
                <w:sz w:val="20"/>
                <w:szCs w:val="20"/>
                <w:lang w:val="da-DK"/>
              </w:rPr>
              <w:t xml:space="preserve">Traumer, </w:t>
            </w:r>
            <w:r w:rsidRPr="00192064">
              <w:rPr>
                <w:sz w:val="20"/>
                <w:szCs w:val="20"/>
                <w:lang w:val="da-DK"/>
              </w:rPr>
              <w:t xml:space="preserve">forgiftninger og </w:t>
            </w:r>
            <w:r w:rsidRPr="00192064">
              <w:rPr>
                <w:spacing w:val="-2"/>
                <w:sz w:val="20"/>
                <w:szCs w:val="20"/>
                <w:lang w:val="da-DK"/>
              </w:rPr>
              <w:t>behandlingskomplikationer</w:t>
            </w:r>
          </w:p>
        </w:tc>
        <w:tc>
          <w:tcPr>
            <w:tcW w:w="672" w:type="pct"/>
            <w:tcBorders>
              <w:top w:val="single" w:sz="4" w:space="0" w:color="000000"/>
              <w:left w:val="single" w:sz="4" w:space="0" w:color="000000"/>
              <w:bottom w:val="single" w:sz="4" w:space="0" w:color="000000"/>
              <w:right w:val="single" w:sz="4" w:space="0" w:color="000000"/>
            </w:tcBorders>
          </w:tcPr>
          <w:p w14:paraId="5204D749" w14:textId="77777777" w:rsidR="00314C3D" w:rsidRPr="00192064" w:rsidRDefault="00314C3D">
            <w:pPr>
              <w:pStyle w:val="TableParagraph"/>
              <w:rPr>
                <w:sz w:val="20"/>
                <w:szCs w:val="20"/>
                <w:lang w:val="da-DK"/>
              </w:rPr>
            </w:pPr>
          </w:p>
        </w:tc>
        <w:tc>
          <w:tcPr>
            <w:tcW w:w="971" w:type="pct"/>
            <w:tcBorders>
              <w:top w:val="single" w:sz="4" w:space="0" w:color="000000"/>
              <w:left w:val="single" w:sz="4" w:space="0" w:color="000000"/>
              <w:bottom w:val="single" w:sz="4" w:space="0" w:color="000000"/>
              <w:right w:val="single" w:sz="4" w:space="0" w:color="000000"/>
            </w:tcBorders>
          </w:tcPr>
          <w:p w14:paraId="1EC3F77E" w14:textId="77777777" w:rsidR="00314C3D" w:rsidRPr="00192064" w:rsidRDefault="00314C3D">
            <w:pPr>
              <w:pStyle w:val="TableParagraph"/>
              <w:rPr>
                <w:sz w:val="20"/>
                <w:szCs w:val="20"/>
                <w:lang w:val="da-DK"/>
              </w:rPr>
            </w:pPr>
          </w:p>
        </w:tc>
        <w:tc>
          <w:tcPr>
            <w:tcW w:w="1193" w:type="pct"/>
            <w:tcBorders>
              <w:top w:val="single" w:sz="4" w:space="0" w:color="000000"/>
              <w:left w:val="single" w:sz="4" w:space="0" w:color="000000"/>
              <w:bottom w:val="single" w:sz="4" w:space="0" w:color="000000"/>
              <w:right w:val="single" w:sz="4" w:space="0" w:color="000000"/>
            </w:tcBorders>
            <w:hideMark/>
          </w:tcPr>
          <w:p w14:paraId="5EFA6CCC" w14:textId="77777777" w:rsidR="00314C3D" w:rsidRPr="00192064" w:rsidRDefault="00314C3D" w:rsidP="002C44AE">
            <w:pPr>
              <w:pStyle w:val="TableParagraph"/>
              <w:tabs>
                <w:tab w:val="left" w:pos="2330"/>
              </w:tabs>
              <w:ind w:left="56" w:right="202"/>
              <w:rPr>
                <w:sz w:val="20"/>
                <w:szCs w:val="20"/>
                <w:lang w:val="da-DK"/>
              </w:rPr>
            </w:pPr>
            <w:r w:rsidRPr="00192064">
              <w:rPr>
                <w:sz w:val="20"/>
                <w:szCs w:val="20"/>
                <w:lang w:val="da-DK"/>
              </w:rPr>
              <w:t xml:space="preserve">Bevidst </w:t>
            </w:r>
            <w:r w:rsidRPr="00192064">
              <w:rPr>
                <w:spacing w:val="-2"/>
                <w:sz w:val="20"/>
                <w:szCs w:val="20"/>
                <w:lang w:val="da-DK"/>
              </w:rPr>
              <w:t>overdosering</w:t>
            </w:r>
          </w:p>
        </w:tc>
        <w:tc>
          <w:tcPr>
            <w:tcW w:w="448" w:type="pct"/>
            <w:tcBorders>
              <w:top w:val="single" w:sz="4" w:space="0" w:color="000000"/>
              <w:left w:val="single" w:sz="4" w:space="0" w:color="000000"/>
              <w:bottom w:val="single" w:sz="4" w:space="0" w:color="000000"/>
              <w:right w:val="single" w:sz="4" w:space="0" w:color="000000"/>
            </w:tcBorders>
          </w:tcPr>
          <w:p w14:paraId="482CA7A6" w14:textId="77777777" w:rsidR="00314C3D" w:rsidRPr="00192064" w:rsidRDefault="00314C3D">
            <w:pPr>
              <w:pStyle w:val="TableParagraph"/>
              <w:rPr>
                <w:sz w:val="20"/>
                <w:szCs w:val="20"/>
                <w:lang w:val="da-DK"/>
              </w:rPr>
            </w:pPr>
          </w:p>
        </w:tc>
        <w:tc>
          <w:tcPr>
            <w:tcW w:w="597" w:type="pct"/>
            <w:tcBorders>
              <w:top w:val="single" w:sz="4" w:space="0" w:color="000000"/>
              <w:left w:val="single" w:sz="4" w:space="0" w:color="000000"/>
              <w:bottom w:val="single" w:sz="4" w:space="0" w:color="000000"/>
              <w:right w:val="single" w:sz="4" w:space="0" w:color="000000"/>
            </w:tcBorders>
          </w:tcPr>
          <w:p w14:paraId="74286777" w14:textId="77777777" w:rsidR="00314C3D" w:rsidRPr="00192064" w:rsidRDefault="00314C3D">
            <w:pPr>
              <w:pStyle w:val="TableParagraph"/>
              <w:rPr>
                <w:sz w:val="20"/>
                <w:szCs w:val="20"/>
                <w:lang w:val="da-DK"/>
              </w:rPr>
            </w:pPr>
          </w:p>
        </w:tc>
      </w:tr>
    </w:tbl>
    <w:p w14:paraId="665A1A9C" w14:textId="50F75FA4" w:rsidR="00314C3D" w:rsidRPr="00C415A2" w:rsidRDefault="00314C3D" w:rsidP="00C415A2">
      <w:pPr>
        <w:autoSpaceDE w:val="0"/>
        <w:autoSpaceDN w:val="0"/>
        <w:adjustRightInd w:val="0"/>
        <w:ind w:left="567" w:hanging="567"/>
        <w:rPr>
          <w:sz w:val="20"/>
        </w:rPr>
      </w:pPr>
      <w:r w:rsidRPr="00C415A2">
        <w:rPr>
          <w:sz w:val="20"/>
        </w:rPr>
        <w:t>*</w:t>
      </w:r>
      <w:r w:rsidR="00C415A2">
        <w:rPr>
          <w:sz w:val="20"/>
        </w:rPr>
        <w:tab/>
      </w:r>
      <w:proofErr w:type="spellStart"/>
      <w:r w:rsidRPr="00C415A2">
        <w:rPr>
          <w:sz w:val="20"/>
        </w:rPr>
        <w:t>Somnolens</w:t>
      </w:r>
      <w:proofErr w:type="spellEnd"/>
      <w:r w:rsidRPr="00C415A2">
        <w:rPr>
          <w:sz w:val="20"/>
        </w:rPr>
        <w:t xml:space="preserve"> omfatter følgende bivirkninger, der er set hos unge: </w:t>
      </w:r>
      <w:proofErr w:type="spellStart"/>
      <w:r w:rsidRPr="00C415A2">
        <w:rPr>
          <w:sz w:val="20"/>
        </w:rPr>
        <w:t>hypersomni</w:t>
      </w:r>
      <w:proofErr w:type="spellEnd"/>
      <w:r w:rsidRPr="00C415A2">
        <w:rPr>
          <w:sz w:val="20"/>
        </w:rPr>
        <w:t xml:space="preserve">, sedation og </w:t>
      </w:r>
      <w:proofErr w:type="spellStart"/>
      <w:r w:rsidRPr="00C415A2">
        <w:rPr>
          <w:sz w:val="20"/>
        </w:rPr>
        <w:t>somnolens</w:t>
      </w:r>
      <w:proofErr w:type="spellEnd"/>
      <w:r w:rsidRPr="00C415A2">
        <w:rPr>
          <w:sz w:val="20"/>
        </w:rPr>
        <w:t>.</w:t>
      </w:r>
    </w:p>
    <w:p w14:paraId="20E1433D" w14:textId="0FFC9A55" w:rsidR="00314C3D" w:rsidRPr="00C415A2" w:rsidRDefault="00314C3D" w:rsidP="00C415A2">
      <w:pPr>
        <w:autoSpaceDE w:val="0"/>
        <w:autoSpaceDN w:val="0"/>
        <w:adjustRightInd w:val="0"/>
        <w:ind w:left="567" w:hanging="567"/>
        <w:rPr>
          <w:sz w:val="20"/>
        </w:rPr>
      </w:pPr>
      <w:r w:rsidRPr="00C415A2">
        <w:rPr>
          <w:sz w:val="20"/>
        </w:rPr>
        <w:t>**</w:t>
      </w:r>
      <w:r w:rsidR="00C415A2">
        <w:rPr>
          <w:sz w:val="20"/>
        </w:rPr>
        <w:tab/>
      </w:r>
      <w:r w:rsidRPr="00C415A2">
        <w:rPr>
          <w:sz w:val="20"/>
        </w:rPr>
        <w:t>Parkinsonisme omfatter følgende bivirkninger, der er set hos unge: intermitterende stivhed (</w:t>
      </w:r>
      <w:proofErr w:type="spellStart"/>
      <w:r w:rsidRPr="00C415A2">
        <w:rPr>
          <w:i/>
          <w:iCs/>
          <w:sz w:val="20"/>
        </w:rPr>
        <w:t>cogwheel</w:t>
      </w:r>
      <w:proofErr w:type="spellEnd"/>
      <w:r w:rsidRPr="00C415A2">
        <w:rPr>
          <w:i/>
          <w:iCs/>
          <w:sz w:val="20"/>
        </w:rPr>
        <w:t xml:space="preserve"> </w:t>
      </w:r>
      <w:proofErr w:type="spellStart"/>
      <w:r w:rsidRPr="00C415A2">
        <w:rPr>
          <w:i/>
          <w:iCs/>
          <w:sz w:val="20"/>
        </w:rPr>
        <w:t>rigidity</w:t>
      </w:r>
      <w:proofErr w:type="spellEnd"/>
      <w:r w:rsidRPr="00C415A2">
        <w:rPr>
          <w:sz w:val="20"/>
        </w:rPr>
        <w:t>),</w:t>
      </w:r>
      <w:r w:rsidR="00C415A2">
        <w:rPr>
          <w:sz w:val="20"/>
        </w:rPr>
        <w:t xml:space="preserve"> </w:t>
      </w:r>
      <w:r w:rsidRPr="00C415A2">
        <w:rPr>
          <w:sz w:val="20"/>
        </w:rPr>
        <w:t xml:space="preserve">ekstrapyramidal forstyrrelse, </w:t>
      </w:r>
      <w:proofErr w:type="spellStart"/>
      <w:r w:rsidRPr="00C415A2">
        <w:rPr>
          <w:sz w:val="20"/>
        </w:rPr>
        <w:t>hypokinesi</w:t>
      </w:r>
      <w:proofErr w:type="spellEnd"/>
      <w:r w:rsidRPr="00C415A2">
        <w:rPr>
          <w:sz w:val="20"/>
        </w:rPr>
        <w:t xml:space="preserve">, parkinsonisme og </w:t>
      </w:r>
      <w:proofErr w:type="spellStart"/>
      <w:r w:rsidRPr="00C415A2">
        <w:rPr>
          <w:sz w:val="20"/>
        </w:rPr>
        <w:t>tremor</w:t>
      </w:r>
      <w:proofErr w:type="spellEnd"/>
      <w:r w:rsidRPr="00C415A2">
        <w:rPr>
          <w:sz w:val="20"/>
        </w:rPr>
        <w:t>.</w:t>
      </w:r>
    </w:p>
    <w:p w14:paraId="7CDD2E8F" w14:textId="68B95ED5" w:rsidR="00314C3D" w:rsidRPr="00C415A2" w:rsidRDefault="00314C3D" w:rsidP="00C415A2">
      <w:pPr>
        <w:tabs>
          <w:tab w:val="left" w:pos="851"/>
        </w:tabs>
        <w:ind w:left="567" w:hanging="567"/>
        <w:rPr>
          <w:sz w:val="20"/>
        </w:rPr>
      </w:pPr>
      <w:r w:rsidRPr="00C415A2">
        <w:rPr>
          <w:sz w:val="20"/>
        </w:rPr>
        <w:t>***</w:t>
      </w:r>
      <w:r w:rsidR="00C415A2">
        <w:rPr>
          <w:sz w:val="20"/>
        </w:rPr>
        <w:tab/>
      </w:r>
      <w:proofErr w:type="spellStart"/>
      <w:r w:rsidRPr="00C415A2">
        <w:rPr>
          <w:sz w:val="20"/>
        </w:rPr>
        <w:t>Dystoni</w:t>
      </w:r>
      <w:proofErr w:type="spellEnd"/>
      <w:r w:rsidRPr="00C415A2">
        <w:rPr>
          <w:sz w:val="20"/>
        </w:rPr>
        <w:t xml:space="preserve"> omfatter følgende bivirkninger, der er set hos uge: </w:t>
      </w:r>
      <w:proofErr w:type="spellStart"/>
      <w:r w:rsidRPr="00C415A2">
        <w:rPr>
          <w:sz w:val="20"/>
        </w:rPr>
        <w:t>dystoni</w:t>
      </w:r>
      <w:proofErr w:type="spellEnd"/>
      <w:r w:rsidRPr="00C415A2">
        <w:rPr>
          <w:sz w:val="20"/>
        </w:rPr>
        <w:t xml:space="preserve">, </w:t>
      </w:r>
      <w:proofErr w:type="spellStart"/>
      <w:r w:rsidRPr="00C415A2">
        <w:rPr>
          <w:sz w:val="20"/>
        </w:rPr>
        <w:t>oculogyrisk</w:t>
      </w:r>
      <w:proofErr w:type="spellEnd"/>
      <w:r w:rsidRPr="00C415A2">
        <w:rPr>
          <w:sz w:val="20"/>
        </w:rPr>
        <w:t xml:space="preserve"> krise og </w:t>
      </w:r>
      <w:proofErr w:type="spellStart"/>
      <w:r w:rsidRPr="00C415A2">
        <w:rPr>
          <w:sz w:val="20"/>
        </w:rPr>
        <w:t>torticollis</w:t>
      </w:r>
      <w:proofErr w:type="spellEnd"/>
      <w:r w:rsidRPr="00C415A2">
        <w:rPr>
          <w:sz w:val="20"/>
        </w:rPr>
        <w:t>.</w:t>
      </w:r>
    </w:p>
    <w:p w14:paraId="4C501504" w14:textId="77777777" w:rsidR="00314C3D" w:rsidRPr="00212B5E" w:rsidRDefault="00314C3D" w:rsidP="00212B5E">
      <w:pPr>
        <w:ind w:left="851"/>
        <w:rPr>
          <w:sz w:val="24"/>
          <w:szCs w:val="24"/>
        </w:rPr>
      </w:pPr>
    </w:p>
    <w:p w14:paraId="3743180A" w14:textId="77777777" w:rsidR="00314C3D" w:rsidRPr="00212B5E" w:rsidRDefault="00314C3D" w:rsidP="00212B5E">
      <w:pPr>
        <w:ind w:left="851"/>
        <w:rPr>
          <w:sz w:val="24"/>
          <w:szCs w:val="24"/>
          <w:u w:val="single"/>
        </w:rPr>
      </w:pPr>
      <w:r w:rsidRPr="00212B5E">
        <w:rPr>
          <w:sz w:val="24"/>
          <w:szCs w:val="24"/>
          <w:u w:val="single"/>
        </w:rPr>
        <w:t>Beskrivelse af udvalgte bivirkninger</w:t>
      </w:r>
    </w:p>
    <w:p w14:paraId="23FE0C74" w14:textId="77777777" w:rsidR="00314C3D" w:rsidRPr="00212B5E" w:rsidRDefault="00314C3D" w:rsidP="00212B5E">
      <w:pPr>
        <w:ind w:left="851"/>
        <w:rPr>
          <w:sz w:val="24"/>
          <w:szCs w:val="24"/>
        </w:rPr>
      </w:pPr>
    </w:p>
    <w:p w14:paraId="3D8C1D61" w14:textId="7F98ADA5" w:rsidR="00314C3D" w:rsidRPr="00212B5E" w:rsidRDefault="00314C3D" w:rsidP="00212B5E">
      <w:pPr>
        <w:ind w:left="851"/>
        <w:rPr>
          <w:sz w:val="24"/>
          <w:szCs w:val="24"/>
        </w:rPr>
      </w:pPr>
      <w:r w:rsidRPr="00212B5E">
        <w:rPr>
          <w:sz w:val="24"/>
          <w:szCs w:val="24"/>
        </w:rPr>
        <w:t>Efter markedsføring er der blevet indberettet klinisk alvorlige tilfælde af hudreaktioner og andre</w:t>
      </w:r>
      <w:r w:rsidR="00C415A2">
        <w:rPr>
          <w:sz w:val="24"/>
          <w:szCs w:val="24"/>
        </w:rPr>
        <w:t xml:space="preserve"> </w:t>
      </w:r>
      <w:r w:rsidRPr="00212B5E">
        <w:rPr>
          <w:sz w:val="24"/>
          <w:szCs w:val="24"/>
        </w:rPr>
        <w:t xml:space="preserve">overfølsomhedsreaktioner i forbindelse med behandling med </w:t>
      </w:r>
      <w:proofErr w:type="spellStart"/>
      <w:r w:rsidRPr="00212B5E">
        <w:rPr>
          <w:sz w:val="24"/>
          <w:szCs w:val="24"/>
        </w:rPr>
        <w:t>lurasidon</w:t>
      </w:r>
      <w:proofErr w:type="spellEnd"/>
      <w:r w:rsidRPr="00212B5E">
        <w:rPr>
          <w:sz w:val="24"/>
          <w:szCs w:val="24"/>
        </w:rPr>
        <w:t>, herunder Stevens-Johnsons</w:t>
      </w:r>
      <w:r w:rsidR="00C415A2">
        <w:rPr>
          <w:sz w:val="24"/>
          <w:szCs w:val="24"/>
        </w:rPr>
        <w:t xml:space="preserve"> </w:t>
      </w:r>
      <w:r w:rsidRPr="00212B5E">
        <w:rPr>
          <w:sz w:val="24"/>
          <w:szCs w:val="24"/>
        </w:rPr>
        <w:t>syndrom.</w:t>
      </w:r>
    </w:p>
    <w:p w14:paraId="434FE3C3" w14:textId="77777777" w:rsidR="00314C3D" w:rsidRPr="00212B5E" w:rsidRDefault="00314C3D" w:rsidP="00212B5E">
      <w:pPr>
        <w:ind w:left="851"/>
        <w:rPr>
          <w:sz w:val="24"/>
          <w:szCs w:val="24"/>
        </w:rPr>
      </w:pPr>
    </w:p>
    <w:p w14:paraId="6AE17B4A" w14:textId="77777777" w:rsidR="00314C3D" w:rsidRPr="00212B5E" w:rsidRDefault="00314C3D" w:rsidP="00212B5E">
      <w:pPr>
        <w:ind w:left="851"/>
        <w:rPr>
          <w:i/>
          <w:iCs/>
          <w:sz w:val="24"/>
          <w:szCs w:val="24"/>
        </w:rPr>
      </w:pPr>
      <w:r w:rsidRPr="00212B5E">
        <w:rPr>
          <w:i/>
          <w:iCs/>
          <w:sz w:val="24"/>
          <w:szCs w:val="24"/>
        </w:rPr>
        <w:t>Bivirkninger af særlig interesse for klassen</w:t>
      </w:r>
    </w:p>
    <w:p w14:paraId="6743C2B6" w14:textId="77777777" w:rsidR="00314C3D" w:rsidRPr="00212B5E" w:rsidRDefault="00314C3D" w:rsidP="00212B5E">
      <w:pPr>
        <w:ind w:left="851"/>
        <w:rPr>
          <w:sz w:val="24"/>
          <w:szCs w:val="24"/>
        </w:rPr>
      </w:pPr>
      <w:r w:rsidRPr="00212B5E">
        <w:rPr>
          <w:i/>
          <w:iCs/>
          <w:sz w:val="24"/>
          <w:szCs w:val="24"/>
        </w:rPr>
        <w:t xml:space="preserve">Ekstrapyramidale symptomer (EPS): </w:t>
      </w:r>
      <w:r w:rsidRPr="00212B5E">
        <w:rPr>
          <w:sz w:val="24"/>
          <w:szCs w:val="24"/>
        </w:rPr>
        <w:t xml:space="preserve">I kortvarige, placebokontrollerede undersøgelser med voksne var forekomsten af rapporterede bivirkninger knyttet til EPS, med undtagelse af </w:t>
      </w:r>
      <w:proofErr w:type="spellStart"/>
      <w:r w:rsidRPr="00212B5E">
        <w:rPr>
          <w:sz w:val="24"/>
          <w:szCs w:val="24"/>
        </w:rPr>
        <w:t>akatisi</w:t>
      </w:r>
      <w:proofErr w:type="spellEnd"/>
      <w:r w:rsidRPr="00212B5E">
        <w:rPr>
          <w:sz w:val="24"/>
          <w:szCs w:val="24"/>
        </w:rPr>
        <w:t xml:space="preserve"> og rastløshed, 13,5 % for </w:t>
      </w:r>
      <w:proofErr w:type="spellStart"/>
      <w:r w:rsidRPr="00212B5E">
        <w:rPr>
          <w:sz w:val="24"/>
          <w:szCs w:val="24"/>
        </w:rPr>
        <w:t>lurasidon</w:t>
      </w:r>
      <w:proofErr w:type="spellEnd"/>
      <w:r w:rsidRPr="00212B5E">
        <w:rPr>
          <w:sz w:val="24"/>
          <w:szCs w:val="24"/>
        </w:rPr>
        <w:t>-behandlede forsøgspersoner over for 5,8 % for placebobehandlede</w:t>
      </w:r>
    </w:p>
    <w:p w14:paraId="2D91B1A3" w14:textId="77777777" w:rsidR="00314C3D" w:rsidRPr="00212B5E" w:rsidRDefault="00314C3D" w:rsidP="00212B5E">
      <w:pPr>
        <w:ind w:left="851"/>
        <w:rPr>
          <w:sz w:val="24"/>
          <w:szCs w:val="24"/>
        </w:rPr>
      </w:pPr>
      <w:r w:rsidRPr="00212B5E">
        <w:rPr>
          <w:sz w:val="24"/>
          <w:szCs w:val="24"/>
        </w:rPr>
        <w:t xml:space="preserve">forsøgspersoner. Forekomsten af </w:t>
      </w:r>
      <w:proofErr w:type="spellStart"/>
      <w:r w:rsidRPr="00212B5E">
        <w:rPr>
          <w:sz w:val="24"/>
          <w:szCs w:val="24"/>
        </w:rPr>
        <w:t>akatisi</w:t>
      </w:r>
      <w:proofErr w:type="spellEnd"/>
      <w:r w:rsidRPr="00212B5E">
        <w:rPr>
          <w:sz w:val="24"/>
          <w:szCs w:val="24"/>
        </w:rPr>
        <w:t xml:space="preserve"> var 12,9 % for </w:t>
      </w:r>
      <w:proofErr w:type="spellStart"/>
      <w:r w:rsidRPr="00212B5E">
        <w:rPr>
          <w:sz w:val="24"/>
          <w:szCs w:val="24"/>
        </w:rPr>
        <w:t>lurasidon</w:t>
      </w:r>
      <w:proofErr w:type="spellEnd"/>
      <w:r w:rsidRPr="00212B5E">
        <w:rPr>
          <w:sz w:val="24"/>
          <w:szCs w:val="24"/>
        </w:rPr>
        <w:t xml:space="preserve">-behandlede forsøgspersoner over for 3,0 % for placebobehandlede forsøgspersoner. I den kortvarige placebo-kontrollerede undersøgelse med unge var forekomsten af rapporterede bivirkninger knyttet til EPS, med undtagelse af </w:t>
      </w:r>
      <w:proofErr w:type="spellStart"/>
      <w:r w:rsidRPr="00212B5E">
        <w:rPr>
          <w:sz w:val="24"/>
          <w:szCs w:val="24"/>
        </w:rPr>
        <w:t>akatisi</w:t>
      </w:r>
      <w:proofErr w:type="spellEnd"/>
      <w:r w:rsidRPr="00212B5E">
        <w:rPr>
          <w:sz w:val="24"/>
          <w:szCs w:val="24"/>
        </w:rPr>
        <w:t xml:space="preserve">, 5,1 % for </w:t>
      </w:r>
      <w:proofErr w:type="spellStart"/>
      <w:r w:rsidRPr="00212B5E">
        <w:rPr>
          <w:sz w:val="24"/>
          <w:szCs w:val="24"/>
        </w:rPr>
        <w:t>lurasidon</w:t>
      </w:r>
      <w:proofErr w:type="spellEnd"/>
      <w:r w:rsidRPr="00212B5E">
        <w:rPr>
          <w:sz w:val="24"/>
          <w:szCs w:val="24"/>
        </w:rPr>
        <w:t xml:space="preserve">-behandlede forsøgspersoner over for 1,8 % for placebo-behandlede forsøgspersoner. Forekomsten af </w:t>
      </w:r>
      <w:proofErr w:type="spellStart"/>
      <w:r w:rsidRPr="00212B5E">
        <w:rPr>
          <w:sz w:val="24"/>
          <w:szCs w:val="24"/>
        </w:rPr>
        <w:t>akatisi</w:t>
      </w:r>
      <w:proofErr w:type="spellEnd"/>
      <w:r w:rsidRPr="00212B5E">
        <w:rPr>
          <w:sz w:val="24"/>
          <w:szCs w:val="24"/>
        </w:rPr>
        <w:t xml:space="preserve"> hos </w:t>
      </w:r>
      <w:proofErr w:type="spellStart"/>
      <w:r w:rsidRPr="00212B5E">
        <w:rPr>
          <w:sz w:val="24"/>
          <w:szCs w:val="24"/>
        </w:rPr>
        <w:t>lurasidon</w:t>
      </w:r>
      <w:proofErr w:type="spellEnd"/>
      <w:r w:rsidRPr="00212B5E">
        <w:rPr>
          <w:sz w:val="24"/>
          <w:szCs w:val="24"/>
        </w:rPr>
        <w:t>-behandlede patienter var 8,9 % over for 1,8 % for placebo-behandlede patienter.</w:t>
      </w:r>
    </w:p>
    <w:p w14:paraId="495874CF" w14:textId="77777777" w:rsidR="00314C3D" w:rsidRPr="00212B5E" w:rsidRDefault="00314C3D" w:rsidP="00212B5E">
      <w:pPr>
        <w:ind w:left="851"/>
        <w:rPr>
          <w:sz w:val="24"/>
          <w:szCs w:val="24"/>
        </w:rPr>
      </w:pPr>
    </w:p>
    <w:p w14:paraId="48CE6B52" w14:textId="122428F9" w:rsidR="00314C3D" w:rsidRPr="00212B5E" w:rsidRDefault="00314C3D" w:rsidP="00212B5E">
      <w:pPr>
        <w:ind w:left="851"/>
        <w:rPr>
          <w:sz w:val="24"/>
          <w:szCs w:val="24"/>
        </w:rPr>
      </w:pPr>
      <w:proofErr w:type="spellStart"/>
      <w:r w:rsidRPr="00212B5E">
        <w:rPr>
          <w:i/>
          <w:iCs/>
          <w:sz w:val="24"/>
          <w:szCs w:val="24"/>
        </w:rPr>
        <w:t>Dystoni</w:t>
      </w:r>
      <w:proofErr w:type="spellEnd"/>
      <w:r w:rsidRPr="00212B5E">
        <w:rPr>
          <w:i/>
          <w:iCs/>
          <w:sz w:val="24"/>
          <w:szCs w:val="24"/>
        </w:rPr>
        <w:t xml:space="preserve">: </w:t>
      </w:r>
      <w:r w:rsidRPr="00212B5E">
        <w:rPr>
          <w:sz w:val="24"/>
          <w:szCs w:val="24"/>
        </w:rPr>
        <w:t xml:space="preserve">Symptomer på </w:t>
      </w:r>
      <w:proofErr w:type="spellStart"/>
      <w:r w:rsidRPr="00212B5E">
        <w:rPr>
          <w:sz w:val="24"/>
          <w:szCs w:val="24"/>
        </w:rPr>
        <w:t>dystoni</w:t>
      </w:r>
      <w:proofErr w:type="spellEnd"/>
      <w:r w:rsidRPr="00212B5E">
        <w:rPr>
          <w:sz w:val="24"/>
          <w:szCs w:val="24"/>
        </w:rPr>
        <w:t xml:space="preserve">, forlængede anormale sammentrækninger af muskelgrupper, kan opstå hos tilbøjelige personer i løbet af de første par dage af behandlingen. </w:t>
      </w:r>
      <w:proofErr w:type="spellStart"/>
      <w:r w:rsidRPr="00212B5E">
        <w:rPr>
          <w:sz w:val="24"/>
          <w:szCs w:val="24"/>
        </w:rPr>
        <w:t>Dystoniske</w:t>
      </w:r>
      <w:proofErr w:type="spellEnd"/>
      <w:r w:rsidRPr="00212B5E">
        <w:rPr>
          <w:sz w:val="24"/>
          <w:szCs w:val="24"/>
        </w:rPr>
        <w:t xml:space="preserve"> symptomer,</w:t>
      </w:r>
      <w:r w:rsidR="00C415A2">
        <w:rPr>
          <w:sz w:val="24"/>
          <w:szCs w:val="24"/>
        </w:rPr>
        <w:t xml:space="preserve"> </w:t>
      </w:r>
      <w:r w:rsidRPr="00212B5E">
        <w:rPr>
          <w:sz w:val="24"/>
          <w:szCs w:val="24"/>
        </w:rPr>
        <w:t>herunder:</w:t>
      </w:r>
      <w:r w:rsidR="00C415A2">
        <w:rPr>
          <w:sz w:val="24"/>
          <w:szCs w:val="24"/>
        </w:rPr>
        <w:t xml:space="preserve"> </w:t>
      </w:r>
      <w:r w:rsidRPr="00212B5E">
        <w:rPr>
          <w:sz w:val="24"/>
          <w:szCs w:val="24"/>
        </w:rPr>
        <w:t>kramper i halsmuskulaturen, der sommetider forværres til tæthed i halsen, herunder</w:t>
      </w:r>
      <w:r w:rsidR="00C415A2">
        <w:rPr>
          <w:sz w:val="24"/>
          <w:szCs w:val="24"/>
        </w:rPr>
        <w:t xml:space="preserve"> </w:t>
      </w:r>
      <w:r w:rsidRPr="00212B5E">
        <w:rPr>
          <w:sz w:val="24"/>
          <w:szCs w:val="24"/>
        </w:rPr>
        <w:t xml:space="preserve">synkebesvær, åndedrætsbesvær og/eller fremstikkende tunge. Mens disse symptomer kan optræde ved lavere doser, optræder de hyppigere og i højere alvorsgrad, højere potens og ved højere doser af første generation af antipsykotiske lægemidler. Der er blevet observeret en forhøjet risiko for akut </w:t>
      </w:r>
      <w:proofErr w:type="spellStart"/>
      <w:r w:rsidRPr="00212B5E">
        <w:rPr>
          <w:sz w:val="24"/>
          <w:szCs w:val="24"/>
        </w:rPr>
        <w:t>dystoni</w:t>
      </w:r>
      <w:proofErr w:type="spellEnd"/>
      <w:r w:rsidRPr="00212B5E">
        <w:rPr>
          <w:sz w:val="24"/>
          <w:szCs w:val="24"/>
        </w:rPr>
        <w:t xml:space="preserve"> hos mænd og yngre aldersgrupper.</w:t>
      </w:r>
    </w:p>
    <w:p w14:paraId="31F7FF55" w14:textId="77777777" w:rsidR="00314C3D" w:rsidRPr="00212B5E" w:rsidRDefault="00314C3D" w:rsidP="00212B5E">
      <w:pPr>
        <w:ind w:left="851"/>
        <w:rPr>
          <w:sz w:val="24"/>
          <w:szCs w:val="24"/>
        </w:rPr>
      </w:pPr>
    </w:p>
    <w:p w14:paraId="37A847D3" w14:textId="403F57BF" w:rsidR="00314C3D" w:rsidRPr="00212B5E" w:rsidRDefault="00314C3D" w:rsidP="00212B5E">
      <w:pPr>
        <w:ind w:left="851"/>
        <w:rPr>
          <w:sz w:val="24"/>
          <w:szCs w:val="24"/>
        </w:rPr>
      </w:pPr>
      <w:r w:rsidRPr="00212B5E">
        <w:rPr>
          <w:i/>
          <w:iCs/>
          <w:sz w:val="24"/>
          <w:szCs w:val="24"/>
        </w:rPr>
        <w:t xml:space="preserve">Venøs </w:t>
      </w:r>
      <w:proofErr w:type="spellStart"/>
      <w:r w:rsidRPr="00212B5E">
        <w:rPr>
          <w:i/>
          <w:iCs/>
          <w:sz w:val="24"/>
          <w:szCs w:val="24"/>
        </w:rPr>
        <w:t>tromboemboli</w:t>
      </w:r>
      <w:proofErr w:type="spellEnd"/>
      <w:r w:rsidRPr="00212B5E">
        <w:rPr>
          <w:i/>
          <w:iCs/>
          <w:sz w:val="24"/>
          <w:szCs w:val="24"/>
        </w:rPr>
        <w:t xml:space="preserve">: </w:t>
      </w:r>
      <w:r w:rsidRPr="00212B5E">
        <w:rPr>
          <w:sz w:val="24"/>
          <w:szCs w:val="24"/>
        </w:rPr>
        <w:t xml:space="preserve">Tilfælde af venøs </w:t>
      </w:r>
      <w:proofErr w:type="spellStart"/>
      <w:r w:rsidRPr="00212B5E">
        <w:rPr>
          <w:sz w:val="24"/>
          <w:szCs w:val="24"/>
        </w:rPr>
        <w:t>tromboemboli</w:t>
      </w:r>
      <w:proofErr w:type="spellEnd"/>
      <w:r w:rsidRPr="00212B5E">
        <w:rPr>
          <w:sz w:val="24"/>
          <w:szCs w:val="24"/>
        </w:rPr>
        <w:t xml:space="preserve">, herunder tilfælde af </w:t>
      </w:r>
      <w:proofErr w:type="spellStart"/>
      <w:r w:rsidRPr="00212B5E">
        <w:rPr>
          <w:sz w:val="24"/>
          <w:szCs w:val="24"/>
        </w:rPr>
        <w:t>pulmonær</w:t>
      </w:r>
      <w:proofErr w:type="spellEnd"/>
      <w:r w:rsidRPr="00212B5E">
        <w:rPr>
          <w:sz w:val="24"/>
          <w:szCs w:val="24"/>
        </w:rPr>
        <w:t xml:space="preserve"> </w:t>
      </w:r>
      <w:proofErr w:type="spellStart"/>
      <w:r w:rsidRPr="00212B5E">
        <w:rPr>
          <w:sz w:val="24"/>
          <w:szCs w:val="24"/>
        </w:rPr>
        <w:t>emboli</w:t>
      </w:r>
      <w:proofErr w:type="spellEnd"/>
      <w:r w:rsidRPr="00212B5E">
        <w:rPr>
          <w:sz w:val="24"/>
          <w:szCs w:val="24"/>
        </w:rPr>
        <w:t xml:space="preserve"> og</w:t>
      </w:r>
      <w:r w:rsidR="00C415A2">
        <w:rPr>
          <w:sz w:val="24"/>
          <w:szCs w:val="24"/>
        </w:rPr>
        <w:t xml:space="preserve"> </w:t>
      </w:r>
      <w:r w:rsidRPr="00212B5E">
        <w:rPr>
          <w:sz w:val="24"/>
          <w:szCs w:val="24"/>
        </w:rPr>
        <w:t>tilfælde af dyb venetrombose, er blevet rapporteret i forbindelse med antipsykotiske lægemidler –</w:t>
      </w:r>
      <w:r w:rsidR="00C415A2">
        <w:rPr>
          <w:sz w:val="24"/>
          <w:szCs w:val="24"/>
        </w:rPr>
        <w:t xml:space="preserve"> </w:t>
      </w:r>
      <w:r w:rsidRPr="00212B5E">
        <w:rPr>
          <w:sz w:val="24"/>
          <w:szCs w:val="24"/>
        </w:rPr>
        <w:t>hyppighed ukendt.</w:t>
      </w:r>
    </w:p>
    <w:p w14:paraId="4DD836E7" w14:textId="77777777" w:rsidR="00314C3D" w:rsidRPr="00212B5E" w:rsidRDefault="00314C3D" w:rsidP="00212B5E">
      <w:pPr>
        <w:ind w:left="851"/>
        <w:rPr>
          <w:sz w:val="24"/>
          <w:szCs w:val="24"/>
        </w:rPr>
      </w:pPr>
    </w:p>
    <w:p w14:paraId="7ABF202B" w14:textId="77777777" w:rsidR="00314C3D" w:rsidRPr="00212B5E" w:rsidRDefault="00314C3D" w:rsidP="00212B5E">
      <w:pPr>
        <w:ind w:left="851"/>
        <w:rPr>
          <w:sz w:val="24"/>
          <w:szCs w:val="24"/>
          <w:u w:val="single"/>
        </w:rPr>
      </w:pPr>
      <w:r w:rsidRPr="00212B5E">
        <w:rPr>
          <w:sz w:val="24"/>
          <w:szCs w:val="24"/>
          <w:u w:val="single"/>
        </w:rPr>
        <w:t>Indberetning af formodede bivirkninger</w:t>
      </w:r>
    </w:p>
    <w:p w14:paraId="2EE65B13" w14:textId="77777777" w:rsidR="00314C3D" w:rsidRPr="00212B5E" w:rsidRDefault="00314C3D" w:rsidP="00212B5E">
      <w:pPr>
        <w:ind w:left="851"/>
        <w:rPr>
          <w:sz w:val="24"/>
          <w:szCs w:val="24"/>
        </w:rPr>
      </w:pPr>
      <w:r w:rsidRPr="00212B5E">
        <w:rPr>
          <w:sz w:val="24"/>
          <w:szCs w:val="24"/>
        </w:rPr>
        <w:t>Når lægemidlet er godkendt, er indberetning af formodede bivirkninger vigtig. Det muliggør løbende overvågning af benefit/</w:t>
      </w:r>
      <w:proofErr w:type="spellStart"/>
      <w:r w:rsidRPr="00212B5E">
        <w:rPr>
          <w:sz w:val="24"/>
          <w:szCs w:val="24"/>
        </w:rPr>
        <w:t>risk</w:t>
      </w:r>
      <w:proofErr w:type="spellEnd"/>
      <w:r w:rsidRPr="00212B5E">
        <w:rPr>
          <w:sz w:val="24"/>
          <w:szCs w:val="24"/>
        </w:rPr>
        <w:t>-forholdet for lægemidlet. Sundhedspersoner anmodes om at indberette alle formodede bivirkninger via:</w:t>
      </w:r>
    </w:p>
    <w:p w14:paraId="5640A472" w14:textId="77777777" w:rsidR="00314C3D" w:rsidRPr="00212B5E" w:rsidRDefault="00314C3D" w:rsidP="00212B5E">
      <w:pPr>
        <w:ind w:left="851"/>
        <w:rPr>
          <w:sz w:val="24"/>
          <w:szCs w:val="24"/>
        </w:rPr>
      </w:pPr>
    </w:p>
    <w:p w14:paraId="08F17A44" w14:textId="77777777" w:rsidR="00314C3D" w:rsidRPr="00212B5E" w:rsidRDefault="00314C3D" w:rsidP="00212B5E">
      <w:pPr>
        <w:ind w:left="851"/>
        <w:rPr>
          <w:sz w:val="24"/>
          <w:szCs w:val="24"/>
        </w:rPr>
      </w:pPr>
      <w:r w:rsidRPr="00212B5E">
        <w:rPr>
          <w:sz w:val="24"/>
          <w:szCs w:val="24"/>
        </w:rPr>
        <w:t>Lægemiddelstyrelsen</w:t>
      </w:r>
    </w:p>
    <w:p w14:paraId="32EC35CE" w14:textId="77777777" w:rsidR="00314C3D" w:rsidRPr="00212B5E" w:rsidRDefault="00314C3D" w:rsidP="00212B5E">
      <w:pPr>
        <w:ind w:left="851"/>
        <w:rPr>
          <w:sz w:val="24"/>
          <w:szCs w:val="24"/>
        </w:rPr>
      </w:pPr>
      <w:r w:rsidRPr="00212B5E">
        <w:rPr>
          <w:sz w:val="24"/>
          <w:szCs w:val="24"/>
        </w:rPr>
        <w:t>Axel Heides Gade 1</w:t>
      </w:r>
    </w:p>
    <w:p w14:paraId="2AD8F508" w14:textId="77777777" w:rsidR="00314C3D" w:rsidRPr="00212B5E" w:rsidRDefault="00314C3D" w:rsidP="00212B5E">
      <w:pPr>
        <w:ind w:left="851"/>
        <w:rPr>
          <w:sz w:val="24"/>
          <w:szCs w:val="24"/>
        </w:rPr>
      </w:pPr>
      <w:r w:rsidRPr="00212B5E">
        <w:rPr>
          <w:sz w:val="24"/>
          <w:szCs w:val="24"/>
        </w:rPr>
        <w:t>DK-2300 København S</w:t>
      </w:r>
    </w:p>
    <w:p w14:paraId="603CFB89" w14:textId="77777777" w:rsidR="00314C3D" w:rsidRPr="00212B5E" w:rsidRDefault="00314C3D" w:rsidP="00212B5E">
      <w:pPr>
        <w:ind w:left="851"/>
        <w:rPr>
          <w:sz w:val="24"/>
          <w:szCs w:val="24"/>
        </w:rPr>
      </w:pPr>
      <w:r w:rsidRPr="00212B5E">
        <w:rPr>
          <w:sz w:val="24"/>
          <w:szCs w:val="24"/>
        </w:rPr>
        <w:t>Websted: www.meldenbivirkning.dk</w:t>
      </w:r>
    </w:p>
    <w:p w14:paraId="496A1331" w14:textId="77777777" w:rsidR="009260DE" w:rsidRPr="00212B5E" w:rsidRDefault="009260DE" w:rsidP="00A10294">
      <w:pPr>
        <w:tabs>
          <w:tab w:val="left" w:pos="851"/>
        </w:tabs>
        <w:ind w:left="851"/>
        <w:rPr>
          <w:sz w:val="24"/>
          <w:szCs w:val="24"/>
        </w:rPr>
      </w:pPr>
    </w:p>
    <w:p w14:paraId="056F1FE9" w14:textId="77777777" w:rsidR="009260DE" w:rsidRPr="00212B5E" w:rsidRDefault="009260DE" w:rsidP="009260DE">
      <w:pPr>
        <w:tabs>
          <w:tab w:val="left" w:pos="851"/>
        </w:tabs>
        <w:ind w:left="851" w:hanging="851"/>
        <w:rPr>
          <w:b/>
          <w:sz w:val="24"/>
          <w:szCs w:val="24"/>
        </w:rPr>
      </w:pPr>
      <w:r w:rsidRPr="00212B5E">
        <w:rPr>
          <w:b/>
          <w:sz w:val="24"/>
          <w:szCs w:val="24"/>
        </w:rPr>
        <w:t>4.9</w:t>
      </w:r>
      <w:r w:rsidRPr="00212B5E">
        <w:rPr>
          <w:b/>
          <w:sz w:val="24"/>
          <w:szCs w:val="24"/>
        </w:rPr>
        <w:tab/>
        <w:t>Overdosering</w:t>
      </w:r>
    </w:p>
    <w:p w14:paraId="40B0B41F" w14:textId="77777777" w:rsidR="00C415A2" w:rsidRDefault="00C415A2" w:rsidP="00212B5E">
      <w:pPr>
        <w:ind w:left="851"/>
        <w:rPr>
          <w:sz w:val="24"/>
          <w:szCs w:val="24"/>
        </w:rPr>
      </w:pPr>
    </w:p>
    <w:p w14:paraId="51C33F27" w14:textId="59161F04" w:rsidR="00314C3D" w:rsidRPr="00C415A2" w:rsidRDefault="00314C3D" w:rsidP="00212B5E">
      <w:pPr>
        <w:ind w:left="851"/>
        <w:rPr>
          <w:sz w:val="24"/>
          <w:szCs w:val="24"/>
          <w:u w:val="single"/>
          <w:lang w:eastAsia="da-DK"/>
        </w:rPr>
      </w:pPr>
      <w:r w:rsidRPr="00C415A2">
        <w:rPr>
          <w:sz w:val="24"/>
          <w:szCs w:val="24"/>
          <w:u w:val="single"/>
        </w:rPr>
        <w:t>Behandling af overdosering</w:t>
      </w:r>
    </w:p>
    <w:p w14:paraId="4A5A9A67" w14:textId="77777777" w:rsidR="00314C3D" w:rsidRPr="00212B5E" w:rsidRDefault="00314C3D" w:rsidP="00212B5E">
      <w:pPr>
        <w:ind w:left="851"/>
        <w:rPr>
          <w:sz w:val="24"/>
          <w:szCs w:val="24"/>
        </w:rPr>
      </w:pPr>
    </w:p>
    <w:p w14:paraId="10E23617" w14:textId="77777777" w:rsidR="00314C3D" w:rsidRPr="00212B5E" w:rsidRDefault="00314C3D" w:rsidP="00212B5E">
      <w:pPr>
        <w:ind w:left="851"/>
        <w:rPr>
          <w:sz w:val="24"/>
          <w:szCs w:val="24"/>
        </w:rPr>
      </w:pPr>
      <w:r w:rsidRPr="00212B5E">
        <w:rPr>
          <w:sz w:val="24"/>
          <w:szCs w:val="24"/>
        </w:rPr>
        <w:t xml:space="preserve">Der findes ingen specifik </w:t>
      </w:r>
      <w:proofErr w:type="spellStart"/>
      <w:r w:rsidRPr="00212B5E">
        <w:rPr>
          <w:sz w:val="24"/>
          <w:szCs w:val="24"/>
        </w:rPr>
        <w:t>antidot</w:t>
      </w:r>
      <w:proofErr w:type="spellEnd"/>
      <w:r w:rsidRPr="00212B5E">
        <w:rPr>
          <w:sz w:val="24"/>
          <w:szCs w:val="24"/>
        </w:rPr>
        <w:t xml:space="preserve"> for </w:t>
      </w:r>
      <w:proofErr w:type="spellStart"/>
      <w:r w:rsidRPr="00212B5E">
        <w:rPr>
          <w:sz w:val="24"/>
          <w:szCs w:val="24"/>
        </w:rPr>
        <w:t>lurasidon</w:t>
      </w:r>
      <w:proofErr w:type="spellEnd"/>
      <w:r w:rsidRPr="00212B5E">
        <w:rPr>
          <w:sz w:val="24"/>
          <w:szCs w:val="24"/>
        </w:rPr>
        <w:t>, og derfor bør der gives passende støttende behandling, og omhyggelig medicinsk kontrol og monitorering bør fortsætte, indtil patienten kommer sig.</w:t>
      </w:r>
    </w:p>
    <w:p w14:paraId="5141CD92" w14:textId="77777777" w:rsidR="00314C3D" w:rsidRPr="00212B5E" w:rsidRDefault="00314C3D" w:rsidP="00212B5E">
      <w:pPr>
        <w:ind w:left="851"/>
        <w:rPr>
          <w:sz w:val="24"/>
          <w:szCs w:val="24"/>
        </w:rPr>
      </w:pPr>
    </w:p>
    <w:p w14:paraId="6478433D" w14:textId="77777777" w:rsidR="00314C3D" w:rsidRPr="00212B5E" w:rsidRDefault="00314C3D" w:rsidP="00212B5E">
      <w:pPr>
        <w:ind w:left="851"/>
        <w:rPr>
          <w:sz w:val="24"/>
          <w:szCs w:val="24"/>
        </w:rPr>
      </w:pPr>
      <w:proofErr w:type="spellStart"/>
      <w:r w:rsidRPr="00212B5E">
        <w:rPr>
          <w:sz w:val="24"/>
          <w:szCs w:val="24"/>
        </w:rPr>
        <w:t>Kardiovaskulær</w:t>
      </w:r>
      <w:proofErr w:type="spellEnd"/>
      <w:r w:rsidRPr="00212B5E">
        <w:rPr>
          <w:sz w:val="24"/>
          <w:szCs w:val="24"/>
        </w:rPr>
        <w:t xml:space="preserve"> monitorering bør iværksættes straks og bør omfatte kontinuerlig </w:t>
      </w:r>
      <w:proofErr w:type="spellStart"/>
      <w:r w:rsidRPr="00212B5E">
        <w:rPr>
          <w:sz w:val="24"/>
          <w:szCs w:val="24"/>
        </w:rPr>
        <w:t>lektrokardiografisk</w:t>
      </w:r>
      <w:proofErr w:type="spellEnd"/>
      <w:r w:rsidRPr="00212B5E">
        <w:rPr>
          <w:sz w:val="24"/>
          <w:szCs w:val="24"/>
        </w:rPr>
        <w:t xml:space="preserve"> monitorering for eventuel </w:t>
      </w:r>
      <w:proofErr w:type="spellStart"/>
      <w:r w:rsidRPr="00212B5E">
        <w:rPr>
          <w:sz w:val="24"/>
          <w:szCs w:val="24"/>
        </w:rPr>
        <w:t>arytmi</w:t>
      </w:r>
      <w:proofErr w:type="spellEnd"/>
      <w:r w:rsidRPr="00212B5E">
        <w:rPr>
          <w:sz w:val="24"/>
          <w:szCs w:val="24"/>
        </w:rPr>
        <w:t xml:space="preserve">. I tilfælde, hvor der administreres </w:t>
      </w:r>
      <w:proofErr w:type="spellStart"/>
      <w:r w:rsidRPr="00212B5E">
        <w:rPr>
          <w:sz w:val="24"/>
          <w:szCs w:val="24"/>
        </w:rPr>
        <w:t>antiarytmisk</w:t>
      </w:r>
      <w:proofErr w:type="spellEnd"/>
      <w:r w:rsidRPr="00212B5E">
        <w:rPr>
          <w:sz w:val="24"/>
          <w:szCs w:val="24"/>
        </w:rPr>
        <w:t xml:space="preserve"> behandling, kan </w:t>
      </w:r>
      <w:proofErr w:type="spellStart"/>
      <w:r w:rsidRPr="00212B5E">
        <w:rPr>
          <w:sz w:val="24"/>
          <w:szCs w:val="24"/>
        </w:rPr>
        <w:t>disopyramid</w:t>
      </w:r>
      <w:proofErr w:type="spellEnd"/>
      <w:r w:rsidRPr="00212B5E">
        <w:rPr>
          <w:sz w:val="24"/>
          <w:szCs w:val="24"/>
        </w:rPr>
        <w:t xml:space="preserve">, </w:t>
      </w:r>
      <w:proofErr w:type="spellStart"/>
      <w:r w:rsidRPr="00212B5E">
        <w:rPr>
          <w:sz w:val="24"/>
          <w:szCs w:val="24"/>
        </w:rPr>
        <w:t>procainamid</w:t>
      </w:r>
      <w:proofErr w:type="spellEnd"/>
      <w:r w:rsidRPr="00212B5E">
        <w:rPr>
          <w:sz w:val="24"/>
          <w:szCs w:val="24"/>
        </w:rPr>
        <w:t xml:space="preserve"> og </w:t>
      </w:r>
      <w:proofErr w:type="spellStart"/>
      <w:r w:rsidRPr="00212B5E">
        <w:rPr>
          <w:sz w:val="24"/>
          <w:szCs w:val="24"/>
        </w:rPr>
        <w:t>quinidin</w:t>
      </w:r>
      <w:proofErr w:type="spellEnd"/>
      <w:r w:rsidRPr="00212B5E">
        <w:rPr>
          <w:sz w:val="24"/>
          <w:szCs w:val="24"/>
        </w:rPr>
        <w:t xml:space="preserve"> være forbundet med en teoretisk risiko for en QT-forlængende virkning, når de gives til patienter, der har modtaget en akut overdosis af </w:t>
      </w:r>
      <w:proofErr w:type="spellStart"/>
      <w:r w:rsidRPr="00212B5E">
        <w:rPr>
          <w:sz w:val="24"/>
          <w:szCs w:val="24"/>
        </w:rPr>
        <w:t>lurasidon</w:t>
      </w:r>
      <w:proofErr w:type="spellEnd"/>
      <w:r w:rsidRPr="00212B5E">
        <w:rPr>
          <w:sz w:val="24"/>
          <w:szCs w:val="24"/>
        </w:rPr>
        <w:t xml:space="preserve">. Desuden kan de alfablokerende egenskaber fra </w:t>
      </w:r>
      <w:proofErr w:type="spellStart"/>
      <w:r w:rsidRPr="00212B5E">
        <w:rPr>
          <w:sz w:val="24"/>
          <w:szCs w:val="24"/>
        </w:rPr>
        <w:t>bretylium</w:t>
      </w:r>
      <w:proofErr w:type="spellEnd"/>
      <w:r w:rsidRPr="00212B5E">
        <w:rPr>
          <w:sz w:val="24"/>
          <w:szCs w:val="24"/>
        </w:rPr>
        <w:t xml:space="preserve"> forstærke de samme egenskaber fra </w:t>
      </w:r>
      <w:proofErr w:type="spellStart"/>
      <w:r w:rsidRPr="00212B5E">
        <w:rPr>
          <w:sz w:val="24"/>
          <w:szCs w:val="24"/>
        </w:rPr>
        <w:t>lurasidon</w:t>
      </w:r>
      <w:proofErr w:type="spellEnd"/>
      <w:r w:rsidRPr="00212B5E">
        <w:rPr>
          <w:sz w:val="24"/>
          <w:szCs w:val="24"/>
        </w:rPr>
        <w:t xml:space="preserve"> og således medføre problematisk hypotension.</w:t>
      </w:r>
    </w:p>
    <w:p w14:paraId="74B855E5" w14:textId="77777777" w:rsidR="00314C3D" w:rsidRPr="00212B5E" w:rsidRDefault="00314C3D" w:rsidP="00212B5E">
      <w:pPr>
        <w:ind w:left="851"/>
        <w:rPr>
          <w:sz w:val="24"/>
          <w:szCs w:val="24"/>
        </w:rPr>
      </w:pPr>
    </w:p>
    <w:p w14:paraId="611B9FE8" w14:textId="0ADE2B6C" w:rsidR="00314C3D" w:rsidRPr="00212B5E" w:rsidRDefault="00314C3D" w:rsidP="00212B5E">
      <w:pPr>
        <w:ind w:left="851"/>
        <w:rPr>
          <w:sz w:val="24"/>
          <w:szCs w:val="24"/>
        </w:rPr>
      </w:pPr>
      <w:r w:rsidRPr="00212B5E">
        <w:rPr>
          <w:sz w:val="24"/>
          <w:szCs w:val="24"/>
        </w:rPr>
        <w:t>Hypotension og kredsløbskollaps behandles med relevante midler. Brug ikke adrenalin og dopamin,</w:t>
      </w:r>
      <w:r w:rsidR="00374098">
        <w:rPr>
          <w:sz w:val="24"/>
          <w:szCs w:val="24"/>
        </w:rPr>
        <w:t xml:space="preserve"> </w:t>
      </w:r>
      <w:r w:rsidRPr="00212B5E">
        <w:rPr>
          <w:sz w:val="24"/>
          <w:szCs w:val="24"/>
        </w:rPr>
        <w:t xml:space="preserve">eller andre </w:t>
      </w:r>
      <w:proofErr w:type="spellStart"/>
      <w:r w:rsidRPr="00212B5E">
        <w:rPr>
          <w:sz w:val="24"/>
          <w:szCs w:val="24"/>
        </w:rPr>
        <w:t>sympatomimetiske</w:t>
      </w:r>
      <w:proofErr w:type="spellEnd"/>
      <w:r w:rsidRPr="00212B5E">
        <w:rPr>
          <w:sz w:val="24"/>
          <w:szCs w:val="24"/>
        </w:rPr>
        <w:t xml:space="preserve"> midler med betaagonistaktivitet, da betastimulering kan forværre</w:t>
      </w:r>
      <w:r w:rsidR="00374098">
        <w:rPr>
          <w:sz w:val="24"/>
          <w:szCs w:val="24"/>
        </w:rPr>
        <w:t xml:space="preserve"> </w:t>
      </w:r>
      <w:r w:rsidRPr="00212B5E">
        <w:rPr>
          <w:sz w:val="24"/>
          <w:szCs w:val="24"/>
        </w:rPr>
        <w:t xml:space="preserve">hypotension i et regi med alfablokade fremkaldt af </w:t>
      </w:r>
      <w:proofErr w:type="spellStart"/>
      <w:r w:rsidRPr="00212B5E">
        <w:rPr>
          <w:sz w:val="24"/>
          <w:szCs w:val="24"/>
        </w:rPr>
        <w:t>lurasidon</w:t>
      </w:r>
      <w:proofErr w:type="spellEnd"/>
      <w:r w:rsidRPr="00212B5E">
        <w:rPr>
          <w:sz w:val="24"/>
          <w:szCs w:val="24"/>
        </w:rPr>
        <w:t>. I tilfælde af svære ekstrapyramidale</w:t>
      </w:r>
      <w:r w:rsidR="00374098">
        <w:rPr>
          <w:sz w:val="24"/>
          <w:szCs w:val="24"/>
        </w:rPr>
        <w:t xml:space="preserve"> </w:t>
      </w:r>
      <w:r w:rsidRPr="00212B5E">
        <w:rPr>
          <w:sz w:val="24"/>
          <w:szCs w:val="24"/>
        </w:rPr>
        <w:t xml:space="preserve">symptomer bør der indgives et </w:t>
      </w:r>
      <w:proofErr w:type="spellStart"/>
      <w:r w:rsidRPr="00212B5E">
        <w:rPr>
          <w:sz w:val="24"/>
          <w:szCs w:val="24"/>
        </w:rPr>
        <w:t>antikolinergikum</w:t>
      </w:r>
      <w:proofErr w:type="spellEnd"/>
      <w:r w:rsidRPr="00212B5E">
        <w:rPr>
          <w:sz w:val="24"/>
          <w:szCs w:val="24"/>
        </w:rPr>
        <w:t>.</w:t>
      </w:r>
    </w:p>
    <w:p w14:paraId="7BD26949" w14:textId="77777777" w:rsidR="00314C3D" w:rsidRPr="00212B5E" w:rsidRDefault="00314C3D" w:rsidP="00212B5E">
      <w:pPr>
        <w:ind w:left="851"/>
        <w:rPr>
          <w:sz w:val="24"/>
          <w:szCs w:val="24"/>
        </w:rPr>
      </w:pPr>
    </w:p>
    <w:p w14:paraId="521E05D6" w14:textId="77777777" w:rsidR="00314C3D" w:rsidRPr="00212B5E" w:rsidRDefault="00314C3D" w:rsidP="00212B5E">
      <w:pPr>
        <w:ind w:left="851"/>
        <w:rPr>
          <w:sz w:val="24"/>
          <w:szCs w:val="24"/>
        </w:rPr>
      </w:pPr>
      <w:r w:rsidRPr="00212B5E">
        <w:rPr>
          <w:sz w:val="24"/>
          <w:szCs w:val="24"/>
        </w:rPr>
        <w:t xml:space="preserve">Gastrisk </w:t>
      </w:r>
      <w:proofErr w:type="spellStart"/>
      <w:r w:rsidRPr="00212B5E">
        <w:rPr>
          <w:sz w:val="24"/>
          <w:szCs w:val="24"/>
        </w:rPr>
        <w:t>lavage</w:t>
      </w:r>
      <w:proofErr w:type="spellEnd"/>
      <w:r w:rsidRPr="00212B5E">
        <w:rPr>
          <w:sz w:val="24"/>
          <w:szCs w:val="24"/>
        </w:rPr>
        <w:t xml:space="preserve"> (efter </w:t>
      </w:r>
      <w:proofErr w:type="spellStart"/>
      <w:r w:rsidRPr="00212B5E">
        <w:rPr>
          <w:sz w:val="24"/>
          <w:szCs w:val="24"/>
        </w:rPr>
        <w:t>intubation</w:t>
      </w:r>
      <w:proofErr w:type="spellEnd"/>
      <w:r w:rsidRPr="00212B5E">
        <w:rPr>
          <w:sz w:val="24"/>
          <w:szCs w:val="24"/>
        </w:rPr>
        <w:t>, hvis patienten er bevidstløs) og indgift af aktivt kul sammen med et laksativ bør overvejes.</w:t>
      </w:r>
    </w:p>
    <w:p w14:paraId="64D2C75E" w14:textId="77777777" w:rsidR="00314C3D" w:rsidRPr="00212B5E" w:rsidRDefault="00314C3D" w:rsidP="00212B5E">
      <w:pPr>
        <w:ind w:left="851"/>
        <w:rPr>
          <w:sz w:val="24"/>
          <w:szCs w:val="24"/>
        </w:rPr>
      </w:pPr>
    </w:p>
    <w:p w14:paraId="384B2F1E" w14:textId="6491500F" w:rsidR="00314C3D" w:rsidRPr="00212B5E" w:rsidRDefault="00314C3D" w:rsidP="00212B5E">
      <w:pPr>
        <w:ind w:left="851"/>
        <w:rPr>
          <w:sz w:val="24"/>
          <w:szCs w:val="24"/>
        </w:rPr>
      </w:pPr>
      <w:r w:rsidRPr="00212B5E">
        <w:rPr>
          <w:sz w:val="24"/>
          <w:szCs w:val="24"/>
        </w:rPr>
        <w:t xml:space="preserve">Risikoen for omtåget adfærd, krampeanfald eller en </w:t>
      </w:r>
      <w:proofErr w:type="spellStart"/>
      <w:r w:rsidRPr="00212B5E">
        <w:rPr>
          <w:sz w:val="24"/>
          <w:szCs w:val="24"/>
        </w:rPr>
        <w:t>dystonisk</w:t>
      </w:r>
      <w:proofErr w:type="spellEnd"/>
      <w:r w:rsidRPr="00212B5E">
        <w:rPr>
          <w:sz w:val="24"/>
          <w:szCs w:val="24"/>
        </w:rPr>
        <w:t xml:space="preserve"> reaktion i hoved og nakke efter en</w:t>
      </w:r>
      <w:r w:rsidR="00374098">
        <w:rPr>
          <w:sz w:val="24"/>
          <w:szCs w:val="24"/>
        </w:rPr>
        <w:t xml:space="preserve"> </w:t>
      </w:r>
      <w:r w:rsidRPr="00212B5E">
        <w:rPr>
          <w:sz w:val="24"/>
          <w:szCs w:val="24"/>
        </w:rPr>
        <w:t xml:space="preserve">overdosis kan medføre en risiko for aspiration ved fremkaldt </w:t>
      </w:r>
      <w:proofErr w:type="spellStart"/>
      <w:r w:rsidRPr="00212B5E">
        <w:rPr>
          <w:sz w:val="24"/>
          <w:szCs w:val="24"/>
        </w:rPr>
        <w:t>emese</w:t>
      </w:r>
      <w:proofErr w:type="spellEnd"/>
      <w:r w:rsidRPr="00212B5E">
        <w:rPr>
          <w:sz w:val="24"/>
          <w:szCs w:val="24"/>
        </w:rPr>
        <w:t>.</w:t>
      </w:r>
    </w:p>
    <w:p w14:paraId="7E4A1908" w14:textId="77777777" w:rsidR="009260DE" w:rsidRPr="00212B5E" w:rsidRDefault="009260DE" w:rsidP="009260DE">
      <w:pPr>
        <w:tabs>
          <w:tab w:val="left" w:pos="851"/>
        </w:tabs>
        <w:ind w:left="851"/>
        <w:rPr>
          <w:sz w:val="24"/>
          <w:szCs w:val="24"/>
        </w:rPr>
      </w:pPr>
    </w:p>
    <w:p w14:paraId="7BAF3A78" w14:textId="77777777" w:rsidR="009260DE" w:rsidRPr="00212B5E" w:rsidRDefault="009260DE" w:rsidP="009260DE">
      <w:pPr>
        <w:tabs>
          <w:tab w:val="left" w:pos="851"/>
        </w:tabs>
        <w:ind w:left="851" w:hanging="851"/>
        <w:rPr>
          <w:b/>
          <w:sz w:val="24"/>
          <w:szCs w:val="24"/>
        </w:rPr>
      </w:pPr>
      <w:r w:rsidRPr="00212B5E">
        <w:rPr>
          <w:b/>
          <w:sz w:val="24"/>
          <w:szCs w:val="24"/>
        </w:rPr>
        <w:t>4.10</w:t>
      </w:r>
      <w:r w:rsidRPr="00212B5E">
        <w:rPr>
          <w:b/>
          <w:sz w:val="24"/>
          <w:szCs w:val="24"/>
        </w:rPr>
        <w:tab/>
        <w:t>Udlevering</w:t>
      </w:r>
    </w:p>
    <w:p w14:paraId="0C630376" w14:textId="32BD997A" w:rsidR="009260DE" w:rsidRPr="00212B5E" w:rsidRDefault="00314C3D" w:rsidP="009260DE">
      <w:pPr>
        <w:tabs>
          <w:tab w:val="left" w:pos="851"/>
        </w:tabs>
        <w:ind w:left="851"/>
        <w:rPr>
          <w:sz w:val="24"/>
          <w:szCs w:val="24"/>
        </w:rPr>
      </w:pPr>
      <w:r w:rsidRPr="00212B5E">
        <w:rPr>
          <w:sz w:val="24"/>
          <w:szCs w:val="24"/>
        </w:rPr>
        <w:t>B</w:t>
      </w:r>
    </w:p>
    <w:p w14:paraId="4D886EB4" w14:textId="77777777" w:rsidR="009260DE" w:rsidRPr="00212B5E" w:rsidRDefault="009260DE" w:rsidP="009260DE">
      <w:pPr>
        <w:tabs>
          <w:tab w:val="left" w:pos="851"/>
        </w:tabs>
        <w:ind w:left="851"/>
        <w:rPr>
          <w:sz w:val="24"/>
          <w:szCs w:val="24"/>
        </w:rPr>
      </w:pPr>
    </w:p>
    <w:p w14:paraId="060BC902" w14:textId="77777777" w:rsidR="009260DE" w:rsidRPr="00212B5E" w:rsidRDefault="009260DE" w:rsidP="009260DE">
      <w:pPr>
        <w:tabs>
          <w:tab w:val="left" w:pos="851"/>
        </w:tabs>
        <w:ind w:left="851"/>
        <w:rPr>
          <w:sz w:val="24"/>
          <w:szCs w:val="24"/>
        </w:rPr>
      </w:pPr>
    </w:p>
    <w:p w14:paraId="0D2B0E7F" w14:textId="77777777" w:rsidR="009260DE" w:rsidRPr="00212B5E" w:rsidRDefault="009260DE" w:rsidP="009260DE">
      <w:pPr>
        <w:tabs>
          <w:tab w:val="left" w:pos="851"/>
        </w:tabs>
        <w:ind w:left="851" w:hanging="851"/>
        <w:rPr>
          <w:b/>
          <w:sz w:val="24"/>
          <w:szCs w:val="24"/>
        </w:rPr>
      </w:pPr>
      <w:r w:rsidRPr="00212B5E">
        <w:rPr>
          <w:b/>
          <w:sz w:val="24"/>
          <w:szCs w:val="24"/>
        </w:rPr>
        <w:t>5.</w:t>
      </w:r>
      <w:r w:rsidRPr="00212B5E">
        <w:rPr>
          <w:b/>
          <w:sz w:val="24"/>
          <w:szCs w:val="24"/>
        </w:rPr>
        <w:tab/>
        <w:t>FARMAKOLOGISKE EGENSKABER</w:t>
      </w:r>
    </w:p>
    <w:p w14:paraId="47D7DD87" w14:textId="77777777" w:rsidR="009260DE" w:rsidRPr="00212B5E" w:rsidRDefault="009260DE" w:rsidP="009260DE">
      <w:pPr>
        <w:tabs>
          <w:tab w:val="left" w:pos="851"/>
        </w:tabs>
        <w:ind w:left="851"/>
        <w:rPr>
          <w:sz w:val="24"/>
          <w:szCs w:val="24"/>
        </w:rPr>
      </w:pPr>
    </w:p>
    <w:p w14:paraId="3F5A5125" w14:textId="77777777" w:rsidR="009260DE" w:rsidRPr="00212B5E" w:rsidRDefault="009260DE" w:rsidP="009260DE">
      <w:pPr>
        <w:tabs>
          <w:tab w:val="num" w:pos="851"/>
        </w:tabs>
        <w:ind w:left="851" w:hanging="851"/>
        <w:rPr>
          <w:b/>
          <w:sz w:val="24"/>
          <w:szCs w:val="24"/>
        </w:rPr>
      </w:pPr>
      <w:r w:rsidRPr="00212B5E">
        <w:rPr>
          <w:b/>
          <w:sz w:val="24"/>
          <w:szCs w:val="24"/>
        </w:rPr>
        <w:t>5.1</w:t>
      </w:r>
      <w:r w:rsidRPr="00212B5E">
        <w:rPr>
          <w:b/>
          <w:sz w:val="24"/>
          <w:szCs w:val="24"/>
        </w:rPr>
        <w:tab/>
      </w:r>
      <w:proofErr w:type="spellStart"/>
      <w:r w:rsidRPr="00212B5E">
        <w:rPr>
          <w:b/>
          <w:sz w:val="24"/>
          <w:szCs w:val="24"/>
        </w:rPr>
        <w:t>Farmakodynamiske</w:t>
      </w:r>
      <w:proofErr w:type="spellEnd"/>
      <w:r w:rsidRPr="00212B5E">
        <w:rPr>
          <w:b/>
          <w:sz w:val="24"/>
          <w:szCs w:val="24"/>
        </w:rPr>
        <w:t xml:space="preserve"> egenskaber</w:t>
      </w:r>
    </w:p>
    <w:p w14:paraId="089D16AB" w14:textId="6F915B13" w:rsidR="00314C3D" w:rsidRPr="00212B5E" w:rsidRDefault="00314C3D" w:rsidP="00212B5E">
      <w:pPr>
        <w:ind w:left="851"/>
        <w:rPr>
          <w:sz w:val="24"/>
          <w:szCs w:val="24"/>
        </w:rPr>
      </w:pPr>
      <w:proofErr w:type="spellStart"/>
      <w:r w:rsidRPr="00212B5E">
        <w:rPr>
          <w:sz w:val="24"/>
          <w:szCs w:val="24"/>
        </w:rPr>
        <w:t>Farmakoterapeutisk</w:t>
      </w:r>
      <w:proofErr w:type="spellEnd"/>
      <w:r w:rsidRPr="00212B5E">
        <w:rPr>
          <w:sz w:val="24"/>
          <w:szCs w:val="24"/>
        </w:rPr>
        <w:t xml:space="preserve"> klassifikation: </w:t>
      </w:r>
      <w:proofErr w:type="spellStart"/>
      <w:r w:rsidRPr="00212B5E">
        <w:rPr>
          <w:sz w:val="24"/>
          <w:szCs w:val="24"/>
        </w:rPr>
        <w:t>Psykoleptika</w:t>
      </w:r>
      <w:proofErr w:type="spellEnd"/>
      <w:r w:rsidRPr="00212B5E">
        <w:rPr>
          <w:sz w:val="24"/>
          <w:szCs w:val="24"/>
        </w:rPr>
        <w:t>, antipsykotika</w:t>
      </w:r>
      <w:r w:rsidR="00374098">
        <w:rPr>
          <w:sz w:val="24"/>
          <w:szCs w:val="24"/>
        </w:rPr>
        <w:t>,</w:t>
      </w:r>
      <w:r w:rsidRPr="00212B5E">
        <w:rPr>
          <w:sz w:val="24"/>
          <w:szCs w:val="24"/>
        </w:rPr>
        <w:t xml:space="preserve"> ATC-kode: N05AE05</w:t>
      </w:r>
      <w:r w:rsidR="00374098">
        <w:rPr>
          <w:sz w:val="24"/>
          <w:szCs w:val="24"/>
        </w:rPr>
        <w:t>.</w:t>
      </w:r>
    </w:p>
    <w:p w14:paraId="0D7B44DD" w14:textId="77777777" w:rsidR="00314C3D" w:rsidRPr="00212B5E" w:rsidRDefault="00314C3D" w:rsidP="00212B5E">
      <w:pPr>
        <w:ind w:left="851"/>
        <w:rPr>
          <w:sz w:val="24"/>
          <w:szCs w:val="24"/>
        </w:rPr>
      </w:pPr>
    </w:p>
    <w:p w14:paraId="4D0D823D" w14:textId="77777777" w:rsidR="00314C3D" w:rsidRPr="00212B5E" w:rsidRDefault="00314C3D" w:rsidP="00212B5E">
      <w:pPr>
        <w:ind w:left="851"/>
        <w:rPr>
          <w:sz w:val="24"/>
          <w:szCs w:val="24"/>
          <w:u w:val="single"/>
        </w:rPr>
      </w:pPr>
      <w:r w:rsidRPr="00212B5E">
        <w:rPr>
          <w:sz w:val="24"/>
          <w:szCs w:val="24"/>
          <w:u w:val="single"/>
        </w:rPr>
        <w:t>Virkningsmekanisme</w:t>
      </w:r>
    </w:p>
    <w:p w14:paraId="1A4A4198" w14:textId="77777777" w:rsidR="00314C3D" w:rsidRPr="00212B5E" w:rsidRDefault="00314C3D" w:rsidP="00212B5E">
      <w:pPr>
        <w:ind w:left="851"/>
        <w:rPr>
          <w:sz w:val="24"/>
          <w:szCs w:val="24"/>
        </w:rPr>
      </w:pPr>
    </w:p>
    <w:p w14:paraId="2DC3191F" w14:textId="77777777"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er en selektiv hæmmer af virkningen fra dopamin og </w:t>
      </w:r>
      <w:proofErr w:type="spellStart"/>
      <w:r w:rsidRPr="00212B5E">
        <w:rPr>
          <w:sz w:val="24"/>
          <w:szCs w:val="24"/>
        </w:rPr>
        <w:t>monoamin</w:t>
      </w:r>
      <w:proofErr w:type="spellEnd"/>
      <w:r w:rsidRPr="00212B5E">
        <w:rPr>
          <w:sz w:val="24"/>
          <w:szCs w:val="24"/>
        </w:rPr>
        <w:t xml:space="preserve">. </w:t>
      </w:r>
      <w:proofErr w:type="spellStart"/>
      <w:r w:rsidRPr="00212B5E">
        <w:rPr>
          <w:sz w:val="24"/>
          <w:szCs w:val="24"/>
        </w:rPr>
        <w:t>Lurasidon</w:t>
      </w:r>
      <w:proofErr w:type="spellEnd"/>
      <w:r w:rsidRPr="00212B5E">
        <w:rPr>
          <w:sz w:val="24"/>
          <w:szCs w:val="24"/>
        </w:rPr>
        <w:t xml:space="preserve"> bindes kraftigt til </w:t>
      </w:r>
      <w:proofErr w:type="spellStart"/>
      <w:r w:rsidRPr="00212B5E">
        <w:rPr>
          <w:sz w:val="24"/>
          <w:szCs w:val="24"/>
        </w:rPr>
        <w:t>dopaminerge</w:t>
      </w:r>
      <w:proofErr w:type="spellEnd"/>
      <w:r w:rsidRPr="00212B5E">
        <w:rPr>
          <w:sz w:val="24"/>
          <w:szCs w:val="24"/>
        </w:rPr>
        <w:t xml:space="preserve"> D2- og til </w:t>
      </w:r>
      <w:proofErr w:type="spellStart"/>
      <w:r w:rsidRPr="00212B5E">
        <w:rPr>
          <w:sz w:val="24"/>
          <w:szCs w:val="24"/>
        </w:rPr>
        <w:t>serotinerge</w:t>
      </w:r>
      <w:proofErr w:type="spellEnd"/>
      <w:r w:rsidRPr="00212B5E">
        <w:rPr>
          <w:sz w:val="24"/>
          <w:szCs w:val="24"/>
        </w:rPr>
        <w:t xml:space="preserve"> 5-HT2A and 5-HT7-receptorer med høj bindingsaffinitet på hhv. 0,994, 0,47 og 0,495 </w:t>
      </w:r>
      <w:proofErr w:type="spellStart"/>
      <w:r w:rsidRPr="00212B5E">
        <w:rPr>
          <w:sz w:val="24"/>
          <w:szCs w:val="24"/>
        </w:rPr>
        <w:t>nM</w:t>
      </w:r>
      <w:proofErr w:type="spellEnd"/>
      <w:r w:rsidRPr="00212B5E">
        <w:rPr>
          <w:sz w:val="24"/>
          <w:szCs w:val="24"/>
        </w:rPr>
        <w:t xml:space="preserve">. Den blokerer også for α2c-adrenerge receptorer og α2a-adrenerge receptorer med en bindingsaffinitet på hhv. 10,8 og 40,7 </w:t>
      </w:r>
      <w:proofErr w:type="spellStart"/>
      <w:r w:rsidRPr="00212B5E">
        <w:rPr>
          <w:sz w:val="24"/>
          <w:szCs w:val="24"/>
        </w:rPr>
        <w:t>nM</w:t>
      </w:r>
      <w:proofErr w:type="spellEnd"/>
      <w:r w:rsidRPr="00212B5E">
        <w:rPr>
          <w:sz w:val="24"/>
          <w:szCs w:val="24"/>
        </w:rPr>
        <w:t xml:space="preserve">. </w:t>
      </w:r>
      <w:proofErr w:type="spellStart"/>
      <w:r w:rsidRPr="00212B5E">
        <w:rPr>
          <w:sz w:val="24"/>
          <w:szCs w:val="24"/>
        </w:rPr>
        <w:t>Lurasidon</w:t>
      </w:r>
      <w:proofErr w:type="spellEnd"/>
      <w:r w:rsidRPr="00212B5E">
        <w:rPr>
          <w:sz w:val="24"/>
          <w:szCs w:val="24"/>
        </w:rPr>
        <w:t xml:space="preserve"> udviser også partiel </w:t>
      </w:r>
      <w:proofErr w:type="spellStart"/>
      <w:r w:rsidRPr="00212B5E">
        <w:rPr>
          <w:sz w:val="24"/>
          <w:szCs w:val="24"/>
        </w:rPr>
        <w:t>agonisme</w:t>
      </w:r>
      <w:proofErr w:type="spellEnd"/>
      <w:r w:rsidRPr="00212B5E">
        <w:rPr>
          <w:sz w:val="24"/>
          <w:szCs w:val="24"/>
        </w:rPr>
        <w:t xml:space="preserve"> på 5HT-1A-receptoren med en bindingsaffinitet på 6,38 </w:t>
      </w:r>
      <w:proofErr w:type="spellStart"/>
      <w:r w:rsidRPr="00212B5E">
        <w:rPr>
          <w:sz w:val="24"/>
          <w:szCs w:val="24"/>
        </w:rPr>
        <w:t>nM</w:t>
      </w:r>
      <w:proofErr w:type="spellEnd"/>
      <w:r w:rsidRPr="00212B5E">
        <w:rPr>
          <w:sz w:val="24"/>
          <w:szCs w:val="24"/>
        </w:rPr>
        <w:t xml:space="preserve">. </w:t>
      </w:r>
      <w:proofErr w:type="spellStart"/>
      <w:r w:rsidRPr="00212B5E">
        <w:rPr>
          <w:sz w:val="24"/>
          <w:szCs w:val="24"/>
        </w:rPr>
        <w:t>Lurasidon</w:t>
      </w:r>
      <w:proofErr w:type="spellEnd"/>
      <w:r w:rsidRPr="00212B5E">
        <w:rPr>
          <w:sz w:val="24"/>
          <w:szCs w:val="24"/>
        </w:rPr>
        <w:t xml:space="preserve"> binder ikke til </w:t>
      </w:r>
      <w:proofErr w:type="spellStart"/>
      <w:r w:rsidRPr="00212B5E">
        <w:rPr>
          <w:sz w:val="24"/>
          <w:szCs w:val="24"/>
        </w:rPr>
        <w:t>histaminerge</w:t>
      </w:r>
      <w:proofErr w:type="spellEnd"/>
      <w:r w:rsidRPr="00212B5E">
        <w:rPr>
          <w:sz w:val="24"/>
          <w:szCs w:val="24"/>
        </w:rPr>
        <w:t xml:space="preserve"> eller </w:t>
      </w:r>
      <w:proofErr w:type="spellStart"/>
      <w:r w:rsidRPr="00212B5E">
        <w:rPr>
          <w:sz w:val="24"/>
          <w:szCs w:val="24"/>
        </w:rPr>
        <w:t>muskarine</w:t>
      </w:r>
      <w:proofErr w:type="spellEnd"/>
      <w:r w:rsidRPr="00212B5E">
        <w:rPr>
          <w:sz w:val="24"/>
          <w:szCs w:val="24"/>
        </w:rPr>
        <w:t xml:space="preserve"> receptorer.</w:t>
      </w:r>
    </w:p>
    <w:p w14:paraId="30A776E1" w14:textId="77777777" w:rsidR="00314C3D" w:rsidRPr="00212B5E" w:rsidRDefault="00314C3D" w:rsidP="00212B5E">
      <w:pPr>
        <w:ind w:left="851"/>
        <w:rPr>
          <w:sz w:val="24"/>
          <w:szCs w:val="24"/>
        </w:rPr>
      </w:pPr>
    </w:p>
    <w:p w14:paraId="43DFB5EE" w14:textId="18EABF0A" w:rsidR="00314C3D" w:rsidRPr="00212B5E" w:rsidRDefault="00314C3D" w:rsidP="00212B5E">
      <w:pPr>
        <w:ind w:left="851"/>
        <w:rPr>
          <w:sz w:val="24"/>
          <w:szCs w:val="24"/>
        </w:rPr>
      </w:pPr>
      <w:r w:rsidRPr="00212B5E">
        <w:rPr>
          <w:sz w:val="24"/>
          <w:szCs w:val="24"/>
        </w:rPr>
        <w:t xml:space="preserve">Virkningsmekanismen for den mindre aktive metabolit fra </w:t>
      </w:r>
      <w:proofErr w:type="spellStart"/>
      <w:r w:rsidRPr="00212B5E">
        <w:rPr>
          <w:sz w:val="24"/>
          <w:szCs w:val="24"/>
        </w:rPr>
        <w:t>lurasidon</w:t>
      </w:r>
      <w:proofErr w:type="spellEnd"/>
      <w:r w:rsidRPr="00212B5E">
        <w:rPr>
          <w:sz w:val="24"/>
          <w:szCs w:val="24"/>
        </w:rPr>
        <w:t xml:space="preserve"> ID-14283 svarer til den for</w:t>
      </w:r>
      <w:r w:rsidR="00374098">
        <w:rPr>
          <w:sz w:val="24"/>
          <w:szCs w:val="24"/>
        </w:rPr>
        <w:t xml:space="preserve"> </w:t>
      </w:r>
      <w:proofErr w:type="spellStart"/>
      <w:r w:rsidRPr="00212B5E">
        <w:rPr>
          <w:sz w:val="24"/>
          <w:szCs w:val="24"/>
        </w:rPr>
        <w:t>lurasidon</w:t>
      </w:r>
      <w:proofErr w:type="spellEnd"/>
      <w:r w:rsidRPr="00212B5E">
        <w:rPr>
          <w:sz w:val="24"/>
          <w:szCs w:val="24"/>
        </w:rPr>
        <w:t>.</w:t>
      </w:r>
    </w:p>
    <w:p w14:paraId="78534107" w14:textId="77777777" w:rsidR="00314C3D" w:rsidRPr="00212B5E" w:rsidRDefault="00314C3D" w:rsidP="00212B5E">
      <w:pPr>
        <w:ind w:left="851"/>
        <w:rPr>
          <w:sz w:val="24"/>
          <w:szCs w:val="24"/>
        </w:rPr>
      </w:pPr>
    </w:p>
    <w:p w14:paraId="2CF29404" w14:textId="77777777"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-doser i området fra 9 til 74 mg administreret til raske forsøgspersoner gav en dosisafhængig reduktion i bindingen af 11C-racloprid, en D2/D3-receptorligand, i </w:t>
      </w:r>
      <w:proofErr w:type="spellStart"/>
      <w:r w:rsidRPr="00212B5E">
        <w:rPr>
          <w:sz w:val="24"/>
          <w:szCs w:val="24"/>
        </w:rPr>
        <w:t>caudatus</w:t>
      </w:r>
      <w:proofErr w:type="spellEnd"/>
      <w:r w:rsidRPr="00212B5E">
        <w:rPr>
          <w:sz w:val="24"/>
          <w:szCs w:val="24"/>
        </w:rPr>
        <w:t xml:space="preserve">, </w:t>
      </w:r>
      <w:proofErr w:type="spellStart"/>
      <w:r w:rsidRPr="00212B5E">
        <w:rPr>
          <w:sz w:val="24"/>
          <w:szCs w:val="24"/>
        </w:rPr>
        <w:t>putamen</w:t>
      </w:r>
      <w:proofErr w:type="spellEnd"/>
      <w:r w:rsidRPr="00212B5E">
        <w:rPr>
          <w:sz w:val="24"/>
          <w:szCs w:val="24"/>
        </w:rPr>
        <w:t xml:space="preserve"> og </w:t>
      </w:r>
      <w:proofErr w:type="spellStart"/>
      <w:r w:rsidRPr="00212B5E">
        <w:rPr>
          <w:sz w:val="24"/>
          <w:szCs w:val="24"/>
        </w:rPr>
        <w:t>ventral</w:t>
      </w:r>
      <w:proofErr w:type="spellEnd"/>
      <w:r w:rsidRPr="00212B5E">
        <w:rPr>
          <w:sz w:val="24"/>
          <w:szCs w:val="24"/>
        </w:rPr>
        <w:t xml:space="preserve"> </w:t>
      </w:r>
      <w:proofErr w:type="spellStart"/>
      <w:r w:rsidRPr="00212B5E">
        <w:rPr>
          <w:sz w:val="24"/>
          <w:szCs w:val="24"/>
        </w:rPr>
        <w:t>striatum</w:t>
      </w:r>
      <w:proofErr w:type="spellEnd"/>
      <w:r w:rsidRPr="00212B5E">
        <w:rPr>
          <w:sz w:val="24"/>
          <w:szCs w:val="24"/>
        </w:rPr>
        <w:t xml:space="preserve"> påvist ved </w:t>
      </w:r>
      <w:proofErr w:type="spellStart"/>
      <w:r w:rsidRPr="00212B5E">
        <w:rPr>
          <w:sz w:val="24"/>
          <w:szCs w:val="24"/>
        </w:rPr>
        <w:t>positronemissionstomografi</w:t>
      </w:r>
      <w:proofErr w:type="spellEnd"/>
      <w:r w:rsidRPr="00212B5E">
        <w:rPr>
          <w:sz w:val="24"/>
          <w:szCs w:val="24"/>
        </w:rPr>
        <w:t>.</w:t>
      </w:r>
    </w:p>
    <w:p w14:paraId="71253BA3" w14:textId="77777777" w:rsidR="00314C3D" w:rsidRPr="00212B5E" w:rsidRDefault="00314C3D" w:rsidP="00212B5E">
      <w:pPr>
        <w:ind w:left="851"/>
        <w:rPr>
          <w:sz w:val="24"/>
          <w:szCs w:val="24"/>
        </w:rPr>
      </w:pPr>
    </w:p>
    <w:p w14:paraId="3C6DC26B" w14:textId="77777777" w:rsidR="00314C3D" w:rsidRPr="00212B5E" w:rsidRDefault="00314C3D" w:rsidP="00212B5E">
      <w:pPr>
        <w:ind w:left="851"/>
        <w:rPr>
          <w:sz w:val="24"/>
          <w:szCs w:val="24"/>
          <w:u w:val="single"/>
        </w:rPr>
      </w:pPr>
      <w:proofErr w:type="spellStart"/>
      <w:r w:rsidRPr="00212B5E">
        <w:rPr>
          <w:sz w:val="24"/>
          <w:szCs w:val="24"/>
          <w:u w:val="single"/>
        </w:rPr>
        <w:t>Farmakodynamisk</w:t>
      </w:r>
      <w:proofErr w:type="spellEnd"/>
      <w:r w:rsidRPr="00212B5E">
        <w:rPr>
          <w:sz w:val="24"/>
          <w:szCs w:val="24"/>
          <w:u w:val="single"/>
        </w:rPr>
        <w:t xml:space="preserve"> virkning</w:t>
      </w:r>
    </w:p>
    <w:p w14:paraId="59C8536B" w14:textId="77777777" w:rsidR="00314C3D" w:rsidRPr="00212B5E" w:rsidRDefault="00314C3D" w:rsidP="00212B5E">
      <w:pPr>
        <w:ind w:left="851"/>
        <w:rPr>
          <w:sz w:val="24"/>
          <w:szCs w:val="24"/>
        </w:rPr>
      </w:pPr>
    </w:p>
    <w:p w14:paraId="753513D3" w14:textId="77777777" w:rsidR="00314C3D" w:rsidRPr="00212B5E" w:rsidRDefault="00314C3D" w:rsidP="00212B5E">
      <w:pPr>
        <w:ind w:left="851"/>
        <w:rPr>
          <w:sz w:val="24"/>
          <w:szCs w:val="24"/>
        </w:rPr>
      </w:pPr>
      <w:r w:rsidRPr="00212B5E">
        <w:rPr>
          <w:sz w:val="24"/>
          <w:szCs w:val="24"/>
        </w:rPr>
        <w:t xml:space="preserve">I de primære kliniske effektstudier blev </w:t>
      </w:r>
      <w:proofErr w:type="spellStart"/>
      <w:r w:rsidRPr="00212B5E">
        <w:rPr>
          <w:sz w:val="24"/>
          <w:szCs w:val="24"/>
        </w:rPr>
        <w:t>lurasidon</w:t>
      </w:r>
      <w:proofErr w:type="spellEnd"/>
      <w:r w:rsidRPr="00212B5E">
        <w:rPr>
          <w:sz w:val="24"/>
          <w:szCs w:val="24"/>
        </w:rPr>
        <w:t xml:space="preserve"> administreret i doser af 37-148 mg </w:t>
      </w:r>
      <w:proofErr w:type="spellStart"/>
      <w:r w:rsidRPr="00212B5E">
        <w:rPr>
          <w:sz w:val="24"/>
          <w:szCs w:val="24"/>
        </w:rPr>
        <w:t>lurasidon</w:t>
      </w:r>
      <w:proofErr w:type="spellEnd"/>
      <w:r w:rsidRPr="00212B5E">
        <w:rPr>
          <w:sz w:val="24"/>
          <w:szCs w:val="24"/>
        </w:rPr>
        <w:t>.</w:t>
      </w:r>
    </w:p>
    <w:p w14:paraId="10466B55" w14:textId="77777777" w:rsidR="00314C3D" w:rsidRPr="00212B5E" w:rsidRDefault="00314C3D" w:rsidP="00212B5E">
      <w:pPr>
        <w:ind w:left="851"/>
        <w:rPr>
          <w:sz w:val="24"/>
          <w:szCs w:val="24"/>
        </w:rPr>
      </w:pPr>
    </w:p>
    <w:p w14:paraId="78906215" w14:textId="77777777" w:rsidR="00314C3D" w:rsidRPr="00212B5E" w:rsidRDefault="00314C3D" w:rsidP="00212B5E">
      <w:pPr>
        <w:ind w:left="851"/>
        <w:rPr>
          <w:sz w:val="24"/>
          <w:szCs w:val="24"/>
          <w:u w:val="single"/>
        </w:rPr>
      </w:pPr>
      <w:r w:rsidRPr="00212B5E">
        <w:rPr>
          <w:sz w:val="24"/>
          <w:szCs w:val="24"/>
          <w:u w:val="single"/>
        </w:rPr>
        <w:t>Klinisk virkning</w:t>
      </w:r>
    </w:p>
    <w:p w14:paraId="560FC766" w14:textId="77777777" w:rsidR="00314C3D" w:rsidRPr="00212B5E" w:rsidRDefault="00314C3D" w:rsidP="00212B5E">
      <w:pPr>
        <w:ind w:left="851"/>
        <w:rPr>
          <w:sz w:val="24"/>
          <w:szCs w:val="24"/>
        </w:rPr>
      </w:pPr>
    </w:p>
    <w:p w14:paraId="22EF5EC0" w14:textId="08CFF129" w:rsidR="00314C3D" w:rsidRPr="00212B5E" w:rsidRDefault="00314C3D" w:rsidP="00212B5E">
      <w:pPr>
        <w:ind w:left="851"/>
        <w:rPr>
          <w:sz w:val="24"/>
          <w:szCs w:val="24"/>
        </w:rPr>
      </w:pPr>
      <w:r w:rsidRPr="00212B5E">
        <w:rPr>
          <w:sz w:val="24"/>
          <w:szCs w:val="24"/>
        </w:rPr>
        <w:t xml:space="preserve">Virkningen af </w:t>
      </w:r>
      <w:proofErr w:type="spellStart"/>
      <w:r w:rsidRPr="00212B5E">
        <w:rPr>
          <w:sz w:val="24"/>
          <w:szCs w:val="24"/>
        </w:rPr>
        <w:t>lurasidon</w:t>
      </w:r>
      <w:proofErr w:type="spellEnd"/>
      <w:r w:rsidRPr="00212B5E">
        <w:rPr>
          <w:sz w:val="24"/>
          <w:szCs w:val="24"/>
        </w:rPr>
        <w:t xml:space="preserve"> ved behandling af skizofreni blev påvist i fem placebokontrollerede,</w:t>
      </w:r>
      <w:r w:rsidR="00374098">
        <w:rPr>
          <w:sz w:val="24"/>
          <w:szCs w:val="24"/>
        </w:rPr>
        <w:t xml:space="preserve"> </w:t>
      </w:r>
      <w:r w:rsidRPr="00212B5E">
        <w:rPr>
          <w:sz w:val="24"/>
          <w:szCs w:val="24"/>
        </w:rPr>
        <w:t>dobbeltblindede multicenterforsøg af 6 ugers varighed med forsøgspersoner, som levede op til</w:t>
      </w:r>
      <w:r w:rsidR="00374098">
        <w:rPr>
          <w:sz w:val="24"/>
          <w:szCs w:val="24"/>
        </w:rPr>
        <w:t xml:space="preserve"> </w:t>
      </w:r>
      <w:r w:rsidRPr="00212B5E">
        <w:rPr>
          <w:sz w:val="24"/>
          <w:szCs w:val="24"/>
        </w:rPr>
        <w:t xml:space="preserve">kriterierne for skizofreni iht. </w:t>
      </w:r>
      <w:r w:rsidRPr="00374098">
        <w:rPr>
          <w:sz w:val="24"/>
          <w:szCs w:val="24"/>
          <w:lang w:val="en-US"/>
        </w:rPr>
        <w:t xml:space="preserve">Diagnostic and Statistical Manual of Mental Disorders, </w:t>
      </w:r>
      <w:proofErr w:type="spellStart"/>
      <w:r w:rsidRPr="00374098">
        <w:rPr>
          <w:sz w:val="24"/>
          <w:szCs w:val="24"/>
          <w:lang w:val="en-US"/>
        </w:rPr>
        <w:t>fjerde</w:t>
      </w:r>
      <w:proofErr w:type="spellEnd"/>
      <w:r w:rsidRPr="00374098">
        <w:rPr>
          <w:sz w:val="24"/>
          <w:szCs w:val="24"/>
          <w:lang w:val="en-US"/>
        </w:rPr>
        <w:t xml:space="preserve"> </w:t>
      </w:r>
      <w:proofErr w:type="spellStart"/>
      <w:r w:rsidRPr="00374098">
        <w:rPr>
          <w:sz w:val="24"/>
          <w:szCs w:val="24"/>
          <w:lang w:val="en-US"/>
        </w:rPr>
        <w:t>udgave</w:t>
      </w:r>
      <w:proofErr w:type="spellEnd"/>
      <w:r w:rsidR="00374098" w:rsidRPr="00374098">
        <w:rPr>
          <w:sz w:val="24"/>
          <w:szCs w:val="24"/>
          <w:lang w:val="en-US"/>
        </w:rPr>
        <w:t xml:space="preserve"> </w:t>
      </w:r>
      <w:r w:rsidRPr="00374098">
        <w:rPr>
          <w:sz w:val="24"/>
          <w:szCs w:val="24"/>
          <w:lang w:val="en-US"/>
        </w:rPr>
        <w:t xml:space="preserve">(DSM-IV). </w:t>
      </w:r>
      <w:proofErr w:type="spellStart"/>
      <w:r w:rsidRPr="00212B5E">
        <w:rPr>
          <w:sz w:val="24"/>
          <w:szCs w:val="24"/>
        </w:rPr>
        <w:t>Lurasidon</w:t>
      </w:r>
      <w:proofErr w:type="spellEnd"/>
      <w:r w:rsidRPr="00212B5E">
        <w:rPr>
          <w:sz w:val="24"/>
          <w:szCs w:val="24"/>
        </w:rPr>
        <w:t>-doser, som varierede på tværs af de fem forsøg, lå i området fra 37 til 148 mg</w:t>
      </w:r>
      <w:r w:rsidR="00374098">
        <w:rPr>
          <w:sz w:val="24"/>
          <w:szCs w:val="24"/>
        </w:rPr>
        <w:t xml:space="preserve"> </w:t>
      </w:r>
      <w:proofErr w:type="spellStart"/>
      <w:r w:rsidRPr="00212B5E">
        <w:rPr>
          <w:sz w:val="24"/>
          <w:szCs w:val="24"/>
        </w:rPr>
        <w:t>luraridon</w:t>
      </w:r>
      <w:proofErr w:type="spellEnd"/>
      <w:r w:rsidRPr="00212B5E">
        <w:rPr>
          <w:sz w:val="24"/>
          <w:szCs w:val="24"/>
        </w:rPr>
        <w:t xml:space="preserve"> administreret én gang dagligt. I kortvarige forsøg blev det primære effektendepunkt defineret som den gennemsnitlige ændring fra baseline til uge 6 af den samlede PANSS-score (Positive and Negative </w:t>
      </w:r>
      <w:proofErr w:type="spellStart"/>
      <w:r w:rsidRPr="00212B5E">
        <w:rPr>
          <w:sz w:val="24"/>
          <w:szCs w:val="24"/>
        </w:rPr>
        <w:t>Syndrome</w:t>
      </w:r>
      <w:proofErr w:type="spellEnd"/>
      <w:r w:rsidRPr="00212B5E">
        <w:rPr>
          <w:sz w:val="24"/>
          <w:szCs w:val="24"/>
        </w:rPr>
        <w:t xml:space="preserve"> </w:t>
      </w:r>
      <w:proofErr w:type="spellStart"/>
      <w:r w:rsidRPr="00212B5E">
        <w:rPr>
          <w:sz w:val="24"/>
          <w:szCs w:val="24"/>
        </w:rPr>
        <w:t>Scale</w:t>
      </w:r>
      <w:proofErr w:type="spellEnd"/>
      <w:r w:rsidRPr="00212B5E">
        <w:rPr>
          <w:sz w:val="24"/>
          <w:szCs w:val="24"/>
        </w:rPr>
        <w:t xml:space="preserve">), en valideret samling af flere elementer, som består af fem faktorer til at evaluere positive symptomer, negative symptomer, uorganiserede tanker, kontrolleret fjendtlighed/ophidselse og angst/depression. </w:t>
      </w:r>
      <w:proofErr w:type="spellStart"/>
      <w:r w:rsidRPr="00212B5E">
        <w:rPr>
          <w:sz w:val="24"/>
          <w:szCs w:val="24"/>
        </w:rPr>
        <w:t>Lurasidon</w:t>
      </w:r>
      <w:proofErr w:type="spellEnd"/>
      <w:r w:rsidRPr="00212B5E">
        <w:rPr>
          <w:sz w:val="24"/>
          <w:szCs w:val="24"/>
        </w:rPr>
        <w:t xml:space="preserve"> udviste bedre effekt sammenlignet med placebo på tværs af fase 3-undersøgelser (se tabel 3). </w:t>
      </w:r>
      <w:proofErr w:type="spellStart"/>
      <w:r w:rsidRPr="00212B5E">
        <w:rPr>
          <w:sz w:val="24"/>
          <w:szCs w:val="24"/>
        </w:rPr>
        <w:t>Lurasidon</w:t>
      </w:r>
      <w:proofErr w:type="spellEnd"/>
      <w:r w:rsidRPr="00212B5E">
        <w:rPr>
          <w:sz w:val="24"/>
          <w:szCs w:val="24"/>
        </w:rPr>
        <w:t xml:space="preserve"> viste en signifikant adskillelse fra placebo allerede fra dag 4. Derudover var </w:t>
      </w:r>
      <w:proofErr w:type="spellStart"/>
      <w:r w:rsidRPr="00212B5E">
        <w:rPr>
          <w:sz w:val="24"/>
          <w:szCs w:val="24"/>
        </w:rPr>
        <w:t>lurasidon</w:t>
      </w:r>
      <w:proofErr w:type="spellEnd"/>
      <w:r w:rsidRPr="00212B5E">
        <w:rPr>
          <w:sz w:val="24"/>
          <w:szCs w:val="24"/>
        </w:rPr>
        <w:t xml:space="preserve"> placebo overlegen mht. det foruddefinerede sekundære endepunkt fra skalaen </w:t>
      </w:r>
      <w:proofErr w:type="spellStart"/>
      <w:r w:rsidRPr="00212B5E">
        <w:rPr>
          <w:sz w:val="24"/>
          <w:szCs w:val="24"/>
        </w:rPr>
        <w:t>Clinical</w:t>
      </w:r>
      <w:proofErr w:type="spellEnd"/>
      <w:r w:rsidRPr="00212B5E">
        <w:rPr>
          <w:sz w:val="24"/>
          <w:szCs w:val="24"/>
        </w:rPr>
        <w:t xml:space="preserve"> Global </w:t>
      </w:r>
      <w:proofErr w:type="spellStart"/>
      <w:r w:rsidRPr="00212B5E">
        <w:rPr>
          <w:sz w:val="24"/>
          <w:szCs w:val="24"/>
        </w:rPr>
        <w:t>Impression</w:t>
      </w:r>
      <w:proofErr w:type="spellEnd"/>
      <w:r w:rsidRPr="00212B5E">
        <w:rPr>
          <w:sz w:val="24"/>
          <w:szCs w:val="24"/>
        </w:rPr>
        <w:t xml:space="preserve"> (CGI-S). Virkningen blev også bekræftet ved en sekundær analyse af behandlingsresponset (defineret som en reduktion på ≥ 30 % fra baseline i den samlede PANSS-score).</w:t>
      </w:r>
    </w:p>
    <w:p w14:paraId="5412A3A5" w14:textId="77777777" w:rsidR="00314C3D" w:rsidRPr="00212B5E" w:rsidRDefault="00314C3D" w:rsidP="00212B5E">
      <w:pPr>
        <w:ind w:left="851"/>
        <w:rPr>
          <w:sz w:val="24"/>
          <w:szCs w:val="24"/>
        </w:rPr>
      </w:pPr>
    </w:p>
    <w:p w14:paraId="6A1CDE1C" w14:textId="77777777" w:rsidR="00314C3D" w:rsidRPr="00212B5E" w:rsidRDefault="00314C3D" w:rsidP="00B04442">
      <w:pPr>
        <w:autoSpaceDE w:val="0"/>
        <w:autoSpaceDN w:val="0"/>
        <w:adjustRightInd w:val="0"/>
        <w:ind w:left="851" w:hanging="851"/>
        <w:rPr>
          <w:b/>
          <w:bCs/>
          <w:sz w:val="24"/>
          <w:szCs w:val="24"/>
        </w:rPr>
      </w:pPr>
      <w:r w:rsidRPr="00212B5E">
        <w:rPr>
          <w:b/>
          <w:bCs/>
          <w:sz w:val="24"/>
          <w:szCs w:val="24"/>
        </w:rPr>
        <w:t xml:space="preserve">Tabel 3: </w:t>
      </w:r>
      <w:r w:rsidRPr="00212B5E">
        <w:rPr>
          <w:b/>
          <w:bCs/>
          <w:sz w:val="24"/>
          <w:szCs w:val="24"/>
        </w:rPr>
        <w:tab/>
        <w:t>Undersøgelser af skizofreni hos voksne: PANSS-totalscore (Positive and Negative</w:t>
      </w:r>
    </w:p>
    <w:p w14:paraId="7081CAF6" w14:textId="77777777" w:rsidR="00314C3D" w:rsidRPr="00212B5E" w:rsidRDefault="00314C3D" w:rsidP="00B04442">
      <w:pPr>
        <w:autoSpaceDE w:val="0"/>
        <w:autoSpaceDN w:val="0"/>
        <w:adjustRightInd w:val="0"/>
        <w:ind w:left="851" w:firstLine="453"/>
        <w:rPr>
          <w:b/>
          <w:bCs/>
          <w:sz w:val="24"/>
          <w:szCs w:val="24"/>
        </w:rPr>
      </w:pPr>
      <w:proofErr w:type="spellStart"/>
      <w:r w:rsidRPr="00212B5E">
        <w:rPr>
          <w:b/>
          <w:bCs/>
          <w:sz w:val="24"/>
          <w:szCs w:val="24"/>
        </w:rPr>
        <w:t>Syndrome</w:t>
      </w:r>
      <w:proofErr w:type="spellEnd"/>
      <w:r w:rsidRPr="00212B5E">
        <w:rPr>
          <w:b/>
          <w:bCs/>
          <w:sz w:val="24"/>
          <w:szCs w:val="24"/>
        </w:rPr>
        <w:t xml:space="preserve"> </w:t>
      </w:r>
      <w:proofErr w:type="spellStart"/>
      <w:r w:rsidRPr="00212B5E">
        <w:rPr>
          <w:b/>
          <w:bCs/>
          <w:sz w:val="24"/>
          <w:szCs w:val="24"/>
        </w:rPr>
        <w:t>Scale</w:t>
      </w:r>
      <w:proofErr w:type="spellEnd"/>
      <w:r w:rsidRPr="00212B5E">
        <w:rPr>
          <w:b/>
          <w:bCs/>
          <w:sz w:val="24"/>
          <w:szCs w:val="24"/>
        </w:rPr>
        <w:t xml:space="preserve"> for </w:t>
      </w:r>
      <w:proofErr w:type="spellStart"/>
      <w:r w:rsidRPr="00212B5E">
        <w:rPr>
          <w:b/>
          <w:bCs/>
          <w:sz w:val="24"/>
          <w:szCs w:val="24"/>
        </w:rPr>
        <w:t>Schizophrenia</w:t>
      </w:r>
      <w:proofErr w:type="spellEnd"/>
      <w:r w:rsidRPr="00212B5E">
        <w:rPr>
          <w:b/>
          <w:bCs/>
          <w:sz w:val="24"/>
          <w:szCs w:val="24"/>
        </w:rPr>
        <w:t>) – ændring fra baseline til uge 6-MMRM for</w:t>
      </w:r>
    </w:p>
    <w:p w14:paraId="3E5423B2" w14:textId="77777777" w:rsidR="00314C3D" w:rsidRPr="00212B5E" w:rsidRDefault="00314C3D" w:rsidP="00B04442">
      <w:pPr>
        <w:suppressAutoHyphens/>
        <w:ind w:left="851" w:firstLine="453"/>
        <w:rPr>
          <w:sz w:val="24"/>
          <w:szCs w:val="24"/>
        </w:rPr>
      </w:pPr>
      <w:r w:rsidRPr="00212B5E">
        <w:rPr>
          <w:b/>
          <w:bCs/>
          <w:sz w:val="24"/>
          <w:szCs w:val="24"/>
        </w:rPr>
        <w:t>forsøgene D1050229, D1050231 og D1050233: Intent-to-</w:t>
      </w:r>
      <w:proofErr w:type="spellStart"/>
      <w:r w:rsidRPr="00212B5E">
        <w:rPr>
          <w:b/>
          <w:bCs/>
          <w:sz w:val="24"/>
          <w:szCs w:val="24"/>
        </w:rPr>
        <w:t>treat</w:t>
      </w:r>
      <w:proofErr w:type="spellEnd"/>
      <w:r w:rsidRPr="00212B5E">
        <w:rPr>
          <w:b/>
          <w:bCs/>
          <w:sz w:val="24"/>
          <w:szCs w:val="24"/>
        </w:rPr>
        <w:t>-analysesæt</w:t>
      </w:r>
    </w:p>
    <w:p w14:paraId="3CEA45E5" w14:textId="77777777" w:rsidR="00314C3D" w:rsidRPr="00212B5E" w:rsidRDefault="00314C3D" w:rsidP="00314C3D">
      <w:pPr>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15"/>
        <w:gridCol w:w="1236"/>
        <w:gridCol w:w="1236"/>
        <w:gridCol w:w="1236"/>
        <w:gridCol w:w="1236"/>
        <w:gridCol w:w="1240"/>
        <w:gridCol w:w="1329"/>
      </w:tblGrid>
      <w:tr w:rsidR="00314C3D" w:rsidRPr="00374098" w14:paraId="063F5F41" w14:textId="77777777" w:rsidTr="00374098">
        <w:trPr>
          <w:trHeight w:val="20"/>
        </w:trPr>
        <w:tc>
          <w:tcPr>
            <w:tcW w:w="1098" w:type="pct"/>
            <w:vMerge w:val="restart"/>
            <w:tcBorders>
              <w:top w:val="single" w:sz="4" w:space="0" w:color="000000"/>
              <w:left w:val="single" w:sz="4" w:space="0" w:color="000000"/>
              <w:bottom w:val="single" w:sz="6" w:space="0" w:color="000000"/>
              <w:right w:val="single" w:sz="6" w:space="0" w:color="000000"/>
            </w:tcBorders>
            <w:hideMark/>
          </w:tcPr>
          <w:p w14:paraId="0288410E" w14:textId="77777777" w:rsidR="00314C3D" w:rsidRPr="00374098" w:rsidRDefault="00314C3D">
            <w:pPr>
              <w:pStyle w:val="TableParagraph"/>
              <w:ind w:left="402"/>
              <w:rPr>
                <w:b/>
                <w:sz w:val="20"/>
                <w:szCs w:val="20"/>
                <w:lang w:val="da-DK"/>
              </w:rPr>
            </w:pPr>
            <w:r w:rsidRPr="00374098">
              <w:rPr>
                <w:b/>
                <w:spacing w:val="-2"/>
                <w:sz w:val="20"/>
                <w:szCs w:val="20"/>
                <w:lang w:val="da-DK"/>
              </w:rPr>
              <w:t>Forsøgsstatistik</w:t>
            </w:r>
          </w:p>
        </w:tc>
        <w:tc>
          <w:tcPr>
            <w:tcW w:w="642" w:type="pct"/>
            <w:vMerge w:val="restart"/>
            <w:tcBorders>
              <w:top w:val="single" w:sz="4" w:space="0" w:color="000000"/>
              <w:left w:val="single" w:sz="6" w:space="0" w:color="000000"/>
              <w:bottom w:val="single" w:sz="6" w:space="0" w:color="000000"/>
              <w:right w:val="single" w:sz="6" w:space="0" w:color="000000"/>
            </w:tcBorders>
            <w:hideMark/>
          </w:tcPr>
          <w:p w14:paraId="403467EA" w14:textId="77777777" w:rsidR="00314C3D" w:rsidRPr="00374098" w:rsidRDefault="00314C3D">
            <w:pPr>
              <w:pStyle w:val="TableParagraph"/>
              <w:ind w:left="279"/>
              <w:rPr>
                <w:b/>
                <w:sz w:val="20"/>
                <w:szCs w:val="20"/>
                <w:lang w:val="da-DK"/>
              </w:rPr>
            </w:pPr>
            <w:r w:rsidRPr="00374098">
              <w:rPr>
                <w:b/>
                <w:spacing w:val="-2"/>
                <w:sz w:val="20"/>
                <w:szCs w:val="20"/>
                <w:lang w:val="da-DK"/>
              </w:rPr>
              <w:t>Placebo</w:t>
            </w:r>
          </w:p>
        </w:tc>
        <w:tc>
          <w:tcPr>
            <w:tcW w:w="2570" w:type="pct"/>
            <w:gridSpan w:val="4"/>
            <w:tcBorders>
              <w:top w:val="single" w:sz="4" w:space="0" w:color="000000"/>
              <w:left w:val="single" w:sz="6" w:space="0" w:color="000000"/>
              <w:bottom w:val="single" w:sz="6" w:space="0" w:color="000000"/>
              <w:right w:val="single" w:sz="6" w:space="0" w:color="000000"/>
            </w:tcBorders>
            <w:hideMark/>
          </w:tcPr>
          <w:p w14:paraId="35834DD5" w14:textId="77777777" w:rsidR="00314C3D" w:rsidRPr="00374098" w:rsidRDefault="00314C3D">
            <w:pPr>
              <w:pStyle w:val="TableParagraph"/>
              <w:spacing w:line="187" w:lineRule="exact"/>
              <w:ind w:left="9"/>
              <w:jc w:val="center"/>
              <w:rPr>
                <w:b/>
                <w:sz w:val="20"/>
                <w:szCs w:val="20"/>
                <w:lang w:val="da-DK"/>
              </w:rPr>
            </w:pPr>
            <w:proofErr w:type="spellStart"/>
            <w:r w:rsidRPr="00374098">
              <w:rPr>
                <w:b/>
                <w:sz w:val="20"/>
                <w:szCs w:val="20"/>
                <w:lang w:val="da-DK"/>
              </w:rPr>
              <w:t>Lurasidon</w:t>
            </w:r>
            <w:proofErr w:type="spellEnd"/>
            <w:r w:rsidRPr="00374098">
              <w:rPr>
                <w:b/>
                <w:spacing w:val="-7"/>
                <w:sz w:val="20"/>
                <w:szCs w:val="20"/>
                <w:lang w:val="da-DK"/>
              </w:rPr>
              <w:t xml:space="preserve"> </w:t>
            </w:r>
            <w:r w:rsidRPr="00374098">
              <w:rPr>
                <w:b/>
                <w:sz w:val="20"/>
                <w:szCs w:val="20"/>
                <w:lang w:val="da-DK"/>
              </w:rPr>
              <w:t>doser</w:t>
            </w:r>
            <w:r w:rsidRPr="00374098">
              <w:rPr>
                <w:b/>
                <w:spacing w:val="-5"/>
                <w:sz w:val="20"/>
                <w:szCs w:val="20"/>
                <w:lang w:val="da-DK"/>
              </w:rPr>
              <w:t xml:space="preserve"> (b)</w:t>
            </w:r>
          </w:p>
        </w:tc>
        <w:tc>
          <w:tcPr>
            <w:tcW w:w="690" w:type="pct"/>
            <w:vMerge w:val="restart"/>
            <w:tcBorders>
              <w:top w:val="single" w:sz="4" w:space="0" w:color="000000"/>
              <w:left w:val="single" w:sz="6" w:space="0" w:color="000000"/>
              <w:bottom w:val="single" w:sz="6" w:space="0" w:color="000000"/>
              <w:right w:val="single" w:sz="4" w:space="0" w:color="000000"/>
            </w:tcBorders>
            <w:hideMark/>
          </w:tcPr>
          <w:p w14:paraId="094DBC59" w14:textId="77777777" w:rsidR="00314C3D" w:rsidRPr="00374098" w:rsidRDefault="00314C3D">
            <w:pPr>
              <w:pStyle w:val="TableParagraph"/>
              <w:spacing w:line="200" w:lineRule="atLeast"/>
              <w:ind w:left="211" w:right="195" w:firstLine="197"/>
              <w:rPr>
                <w:b/>
                <w:sz w:val="20"/>
                <w:szCs w:val="20"/>
                <w:lang w:val="da-DK"/>
              </w:rPr>
            </w:pPr>
            <w:r w:rsidRPr="00374098">
              <w:rPr>
                <w:b/>
                <w:spacing w:val="-2"/>
                <w:sz w:val="20"/>
                <w:szCs w:val="20"/>
                <w:lang w:val="da-DK"/>
              </w:rPr>
              <w:t xml:space="preserve">Aktiv </w:t>
            </w:r>
            <w:r w:rsidRPr="00374098">
              <w:rPr>
                <w:b/>
                <w:sz w:val="20"/>
                <w:szCs w:val="20"/>
                <w:lang w:val="da-DK"/>
              </w:rPr>
              <w:t>kontrol</w:t>
            </w:r>
            <w:r w:rsidRPr="00374098">
              <w:rPr>
                <w:b/>
                <w:spacing w:val="-12"/>
                <w:sz w:val="20"/>
                <w:szCs w:val="20"/>
                <w:lang w:val="da-DK"/>
              </w:rPr>
              <w:t xml:space="preserve"> </w:t>
            </w:r>
            <w:r w:rsidRPr="00374098">
              <w:rPr>
                <w:b/>
                <w:sz w:val="20"/>
                <w:szCs w:val="20"/>
                <w:lang w:val="da-DK"/>
              </w:rPr>
              <w:t>(a)</w:t>
            </w:r>
          </w:p>
        </w:tc>
      </w:tr>
      <w:tr w:rsidR="00314C3D" w:rsidRPr="00374098" w14:paraId="36B546A3" w14:textId="77777777" w:rsidTr="00374098">
        <w:trPr>
          <w:trHeight w:val="20"/>
        </w:trPr>
        <w:tc>
          <w:tcPr>
            <w:tcW w:w="1098" w:type="pct"/>
            <w:vMerge/>
            <w:tcBorders>
              <w:top w:val="single" w:sz="4" w:space="0" w:color="000000"/>
              <w:left w:val="single" w:sz="4" w:space="0" w:color="000000"/>
              <w:bottom w:val="single" w:sz="6" w:space="0" w:color="000000"/>
              <w:right w:val="single" w:sz="6" w:space="0" w:color="000000"/>
            </w:tcBorders>
            <w:vAlign w:val="center"/>
            <w:hideMark/>
          </w:tcPr>
          <w:p w14:paraId="4835E793" w14:textId="77777777" w:rsidR="00314C3D" w:rsidRPr="00374098" w:rsidRDefault="00314C3D">
            <w:pPr>
              <w:rPr>
                <w:b/>
                <w:sz w:val="20"/>
              </w:rPr>
            </w:pPr>
          </w:p>
        </w:tc>
        <w:tc>
          <w:tcPr>
            <w:tcW w:w="642" w:type="pct"/>
            <w:vMerge/>
            <w:tcBorders>
              <w:top w:val="single" w:sz="4" w:space="0" w:color="000000"/>
              <w:left w:val="single" w:sz="6" w:space="0" w:color="000000"/>
              <w:bottom w:val="single" w:sz="6" w:space="0" w:color="000000"/>
              <w:right w:val="single" w:sz="6" w:space="0" w:color="000000"/>
            </w:tcBorders>
            <w:vAlign w:val="center"/>
            <w:hideMark/>
          </w:tcPr>
          <w:p w14:paraId="5701DDA0" w14:textId="77777777" w:rsidR="00314C3D" w:rsidRPr="00374098" w:rsidRDefault="00314C3D">
            <w:pPr>
              <w:rPr>
                <w:b/>
                <w:sz w:val="20"/>
              </w:rPr>
            </w:pPr>
          </w:p>
        </w:tc>
        <w:tc>
          <w:tcPr>
            <w:tcW w:w="642" w:type="pct"/>
            <w:tcBorders>
              <w:top w:val="single" w:sz="6" w:space="0" w:color="000000"/>
              <w:left w:val="single" w:sz="6" w:space="0" w:color="000000"/>
              <w:bottom w:val="single" w:sz="6" w:space="0" w:color="000000"/>
              <w:right w:val="single" w:sz="6" w:space="0" w:color="000000"/>
            </w:tcBorders>
            <w:hideMark/>
          </w:tcPr>
          <w:p w14:paraId="7DA01A30" w14:textId="77777777" w:rsidR="00314C3D" w:rsidRPr="00374098" w:rsidRDefault="00314C3D">
            <w:pPr>
              <w:pStyle w:val="TableParagraph"/>
              <w:spacing w:line="187" w:lineRule="exact"/>
              <w:ind w:left="10" w:right="1"/>
              <w:jc w:val="center"/>
              <w:rPr>
                <w:b/>
                <w:sz w:val="20"/>
                <w:szCs w:val="20"/>
                <w:lang w:val="da-DK"/>
              </w:rPr>
            </w:pPr>
            <w:r w:rsidRPr="00374098">
              <w:rPr>
                <w:b/>
                <w:sz w:val="20"/>
                <w:szCs w:val="20"/>
                <w:lang w:val="da-DK"/>
              </w:rPr>
              <w:t xml:space="preserve">37 </w:t>
            </w:r>
            <w:r w:rsidRPr="00374098">
              <w:rPr>
                <w:b/>
                <w:spacing w:val="-5"/>
                <w:sz w:val="20"/>
                <w:szCs w:val="20"/>
                <w:lang w:val="da-DK"/>
              </w:rPr>
              <w:t>mg</w:t>
            </w:r>
          </w:p>
        </w:tc>
        <w:tc>
          <w:tcPr>
            <w:tcW w:w="642" w:type="pct"/>
            <w:tcBorders>
              <w:top w:val="single" w:sz="6" w:space="0" w:color="000000"/>
              <w:left w:val="single" w:sz="6" w:space="0" w:color="000000"/>
              <w:bottom w:val="single" w:sz="6" w:space="0" w:color="000000"/>
              <w:right w:val="single" w:sz="6" w:space="0" w:color="000000"/>
            </w:tcBorders>
            <w:hideMark/>
          </w:tcPr>
          <w:p w14:paraId="0219A631" w14:textId="77777777" w:rsidR="00314C3D" w:rsidRPr="00374098" w:rsidRDefault="00314C3D">
            <w:pPr>
              <w:pStyle w:val="TableParagraph"/>
              <w:spacing w:line="187" w:lineRule="exact"/>
              <w:ind w:left="10" w:right="1"/>
              <w:jc w:val="center"/>
              <w:rPr>
                <w:b/>
                <w:sz w:val="20"/>
                <w:szCs w:val="20"/>
                <w:lang w:val="da-DK"/>
              </w:rPr>
            </w:pPr>
            <w:r w:rsidRPr="00374098">
              <w:rPr>
                <w:b/>
                <w:sz w:val="20"/>
                <w:szCs w:val="20"/>
                <w:lang w:val="da-DK"/>
              </w:rPr>
              <w:t xml:space="preserve">74 </w:t>
            </w:r>
            <w:r w:rsidRPr="00374098">
              <w:rPr>
                <w:b/>
                <w:spacing w:val="-5"/>
                <w:sz w:val="20"/>
                <w:szCs w:val="20"/>
                <w:lang w:val="da-DK"/>
              </w:rPr>
              <w:t>mg</w:t>
            </w:r>
          </w:p>
        </w:tc>
        <w:tc>
          <w:tcPr>
            <w:tcW w:w="642" w:type="pct"/>
            <w:tcBorders>
              <w:top w:val="single" w:sz="6" w:space="0" w:color="000000"/>
              <w:left w:val="single" w:sz="6" w:space="0" w:color="000000"/>
              <w:bottom w:val="single" w:sz="6" w:space="0" w:color="000000"/>
              <w:right w:val="single" w:sz="6" w:space="0" w:color="000000"/>
            </w:tcBorders>
            <w:hideMark/>
          </w:tcPr>
          <w:p w14:paraId="2D0957EE" w14:textId="77777777" w:rsidR="00314C3D" w:rsidRPr="00374098" w:rsidRDefault="00314C3D">
            <w:pPr>
              <w:pStyle w:val="TableParagraph"/>
              <w:spacing w:line="187" w:lineRule="exact"/>
              <w:ind w:left="10" w:right="1"/>
              <w:jc w:val="center"/>
              <w:rPr>
                <w:b/>
                <w:sz w:val="20"/>
                <w:szCs w:val="20"/>
                <w:lang w:val="da-DK"/>
              </w:rPr>
            </w:pPr>
            <w:r w:rsidRPr="00374098">
              <w:rPr>
                <w:b/>
                <w:sz w:val="20"/>
                <w:szCs w:val="20"/>
                <w:lang w:val="da-DK"/>
              </w:rPr>
              <w:t xml:space="preserve">111 </w:t>
            </w:r>
            <w:r w:rsidRPr="00374098">
              <w:rPr>
                <w:b/>
                <w:spacing w:val="-5"/>
                <w:sz w:val="20"/>
                <w:szCs w:val="20"/>
                <w:lang w:val="da-DK"/>
              </w:rPr>
              <w:t>mg</w:t>
            </w:r>
          </w:p>
        </w:tc>
        <w:tc>
          <w:tcPr>
            <w:tcW w:w="644" w:type="pct"/>
            <w:tcBorders>
              <w:top w:val="single" w:sz="6" w:space="0" w:color="000000"/>
              <w:left w:val="single" w:sz="6" w:space="0" w:color="000000"/>
              <w:bottom w:val="single" w:sz="6" w:space="0" w:color="000000"/>
              <w:right w:val="single" w:sz="6" w:space="0" w:color="000000"/>
            </w:tcBorders>
            <w:hideMark/>
          </w:tcPr>
          <w:p w14:paraId="5A7F0CCB" w14:textId="77777777" w:rsidR="00314C3D" w:rsidRPr="00374098" w:rsidRDefault="00314C3D">
            <w:pPr>
              <w:pStyle w:val="TableParagraph"/>
              <w:spacing w:line="187" w:lineRule="exact"/>
              <w:ind w:left="10" w:right="1"/>
              <w:jc w:val="center"/>
              <w:rPr>
                <w:b/>
                <w:sz w:val="20"/>
                <w:szCs w:val="20"/>
                <w:lang w:val="da-DK"/>
              </w:rPr>
            </w:pPr>
            <w:r w:rsidRPr="00374098">
              <w:rPr>
                <w:b/>
                <w:sz w:val="20"/>
                <w:szCs w:val="20"/>
                <w:lang w:val="da-DK"/>
              </w:rPr>
              <w:t xml:space="preserve">148 </w:t>
            </w:r>
            <w:r w:rsidRPr="00374098">
              <w:rPr>
                <w:b/>
                <w:spacing w:val="-5"/>
                <w:sz w:val="20"/>
                <w:szCs w:val="20"/>
                <w:lang w:val="da-DK"/>
              </w:rPr>
              <w:t>mg</w:t>
            </w:r>
          </w:p>
        </w:tc>
        <w:tc>
          <w:tcPr>
            <w:tcW w:w="690" w:type="pct"/>
            <w:vMerge/>
            <w:tcBorders>
              <w:top w:val="single" w:sz="4" w:space="0" w:color="000000"/>
              <w:left w:val="single" w:sz="6" w:space="0" w:color="000000"/>
              <w:bottom w:val="single" w:sz="6" w:space="0" w:color="000000"/>
              <w:right w:val="single" w:sz="4" w:space="0" w:color="000000"/>
            </w:tcBorders>
            <w:vAlign w:val="center"/>
            <w:hideMark/>
          </w:tcPr>
          <w:p w14:paraId="571AB597" w14:textId="77777777" w:rsidR="00314C3D" w:rsidRPr="00374098" w:rsidRDefault="00314C3D">
            <w:pPr>
              <w:rPr>
                <w:b/>
                <w:sz w:val="20"/>
              </w:rPr>
            </w:pPr>
          </w:p>
        </w:tc>
      </w:tr>
      <w:tr w:rsidR="00314C3D" w:rsidRPr="00374098" w14:paraId="7314F6AE" w14:textId="77777777" w:rsidTr="00374098">
        <w:trPr>
          <w:trHeight w:val="20"/>
        </w:trPr>
        <w:tc>
          <w:tcPr>
            <w:tcW w:w="1098" w:type="pct"/>
            <w:tcBorders>
              <w:top w:val="single" w:sz="6" w:space="0" w:color="000000"/>
              <w:left w:val="single" w:sz="4" w:space="0" w:color="000000"/>
              <w:bottom w:val="nil"/>
              <w:right w:val="single" w:sz="6" w:space="0" w:color="000000"/>
            </w:tcBorders>
            <w:hideMark/>
          </w:tcPr>
          <w:p w14:paraId="63639A74" w14:textId="77777777" w:rsidR="00314C3D" w:rsidRPr="00374098" w:rsidRDefault="00314C3D">
            <w:pPr>
              <w:pStyle w:val="TableParagraph"/>
              <w:spacing w:line="191" w:lineRule="exact"/>
              <w:ind w:left="115"/>
              <w:rPr>
                <w:sz w:val="20"/>
                <w:szCs w:val="20"/>
                <w:lang w:val="da-DK"/>
              </w:rPr>
            </w:pPr>
            <w:r w:rsidRPr="00374098">
              <w:rPr>
                <w:sz w:val="20"/>
                <w:szCs w:val="20"/>
                <w:lang w:val="da-DK"/>
              </w:rPr>
              <w:t xml:space="preserve">Studie </w:t>
            </w:r>
            <w:r w:rsidRPr="00374098">
              <w:rPr>
                <w:spacing w:val="-2"/>
                <w:sz w:val="20"/>
                <w:szCs w:val="20"/>
                <w:lang w:val="da-DK"/>
              </w:rPr>
              <w:t>D1050229</w:t>
            </w:r>
          </w:p>
        </w:tc>
        <w:tc>
          <w:tcPr>
            <w:tcW w:w="642" w:type="pct"/>
            <w:tcBorders>
              <w:top w:val="single" w:sz="6" w:space="0" w:color="000000"/>
              <w:left w:val="single" w:sz="6" w:space="0" w:color="000000"/>
              <w:bottom w:val="nil"/>
              <w:right w:val="single" w:sz="6" w:space="0" w:color="000000"/>
            </w:tcBorders>
            <w:hideMark/>
          </w:tcPr>
          <w:p w14:paraId="7F2939AA" w14:textId="77777777" w:rsidR="00314C3D" w:rsidRPr="00374098" w:rsidRDefault="00314C3D">
            <w:pPr>
              <w:pStyle w:val="TableParagraph"/>
              <w:spacing w:line="191" w:lineRule="exact"/>
              <w:ind w:left="9"/>
              <w:jc w:val="center"/>
              <w:rPr>
                <w:sz w:val="20"/>
                <w:szCs w:val="20"/>
                <w:lang w:val="da-DK"/>
              </w:rPr>
            </w:pPr>
            <w:r w:rsidRPr="00374098">
              <w:rPr>
                <w:spacing w:val="-2"/>
                <w:sz w:val="20"/>
                <w:szCs w:val="20"/>
                <w:lang w:val="da-DK"/>
              </w:rPr>
              <w:t>N=124</w:t>
            </w:r>
          </w:p>
        </w:tc>
        <w:tc>
          <w:tcPr>
            <w:tcW w:w="642" w:type="pct"/>
            <w:tcBorders>
              <w:top w:val="single" w:sz="6" w:space="0" w:color="000000"/>
              <w:left w:val="single" w:sz="6" w:space="0" w:color="000000"/>
              <w:bottom w:val="nil"/>
              <w:right w:val="single" w:sz="6" w:space="0" w:color="000000"/>
            </w:tcBorders>
            <w:hideMark/>
          </w:tcPr>
          <w:p w14:paraId="6B9633AE" w14:textId="77777777" w:rsidR="00314C3D" w:rsidRPr="00374098" w:rsidRDefault="00314C3D">
            <w:pPr>
              <w:pStyle w:val="TableParagraph"/>
              <w:spacing w:line="191" w:lineRule="exact"/>
              <w:ind w:left="10" w:right="1"/>
              <w:jc w:val="center"/>
              <w:rPr>
                <w:sz w:val="20"/>
                <w:szCs w:val="20"/>
                <w:lang w:val="da-DK"/>
              </w:rPr>
            </w:pPr>
            <w:r w:rsidRPr="00374098">
              <w:rPr>
                <w:spacing w:val="-2"/>
                <w:sz w:val="20"/>
                <w:szCs w:val="20"/>
                <w:lang w:val="da-DK"/>
              </w:rPr>
              <w:t>N=121</w:t>
            </w:r>
          </w:p>
        </w:tc>
        <w:tc>
          <w:tcPr>
            <w:tcW w:w="642" w:type="pct"/>
            <w:tcBorders>
              <w:top w:val="single" w:sz="6" w:space="0" w:color="000000"/>
              <w:left w:val="single" w:sz="6" w:space="0" w:color="000000"/>
              <w:bottom w:val="nil"/>
              <w:right w:val="single" w:sz="6" w:space="0" w:color="000000"/>
            </w:tcBorders>
            <w:hideMark/>
          </w:tcPr>
          <w:p w14:paraId="7C497D0A" w14:textId="77777777" w:rsidR="00314C3D" w:rsidRPr="00374098" w:rsidRDefault="00314C3D">
            <w:pPr>
              <w:pStyle w:val="TableParagraph"/>
              <w:spacing w:line="191" w:lineRule="exact"/>
              <w:ind w:left="10" w:right="1"/>
              <w:jc w:val="center"/>
              <w:rPr>
                <w:sz w:val="20"/>
                <w:szCs w:val="20"/>
                <w:lang w:val="da-DK"/>
              </w:rPr>
            </w:pPr>
            <w:r w:rsidRPr="00374098">
              <w:rPr>
                <w:spacing w:val="-2"/>
                <w:sz w:val="20"/>
                <w:szCs w:val="20"/>
                <w:lang w:val="da-DK"/>
              </w:rPr>
              <w:t>N=118</w:t>
            </w:r>
          </w:p>
        </w:tc>
        <w:tc>
          <w:tcPr>
            <w:tcW w:w="642" w:type="pct"/>
            <w:tcBorders>
              <w:top w:val="single" w:sz="6" w:space="0" w:color="000000"/>
              <w:left w:val="single" w:sz="6" w:space="0" w:color="000000"/>
              <w:bottom w:val="nil"/>
              <w:right w:val="single" w:sz="6" w:space="0" w:color="000000"/>
            </w:tcBorders>
            <w:hideMark/>
          </w:tcPr>
          <w:p w14:paraId="2A4ED8F4" w14:textId="77777777" w:rsidR="00314C3D" w:rsidRPr="00374098" w:rsidRDefault="00314C3D">
            <w:pPr>
              <w:pStyle w:val="TableParagraph"/>
              <w:spacing w:line="191" w:lineRule="exact"/>
              <w:ind w:left="10" w:right="1"/>
              <w:jc w:val="center"/>
              <w:rPr>
                <w:sz w:val="20"/>
                <w:szCs w:val="20"/>
                <w:lang w:val="da-DK"/>
              </w:rPr>
            </w:pPr>
            <w:r w:rsidRPr="00374098">
              <w:rPr>
                <w:spacing w:val="-2"/>
                <w:sz w:val="20"/>
                <w:szCs w:val="20"/>
                <w:lang w:val="da-DK"/>
              </w:rPr>
              <w:t>N=123</w:t>
            </w:r>
          </w:p>
        </w:tc>
        <w:tc>
          <w:tcPr>
            <w:tcW w:w="644" w:type="pct"/>
            <w:tcBorders>
              <w:top w:val="single" w:sz="6" w:space="0" w:color="000000"/>
              <w:left w:val="single" w:sz="6" w:space="0" w:color="000000"/>
              <w:bottom w:val="nil"/>
              <w:right w:val="single" w:sz="6" w:space="0" w:color="000000"/>
            </w:tcBorders>
            <w:hideMark/>
          </w:tcPr>
          <w:p w14:paraId="2DE5C6E8" w14:textId="77777777" w:rsidR="00314C3D" w:rsidRPr="00374098" w:rsidRDefault="00314C3D">
            <w:pPr>
              <w:pStyle w:val="TableParagraph"/>
              <w:spacing w:line="191"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single" w:sz="6" w:space="0" w:color="000000"/>
              <w:left w:val="single" w:sz="6" w:space="0" w:color="000000"/>
              <w:bottom w:val="nil"/>
              <w:right w:val="single" w:sz="4" w:space="0" w:color="000000"/>
            </w:tcBorders>
            <w:hideMark/>
          </w:tcPr>
          <w:p w14:paraId="630C89F2" w14:textId="77777777" w:rsidR="00314C3D" w:rsidRPr="00374098" w:rsidRDefault="00314C3D">
            <w:pPr>
              <w:pStyle w:val="TableParagraph"/>
              <w:spacing w:line="191" w:lineRule="exact"/>
              <w:ind w:left="7"/>
              <w:jc w:val="center"/>
              <w:rPr>
                <w:sz w:val="20"/>
                <w:szCs w:val="20"/>
                <w:lang w:val="da-DK"/>
              </w:rPr>
            </w:pPr>
            <w:r w:rsidRPr="00374098">
              <w:rPr>
                <w:sz w:val="20"/>
                <w:szCs w:val="20"/>
                <w:lang w:val="da-DK"/>
              </w:rPr>
              <w:t>-</w:t>
            </w:r>
            <w:r w:rsidRPr="00374098">
              <w:rPr>
                <w:spacing w:val="-10"/>
                <w:sz w:val="20"/>
                <w:szCs w:val="20"/>
                <w:lang w:val="da-DK"/>
              </w:rPr>
              <w:t>-</w:t>
            </w:r>
          </w:p>
        </w:tc>
      </w:tr>
      <w:tr w:rsidR="00314C3D" w:rsidRPr="00374098" w14:paraId="50611B5F" w14:textId="77777777" w:rsidTr="00374098">
        <w:trPr>
          <w:trHeight w:val="20"/>
        </w:trPr>
        <w:tc>
          <w:tcPr>
            <w:tcW w:w="1098" w:type="pct"/>
            <w:tcBorders>
              <w:top w:val="nil"/>
              <w:left w:val="single" w:sz="4" w:space="0" w:color="000000"/>
              <w:bottom w:val="nil"/>
              <w:right w:val="single" w:sz="6" w:space="0" w:color="000000"/>
            </w:tcBorders>
            <w:hideMark/>
          </w:tcPr>
          <w:p w14:paraId="06487563" w14:textId="77777777" w:rsidR="00314C3D" w:rsidRPr="00374098" w:rsidRDefault="00314C3D">
            <w:pPr>
              <w:pStyle w:val="TableParagraph"/>
              <w:spacing w:line="203" w:lineRule="exact"/>
              <w:ind w:left="402"/>
              <w:rPr>
                <w:sz w:val="20"/>
                <w:szCs w:val="20"/>
                <w:lang w:val="da-DK"/>
              </w:rPr>
            </w:pPr>
            <w:r w:rsidRPr="00374098">
              <w:rPr>
                <w:sz w:val="20"/>
                <w:szCs w:val="20"/>
                <w:lang w:val="da-DK"/>
              </w:rPr>
              <w:t>Baseline,</w:t>
            </w:r>
            <w:r w:rsidRPr="00374098">
              <w:rPr>
                <w:spacing w:val="-1"/>
                <w:sz w:val="20"/>
                <w:szCs w:val="20"/>
                <w:lang w:val="da-DK"/>
              </w:rPr>
              <w:t xml:space="preserve"> </w:t>
            </w:r>
            <w:r w:rsidRPr="00374098">
              <w:rPr>
                <w:spacing w:val="-2"/>
                <w:sz w:val="20"/>
                <w:szCs w:val="20"/>
                <w:lang w:val="da-DK"/>
              </w:rPr>
              <w:t>middel</w:t>
            </w:r>
          </w:p>
          <w:p w14:paraId="24CC1A54" w14:textId="77777777" w:rsidR="00314C3D" w:rsidRPr="00374098" w:rsidRDefault="00314C3D">
            <w:pPr>
              <w:pStyle w:val="TableParagraph"/>
              <w:spacing w:line="191" w:lineRule="exact"/>
              <w:ind w:left="402"/>
              <w:rPr>
                <w:sz w:val="20"/>
                <w:szCs w:val="20"/>
                <w:lang w:val="da-DK"/>
              </w:rPr>
            </w:pPr>
            <w:r w:rsidRPr="00374098">
              <w:rPr>
                <w:spacing w:val="-4"/>
                <w:sz w:val="20"/>
                <w:szCs w:val="20"/>
                <w:lang w:val="da-DK"/>
              </w:rPr>
              <w:t>(SD)</w:t>
            </w:r>
          </w:p>
        </w:tc>
        <w:tc>
          <w:tcPr>
            <w:tcW w:w="642" w:type="pct"/>
            <w:tcBorders>
              <w:top w:val="nil"/>
              <w:left w:val="single" w:sz="6" w:space="0" w:color="000000"/>
              <w:bottom w:val="nil"/>
              <w:right w:val="single" w:sz="6" w:space="0" w:color="000000"/>
            </w:tcBorders>
            <w:hideMark/>
          </w:tcPr>
          <w:p w14:paraId="451AC74E" w14:textId="77777777" w:rsidR="00314C3D" w:rsidRPr="00374098" w:rsidRDefault="00314C3D">
            <w:pPr>
              <w:pStyle w:val="TableParagraph"/>
              <w:spacing w:line="203" w:lineRule="exact"/>
              <w:ind w:left="9"/>
              <w:jc w:val="center"/>
              <w:rPr>
                <w:sz w:val="20"/>
                <w:szCs w:val="20"/>
                <w:lang w:val="da-DK"/>
              </w:rPr>
            </w:pPr>
            <w:r w:rsidRPr="00374098">
              <w:rPr>
                <w:sz w:val="20"/>
                <w:szCs w:val="20"/>
                <w:lang w:val="da-DK"/>
              </w:rPr>
              <w:t xml:space="preserve">96,8 </w:t>
            </w:r>
            <w:r w:rsidRPr="00374098">
              <w:rPr>
                <w:spacing w:val="-2"/>
                <w:sz w:val="20"/>
                <w:szCs w:val="20"/>
                <w:lang w:val="da-DK"/>
              </w:rPr>
              <w:t>(11,1)</w:t>
            </w:r>
          </w:p>
        </w:tc>
        <w:tc>
          <w:tcPr>
            <w:tcW w:w="642" w:type="pct"/>
            <w:tcBorders>
              <w:top w:val="nil"/>
              <w:left w:val="single" w:sz="6" w:space="0" w:color="000000"/>
              <w:bottom w:val="nil"/>
              <w:right w:val="single" w:sz="6" w:space="0" w:color="000000"/>
            </w:tcBorders>
            <w:hideMark/>
          </w:tcPr>
          <w:p w14:paraId="2F5CDD6B" w14:textId="77777777" w:rsidR="00314C3D" w:rsidRPr="00374098" w:rsidRDefault="00314C3D">
            <w:pPr>
              <w:pStyle w:val="TableParagraph"/>
              <w:spacing w:line="203" w:lineRule="exact"/>
              <w:ind w:left="10" w:right="1"/>
              <w:jc w:val="center"/>
              <w:rPr>
                <w:sz w:val="20"/>
                <w:szCs w:val="20"/>
                <w:lang w:val="da-DK"/>
              </w:rPr>
            </w:pPr>
            <w:r w:rsidRPr="00374098">
              <w:rPr>
                <w:sz w:val="20"/>
                <w:szCs w:val="20"/>
                <w:lang w:val="da-DK"/>
              </w:rPr>
              <w:t xml:space="preserve">96,5 </w:t>
            </w:r>
            <w:r w:rsidRPr="00374098">
              <w:rPr>
                <w:spacing w:val="-2"/>
                <w:sz w:val="20"/>
                <w:szCs w:val="20"/>
                <w:lang w:val="da-DK"/>
              </w:rPr>
              <w:t>(11,6)</w:t>
            </w:r>
          </w:p>
        </w:tc>
        <w:tc>
          <w:tcPr>
            <w:tcW w:w="642" w:type="pct"/>
            <w:tcBorders>
              <w:top w:val="nil"/>
              <w:left w:val="single" w:sz="6" w:space="0" w:color="000000"/>
              <w:bottom w:val="nil"/>
              <w:right w:val="single" w:sz="6" w:space="0" w:color="000000"/>
            </w:tcBorders>
            <w:hideMark/>
          </w:tcPr>
          <w:p w14:paraId="18A722CC" w14:textId="77777777" w:rsidR="00314C3D" w:rsidRPr="00374098" w:rsidRDefault="00314C3D">
            <w:pPr>
              <w:pStyle w:val="TableParagraph"/>
              <w:spacing w:before="99"/>
              <w:ind w:left="10" w:right="1"/>
              <w:jc w:val="center"/>
              <w:rPr>
                <w:sz w:val="20"/>
                <w:szCs w:val="20"/>
                <w:lang w:val="da-DK"/>
              </w:rPr>
            </w:pPr>
            <w:r w:rsidRPr="00374098">
              <w:rPr>
                <w:sz w:val="20"/>
                <w:szCs w:val="20"/>
                <w:lang w:val="da-DK"/>
              </w:rPr>
              <w:t xml:space="preserve">96,0 (10.8) </w:t>
            </w:r>
          </w:p>
        </w:tc>
        <w:tc>
          <w:tcPr>
            <w:tcW w:w="642" w:type="pct"/>
            <w:tcBorders>
              <w:top w:val="nil"/>
              <w:left w:val="single" w:sz="6" w:space="0" w:color="000000"/>
              <w:bottom w:val="nil"/>
              <w:right w:val="single" w:sz="6" w:space="0" w:color="000000"/>
            </w:tcBorders>
            <w:hideMark/>
          </w:tcPr>
          <w:p w14:paraId="5EEEA62D" w14:textId="77777777" w:rsidR="00314C3D" w:rsidRPr="00374098" w:rsidRDefault="00314C3D">
            <w:pPr>
              <w:pStyle w:val="TableParagraph"/>
              <w:spacing w:before="99"/>
              <w:ind w:left="10" w:right="1"/>
              <w:jc w:val="center"/>
              <w:rPr>
                <w:sz w:val="20"/>
                <w:szCs w:val="20"/>
                <w:lang w:val="da-DK"/>
              </w:rPr>
            </w:pPr>
            <w:r w:rsidRPr="00374098">
              <w:rPr>
                <w:sz w:val="20"/>
                <w:szCs w:val="20"/>
                <w:lang w:val="da-DK"/>
              </w:rPr>
              <w:t xml:space="preserve">96,0 </w:t>
            </w:r>
            <w:r w:rsidRPr="00374098">
              <w:rPr>
                <w:spacing w:val="-1"/>
                <w:sz w:val="20"/>
                <w:szCs w:val="20"/>
                <w:lang w:val="da-DK"/>
              </w:rPr>
              <w:t>(</w:t>
            </w:r>
            <w:r w:rsidRPr="00374098">
              <w:rPr>
                <w:spacing w:val="-5"/>
                <w:sz w:val="20"/>
                <w:szCs w:val="20"/>
                <w:lang w:val="da-DK"/>
              </w:rPr>
              <w:t>9,7)</w:t>
            </w:r>
          </w:p>
        </w:tc>
        <w:tc>
          <w:tcPr>
            <w:tcW w:w="644" w:type="pct"/>
            <w:tcBorders>
              <w:top w:val="nil"/>
              <w:left w:val="single" w:sz="6" w:space="0" w:color="000000"/>
              <w:bottom w:val="nil"/>
              <w:right w:val="single" w:sz="6" w:space="0" w:color="000000"/>
            </w:tcBorders>
            <w:hideMark/>
          </w:tcPr>
          <w:p w14:paraId="046A03CA" w14:textId="77777777" w:rsidR="00314C3D" w:rsidRPr="00374098" w:rsidRDefault="00314C3D">
            <w:pPr>
              <w:pStyle w:val="TableParagraph"/>
              <w:spacing w:line="20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nil"/>
              <w:right w:val="single" w:sz="4" w:space="0" w:color="000000"/>
            </w:tcBorders>
            <w:hideMark/>
          </w:tcPr>
          <w:p w14:paraId="721FFE06" w14:textId="77777777" w:rsidR="00314C3D" w:rsidRPr="00374098" w:rsidRDefault="00314C3D">
            <w:pPr>
              <w:pStyle w:val="TableParagraph"/>
              <w:spacing w:line="203" w:lineRule="exact"/>
              <w:ind w:left="7"/>
              <w:jc w:val="center"/>
              <w:rPr>
                <w:sz w:val="20"/>
                <w:szCs w:val="20"/>
                <w:lang w:val="da-DK"/>
              </w:rPr>
            </w:pPr>
            <w:r w:rsidRPr="00374098">
              <w:rPr>
                <w:sz w:val="20"/>
                <w:szCs w:val="20"/>
                <w:lang w:val="da-DK"/>
              </w:rPr>
              <w:t>-</w:t>
            </w:r>
            <w:r w:rsidRPr="00374098">
              <w:rPr>
                <w:spacing w:val="-10"/>
                <w:sz w:val="20"/>
                <w:szCs w:val="20"/>
                <w:lang w:val="da-DK"/>
              </w:rPr>
              <w:t>-</w:t>
            </w:r>
          </w:p>
        </w:tc>
      </w:tr>
      <w:tr w:rsidR="00314C3D" w:rsidRPr="00374098" w14:paraId="0E6A6D48" w14:textId="77777777" w:rsidTr="00374098">
        <w:trPr>
          <w:trHeight w:val="20"/>
        </w:trPr>
        <w:tc>
          <w:tcPr>
            <w:tcW w:w="1098" w:type="pct"/>
            <w:tcBorders>
              <w:top w:val="nil"/>
              <w:left w:val="single" w:sz="4" w:space="0" w:color="000000"/>
              <w:bottom w:val="nil"/>
              <w:right w:val="single" w:sz="6" w:space="0" w:color="000000"/>
            </w:tcBorders>
            <w:hideMark/>
          </w:tcPr>
          <w:p w14:paraId="3863FAA2" w14:textId="77777777" w:rsidR="00314C3D" w:rsidRPr="00374098" w:rsidRDefault="00314C3D">
            <w:pPr>
              <w:pStyle w:val="TableParagraph"/>
              <w:spacing w:line="203" w:lineRule="exact"/>
              <w:ind w:left="402"/>
              <w:rPr>
                <w:sz w:val="20"/>
                <w:szCs w:val="20"/>
                <w:lang w:val="da-DK"/>
              </w:rPr>
            </w:pPr>
            <w:r w:rsidRPr="00374098">
              <w:rPr>
                <w:sz w:val="20"/>
                <w:szCs w:val="20"/>
                <w:lang w:val="da-DK"/>
              </w:rPr>
              <w:t>LS-</w:t>
            </w:r>
            <w:r w:rsidRPr="00374098">
              <w:rPr>
                <w:spacing w:val="-2"/>
                <w:sz w:val="20"/>
                <w:szCs w:val="20"/>
                <w:lang w:val="da-DK"/>
              </w:rPr>
              <w:t>middelændring</w:t>
            </w:r>
          </w:p>
          <w:p w14:paraId="6E92DAA3" w14:textId="77777777" w:rsidR="00314C3D" w:rsidRPr="00374098" w:rsidRDefault="00314C3D">
            <w:pPr>
              <w:pStyle w:val="TableParagraph"/>
              <w:spacing w:line="191" w:lineRule="exact"/>
              <w:ind w:left="402"/>
              <w:rPr>
                <w:sz w:val="20"/>
                <w:szCs w:val="20"/>
                <w:lang w:val="da-DK"/>
              </w:rPr>
            </w:pPr>
            <w:r w:rsidRPr="00374098">
              <w:rPr>
                <w:spacing w:val="-4"/>
                <w:sz w:val="20"/>
                <w:szCs w:val="20"/>
                <w:lang w:val="da-DK"/>
              </w:rPr>
              <w:t>(SE)</w:t>
            </w:r>
          </w:p>
        </w:tc>
        <w:tc>
          <w:tcPr>
            <w:tcW w:w="642" w:type="pct"/>
            <w:tcBorders>
              <w:top w:val="nil"/>
              <w:left w:val="single" w:sz="6" w:space="0" w:color="000000"/>
              <w:bottom w:val="nil"/>
              <w:right w:val="single" w:sz="6" w:space="0" w:color="000000"/>
            </w:tcBorders>
            <w:hideMark/>
          </w:tcPr>
          <w:p w14:paraId="12DA8B7D" w14:textId="77777777" w:rsidR="00314C3D" w:rsidRPr="00374098" w:rsidRDefault="00314C3D">
            <w:pPr>
              <w:pStyle w:val="TableParagraph"/>
              <w:spacing w:line="203" w:lineRule="exact"/>
              <w:ind w:left="9"/>
              <w:jc w:val="center"/>
              <w:rPr>
                <w:sz w:val="20"/>
                <w:szCs w:val="20"/>
                <w:lang w:val="da-DK"/>
              </w:rPr>
            </w:pPr>
            <w:r w:rsidRPr="00374098">
              <w:rPr>
                <w:sz w:val="20"/>
                <w:szCs w:val="20"/>
                <w:lang w:val="da-DK"/>
              </w:rPr>
              <w:t xml:space="preserve">-17,0 </w:t>
            </w:r>
            <w:r w:rsidRPr="00374098">
              <w:rPr>
                <w:spacing w:val="-2"/>
                <w:sz w:val="20"/>
                <w:szCs w:val="20"/>
                <w:lang w:val="da-DK"/>
              </w:rPr>
              <w:t>(1,8)</w:t>
            </w:r>
          </w:p>
        </w:tc>
        <w:tc>
          <w:tcPr>
            <w:tcW w:w="642" w:type="pct"/>
            <w:tcBorders>
              <w:top w:val="nil"/>
              <w:left w:val="single" w:sz="6" w:space="0" w:color="000000"/>
              <w:bottom w:val="nil"/>
              <w:right w:val="single" w:sz="6" w:space="0" w:color="000000"/>
            </w:tcBorders>
            <w:hideMark/>
          </w:tcPr>
          <w:p w14:paraId="65260004" w14:textId="77777777" w:rsidR="00314C3D" w:rsidRPr="00374098" w:rsidRDefault="00314C3D">
            <w:pPr>
              <w:pStyle w:val="TableParagraph"/>
              <w:spacing w:line="203" w:lineRule="exact"/>
              <w:ind w:left="10" w:right="1"/>
              <w:jc w:val="center"/>
              <w:rPr>
                <w:sz w:val="20"/>
                <w:szCs w:val="20"/>
                <w:lang w:val="da-DK"/>
              </w:rPr>
            </w:pPr>
            <w:r w:rsidRPr="00374098">
              <w:rPr>
                <w:sz w:val="20"/>
                <w:szCs w:val="20"/>
                <w:lang w:val="da-DK"/>
              </w:rPr>
              <w:t xml:space="preserve">-19,2 </w:t>
            </w:r>
            <w:r w:rsidRPr="00374098">
              <w:rPr>
                <w:spacing w:val="-2"/>
                <w:sz w:val="20"/>
                <w:szCs w:val="20"/>
                <w:lang w:val="da-DK"/>
              </w:rPr>
              <w:t>(1,7)</w:t>
            </w:r>
          </w:p>
        </w:tc>
        <w:tc>
          <w:tcPr>
            <w:tcW w:w="642" w:type="pct"/>
            <w:tcBorders>
              <w:top w:val="nil"/>
              <w:left w:val="single" w:sz="6" w:space="0" w:color="000000"/>
              <w:bottom w:val="nil"/>
              <w:right w:val="single" w:sz="6" w:space="0" w:color="000000"/>
            </w:tcBorders>
            <w:hideMark/>
          </w:tcPr>
          <w:p w14:paraId="7DDB8FD6" w14:textId="77777777" w:rsidR="00314C3D" w:rsidRPr="00374098" w:rsidRDefault="00314C3D">
            <w:pPr>
              <w:pStyle w:val="TableParagraph"/>
              <w:spacing w:before="99"/>
              <w:ind w:left="10" w:right="1"/>
              <w:jc w:val="center"/>
              <w:rPr>
                <w:sz w:val="20"/>
                <w:szCs w:val="20"/>
                <w:lang w:val="da-DK"/>
              </w:rPr>
            </w:pPr>
            <w:r w:rsidRPr="00374098">
              <w:rPr>
                <w:sz w:val="20"/>
                <w:szCs w:val="20"/>
                <w:lang w:val="da-DK"/>
              </w:rPr>
              <w:t xml:space="preserve">-23,4 </w:t>
            </w:r>
            <w:r w:rsidRPr="00374098">
              <w:rPr>
                <w:spacing w:val="-2"/>
                <w:sz w:val="20"/>
                <w:szCs w:val="20"/>
                <w:lang w:val="da-DK"/>
              </w:rPr>
              <w:t>(1,8)</w:t>
            </w:r>
          </w:p>
        </w:tc>
        <w:tc>
          <w:tcPr>
            <w:tcW w:w="642" w:type="pct"/>
            <w:tcBorders>
              <w:top w:val="nil"/>
              <w:left w:val="single" w:sz="6" w:space="0" w:color="000000"/>
              <w:bottom w:val="nil"/>
              <w:right w:val="single" w:sz="6" w:space="0" w:color="000000"/>
            </w:tcBorders>
            <w:hideMark/>
          </w:tcPr>
          <w:p w14:paraId="6B2A04A4" w14:textId="77777777" w:rsidR="00314C3D" w:rsidRPr="00374098" w:rsidRDefault="00314C3D">
            <w:pPr>
              <w:pStyle w:val="TableParagraph"/>
              <w:spacing w:before="99"/>
              <w:ind w:left="10" w:right="1"/>
              <w:jc w:val="center"/>
              <w:rPr>
                <w:sz w:val="20"/>
                <w:szCs w:val="20"/>
                <w:lang w:val="da-DK"/>
              </w:rPr>
            </w:pPr>
            <w:r w:rsidRPr="00374098">
              <w:rPr>
                <w:sz w:val="20"/>
                <w:szCs w:val="20"/>
                <w:lang w:val="da-DK"/>
              </w:rPr>
              <w:t xml:space="preserve">-20,5 </w:t>
            </w:r>
            <w:r w:rsidRPr="00374098">
              <w:rPr>
                <w:spacing w:val="-2"/>
                <w:sz w:val="20"/>
                <w:szCs w:val="20"/>
                <w:lang w:val="da-DK"/>
              </w:rPr>
              <w:t>(1,8)</w:t>
            </w:r>
          </w:p>
        </w:tc>
        <w:tc>
          <w:tcPr>
            <w:tcW w:w="644" w:type="pct"/>
            <w:tcBorders>
              <w:top w:val="nil"/>
              <w:left w:val="single" w:sz="6" w:space="0" w:color="000000"/>
              <w:bottom w:val="nil"/>
              <w:right w:val="single" w:sz="6" w:space="0" w:color="000000"/>
            </w:tcBorders>
            <w:hideMark/>
          </w:tcPr>
          <w:p w14:paraId="46010A2E" w14:textId="77777777" w:rsidR="00314C3D" w:rsidRPr="00374098" w:rsidRDefault="00314C3D">
            <w:pPr>
              <w:pStyle w:val="TableParagraph"/>
              <w:spacing w:line="20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nil"/>
              <w:right w:val="single" w:sz="4" w:space="0" w:color="000000"/>
            </w:tcBorders>
            <w:hideMark/>
          </w:tcPr>
          <w:p w14:paraId="30F05144" w14:textId="77777777" w:rsidR="00314C3D" w:rsidRPr="00374098" w:rsidRDefault="00314C3D">
            <w:pPr>
              <w:pStyle w:val="TableParagraph"/>
              <w:spacing w:line="203" w:lineRule="exact"/>
              <w:ind w:left="7"/>
              <w:jc w:val="center"/>
              <w:rPr>
                <w:sz w:val="20"/>
                <w:szCs w:val="20"/>
                <w:lang w:val="da-DK"/>
              </w:rPr>
            </w:pPr>
            <w:r w:rsidRPr="00374098">
              <w:rPr>
                <w:sz w:val="20"/>
                <w:szCs w:val="20"/>
                <w:lang w:val="da-DK"/>
              </w:rPr>
              <w:t>-</w:t>
            </w:r>
            <w:r w:rsidRPr="00374098">
              <w:rPr>
                <w:spacing w:val="-10"/>
                <w:sz w:val="20"/>
                <w:szCs w:val="20"/>
                <w:lang w:val="da-DK"/>
              </w:rPr>
              <w:t>-</w:t>
            </w:r>
          </w:p>
        </w:tc>
      </w:tr>
      <w:tr w:rsidR="00314C3D" w:rsidRPr="00374098" w14:paraId="1CBFAA6F" w14:textId="77777777" w:rsidTr="00374098">
        <w:trPr>
          <w:trHeight w:val="20"/>
        </w:trPr>
        <w:tc>
          <w:tcPr>
            <w:tcW w:w="1098" w:type="pct"/>
            <w:tcBorders>
              <w:top w:val="nil"/>
              <w:left w:val="single" w:sz="4" w:space="0" w:color="000000"/>
              <w:bottom w:val="nil"/>
              <w:right w:val="single" w:sz="6" w:space="0" w:color="000000"/>
            </w:tcBorders>
            <w:hideMark/>
          </w:tcPr>
          <w:p w14:paraId="23EF12E3" w14:textId="77777777" w:rsidR="00314C3D" w:rsidRPr="00374098" w:rsidRDefault="00314C3D">
            <w:pPr>
              <w:pStyle w:val="TableParagraph"/>
              <w:spacing w:line="187" w:lineRule="exact"/>
              <w:ind w:left="115"/>
              <w:rPr>
                <w:sz w:val="20"/>
                <w:szCs w:val="20"/>
                <w:lang w:val="da-DK"/>
              </w:rPr>
            </w:pPr>
            <w:r w:rsidRPr="00374098">
              <w:rPr>
                <w:sz w:val="20"/>
                <w:szCs w:val="20"/>
                <w:lang w:val="da-DK"/>
              </w:rPr>
              <w:t>Behandlingsforskel</w:t>
            </w:r>
            <w:r w:rsidRPr="00374098">
              <w:rPr>
                <w:spacing w:val="-4"/>
                <w:sz w:val="20"/>
                <w:szCs w:val="20"/>
                <w:lang w:val="da-DK"/>
              </w:rPr>
              <w:t xml:space="preserve"> </w:t>
            </w:r>
            <w:r w:rsidRPr="00374098">
              <w:rPr>
                <w:spacing w:val="-5"/>
                <w:sz w:val="20"/>
                <w:szCs w:val="20"/>
                <w:lang w:val="da-DK"/>
              </w:rPr>
              <w:t>vs.</w:t>
            </w:r>
          </w:p>
        </w:tc>
        <w:tc>
          <w:tcPr>
            <w:tcW w:w="642" w:type="pct"/>
            <w:tcBorders>
              <w:top w:val="nil"/>
              <w:left w:val="single" w:sz="6" w:space="0" w:color="000000"/>
              <w:bottom w:val="nil"/>
              <w:right w:val="single" w:sz="6" w:space="0" w:color="000000"/>
            </w:tcBorders>
          </w:tcPr>
          <w:p w14:paraId="25B45CFE"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13603D8A"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6E2592A0"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276E682"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1675CFBD"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40AF3637" w14:textId="77777777" w:rsidR="00314C3D" w:rsidRPr="00374098" w:rsidRDefault="00314C3D">
            <w:pPr>
              <w:pStyle w:val="TableParagraph"/>
              <w:rPr>
                <w:sz w:val="20"/>
                <w:szCs w:val="20"/>
                <w:lang w:val="da-DK"/>
              </w:rPr>
            </w:pPr>
          </w:p>
        </w:tc>
      </w:tr>
      <w:tr w:rsidR="00314C3D" w:rsidRPr="00374098" w14:paraId="39451F35" w14:textId="77777777" w:rsidTr="00374098">
        <w:trPr>
          <w:trHeight w:val="20"/>
        </w:trPr>
        <w:tc>
          <w:tcPr>
            <w:tcW w:w="1098" w:type="pct"/>
            <w:tcBorders>
              <w:top w:val="nil"/>
              <w:left w:val="single" w:sz="4" w:space="0" w:color="000000"/>
              <w:bottom w:val="nil"/>
              <w:right w:val="single" w:sz="6" w:space="0" w:color="000000"/>
            </w:tcBorders>
            <w:hideMark/>
          </w:tcPr>
          <w:p w14:paraId="7FFA1E9D" w14:textId="77777777" w:rsidR="00314C3D" w:rsidRPr="00374098" w:rsidRDefault="00314C3D">
            <w:pPr>
              <w:pStyle w:val="TableParagraph"/>
              <w:spacing w:line="187" w:lineRule="exact"/>
              <w:ind w:left="115"/>
              <w:rPr>
                <w:sz w:val="20"/>
                <w:szCs w:val="20"/>
                <w:lang w:val="da-DK"/>
              </w:rPr>
            </w:pPr>
            <w:r w:rsidRPr="00374098">
              <w:rPr>
                <w:spacing w:val="-2"/>
                <w:sz w:val="20"/>
                <w:szCs w:val="20"/>
                <w:lang w:val="da-DK"/>
              </w:rPr>
              <w:t>placebo</w:t>
            </w:r>
          </w:p>
        </w:tc>
        <w:tc>
          <w:tcPr>
            <w:tcW w:w="642" w:type="pct"/>
            <w:tcBorders>
              <w:top w:val="nil"/>
              <w:left w:val="single" w:sz="6" w:space="0" w:color="000000"/>
              <w:bottom w:val="nil"/>
              <w:right w:val="single" w:sz="6" w:space="0" w:color="000000"/>
            </w:tcBorders>
          </w:tcPr>
          <w:p w14:paraId="39757960"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6ABE39F4"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1EC23CEE"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1CA83088"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7B5AA27A"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5F1810B0" w14:textId="77777777" w:rsidR="00314C3D" w:rsidRPr="00374098" w:rsidRDefault="00314C3D">
            <w:pPr>
              <w:pStyle w:val="TableParagraph"/>
              <w:rPr>
                <w:sz w:val="20"/>
                <w:szCs w:val="20"/>
                <w:lang w:val="da-DK"/>
              </w:rPr>
            </w:pPr>
          </w:p>
        </w:tc>
      </w:tr>
      <w:tr w:rsidR="00314C3D" w:rsidRPr="00374098" w14:paraId="6CF9DCF5" w14:textId="77777777" w:rsidTr="00374098">
        <w:trPr>
          <w:trHeight w:val="20"/>
        </w:trPr>
        <w:tc>
          <w:tcPr>
            <w:tcW w:w="1098" w:type="pct"/>
            <w:tcBorders>
              <w:top w:val="nil"/>
              <w:left w:val="single" w:sz="4" w:space="0" w:color="000000"/>
              <w:bottom w:val="nil"/>
              <w:right w:val="single" w:sz="6" w:space="0" w:color="000000"/>
            </w:tcBorders>
            <w:hideMark/>
          </w:tcPr>
          <w:p w14:paraId="2BCB03FB" w14:textId="77777777" w:rsidR="00314C3D" w:rsidRPr="00374098" w:rsidRDefault="00314C3D">
            <w:pPr>
              <w:pStyle w:val="TableParagraph"/>
              <w:spacing w:line="187" w:lineRule="exact"/>
              <w:ind w:left="402"/>
              <w:rPr>
                <w:sz w:val="20"/>
                <w:szCs w:val="20"/>
                <w:lang w:val="da-DK"/>
              </w:rPr>
            </w:pPr>
            <w:r w:rsidRPr="00374098">
              <w:rPr>
                <w:sz w:val="20"/>
                <w:szCs w:val="20"/>
                <w:lang w:val="da-DK"/>
              </w:rPr>
              <w:t>Estimat</w:t>
            </w:r>
            <w:r w:rsidRPr="00374098">
              <w:rPr>
                <w:spacing w:val="-1"/>
                <w:sz w:val="20"/>
                <w:szCs w:val="20"/>
                <w:lang w:val="da-DK"/>
              </w:rPr>
              <w:t xml:space="preserve"> </w:t>
            </w:r>
            <w:r w:rsidRPr="00374098">
              <w:rPr>
                <w:spacing w:val="-4"/>
                <w:sz w:val="20"/>
                <w:szCs w:val="20"/>
                <w:lang w:val="da-DK"/>
              </w:rPr>
              <w:t>(SE)</w:t>
            </w:r>
          </w:p>
        </w:tc>
        <w:tc>
          <w:tcPr>
            <w:tcW w:w="642" w:type="pct"/>
            <w:tcBorders>
              <w:top w:val="nil"/>
              <w:left w:val="single" w:sz="6" w:space="0" w:color="000000"/>
              <w:bottom w:val="nil"/>
              <w:right w:val="single" w:sz="6" w:space="0" w:color="000000"/>
            </w:tcBorders>
            <w:hideMark/>
          </w:tcPr>
          <w:p w14:paraId="266471DA" w14:textId="77777777" w:rsidR="00314C3D" w:rsidRPr="00374098" w:rsidRDefault="00314C3D">
            <w:pPr>
              <w:pStyle w:val="TableParagraph"/>
              <w:spacing w:line="187" w:lineRule="exact"/>
              <w:ind w:left="9"/>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76707E7A"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-2,1 </w:t>
            </w:r>
            <w:r w:rsidRPr="00374098">
              <w:rPr>
                <w:spacing w:val="-2"/>
                <w:sz w:val="20"/>
                <w:szCs w:val="20"/>
                <w:lang w:val="da-DK"/>
              </w:rPr>
              <w:t>(2,5)</w:t>
            </w:r>
          </w:p>
        </w:tc>
        <w:tc>
          <w:tcPr>
            <w:tcW w:w="642" w:type="pct"/>
            <w:tcBorders>
              <w:top w:val="nil"/>
              <w:left w:val="single" w:sz="6" w:space="0" w:color="000000"/>
              <w:bottom w:val="nil"/>
              <w:right w:val="single" w:sz="6" w:space="0" w:color="000000"/>
            </w:tcBorders>
            <w:hideMark/>
          </w:tcPr>
          <w:p w14:paraId="54B0F6B2"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-6,4 </w:t>
            </w:r>
            <w:r w:rsidRPr="00374098">
              <w:rPr>
                <w:spacing w:val="-2"/>
                <w:sz w:val="20"/>
                <w:szCs w:val="20"/>
                <w:lang w:val="da-DK"/>
              </w:rPr>
              <w:t>(2,5)</w:t>
            </w:r>
          </w:p>
        </w:tc>
        <w:tc>
          <w:tcPr>
            <w:tcW w:w="642" w:type="pct"/>
            <w:tcBorders>
              <w:top w:val="nil"/>
              <w:left w:val="single" w:sz="6" w:space="0" w:color="000000"/>
              <w:bottom w:val="nil"/>
              <w:right w:val="single" w:sz="6" w:space="0" w:color="000000"/>
            </w:tcBorders>
            <w:hideMark/>
          </w:tcPr>
          <w:p w14:paraId="23F4E58E"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-3,5 </w:t>
            </w:r>
            <w:r w:rsidRPr="00374098">
              <w:rPr>
                <w:spacing w:val="-2"/>
                <w:sz w:val="20"/>
                <w:szCs w:val="20"/>
                <w:lang w:val="da-DK"/>
              </w:rPr>
              <w:t>(2,5)</w:t>
            </w:r>
          </w:p>
        </w:tc>
        <w:tc>
          <w:tcPr>
            <w:tcW w:w="644" w:type="pct"/>
            <w:tcBorders>
              <w:top w:val="nil"/>
              <w:left w:val="single" w:sz="6" w:space="0" w:color="000000"/>
              <w:bottom w:val="nil"/>
              <w:right w:val="single" w:sz="6" w:space="0" w:color="000000"/>
            </w:tcBorders>
            <w:hideMark/>
          </w:tcPr>
          <w:p w14:paraId="051738BA"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nil"/>
              <w:right w:val="single" w:sz="4" w:space="0" w:color="000000"/>
            </w:tcBorders>
            <w:hideMark/>
          </w:tcPr>
          <w:p w14:paraId="66E7FDA0" w14:textId="77777777" w:rsidR="00314C3D" w:rsidRPr="00374098" w:rsidRDefault="00314C3D">
            <w:pPr>
              <w:pStyle w:val="TableParagraph"/>
              <w:spacing w:line="187" w:lineRule="exact"/>
              <w:ind w:left="7"/>
              <w:jc w:val="center"/>
              <w:rPr>
                <w:sz w:val="20"/>
                <w:szCs w:val="20"/>
                <w:lang w:val="da-DK"/>
              </w:rPr>
            </w:pPr>
            <w:r w:rsidRPr="00374098">
              <w:rPr>
                <w:sz w:val="20"/>
                <w:szCs w:val="20"/>
                <w:lang w:val="da-DK"/>
              </w:rPr>
              <w:t>-</w:t>
            </w:r>
            <w:r w:rsidRPr="00374098">
              <w:rPr>
                <w:spacing w:val="-10"/>
                <w:sz w:val="20"/>
                <w:szCs w:val="20"/>
                <w:lang w:val="da-DK"/>
              </w:rPr>
              <w:t>-</w:t>
            </w:r>
          </w:p>
        </w:tc>
      </w:tr>
      <w:tr w:rsidR="00314C3D" w:rsidRPr="00374098" w14:paraId="67720F97" w14:textId="77777777" w:rsidTr="00374098">
        <w:trPr>
          <w:trHeight w:val="20"/>
        </w:trPr>
        <w:tc>
          <w:tcPr>
            <w:tcW w:w="1098" w:type="pct"/>
            <w:tcBorders>
              <w:top w:val="nil"/>
              <w:left w:val="single" w:sz="4" w:space="0" w:color="000000"/>
              <w:bottom w:val="single" w:sz="6" w:space="0" w:color="000000"/>
              <w:right w:val="single" w:sz="6" w:space="0" w:color="000000"/>
            </w:tcBorders>
            <w:hideMark/>
          </w:tcPr>
          <w:p w14:paraId="489E8A2E" w14:textId="77777777" w:rsidR="00314C3D" w:rsidRPr="00374098" w:rsidRDefault="00314C3D">
            <w:pPr>
              <w:pStyle w:val="TableParagraph"/>
              <w:spacing w:line="183" w:lineRule="exact"/>
              <w:ind w:left="402"/>
              <w:rPr>
                <w:sz w:val="20"/>
                <w:szCs w:val="20"/>
                <w:lang w:val="da-DK"/>
              </w:rPr>
            </w:pPr>
            <w:proofErr w:type="spellStart"/>
            <w:r w:rsidRPr="00374098">
              <w:rPr>
                <w:sz w:val="20"/>
                <w:szCs w:val="20"/>
                <w:lang w:val="da-DK"/>
              </w:rPr>
              <w:t>p-</w:t>
            </w:r>
            <w:r w:rsidRPr="00374098">
              <w:rPr>
                <w:spacing w:val="-2"/>
                <w:sz w:val="20"/>
                <w:szCs w:val="20"/>
                <w:lang w:val="da-DK"/>
              </w:rPr>
              <w:t>værdi</w:t>
            </w:r>
            <w:proofErr w:type="spellEnd"/>
          </w:p>
        </w:tc>
        <w:tc>
          <w:tcPr>
            <w:tcW w:w="642" w:type="pct"/>
            <w:tcBorders>
              <w:top w:val="nil"/>
              <w:left w:val="single" w:sz="6" w:space="0" w:color="000000"/>
              <w:bottom w:val="single" w:sz="6" w:space="0" w:color="000000"/>
              <w:right w:val="single" w:sz="6" w:space="0" w:color="000000"/>
            </w:tcBorders>
            <w:hideMark/>
          </w:tcPr>
          <w:p w14:paraId="0527E533" w14:textId="77777777" w:rsidR="00314C3D" w:rsidRPr="00374098" w:rsidRDefault="00314C3D">
            <w:pPr>
              <w:pStyle w:val="TableParagraph"/>
              <w:spacing w:line="183" w:lineRule="exact"/>
              <w:ind w:left="9"/>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single" w:sz="6" w:space="0" w:color="000000"/>
              <w:right w:val="single" w:sz="6" w:space="0" w:color="000000"/>
            </w:tcBorders>
            <w:hideMark/>
          </w:tcPr>
          <w:p w14:paraId="66908AE0" w14:textId="77777777" w:rsidR="00314C3D" w:rsidRPr="00374098" w:rsidRDefault="00314C3D">
            <w:pPr>
              <w:pStyle w:val="TableParagraph"/>
              <w:spacing w:line="183" w:lineRule="exact"/>
              <w:ind w:left="10" w:right="1"/>
              <w:jc w:val="center"/>
              <w:rPr>
                <w:sz w:val="20"/>
                <w:szCs w:val="20"/>
                <w:lang w:val="da-DK"/>
              </w:rPr>
            </w:pPr>
            <w:r w:rsidRPr="00374098">
              <w:rPr>
                <w:spacing w:val="-2"/>
                <w:sz w:val="20"/>
                <w:szCs w:val="20"/>
                <w:lang w:val="da-DK"/>
              </w:rPr>
              <w:t>0,591</w:t>
            </w:r>
          </w:p>
        </w:tc>
        <w:tc>
          <w:tcPr>
            <w:tcW w:w="642" w:type="pct"/>
            <w:tcBorders>
              <w:top w:val="nil"/>
              <w:left w:val="single" w:sz="6" w:space="0" w:color="000000"/>
              <w:bottom w:val="single" w:sz="6" w:space="0" w:color="000000"/>
              <w:right w:val="single" w:sz="6" w:space="0" w:color="000000"/>
            </w:tcBorders>
            <w:hideMark/>
          </w:tcPr>
          <w:p w14:paraId="522C99CD" w14:textId="77777777" w:rsidR="00314C3D" w:rsidRPr="00374098" w:rsidRDefault="00314C3D">
            <w:pPr>
              <w:pStyle w:val="TableParagraph"/>
              <w:spacing w:line="183" w:lineRule="exact"/>
              <w:ind w:left="10"/>
              <w:jc w:val="center"/>
              <w:rPr>
                <w:sz w:val="20"/>
                <w:szCs w:val="20"/>
                <w:lang w:val="da-DK"/>
              </w:rPr>
            </w:pPr>
            <w:r w:rsidRPr="00374098">
              <w:rPr>
                <w:spacing w:val="-2"/>
                <w:sz w:val="20"/>
                <w:szCs w:val="20"/>
                <w:lang w:val="da-DK"/>
              </w:rPr>
              <w:t>0,034</w:t>
            </w:r>
          </w:p>
        </w:tc>
        <w:tc>
          <w:tcPr>
            <w:tcW w:w="642" w:type="pct"/>
            <w:tcBorders>
              <w:top w:val="nil"/>
              <w:left w:val="single" w:sz="6" w:space="0" w:color="000000"/>
              <w:bottom w:val="single" w:sz="6" w:space="0" w:color="000000"/>
              <w:right w:val="single" w:sz="6" w:space="0" w:color="000000"/>
            </w:tcBorders>
            <w:hideMark/>
          </w:tcPr>
          <w:p w14:paraId="141532EE" w14:textId="77777777" w:rsidR="00314C3D" w:rsidRPr="00374098" w:rsidRDefault="00314C3D">
            <w:pPr>
              <w:pStyle w:val="TableParagraph"/>
              <w:spacing w:line="183" w:lineRule="exact"/>
              <w:ind w:left="10"/>
              <w:jc w:val="center"/>
              <w:rPr>
                <w:sz w:val="20"/>
                <w:szCs w:val="20"/>
                <w:lang w:val="da-DK"/>
              </w:rPr>
            </w:pPr>
            <w:r w:rsidRPr="00374098">
              <w:rPr>
                <w:spacing w:val="-2"/>
                <w:sz w:val="20"/>
                <w:szCs w:val="20"/>
                <w:lang w:val="da-DK"/>
              </w:rPr>
              <w:t>0,391</w:t>
            </w:r>
          </w:p>
        </w:tc>
        <w:tc>
          <w:tcPr>
            <w:tcW w:w="644" w:type="pct"/>
            <w:tcBorders>
              <w:top w:val="nil"/>
              <w:left w:val="single" w:sz="6" w:space="0" w:color="000000"/>
              <w:bottom w:val="single" w:sz="6" w:space="0" w:color="000000"/>
              <w:right w:val="single" w:sz="6" w:space="0" w:color="000000"/>
            </w:tcBorders>
            <w:hideMark/>
          </w:tcPr>
          <w:p w14:paraId="0C4F85B1" w14:textId="77777777" w:rsidR="00314C3D" w:rsidRPr="00374098" w:rsidRDefault="00314C3D">
            <w:pPr>
              <w:pStyle w:val="TableParagraph"/>
              <w:spacing w:line="18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single" w:sz="6" w:space="0" w:color="000000"/>
              <w:right w:val="single" w:sz="4" w:space="0" w:color="000000"/>
            </w:tcBorders>
            <w:hideMark/>
          </w:tcPr>
          <w:p w14:paraId="61C897BD" w14:textId="77777777" w:rsidR="00314C3D" w:rsidRPr="00374098" w:rsidRDefault="00314C3D">
            <w:pPr>
              <w:pStyle w:val="TableParagraph"/>
              <w:spacing w:line="183" w:lineRule="exact"/>
              <w:ind w:left="7"/>
              <w:jc w:val="center"/>
              <w:rPr>
                <w:sz w:val="20"/>
                <w:szCs w:val="20"/>
                <w:lang w:val="da-DK"/>
              </w:rPr>
            </w:pPr>
            <w:r w:rsidRPr="00374098">
              <w:rPr>
                <w:sz w:val="20"/>
                <w:szCs w:val="20"/>
                <w:lang w:val="da-DK"/>
              </w:rPr>
              <w:t>-</w:t>
            </w:r>
            <w:r w:rsidRPr="00374098">
              <w:rPr>
                <w:spacing w:val="-10"/>
                <w:sz w:val="20"/>
                <w:szCs w:val="20"/>
                <w:lang w:val="da-DK"/>
              </w:rPr>
              <w:t>-</w:t>
            </w:r>
          </w:p>
        </w:tc>
      </w:tr>
      <w:tr w:rsidR="00314C3D" w:rsidRPr="00374098" w14:paraId="0EB1D082" w14:textId="77777777" w:rsidTr="00374098">
        <w:trPr>
          <w:trHeight w:val="20"/>
        </w:trPr>
        <w:tc>
          <w:tcPr>
            <w:tcW w:w="1098" w:type="pct"/>
            <w:tcBorders>
              <w:top w:val="single" w:sz="6" w:space="0" w:color="000000"/>
              <w:left w:val="single" w:sz="4" w:space="0" w:color="000000"/>
              <w:bottom w:val="nil"/>
              <w:right w:val="single" w:sz="6" w:space="0" w:color="000000"/>
            </w:tcBorders>
            <w:hideMark/>
          </w:tcPr>
          <w:p w14:paraId="1DCCFD35" w14:textId="77777777" w:rsidR="00314C3D" w:rsidRPr="00374098" w:rsidRDefault="00314C3D">
            <w:pPr>
              <w:pStyle w:val="TableParagraph"/>
              <w:spacing w:line="187" w:lineRule="exact"/>
              <w:ind w:left="115"/>
              <w:rPr>
                <w:sz w:val="20"/>
                <w:szCs w:val="20"/>
                <w:lang w:val="da-DK"/>
              </w:rPr>
            </w:pPr>
            <w:r w:rsidRPr="00374098">
              <w:rPr>
                <w:sz w:val="20"/>
                <w:szCs w:val="20"/>
                <w:lang w:val="da-DK"/>
              </w:rPr>
              <w:t xml:space="preserve">Studie </w:t>
            </w:r>
            <w:r w:rsidRPr="00374098">
              <w:rPr>
                <w:spacing w:val="-2"/>
                <w:sz w:val="20"/>
                <w:szCs w:val="20"/>
                <w:lang w:val="da-DK"/>
              </w:rPr>
              <w:t>D1050231</w:t>
            </w:r>
          </w:p>
        </w:tc>
        <w:tc>
          <w:tcPr>
            <w:tcW w:w="642" w:type="pct"/>
            <w:tcBorders>
              <w:top w:val="single" w:sz="6" w:space="0" w:color="000000"/>
              <w:left w:val="single" w:sz="6" w:space="0" w:color="000000"/>
              <w:bottom w:val="nil"/>
              <w:right w:val="single" w:sz="6" w:space="0" w:color="000000"/>
            </w:tcBorders>
            <w:hideMark/>
          </w:tcPr>
          <w:p w14:paraId="5C1A9C90" w14:textId="77777777" w:rsidR="00314C3D" w:rsidRPr="00374098" w:rsidRDefault="00314C3D">
            <w:pPr>
              <w:pStyle w:val="TableParagraph"/>
              <w:spacing w:line="187" w:lineRule="exact"/>
              <w:ind w:left="9"/>
              <w:jc w:val="center"/>
              <w:rPr>
                <w:sz w:val="20"/>
                <w:szCs w:val="20"/>
                <w:lang w:val="da-DK"/>
              </w:rPr>
            </w:pPr>
            <w:r w:rsidRPr="00374098">
              <w:rPr>
                <w:spacing w:val="-2"/>
                <w:sz w:val="20"/>
                <w:szCs w:val="20"/>
                <w:lang w:val="da-DK"/>
              </w:rPr>
              <w:t>N=114</w:t>
            </w:r>
          </w:p>
        </w:tc>
        <w:tc>
          <w:tcPr>
            <w:tcW w:w="642" w:type="pct"/>
            <w:vMerge w:val="restart"/>
            <w:tcBorders>
              <w:top w:val="single" w:sz="6" w:space="0" w:color="000000"/>
              <w:left w:val="single" w:sz="6" w:space="0" w:color="000000"/>
              <w:bottom w:val="nil"/>
              <w:right w:val="single" w:sz="6" w:space="0" w:color="000000"/>
            </w:tcBorders>
            <w:hideMark/>
          </w:tcPr>
          <w:p w14:paraId="03F53701" w14:textId="77777777" w:rsidR="00314C3D" w:rsidRPr="00374098" w:rsidRDefault="00314C3D">
            <w:pPr>
              <w:pStyle w:val="TableParagraph"/>
              <w:spacing w:line="187" w:lineRule="exact"/>
              <w:ind w:left="10" w:right="1"/>
              <w:jc w:val="center"/>
              <w:rPr>
                <w:sz w:val="20"/>
                <w:szCs w:val="20"/>
                <w:lang w:val="da-DK"/>
              </w:rPr>
            </w:pPr>
            <w:r w:rsidRPr="00374098">
              <w:rPr>
                <w:spacing w:val="-2"/>
                <w:sz w:val="20"/>
                <w:szCs w:val="20"/>
                <w:lang w:val="da-DK"/>
              </w:rPr>
              <w:t>N=118</w:t>
            </w:r>
          </w:p>
          <w:p w14:paraId="714BCA0C" w14:textId="77777777" w:rsidR="00314C3D" w:rsidRPr="00374098" w:rsidRDefault="00314C3D">
            <w:pPr>
              <w:pStyle w:val="TableParagraph"/>
              <w:spacing w:line="191" w:lineRule="exact"/>
              <w:ind w:left="10" w:right="1"/>
              <w:jc w:val="center"/>
              <w:rPr>
                <w:sz w:val="20"/>
                <w:szCs w:val="20"/>
                <w:lang w:val="da-DK"/>
              </w:rPr>
            </w:pPr>
            <w:r w:rsidRPr="00374098">
              <w:rPr>
                <w:sz w:val="20"/>
                <w:szCs w:val="20"/>
                <w:lang w:val="da-DK"/>
              </w:rPr>
              <w:t xml:space="preserve">96,6 </w:t>
            </w:r>
            <w:r w:rsidRPr="00374098">
              <w:rPr>
                <w:spacing w:val="-2"/>
                <w:sz w:val="20"/>
                <w:szCs w:val="20"/>
                <w:lang w:val="da-DK"/>
              </w:rPr>
              <w:t>(10,7)</w:t>
            </w:r>
          </w:p>
        </w:tc>
        <w:tc>
          <w:tcPr>
            <w:tcW w:w="642" w:type="pct"/>
            <w:vMerge w:val="restart"/>
            <w:tcBorders>
              <w:top w:val="single" w:sz="6" w:space="0" w:color="000000"/>
              <w:left w:val="single" w:sz="6" w:space="0" w:color="000000"/>
              <w:bottom w:val="nil"/>
              <w:right w:val="single" w:sz="6" w:space="0" w:color="000000"/>
            </w:tcBorders>
            <w:hideMark/>
          </w:tcPr>
          <w:p w14:paraId="03932067"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p w14:paraId="3E4ED494" w14:textId="77777777" w:rsidR="00314C3D" w:rsidRPr="00374098" w:rsidRDefault="00314C3D">
            <w:pPr>
              <w:pStyle w:val="TableParagraph"/>
              <w:spacing w:line="191"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2" w:type="pct"/>
            <w:vMerge w:val="restart"/>
            <w:tcBorders>
              <w:top w:val="single" w:sz="6" w:space="0" w:color="000000"/>
              <w:left w:val="single" w:sz="6" w:space="0" w:color="000000"/>
              <w:bottom w:val="nil"/>
              <w:right w:val="single" w:sz="6" w:space="0" w:color="000000"/>
            </w:tcBorders>
            <w:hideMark/>
          </w:tcPr>
          <w:p w14:paraId="713DFE57" w14:textId="77777777" w:rsidR="00314C3D" w:rsidRPr="00374098" w:rsidRDefault="00314C3D">
            <w:pPr>
              <w:pStyle w:val="TableParagraph"/>
              <w:spacing w:line="187" w:lineRule="exact"/>
              <w:ind w:left="10" w:right="1"/>
              <w:jc w:val="center"/>
              <w:rPr>
                <w:sz w:val="20"/>
                <w:szCs w:val="20"/>
                <w:lang w:val="da-DK"/>
              </w:rPr>
            </w:pPr>
            <w:r w:rsidRPr="00374098">
              <w:rPr>
                <w:spacing w:val="-2"/>
                <w:sz w:val="20"/>
                <w:szCs w:val="20"/>
                <w:lang w:val="da-DK"/>
              </w:rPr>
              <w:t>N=118</w:t>
            </w:r>
          </w:p>
          <w:p w14:paraId="725341DE" w14:textId="77777777" w:rsidR="00314C3D" w:rsidRPr="00374098" w:rsidRDefault="00314C3D">
            <w:pPr>
              <w:pStyle w:val="TableParagraph"/>
              <w:spacing w:line="191" w:lineRule="exact"/>
              <w:ind w:left="10" w:right="1"/>
              <w:jc w:val="center"/>
              <w:rPr>
                <w:sz w:val="20"/>
                <w:szCs w:val="20"/>
                <w:lang w:val="da-DK"/>
              </w:rPr>
            </w:pPr>
            <w:r w:rsidRPr="00374098">
              <w:rPr>
                <w:sz w:val="20"/>
                <w:szCs w:val="20"/>
                <w:lang w:val="da-DK"/>
              </w:rPr>
              <w:t xml:space="preserve">97,9 </w:t>
            </w:r>
            <w:r w:rsidRPr="00374098">
              <w:rPr>
                <w:spacing w:val="-2"/>
                <w:sz w:val="20"/>
                <w:szCs w:val="20"/>
                <w:lang w:val="da-DK"/>
              </w:rPr>
              <w:t>(11,3)</w:t>
            </w:r>
          </w:p>
        </w:tc>
        <w:tc>
          <w:tcPr>
            <w:tcW w:w="644" w:type="pct"/>
            <w:vMerge w:val="restart"/>
            <w:tcBorders>
              <w:top w:val="single" w:sz="6" w:space="0" w:color="000000"/>
              <w:left w:val="single" w:sz="6" w:space="0" w:color="000000"/>
              <w:bottom w:val="nil"/>
              <w:right w:val="single" w:sz="6" w:space="0" w:color="000000"/>
            </w:tcBorders>
            <w:hideMark/>
          </w:tcPr>
          <w:p w14:paraId="7F12E1FF"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p w14:paraId="1274F9B0" w14:textId="77777777" w:rsidR="00314C3D" w:rsidRPr="00374098" w:rsidRDefault="00314C3D">
            <w:pPr>
              <w:pStyle w:val="TableParagraph"/>
              <w:spacing w:line="191"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vMerge w:val="restart"/>
            <w:tcBorders>
              <w:top w:val="single" w:sz="6" w:space="0" w:color="000000"/>
              <w:left w:val="single" w:sz="6" w:space="0" w:color="000000"/>
              <w:bottom w:val="nil"/>
              <w:right w:val="single" w:sz="4" w:space="0" w:color="000000"/>
            </w:tcBorders>
            <w:hideMark/>
          </w:tcPr>
          <w:p w14:paraId="2C9B86C4" w14:textId="77777777" w:rsidR="00314C3D" w:rsidRPr="00374098" w:rsidRDefault="00314C3D">
            <w:pPr>
              <w:pStyle w:val="TableParagraph"/>
              <w:spacing w:line="187" w:lineRule="exact"/>
              <w:ind w:left="7"/>
              <w:jc w:val="center"/>
              <w:rPr>
                <w:sz w:val="20"/>
                <w:szCs w:val="20"/>
                <w:lang w:val="da-DK"/>
              </w:rPr>
            </w:pPr>
            <w:r w:rsidRPr="00374098">
              <w:rPr>
                <w:spacing w:val="-2"/>
                <w:sz w:val="20"/>
                <w:szCs w:val="20"/>
                <w:lang w:val="da-DK"/>
              </w:rPr>
              <w:t>N=121</w:t>
            </w:r>
          </w:p>
          <w:p w14:paraId="658DDF06" w14:textId="77777777" w:rsidR="00314C3D" w:rsidRPr="00374098" w:rsidRDefault="00314C3D">
            <w:pPr>
              <w:pStyle w:val="TableParagraph"/>
              <w:spacing w:line="191" w:lineRule="exact"/>
              <w:ind w:left="7"/>
              <w:jc w:val="center"/>
              <w:rPr>
                <w:sz w:val="20"/>
                <w:szCs w:val="20"/>
                <w:lang w:val="da-DK"/>
              </w:rPr>
            </w:pPr>
            <w:r w:rsidRPr="00374098">
              <w:rPr>
                <w:sz w:val="20"/>
                <w:szCs w:val="20"/>
                <w:lang w:val="da-DK"/>
              </w:rPr>
              <w:t>96,3 (</w:t>
            </w:r>
            <w:r w:rsidRPr="00374098">
              <w:rPr>
                <w:spacing w:val="-4"/>
                <w:sz w:val="20"/>
                <w:szCs w:val="20"/>
                <w:lang w:val="da-DK"/>
              </w:rPr>
              <w:t>12,2)</w:t>
            </w:r>
          </w:p>
        </w:tc>
      </w:tr>
      <w:tr w:rsidR="00314C3D" w:rsidRPr="00374098" w14:paraId="3171362E" w14:textId="77777777" w:rsidTr="00374098">
        <w:trPr>
          <w:trHeight w:val="20"/>
        </w:trPr>
        <w:tc>
          <w:tcPr>
            <w:tcW w:w="1098" w:type="pct"/>
            <w:tcBorders>
              <w:top w:val="nil"/>
              <w:left w:val="single" w:sz="4" w:space="0" w:color="000000"/>
              <w:bottom w:val="nil"/>
              <w:right w:val="single" w:sz="6" w:space="0" w:color="000000"/>
            </w:tcBorders>
            <w:hideMark/>
          </w:tcPr>
          <w:p w14:paraId="5698D135" w14:textId="77777777" w:rsidR="00314C3D" w:rsidRPr="00374098" w:rsidRDefault="00314C3D">
            <w:pPr>
              <w:pStyle w:val="TableParagraph"/>
              <w:spacing w:line="191" w:lineRule="exact"/>
              <w:ind w:left="402"/>
              <w:rPr>
                <w:sz w:val="20"/>
                <w:szCs w:val="20"/>
                <w:lang w:val="da-DK"/>
              </w:rPr>
            </w:pPr>
            <w:r w:rsidRPr="00374098">
              <w:rPr>
                <w:sz w:val="20"/>
                <w:szCs w:val="20"/>
                <w:lang w:val="da-DK"/>
              </w:rPr>
              <w:t>Baseline,</w:t>
            </w:r>
            <w:r w:rsidRPr="00374098">
              <w:rPr>
                <w:spacing w:val="-1"/>
                <w:sz w:val="20"/>
                <w:szCs w:val="20"/>
                <w:lang w:val="da-DK"/>
              </w:rPr>
              <w:t xml:space="preserve"> </w:t>
            </w:r>
            <w:r w:rsidRPr="00374098">
              <w:rPr>
                <w:spacing w:val="-2"/>
                <w:sz w:val="20"/>
                <w:szCs w:val="20"/>
                <w:lang w:val="da-DK"/>
              </w:rPr>
              <w:t>middel</w:t>
            </w:r>
          </w:p>
        </w:tc>
        <w:tc>
          <w:tcPr>
            <w:tcW w:w="642" w:type="pct"/>
            <w:tcBorders>
              <w:top w:val="nil"/>
              <w:left w:val="single" w:sz="6" w:space="0" w:color="000000"/>
              <w:bottom w:val="nil"/>
              <w:right w:val="single" w:sz="6" w:space="0" w:color="000000"/>
            </w:tcBorders>
            <w:hideMark/>
          </w:tcPr>
          <w:p w14:paraId="3F9ED11F" w14:textId="77777777" w:rsidR="00314C3D" w:rsidRPr="00374098" w:rsidRDefault="00314C3D">
            <w:pPr>
              <w:pStyle w:val="TableParagraph"/>
              <w:spacing w:line="191" w:lineRule="exact"/>
              <w:ind w:left="9"/>
              <w:jc w:val="center"/>
              <w:rPr>
                <w:sz w:val="20"/>
                <w:szCs w:val="20"/>
                <w:lang w:val="da-DK"/>
              </w:rPr>
            </w:pPr>
            <w:r w:rsidRPr="00374098">
              <w:rPr>
                <w:sz w:val="20"/>
                <w:szCs w:val="20"/>
                <w:lang w:val="da-DK"/>
              </w:rPr>
              <w:t xml:space="preserve">95,8 </w:t>
            </w:r>
            <w:r w:rsidRPr="00374098">
              <w:rPr>
                <w:spacing w:val="-2"/>
                <w:sz w:val="20"/>
                <w:szCs w:val="20"/>
                <w:lang w:val="da-DK"/>
              </w:rPr>
              <w:t>(10,8)</w:t>
            </w:r>
          </w:p>
        </w:tc>
        <w:tc>
          <w:tcPr>
            <w:tcW w:w="642" w:type="pct"/>
            <w:vMerge/>
            <w:tcBorders>
              <w:top w:val="single" w:sz="6" w:space="0" w:color="000000"/>
              <w:left w:val="single" w:sz="6" w:space="0" w:color="000000"/>
              <w:bottom w:val="nil"/>
              <w:right w:val="single" w:sz="6" w:space="0" w:color="000000"/>
            </w:tcBorders>
            <w:vAlign w:val="center"/>
            <w:hideMark/>
          </w:tcPr>
          <w:p w14:paraId="4AC95732" w14:textId="77777777" w:rsidR="00314C3D" w:rsidRPr="00374098" w:rsidRDefault="00314C3D">
            <w:pPr>
              <w:rPr>
                <w:sz w:val="20"/>
              </w:rPr>
            </w:pPr>
          </w:p>
        </w:tc>
        <w:tc>
          <w:tcPr>
            <w:tcW w:w="642" w:type="pct"/>
            <w:vMerge/>
            <w:tcBorders>
              <w:top w:val="single" w:sz="6" w:space="0" w:color="000000"/>
              <w:left w:val="single" w:sz="6" w:space="0" w:color="000000"/>
              <w:bottom w:val="nil"/>
              <w:right w:val="single" w:sz="6" w:space="0" w:color="000000"/>
            </w:tcBorders>
            <w:vAlign w:val="center"/>
            <w:hideMark/>
          </w:tcPr>
          <w:p w14:paraId="2922F733" w14:textId="77777777" w:rsidR="00314C3D" w:rsidRPr="00374098" w:rsidRDefault="00314C3D">
            <w:pPr>
              <w:rPr>
                <w:sz w:val="20"/>
              </w:rPr>
            </w:pPr>
          </w:p>
        </w:tc>
        <w:tc>
          <w:tcPr>
            <w:tcW w:w="642" w:type="pct"/>
            <w:vMerge/>
            <w:tcBorders>
              <w:top w:val="single" w:sz="6" w:space="0" w:color="000000"/>
              <w:left w:val="single" w:sz="6" w:space="0" w:color="000000"/>
              <w:bottom w:val="nil"/>
              <w:right w:val="single" w:sz="6" w:space="0" w:color="000000"/>
            </w:tcBorders>
            <w:vAlign w:val="center"/>
            <w:hideMark/>
          </w:tcPr>
          <w:p w14:paraId="3D7237CB" w14:textId="77777777" w:rsidR="00314C3D" w:rsidRPr="00374098" w:rsidRDefault="00314C3D">
            <w:pPr>
              <w:rPr>
                <w:sz w:val="20"/>
              </w:rPr>
            </w:pPr>
          </w:p>
        </w:tc>
        <w:tc>
          <w:tcPr>
            <w:tcW w:w="644" w:type="pct"/>
            <w:vMerge/>
            <w:tcBorders>
              <w:top w:val="single" w:sz="6" w:space="0" w:color="000000"/>
              <w:left w:val="single" w:sz="6" w:space="0" w:color="000000"/>
              <w:bottom w:val="nil"/>
              <w:right w:val="single" w:sz="6" w:space="0" w:color="000000"/>
            </w:tcBorders>
            <w:vAlign w:val="center"/>
            <w:hideMark/>
          </w:tcPr>
          <w:p w14:paraId="61D33F89" w14:textId="77777777" w:rsidR="00314C3D" w:rsidRPr="00374098" w:rsidRDefault="00314C3D">
            <w:pPr>
              <w:rPr>
                <w:sz w:val="20"/>
              </w:rPr>
            </w:pPr>
          </w:p>
        </w:tc>
        <w:tc>
          <w:tcPr>
            <w:tcW w:w="690" w:type="pct"/>
            <w:vMerge/>
            <w:tcBorders>
              <w:top w:val="single" w:sz="6" w:space="0" w:color="000000"/>
              <w:left w:val="single" w:sz="6" w:space="0" w:color="000000"/>
              <w:bottom w:val="nil"/>
              <w:right w:val="single" w:sz="4" w:space="0" w:color="000000"/>
            </w:tcBorders>
            <w:vAlign w:val="center"/>
            <w:hideMark/>
          </w:tcPr>
          <w:p w14:paraId="00394DFB" w14:textId="77777777" w:rsidR="00314C3D" w:rsidRPr="00374098" w:rsidRDefault="00314C3D">
            <w:pPr>
              <w:rPr>
                <w:sz w:val="20"/>
              </w:rPr>
            </w:pPr>
          </w:p>
        </w:tc>
      </w:tr>
      <w:tr w:rsidR="00314C3D" w:rsidRPr="00374098" w14:paraId="5442AD0A" w14:textId="77777777" w:rsidTr="00374098">
        <w:trPr>
          <w:trHeight w:val="20"/>
        </w:trPr>
        <w:tc>
          <w:tcPr>
            <w:tcW w:w="1098" w:type="pct"/>
            <w:tcBorders>
              <w:top w:val="nil"/>
              <w:left w:val="single" w:sz="4" w:space="0" w:color="000000"/>
              <w:bottom w:val="nil"/>
              <w:right w:val="single" w:sz="6" w:space="0" w:color="000000"/>
            </w:tcBorders>
            <w:hideMark/>
          </w:tcPr>
          <w:p w14:paraId="5F384BB1" w14:textId="77777777" w:rsidR="00314C3D" w:rsidRPr="00374098" w:rsidRDefault="00314C3D">
            <w:pPr>
              <w:pStyle w:val="TableParagraph"/>
              <w:spacing w:line="187" w:lineRule="exact"/>
              <w:ind w:left="402"/>
              <w:rPr>
                <w:sz w:val="20"/>
                <w:szCs w:val="20"/>
                <w:lang w:val="da-DK"/>
              </w:rPr>
            </w:pPr>
            <w:r w:rsidRPr="00374098">
              <w:rPr>
                <w:spacing w:val="-4"/>
                <w:sz w:val="20"/>
                <w:szCs w:val="20"/>
                <w:lang w:val="da-DK"/>
              </w:rPr>
              <w:t>(SD)</w:t>
            </w:r>
          </w:p>
        </w:tc>
        <w:tc>
          <w:tcPr>
            <w:tcW w:w="1284" w:type="pct"/>
            <w:gridSpan w:val="2"/>
            <w:tcBorders>
              <w:top w:val="nil"/>
              <w:left w:val="single" w:sz="6" w:space="0" w:color="000000"/>
              <w:bottom w:val="nil"/>
              <w:right w:val="single" w:sz="6" w:space="0" w:color="000000"/>
            </w:tcBorders>
          </w:tcPr>
          <w:p w14:paraId="0DBCAA62"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19E1265B"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6D891FBD"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409375B8"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7417E896" w14:textId="77777777" w:rsidR="00314C3D" w:rsidRPr="00374098" w:rsidRDefault="00314C3D">
            <w:pPr>
              <w:pStyle w:val="TableParagraph"/>
              <w:rPr>
                <w:sz w:val="20"/>
                <w:szCs w:val="20"/>
                <w:lang w:val="da-DK"/>
              </w:rPr>
            </w:pPr>
          </w:p>
        </w:tc>
      </w:tr>
      <w:tr w:rsidR="00314C3D" w:rsidRPr="00374098" w14:paraId="136F54A5" w14:textId="77777777" w:rsidTr="00374098">
        <w:trPr>
          <w:trHeight w:val="20"/>
        </w:trPr>
        <w:tc>
          <w:tcPr>
            <w:tcW w:w="1098" w:type="pct"/>
            <w:tcBorders>
              <w:top w:val="nil"/>
              <w:left w:val="single" w:sz="4" w:space="0" w:color="000000"/>
              <w:bottom w:val="nil"/>
              <w:right w:val="single" w:sz="6" w:space="0" w:color="000000"/>
            </w:tcBorders>
            <w:hideMark/>
          </w:tcPr>
          <w:p w14:paraId="1CF53DDD" w14:textId="77777777" w:rsidR="00314C3D" w:rsidRPr="00374098" w:rsidRDefault="00314C3D">
            <w:pPr>
              <w:pStyle w:val="TableParagraph"/>
              <w:spacing w:line="187" w:lineRule="exact"/>
              <w:ind w:right="211"/>
              <w:jc w:val="right"/>
              <w:rPr>
                <w:sz w:val="20"/>
                <w:szCs w:val="20"/>
                <w:lang w:val="da-DK"/>
              </w:rPr>
            </w:pPr>
            <w:r w:rsidRPr="00374098">
              <w:rPr>
                <w:sz w:val="20"/>
                <w:szCs w:val="20"/>
                <w:lang w:val="da-DK"/>
              </w:rPr>
              <w:t>LS-</w:t>
            </w:r>
            <w:r w:rsidRPr="00374098">
              <w:rPr>
                <w:spacing w:val="-2"/>
                <w:sz w:val="20"/>
                <w:szCs w:val="20"/>
                <w:lang w:val="da-DK"/>
              </w:rPr>
              <w:t>middelændring</w:t>
            </w:r>
          </w:p>
        </w:tc>
        <w:tc>
          <w:tcPr>
            <w:tcW w:w="642" w:type="pct"/>
            <w:tcBorders>
              <w:top w:val="nil"/>
              <w:left w:val="single" w:sz="6" w:space="0" w:color="000000"/>
              <w:bottom w:val="nil"/>
              <w:right w:val="single" w:sz="6" w:space="0" w:color="000000"/>
            </w:tcBorders>
            <w:hideMark/>
          </w:tcPr>
          <w:p w14:paraId="075309FA" w14:textId="77777777" w:rsidR="00314C3D" w:rsidRPr="00374098" w:rsidRDefault="00314C3D">
            <w:pPr>
              <w:pStyle w:val="TableParagraph"/>
              <w:spacing w:line="187" w:lineRule="exact"/>
              <w:ind w:left="9"/>
              <w:jc w:val="center"/>
              <w:rPr>
                <w:sz w:val="20"/>
                <w:szCs w:val="20"/>
                <w:lang w:val="da-DK"/>
              </w:rPr>
            </w:pPr>
            <w:r w:rsidRPr="00374098">
              <w:rPr>
                <w:sz w:val="20"/>
                <w:szCs w:val="20"/>
                <w:lang w:val="da-DK"/>
              </w:rPr>
              <w:t xml:space="preserve">-16,0 </w:t>
            </w:r>
            <w:r w:rsidRPr="00374098">
              <w:rPr>
                <w:spacing w:val="-2"/>
                <w:sz w:val="20"/>
                <w:szCs w:val="20"/>
                <w:lang w:val="da-DK"/>
              </w:rPr>
              <w:t>(2,1)</w:t>
            </w:r>
          </w:p>
        </w:tc>
        <w:tc>
          <w:tcPr>
            <w:tcW w:w="642" w:type="pct"/>
            <w:tcBorders>
              <w:top w:val="nil"/>
              <w:left w:val="single" w:sz="6" w:space="0" w:color="000000"/>
              <w:bottom w:val="nil"/>
              <w:right w:val="single" w:sz="6" w:space="0" w:color="000000"/>
            </w:tcBorders>
            <w:hideMark/>
          </w:tcPr>
          <w:p w14:paraId="17B26243"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-25,7 </w:t>
            </w:r>
            <w:r w:rsidRPr="00374098">
              <w:rPr>
                <w:spacing w:val="-2"/>
                <w:sz w:val="20"/>
                <w:szCs w:val="20"/>
                <w:lang w:val="da-DK"/>
              </w:rPr>
              <w:t>(2,0)</w:t>
            </w:r>
          </w:p>
        </w:tc>
        <w:tc>
          <w:tcPr>
            <w:tcW w:w="642" w:type="pct"/>
            <w:tcBorders>
              <w:top w:val="nil"/>
              <w:left w:val="single" w:sz="6" w:space="0" w:color="000000"/>
              <w:bottom w:val="nil"/>
              <w:right w:val="single" w:sz="6" w:space="0" w:color="000000"/>
            </w:tcBorders>
            <w:hideMark/>
          </w:tcPr>
          <w:p w14:paraId="31705EC9"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3EF11292"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-23,6 </w:t>
            </w:r>
            <w:r w:rsidRPr="00374098">
              <w:rPr>
                <w:spacing w:val="-2"/>
                <w:sz w:val="20"/>
                <w:szCs w:val="20"/>
                <w:lang w:val="da-DK"/>
              </w:rPr>
              <w:t>(2,1)</w:t>
            </w:r>
          </w:p>
        </w:tc>
        <w:tc>
          <w:tcPr>
            <w:tcW w:w="644" w:type="pct"/>
            <w:tcBorders>
              <w:top w:val="nil"/>
              <w:left w:val="single" w:sz="6" w:space="0" w:color="000000"/>
              <w:bottom w:val="nil"/>
              <w:right w:val="single" w:sz="6" w:space="0" w:color="000000"/>
            </w:tcBorders>
            <w:hideMark/>
          </w:tcPr>
          <w:p w14:paraId="416244CE"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nil"/>
              <w:right w:val="single" w:sz="4" w:space="0" w:color="000000"/>
            </w:tcBorders>
            <w:hideMark/>
          </w:tcPr>
          <w:p w14:paraId="71F65D89" w14:textId="77777777" w:rsidR="00314C3D" w:rsidRPr="00374098" w:rsidRDefault="00314C3D">
            <w:pPr>
              <w:pStyle w:val="TableParagraph"/>
              <w:spacing w:line="187" w:lineRule="exact"/>
              <w:ind w:left="7"/>
              <w:jc w:val="center"/>
              <w:rPr>
                <w:sz w:val="20"/>
                <w:szCs w:val="20"/>
                <w:lang w:val="da-DK"/>
              </w:rPr>
            </w:pPr>
            <w:r w:rsidRPr="00374098">
              <w:rPr>
                <w:sz w:val="20"/>
                <w:szCs w:val="20"/>
                <w:lang w:val="da-DK"/>
              </w:rPr>
              <w:t xml:space="preserve">-28,7 </w:t>
            </w:r>
            <w:r w:rsidRPr="00374098">
              <w:rPr>
                <w:spacing w:val="-2"/>
                <w:sz w:val="20"/>
                <w:szCs w:val="20"/>
                <w:lang w:val="da-DK"/>
              </w:rPr>
              <w:t>(1,9)</w:t>
            </w:r>
          </w:p>
        </w:tc>
      </w:tr>
      <w:tr w:rsidR="00314C3D" w:rsidRPr="00374098" w14:paraId="0CDFAC4A" w14:textId="77777777" w:rsidTr="00374098">
        <w:trPr>
          <w:trHeight w:val="20"/>
        </w:trPr>
        <w:tc>
          <w:tcPr>
            <w:tcW w:w="1098" w:type="pct"/>
            <w:tcBorders>
              <w:top w:val="nil"/>
              <w:left w:val="single" w:sz="4" w:space="0" w:color="000000"/>
              <w:bottom w:val="nil"/>
              <w:right w:val="single" w:sz="6" w:space="0" w:color="000000"/>
            </w:tcBorders>
            <w:hideMark/>
          </w:tcPr>
          <w:p w14:paraId="310F0BCB" w14:textId="77777777" w:rsidR="00314C3D" w:rsidRPr="00374098" w:rsidRDefault="00314C3D">
            <w:pPr>
              <w:pStyle w:val="TableParagraph"/>
              <w:spacing w:line="187" w:lineRule="exact"/>
              <w:ind w:left="402"/>
              <w:rPr>
                <w:sz w:val="20"/>
                <w:szCs w:val="20"/>
                <w:lang w:val="da-DK"/>
              </w:rPr>
            </w:pPr>
            <w:r w:rsidRPr="00374098">
              <w:rPr>
                <w:spacing w:val="-4"/>
                <w:sz w:val="20"/>
                <w:szCs w:val="20"/>
                <w:lang w:val="da-DK"/>
              </w:rPr>
              <w:t>(SE)</w:t>
            </w:r>
          </w:p>
        </w:tc>
        <w:tc>
          <w:tcPr>
            <w:tcW w:w="642" w:type="pct"/>
            <w:tcBorders>
              <w:top w:val="nil"/>
              <w:left w:val="single" w:sz="6" w:space="0" w:color="000000"/>
              <w:bottom w:val="nil"/>
              <w:right w:val="single" w:sz="6" w:space="0" w:color="000000"/>
            </w:tcBorders>
          </w:tcPr>
          <w:p w14:paraId="29443A06"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972B266"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0032D211"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8B195F1"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0FD20823"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078ED074" w14:textId="77777777" w:rsidR="00314C3D" w:rsidRPr="00374098" w:rsidRDefault="00314C3D">
            <w:pPr>
              <w:pStyle w:val="TableParagraph"/>
              <w:rPr>
                <w:sz w:val="20"/>
                <w:szCs w:val="20"/>
                <w:lang w:val="da-DK"/>
              </w:rPr>
            </w:pPr>
          </w:p>
        </w:tc>
      </w:tr>
      <w:tr w:rsidR="00314C3D" w:rsidRPr="00374098" w14:paraId="7975A69C" w14:textId="77777777" w:rsidTr="00374098">
        <w:trPr>
          <w:trHeight w:val="20"/>
        </w:trPr>
        <w:tc>
          <w:tcPr>
            <w:tcW w:w="1098" w:type="pct"/>
            <w:tcBorders>
              <w:top w:val="nil"/>
              <w:left w:val="single" w:sz="4" w:space="0" w:color="000000"/>
              <w:bottom w:val="nil"/>
              <w:right w:val="single" w:sz="6" w:space="0" w:color="000000"/>
            </w:tcBorders>
            <w:hideMark/>
          </w:tcPr>
          <w:p w14:paraId="7BE1448F" w14:textId="77777777" w:rsidR="00314C3D" w:rsidRPr="00374098" w:rsidRDefault="00314C3D">
            <w:pPr>
              <w:pStyle w:val="TableParagraph"/>
              <w:spacing w:line="187" w:lineRule="exact"/>
              <w:ind w:left="115"/>
              <w:rPr>
                <w:sz w:val="20"/>
                <w:szCs w:val="20"/>
                <w:lang w:val="da-DK"/>
              </w:rPr>
            </w:pPr>
            <w:r w:rsidRPr="00374098">
              <w:rPr>
                <w:sz w:val="20"/>
                <w:szCs w:val="20"/>
                <w:lang w:val="da-DK"/>
              </w:rPr>
              <w:t>Behandlingsforskel</w:t>
            </w:r>
            <w:r w:rsidRPr="00374098">
              <w:rPr>
                <w:spacing w:val="-4"/>
                <w:sz w:val="20"/>
                <w:szCs w:val="20"/>
                <w:lang w:val="da-DK"/>
              </w:rPr>
              <w:t xml:space="preserve"> </w:t>
            </w:r>
            <w:r w:rsidRPr="00374098">
              <w:rPr>
                <w:spacing w:val="-5"/>
                <w:sz w:val="20"/>
                <w:szCs w:val="20"/>
                <w:lang w:val="da-DK"/>
              </w:rPr>
              <w:t>vs.</w:t>
            </w:r>
          </w:p>
        </w:tc>
        <w:tc>
          <w:tcPr>
            <w:tcW w:w="642" w:type="pct"/>
            <w:tcBorders>
              <w:top w:val="nil"/>
              <w:left w:val="single" w:sz="6" w:space="0" w:color="000000"/>
              <w:bottom w:val="nil"/>
              <w:right w:val="single" w:sz="6" w:space="0" w:color="000000"/>
            </w:tcBorders>
          </w:tcPr>
          <w:p w14:paraId="0C100C33"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5EB0C9E1"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F3DB646"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D8666BC"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682002D3"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2F195243" w14:textId="77777777" w:rsidR="00314C3D" w:rsidRPr="00374098" w:rsidRDefault="00314C3D">
            <w:pPr>
              <w:pStyle w:val="TableParagraph"/>
              <w:rPr>
                <w:sz w:val="20"/>
                <w:szCs w:val="20"/>
                <w:lang w:val="da-DK"/>
              </w:rPr>
            </w:pPr>
          </w:p>
        </w:tc>
      </w:tr>
      <w:tr w:rsidR="00314C3D" w:rsidRPr="00374098" w14:paraId="1A7035EE" w14:textId="77777777" w:rsidTr="00374098">
        <w:trPr>
          <w:trHeight w:val="20"/>
        </w:trPr>
        <w:tc>
          <w:tcPr>
            <w:tcW w:w="1098" w:type="pct"/>
            <w:tcBorders>
              <w:top w:val="nil"/>
              <w:left w:val="single" w:sz="4" w:space="0" w:color="000000"/>
              <w:bottom w:val="nil"/>
              <w:right w:val="single" w:sz="6" w:space="0" w:color="000000"/>
            </w:tcBorders>
            <w:hideMark/>
          </w:tcPr>
          <w:p w14:paraId="31859972" w14:textId="77777777" w:rsidR="00314C3D" w:rsidRPr="00374098" w:rsidRDefault="00314C3D">
            <w:pPr>
              <w:pStyle w:val="TableParagraph"/>
              <w:spacing w:line="187" w:lineRule="exact"/>
              <w:ind w:left="115"/>
              <w:rPr>
                <w:sz w:val="20"/>
                <w:szCs w:val="20"/>
                <w:lang w:val="da-DK"/>
              </w:rPr>
            </w:pPr>
            <w:r w:rsidRPr="00374098">
              <w:rPr>
                <w:spacing w:val="-2"/>
                <w:sz w:val="20"/>
                <w:szCs w:val="20"/>
                <w:lang w:val="da-DK"/>
              </w:rPr>
              <w:t>placebo</w:t>
            </w:r>
          </w:p>
        </w:tc>
        <w:tc>
          <w:tcPr>
            <w:tcW w:w="642" w:type="pct"/>
            <w:tcBorders>
              <w:top w:val="nil"/>
              <w:left w:val="single" w:sz="6" w:space="0" w:color="000000"/>
              <w:bottom w:val="nil"/>
              <w:right w:val="single" w:sz="6" w:space="0" w:color="000000"/>
            </w:tcBorders>
          </w:tcPr>
          <w:p w14:paraId="6D5C7E1B"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105ECDE5"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200D75E0"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F6FE83E"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432D7282"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418EB2DA" w14:textId="77777777" w:rsidR="00314C3D" w:rsidRPr="00374098" w:rsidRDefault="00314C3D">
            <w:pPr>
              <w:pStyle w:val="TableParagraph"/>
              <w:rPr>
                <w:sz w:val="20"/>
                <w:szCs w:val="20"/>
                <w:lang w:val="da-DK"/>
              </w:rPr>
            </w:pPr>
          </w:p>
        </w:tc>
      </w:tr>
      <w:tr w:rsidR="00314C3D" w:rsidRPr="00374098" w14:paraId="455B3A23" w14:textId="77777777" w:rsidTr="00374098">
        <w:trPr>
          <w:trHeight w:val="20"/>
        </w:trPr>
        <w:tc>
          <w:tcPr>
            <w:tcW w:w="1098" w:type="pct"/>
            <w:tcBorders>
              <w:top w:val="nil"/>
              <w:left w:val="single" w:sz="4" w:space="0" w:color="000000"/>
              <w:bottom w:val="nil"/>
              <w:right w:val="single" w:sz="6" w:space="0" w:color="000000"/>
            </w:tcBorders>
            <w:hideMark/>
          </w:tcPr>
          <w:p w14:paraId="5DD1B20B" w14:textId="77777777" w:rsidR="00314C3D" w:rsidRPr="00374098" w:rsidRDefault="00314C3D">
            <w:pPr>
              <w:pStyle w:val="TableParagraph"/>
              <w:spacing w:line="187" w:lineRule="exact"/>
              <w:ind w:left="402"/>
              <w:rPr>
                <w:sz w:val="20"/>
                <w:szCs w:val="20"/>
                <w:lang w:val="da-DK"/>
              </w:rPr>
            </w:pPr>
            <w:r w:rsidRPr="00374098">
              <w:rPr>
                <w:sz w:val="20"/>
                <w:szCs w:val="20"/>
                <w:lang w:val="da-DK"/>
              </w:rPr>
              <w:t>Estimat</w:t>
            </w:r>
            <w:r w:rsidRPr="00374098">
              <w:rPr>
                <w:spacing w:val="-1"/>
                <w:sz w:val="20"/>
                <w:szCs w:val="20"/>
                <w:lang w:val="da-DK"/>
              </w:rPr>
              <w:t xml:space="preserve"> </w:t>
            </w:r>
            <w:r w:rsidRPr="00374098">
              <w:rPr>
                <w:spacing w:val="-4"/>
                <w:sz w:val="20"/>
                <w:szCs w:val="20"/>
                <w:lang w:val="da-DK"/>
              </w:rPr>
              <w:t>(SE)</w:t>
            </w:r>
          </w:p>
        </w:tc>
        <w:tc>
          <w:tcPr>
            <w:tcW w:w="642" w:type="pct"/>
            <w:tcBorders>
              <w:top w:val="nil"/>
              <w:left w:val="single" w:sz="6" w:space="0" w:color="000000"/>
              <w:bottom w:val="nil"/>
              <w:right w:val="single" w:sz="6" w:space="0" w:color="000000"/>
            </w:tcBorders>
            <w:hideMark/>
          </w:tcPr>
          <w:p w14:paraId="50A82DE1" w14:textId="77777777" w:rsidR="00314C3D" w:rsidRPr="00374098" w:rsidRDefault="00314C3D">
            <w:pPr>
              <w:pStyle w:val="TableParagraph"/>
              <w:spacing w:line="187" w:lineRule="exact"/>
              <w:ind w:left="9"/>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5EF5016E"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-9,7 </w:t>
            </w:r>
            <w:r w:rsidRPr="00374098">
              <w:rPr>
                <w:spacing w:val="-2"/>
                <w:sz w:val="20"/>
                <w:szCs w:val="20"/>
                <w:lang w:val="da-DK"/>
              </w:rPr>
              <w:t>(2,9)</w:t>
            </w:r>
          </w:p>
        </w:tc>
        <w:tc>
          <w:tcPr>
            <w:tcW w:w="642" w:type="pct"/>
            <w:tcBorders>
              <w:top w:val="nil"/>
              <w:left w:val="single" w:sz="6" w:space="0" w:color="000000"/>
              <w:bottom w:val="nil"/>
              <w:right w:val="single" w:sz="6" w:space="0" w:color="000000"/>
            </w:tcBorders>
            <w:hideMark/>
          </w:tcPr>
          <w:p w14:paraId="7844B9FD"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7FA027BA"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-7,5 </w:t>
            </w:r>
            <w:r w:rsidRPr="00374098">
              <w:rPr>
                <w:spacing w:val="-2"/>
                <w:sz w:val="20"/>
                <w:szCs w:val="20"/>
                <w:lang w:val="da-DK"/>
              </w:rPr>
              <w:t>(3,0)</w:t>
            </w:r>
          </w:p>
        </w:tc>
        <w:tc>
          <w:tcPr>
            <w:tcW w:w="644" w:type="pct"/>
            <w:tcBorders>
              <w:top w:val="nil"/>
              <w:left w:val="single" w:sz="6" w:space="0" w:color="000000"/>
              <w:bottom w:val="nil"/>
              <w:right w:val="single" w:sz="6" w:space="0" w:color="000000"/>
            </w:tcBorders>
            <w:hideMark/>
          </w:tcPr>
          <w:p w14:paraId="3E20FE7C"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nil"/>
              <w:right w:val="single" w:sz="4" w:space="0" w:color="000000"/>
            </w:tcBorders>
            <w:hideMark/>
          </w:tcPr>
          <w:p w14:paraId="12CFB4E4" w14:textId="77777777" w:rsidR="00314C3D" w:rsidRPr="00374098" w:rsidRDefault="00314C3D">
            <w:pPr>
              <w:pStyle w:val="TableParagraph"/>
              <w:spacing w:line="187" w:lineRule="exact"/>
              <w:ind w:left="7"/>
              <w:jc w:val="center"/>
              <w:rPr>
                <w:sz w:val="20"/>
                <w:szCs w:val="20"/>
                <w:lang w:val="da-DK"/>
              </w:rPr>
            </w:pPr>
            <w:r w:rsidRPr="00374098">
              <w:rPr>
                <w:sz w:val="20"/>
                <w:szCs w:val="20"/>
                <w:lang w:val="da-DK"/>
              </w:rPr>
              <w:t xml:space="preserve">-12,6 </w:t>
            </w:r>
            <w:r w:rsidRPr="00374098">
              <w:rPr>
                <w:spacing w:val="-2"/>
                <w:sz w:val="20"/>
                <w:szCs w:val="20"/>
                <w:lang w:val="da-DK"/>
              </w:rPr>
              <w:t>(2,8)</w:t>
            </w:r>
          </w:p>
        </w:tc>
      </w:tr>
      <w:tr w:rsidR="00314C3D" w:rsidRPr="00374098" w14:paraId="2BF16F84" w14:textId="77777777" w:rsidTr="00374098">
        <w:trPr>
          <w:trHeight w:val="20"/>
        </w:trPr>
        <w:tc>
          <w:tcPr>
            <w:tcW w:w="1098" w:type="pct"/>
            <w:tcBorders>
              <w:top w:val="nil"/>
              <w:left w:val="single" w:sz="4" w:space="0" w:color="000000"/>
              <w:bottom w:val="single" w:sz="6" w:space="0" w:color="000000"/>
              <w:right w:val="single" w:sz="6" w:space="0" w:color="000000"/>
            </w:tcBorders>
            <w:hideMark/>
          </w:tcPr>
          <w:p w14:paraId="57D22A1A" w14:textId="77777777" w:rsidR="00314C3D" w:rsidRPr="00374098" w:rsidRDefault="00314C3D">
            <w:pPr>
              <w:pStyle w:val="TableParagraph"/>
              <w:spacing w:line="183" w:lineRule="exact"/>
              <w:ind w:left="402"/>
              <w:rPr>
                <w:sz w:val="20"/>
                <w:szCs w:val="20"/>
                <w:lang w:val="da-DK"/>
              </w:rPr>
            </w:pPr>
            <w:proofErr w:type="spellStart"/>
            <w:r w:rsidRPr="00374098">
              <w:rPr>
                <w:sz w:val="20"/>
                <w:szCs w:val="20"/>
                <w:lang w:val="da-DK"/>
              </w:rPr>
              <w:t>p-</w:t>
            </w:r>
            <w:r w:rsidRPr="00374098">
              <w:rPr>
                <w:spacing w:val="-2"/>
                <w:sz w:val="20"/>
                <w:szCs w:val="20"/>
                <w:lang w:val="da-DK"/>
              </w:rPr>
              <w:t>værdi</w:t>
            </w:r>
            <w:proofErr w:type="spellEnd"/>
          </w:p>
        </w:tc>
        <w:tc>
          <w:tcPr>
            <w:tcW w:w="642" w:type="pct"/>
            <w:tcBorders>
              <w:top w:val="nil"/>
              <w:left w:val="single" w:sz="6" w:space="0" w:color="000000"/>
              <w:bottom w:val="single" w:sz="6" w:space="0" w:color="000000"/>
              <w:right w:val="single" w:sz="6" w:space="0" w:color="000000"/>
            </w:tcBorders>
            <w:hideMark/>
          </w:tcPr>
          <w:p w14:paraId="34A61C09" w14:textId="77777777" w:rsidR="00314C3D" w:rsidRPr="00374098" w:rsidRDefault="00314C3D">
            <w:pPr>
              <w:pStyle w:val="TableParagraph"/>
              <w:spacing w:line="183" w:lineRule="exact"/>
              <w:ind w:left="9"/>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single" w:sz="6" w:space="0" w:color="000000"/>
              <w:right w:val="single" w:sz="6" w:space="0" w:color="000000"/>
            </w:tcBorders>
            <w:hideMark/>
          </w:tcPr>
          <w:p w14:paraId="638E5105" w14:textId="77777777" w:rsidR="00314C3D" w:rsidRPr="00374098" w:rsidRDefault="00314C3D">
            <w:pPr>
              <w:pStyle w:val="TableParagraph"/>
              <w:spacing w:line="183" w:lineRule="exact"/>
              <w:ind w:left="10" w:right="1"/>
              <w:jc w:val="center"/>
              <w:rPr>
                <w:sz w:val="20"/>
                <w:szCs w:val="20"/>
                <w:lang w:val="da-DK"/>
              </w:rPr>
            </w:pPr>
            <w:r w:rsidRPr="00374098">
              <w:rPr>
                <w:spacing w:val="-2"/>
                <w:sz w:val="20"/>
                <w:szCs w:val="20"/>
                <w:lang w:val="da-DK"/>
              </w:rPr>
              <w:t>0,002</w:t>
            </w:r>
          </w:p>
        </w:tc>
        <w:tc>
          <w:tcPr>
            <w:tcW w:w="642" w:type="pct"/>
            <w:tcBorders>
              <w:top w:val="nil"/>
              <w:left w:val="single" w:sz="6" w:space="0" w:color="000000"/>
              <w:bottom w:val="single" w:sz="6" w:space="0" w:color="000000"/>
              <w:right w:val="single" w:sz="6" w:space="0" w:color="000000"/>
            </w:tcBorders>
            <w:hideMark/>
          </w:tcPr>
          <w:p w14:paraId="65C71F28" w14:textId="77777777" w:rsidR="00314C3D" w:rsidRPr="00374098" w:rsidRDefault="00314C3D">
            <w:pPr>
              <w:pStyle w:val="TableParagraph"/>
              <w:spacing w:line="18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single" w:sz="6" w:space="0" w:color="000000"/>
              <w:right w:val="single" w:sz="6" w:space="0" w:color="000000"/>
            </w:tcBorders>
            <w:hideMark/>
          </w:tcPr>
          <w:p w14:paraId="2303226A" w14:textId="77777777" w:rsidR="00314C3D" w:rsidRPr="00374098" w:rsidRDefault="00314C3D">
            <w:pPr>
              <w:pStyle w:val="TableParagraph"/>
              <w:spacing w:line="183" w:lineRule="exact"/>
              <w:ind w:left="10"/>
              <w:jc w:val="center"/>
              <w:rPr>
                <w:sz w:val="20"/>
                <w:szCs w:val="20"/>
                <w:lang w:val="da-DK"/>
              </w:rPr>
            </w:pPr>
            <w:r w:rsidRPr="00374098">
              <w:rPr>
                <w:spacing w:val="-2"/>
                <w:sz w:val="20"/>
                <w:szCs w:val="20"/>
                <w:lang w:val="da-DK"/>
              </w:rPr>
              <w:t>0,022</w:t>
            </w:r>
          </w:p>
        </w:tc>
        <w:tc>
          <w:tcPr>
            <w:tcW w:w="644" w:type="pct"/>
            <w:tcBorders>
              <w:top w:val="nil"/>
              <w:left w:val="single" w:sz="6" w:space="0" w:color="000000"/>
              <w:bottom w:val="single" w:sz="6" w:space="0" w:color="000000"/>
              <w:right w:val="single" w:sz="6" w:space="0" w:color="000000"/>
            </w:tcBorders>
            <w:hideMark/>
          </w:tcPr>
          <w:p w14:paraId="4A4C1107" w14:textId="77777777" w:rsidR="00314C3D" w:rsidRPr="00374098" w:rsidRDefault="00314C3D">
            <w:pPr>
              <w:pStyle w:val="TableParagraph"/>
              <w:spacing w:line="18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90" w:type="pct"/>
            <w:tcBorders>
              <w:top w:val="nil"/>
              <w:left w:val="single" w:sz="6" w:space="0" w:color="000000"/>
              <w:bottom w:val="single" w:sz="6" w:space="0" w:color="000000"/>
              <w:right w:val="single" w:sz="4" w:space="0" w:color="000000"/>
            </w:tcBorders>
            <w:hideMark/>
          </w:tcPr>
          <w:p w14:paraId="63360F2F" w14:textId="77777777" w:rsidR="00314C3D" w:rsidRPr="00374098" w:rsidRDefault="00314C3D">
            <w:pPr>
              <w:pStyle w:val="TableParagraph"/>
              <w:spacing w:line="183" w:lineRule="exact"/>
              <w:ind w:left="7"/>
              <w:jc w:val="center"/>
              <w:rPr>
                <w:sz w:val="20"/>
                <w:szCs w:val="20"/>
                <w:lang w:val="da-DK"/>
              </w:rPr>
            </w:pPr>
            <w:r w:rsidRPr="00374098">
              <w:rPr>
                <w:spacing w:val="-2"/>
                <w:sz w:val="20"/>
                <w:szCs w:val="20"/>
                <w:lang w:val="da-DK"/>
              </w:rPr>
              <w:t>&lt;0,001</w:t>
            </w:r>
          </w:p>
        </w:tc>
      </w:tr>
      <w:tr w:rsidR="00314C3D" w:rsidRPr="00374098" w14:paraId="13A940E8" w14:textId="77777777" w:rsidTr="00374098">
        <w:trPr>
          <w:trHeight w:val="20"/>
        </w:trPr>
        <w:tc>
          <w:tcPr>
            <w:tcW w:w="1098" w:type="pct"/>
            <w:tcBorders>
              <w:top w:val="single" w:sz="6" w:space="0" w:color="000000"/>
              <w:left w:val="single" w:sz="4" w:space="0" w:color="000000"/>
              <w:bottom w:val="nil"/>
              <w:right w:val="single" w:sz="6" w:space="0" w:color="000000"/>
            </w:tcBorders>
            <w:hideMark/>
          </w:tcPr>
          <w:p w14:paraId="684FF4F1" w14:textId="77777777" w:rsidR="00314C3D" w:rsidRPr="00374098" w:rsidRDefault="00314C3D">
            <w:pPr>
              <w:pStyle w:val="TableParagraph"/>
              <w:spacing w:line="191" w:lineRule="exact"/>
              <w:ind w:left="115"/>
              <w:rPr>
                <w:sz w:val="20"/>
                <w:szCs w:val="20"/>
                <w:lang w:val="da-DK"/>
              </w:rPr>
            </w:pPr>
            <w:r w:rsidRPr="00374098">
              <w:rPr>
                <w:sz w:val="20"/>
                <w:szCs w:val="20"/>
                <w:lang w:val="da-DK"/>
              </w:rPr>
              <w:t xml:space="preserve">Studie </w:t>
            </w:r>
            <w:r w:rsidRPr="00374098">
              <w:rPr>
                <w:spacing w:val="-2"/>
                <w:sz w:val="20"/>
                <w:szCs w:val="20"/>
                <w:lang w:val="da-DK"/>
              </w:rPr>
              <w:t>D1050233</w:t>
            </w:r>
          </w:p>
        </w:tc>
        <w:tc>
          <w:tcPr>
            <w:tcW w:w="642" w:type="pct"/>
            <w:tcBorders>
              <w:top w:val="single" w:sz="6" w:space="0" w:color="000000"/>
              <w:left w:val="single" w:sz="6" w:space="0" w:color="000000"/>
              <w:bottom w:val="nil"/>
              <w:right w:val="single" w:sz="6" w:space="0" w:color="000000"/>
            </w:tcBorders>
            <w:hideMark/>
          </w:tcPr>
          <w:p w14:paraId="5E74A128" w14:textId="77777777" w:rsidR="00314C3D" w:rsidRPr="00374098" w:rsidRDefault="00314C3D">
            <w:pPr>
              <w:pStyle w:val="TableParagraph"/>
              <w:spacing w:line="191" w:lineRule="exact"/>
              <w:ind w:left="9"/>
              <w:jc w:val="center"/>
              <w:rPr>
                <w:sz w:val="20"/>
                <w:szCs w:val="20"/>
                <w:lang w:val="da-DK"/>
              </w:rPr>
            </w:pPr>
            <w:r w:rsidRPr="00374098">
              <w:rPr>
                <w:sz w:val="20"/>
                <w:szCs w:val="20"/>
                <w:lang w:val="da-DK"/>
              </w:rPr>
              <w:t>N</w:t>
            </w:r>
            <w:r w:rsidRPr="00374098">
              <w:rPr>
                <w:spacing w:val="-1"/>
                <w:sz w:val="20"/>
                <w:szCs w:val="20"/>
                <w:lang w:val="da-DK"/>
              </w:rPr>
              <w:t xml:space="preserve"> </w:t>
            </w:r>
            <w:r w:rsidRPr="00374098">
              <w:rPr>
                <w:sz w:val="20"/>
                <w:szCs w:val="20"/>
                <w:lang w:val="da-DK"/>
              </w:rPr>
              <w:t xml:space="preserve">= </w:t>
            </w:r>
            <w:r w:rsidRPr="00374098">
              <w:rPr>
                <w:spacing w:val="-5"/>
                <w:sz w:val="20"/>
                <w:szCs w:val="20"/>
                <w:lang w:val="da-DK"/>
              </w:rPr>
              <w:t>120</w:t>
            </w:r>
          </w:p>
        </w:tc>
        <w:tc>
          <w:tcPr>
            <w:tcW w:w="642" w:type="pct"/>
            <w:tcBorders>
              <w:top w:val="single" w:sz="6" w:space="0" w:color="000000"/>
              <w:left w:val="single" w:sz="6" w:space="0" w:color="000000"/>
              <w:bottom w:val="nil"/>
              <w:right w:val="single" w:sz="6" w:space="0" w:color="000000"/>
            </w:tcBorders>
            <w:hideMark/>
          </w:tcPr>
          <w:p w14:paraId="3B57730B" w14:textId="77777777" w:rsidR="00314C3D" w:rsidRPr="00374098" w:rsidRDefault="00314C3D">
            <w:pPr>
              <w:pStyle w:val="TableParagraph"/>
              <w:spacing w:line="191" w:lineRule="exact"/>
              <w:ind w:left="10" w:right="1"/>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single" w:sz="6" w:space="0" w:color="000000"/>
              <w:left w:val="single" w:sz="6" w:space="0" w:color="000000"/>
              <w:bottom w:val="nil"/>
              <w:right w:val="single" w:sz="6" w:space="0" w:color="000000"/>
            </w:tcBorders>
            <w:hideMark/>
          </w:tcPr>
          <w:p w14:paraId="24E53BF9" w14:textId="77777777" w:rsidR="00314C3D" w:rsidRPr="00374098" w:rsidRDefault="00314C3D">
            <w:pPr>
              <w:pStyle w:val="TableParagraph"/>
              <w:spacing w:line="191" w:lineRule="exact"/>
              <w:ind w:left="10" w:right="1"/>
              <w:jc w:val="center"/>
              <w:rPr>
                <w:sz w:val="20"/>
                <w:szCs w:val="20"/>
                <w:lang w:val="da-DK"/>
              </w:rPr>
            </w:pPr>
            <w:r w:rsidRPr="00374098">
              <w:rPr>
                <w:spacing w:val="-2"/>
                <w:sz w:val="20"/>
                <w:szCs w:val="20"/>
                <w:lang w:val="da-DK"/>
              </w:rPr>
              <w:t>N=125</w:t>
            </w:r>
          </w:p>
        </w:tc>
        <w:tc>
          <w:tcPr>
            <w:tcW w:w="642" w:type="pct"/>
            <w:tcBorders>
              <w:top w:val="single" w:sz="6" w:space="0" w:color="000000"/>
              <w:left w:val="single" w:sz="6" w:space="0" w:color="000000"/>
              <w:bottom w:val="nil"/>
              <w:right w:val="single" w:sz="6" w:space="0" w:color="000000"/>
            </w:tcBorders>
            <w:hideMark/>
          </w:tcPr>
          <w:p w14:paraId="093A842C" w14:textId="77777777" w:rsidR="00314C3D" w:rsidRPr="00374098" w:rsidRDefault="00314C3D">
            <w:pPr>
              <w:pStyle w:val="TableParagraph"/>
              <w:spacing w:line="191"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4" w:type="pct"/>
            <w:tcBorders>
              <w:top w:val="single" w:sz="6" w:space="0" w:color="000000"/>
              <w:left w:val="single" w:sz="6" w:space="0" w:color="000000"/>
              <w:bottom w:val="nil"/>
              <w:right w:val="single" w:sz="6" w:space="0" w:color="000000"/>
            </w:tcBorders>
            <w:hideMark/>
          </w:tcPr>
          <w:p w14:paraId="24ED2EC1" w14:textId="77777777" w:rsidR="00314C3D" w:rsidRPr="00374098" w:rsidRDefault="00314C3D">
            <w:pPr>
              <w:pStyle w:val="TableParagraph"/>
              <w:spacing w:line="191" w:lineRule="exact"/>
              <w:ind w:left="10" w:right="1"/>
              <w:jc w:val="center"/>
              <w:rPr>
                <w:sz w:val="20"/>
                <w:szCs w:val="20"/>
                <w:lang w:val="da-DK"/>
              </w:rPr>
            </w:pPr>
            <w:r w:rsidRPr="00374098">
              <w:rPr>
                <w:spacing w:val="-2"/>
                <w:sz w:val="20"/>
                <w:szCs w:val="20"/>
                <w:lang w:val="da-DK"/>
              </w:rPr>
              <w:t>N=121</w:t>
            </w:r>
          </w:p>
        </w:tc>
        <w:tc>
          <w:tcPr>
            <w:tcW w:w="690" w:type="pct"/>
            <w:tcBorders>
              <w:top w:val="single" w:sz="6" w:space="0" w:color="000000"/>
              <w:left w:val="single" w:sz="6" w:space="0" w:color="000000"/>
              <w:bottom w:val="nil"/>
              <w:right w:val="single" w:sz="4" w:space="0" w:color="000000"/>
            </w:tcBorders>
            <w:hideMark/>
          </w:tcPr>
          <w:p w14:paraId="3A276061" w14:textId="77777777" w:rsidR="00314C3D" w:rsidRPr="00374098" w:rsidRDefault="00314C3D">
            <w:pPr>
              <w:pStyle w:val="TableParagraph"/>
              <w:spacing w:line="191" w:lineRule="exact"/>
              <w:ind w:left="7"/>
              <w:jc w:val="center"/>
              <w:rPr>
                <w:sz w:val="20"/>
                <w:szCs w:val="20"/>
                <w:lang w:val="da-DK"/>
              </w:rPr>
            </w:pPr>
            <w:r w:rsidRPr="00374098">
              <w:rPr>
                <w:spacing w:val="-2"/>
                <w:sz w:val="20"/>
                <w:szCs w:val="20"/>
                <w:lang w:val="da-DK"/>
              </w:rPr>
              <w:t>N=116</w:t>
            </w:r>
          </w:p>
        </w:tc>
      </w:tr>
      <w:tr w:rsidR="00314C3D" w:rsidRPr="00374098" w14:paraId="1784CBF1" w14:textId="77777777" w:rsidTr="00374098">
        <w:trPr>
          <w:trHeight w:val="20"/>
        </w:trPr>
        <w:tc>
          <w:tcPr>
            <w:tcW w:w="1098" w:type="pct"/>
            <w:tcBorders>
              <w:top w:val="nil"/>
              <w:left w:val="single" w:sz="4" w:space="0" w:color="000000"/>
              <w:bottom w:val="nil"/>
              <w:right w:val="single" w:sz="6" w:space="0" w:color="000000"/>
            </w:tcBorders>
            <w:hideMark/>
          </w:tcPr>
          <w:p w14:paraId="5F2BCBB0" w14:textId="77777777" w:rsidR="00314C3D" w:rsidRPr="00374098" w:rsidRDefault="00314C3D">
            <w:pPr>
              <w:pStyle w:val="TableParagraph"/>
              <w:spacing w:line="187" w:lineRule="exact"/>
              <w:ind w:left="402"/>
              <w:rPr>
                <w:sz w:val="20"/>
                <w:szCs w:val="20"/>
                <w:lang w:val="da-DK"/>
              </w:rPr>
            </w:pPr>
            <w:r w:rsidRPr="00374098">
              <w:rPr>
                <w:sz w:val="20"/>
                <w:szCs w:val="20"/>
                <w:lang w:val="da-DK"/>
              </w:rPr>
              <w:t>Baseline,</w:t>
            </w:r>
            <w:r w:rsidRPr="00374098">
              <w:rPr>
                <w:spacing w:val="-1"/>
                <w:sz w:val="20"/>
                <w:szCs w:val="20"/>
                <w:lang w:val="da-DK"/>
              </w:rPr>
              <w:t xml:space="preserve"> </w:t>
            </w:r>
            <w:r w:rsidRPr="00374098">
              <w:rPr>
                <w:spacing w:val="-2"/>
                <w:sz w:val="20"/>
                <w:szCs w:val="20"/>
                <w:lang w:val="da-DK"/>
              </w:rPr>
              <w:t>middel</w:t>
            </w:r>
          </w:p>
        </w:tc>
        <w:tc>
          <w:tcPr>
            <w:tcW w:w="642" w:type="pct"/>
            <w:tcBorders>
              <w:top w:val="nil"/>
              <w:left w:val="single" w:sz="6" w:space="0" w:color="000000"/>
              <w:bottom w:val="nil"/>
              <w:right w:val="single" w:sz="6" w:space="0" w:color="000000"/>
            </w:tcBorders>
            <w:hideMark/>
          </w:tcPr>
          <w:p w14:paraId="2E31FCC0" w14:textId="77777777" w:rsidR="00314C3D" w:rsidRPr="00374098" w:rsidRDefault="00314C3D">
            <w:pPr>
              <w:pStyle w:val="TableParagraph"/>
              <w:spacing w:line="187" w:lineRule="exact"/>
              <w:ind w:left="9"/>
              <w:jc w:val="center"/>
              <w:rPr>
                <w:sz w:val="20"/>
                <w:szCs w:val="20"/>
                <w:lang w:val="da-DK"/>
              </w:rPr>
            </w:pPr>
            <w:r w:rsidRPr="00374098">
              <w:rPr>
                <w:sz w:val="20"/>
                <w:szCs w:val="20"/>
                <w:lang w:val="da-DK"/>
              </w:rPr>
              <w:t xml:space="preserve">96,6 </w:t>
            </w:r>
            <w:r w:rsidRPr="00374098">
              <w:rPr>
                <w:spacing w:val="-2"/>
                <w:sz w:val="20"/>
                <w:szCs w:val="20"/>
                <w:lang w:val="da-DK"/>
              </w:rPr>
              <w:t>(10,2)</w:t>
            </w:r>
          </w:p>
        </w:tc>
        <w:tc>
          <w:tcPr>
            <w:tcW w:w="642" w:type="pct"/>
            <w:tcBorders>
              <w:top w:val="nil"/>
              <w:left w:val="single" w:sz="6" w:space="0" w:color="000000"/>
              <w:bottom w:val="nil"/>
              <w:right w:val="single" w:sz="6" w:space="0" w:color="000000"/>
            </w:tcBorders>
            <w:hideMark/>
          </w:tcPr>
          <w:p w14:paraId="4EBA151C"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53C8B853"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97,7 </w:t>
            </w:r>
            <w:r w:rsidRPr="00374098">
              <w:rPr>
                <w:spacing w:val="-2"/>
                <w:sz w:val="20"/>
                <w:szCs w:val="20"/>
                <w:lang w:val="da-DK"/>
              </w:rPr>
              <w:t>(9,7)</w:t>
            </w:r>
          </w:p>
        </w:tc>
        <w:tc>
          <w:tcPr>
            <w:tcW w:w="642" w:type="pct"/>
            <w:tcBorders>
              <w:top w:val="nil"/>
              <w:left w:val="single" w:sz="6" w:space="0" w:color="000000"/>
              <w:bottom w:val="nil"/>
              <w:right w:val="single" w:sz="6" w:space="0" w:color="000000"/>
            </w:tcBorders>
            <w:hideMark/>
          </w:tcPr>
          <w:p w14:paraId="56542A3C"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4" w:type="pct"/>
            <w:tcBorders>
              <w:top w:val="nil"/>
              <w:left w:val="single" w:sz="6" w:space="0" w:color="000000"/>
              <w:bottom w:val="nil"/>
              <w:right w:val="single" w:sz="6" w:space="0" w:color="000000"/>
            </w:tcBorders>
            <w:hideMark/>
          </w:tcPr>
          <w:p w14:paraId="75E510B7"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97,9 </w:t>
            </w:r>
            <w:r w:rsidRPr="00374098">
              <w:rPr>
                <w:spacing w:val="-2"/>
                <w:sz w:val="20"/>
                <w:szCs w:val="20"/>
                <w:lang w:val="da-DK"/>
              </w:rPr>
              <w:t>(11,8)</w:t>
            </w:r>
          </w:p>
        </w:tc>
        <w:tc>
          <w:tcPr>
            <w:tcW w:w="690" w:type="pct"/>
            <w:tcBorders>
              <w:top w:val="nil"/>
              <w:left w:val="single" w:sz="6" w:space="0" w:color="000000"/>
              <w:bottom w:val="nil"/>
              <w:right w:val="single" w:sz="4" w:space="0" w:color="000000"/>
            </w:tcBorders>
            <w:hideMark/>
          </w:tcPr>
          <w:p w14:paraId="6FBF4346" w14:textId="77777777" w:rsidR="00314C3D" w:rsidRPr="00374098" w:rsidRDefault="00314C3D">
            <w:pPr>
              <w:pStyle w:val="TableParagraph"/>
              <w:spacing w:line="187" w:lineRule="exact"/>
              <w:ind w:left="7"/>
              <w:jc w:val="center"/>
              <w:rPr>
                <w:sz w:val="20"/>
                <w:szCs w:val="20"/>
                <w:lang w:val="da-DK"/>
              </w:rPr>
            </w:pPr>
            <w:r w:rsidRPr="00374098">
              <w:rPr>
                <w:sz w:val="20"/>
                <w:szCs w:val="20"/>
                <w:lang w:val="da-DK"/>
              </w:rPr>
              <w:t xml:space="preserve">97,7 </w:t>
            </w:r>
            <w:r w:rsidRPr="00374098">
              <w:rPr>
                <w:spacing w:val="-2"/>
                <w:sz w:val="20"/>
                <w:szCs w:val="20"/>
                <w:lang w:val="da-DK"/>
              </w:rPr>
              <w:t>(10,2)</w:t>
            </w:r>
          </w:p>
        </w:tc>
      </w:tr>
      <w:tr w:rsidR="00314C3D" w:rsidRPr="00374098" w14:paraId="1746BAC3" w14:textId="77777777" w:rsidTr="00374098">
        <w:trPr>
          <w:trHeight w:val="20"/>
        </w:trPr>
        <w:tc>
          <w:tcPr>
            <w:tcW w:w="1098" w:type="pct"/>
            <w:tcBorders>
              <w:top w:val="nil"/>
              <w:left w:val="single" w:sz="4" w:space="0" w:color="000000"/>
              <w:bottom w:val="nil"/>
              <w:right w:val="single" w:sz="6" w:space="0" w:color="000000"/>
            </w:tcBorders>
            <w:hideMark/>
          </w:tcPr>
          <w:p w14:paraId="5C90AB99" w14:textId="77777777" w:rsidR="00314C3D" w:rsidRPr="00374098" w:rsidRDefault="00314C3D">
            <w:pPr>
              <w:pStyle w:val="TableParagraph"/>
              <w:spacing w:line="187" w:lineRule="exact"/>
              <w:ind w:left="402"/>
              <w:rPr>
                <w:sz w:val="20"/>
                <w:szCs w:val="20"/>
                <w:lang w:val="da-DK"/>
              </w:rPr>
            </w:pPr>
            <w:r w:rsidRPr="00374098">
              <w:rPr>
                <w:spacing w:val="-4"/>
                <w:sz w:val="20"/>
                <w:szCs w:val="20"/>
                <w:lang w:val="da-DK"/>
              </w:rPr>
              <w:t>(SD)</w:t>
            </w:r>
          </w:p>
        </w:tc>
        <w:tc>
          <w:tcPr>
            <w:tcW w:w="642" w:type="pct"/>
            <w:tcBorders>
              <w:top w:val="nil"/>
              <w:left w:val="single" w:sz="6" w:space="0" w:color="000000"/>
              <w:bottom w:val="nil"/>
              <w:right w:val="single" w:sz="6" w:space="0" w:color="000000"/>
            </w:tcBorders>
          </w:tcPr>
          <w:p w14:paraId="3513FEA0"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5B1C0522"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5CFDCE5A"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0FE24D35"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77B89D0D"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006E01C6" w14:textId="77777777" w:rsidR="00314C3D" w:rsidRPr="00374098" w:rsidRDefault="00314C3D">
            <w:pPr>
              <w:pStyle w:val="TableParagraph"/>
              <w:rPr>
                <w:sz w:val="20"/>
                <w:szCs w:val="20"/>
                <w:lang w:val="da-DK"/>
              </w:rPr>
            </w:pPr>
          </w:p>
        </w:tc>
      </w:tr>
      <w:tr w:rsidR="00314C3D" w:rsidRPr="00374098" w14:paraId="143935E1" w14:textId="77777777" w:rsidTr="00374098">
        <w:trPr>
          <w:trHeight w:val="20"/>
        </w:trPr>
        <w:tc>
          <w:tcPr>
            <w:tcW w:w="1098" w:type="pct"/>
            <w:tcBorders>
              <w:top w:val="nil"/>
              <w:left w:val="single" w:sz="4" w:space="0" w:color="000000"/>
              <w:bottom w:val="nil"/>
              <w:right w:val="single" w:sz="6" w:space="0" w:color="000000"/>
            </w:tcBorders>
            <w:hideMark/>
          </w:tcPr>
          <w:p w14:paraId="0F77764D" w14:textId="77777777" w:rsidR="00314C3D" w:rsidRPr="00374098" w:rsidRDefault="00314C3D">
            <w:pPr>
              <w:pStyle w:val="TableParagraph"/>
              <w:spacing w:line="187" w:lineRule="exact"/>
              <w:ind w:right="211"/>
              <w:jc w:val="right"/>
              <w:rPr>
                <w:sz w:val="20"/>
                <w:szCs w:val="20"/>
                <w:lang w:val="da-DK"/>
              </w:rPr>
            </w:pPr>
            <w:r w:rsidRPr="00374098">
              <w:rPr>
                <w:sz w:val="20"/>
                <w:szCs w:val="20"/>
                <w:lang w:val="da-DK"/>
              </w:rPr>
              <w:t>LS-</w:t>
            </w:r>
            <w:r w:rsidRPr="00374098">
              <w:rPr>
                <w:spacing w:val="-2"/>
                <w:sz w:val="20"/>
                <w:szCs w:val="20"/>
                <w:lang w:val="da-DK"/>
              </w:rPr>
              <w:t>middelændring</w:t>
            </w:r>
          </w:p>
        </w:tc>
        <w:tc>
          <w:tcPr>
            <w:tcW w:w="642" w:type="pct"/>
            <w:tcBorders>
              <w:top w:val="nil"/>
              <w:left w:val="single" w:sz="6" w:space="0" w:color="000000"/>
              <w:bottom w:val="nil"/>
              <w:right w:val="single" w:sz="6" w:space="0" w:color="000000"/>
            </w:tcBorders>
            <w:hideMark/>
          </w:tcPr>
          <w:p w14:paraId="7502346F" w14:textId="77777777" w:rsidR="00314C3D" w:rsidRPr="00374098" w:rsidRDefault="00314C3D">
            <w:pPr>
              <w:pStyle w:val="TableParagraph"/>
              <w:spacing w:line="187" w:lineRule="exact"/>
              <w:ind w:left="9"/>
              <w:jc w:val="center"/>
              <w:rPr>
                <w:sz w:val="20"/>
                <w:szCs w:val="20"/>
                <w:lang w:val="da-DK"/>
              </w:rPr>
            </w:pPr>
            <w:r w:rsidRPr="00374098">
              <w:rPr>
                <w:sz w:val="20"/>
                <w:szCs w:val="20"/>
                <w:lang w:val="da-DK"/>
              </w:rPr>
              <w:t xml:space="preserve">-10,3 </w:t>
            </w:r>
            <w:r w:rsidRPr="00374098">
              <w:rPr>
                <w:spacing w:val="-2"/>
                <w:sz w:val="20"/>
                <w:szCs w:val="20"/>
                <w:lang w:val="da-DK"/>
              </w:rPr>
              <w:t>(1,8)</w:t>
            </w:r>
          </w:p>
        </w:tc>
        <w:tc>
          <w:tcPr>
            <w:tcW w:w="642" w:type="pct"/>
            <w:tcBorders>
              <w:top w:val="nil"/>
              <w:left w:val="single" w:sz="6" w:space="0" w:color="000000"/>
              <w:bottom w:val="nil"/>
              <w:right w:val="single" w:sz="6" w:space="0" w:color="000000"/>
            </w:tcBorders>
            <w:hideMark/>
          </w:tcPr>
          <w:p w14:paraId="70A28151"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2547F3BE"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-22,2 </w:t>
            </w:r>
            <w:r w:rsidRPr="00374098">
              <w:rPr>
                <w:spacing w:val="-2"/>
                <w:sz w:val="20"/>
                <w:szCs w:val="20"/>
                <w:lang w:val="da-DK"/>
              </w:rPr>
              <w:t>(1,8)</w:t>
            </w:r>
          </w:p>
        </w:tc>
        <w:tc>
          <w:tcPr>
            <w:tcW w:w="642" w:type="pct"/>
            <w:tcBorders>
              <w:top w:val="nil"/>
              <w:left w:val="single" w:sz="6" w:space="0" w:color="000000"/>
              <w:bottom w:val="nil"/>
              <w:right w:val="single" w:sz="6" w:space="0" w:color="000000"/>
            </w:tcBorders>
            <w:hideMark/>
          </w:tcPr>
          <w:p w14:paraId="545E887A"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4" w:type="pct"/>
            <w:tcBorders>
              <w:top w:val="nil"/>
              <w:left w:val="single" w:sz="6" w:space="0" w:color="000000"/>
              <w:bottom w:val="nil"/>
              <w:right w:val="single" w:sz="6" w:space="0" w:color="000000"/>
            </w:tcBorders>
            <w:hideMark/>
          </w:tcPr>
          <w:p w14:paraId="49A6A2F6"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-26,5 </w:t>
            </w:r>
            <w:r w:rsidRPr="00374098">
              <w:rPr>
                <w:spacing w:val="-2"/>
                <w:sz w:val="20"/>
                <w:szCs w:val="20"/>
                <w:lang w:val="da-DK"/>
              </w:rPr>
              <w:t>(1,8)</w:t>
            </w:r>
          </w:p>
        </w:tc>
        <w:tc>
          <w:tcPr>
            <w:tcW w:w="690" w:type="pct"/>
            <w:tcBorders>
              <w:top w:val="nil"/>
              <w:left w:val="single" w:sz="6" w:space="0" w:color="000000"/>
              <w:bottom w:val="nil"/>
              <w:right w:val="single" w:sz="4" w:space="0" w:color="000000"/>
            </w:tcBorders>
            <w:hideMark/>
          </w:tcPr>
          <w:p w14:paraId="18C68DC3" w14:textId="77777777" w:rsidR="00314C3D" w:rsidRPr="00374098" w:rsidRDefault="00314C3D">
            <w:pPr>
              <w:pStyle w:val="TableParagraph"/>
              <w:spacing w:line="187" w:lineRule="exact"/>
              <w:ind w:left="7"/>
              <w:jc w:val="center"/>
              <w:rPr>
                <w:sz w:val="20"/>
                <w:szCs w:val="20"/>
                <w:lang w:val="da-DK"/>
              </w:rPr>
            </w:pPr>
            <w:r w:rsidRPr="00374098">
              <w:rPr>
                <w:sz w:val="20"/>
                <w:szCs w:val="20"/>
                <w:lang w:val="da-DK"/>
              </w:rPr>
              <w:t xml:space="preserve">-27,8 </w:t>
            </w:r>
            <w:r w:rsidRPr="00374098">
              <w:rPr>
                <w:spacing w:val="-2"/>
                <w:sz w:val="20"/>
                <w:szCs w:val="20"/>
                <w:lang w:val="da-DK"/>
              </w:rPr>
              <w:t>(1,8)</w:t>
            </w:r>
          </w:p>
        </w:tc>
      </w:tr>
      <w:tr w:rsidR="00314C3D" w:rsidRPr="00374098" w14:paraId="3E9F7B80" w14:textId="77777777" w:rsidTr="00374098">
        <w:trPr>
          <w:trHeight w:val="20"/>
        </w:trPr>
        <w:tc>
          <w:tcPr>
            <w:tcW w:w="1098" w:type="pct"/>
            <w:tcBorders>
              <w:top w:val="nil"/>
              <w:left w:val="single" w:sz="4" w:space="0" w:color="000000"/>
              <w:bottom w:val="nil"/>
              <w:right w:val="single" w:sz="6" w:space="0" w:color="000000"/>
            </w:tcBorders>
            <w:hideMark/>
          </w:tcPr>
          <w:p w14:paraId="71D4A984" w14:textId="77777777" w:rsidR="00314C3D" w:rsidRPr="00374098" w:rsidRDefault="00314C3D">
            <w:pPr>
              <w:pStyle w:val="TableParagraph"/>
              <w:spacing w:line="187" w:lineRule="exact"/>
              <w:ind w:left="402"/>
              <w:rPr>
                <w:sz w:val="20"/>
                <w:szCs w:val="20"/>
                <w:lang w:val="da-DK"/>
              </w:rPr>
            </w:pPr>
            <w:r w:rsidRPr="00374098">
              <w:rPr>
                <w:spacing w:val="-4"/>
                <w:sz w:val="20"/>
                <w:szCs w:val="20"/>
                <w:lang w:val="da-DK"/>
              </w:rPr>
              <w:t>(SE)</w:t>
            </w:r>
          </w:p>
        </w:tc>
        <w:tc>
          <w:tcPr>
            <w:tcW w:w="642" w:type="pct"/>
            <w:tcBorders>
              <w:top w:val="nil"/>
              <w:left w:val="single" w:sz="6" w:space="0" w:color="000000"/>
              <w:bottom w:val="nil"/>
              <w:right w:val="single" w:sz="6" w:space="0" w:color="000000"/>
            </w:tcBorders>
          </w:tcPr>
          <w:p w14:paraId="06781050"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47167B25"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447F091E"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588D9319"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4A50FFB2"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206E32CC" w14:textId="77777777" w:rsidR="00314C3D" w:rsidRPr="00374098" w:rsidRDefault="00314C3D">
            <w:pPr>
              <w:pStyle w:val="TableParagraph"/>
              <w:rPr>
                <w:sz w:val="20"/>
                <w:szCs w:val="20"/>
                <w:lang w:val="da-DK"/>
              </w:rPr>
            </w:pPr>
          </w:p>
        </w:tc>
      </w:tr>
      <w:tr w:rsidR="00314C3D" w:rsidRPr="00374098" w14:paraId="6D4F3B9D" w14:textId="77777777" w:rsidTr="00374098">
        <w:trPr>
          <w:trHeight w:val="20"/>
        </w:trPr>
        <w:tc>
          <w:tcPr>
            <w:tcW w:w="1098" w:type="pct"/>
            <w:tcBorders>
              <w:top w:val="nil"/>
              <w:left w:val="single" w:sz="4" w:space="0" w:color="000000"/>
              <w:bottom w:val="nil"/>
              <w:right w:val="single" w:sz="6" w:space="0" w:color="000000"/>
            </w:tcBorders>
            <w:hideMark/>
          </w:tcPr>
          <w:p w14:paraId="0751AA9B" w14:textId="77777777" w:rsidR="00314C3D" w:rsidRPr="00374098" w:rsidRDefault="00314C3D">
            <w:pPr>
              <w:pStyle w:val="TableParagraph"/>
              <w:spacing w:line="187" w:lineRule="exact"/>
              <w:ind w:left="115"/>
              <w:rPr>
                <w:sz w:val="20"/>
                <w:szCs w:val="20"/>
                <w:lang w:val="da-DK"/>
              </w:rPr>
            </w:pPr>
            <w:r w:rsidRPr="00374098">
              <w:rPr>
                <w:sz w:val="20"/>
                <w:szCs w:val="20"/>
                <w:lang w:val="da-DK"/>
              </w:rPr>
              <w:t>Behandlingsforskel</w:t>
            </w:r>
            <w:r w:rsidRPr="00374098">
              <w:rPr>
                <w:spacing w:val="-4"/>
                <w:sz w:val="20"/>
                <w:szCs w:val="20"/>
                <w:lang w:val="da-DK"/>
              </w:rPr>
              <w:t xml:space="preserve"> </w:t>
            </w:r>
            <w:r w:rsidRPr="00374098">
              <w:rPr>
                <w:spacing w:val="-5"/>
                <w:sz w:val="20"/>
                <w:szCs w:val="20"/>
                <w:lang w:val="da-DK"/>
              </w:rPr>
              <w:t>vs.</w:t>
            </w:r>
          </w:p>
        </w:tc>
        <w:tc>
          <w:tcPr>
            <w:tcW w:w="642" w:type="pct"/>
            <w:tcBorders>
              <w:top w:val="nil"/>
              <w:left w:val="single" w:sz="6" w:space="0" w:color="000000"/>
              <w:bottom w:val="nil"/>
              <w:right w:val="single" w:sz="6" w:space="0" w:color="000000"/>
            </w:tcBorders>
          </w:tcPr>
          <w:p w14:paraId="630AAC43"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2B7F69C5"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520985D4"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525FF8FF"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46E02674"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2030057C" w14:textId="77777777" w:rsidR="00314C3D" w:rsidRPr="00374098" w:rsidRDefault="00314C3D">
            <w:pPr>
              <w:pStyle w:val="TableParagraph"/>
              <w:rPr>
                <w:sz w:val="20"/>
                <w:szCs w:val="20"/>
                <w:lang w:val="da-DK"/>
              </w:rPr>
            </w:pPr>
          </w:p>
        </w:tc>
      </w:tr>
      <w:tr w:rsidR="00314C3D" w:rsidRPr="00374098" w14:paraId="3DACCA1C" w14:textId="77777777" w:rsidTr="00374098">
        <w:trPr>
          <w:trHeight w:val="20"/>
        </w:trPr>
        <w:tc>
          <w:tcPr>
            <w:tcW w:w="1098" w:type="pct"/>
            <w:tcBorders>
              <w:top w:val="nil"/>
              <w:left w:val="single" w:sz="4" w:space="0" w:color="000000"/>
              <w:bottom w:val="nil"/>
              <w:right w:val="single" w:sz="6" w:space="0" w:color="000000"/>
            </w:tcBorders>
            <w:hideMark/>
          </w:tcPr>
          <w:p w14:paraId="13AEE083" w14:textId="77777777" w:rsidR="00314C3D" w:rsidRPr="00374098" w:rsidRDefault="00314C3D">
            <w:pPr>
              <w:pStyle w:val="TableParagraph"/>
              <w:spacing w:line="187" w:lineRule="exact"/>
              <w:ind w:left="115"/>
              <w:rPr>
                <w:sz w:val="20"/>
                <w:szCs w:val="20"/>
                <w:lang w:val="da-DK"/>
              </w:rPr>
            </w:pPr>
            <w:r w:rsidRPr="00374098">
              <w:rPr>
                <w:spacing w:val="-2"/>
                <w:sz w:val="20"/>
                <w:szCs w:val="20"/>
                <w:lang w:val="da-DK"/>
              </w:rPr>
              <w:t>placebo</w:t>
            </w:r>
          </w:p>
        </w:tc>
        <w:tc>
          <w:tcPr>
            <w:tcW w:w="642" w:type="pct"/>
            <w:tcBorders>
              <w:top w:val="nil"/>
              <w:left w:val="single" w:sz="6" w:space="0" w:color="000000"/>
              <w:bottom w:val="nil"/>
              <w:right w:val="single" w:sz="6" w:space="0" w:color="000000"/>
            </w:tcBorders>
          </w:tcPr>
          <w:p w14:paraId="36E7B96A"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72C0D758"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6B1241E1" w14:textId="77777777" w:rsidR="00314C3D" w:rsidRPr="00374098" w:rsidRDefault="00314C3D">
            <w:pPr>
              <w:pStyle w:val="TableParagraph"/>
              <w:rPr>
                <w:sz w:val="20"/>
                <w:szCs w:val="20"/>
                <w:lang w:val="da-DK"/>
              </w:rPr>
            </w:pPr>
          </w:p>
        </w:tc>
        <w:tc>
          <w:tcPr>
            <w:tcW w:w="642" w:type="pct"/>
            <w:tcBorders>
              <w:top w:val="nil"/>
              <w:left w:val="single" w:sz="6" w:space="0" w:color="000000"/>
              <w:bottom w:val="nil"/>
              <w:right w:val="single" w:sz="6" w:space="0" w:color="000000"/>
            </w:tcBorders>
          </w:tcPr>
          <w:p w14:paraId="367638C5" w14:textId="77777777" w:rsidR="00314C3D" w:rsidRPr="00374098" w:rsidRDefault="00314C3D">
            <w:pPr>
              <w:pStyle w:val="TableParagraph"/>
              <w:rPr>
                <w:sz w:val="20"/>
                <w:szCs w:val="20"/>
                <w:lang w:val="da-DK"/>
              </w:rPr>
            </w:pPr>
          </w:p>
        </w:tc>
        <w:tc>
          <w:tcPr>
            <w:tcW w:w="644" w:type="pct"/>
            <w:tcBorders>
              <w:top w:val="nil"/>
              <w:left w:val="single" w:sz="6" w:space="0" w:color="000000"/>
              <w:bottom w:val="nil"/>
              <w:right w:val="single" w:sz="6" w:space="0" w:color="000000"/>
            </w:tcBorders>
          </w:tcPr>
          <w:p w14:paraId="706CA3EC" w14:textId="77777777" w:rsidR="00314C3D" w:rsidRPr="00374098" w:rsidRDefault="00314C3D">
            <w:pPr>
              <w:pStyle w:val="TableParagraph"/>
              <w:rPr>
                <w:sz w:val="20"/>
                <w:szCs w:val="20"/>
                <w:lang w:val="da-DK"/>
              </w:rPr>
            </w:pPr>
          </w:p>
        </w:tc>
        <w:tc>
          <w:tcPr>
            <w:tcW w:w="690" w:type="pct"/>
            <w:tcBorders>
              <w:top w:val="nil"/>
              <w:left w:val="single" w:sz="6" w:space="0" w:color="000000"/>
              <w:bottom w:val="nil"/>
              <w:right w:val="single" w:sz="4" w:space="0" w:color="000000"/>
            </w:tcBorders>
          </w:tcPr>
          <w:p w14:paraId="12D98415" w14:textId="77777777" w:rsidR="00314C3D" w:rsidRPr="00374098" w:rsidRDefault="00314C3D">
            <w:pPr>
              <w:pStyle w:val="TableParagraph"/>
              <w:rPr>
                <w:sz w:val="20"/>
                <w:szCs w:val="20"/>
                <w:lang w:val="da-DK"/>
              </w:rPr>
            </w:pPr>
          </w:p>
        </w:tc>
      </w:tr>
      <w:tr w:rsidR="00314C3D" w:rsidRPr="00374098" w14:paraId="49A5A27E" w14:textId="77777777" w:rsidTr="00374098">
        <w:trPr>
          <w:trHeight w:val="20"/>
        </w:trPr>
        <w:tc>
          <w:tcPr>
            <w:tcW w:w="1098" w:type="pct"/>
            <w:tcBorders>
              <w:top w:val="nil"/>
              <w:left w:val="single" w:sz="4" w:space="0" w:color="000000"/>
              <w:bottom w:val="nil"/>
              <w:right w:val="single" w:sz="6" w:space="0" w:color="000000"/>
            </w:tcBorders>
            <w:hideMark/>
          </w:tcPr>
          <w:p w14:paraId="28D25BA8" w14:textId="77777777" w:rsidR="00314C3D" w:rsidRPr="00374098" w:rsidRDefault="00314C3D">
            <w:pPr>
              <w:pStyle w:val="TableParagraph"/>
              <w:spacing w:line="187" w:lineRule="exact"/>
              <w:ind w:left="402"/>
              <w:rPr>
                <w:sz w:val="20"/>
                <w:szCs w:val="20"/>
                <w:lang w:val="da-DK"/>
              </w:rPr>
            </w:pPr>
            <w:r w:rsidRPr="00374098">
              <w:rPr>
                <w:sz w:val="20"/>
                <w:szCs w:val="20"/>
                <w:lang w:val="da-DK"/>
              </w:rPr>
              <w:t>Estimat</w:t>
            </w:r>
            <w:r w:rsidRPr="00374098">
              <w:rPr>
                <w:spacing w:val="-1"/>
                <w:sz w:val="20"/>
                <w:szCs w:val="20"/>
                <w:lang w:val="da-DK"/>
              </w:rPr>
              <w:t xml:space="preserve"> </w:t>
            </w:r>
            <w:r w:rsidRPr="00374098">
              <w:rPr>
                <w:spacing w:val="-4"/>
                <w:sz w:val="20"/>
                <w:szCs w:val="20"/>
                <w:lang w:val="da-DK"/>
              </w:rPr>
              <w:t>(SE)</w:t>
            </w:r>
          </w:p>
        </w:tc>
        <w:tc>
          <w:tcPr>
            <w:tcW w:w="642" w:type="pct"/>
            <w:tcBorders>
              <w:top w:val="nil"/>
              <w:left w:val="single" w:sz="6" w:space="0" w:color="000000"/>
              <w:bottom w:val="nil"/>
              <w:right w:val="single" w:sz="6" w:space="0" w:color="000000"/>
            </w:tcBorders>
            <w:hideMark/>
          </w:tcPr>
          <w:p w14:paraId="2912FA73" w14:textId="77777777" w:rsidR="00314C3D" w:rsidRPr="00374098" w:rsidRDefault="00314C3D">
            <w:pPr>
              <w:pStyle w:val="TableParagraph"/>
              <w:spacing w:line="187" w:lineRule="exact"/>
              <w:ind w:left="9"/>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581ECD04"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nil"/>
              <w:right w:val="single" w:sz="6" w:space="0" w:color="000000"/>
            </w:tcBorders>
            <w:hideMark/>
          </w:tcPr>
          <w:p w14:paraId="30ABF7FB"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-11,9 </w:t>
            </w:r>
            <w:r w:rsidRPr="00374098">
              <w:rPr>
                <w:spacing w:val="-2"/>
                <w:sz w:val="20"/>
                <w:szCs w:val="20"/>
                <w:lang w:val="da-DK"/>
              </w:rPr>
              <w:t>(2,6)</w:t>
            </w:r>
          </w:p>
        </w:tc>
        <w:tc>
          <w:tcPr>
            <w:tcW w:w="642" w:type="pct"/>
            <w:tcBorders>
              <w:top w:val="nil"/>
              <w:left w:val="single" w:sz="6" w:space="0" w:color="000000"/>
              <w:bottom w:val="nil"/>
              <w:right w:val="single" w:sz="6" w:space="0" w:color="000000"/>
            </w:tcBorders>
            <w:hideMark/>
          </w:tcPr>
          <w:p w14:paraId="505536BE" w14:textId="77777777" w:rsidR="00314C3D" w:rsidRPr="00374098" w:rsidRDefault="00314C3D">
            <w:pPr>
              <w:pStyle w:val="TableParagraph"/>
              <w:spacing w:line="187"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4" w:type="pct"/>
            <w:tcBorders>
              <w:top w:val="nil"/>
              <w:left w:val="single" w:sz="6" w:space="0" w:color="000000"/>
              <w:bottom w:val="nil"/>
              <w:right w:val="single" w:sz="6" w:space="0" w:color="000000"/>
            </w:tcBorders>
            <w:hideMark/>
          </w:tcPr>
          <w:p w14:paraId="7021F9B4" w14:textId="77777777" w:rsidR="00314C3D" w:rsidRPr="00374098" w:rsidRDefault="00314C3D">
            <w:pPr>
              <w:pStyle w:val="TableParagraph"/>
              <w:spacing w:line="187" w:lineRule="exact"/>
              <w:ind w:left="10" w:right="1"/>
              <w:jc w:val="center"/>
              <w:rPr>
                <w:sz w:val="20"/>
                <w:szCs w:val="20"/>
                <w:lang w:val="da-DK"/>
              </w:rPr>
            </w:pPr>
            <w:r w:rsidRPr="00374098">
              <w:rPr>
                <w:sz w:val="20"/>
                <w:szCs w:val="20"/>
                <w:lang w:val="da-DK"/>
              </w:rPr>
              <w:t xml:space="preserve">-16,2 </w:t>
            </w:r>
            <w:r w:rsidRPr="00374098">
              <w:rPr>
                <w:spacing w:val="-2"/>
                <w:sz w:val="20"/>
                <w:szCs w:val="20"/>
                <w:lang w:val="da-DK"/>
              </w:rPr>
              <w:t>(2,5)</w:t>
            </w:r>
          </w:p>
        </w:tc>
        <w:tc>
          <w:tcPr>
            <w:tcW w:w="690" w:type="pct"/>
            <w:tcBorders>
              <w:top w:val="nil"/>
              <w:left w:val="single" w:sz="6" w:space="0" w:color="000000"/>
              <w:bottom w:val="nil"/>
              <w:right w:val="single" w:sz="4" w:space="0" w:color="000000"/>
            </w:tcBorders>
            <w:hideMark/>
          </w:tcPr>
          <w:p w14:paraId="627550B2" w14:textId="77777777" w:rsidR="00314C3D" w:rsidRPr="00374098" w:rsidRDefault="00314C3D">
            <w:pPr>
              <w:pStyle w:val="TableParagraph"/>
              <w:spacing w:line="187" w:lineRule="exact"/>
              <w:ind w:left="7"/>
              <w:jc w:val="center"/>
              <w:rPr>
                <w:sz w:val="20"/>
                <w:szCs w:val="20"/>
                <w:lang w:val="da-DK"/>
              </w:rPr>
            </w:pPr>
            <w:r w:rsidRPr="00374098">
              <w:rPr>
                <w:sz w:val="20"/>
                <w:szCs w:val="20"/>
                <w:lang w:val="da-DK"/>
              </w:rPr>
              <w:t xml:space="preserve">-17,5 </w:t>
            </w:r>
            <w:r w:rsidRPr="00374098">
              <w:rPr>
                <w:spacing w:val="-2"/>
                <w:sz w:val="20"/>
                <w:szCs w:val="20"/>
                <w:lang w:val="da-DK"/>
              </w:rPr>
              <w:t>(2,6)</w:t>
            </w:r>
          </w:p>
        </w:tc>
      </w:tr>
      <w:tr w:rsidR="00314C3D" w:rsidRPr="00374098" w14:paraId="6A7A261C" w14:textId="77777777" w:rsidTr="00374098">
        <w:trPr>
          <w:trHeight w:val="20"/>
        </w:trPr>
        <w:tc>
          <w:tcPr>
            <w:tcW w:w="1098" w:type="pct"/>
            <w:tcBorders>
              <w:top w:val="nil"/>
              <w:left w:val="single" w:sz="4" w:space="0" w:color="000000"/>
              <w:bottom w:val="single" w:sz="4" w:space="0" w:color="000000"/>
              <w:right w:val="single" w:sz="6" w:space="0" w:color="000000"/>
            </w:tcBorders>
            <w:hideMark/>
          </w:tcPr>
          <w:p w14:paraId="72578FD7" w14:textId="77777777" w:rsidR="00314C3D" w:rsidRPr="00374098" w:rsidRDefault="00314C3D">
            <w:pPr>
              <w:pStyle w:val="TableParagraph"/>
              <w:spacing w:line="183" w:lineRule="exact"/>
              <w:ind w:left="402"/>
              <w:rPr>
                <w:sz w:val="20"/>
                <w:szCs w:val="20"/>
                <w:lang w:val="da-DK"/>
              </w:rPr>
            </w:pPr>
            <w:proofErr w:type="spellStart"/>
            <w:r w:rsidRPr="00374098">
              <w:rPr>
                <w:sz w:val="20"/>
                <w:szCs w:val="20"/>
                <w:lang w:val="da-DK"/>
              </w:rPr>
              <w:t>p-</w:t>
            </w:r>
            <w:r w:rsidRPr="00374098">
              <w:rPr>
                <w:spacing w:val="-2"/>
                <w:sz w:val="20"/>
                <w:szCs w:val="20"/>
                <w:lang w:val="da-DK"/>
              </w:rPr>
              <w:t>værdi</w:t>
            </w:r>
            <w:proofErr w:type="spellEnd"/>
          </w:p>
        </w:tc>
        <w:tc>
          <w:tcPr>
            <w:tcW w:w="642" w:type="pct"/>
            <w:tcBorders>
              <w:top w:val="nil"/>
              <w:left w:val="single" w:sz="6" w:space="0" w:color="000000"/>
              <w:bottom w:val="single" w:sz="4" w:space="0" w:color="000000"/>
              <w:right w:val="single" w:sz="6" w:space="0" w:color="000000"/>
            </w:tcBorders>
            <w:hideMark/>
          </w:tcPr>
          <w:p w14:paraId="243623AB" w14:textId="77777777" w:rsidR="00314C3D" w:rsidRPr="00374098" w:rsidRDefault="00314C3D">
            <w:pPr>
              <w:pStyle w:val="TableParagraph"/>
              <w:spacing w:line="183" w:lineRule="exact"/>
              <w:ind w:left="9"/>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single" w:sz="4" w:space="0" w:color="000000"/>
              <w:right w:val="single" w:sz="6" w:space="0" w:color="000000"/>
            </w:tcBorders>
            <w:hideMark/>
          </w:tcPr>
          <w:p w14:paraId="4C0314A3" w14:textId="77777777" w:rsidR="00314C3D" w:rsidRPr="00374098" w:rsidRDefault="00314C3D">
            <w:pPr>
              <w:pStyle w:val="TableParagraph"/>
              <w:spacing w:line="183" w:lineRule="exact"/>
              <w:ind w:left="10" w:right="1"/>
              <w:jc w:val="center"/>
              <w:rPr>
                <w:sz w:val="20"/>
                <w:szCs w:val="20"/>
                <w:lang w:val="da-DK"/>
              </w:rPr>
            </w:pPr>
            <w:r w:rsidRPr="00374098">
              <w:rPr>
                <w:sz w:val="20"/>
                <w:szCs w:val="20"/>
                <w:lang w:val="da-DK"/>
              </w:rPr>
              <w:t>-</w:t>
            </w:r>
            <w:r w:rsidRPr="00374098">
              <w:rPr>
                <w:spacing w:val="-10"/>
                <w:sz w:val="20"/>
                <w:szCs w:val="20"/>
                <w:lang w:val="da-DK"/>
              </w:rPr>
              <w:t>-</w:t>
            </w:r>
          </w:p>
        </w:tc>
        <w:tc>
          <w:tcPr>
            <w:tcW w:w="642" w:type="pct"/>
            <w:tcBorders>
              <w:top w:val="nil"/>
              <w:left w:val="single" w:sz="6" w:space="0" w:color="000000"/>
              <w:bottom w:val="single" w:sz="4" w:space="0" w:color="000000"/>
              <w:right w:val="single" w:sz="6" w:space="0" w:color="000000"/>
            </w:tcBorders>
            <w:hideMark/>
          </w:tcPr>
          <w:p w14:paraId="2D3B8FED" w14:textId="77777777" w:rsidR="00314C3D" w:rsidRPr="00374098" w:rsidRDefault="00314C3D">
            <w:pPr>
              <w:pStyle w:val="TableParagraph"/>
              <w:spacing w:line="183" w:lineRule="exact"/>
              <w:ind w:left="10" w:right="1"/>
              <w:jc w:val="center"/>
              <w:rPr>
                <w:sz w:val="20"/>
                <w:szCs w:val="20"/>
                <w:lang w:val="da-DK"/>
              </w:rPr>
            </w:pPr>
            <w:r w:rsidRPr="00374098">
              <w:rPr>
                <w:spacing w:val="-2"/>
                <w:sz w:val="20"/>
                <w:szCs w:val="20"/>
                <w:lang w:val="da-DK"/>
              </w:rPr>
              <w:t>&lt;0,001</w:t>
            </w:r>
          </w:p>
        </w:tc>
        <w:tc>
          <w:tcPr>
            <w:tcW w:w="642" w:type="pct"/>
            <w:tcBorders>
              <w:top w:val="nil"/>
              <w:left w:val="single" w:sz="6" w:space="0" w:color="000000"/>
              <w:bottom w:val="single" w:sz="4" w:space="0" w:color="000000"/>
              <w:right w:val="single" w:sz="6" w:space="0" w:color="000000"/>
            </w:tcBorders>
            <w:hideMark/>
          </w:tcPr>
          <w:p w14:paraId="610D415A" w14:textId="77777777" w:rsidR="00314C3D" w:rsidRPr="00374098" w:rsidRDefault="00314C3D">
            <w:pPr>
              <w:pStyle w:val="TableParagraph"/>
              <w:spacing w:line="18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644" w:type="pct"/>
            <w:tcBorders>
              <w:top w:val="nil"/>
              <w:left w:val="single" w:sz="6" w:space="0" w:color="000000"/>
              <w:bottom w:val="single" w:sz="4" w:space="0" w:color="000000"/>
              <w:right w:val="single" w:sz="6" w:space="0" w:color="000000"/>
            </w:tcBorders>
            <w:hideMark/>
          </w:tcPr>
          <w:p w14:paraId="5490F3C2" w14:textId="77777777" w:rsidR="00314C3D" w:rsidRPr="00374098" w:rsidRDefault="00314C3D">
            <w:pPr>
              <w:pStyle w:val="TableParagraph"/>
              <w:spacing w:line="183" w:lineRule="exact"/>
              <w:ind w:left="10" w:right="1"/>
              <w:jc w:val="center"/>
              <w:rPr>
                <w:sz w:val="20"/>
                <w:szCs w:val="20"/>
                <w:lang w:val="da-DK"/>
              </w:rPr>
            </w:pPr>
            <w:r w:rsidRPr="00374098">
              <w:rPr>
                <w:spacing w:val="-2"/>
                <w:sz w:val="20"/>
                <w:szCs w:val="20"/>
                <w:lang w:val="da-DK"/>
              </w:rPr>
              <w:t>&lt;0,001</w:t>
            </w:r>
          </w:p>
        </w:tc>
        <w:tc>
          <w:tcPr>
            <w:tcW w:w="690" w:type="pct"/>
            <w:tcBorders>
              <w:top w:val="nil"/>
              <w:left w:val="single" w:sz="6" w:space="0" w:color="000000"/>
              <w:bottom w:val="single" w:sz="4" w:space="0" w:color="000000"/>
              <w:right w:val="single" w:sz="4" w:space="0" w:color="000000"/>
            </w:tcBorders>
            <w:hideMark/>
          </w:tcPr>
          <w:p w14:paraId="57E4400D" w14:textId="77777777" w:rsidR="00314C3D" w:rsidRPr="00374098" w:rsidRDefault="00314C3D">
            <w:pPr>
              <w:pStyle w:val="TableParagraph"/>
              <w:spacing w:line="183" w:lineRule="exact"/>
              <w:ind w:left="7"/>
              <w:jc w:val="center"/>
              <w:rPr>
                <w:sz w:val="20"/>
                <w:szCs w:val="20"/>
                <w:lang w:val="da-DK"/>
              </w:rPr>
            </w:pPr>
            <w:r w:rsidRPr="00374098">
              <w:rPr>
                <w:spacing w:val="-2"/>
                <w:sz w:val="20"/>
                <w:szCs w:val="20"/>
                <w:lang w:val="da-DK"/>
              </w:rPr>
              <w:t>&lt;0,001</w:t>
            </w:r>
          </w:p>
        </w:tc>
      </w:tr>
    </w:tbl>
    <w:p w14:paraId="6B14F5E2" w14:textId="0E6F0141" w:rsidR="00314C3D" w:rsidRPr="00374098" w:rsidRDefault="00314C3D" w:rsidP="00374098">
      <w:pPr>
        <w:autoSpaceDE w:val="0"/>
        <w:autoSpaceDN w:val="0"/>
        <w:adjustRightInd w:val="0"/>
        <w:ind w:left="426" w:hanging="426"/>
        <w:rPr>
          <w:sz w:val="20"/>
          <w:lang w:val="en-US"/>
        </w:rPr>
      </w:pPr>
      <w:r w:rsidRPr="00374098">
        <w:rPr>
          <w:sz w:val="20"/>
          <w:lang w:val="en-US"/>
        </w:rPr>
        <w:t xml:space="preserve">(a) </w:t>
      </w:r>
      <w:r w:rsidR="00374098">
        <w:rPr>
          <w:sz w:val="20"/>
          <w:lang w:val="en-US"/>
        </w:rPr>
        <w:tab/>
      </w:r>
      <w:proofErr w:type="spellStart"/>
      <w:r w:rsidRPr="00374098">
        <w:rPr>
          <w:sz w:val="20"/>
          <w:lang w:val="en-US"/>
        </w:rPr>
        <w:t>Olanzapin</w:t>
      </w:r>
      <w:proofErr w:type="spellEnd"/>
      <w:r w:rsidRPr="00374098">
        <w:rPr>
          <w:sz w:val="20"/>
          <w:lang w:val="en-US"/>
        </w:rPr>
        <w:t xml:space="preserve">, 15 mg i </w:t>
      </w:r>
      <w:proofErr w:type="spellStart"/>
      <w:r w:rsidRPr="00374098">
        <w:rPr>
          <w:sz w:val="20"/>
          <w:lang w:val="en-US"/>
        </w:rPr>
        <w:t>Studie</w:t>
      </w:r>
      <w:proofErr w:type="spellEnd"/>
      <w:r w:rsidRPr="00374098">
        <w:rPr>
          <w:sz w:val="20"/>
          <w:lang w:val="en-US"/>
        </w:rPr>
        <w:t xml:space="preserve"> D1050231, </w:t>
      </w:r>
      <w:proofErr w:type="spellStart"/>
      <w:r w:rsidRPr="00374098">
        <w:rPr>
          <w:sz w:val="20"/>
          <w:lang w:val="en-US"/>
        </w:rPr>
        <w:t>quetiapin</w:t>
      </w:r>
      <w:proofErr w:type="spellEnd"/>
      <w:r w:rsidRPr="00374098">
        <w:rPr>
          <w:sz w:val="20"/>
          <w:lang w:val="en-US"/>
        </w:rPr>
        <w:t xml:space="preserve">, </w:t>
      </w:r>
      <w:proofErr w:type="spellStart"/>
      <w:r w:rsidRPr="00374098">
        <w:rPr>
          <w:sz w:val="20"/>
          <w:lang w:val="en-US"/>
        </w:rPr>
        <w:t>depottabletter</w:t>
      </w:r>
      <w:proofErr w:type="spellEnd"/>
      <w:r w:rsidRPr="00374098">
        <w:rPr>
          <w:sz w:val="20"/>
          <w:lang w:val="en-US"/>
        </w:rPr>
        <w:t xml:space="preserve"> (XR), 600 mg i </w:t>
      </w:r>
      <w:proofErr w:type="spellStart"/>
      <w:r w:rsidRPr="00374098">
        <w:rPr>
          <w:sz w:val="20"/>
          <w:lang w:val="en-US"/>
        </w:rPr>
        <w:t>Studie</w:t>
      </w:r>
      <w:proofErr w:type="spellEnd"/>
      <w:r w:rsidRPr="00374098">
        <w:rPr>
          <w:sz w:val="20"/>
          <w:lang w:val="en-US"/>
        </w:rPr>
        <w:t xml:space="preserve"> D1050233.</w:t>
      </w:r>
    </w:p>
    <w:p w14:paraId="1E29C6A8" w14:textId="77777777" w:rsidR="00314C3D" w:rsidRPr="00374098" w:rsidRDefault="00314C3D" w:rsidP="00374098">
      <w:pPr>
        <w:autoSpaceDE w:val="0"/>
        <w:autoSpaceDN w:val="0"/>
        <w:adjustRightInd w:val="0"/>
        <w:ind w:left="426"/>
        <w:rPr>
          <w:sz w:val="20"/>
        </w:rPr>
      </w:pPr>
      <w:r w:rsidRPr="00374098">
        <w:rPr>
          <w:sz w:val="20"/>
        </w:rPr>
        <w:t>N er antallet af forsøgspersoner pr. modelestimat.</w:t>
      </w:r>
    </w:p>
    <w:p w14:paraId="574B20D4" w14:textId="10713C0E" w:rsidR="00314C3D" w:rsidRPr="00374098" w:rsidRDefault="00314C3D" w:rsidP="00374098">
      <w:pPr>
        <w:autoSpaceDE w:val="0"/>
        <w:autoSpaceDN w:val="0"/>
        <w:adjustRightInd w:val="0"/>
        <w:ind w:left="426" w:hanging="426"/>
        <w:rPr>
          <w:sz w:val="20"/>
        </w:rPr>
      </w:pPr>
      <w:r w:rsidRPr="00374098">
        <w:rPr>
          <w:sz w:val="20"/>
        </w:rPr>
        <w:t xml:space="preserve">(b) </w:t>
      </w:r>
      <w:r w:rsidR="00374098">
        <w:rPr>
          <w:sz w:val="20"/>
        </w:rPr>
        <w:tab/>
      </w:r>
      <w:proofErr w:type="spellStart"/>
      <w:r w:rsidRPr="00374098">
        <w:rPr>
          <w:sz w:val="20"/>
        </w:rPr>
        <w:t>p-værdier</w:t>
      </w:r>
      <w:proofErr w:type="spellEnd"/>
      <w:r w:rsidRPr="00374098">
        <w:rPr>
          <w:sz w:val="20"/>
        </w:rPr>
        <w:t xml:space="preserve"> for </w:t>
      </w:r>
      <w:proofErr w:type="spellStart"/>
      <w:r w:rsidRPr="00374098">
        <w:rPr>
          <w:sz w:val="20"/>
        </w:rPr>
        <w:t>lurasidon</w:t>
      </w:r>
      <w:proofErr w:type="spellEnd"/>
      <w:r w:rsidRPr="00374098">
        <w:rPr>
          <w:sz w:val="20"/>
        </w:rPr>
        <w:t xml:space="preserve"> vs. placebo blev justeret for multiple sammenligninger. </w:t>
      </w:r>
      <w:proofErr w:type="spellStart"/>
      <w:r w:rsidRPr="00374098">
        <w:rPr>
          <w:sz w:val="20"/>
        </w:rPr>
        <w:t>P-værdierne</w:t>
      </w:r>
      <w:proofErr w:type="spellEnd"/>
      <w:r w:rsidRPr="00374098">
        <w:rPr>
          <w:sz w:val="20"/>
        </w:rPr>
        <w:t xml:space="preserve"> blev ikke justeret for</w:t>
      </w:r>
      <w:r w:rsidR="00374098">
        <w:rPr>
          <w:sz w:val="20"/>
        </w:rPr>
        <w:t xml:space="preserve"> </w:t>
      </w:r>
      <w:proofErr w:type="spellStart"/>
      <w:r w:rsidRPr="00374098">
        <w:rPr>
          <w:sz w:val="20"/>
        </w:rPr>
        <w:t>olanzapin</w:t>
      </w:r>
      <w:proofErr w:type="spellEnd"/>
      <w:r w:rsidRPr="00374098">
        <w:rPr>
          <w:sz w:val="20"/>
        </w:rPr>
        <w:t xml:space="preserve"> og </w:t>
      </w:r>
      <w:proofErr w:type="spellStart"/>
      <w:r w:rsidRPr="00374098">
        <w:rPr>
          <w:sz w:val="20"/>
        </w:rPr>
        <w:t>quetiapin</w:t>
      </w:r>
      <w:proofErr w:type="spellEnd"/>
      <w:r w:rsidRPr="00374098">
        <w:rPr>
          <w:sz w:val="20"/>
        </w:rPr>
        <w:t xml:space="preserve"> XR vs. placebo.</w:t>
      </w:r>
    </w:p>
    <w:p w14:paraId="78374931" w14:textId="77777777" w:rsidR="00314C3D" w:rsidRPr="00212B5E" w:rsidRDefault="00314C3D" w:rsidP="00212B5E">
      <w:pPr>
        <w:ind w:left="851"/>
        <w:rPr>
          <w:sz w:val="24"/>
          <w:szCs w:val="24"/>
        </w:rPr>
      </w:pPr>
    </w:p>
    <w:p w14:paraId="7BFFD761" w14:textId="77777777" w:rsidR="00314C3D" w:rsidRPr="00212B5E" w:rsidRDefault="00314C3D" w:rsidP="00212B5E">
      <w:pPr>
        <w:ind w:left="851"/>
        <w:rPr>
          <w:sz w:val="24"/>
          <w:szCs w:val="24"/>
        </w:rPr>
      </w:pPr>
      <w:r w:rsidRPr="00212B5E">
        <w:rPr>
          <w:sz w:val="24"/>
          <w:szCs w:val="24"/>
        </w:rPr>
        <w:t>I de kortvarige studier blev der ikke observeret nogen konsekvent dosis-respons sammenhæng.</w:t>
      </w:r>
    </w:p>
    <w:p w14:paraId="20F6AABD" w14:textId="77777777" w:rsidR="00314C3D" w:rsidRPr="00212B5E" w:rsidRDefault="00314C3D" w:rsidP="00212B5E">
      <w:pPr>
        <w:ind w:left="851"/>
        <w:rPr>
          <w:sz w:val="24"/>
          <w:szCs w:val="24"/>
        </w:rPr>
      </w:pPr>
    </w:p>
    <w:p w14:paraId="634FB548" w14:textId="5C90E471" w:rsidR="00314C3D" w:rsidRPr="00212B5E" w:rsidRDefault="00314C3D" w:rsidP="00212B5E">
      <w:pPr>
        <w:ind w:left="851"/>
        <w:rPr>
          <w:sz w:val="24"/>
          <w:szCs w:val="24"/>
        </w:rPr>
      </w:pPr>
      <w:r w:rsidRPr="00212B5E">
        <w:rPr>
          <w:sz w:val="24"/>
          <w:szCs w:val="24"/>
        </w:rPr>
        <w:t xml:space="preserve">Den langsigtede effekt af </w:t>
      </w:r>
      <w:proofErr w:type="spellStart"/>
      <w:r w:rsidRPr="00212B5E">
        <w:rPr>
          <w:sz w:val="24"/>
          <w:szCs w:val="24"/>
        </w:rPr>
        <w:t>lurasidon</w:t>
      </w:r>
      <w:proofErr w:type="spellEnd"/>
      <w:r w:rsidRPr="00212B5E">
        <w:rPr>
          <w:sz w:val="24"/>
          <w:szCs w:val="24"/>
        </w:rPr>
        <w:t xml:space="preserve"> (37-148 mg </w:t>
      </w:r>
      <w:proofErr w:type="spellStart"/>
      <w:r w:rsidRPr="00212B5E">
        <w:rPr>
          <w:sz w:val="24"/>
          <w:szCs w:val="24"/>
        </w:rPr>
        <w:t>lurasidon</w:t>
      </w:r>
      <w:proofErr w:type="spellEnd"/>
      <w:r w:rsidRPr="00212B5E">
        <w:rPr>
          <w:sz w:val="24"/>
          <w:szCs w:val="24"/>
        </w:rPr>
        <w:t xml:space="preserve"> givet én gang dagligt blev påvist ved et</w:t>
      </w:r>
      <w:r w:rsidR="00374098">
        <w:rPr>
          <w:sz w:val="24"/>
          <w:szCs w:val="24"/>
        </w:rPr>
        <w:t xml:space="preserve"> </w:t>
      </w:r>
      <w:r w:rsidRPr="00212B5E">
        <w:rPr>
          <w:sz w:val="24"/>
          <w:szCs w:val="24"/>
        </w:rPr>
        <w:t>non-</w:t>
      </w:r>
      <w:proofErr w:type="spellStart"/>
      <w:r w:rsidRPr="00212B5E">
        <w:rPr>
          <w:sz w:val="24"/>
          <w:szCs w:val="24"/>
        </w:rPr>
        <w:t>inferiority</w:t>
      </w:r>
      <w:proofErr w:type="spellEnd"/>
      <w:r w:rsidRPr="00212B5E">
        <w:rPr>
          <w:sz w:val="24"/>
          <w:szCs w:val="24"/>
        </w:rPr>
        <w:t xml:space="preserve">-forsøg af 12 måneders varighed med </w:t>
      </w:r>
      <w:proofErr w:type="spellStart"/>
      <w:r w:rsidRPr="00212B5E">
        <w:rPr>
          <w:sz w:val="24"/>
          <w:szCs w:val="24"/>
        </w:rPr>
        <w:t>quetiapin</w:t>
      </w:r>
      <w:proofErr w:type="spellEnd"/>
      <w:r w:rsidRPr="00212B5E">
        <w:rPr>
          <w:sz w:val="24"/>
          <w:szCs w:val="24"/>
        </w:rPr>
        <w:t xml:space="preserve">, depottabletter (200 til 800 mg én gang dagligt). </w:t>
      </w:r>
      <w:proofErr w:type="spellStart"/>
      <w:r w:rsidRPr="00212B5E">
        <w:rPr>
          <w:sz w:val="24"/>
          <w:szCs w:val="24"/>
        </w:rPr>
        <w:t>Lurasidon</w:t>
      </w:r>
      <w:proofErr w:type="spellEnd"/>
      <w:r w:rsidRPr="00212B5E">
        <w:rPr>
          <w:sz w:val="24"/>
          <w:szCs w:val="24"/>
        </w:rPr>
        <w:t xml:space="preserve"> var ikke dårligere i forhold til </w:t>
      </w:r>
      <w:proofErr w:type="spellStart"/>
      <w:r w:rsidRPr="00212B5E">
        <w:rPr>
          <w:sz w:val="24"/>
          <w:szCs w:val="24"/>
        </w:rPr>
        <w:t>quetiapin</w:t>
      </w:r>
      <w:proofErr w:type="spellEnd"/>
      <w:r w:rsidRPr="00212B5E">
        <w:rPr>
          <w:sz w:val="24"/>
          <w:szCs w:val="24"/>
        </w:rPr>
        <w:t xml:space="preserve"> med forlænget frigivelse mht. tid til recidiv for skizofreni. </w:t>
      </w:r>
      <w:proofErr w:type="spellStart"/>
      <w:r w:rsidRPr="00212B5E">
        <w:rPr>
          <w:sz w:val="24"/>
          <w:szCs w:val="24"/>
        </w:rPr>
        <w:t>Lurasidon</w:t>
      </w:r>
      <w:proofErr w:type="spellEnd"/>
      <w:r w:rsidRPr="00212B5E">
        <w:rPr>
          <w:sz w:val="24"/>
          <w:szCs w:val="24"/>
        </w:rPr>
        <w:t xml:space="preserve"> havde en lille stigning fra baseline til måned 12 i kropsvægt og body </w:t>
      </w:r>
      <w:proofErr w:type="spellStart"/>
      <w:r w:rsidRPr="00212B5E">
        <w:rPr>
          <w:sz w:val="24"/>
          <w:szCs w:val="24"/>
        </w:rPr>
        <w:t>mass</w:t>
      </w:r>
      <w:proofErr w:type="spellEnd"/>
      <w:r w:rsidRPr="00212B5E">
        <w:rPr>
          <w:sz w:val="24"/>
          <w:szCs w:val="24"/>
        </w:rPr>
        <w:t xml:space="preserve"> </w:t>
      </w:r>
      <w:proofErr w:type="spellStart"/>
      <w:r w:rsidRPr="00212B5E">
        <w:rPr>
          <w:sz w:val="24"/>
          <w:szCs w:val="24"/>
        </w:rPr>
        <w:t>index</w:t>
      </w:r>
      <w:proofErr w:type="spellEnd"/>
      <w:r w:rsidRPr="00212B5E">
        <w:rPr>
          <w:sz w:val="24"/>
          <w:szCs w:val="24"/>
        </w:rPr>
        <w:t xml:space="preserve"> (Middel (SD):hhv. 0,73 (3,36) kg og 0,28 (1.17) kg/m</w:t>
      </w:r>
      <w:r w:rsidRPr="00212B5E">
        <w:rPr>
          <w:sz w:val="24"/>
          <w:szCs w:val="24"/>
          <w:vertAlign w:val="superscript"/>
        </w:rPr>
        <w:t>2</w:t>
      </w:r>
      <w:r w:rsidRPr="00212B5E">
        <w:rPr>
          <w:sz w:val="24"/>
          <w:szCs w:val="24"/>
        </w:rPr>
        <w:t xml:space="preserve">) sammenlignet med </w:t>
      </w:r>
      <w:proofErr w:type="spellStart"/>
      <w:r w:rsidRPr="00212B5E">
        <w:rPr>
          <w:sz w:val="24"/>
          <w:szCs w:val="24"/>
        </w:rPr>
        <w:t>quetiapin</w:t>
      </w:r>
      <w:proofErr w:type="spellEnd"/>
      <w:r w:rsidRPr="00212B5E">
        <w:rPr>
          <w:sz w:val="24"/>
          <w:szCs w:val="24"/>
        </w:rPr>
        <w:t xml:space="preserve"> med forlænget frigivelse (hhv. 1,23 (4,56) kg og 0,45 (1,63) kg/m</w:t>
      </w:r>
      <w:r w:rsidRPr="00212B5E">
        <w:rPr>
          <w:sz w:val="24"/>
          <w:szCs w:val="24"/>
          <w:vertAlign w:val="superscript"/>
        </w:rPr>
        <w:t>2</w:t>
      </w:r>
      <w:r w:rsidRPr="00212B5E">
        <w:rPr>
          <w:sz w:val="24"/>
          <w:szCs w:val="24"/>
        </w:rPr>
        <w:t xml:space="preserve">). Samlet set havde </w:t>
      </w:r>
      <w:proofErr w:type="spellStart"/>
      <w:r w:rsidRPr="00212B5E">
        <w:rPr>
          <w:sz w:val="24"/>
          <w:szCs w:val="24"/>
        </w:rPr>
        <w:t>lurasidon</w:t>
      </w:r>
      <w:proofErr w:type="spellEnd"/>
      <w:r w:rsidRPr="00212B5E">
        <w:rPr>
          <w:sz w:val="24"/>
          <w:szCs w:val="24"/>
        </w:rPr>
        <w:t xml:space="preserve"> ingen betydelig effekt på vægt og andre metaboliske parametre, </w:t>
      </w:r>
      <w:proofErr w:type="gramStart"/>
      <w:r w:rsidRPr="00212B5E">
        <w:rPr>
          <w:sz w:val="24"/>
          <w:szCs w:val="24"/>
        </w:rPr>
        <w:t>herunder total kolesterol</w:t>
      </w:r>
      <w:proofErr w:type="gramEnd"/>
      <w:r w:rsidRPr="00212B5E">
        <w:rPr>
          <w:sz w:val="24"/>
          <w:szCs w:val="24"/>
        </w:rPr>
        <w:t>, triglycerider og glukoseniveauer.</w:t>
      </w:r>
    </w:p>
    <w:p w14:paraId="03EA74BC" w14:textId="77777777" w:rsidR="00314C3D" w:rsidRPr="00212B5E" w:rsidRDefault="00314C3D" w:rsidP="00212B5E">
      <w:pPr>
        <w:ind w:left="851"/>
        <w:rPr>
          <w:sz w:val="24"/>
          <w:szCs w:val="24"/>
        </w:rPr>
      </w:pPr>
    </w:p>
    <w:p w14:paraId="548D0126" w14:textId="77777777" w:rsidR="00314C3D" w:rsidRPr="00212B5E" w:rsidRDefault="00314C3D" w:rsidP="00212B5E">
      <w:pPr>
        <w:ind w:left="851"/>
        <w:rPr>
          <w:sz w:val="24"/>
          <w:szCs w:val="24"/>
        </w:rPr>
      </w:pPr>
      <w:r w:rsidRPr="00212B5E">
        <w:rPr>
          <w:sz w:val="24"/>
          <w:szCs w:val="24"/>
        </w:rPr>
        <w:t xml:space="preserve">I et langvarigt sikkerhedsstudie blev klinisk stabile patienter behandlet med 37-111 mg </w:t>
      </w:r>
      <w:proofErr w:type="spellStart"/>
      <w:r w:rsidRPr="00212B5E">
        <w:rPr>
          <w:sz w:val="24"/>
          <w:szCs w:val="24"/>
        </w:rPr>
        <w:t>lurasidon</w:t>
      </w:r>
      <w:proofErr w:type="spellEnd"/>
      <w:r w:rsidRPr="00212B5E">
        <w:rPr>
          <w:sz w:val="24"/>
          <w:szCs w:val="24"/>
        </w:rPr>
        <w:t xml:space="preserve"> eller </w:t>
      </w:r>
      <w:proofErr w:type="spellStart"/>
      <w:r w:rsidRPr="00212B5E">
        <w:rPr>
          <w:sz w:val="24"/>
          <w:szCs w:val="24"/>
        </w:rPr>
        <w:t>risperidon</w:t>
      </w:r>
      <w:proofErr w:type="spellEnd"/>
      <w:r w:rsidRPr="00212B5E">
        <w:rPr>
          <w:sz w:val="24"/>
          <w:szCs w:val="24"/>
        </w:rPr>
        <w:t xml:space="preserve"> 2-6 mg. I dette studie var frekvensen for tilbagefald over en 12-måneders periode 20 % for </w:t>
      </w:r>
      <w:proofErr w:type="spellStart"/>
      <w:r w:rsidRPr="00212B5E">
        <w:rPr>
          <w:sz w:val="24"/>
          <w:szCs w:val="24"/>
        </w:rPr>
        <w:t>lurasidon</w:t>
      </w:r>
      <w:proofErr w:type="spellEnd"/>
      <w:r w:rsidRPr="00212B5E">
        <w:rPr>
          <w:sz w:val="24"/>
          <w:szCs w:val="24"/>
        </w:rPr>
        <w:t xml:space="preserve"> og 16 % for </w:t>
      </w:r>
      <w:proofErr w:type="spellStart"/>
      <w:r w:rsidRPr="00212B5E">
        <w:rPr>
          <w:sz w:val="24"/>
          <w:szCs w:val="24"/>
        </w:rPr>
        <w:t>risperidon</w:t>
      </w:r>
      <w:proofErr w:type="spellEnd"/>
      <w:r w:rsidRPr="00212B5E">
        <w:rPr>
          <w:sz w:val="24"/>
          <w:szCs w:val="24"/>
        </w:rPr>
        <w:t>. Denne forskel nærmede sig, men nåede ikke statistisk signifikans.</w:t>
      </w:r>
    </w:p>
    <w:p w14:paraId="4071F921" w14:textId="77777777" w:rsidR="00314C3D" w:rsidRPr="00212B5E" w:rsidRDefault="00314C3D" w:rsidP="00212B5E">
      <w:pPr>
        <w:ind w:left="851"/>
        <w:rPr>
          <w:sz w:val="24"/>
          <w:szCs w:val="24"/>
        </w:rPr>
      </w:pPr>
    </w:p>
    <w:p w14:paraId="18A40760" w14:textId="50A2036F" w:rsidR="00314C3D" w:rsidRPr="00212B5E" w:rsidRDefault="00314C3D" w:rsidP="00212B5E">
      <w:pPr>
        <w:ind w:left="851"/>
        <w:rPr>
          <w:sz w:val="24"/>
          <w:szCs w:val="24"/>
        </w:rPr>
      </w:pPr>
      <w:r w:rsidRPr="00212B5E">
        <w:rPr>
          <w:sz w:val="24"/>
          <w:szCs w:val="24"/>
        </w:rPr>
        <w:t xml:space="preserve">I de langvarige studier, designet til at evaluere vedligeholdelseseffekten, var </w:t>
      </w:r>
      <w:proofErr w:type="spellStart"/>
      <w:r w:rsidRPr="00212B5E">
        <w:rPr>
          <w:sz w:val="24"/>
          <w:szCs w:val="24"/>
        </w:rPr>
        <w:t>lurasidon</w:t>
      </w:r>
      <w:proofErr w:type="spellEnd"/>
      <w:r w:rsidRPr="00212B5E">
        <w:rPr>
          <w:sz w:val="24"/>
          <w:szCs w:val="24"/>
        </w:rPr>
        <w:t xml:space="preserve"> mere effektivt til at bevare kontrol over symptomer og i at forhindre recidiv af skizofreni end placebo. Efter at være blevet behandlet for en akut episode og stabiliseret i mindst 12 uger med </w:t>
      </w:r>
      <w:proofErr w:type="spellStart"/>
      <w:r w:rsidRPr="00212B5E">
        <w:rPr>
          <w:sz w:val="24"/>
          <w:szCs w:val="24"/>
        </w:rPr>
        <w:t>lurasidon</w:t>
      </w:r>
      <w:proofErr w:type="spellEnd"/>
      <w:r w:rsidRPr="00212B5E">
        <w:rPr>
          <w:sz w:val="24"/>
          <w:szCs w:val="24"/>
        </w:rPr>
        <w:t xml:space="preserve">, blev patienterne randomiseret i et dobbelt-blindet studie til enten at fortsætte med </w:t>
      </w:r>
      <w:proofErr w:type="spellStart"/>
      <w:r w:rsidRPr="00212B5E">
        <w:rPr>
          <w:sz w:val="24"/>
          <w:szCs w:val="24"/>
        </w:rPr>
        <w:t>lurasidon</w:t>
      </w:r>
      <w:proofErr w:type="spellEnd"/>
      <w:r w:rsidRPr="00212B5E">
        <w:rPr>
          <w:sz w:val="24"/>
          <w:szCs w:val="24"/>
        </w:rPr>
        <w:t xml:space="preserve"> eller med placebo, indtil de oplevede tilbagefald af skizofrenisymptomer. Den primære analyse af tiden for tilbagefald, hvor patienter, der stoppede uden tilbagefald, blev frasorteret, viste, at patienter behandlet med </w:t>
      </w:r>
      <w:proofErr w:type="spellStart"/>
      <w:r w:rsidRPr="00212B5E">
        <w:rPr>
          <w:sz w:val="24"/>
          <w:szCs w:val="24"/>
        </w:rPr>
        <w:t>lurasidon</w:t>
      </w:r>
      <w:proofErr w:type="spellEnd"/>
      <w:r w:rsidRPr="00212B5E">
        <w:rPr>
          <w:sz w:val="24"/>
          <w:szCs w:val="24"/>
        </w:rPr>
        <w:t xml:space="preserve"> var signifikant længere tid om at få tilbagefald sammenlignet med patienter på placebo (p=0,039). Kaplan-Meier estimater for sandsynligheden for tilbagefald ved uge 28 var 42,2 % for </w:t>
      </w:r>
      <w:proofErr w:type="spellStart"/>
      <w:r w:rsidRPr="00212B5E">
        <w:rPr>
          <w:sz w:val="24"/>
          <w:szCs w:val="24"/>
        </w:rPr>
        <w:t>lurasidon</w:t>
      </w:r>
      <w:proofErr w:type="spellEnd"/>
      <w:r w:rsidRPr="00212B5E">
        <w:rPr>
          <w:sz w:val="24"/>
          <w:szCs w:val="24"/>
        </w:rPr>
        <w:t xml:space="preserve"> og 51,2 % for placebo. Sandsynligheden for ophør, alle årsager, ved uge 28 var 58,2 % for </w:t>
      </w:r>
      <w:proofErr w:type="spellStart"/>
      <w:r w:rsidRPr="00212B5E">
        <w:rPr>
          <w:sz w:val="24"/>
          <w:szCs w:val="24"/>
        </w:rPr>
        <w:t>lurasidon</w:t>
      </w:r>
      <w:proofErr w:type="spellEnd"/>
      <w:r w:rsidRPr="00212B5E">
        <w:rPr>
          <w:sz w:val="24"/>
          <w:szCs w:val="24"/>
        </w:rPr>
        <w:t xml:space="preserve"> og</w:t>
      </w:r>
      <w:r w:rsidR="002F17ED">
        <w:rPr>
          <w:sz w:val="24"/>
          <w:szCs w:val="24"/>
        </w:rPr>
        <w:t xml:space="preserve"> </w:t>
      </w:r>
      <w:r w:rsidRPr="00212B5E">
        <w:rPr>
          <w:sz w:val="24"/>
          <w:szCs w:val="24"/>
        </w:rPr>
        <w:t>69,9 % for placebo (p=0,072).</w:t>
      </w:r>
    </w:p>
    <w:p w14:paraId="67BB9B81" w14:textId="77777777" w:rsidR="00314C3D" w:rsidRPr="00212B5E" w:rsidRDefault="00314C3D" w:rsidP="00212B5E">
      <w:pPr>
        <w:ind w:left="851"/>
        <w:rPr>
          <w:sz w:val="24"/>
          <w:szCs w:val="24"/>
        </w:rPr>
      </w:pPr>
    </w:p>
    <w:p w14:paraId="23499575" w14:textId="77777777" w:rsidR="00314C3D" w:rsidRPr="00212B5E" w:rsidRDefault="00314C3D" w:rsidP="00212B5E">
      <w:pPr>
        <w:ind w:left="851"/>
        <w:rPr>
          <w:sz w:val="24"/>
          <w:szCs w:val="24"/>
          <w:u w:val="single"/>
        </w:rPr>
      </w:pPr>
      <w:r w:rsidRPr="00212B5E">
        <w:rPr>
          <w:sz w:val="24"/>
          <w:szCs w:val="24"/>
          <w:u w:val="single"/>
        </w:rPr>
        <w:t>Pædiatrisk population</w:t>
      </w:r>
    </w:p>
    <w:p w14:paraId="58F76B11" w14:textId="77777777" w:rsidR="00314C3D" w:rsidRPr="00212B5E" w:rsidRDefault="00314C3D" w:rsidP="00212B5E">
      <w:pPr>
        <w:ind w:left="851"/>
        <w:rPr>
          <w:sz w:val="24"/>
          <w:szCs w:val="24"/>
        </w:rPr>
      </w:pPr>
    </w:p>
    <w:p w14:paraId="26D3428B" w14:textId="77777777" w:rsidR="00314C3D" w:rsidRPr="00212B5E" w:rsidRDefault="00314C3D" w:rsidP="00212B5E">
      <w:pPr>
        <w:ind w:left="851"/>
        <w:rPr>
          <w:i/>
          <w:iCs/>
          <w:sz w:val="24"/>
          <w:szCs w:val="24"/>
        </w:rPr>
      </w:pPr>
      <w:r w:rsidRPr="00212B5E">
        <w:rPr>
          <w:i/>
          <w:iCs/>
          <w:sz w:val="24"/>
          <w:szCs w:val="24"/>
        </w:rPr>
        <w:t>Skizofreni</w:t>
      </w:r>
    </w:p>
    <w:p w14:paraId="11ACA065" w14:textId="77777777" w:rsidR="00314C3D" w:rsidRPr="00212B5E" w:rsidRDefault="00314C3D" w:rsidP="00212B5E">
      <w:pPr>
        <w:ind w:left="851"/>
        <w:rPr>
          <w:i/>
          <w:iCs/>
          <w:sz w:val="24"/>
          <w:szCs w:val="24"/>
        </w:rPr>
      </w:pPr>
    </w:p>
    <w:p w14:paraId="26920AA0" w14:textId="67ECF713" w:rsidR="00314C3D" w:rsidRPr="00212B5E" w:rsidRDefault="00314C3D" w:rsidP="00212B5E">
      <w:pPr>
        <w:ind w:left="851"/>
        <w:rPr>
          <w:sz w:val="24"/>
          <w:szCs w:val="24"/>
        </w:rPr>
      </w:pPr>
      <w:r w:rsidRPr="00212B5E">
        <w:rPr>
          <w:sz w:val="24"/>
          <w:szCs w:val="24"/>
        </w:rPr>
        <w:t xml:space="preserve">Virkningen af </w:t>
      </w: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blev fastlagt i et 6-ugers, randomiseret, dobbeltblindet, placebokontrolleret studie af unge (i alderen 13-17 år), som opfyldte DSM-IV-TR-kriterierne for skizofreni (N=326). Patienter blev randomiseret til en af to faste doser af </w:t>
      </w: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(37 eller 74 mg/dag) eller placebo.</w:t>
      </w:r>
    </w:p>
    <w:p w14:paraId="4BAE5DFD" w14:textId="77777777" w:rsidR="00314C3D" w:rsidRPr="00212B5E" w:rsidRDefault="00314C3D" w:rsidP="00212B5E">
      <w:pPr>
        <w:ind w:left="851"/>
        <w:rPr>
          <w:sz w:val="24"/>
          <w:szCs w:val="24"/>
        </w:rPr>
      </w:pPr>
    </w:p>
    <w:p w14:paraId="7B587FC9" w14:textId="77777777" w:rsidR="00314C3D" w:rsidRPr="00212B5E" w:rsidRDefault="00314C3D" w:rsidP="00212B5E">
      <w:pPr>
        <w:ind w:left="851"/>
        <w:rPr>
          <w:sz w:val="24"/>
          <w:szCs w:val="24"/>
        </w:rPr>
      </w:pPr>
      <w:r w:rsidRPr="00212B5E">
        <w:rPr>
          <w:sz w:val="24"/>
          <w:szCs w:val="24"/>
        </w:rPr>
        <w:t>Det primære vurderingsredskab, der blev anvendt til vurdering af psykiatriske tegn og symptomer, var PANSS. Det vigtigste sekundære redskab var CGI-S.</w:t>
      </w:r>
    </w:p>
    <w:p w14:paraId="0D2B29CC" w14:textId="77777777" w:rsidR="00314C3D" w:rsidRPr="00212B5E" w:rsidRDefault="00314C3D" w:rsidP="00212B5E">
      <w:pPr>
        <w:ind w:left="851"/>
        <w:rPr>
          <w:sz w:val="24"/>
          <w:szCs w:val="24"/>
        </w:rPr>
      </w:pPr>
    </w:p>
    <w:p w14:paraId="4BEF409D" w14:textId="1D1E70BE" w:rsidR="00314C3D" w:rsidRPr="00212B5E" w:rsidRDefault="00314C3D" w:rsidP="00212B5E">
      <w:pPr>
        <w:ind w:left="851"/>
        <w:rPr>
          <w:sz w:val="24"/>
          <w:szCs w:val="24"/>
        </w:rPr>
      </w:pPr>
      <w:r w:rsidRPr="00212B5E">
        <w:rPr>
          <w:sz w:val="24"/>
          <w:szCs w:val="24"/>
        </w:rPr>
        <w:t xml:space="preserve">Inden for begge dosisgrupper var </w:t>
      </w:r>
      <w:proofErr w:type="spellStart"/>
      <w:r w:rsidRPr="00212B5E">
        <w:rPr>
          <w:sz w:val="24"/>
          <w:szCs w:val="24"/>
        </w:rPr>
        <w:t>Lurasidone</w:t>
      </w:r>
      <w:proofErr w:type="spellEnd"/>
      <w:r w:rsidRPr="00212B5E">
        <w:rPr>
          <w:sz w:val="24"/>
          <w:szCs w:val="24"/>
        </w:rPr>
        <w:t xml:space="preserve"> </w:t>
      </w:r>
      <w:r w:rsidR="00325BA6">
        <w:rPr>
          <w:sz w:val="24"/>
          <w:szCs w:val="24"/>
        </w:rPr>
        <w:t>"Orifarm"</w:t>
      </w:r>
      <w:r w:rsidRPr="00212B5E">
        <w:rPr>
          <w:sz w:val="24"/>
          <w:szCs w:val="24"/>
        </w:rPr>
        <w:t xml:space="preserve"> bedre end placebo med hensyn til reduktion af PANSS- og CGI-S-scorer i uge 6. Dosen på 74 mg/dag gav i gennemsnit ingen yderligere fordel end dosen på 37 mg/dag.</w:t>
      </w:r>
    </w:p>
    <w:p w14:paraId="348EA825" w14:textId="77777777" w:rsidR="00314C3D" w:rsidRPr="00212B5E" w:rsidRDefault="00314C3D" w:rsidP="00212B5E">
      <w:pPr>
        <w:ind w:left="851"/>
        <w:rPr>
          <w:sz w:val="24"/>
          <w:szCs w:val="24"/>
        </w:rPr>
      </w:pPr>
    </w:p>
    <w:p w14:paraId="5FD55680" w14:textId="77777777" w:rsidR="00314C3D" w:rsidRPr="00212B5E" w:rsidRDefault="00314C3D" w:rsidP="00212B5E">
      <w:pPr>
        <w:ind w:left="851"/>
        <w:rPr>
          <w:sz w:val="24"/>
          <w:szCs w:val="24"/>
        </w:rPr>
      </w:pPr>
      <w:r w:rsidRPr="00212B5E">
        <w:rPr>
          <w:sz w:val="24"/>
          <w:szCs w:val="24"/>
        </w:rPr>
        <w:t>De primære effektresultater kan ses i tabel 4.</w:t>
      </w:r>
    </w:p>
    <w:p w14:paraId="16645C25" w14:textId="77777777" w:rsidR="00314C3D" w:rsidRPr="00212B5E" w:rsidRDefault="00314C3D" w:rsidP="00212B5E">
      <w:pPr>
        <w:ind w:left="851"/>
        <w:rPr>
          <w:sz w:val="24"/>
          <w:szCs w:val="24"/>
        </w:rPr>
      </w:pPr>
    </w:p>
    <w:p w14:paraId="232FC3A5" w14:textId="77777777" w:rsidR="00314C3D" w:rsidRPr="00212B5E" w:rsidRDefault="00314C3D" w:rsidP="00314C3D">
      <w:pPr>
        <w:autoSpaceDE w:val="0"/>
        <w:autoSpaceDN w:val="0"/>
        <w:adjustRightInd w:val="0"/>
        <w:rPr>
          <w:b/>
          <w:bCs/>
          <w:sz w:val="24"/>
          <w:szCs w:val="24"/>
        </w:rPr>
      </w:pPr>
      <w:r w:rsidRPr="00212B5E">
        <w:rPr>
          <w:b/>
          <w:bCs/>
          <w:sz w:val="24"/>
          <w:szCs w:val="24"/>
        </w:rPr>
        <w:t xml:space="preserve">Tabel 4 </w:t>
      </w:r>
      <w:r w:rsidRPr="00212B5E">
        <w:rPr>
          <w:b/>
          <w:bCs/>
          <w:sz w:val="24"/>
          <w:szCs w:val="24"/>
        </w:rPr>
        <w:tab/>
        <w:t>Primære effektresultater (PANSS Total Score) – Ændring fra baseline til uge 6 –</w:t>
      </w:r>
    </w:p>
    <w:p w14:paraId="7A71605D" w14:textId="77777777" w:rsidR="00314C3D" w:rsidRPr="00212B5E" w:rsidRDefault="00314C3D" w:rsidP="00314C3D">
      <w:pPr>
        <w:suppressAutoHyphens/>
        <w:ind w:firstLine="1304"/>
        <w:rPr>
          <w:b/>
          <w:bCs/>
          <w:sz w:val="24"/>
          <w:szCs w:val="24"/>
        </w:rPr>
      </w:pPr>
      <w:r w:rsidRPr="00212B5E">
        <w:rPr>
          <w:b/>
          <w:bCs/>
          <w:sz w:val="24"/>
          <w:szCs w:val="24"/>
        </w:rPr>
        <w:t>MMRM for skizofrenistudiet hos unge D1050301: Intent-to-</w:t>
      </w:r>
      <w:proofErr w:type="spellStart"/>
      <w:r w:rsidRPr="00212B5E">
        <w:rPr>
          <w:b/>
          <w:bCs/>
          <w:sz w:val="24"/>
          <w:szCs w:val="24"/>
        </w:rPr>
        <w:t>Treat</w:t>
      </w:r>
      <w:proofErr w:type="spellEnd"/>
      <w:r w:rsidRPr="00212B5E">
        <w:rPr>
          <w:b/>
          <w:bCs/>
          <w:sz w:val="24"/>
          <w:szCs w:val="24"/>
        </w:rPr>
        <w:t>-analysesæt</w:t>
      </w:r>
    </w:p>
    <w:p w14:paraId="6A8ABE4D" w14:textId="77777777" w:rsidR="00314C3D" w:rsidRPr="00212B5E" w:rsidRDefault="00314C3D" w:rsidP="00314C3D">
      <w:pPr>
        <w:suppressAutoHyphens/>
        <w:rPr>
          <w:b/>
          <w:bCs/>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490"/>
        <w:gridCol w:w="1812"/>
        <w:gridCol w:w="2337"/>
        <w:gridCol w:w="1979"/>
      </w:tblGrid>
      <w:tr w:rsidR="00314C3D" w:rsidRPr="00374098" w14:paraId="127CAC72" w14:textId="77777777" w:rsidTr="00212B5E">
        <w:trPr>
          <w:trHeight w:val="252"/>
        </w:trPr>
        <w:tc>
          <w:tcPr>
            <w:tcW w:w="1814" w:type="pct"/>
            <w:vMerge w:val="restart"/>
            <w:tcBorders>
              <w:top w:val="single" w:sz="8" w:space="0" w:color="000000"/>
              <w:left w:val="single" w:sz="8" w:space="0" w:color="000000"/>
              <w:bottom w:val="single" w:sz="8" w:space="0" w:color="000000"/>
              <w:right w:val="single" w:sz="8" w:space="0" w:color="000000"/>
            </w:tcBorders>
            <w:hideMark/>
          </w:tcPr>
          <w:p w14:paraId="67B38D2D" w14:textId="77777777" w:rsidR="00314C3D" w:rsidRPr="00374098" w:rsidRDefault="00314C3D">
            <w:pPr>
              <w:pStyle w:val="TableParagraph"/>
              <w:ind w:left="402"/>
              <w:rPr>
                <w:b/>
                <w:sz w:val="20"/>
                <w:szCs w:val="20"/>
                <w:lang w:val="da-DK"/>
              </w:rPr>
            </w:pPr>
            <w:r w:rsidRPr="00374098">
              <w:rPr>
                <w:b/>
                <w:spacing w:val="-2"/>
                <w:sz w:val="20"/>
                <w:szCs w:val="20"/>
                <w:lang w:val="da-DK"/>
              </w:rPr>
              <w:t>Studiestatistik</w:t>
            </w:r>
          </w:p>
        </w:tc>
        <w:tc>
          <w:tcPr>
            <w:tcW w:w="942" w:type="pct"/>
            <w:vMerge w:val="restart"/>
            <w:tcBorders>
              <w:top w:val="single" w:sz="8" w:space="0" w:color="000000"/>
              <w:left w:val="single" w:sz="8" w:space="0" w:color="000000"/>
              <w:bottom w:val="single" w:sz="8" w:space="0" w:color="000000"/>
              <w:right w:val="single" w:sz="8" w:space="0" w:color="000000"/>
            </w:tcBorders>
            <w:hideMark/>
          </w:tcPr>
          <w:p w14:paraId="6E3BE531" w14:textId="77777777" w:rsidR="00314C3D" w:rsidRPr="00374098" w:rsidRDefault="00314C3D">
            <w:pPr>
              <w:pStyle w:val="TableParagraph"/>
              <w:ind w:left="114"/>
              <w:rPr>
                <w:b/>
                <w:sz w:val="20"/>
                <w:szCs w:val="20"/>
                <w:lang w:val="da-DK"/>
              </w:rPr>
            </w:pPr>
            <w:r w:rsidRPr="00374098">
              <w:rPr>
                <w:b/>
                <w:spacing w:val="-2"/>
                <w:sz w:val="20"/>
                <w:szCs w:val="20"/>
                <w:lang w:val="da-DK"/>
              </w:rPr>
              <w:t>Placebo</w:t>
            </w:r>
          </w:p>
        </w:tc>
        <w:tc>
          <w:tcPr>
            <w:tcW w:w="2244" w:type="pct"/>
            <w:gridSpan w:val="2"/>
            <w:tcBorders>
              <w:top w:val="single" w:sz="8" w:space="0" w:color="000000"/>
              <w:left w:val="single" w:sz="8" w:space="0" w:color="000000"/>
              <w:bottom w:val="single" w:sz="8" w:space="0" w:color="000000"/>
              <w:right w:val="single" w:sz="8" w:space="0" w:color="000000"/>
            </w:tcBorders>
            <w:hideMark/>
          </w:tcPr>
          <w:p w14:paraId="0AD46D95" w14:textId="77777777" w:rsidR="00314C3D" w:rsidRPr="00374098" w:rsidRDefault="00314C3D">
            <w:pPr>
              <w:pStyle w:val="TableParagraph"/>
              <w:spacing w:line="233" w:lineRule="exact"/>
              <w:ind w:left="114"/>
              <w:rPr>
                <w:b/>
                <w:sz w:val="20"/>
                <w:szCs w:val="20"/>
                <w:lang w:val="da-DK"/>
              </w:rPr>
            </w:pPr>
            <w:proofErr w:type="spellStart"/>
            <w:r w:rsidRPr="00374098">
              <w:rPr>
                <w:b/>
                <w:sz w:val="20"/>
                <w:szCs w:val="20"/>
                <w:lang w:val="da-DK"/>
              </w:rPr>
              <w:t>Lurasidon</w:t>
            </w:r>
            <w:proofErr w:type="spellEnd"/>
            <w:r w:rsidRPr="00374098">
              <w:rPr>
                <w:b/>
                <w:sz w:val="20"/>
                <w:szCs w:val="20"/>
                <w:lang w:val="da-DK"/>
              </w:rPr>
              <w:t>-dosis</w:t>
            </w:r>
            <w:r w:rsidRPr="00374098">
              <w:rPr>
                <w:b/>
                <w:spacing w:val="-13"/>
                <w:sz w:val="20"/>
                <w:szCs w:val="20"/>
                <w:lang w:val="da-DK"/>
              </w:rPr>
              <w:t xml:space="preserve"> </w:t>
            </w:r>
            <w:r w:rsidRPr="00374098">
              <w:rPr>
                <w:b/>
                <w:spacing w:val="-5"/>
                <w:sz w:val="20"/>
                <w:szCs w:val="20"/>
                <w:lang w:val="da-DK"/>
              </w:rPr>
              <w:t>(a)</w:t>
            </w:r>
          </w:p>
        </w:tc>
      </w:tr>
      <w:tr w:rsidR="00314C3D" w:rsidRPr="00374098" w14:paraId="3425C3B8" w14:textId="77777777" w:rsidTr="00212B5E">
        <w:trPr>
          <w:trHeight w:val="252"/>
        </w:trPr>
        <w:tc>
          <w:tcPr>
            <w:tcW w:w="1814" w:type="pct"/>
            <w:vMerge/>
            <w:tcBorders>
              <w:top w:val="single" w:sz="8" w:space="0" w:color="000000"/>
              <w:left w:val="single" w:sz="8" w:space="0" w:color="000000"/>
              <w:bottom w:val="single" w:sz="8" w:space="0" w:color="000000"/>
              <w:right w:val="single" w:sz="8" w:space="0" w:color="000000"/>
            </w:tcBorders>
            <w:vAlign w:val="center"/>
            <w:hideMark/>
          </w:tcPr>
          <w:p w14:paraId="53F0578C" w14:textId="77777777" w:rsidR="00314C3D" w:rsidRPr="00374098" w:rsidRDefault="00314C3D">
            <w:pPr>
              <w:rPr>
                <w:b/>
                <w:sz w:val="20"/>
              </w:rPr>
            </w:pPr>
          </w:p>
        </w:tc>
        <w:tc>
          <w:tcPr>
            <w:tcW w:w="942" w:type="pct"/>
            <w:vMerge/>
            <w:tcBorders>
              <w:top w:val="single" w:sz="8" w:space="0" w:color="000000"/>
              <w:left w:val="single" w:sz="8" w:space="0" w:color="000000"/>
              <w:bottom w:val="single" w:sz="8" w:space="0" w:color="000000"/>
              <w:right w:val="single" w:sz="8" w:space="0" w:color="000000"/>
            </w:tcBorders>
            <w:vAlign w:val="center"/>
            <w:hideMark/>
          </w:tcPr>
          <w:p w14:paraId="465B704C" w14:textId="77777777" w:rsidR="00314C3D" w:rsidRPr="00374098" w:rsidRDefault="00314C3D">
            <w:pPr>
              <w:rPr>
                <w:b/>
                <w:sz w:val="20"/>
              </w:rPr>
            </w:pPr>
          </w:p>
        </w:tc>
        <w:tc>
          <w:tcPr>
            <w:tcW w:w="1215" w:type="pct"/>
            <w:tcBorders>
              <w:top w:val="single" w:sz="8" w:space="0" w:color="000000"/>
              <w:left w:val="single" w:sz="8" w:space="0" w:color="000000"/>
              <w:bottom w:val="single" w:sz="8" w:space="0" w:color="000000"/>
              <w:right w:val="single" w:sz="8" w:space="0" w:color="000000"/>
            </w:tcBorders>
            <w:hideMark/>
          </w:tcPr>
          <w:p w14:paraId="3CEFF6AA" w14:textId="77777777" w:rsidR="00314C3D" w:rsidRPr="00374098" w:rsidRDefault="00314C3D">
            <w:pPr>
              <w:pStyle w:val="TableParagraph"/>
              <w:spacing w:line="233" w:lineRule="exact"/>
              <w:ind w:left="114"/>
              <w:rPr>
                <w:b/>
                <w:sz w:val="20"/>
                <w:szCs w:val="20"/>
                <w:lang w:val="da-DK"/>
              </w:rPr>
            </w:pPr>
            <w:r w:rsidRPr="00374098">
              <w:rPr>
                <w:b/>
                <w:sz w:val="20"/>
                <w:szCs w:val="20"/>
                <w:lang w:val="da-DK"/>
              </w:rPr>
              <w:t xml:space="preserve">37 </w:t>
            </w:r>
            <w:r w:rsidRPr="00374098">
              <w:rPr>
                <w:b/>
                <w:spacing w:val="-5"/>
                <w:sz w:val="20"/>
                <w:szCs w:val="20"/>
                <w:lang w:val="da-DK"/>
              </w:rPr>
              <w:t>mg</w:t>
            </w:r>
          </w:p>
        </w:tc>
        <w:tc>
          <w:tcPr>
            <w:tcW w:w="1029" w:type="pct"/>
            <w:tcBorders>
              <w:top w:val="single" w:sz="8" w:space="0" w:color="000000"/>
              <w:left w:val="single" w:sz="8" w:space="0" w:color="000000"/>
              <w:bottom w:val="single" w:sz="8" w:space="0" w:color="000000"/>
              <w:right w:val="single" w:sz="8" w:space="0" w:color="000000"/>
            </w:tcBorders>
            <w:hideMark/>
          </w:tcPr>
          <w:p w14:paraId="5CD6B68A" w14:textId="77777777" w:rsidR="00314C3D" w:rsidRPr="00374098" w:rsidRDefault="00314C3D">
            <w:pPr>
              <w:pStyle w:val="TableParagraph"/>
              <w:spacing w:line="233" w:lineRule="exact"/>
              <w:ind w:left="115"/>
              <w:rPr>
                <w:b/>
                <w:sz w:val="20"/>
                <w:szCs w:val="20"/>
                <w:lang w:val="da-DK"/>
              </w:rPr>
            </w:pPr>
            <w:r w:rsidRPr="00374098">
              <w:rPr>
                <w:b/>
                <w:sz w:val="20"/>
                <w:szCs w:val="20"/>
                <w:lang w:val="da-DK"/>
              </w:rPr>
              <w:t xml:space="preserve">74 </w:t>
            </w:r>
            <w:r w:rsidRPr="00374098">
              <w:rPr>
                <w:b/>
                <w:spacing w:val="-5"/>
                <w:sz w:val="20"/>
                <w:szCs w:val="20"/>
                <w:lang w:val="da-DK"/>
              </w:rPr>
              <w:t>mg</w:t>
            </w:r>
          </w:p>
        </w:tc>
      </w:tr>
      <w:tr w:rsidR="00314C3D" w:rsidRPr="00374098" w14:paraId="18ED3A62" w14:textId="77777777" w:rsidTr="00212B5E">
        <w:trPr>
          <w:trHeight w:val="257"/>
        </w:trPr>
        <w:tc>
          <w:tcPr>
            <w:tcW w:w="1814" w:type="pct"/>
            <w:tcBorders>
              <w:top w:val="single" w:sz="8" w:space="0" w:color="000000"/>
              <w:left w:val="single" w:sz="8" w:space="0" w:color="000000"/>
              <w:bottom w:val="nil"/>
              <w:right w:val="single" w:sz="8" w:space="0" w:color="000000"/>
            </w:tcBorders>
            <w:hideMark/>
          </w:tcPr>
          <w:p w14:paraId="27D23FCA" w14:textId="77777777" w:rsidR="00314C3D" w:rsidRPr="00374098" w:rsidRDefault="00314C3D">
            <w:pPr>
              <w:pStyle w:val="TableParagraph"/>
              <w:spacing w:line="238" w:lineRule="exact"/>
              <w:ind w:left="115"/>
              <w:rPr>
                <w:sz w:val="20"/>
                <w:szCs w:val="20"/>
                <w:lang w:val="da-DK"/>
              </w:rPr>
            </w:pPr>
            <w:r w:rsidRPr="00374098">
              <w:rPr>
                <w:sz w:val="20"/>
                <w:szCs w:val="20"/>
                <w:lang w:val="da-DK"/>
              </w:rPr>
              <w:t xml:space="preserve">Studie </w:t>
            </w:r>
            <w:r w:rsidRPr="00374098">
              <w:rPr>
                <w:spacing w:val="-2"/>
                <w:sz w:val="20"/>
                <w:szCs w:val="20"/>
                <w:lang w:val="da-DK"/>
              </w:rPr>
              <w:t>D1050301</w:t>
            </w:r>
          </w:p>
        </w:tc>
        <w:tc>
          <w:tcPr>
            <w:tcW w:w="942" w:type="pct"/>
            <w:tcBorders>
              <w:top w:val="single" w:sz="8" w:space="0" w:color="000000"/>
              <w:left w:val="single" w:sz="8" w:space="0" w:color="000000"/>
              <w:bottom w:val="nil"/>
              <w:right w:val="single" w:sz="8" w:space="0" w:color="000000"/>
            </w:tcBorders>
            <w:hideMark/>
          </w:tcPr>
          <w:p w14:paraId="47E5E8F9" w14:textId="77777777" w:rsidR="00314C3D" w:rsidRPr="00374098" w:rsidRDefault="00314C3D">
            <w:pPr>
              <w:pStyle w:val="TableParagraph"/>
              <w:spacing w:line="238" w:lineRule="exact"/>
              <w:ind w:left="114"/>
              <w:rPr>
                <w:sz w:val="20"/>
                <w:szCs w:val="20"/>
                <w:lang w:val="da-DK"/>
              </w:rPr>
            </w:pPr>
            <w:r w:rsidRPr="00374098">
              <w:rPr>
                <w:spacing w:val="-2"/>
                <w:sz w:val="20"/>
                <w:szCs w:val="20"/>
                <w:lang w:val="da-DK"/>
              </w:rPr>
              <w:t>N=112</w:t>
            </w:r>
          </w:p>
        </w:tc>
        <w:tc>
          <w:tcPr>
            <w:tcW w:w="1215" w:type="pct"/>
            <w:tcBorders>
              <w:top w:val="single" w:sz="8" w:space="0" w:color="000000"/>
              <w:left w:val="single" w:sz="8" w:space="0" w:color="000000"/>
              <w:bottom w:val="nil"/>
              <w:right w:val="single" w:sz="8" w:space="0" w:color="000000"/>
            </w:tcBorders>
            <w:hideMark/>
          </w:tcPr>
          <w:p w14:paraId="5A2761F6" w14:textId="77777777" w:rsidR="00314C3D" w:rsidRPr="00374098" w:rsidRDefault="00314C3D">
            <w:pPr>
              <w:pStyle w:val="TableParagraph"/>
              <w:spacing w:line="238" w:lineRule="exact"/>
              <w:ind w:left="114"/>
              <w:rPr>
                <w:sz w:val="20"/>
                <w:szCs w:val="20"/>
                <w:lang w:val="da-DK"/>
              </w:rPr>
            </w:pPr>
            <w:r w:rsidRPr="00374098">
              <w:rPr>
                <w:spacing w:val="-2"/>
                <w:sz w:val="20"/>
                <w:szCs w:val="20"/>
                <w:lang w:val="da-DK"/>
              </w:rPr>
              <w:t>N=108</w:t>
            </w:r>
          </w:p>
        </w:tc>
        <w:tc>
          <w:tcPr>
            <w:tcW w:w="1029" w:type="pct"/>
            <w:tcBorders>
              <w:top w:val="single" w:sz="8" w:space="0" w:color="000000"/>
              <w:left w:val="single" w:sz="8" w:space="0" w:color="000000"/>
              <w:bottom w:val="nil"/>
              <w:right w:val="single" w:sz="8" w:space="0" w:color="000000"/>
            </w:tcBorders>
            <w:hideMark/>
          </w:tcPr>
          <w:p w14:paraId="33E5FB7A" w14:textId="77777777" w:rsidR="00314C3D" w:rsidRPr="00374098" w:rsidRDefault="00314C3D">
            <w:pPr>
              <w:pStyle w:val="TableParagraph"/>
              <w:spacing w:line="238" w:lineRule="exact"/>
              <w:ind w:left="115"/>
              <w:rPr>
                <w:sz w:val="20"/>
                <w:szCs w:val="20"/>
                <w:lang w:val="da-DK"/>
              </w:rPr>
            </w:pPr>
            <w:r w:rsidRPr="00374098">
              <w:rPr>
                <w:spacing w:val="-2"/>
                <w:sz w:val="20"/>
                <w:szCs w:val="20"/>
                <w:lang w:val="da-DK"/>
              </w:rPr>
              <w:t>N=106</w:t>
            </w:r>
          </w:p>
        </w:tc>
      </w:tr>
      <w:tr w:rsidR="00314C3D" w:rsidRPr="00374098" w14:paraId="5218C067" w14:textId="77777777" w:rsidTr="00212B5E">
        <w:trPr>
          <w:trHeight w:val="252"/>
        </w:trPr>
        <w:tc>
          <w:tcPr>
            <w:tcW w:w="1814" w:type="pct"/>
            <w:tcBorders>
              <w:top w:val="nil"/>
              <w:left w:val="single" w:sz="8" w:space="0" w:color="000000"/>
              <w:bottom w:val="nil"/>
              <w:right w:val="single" w:sz="8" w:space="0" w:color="000000"/>
            </w:tcBorders>
            <w:hideMark/>
          </w:tcPr>
          <w:p w14:paraId="5FE58AE1" w14:textId="77777777" w:rsidR="00314C3D" w:rsidRPr="00374098" w:rsidRDefault="00314C3D">
            <w:pPr>
              <w:pStyle w:val="TableParagraph"/>
              <w:spacing w:line="233" w:lineRule="exact"/>
              <w:ind w:left="402"/>
              <w:rPr>
                <w:sz w:val="20"/>
                <w:szCs w:val="20"/>
                <w:lang w:val="da-DK"/>
              </w:rPr>
            </w:pPr>
            <w:r w:rsidRPr="00374098">
              <w:rPr>
                <w:sz w:val="20"/>
                <w:szCs w:val="20"/>
                <w:lang w:val="da-DK"/>
              </w:rPr>
              <w:t>Baseline,</w:t>
            </w:r>
            <w:r w:rsidRPr="00374098">
              <w:rPr>
                <w:spacing w:val="-1"/>
                <w:sz w:val="20"/>
                <w:szCs w:val="20"/>
                <w:lang w:val="da-DK"/>
              </w:rPr>
              <w:t xml:space="preserve"> </w:t>
            </w:r>
            <w:r w:rsidRPr="00374098">
              <w:rPr>
                <w:sz w:val="20"/>
                <w:szCs w:val="20"/>
                <w:lang w:val="da-DK"/>
              </w:rPr>
              <w:t xml:space="preserve">middel </w:t>
            </w:r>
            <w:r w:rsidRPr="00374098">
              <w:rPr>
                <w:spacing w:val="-4"/>
                <w:sz w:val="20"/>
                <w:szCs w:val="20"/>
                <w:lang w:val="da-DK"/>
              </w:rPr>
              <w:t>(SD)</w:t>
            </w:r>
          </w:p>
        </w:tc>
        <w:tc>
          <w:tcPr>
            <w:tcW w:w="942" w:type="pct"/>
            <w:tcBorders>
              <w:top w:val="nil"/>
              <w:left w:val="single" w:sz="8" w:space="0" w:color="000000"/>
              <w:bottom w:val="nil"/>
              <w:right w:val="single" w:sz="8" w:space="0" w:color="000000"/>
            </w:tcBorders>
            <w:hideMark/>
          </w:tcPr>
          <w:p w14:paraId="040DCC4F" w14:textId="77777777" w:rsidR="00314C3D" w:rsidRPr="00374098" w:rsidRDefault="00314C3D">
            <w:pPr>
              <w:pStyle w:val="TableParagraph"/>
              <w:spacing w:line="233" w:lineRule="exact"/>
              <w:ind w:left="114"/>
              <w:rPr>
                <w:sz w:val="20"/>
                <w:szCs w:val="20"/>
                <w:lang w:val="da-DK"/>
              </w:rPr>
            </w:pPr>
            <w:r w:rsidRPr="00374098">
              <w:rPr>
                <w:sz w:val="20"/>
                <w:szCs w:val="20"/>
                <w:lang w:val="da-DK"/>
              </w:rPr>
              <w:t xml:space="preserve">92,8 </w:t>
            </w:r>
            <w:r w:rsidRPr="00374098">
              <w:rPr>
                <w:spacing w:val="-2"/>
                <w:sz w:val="20"/>
                <w:szCs w:val="20"/>
                <w:lang w:val="da-DK"/>
              </w:rPr>
              <w:t>(11,08)</w:t>
            </w:r>
          </w:p>
        </w:tc>
        <w:tc>
          <w:tcPr>
            <w:tcW w:w="1215" w:type="pct"/>
            <w:tcBorders>
              <w:top w:val="nil"/>
              <w:left w:val="single" w:sz="8" w:space="0" w:color="000000"/>
              <w:bottom w:val="nil"/>
              <w:right w:val="single" w:sz="8" w:space="0" w:color="000000"/>
            </w:tcBorders>
            <w:hideMark/>
          </w:tcPr>
          <w:p w14:paraId="20639BC3" w14:textId="77777777" w:rsidR="00314C3D" w:rsidRPr="00374098" w:rsidRDefault="00314C3D">
            <w:pPr>
              <w:pStyle w:val="TableParagraph"/>
              <w:spacing w:line="233" w:lineRule="exact"/>
              <w:ind w:left="114"/>
              <w:rPr>
                <w:sz w:val="20"/>
                <w:szCs w:val="20"/>
                <w:lang w:val="da-DK"/>
              </w:rPr>
            </w:pPr>
            <w:r w:rsidRPr="00374098">
              <w:rPr>
                <w:sz w:val="20"/>
                <w:szCs w:val="20"/>
                <w:lang w:val="da-DK"/>
              </w:rPr>
              <w:t xml:space="preserve">94,5 </w:t>
            </w:r>
            <w:r w:rsidRPr="00374098">
              <w:rPr>
                <w:spacing w:val="-2"/>
                <w:sz w:val="20"/>
                <w:szCs w:val="20"/>
                <w:lang w:val="da-DK"/>
              </w:rPr>
              <w:t>(10,97)</w:t>
            </w:r>
          </w:p>
        </w:tc>
        <w:tc>
          <w:tcPr>
            <w:tcW w:w="1029" w:type="pct"/>
            <w:tcBorders>
              <w:top w:val="nil"/>
              <w:left w:val="single" w:sz="8" w:space="0" w:color="000000"/>
              <w:bottom w:val="nil"/>
              <w:right w:val="single" w:sz="8" w:space="0" w:color="000000"/>
            </w:tcBorders>
            <w:hideMark/>
          </w:tcPr>
          <w:p w14:paraId="285B4FFF" w14:textId="77777777" w:rsidR="00314C3D" w:rsidRPr="00374098" w:rsidRDefault="00314C3D">
            <w:pPr>
              <w:pStyle w:val="TableParagraph"/>
              <w:spacing w:line="233" w:lineRule="exact"/>
              <w:ind w:left="115"/>
              <w:rPr>
                <w:sz w:val="20"/>
                <w:szCs w:val="20"/>
                <w:lang w:val="da-DK"/>
              </w:rPr>
            </w:pPr>
            <w:r w:rsidRPr="00374098">
              <w:rPr>
                <w:sz w:val="20"/>
                <w:szCs w:val="20"/>
                <w:lang w:val="da-DK"/>
              </w:rPr>
              <w:t xml:space="preserve">94,0 </w:t>
            </w:r>
            <w:r w:rsidRPr="00374098">
              <w:rPr>
                <w:spacing w:val="-2"/>
                <w:sz w:val="20"/>
                <w:szCs w:val="20"/>
                <w:lang w:val="da-DK"/>
              </w:rPr>
              <w:t>(11,12)</w:t>
            </w:r>
          </w:p>
        </w:tc>
      </w:tr>
      <w:tr w:rsidR="00314C3D" w:rsidRPr="00374098" w14:paraId="4C61CDC9" w14:textId="77777777" w:rsidTr="00212B5E">
        <w:trPr>
          <w:trHeight w:val="252"/>
        </w:trPr>
        <w:tc>
          <w:tcPr>
            <w:tcW w:w="1814" w:type="pct"/>
            <w:tcBorders>
              <w:top w:val="nil"/>
              <w:left w:val="single" w:sz="8" w:space="0" w:color="000000"/>
              <w:bottom w:val="nil"/>
              <w:right w:val="single" w:sz="8" w:space="0" w:color="000000"/>
            </w:tcBorders>
            <w:hideMark/>
          </w:tcPr>
          <w:p w14:paraId="1A9A164C" w14:textId="77777777" w:rsidR="00314C3D" w:rsidRPr="00374098" w:rsidRDefault="00314C3D">
            <w:pPr>
              <w:pStyle w:val="TableParagraph"/>
              <w:spacing w:line="233" w:lineRule="exact"/>
              <w:ind w:left="402"/>
              <w:rPr>
                <w:sz w:val="20"/>
                <w:szCs w:val="20"/>
                <w:lang w:val="da-DK"/>
              </w:rPr>
            </w:pPr>
            <w:r w:rsidRPr="00374098">
              <w:rPr>
                <w:sz w:val="20"/>
                <w:szCs w:val="20"/>
                <w:lang w:val="da-DK"/>
              </w:rPr>
              <w:t>LS-</w:t>
            </w:r>
            <w:r w:rsidRPr="00374098">
              <w:rPr>
                <w:spacing w:val="-1"/>
                <w:sz w:val="20"/>
                <w:szCs w:val="20"/>
                <w:lang w:val="da-DK"/>
              </w:rPr>
              <w:t xml:space="preserve"> </w:t>
            </w:r>
            <w:r w:rsidRPr="00374098">
              <w:rPr>
                <w:sz w:val="20"/>
                <w:szCs w:val="20"/>
                <w:lang w:val="da-DK"/>
              </w:rPr>
              <w:t xml:space="preserve">middelændring </w:t>
            </w:r>
            <w:r w:rsidRPr="00374098">
              <w:rPr>
                <w:spacing w:val="-4"/>
                <w:sz w:val="20"/>
                <w:szCs w:val="20"/>
                <w:lang w:val="da-DK"/>
              </w:rPr>
              <w:t>(SE)</w:t>
            </w:r>
          </w:p>
        </w:tc>
        <w:tc>
          <w:tcPr>
            <w:tcW w:w="942" w:type="pct"/>
            <w:tcBorders>
              <w:top w:val="nil"/>
              <w:left w:val="single" w:sz="8" w:space="0" w:color="000000"/>
              <w:bottom w:val="nil"/>
              <w:right w:val="single" w:sz="8" w:space="0" w:color="000000"/>
            </w:tcBorders>
            <w:hideMark/>
          </w:tcPr>
          <w:p w14:paraId="24562426" w14:textId="77777777" w:rsidR="00314C3D" w:rsidRPr="00374098" w:rsidRDefault="00314C3D">
            <w:pPr>
              <w:pStyle w:val="TableParagraph"/>
              <w:spacing w:line="233" w:lineRule="exact"/>
              <w:ind w:left="114"/>
              <w:rPr>
                <w:sz w:val="20"/>
                <w:szCs w:val="20"/>
                <w:lang w:val="da-DK"/>
              </w:rPr>
            </w:pPr>
            <w:r w:rsidRPr="00374098">
              <w:rPr>
                <w:sz w:val="20"/>
                <w:szCs w:val="20"/>
                <w:lang w:val="da-DK"/>
              </w:rPr>
              <w:t xml:space="preserve">-10,5 </w:t>
            </w:r>
            <w:r w:rsidRPr="00374098">
              <w:rPr>
                <w:spacing w:val="-2"/>
                <w:sz w:val="20"/>
                <w:szCs w:val="20"/>
                <w:lang w:val="da-DK"/>
              </w:rPr>
              <w:t>(1,59)</w:t>
            </w:r>
          </w:p>
        </w:tc>
        <w:tc>
          <w:tcPr>
            <w:tcW w:w="1215" w:type="pct"/>
            <w:tcBorders>
              <w:top w:val="nil"/>
              <w:left w:val="single" w:sz="8" w:space="0" w:color="000000"/>
              <w:bottom w:val="nil"/>
              <w:right w:val="single" w:sz="8" w:space="0" w:color="000000"/>
            </w:tcBorders>
            <w:hideMark/>
          </w:tcPr>
          <w:p w14:paraId="17B584AC" w14:textId="77777777" w:rsidR="00314C3D" w:rsidRPr="00374098" w:rsidRDefault="00314C3D">
            <w:pPr>
              <w:pStyle w:val="TableParagraph"/>
              <w:spacing w:line="233" w:lineRule="exact"/>
              <w:ind w:left="114"/>
              <w:rPr>
                <w:sz w:val="20"/>
                <w:szCs w:val="20"/>
                <w:lang w:val="da-DK"/>
              </w:rPr>
            </w:pPr>
            <w:r w:rsidRPr="00374098">
              <w:rPr>
                <w:sz w:val="20"/>
                <w:szCs w:val="20"/>
                <w:lang w:val="da-DK"/>
              </w:rPr>
              <w:t xml:space="preserve">-18,6 </w:t>
            </w:r>
            <w:r w:rsidRPr="00374098">
              <w:rPr>
                <w:spacing w:val="-2"/>
                <w:sz w:val="20"/>
                <w:szCs w:val="20"/>
                <w:lang w:val="da-DK"/>
              </w:rPr>
              <w:t>(1,59)</w:t>
            </w:r>
          </w:p>
        </w:tc>
        <w:tc>
          <w:tcPr>
            <w:tcW w:w="1029" w:type="pct"/>
            <w:tcBorders>
              <w:top w:val="nil"/>
              <w:left w:val="single" w:sz="8" w:space="0" w:color="000000"/>
              <w:bottom w:val="nil"/>
              <w:right w:val="single" w:sz="8" w:space="0" w:color="000000"/>
            </w:tcBorders>
            <w:hideMark/>
          </w:tcPr>
          <w:p w14:paraId="29AF7D2C" w14:textId="77777777" w:rsidR="00314C3D" w:rsidRPr="00374098" w:rsidRDefault="00314C3D">
            <w:pPr>
              <w:pStyle w:val="TableParagraph"/>
              <w:spacing w:line="233" w:lineRule="exact"/>
              <w:ind w:left="115"/>
              <w:rPr>
                <w:sz w:val="20"/>
                <w:szCs w:val="20"/>
                <w:lang w:val="da-DK"/>
              </w:rPr>
            </w:pPr>
            <w:r w:rsidRPr="00374098">
              <w:rPr>
                <w:sz w:val="20"/>
                <w:szCs w:val="20"/>
                <w:lang w:val="da-DK"/>
              </w:rPr>
              <w:t xml:space="preserve">-18,3 </w:t>
            </w:r>
            <w:r w:rsidRPr="00374098">
              <w:rPr>
                <w:spacing w:val="-2"/>
                <w:sz w:val="20"/>
                <w:szCs w:val="20"/>
                <w:lang w:val="da-DK"/>
              </w:rPr>
              <w:t>(1,60)</w:t>
            </w:r>
          </w:p>
        </w:tc>
      </w:tr>
      <w:tr w:rsidR="00314C3D" w:rsidRPr="00374098" w14:paraId="0994C45E" w14:textId="77777777" w:rsidTr="00212B5E">
        <w:trPr>
          <w:trHeight w:val="252"/>
        </w:trPr>
        <w:tc>
          <w:tcPr>
            <w:tcW w:w="1814" w:type="pct"/>
            <w:tcBorders>
              <w:top w:val="nil"/>
              <w:left w:val="single" w:sz="8" w:space="0" w:color="000000"/>
              <w:bottom w:val="nil"/>
              <w:right w:val="single" w:sz="8" w:space="0" w:color="000000"/>
            </w:tcBorders>
            <w:hideMark/>
          </w:tcPr>
          <w:p w14:paraId="5F2078D3" w14:textId="77777777" w:rsidR="00314C3D" w:rsidRPr="00374098" w:rsidRDefault="00314C3D">
            <w:pPr>
              <w:pStyle w:val="TableParagraph"/>
              <w:spacing w:line="233" w:lineRule="exact"/>
              <w:ind w:left="115"/>
              <w:rPr>
                <w:sz w:val="20"/>
                <w:szCs w:val="20"/>
                <w:lang w:val="da-DK"/>
              </w:rPr>
            </w:pPr>
            <w:r w:rsidRPr="00374098">
              <w:rPr>
                <w:sz w:val="20"/>
                <w:szCs w:val="20"/>
                <w:lang w:val="da-DK"/>
              </w:rPr>
              <w:t>Behandlingsforskel</w:t>
            </w:r>
            <w:r w:rsidRPr="00374098">
              <w:rPr>
                <w:spacing w:val="-3"/>
                <w:sz w:val="20"/>
                <w:szCs w:val="20"/>
                <w:lang w:val="da-DK"/>
              </w:rPr>
              <w:t xml:space="preserve"> </w:t>
            </w:r>
            <w:r w:rsidRPr="00374098">
              <w:rPr>
                <w:sz w:val="20"/>
                <w:szCs w:val="20"/>
                <w:lang w:val="da-DK"/>
              </w:rPr>
              <w:t>vs.</w:t>
            </w:r>
            <w:r w:rsidRPr="00374098">
              <w:rPr>
                <w:spacing w:val="-2"/>
                <w:sz w:val="20"/>
                <w:szCs w:val="20"/>
                <w:lang w:val="da-DK"/>
              </w:rPr>
              <w:t xml:space="preserve"> placebo</w:t>
            </w:r>
          </w:p>
        </w:tc>
        <w:tc>
          <w:tcPr>
            <w:tcW w:w="942" w:type="pct"/>
            <w:tcBorders>
              <w:top w:val="nil"/>
              <w:left w:val="single" w:sz="8" w:space="0" w:color="000000"/>
              <w:bottom w:val="nil"/>
              <w:right w:val="single" w:sz="8" w:space="0" w:color="000000"/>
            </w:tcBorders>
          </w:tcPr>
          <w:p w14:paraId="7BC82A90" w14:textId="77777777" w:rsidR="00314C3D" w:rsidRPr="00374098" w:rsidRDefault="00314C3D">
            <w:pPr>
              <w:pStyle w:val="TableParagraph"/>
              <w:rPr>
                <w:sz w:val="20"/>
                <w:szCs w:val="20"/>
                <w:lang w:val="da-DK"/>
              </w:rPr>
            </w:pPr>
          </w:p>
        </w:tc>
        <w:tc>
          <w:tcPr>
            <w:tcW w:w="1215" w:type="pct"/>
            <w:tcBorders>
              <w:top w:val="nil"/>
              <w:left w:val="single" w:sz="8" w:space="0" w:color="000000"/>
              <w:bottom w:val="nil"/>
              <w:right w:val="single" w:sz="8" w:space="0" w:color="000000"/>
            </w:tcBorders>
          </w:tcPr>
          <w:p w14:paraId="4915D671" w14:textId="77777777" w:rsidR="00314C3D" w:rsidRPr="00374098" w:rsidRDefault="00314C3D">
            <w:pPr>
              <w:pStyle w:val="TableParagraph"/>
              <w:rPr>
                <w:sz w:val="20"/>
                <w:szCs w:val="20"/>
                <w:lang w:val="da-DK"/>
              </w:rPr>
            </w:pPr>
          </w:p>
        </w:tc>
        <w:tc>
          <w:tcPr>
            <w:tcW w:w="1029" w:type="pct"/>
            <w:tcBorders>
              <w:top w:val="nil"/>
              <w:left w:val="single" w:sz="8" w:space="0" w:color="000000"/>
              <w:bottom w:val="nil"/>
              <w:right w:val="single" w:sz="8" w:space="0" w:color="000000"/>
            </w:tcBorders>
          </w:tcPr>
          <w:p w14:paraId="65D077E7" w14:textId="77777777" w:rsidR="00314C3D" w:rsidRPr="00374098" w:rsidRDefault="00314C3D">
            <w:pPr>
              <w:pStyle w:val="TableParagraph"/>
              <w:rPr>
                <w:sz w:val="20"/>
                <w:szCs w:val="20"/>
                <w:lang w:val="da-DK"/>
              </w:rPr>
            </w:pPr>
          </w:p>
        </w:tc>
      </w:tr>
      <w:tr w:rsidR="00314C3D" w:rsidRPr="00374098" w14:paraId="2707559F" w14:textId="77777777" w:rsidTr="00212B5E">
        <w:trPr>
          <w:trHeight w:val="252"/>
        </w:trPr>
        <w:tc>
          <w:tcPr>
            <w:tcW w:w="1814" w:type="pct"/>
            <w:tcBorders>
              <w:top w:val="nil"/>
              <w:left w:val="single" w:sz="8" w:space="0" w:color="000000"/>
              <w:bottom w:val="nil"/>
              <w:right w:val="single" w:sz="8" w:space="0" w:color="000000"/>
            </w:tcBorders>
            <w:hideMark/>
          </w:tcPr>
          <w:p w14:paraId="2B3E0FC2" w14:textId="77777777" w:rsidR="00314C3D" w:rsidRPr="00374098" w:rsidRDefault="00314C3D">
            <w:pPr>
              <w:pStyle w:val="TableParagraph"/>
              <w:spacing w:line="233" w:lineRule="exact"/>
              <w:ind w:left="402"/>
              <w:rPr>
                <w:sz w:val="20"/>
                <w:szCs w:val="20"/>
                <w:lang w:val="da-DK"/>
              </w:rPr>
            </w:pPr>
            <w:r w:rsidRPr="00374098">
              <w:rPr>
                <w:sz w:val="20"/>
                <w:szCs w:val="20"/>
                <w:lang w:val="da-DK"/>
              </w:rPr>
              <w:t>Estimat</w:t>
            </w:r>
            <w:r w:rsidRPr="00374098">
              <w:rPr>
                <w:spacing w:val="-1"/>
                <w:sz w:val="20"/>
                <w:szCs w:val="20"/>
                <w:lang w:val="da-DK"/>
              </w:rPr>
              <w:t xml:space="preserve"> </w:t>
            </w:r>
            <w:r w:rsidRPr="00374098">
              <w:rPr>
                <w:spacing w:val="-4"/>
                <w:sz w:val="20"/>
                <w:szCs w:val="20"/>
                <w:lang w:val="da-DK"/>
              </w:rPr>
              <w:t>(SE)</w:t>
            </w:r>
          </w:p>
        </w:tc>
        <w:tc>
          <w:tcPr>
            <w:tcW w:w="942" w:type="pct"/>
            <w:tcBorders>
              <w:top w:val="nil"/>
              <w:left w:val="single" w:sz="8" w:space="0" w:color="000000"/>
              <w:bottom w:val="nil"/>
              <w:right w:val="single" w:sz="8" w:space="0" w:color="000000"/>
            </w:tcBorders>
            <w:hideMark/>
          </w:tcPr>
          <w:p w14:paraId="06EF5581" w14:textId="77777777" w:rsidR="00314C3D" w:rsidRPr="00374098" w:rsidRDefault="00314C3D">
            <w:pPr>
              <w:pStyle w:val="TableParagraph"/>
              <w:spacing w:line="233" w:lineRule="exact"/>
              <w:ind w:left="114"/>
              <w:rPr>
                <w:sz w:val="20"/>
                <w:szCs w:val="20"/>
                <w:lang w:val="da-DK"/>
              </w:rPr>
            </w:pPr>
            <w:r w:rsidRPr="00374098">
              <w:rPr>
                <w:sz w:val="20"/>
                <w:szCs w:val="20"/>
                <w:lang w:val="da-DK"/>
              </w:rPr>
              <w:t>-</w:t>
            </w:r>
            <w:r w:rsidRPr="00374098">
              <w:rPr>
                <w:spacing w:val="-10"/>
                <w:sz w:val="20"/>
                <w:szCs w:val="20"/>
                <w:lang w:val="da-DK"/>
              </w:rPr>
              <w:t>-</w:t>
            </w:r>
          </w:p>
        </w:tc>
        <w:tc>
          <w:tcPr>
            <w:tcW w:w="1215" w:type="pct"/>
            <w:tcBorders>
              <w:top w:val="nil"/>
              <w:left w:val="single" w:sz="8" w:space="0" w:color="000000"/>
              <w:bottom w:val="nil"/>
              <w:right w:val="single" w:sz="8" w:space="0" w:color="000000"/>
            </w:tcBorders>
            <w:hideMark/>
          </w:tcPr>
          <w:p w14:paraId="26AFE90B" w14:textId="77777777" w:rsidR="00314C3D" w:rsidRPr="00374098" w:rsidRDefault="00314C3D">
            <w:pPr>
              <w:pStyle w:val="TableParagraph"/>
              <w:spacing w:line="233" w:lineRule="exact"/>
              <w:ind w:left="114"/>
              <w:rPr>
                <w:sz w:val="20"/>
                <w:szCs w:val="20"/>
                <w:lang w:val="da-DK"/>
              </w:rPr>
            </w:pPr>
            <w:r w:rsidRPr="00374098">
              <w:rPr>
                <w:sz w:val="20"/>
                <w:szCs w:val="20"/>
                <w:lang w:val="da-DK"/>
              </w:rPr>
              <w:t xml:space="preserve">-8,0 </w:t>
            </w:r>
            <w:r w:rsidRPr="00374098">
              <w:rPr>
                <w:spacing w:val="-2"/>
                <w:sz w:val="20"/>
                <w:szCs w:val="20"/>
                <w:lang w:val="da-DK"/>
              </w:rPr>
              <w:t>(2,21)</w:t>
            </w:r>
          </w:p>
        </w:tc>
        <w:tc>
          <w:tcPr>
            <w:tcW w:w="1029" w:type="pct"/>
            <w:tcBorders>
              <w:top w:val="nil"/>
              <w:left w:val="single" w:sz="8" w:space="0" w:color="000000"/>
              <w:bottom w:val="nil"/>
              <w:right w:val="single" w:sz="8" w:space="0" w:color="000000"/>
            </w:tcBorders>
            <w:hideMark/>
          </w:tcPr>
          <w:p w14:paraId="458C00CB" w14:textId="77777777" w:rsidR="00314C3D" w:rsidRPr="00374098" w:rsidRDefault="00314C3D">
            <w:pPr>
              <w:pStyle w:val="TableParagraph"/>
              <w:spacing w:line="233" w:lineRule="exact"/>
              <w:ind w:left="115"/>
              <w:rPr>
                <w:sz w:val="20"/>
                <w:szCs w:val="20"/>
                <w:lang w:val="da-DK"/>
              </w:rPr>
            </w:pPr>
            <w:r w:rsidRPr="00374098">
              <w:rPr>
                <w:sz w:val="20"/>
                <w:szCs w:val="20"/>
                <w:lang w:val="da-DK"/>
              </w:rPr>
              <w:t xml:space="preserve">-7,7 </w:t>
            </w:r>
            <w:r w:rsidRPr="00374098">
              <w:rPr>
                <w:spacing w:val="-2"/>
                <w:sz w:val="20"/>
                <w:szCs w:val="20"/>
                <w:lang w:val="da-DK"/>
              </w:rPr>
              <w:t>(2,22)</w:t>
            </w:r>
          </w:p>
        </w:tc>
      </w:tr>
      <w:tr w:rsidR="00314C3D" w:rsidRPr="00374098" w14:paraId="3DA176ED" w14:textId="77777777" w:rsidTr="00212B5E">
        <w:trPr>
          <w:trHeight w:val="248"/>
        </w:trPr>
        <w:tc>
          <w:tcPr>
            <w:tcW w:w="1814" w:type="pct"/>
            <w:tcBorders>
              <w:top w:val="nil"/>
              <w:left w:val="single" w:sz="8" w:space="0" w:color="000000"/>
              <w:bottom w:val="single" w:sz="4" w:space="0" w:color="000000"/>
              <w:right w:val="single" w:sz="8" w:space="0" w:color="000000"/>
            </w:tcBorders>
            <w:hideMark/>
          </w:tcPr>
          <w:p w14:paraId="5F6C817D" w14:textId="77777777" w:rsidR="00314C3D" w:rsidRPr="00374098" w:rsidRDefault="00314C3D">
            <w:pPr>
              <w:pStyle w:val="TableParagraph"/>
              <w:spacing w:line="228" w:lineRule="exact"/>
              <w:ind w:left="402"/>
              <w:rPr>
                <w:sz w:val="20"/>
                <w:szCs w:val="20"/>
                <w:lang w:val="da-DK"/>
              </w:rPr>
            </w:pPr>
            <w:proofErr w:type="spellStart"/>
            <w:r w:rsidRPr="00374098">
              <w:rPr>
                <w:sz w:val="20"/>
                <w:szCs w:val="20"/>
                <w:lang w:val="da-DK"/>
              </w:rPr>
              <w:t>p-</w:t>
            </w:r>
            <w:r w:rsidRPr="00374098">
              <w:rPr>
                <w:spacing w:val="-2"/>
                <w:sz w:val="20"/>
                <w:szCs w:val="20"/>
                <w:lang w:val="da-DK"/>
              </w:rPr>
              <w:t>værdi</w:t>
            </w:r>
            <w:proofErr w:type="spellEnd"/>
          </w:p>
        </w:tc>
        <w:tc>
          <w:tcPr>
            <w:tcW w:w="942" w:type="pct"/>
            <w:tcBorders>
              <w:top w:val="nil"/>
              <w:left w:val="single" w:sz="8" w:space="0" w:color="000000"/>
              <w:bottom w:val="single" w:sz="4" w:space="0" w:color="000000"/>
              <w:right w:val="single" w:sz="8" w:space="0" w:color="000000"/>
            </w:tcBorders>
            <w:hideMark/>
          </w:tcPr>
          <w:p w14:paraId="60B0723F" w14:textId="77777777" w:rsidR="00314C3D" w:rsidRPr="00374098" w:rsidRDefault="00314C3D">
            <w:pPr>
              <w:pStyle w:val="TableParagraph"/>
              <w:spacing w:line="228" w:lineRule="exact"/>
              <w:ind w:left="114"/>
              <w:rPr>
                <w:sz w:val="20"/>
                <w:szCs w:val="20"/>
                <w:lang w:val="da-DK"/>
              </w:rPr>
            </w:pPr>
            <w:r w:rsidRPr="00374098">
              <w:rPr>
                <w:sz w:val="20"/>
                <w:szCs w:val="20"/>
                <w:lang w:val="da-DK"/>
              </w:rPr>
              <w:t>-</w:t>
            </w:r>
            <w:r w:rsidRPr="00374098">
              <w:rPr>
                <w:spacing w:val="-10"/>
                <w:sz w:val="20"/>
                <w:szCs w:val="20"/>
                <w:lang w:val="da-DK"/>
              </w:rPr>
              <w:t>-</w:t>
            </w:r>
          </w:p>
        </w:tc>
        <w:tc>
          <w:tcPr>
            <w:tcW w:w="1215" w:type="pct"/>
            <w:tcBorders>
              <w:top w:val="nil"/>
              <w:left w:val="single" w:sz="8" w:space="0" w:color="000000"/>
              <w:bottom w:val="single" w:sz="4" w:space="0" w:color="000000"/>
              <w:right w:val="single" w:sz="8" w:space="0" w:color="000000"/>
            </w:tcBorders>
            <w:hideMark/>
          </w:tcPr>
          <w:p w14:paraId="6C1BD2EB" w14:textId="77777777" w:rsidR="00314C3D" w:rsidRPr="00374098" w:rsidRDefault="00314C3D">
            <w:pPr>
              <w:pStyle w:val="TableParagraph"/>
              <w:spacing w:line="228" w:lineRule="exact"/>
              <w:ind w:left="114"/>
              <w:rPr>
                <w:sz w:val="20"/>
                <w:szCs w:val="20"/>
                <w:lang w:val="da-DK"/>
              </w:rPr>
            </w:pPr>
            <w:r w:rsidRPr="00374098">
              <w:rPr>
                <w:spacing w:val="-2"/>
                <w:sz w:val="20"/>
                <w:szCs w:val="20"/>
                <w:lang w:val="da-DK"/>
              </w:rPr>
              <w:t>0,0006</w:t>
            </w:r>
          </w:p>
        </w:tc>
        <w:tc>
          <w:tcPr>
            <w:tcW w:w="1029" w:type="pct"/>
            <w:tcBorders>
              <w:top w:val="nil"/>
              <w:left w:val="single" w:sz="8" w:space="0" w:color="000000"/>
              <w:bottom w:val="single" w:sz="4" w:space="0" w:color="000000"/>
              <w:right w:val="single" w:sz="8" w:space="0" w:color="000000"/>
            </w:tcBorders>
            <w:hideMark/>
          </w:tcPr>
          <w:p w14:paraId="02778121" w14:textId="77777777" w:rsidR="00314C3D" w:rsidRPr="00374098" w:rsidRDefault="00314C3D">
            <w:pPr>
              <w:pStyle w:val="TableParagraph"/>
              <w:spacing w:line="228" w:lineRule="exact"/>
              <w:ind w:left="115"/>
              <w:rPr>
                <w:sz w:val="20"/>
                <w:szCs w:val="20"/>
                <w:lang w:val="da-DK"/>
              </w:rPr>
            </w:pPr>
            <w:r w:rsidRPr="00374098">
              <w:rPr>
                <w:spacing w:val="-2"/>
                <w:sz w:val="20"/>
                <w:szCs w:val="20"/>
                <w:lang w:val="da-DK"/>
              </w:rPr>
              <w:t>0,0008</w:t>
            </w:r>
          </w:p>
        </w:tc>
      </w:tr>
    </w:tbl>
    <w:p w14:paraId="765C34D1" w14:textId="77777777" w:rsidR="00314C3D" w:rsidRPr="00374098" w:rsidRDefault="00314C3D" w:rsidP="00314C3D">
      <w:pPr>
        <w:autoSpaceDE w:val="0"/>
        <w:autoSpaceDN w:val="0"/>
        <w:adjustRightInd w:val="0"/>
        <w:rPr>
          <w:sz w:val="20"/>
        </w:rPr>
      </w:pPr>
      <w:r w:rsidRPr="00374098">
        <w:rPr>
          <w:sz w:val="20"/>
        </w:rPr>
        <w:t>N er antallet af forsøgspersoner pr. modelestimat.</w:t>
      </w:r>
    </w:p>
    <w:p w14:paraId="4A633B26" w14:textId="77777777" w:rsidR="00314C3D" w:rsidRPr="00374098" w:rsidRDefault="00314C3D" w:rsidP="00314C3D">
      <w:pPr>
        <w:suppressAutoHyphens/>
        <w:rPr>
          <w:sz w:val="20"/>
        </w:rPr>
      </w:pPr>
      <w:r w:rsidRPr="00374098">
        <w:rPr>
          <w:sz w:val="20"/>
        </w:rPr>
        <w:t xml:space="preserve">(a) </w:t>
      </w:r>
      <w:proofErr w:type="spellStart"/>
      <w:r w:rsidRPr="00374098">
        <w:rPr>
          <w:sz w:val="20"/>
        </w:rPr>
        <w:t>p-værdier</w:t>
      </w:r>
      <w:proofErr w:type="spellEnd"/>
      <w:r w:rsidRPr="00374098">
        <w:rPr>
          <w:sz w:val="20"/>
        </w:rPr>
        <w:t xml:space="preserve"> for </w:t>
      </w:r>
      <w:proofErr w:type="spellStart"/>
      <w:r w:rsidRPr="00374098">
        <w:rPr>
          <w:sz w:val="20"/>
        </w:rPr>
        <w:t>lurasidon</w:t>
      </w:r>
      <w:proofErr w:type="spellEnd"/>
      <w:r w:rsidRPr="00374098">
        <w:rPr>
          <w:sz w:val="20"/>
        </w:rPr>
        <w:t xml:space="preserve"> vs. placebo blev justeret for multiple sammenligninger.</w:t>
      </w:r>
    </w:p>
    <w:p w14:paraId="5BE0F925" w14:textId="77777777" w:rsidR="00314C3D" w:rsidRPr="00212B5E" w:rsidRDefault="00314C3D" w:rsidP="00314C3D">
      <w:pPr>
        <w:suppressAutoHyphens/>
        <w:rPr>
          <w:sz w:val="24"/>
          <w:szCs w:val="24"/>
        </w:rPr>
      </w:pPr>
    </w:p>
    <w:p w14:paraId="2F1FE39D" w14:textId="1520A0C6" w:rsidR="00314C3D" w:rsidRPr="00212B5E" w:rsidRDefault="00314C3D" w:rsidP="00212B5E">
      <w:pPr>
        <w:ind w:left="851"/>
        <w:rPr>
          <w:sz w:val="24"/>
          <w:szCs w:val="24"/>
        </w:rPr>
      </w:pPr>
      <w:r w:rsidRPr="00212B5E">
        <w:rPr>
          <w:sz w:val="24"/>
          <w:szCs w:val="24"/>
        </w:rPr>
        <w:t>Forbedringerne i CGI-S-scorerne i uge 6 var væsentligt anderledes end for placebo for både</w:t>
      </w:r>
      <w:r w:rsidR="00374098">
        <w:rPr>
          <w:sz w:val="24"/>
          <w:szCs w:val="24"/>
        </w:rPr>
        <w:t xml:space="preserve"> </w:t>
      </w:r>
      <w:r w:rsidRPr="00212B5E">
        <w:rPr>
          <w:sz w:val="24"/>
          <w:szCs w:val="24"/>
        </w:rPr>
        <w:t xml:space="preserve">behandlingsgrupperne med </w:t>
      </w:r>
      <w:proofErr w:type="spellStart"/>
      <w:r w:rsidRPr="00212B5E">
        <w:rPr>
          <w:sz w:val="24"/>
          <w:szCs w:val="24"/>
        </w:rPr>
        <w:t>lurasidon</w:t>
      </w:r>
      <w:proofErr w:type="spellEnd"/>
      <w:r w:rsidRPr="00212B5E">
        <w:rPr>
          <w:sz w:val="24"/>
          <w:szCs w:val="24"/>
        </w:rPr>
        <w:t xml:space="preserve"> 74 mg/dag (-0,42 ± 0,130, justeret p = -0,0015) og med </w:t>
      </w:r>
      <w:proofErr w:type="spellStart"/>
      <w:r w:rsidRPr="00212B5E">
        <w:rPr>
          <w:sz w:val="24"/>
          <w:szCs w:val="24"/>
        </w:rPr>
        <w:t>lurasidon</w:t>
      </w:r>
      <w:proofErr w:type="spellEnd"/>
      <w:r w:rsidRPr="00212B5E">
        <w:rPr>
          <w:sz w:val="24"/>
          <w:szCs w:val="24"/>
        </w:rPr>
        <w:t xml:space="preserve"> 37 mg/dag (-0,47 ± 0,130, justeret p = 0,0008).</w:t>
      </w:r>
    </w:p>
    <w:p w14:paraId="756BC4C4" w14:textId="77777777" w:rsidR="00314C3D" w:rsidRPr="00212B5E" w:rsidRDefault="00314C3D" w:rsidP="00212B5E">
      <w:pPr>
        <w:ind w:left="851"/>
        <w:rPr>
          <w:sz w:val="24"/>
          <w:szCs w:val="24"/>
        </w:rPr>
      </w:pPr>
    </w:p>
    <w:p w14:paraId="42687F06" w14:textId="77777777" w:rsidR="00314C3D" w:rsidRPr="00212B5E" w:rsidRDefault="00314C3D" w:rsidP="00212B5E">
      <w:pPr>
        <w:ind w:left="851"/>
        <w:rPr>
          <w:sz w:val="24"/>
          <w:szCs w:val="24"/>
        </w:rPr>
      </w:pPr>
      <w:r w:rsidRPr="00212B5E">
        <w:rPr>
          <w:sz w:val="24"/>
          <w:szCs w:val="24"/>
        </w:rPr>
        <w:t xml:space="preserve">Et 104-ugers forlængelsesstudie (studie D1050302) var designet til at vurdere den langsigtede sikkerhed, </w:t>
      </w:r>
      <w:proofErr w:type="spellStart"/>
      <w:r w:rsidRPr="00212B5E">
        <w:rPr>
          <w:sz w:val="24"/>
          <w:szCs w:val="24"/>
        </w:rPr>
        <w:t>tolerabilitet</w:t>
      </w:r>
      <w:proofErr w:type="spellEnd"/>
      <w:r w:rsidRPr="00212B5E">
        <w:rPr>
          <w:sz w:val="24"/>
          <w:szCs w:val="24"/>
        </w:rPr>
        <w:t xml:space="preserve"> og virkning af fleksible doser af </w:t>
      </w:r>
      <w:proofErr w:type="spellStart"/>
      <w:r w:rsidRPr="00212B5E">
        <w:rPr>
          <w:sz w:val="24"/>
          <w:szCs w:val="24"/>
        </w:rPr>
        <w:t>lurasidon</w:t>
      </w:r>
      <w:proofErr w:type="spellEnd"/>
      <w:r w:rsidRPr="00212B5E">
        <w:rPr>
          <w:sz w:val="24"/>
          <w:szCs w:val="24"/>
        </w:rPr>
        <w:t xml:space="preserve"> (18,5, 37, 55,5 eller 74 mg/dag) til pædiatriske forsøgspersoner, som afsluttede en 6-ugers behandlingsperiode i tre foregående studier med forskellige indikationer. Herefter præsenteres der kun resultater for 271 forsøgspersoner med skizofreni, som blev inkluderet fra studie D105030. Heraf afsluttede 186 forsøgspersoner (68,6 %) til og med 52 uger, og 156 (57,6 %) forsøgspersoner afsluttede 104 uger med fleksibel dosering af </w:t>
      </w:r>
      <w:proofErr w:type="spellStart"/>
      <w:r w:rsidRPr="00212B5E">
        <w:rPr>
          <w:sz w:val="24"/>
          <w:szCs w:val="24"/>
        </w:rPr>
        <w:t>lurasidon</w:t>
      </w:r>
      <w:proofErr w:type="spellEnd"/>
      <w:r w:rsidRPr="00212B5E">
        <w:rPr>
          <w:sz w:val="24"/>
          <w:szCs w:val="24"/>
        </w:rPr>
        <w:t xml:space="preserve"> på 18,5 til 74 mg/dag.</w:t>
      </w:r>
    </w:p>
    <w:p w14:paraId="3DDDF1B5" w14:textId="77777777" w:rsidR="00314C3D" w:rsidRPr="00212B5E" w:rsidRDefault="00314C3D" w:rsidP="00212B5E">
      <w:pPr>
        <w:ind w:left="851"/>
        <w:rPr>
          <w:sz w:val="24"/>
          <w:szCs w:val="24"/>
        </w:rPr>
      </w:pPr>
    </w:p>
    <w:p w14:paraId="313B14A1" w14:textId="77777777" w:rsidR="00374098" w:rsidRDefault="00314C3D" w:rsidP="00212B5E">
      <w:pPr>
        <w:ind w:left="851"/>
        <w:rPr>
          <w:sz w:val="24"/>
          <w:szCs w:val="24"/>
        </w:rPr>
      </w:pPr>
      <w:r w:rsidRPr="00212B5E">
        <w:rPr>
          <w:sz w:val="24"/>
          <w:szCs w:val="24"/>
        </w:rPr>
        <w:t>For forsøgspersoner, som fortsatte fra D1050301, var gennemsnittet (95 % CI) i PANSS totalscore fra DB-baseline hhv. -26,5 (-28,5, -24,5) i uge 28 LOCF, -28,2 (-30,2, -26,2) i uge 52 LOCF og -29,5 (-31,8, -27,3) i uge 104 LOCF/post-OL-endepunkt, og middelændring (95 % CI) fra OL-baseline var -9,2 (-11,1, -7,2) i uge 28 LOCF, -10,8 (-13,0, -8,7) i uge 52 LOCF og -12,2 (-14,5, -9,8) i uge 104 LOCF/post-OL-effektendepunk</w:t>
      </w:r>
      <w:r w:rsidR="00374098">
        <w:rPr>
          <w:sz w:val="24"/>
          <w:szCs w:val="24"/>
        </w:rPr>
        <w:t>t.</w:t>
      </w:r>
    </w:p>
    <w:p w14:paraId="252155D2" w14:textId="77777777" w:rsidR="00374098" w:rsidRDefault="00374098" w:rsidP="00212B5E">
      <w:pPr>
        <w:ind w:left="851"/>
        <w:rPr>
          <w:i/>
          <w:iCs/>
          <w:sz w:val="24"/>
          <w:szCs w:val="24"/>
        </w:rPr>
      </w:pPr>
    </w:p>
    <w:p w14:paraId="446AFA71" w14:textId="429339E8" w:rsidR="00314C3D" w:rsidRPr="00212B5E" w:rsidRDefault="00314C3D" w:rsidP="00212B5E">
      <w:pPr>
        <w:ind w:left="851"/>
        <w:rPr>
          <w:i/>
          <w:iCs/>
          <w:sz w:val="24"/>
          <w:szCs w:val="24"/>
        </w:rPr>
      </w:pPr>
      <w:r w:rsidRPr="00212B5E">
        <w:rPr>
          <w:i/>
          <w:iCs/>
          <w:sz w:val="24"/>
          <w:szCs w:val="24"/>
        </w:rPr>
        <w:t>Bipolar depression</w:t>
      </w:r>
    </w:p>
    <w:p w14:paraId="57168D1A" w14:textId="77777777" w:rsidR="00314C3D" w:rsidRPr="00212B5E" w:rsidRDefault="00314C3D" w:rsidP="00212B5E">
      <w:pPr>
        <w:ind w:left="851"/>
        <w:rPr>
          <w:i/>
          <w:iCs/>
          <w:sz w:val="24"/>
          <w:szCs w:val="24"/>
        </w:rPr>
      </w:pPr>
    </w:p>
    <w:p w14:paraId="2DB2BCBF" w14:textId="22F8ED4B" w:rsidR="00314C3D" w:rsidRPr="00212B5E" w:rsidRDefault="00314C3D" w:rsidP="00212B5E">
      <w:pPr>
        <w:ind w:left="851"/>
        <w:rPr>
          <w:sz w:val="24"/>
          <w:szCs w:val="24"/>
        </w:rPr>
      </w:pPr>
      <w:r w:rsidRPr="00212B5E">
        <w:rPr>
          <w:sz w:val="24"/>
          <w:szCs w:val="24"/>
        </w:rPr>
        <w:t xml:space="preserve">Den kortsigtede effekt af </w:t>
      </w:r>
      <w:proofErr w:type="spellStart"/>
      <w:r w:rsidRPr="00212B5E">
        <w:rPr>
          <w:sz w:val="24"/>
          <w:szCs w:val="24"/>
        </w:rPr>
        <w:t>lurasidon</w:t>
      </w:r>
      <w:proofErr w:type="spellEnd"/>
      <w:r w:rsidRPr="00212B5E">
        <w:rPr>
          <w:sz w:val="24"/>
          <w:szCs w:val="24"/>
        </w:rPr>
        <w:t xml:space="preserve"> blev undersøgt i et 6-ugers, multicenter, randomiseret,</w:t>
      </w:r>
      <w:r w:rsidR="00374098">
        <w:rPr>
          <w:sz w:val="24"/>
          <w:szCs w:val="24"/>
        </w:rPr>
        <w:t xml:space="preserve"> </w:t>
      </w:r>
      <w:r w:rsidRPr="00212B5E">
        <w:rPr>
          <w:sz w:val="24"/>
          <w:szCs w:val="24"/>
        </w:rPr>
        <w:t>dobbeltblindet, placebokontrolleret studie hos børn og unge patienter (10-17 år), som opfyldte</w:t>
      </w:r>
      <w:r w:rsidR="00374098">
        <w:rPr>
          <w:sz w:val="24"/>
          <w:szCs w:val="24"/>
        </w:rPr>
        <w:t xml:space="preserve"> </w:t>
      </w:r>
      <w:r w:rsidRPr="00212B5E">
        <w:rPr>
          <w:sz w:val="24"/>
          <w:szCs w:val="24"/>
        </w:rPr>
        <w:t>kriterierne i DSM-V (</w:t>
      </w:r>
      <w:proofErr w:type="spellStart"/>
      <w:r w:rsidRPr="00212B5E">
        <w:rPr>
          <w:sz w:val="24"/>
          <w:szCs w:val="24"/>
        </w:rPr>
        <w:t>Diagnostic</w:t>
      </w:r>
      <w:proofErr w:type="spellEnd"/>
      <w:r w:rsidRPr="00212B5E">
        <w:rPr>
          <w:sz w:val="24"/>
          <w:szCs w:val="24"/>
        </w:rPr>
        <w:t xml:space="preserve"> and Statistical Manual of Mental </w:t>
      </w:r>
      <w:proofErr w:type="spellStart"/>
      <w:r w:rsidRPr="00212B5E">
        <w:rPr>
          <w:sz w:val="24"/>
          <w:szCs w:val="24"/>
        </w:rPr>
        <w:t>Disorders</w:t>
      </w:r>
      <w:proofErr w:type="spellEnd"/>
      <w:r w:rsidRPr="00212B5E">
        <w:rPr>
          <w:sz w:val="24"/>
          <w:szCs w:val="24"/>
        </w:rPr>
        <w:t xml:space="preserve">, Fifth Edition) for en større depressiv episode i forbindelse med bipolar I lidelse, med eller uden hurtigt skift, og uden psykotiske karakteristika (N=350). Patienter blev randomiseret til fleksibelt doseret </w:t>
      </w:r>
      <w:proofErr w:type="spellStart"/>
      <w:r w:rsidRPr="00212B5E">
        <w:rPr>
          <w:sz w:val="24"/>
          <w:szCs w:val="24"/>
        </w:rPr>
        <w:t>lurasidon</w:t>
      </w:r>
      <w:proofErr w:type="spellEnd"/>
      <w:r w:rsidRPr="00212B5E">
        <w:rPr>
          <w:sz w:val="24"/>
          <w:szCs w:val="24"/>
        </w:rPr>
        <w:t xml:space="preserve"> 18-74 mg en gang dagligt eller placebo.</w:t>
      </w:r>
    </w:p>
    <w:p w14:paraId="3CFFB2F2" w14:textId="77777777" w:rsidR="00314C3D" w:rsidRPr="00212B5E" w:rsidRDefault="00314C3D" w:rsidP="00212B5E">
      <w:pPr>
        <w:ind w:left="851"/>
        <w:rPr>
          <w:sz w:val="24"/>
          <w:szCs w:val="24"/>
        </w:rPr>
      </w:pPr>
    </w:p>
    <w:p w14:paraId="7B52F441" w14:textId="79F983A4" w:rsidR="00314C3D" w:rsidRPr="00212B5E" w:rsidRDefault="00314C3D" w:rsidP="00212B5E">
      <w:pPr>
        <w:ind w:left="851"/>
        <w:rPr>
          <w:sz w:val="24"/>
          <w:szCs w:val="24"/>
        </w:rPr>
      </w:pPr>
      <w:r w:rsidRPr="00212B5E">
        <w:rPr>
          <w:sz w:val="24"/>
          <w:szCs w:val="24"/>
        </w:rPr>
        <w:t>Det primære effektendepunkt blev defineret som den gennemsnitlige ændring i uge 6 sammenlignet</w:t>
      </w:r>
      <w:r w:rsidR="00374098">
        <w:rPr>
          <w:sz w:val="24"/>
          <w:szCs w:val="24"/>
        </w:rPr>
        <w:t xml:space="preserve"> </w:t>
      </w:r>
      <w:r w:rsidRPr="00374098">
        <w:rPr>
          <w:sz w:val="24"/>
          <w:szCs w:val="24"/>
        </w:rPr>
        <w:t xml:space="preserve">med baseline i </w:t>
      </w:r>
      <w:proofErr w:type="spellStart"/>
      <w:r w:rsidRPr="00374098">
        <w:rPr>
          <w:sz w:val="24"/>
          <w:szCs w:val="24"/>
        </w:rPr>
        <w:t>Children’s</w:t>
      </w:r>
      <w:proofErr w:type="spellEnd"/>
      <w:r w:rsidRPr="00374098">
        <w:rPr>
          <w:sz w:val="24"/>
          <w:szCs w:val="24"/>
        </w:rPr>
        <w:t xml:space="preserve"> Depression Rating </w:t>
      </w:r>
      <w:proofErr w:type="spellStart"/>
      <w:r w:rsidRPr="00374098">
        <w:rPr>
          <w:sz w:val="24"/>
          <w:szCs w:val="24"/>
        </w:rPr>
        <w:t>Scale</w:t>
      </w:r>
      <w:proofErr w:type="spellEnd"/>
      <w:r w:rsidRPr="00374098">
        <w:rPr>
          <w:sz w:val="24"/>
          <w:szCs w:val="24"/>
        </w:rPr>
        <w:t xml:space="preserve">, </w:t>
      </w:r>
      <w:proofErr w:type="spellStart"/>
      <w:r w:rsidRPr="00374098">
        <w:rPr>
          <w:sz w:val="24"/>
          <w:szCs w:val="24"/>
        </w:rPr>
        <w:t>Revised</w:t>
      </w:r>
      <w:proofErr w:type="spellEnd"/>
      <w:r w:rsidRPr="00374098">
        <w:rPr>
          <w:sz w:val="24"/>
          <w:szCs w:val="24"/>
        </w:rPr>
        <w:t xml:space="preserve"> (CDRS-R) Total Score. </w:t>
      </w:r>
      <w:r w:rsidRPr="00212B5E">
        <w:rPr>
          <w:sz w:val="24"/>
          <w:szCs w:val="24"/>
        </w:rPr>
        <w:t>Det vigtigste</w:t>
      </w:r>
      <w:r w:rsidR="00374098">
        <w:rPr>
          <w:sz w:val="24"/>
          <w:szCs w:val="24"/>
        </w:rPr>
        <w:t xml:space="preserve"> </w:t>
      </w:r>
      <w:r w:rsidRPr="00B04442">
        <w:rPr>
          <w:sz w:val="24"/>
          <w:szCs w:val="24"/>
        </w:rPr>
        <w:t xml:space="preserve">sekundære endepunkt var </w:t>
      </w:r>
      <w:proofErr w:type="spellStart"/>
      <w:r w:rsidRPr="00B04442">
        <w:rPr>
          <w:sz w:val="24"/>
          <w:szCs w:val="24"/>
        </w:rPr>
        <w:t>Clinical</w:t>
      </w:r>
      <w:proofErr w:type="spellEnd"/>
      <w:r w:rsidRPr="00B04442">
        <w:rPr>
          <w:sz w:val="24"/>
          <w:szCs w:val="24"/>
        </w:rPr>
        <w:t xml:space="preserve"> Global </w:t>
      </w:r>
      <w:proofErr w:type="spellStart"/>
      <w:r w:rsidRPr="00B04442">
        <w:rPr>
          <w:sz w:val="24"/>
          <w:szCs w:val="24"/>
        </w:rPr>
        <w:t>Impression</w:t>
      </w:r>
      <w:proofErr w:type="spellEnd"/>
      <w:r w:rsidRPr="00B04442">
        <w:rPr>
          <w:sz w:val="24"/>
          <w:szCs w:val="24"/>
        </w:rPr>
        <w:t xml:space="preserve"> – Bipolar Version, </w:t>
      </w:r>
      <w:proofErr w:type="spellStart"/>
      <w:r w:rsidRPr="00B04442">
        <w:rPr>
          <w:sz w:val="24"/>
          <w:szCs w:val="24"/>
        </w:rPr>
        <w:t>Severity</w:t>
      </w:r>
      <w:proofErr w:type="spellEnd"/>
      <w:r w:rsidRPr="00B04442">
        <w:rPr>
          <w:sz w:val="24"/>
          <w:szCs w:val="24"/>
        </w:rPr>
        <w:t xml:space="preserve"> of </w:t>
      </w:r>
      <w:proofErr w:type="spellStart"/>
      <w:r w:rsidRPr="00B04442">
        <w:rPr>
          <w:sz w:val="24"/>
          <w:szCs w:val="24"/>
        </w:rPr>
        <w:t>Illness</w:t>
      </w:r>
      <w:proofErr w:type="spellEnd"/>
      <w:r w:rsidRPr="00B04442">
        <w:rPr>
          <w:sz w:val="24"/>
          <w:szCs w:val="24"/>
        </w:rPr>
        <w:t xml:space="preserve"> (CGI-BPS) Depression Score. </w:t>
      </w:r>
      <w:r w:rsidRPr="00212B5E">
        <w:rPr>
          <w:sz w:val="24"/>
          <w:szCs w:val="24"/>
        </w:rPr>
        <w:t xml:space="preserve">Startende i uge 2 viste </w:t>
      </w:r>
      <w:proofErr w:type="spellStart"/>
      <w:r w:rsidRPr="00212B5E">
        <w:rPr>
          <w:sz w:val="24"/>
          <w:szCs w:val="24"/>
        </w:rPr>
        <w:t>lurasidon</w:t>
      </w:r>
      <w:proofErr w:type="spellEnd"/>
      <w:r w:rsidRPr="00212B5E">
        <w:rPr>
          <w:sz w:val="24"/>
          <w:szCs w:val="24"/>
        </w:rPr>
        <w:t xml:space="preserve"> statistisk signifikante forskelle sammenlignet med placebo for disse endepunkter for hele studiepopulationen, og disse blev opretholdt ved hvert forsøgsbesøg til studiet sluttede. Det primære og det vigtigste sekundære endepunkt blev imidlertid ikke mødt for de yngre patienter (under 15 år gamle). Placebojusteret gennemsnitlig LS-ændring (95 % CI) fra baseline til uge 6 LOCF i CDRS-R samlet score for </w:t>
      </w:r>
      <w:proofErr w:type="spellStart"/>
      <w:r w:rsidRPr="00212B5E">
        <w:rPr>
          <w:sz w:val="24"/>
          <w:szCs w:val="24"/>
        </w:rPr>
        <w:t>lurasidon</w:t>
      </w:r>
      <w:proofErr w:type="spellEnd"/>
      <w:r w:rsidRPr="00212B5E">
        <w:rPr>
          <w:sz w:val="24"/>
          <w:szCs w:val="24"/>
        </w:rPr>
        <w:t>-gruppen var -1,8 (-5,6,2,0) for deltagere i 10-</w:t>
      </w:r>
      <w:proofErr w:type="gramStart"/>
      <w:r w:rsidRPr="00212B5E">
        <w:rPr>
          <w:sz w:val="24"/>
          <w:szCs w:val="24"/>
        </w:rPr>
        <w:t>14 års alderen</w:t>
      </w:r>
      <w:proofErr w:type="gramEnd"/>
      <w:r w:rsidRPr="00212B5E">
        <w:rPr>
          <w:sz w:val="24"/>
          <w:szCs w:val="24"/>
        </w:rPr>
        <w:t xml:space="preserve"> og var -8,6 (-12,4, -4,8) for deltagere i 15-17 års alderen (tabel 5).</w:t>
      </w:r>
    </w:p>
    <w:p w14:paraId="38716304" w14:textId="77777777" w:rsidR="00314C3D" w:rsidRPr="00212B5E" w:rsidRDefault="00314C3D" w:rsidP="00212B5E">
      <w:pPr>
        <w:ind w:left="851"/>
        <w:rPr>
          <w:sz w:val="24"/>
          <w:szCs w:val="24"/>
        </w:rPr>
      </w:pPr>
    </w:p>
    <w:p w14:paraId="70F05E9A" w14:textId="77777777" w:rsidR="00314C3D" w:rsidRPr="00212B5E" w:rsidRDefault="00314C3D" w:rsidP="00212B5E">
      <w:pPr>
        <w:ind w:left="851"/>
        <w:rPr>
          <w:sz w:val="24"/>
          <w:szCs w:val="24"/>
        </w:rPr>
      </w:pPr>
      <w:r w:rsidRPr="00212B5E">
        <w:rPr>
          <w:sz w:val="24"/>
          <w:szCs w:val="24"/>
        </w:rPr>
        <w:t xml:space="preserve">Sikkerhedsprofilen for </w:t>
      </w:r>
      <w:proofErr w:type="spellStart"/>
      <w:r w:rsidRPr="00212B5E">
        <w:rPr>
          <w:sz w:val="24"/>
          <w:szCs w:val="24"/>
        </w:rPr>
        <w:t>lurasidon</w:t>
      </w:r>
      <w:proofErr w:type="spellEnd"/>
      <w:r w:rsidRPr="00212B5E">
        <w:rPr>
          <w:sz w:val="24"/>
          <w:szCs w:val="24"/>
        </w:rPr>
        <w:t xml:space="preserve"> hos børn inkluderet i dette kortsigtede studie er generelt tilsvarende sikkerhedsprofilen observeret når behandlet inden for den godkendte indikation hos voksne. Der er imidlertid observeret forskelle i hyppighed for de mest almindeligt forekommende bivirkninger hos pædiatriske patienter for kvalme (meget almindelig), diarré (almindelig) og nedsat appetit (almindelig) sammenlignet med voksne (henholdsvis almindelig, kendes ikke og ikke almindelig).</w:t>
      </w:r>
    </w:p>
    <w:p w14:paraId="506A2518" w14:textId="726A9D20" w:rsidR="002F17ED" w:rsidRDefault="002F17ED">
      <w:pPr>
        <w:rPr>
          <w:sz w:val="24"/>
          <w:szCs w:val="24"/>
        </w:rPr>
      </w:pPr>
      <w:r>
        <w:rPr>
          <w:sz w:val="24"/>
          <w:szCs w:val="24"/>
        </w:rPr>
        <w:br w:type="page"/>
      </w:r>
    </w:p>
    <w:p w14:paraId="7F1AD2BA" w14:textId="77777777" w:rsidR="00314C3D" w:rsidRPr="00212B5E" w:rsidRDefault="00314C3D" w:rsidP="00314C3D">
      <w:pPr>
        <w:suppressAutoHyphens/>
        <w:rPr>
          <w:sz w:val="24"/>
          <w:szCs w:val="24"/>
        </w:rPr>
      </w:pPr>
    </w:p>
    <w:p w14:paraId="131DD9F8" w14:textId="77777777" w:rsidR="00314C3D" w:rsidRPr="00212B5E" w:rsidRDefault="00314C3D" w:rsidP="00314C3D">
      <w:pPr>
        <w:autoSpaceDE w:val="0"/>
        <w:autoSpaceDN w:val="0"/>
        <w:adjustRightInd w:val="0"/>
        <w:rPr>
          <w:b/>
          <w:bCs/>
          <w:sz w:val="24"/>
          <w:szCs w:val="24"/>
          <w:lang w:val="en-US"/>
        </w:rPr>
      </w:pPr>
      <w:proofErr w:type="spellStart"/>
      <w:r w:rsidRPr="00212B5E">
        <w:rPr>
          <w:b/>
          <w:bCs/>
          <w:sz w:val="24"/>
          <w:szCs w:val="24"/>
          <w:lang w:val="en-US"/>
        </w:rPr>
        <w:t>Tabel</w:t>
      </w:r>
      <w:proofErr w:type="spellEnd"/>
      <w:r w:rsidRPr="00212B5E">
        <w:rPr>
          <w:b/>
          <w:bCs/>
          <w:sz w:val="24"/>
          <w:szCs w:val="24"/>
          <w:lang w:val="en-US"/>
        </w:rPr>
        <w:t xml:space="preserve"> 5 </w:t>
      </w:r>
      <w:r w:rsidRPr="00212B5E">
        <w:rPr>
          <w:b/>
          <w:bCs/>
          <w:sz w:val="24"/>
          <w:szCs w:val="24"/>
          <w:lang w:val="en-US"/>
        </w:rPr>
        <w:tab/>
        <w:t xml:space="preserve">Bipolar depression </w:t>
      </w:r>
      <w:proofErr w:type="spellStart"/>
      <w:r w:rsidRPr="00212B5E">
        <w:rPr>
          <w:b/>
          <w:bCs/>
          <w:sz w:val="24"/>
          <w:szCs w:val="24"/>
          <w:lang w:val="en-US"/>
        </w:rPr>
        <w:t>pædiatrisk</w:t>
      </w:r>
      <w:proofErr w:type="spellEnd"/>
      <w:r w:rsidRPr="00212B5E">
        <w:rPr>
          <w:b/>
          <w:bCs/>
          <w:sz w:val="24"/>
          <w:szCs w:val="24"/>
          <w:lang w:val="en-US"/>
        </w:rPr>
        <w:t xml:space="preserve"> </w:t>
      </w:r>
      <w:proofErr w:type="spellStart"/>
      <w:r w:rsidRPr="00212B5E">
        <w:rPr>
          <w:b/>
          <w:bCs/>
          <w:sz w:val="24"/>
          <w:szCs w:val="24"/>
          <w:lang w:val="en-US"/>
        </w:rPr>
        <w:t>studie</w:t>
      </w:r>
      <w:proofErr w:type="spellEnd"/>
      <w:r w:rsidRPr="00212B5E">
        <w:rPr>
          <w:b/>
          <w:bCs/>
          <w:sz w:val="24"/>
          <w:szCs w:val="24"/>
          <w:lang w:val="en-US"/>
        </w:rPr>
        <w:t>: Children’s Depression Rating Scale,</w:t>
      </w:r>
    </w:p>
    <w:p w14:paraId="7B3FC72C" w14:textId="77777777" w:rsidR="00314C3D" w:rsidRPr="00212B5E" w:rsidRDefault="00314C3D" w:rsidP="00314C3D">
      <w:pPr>
        <w:autoSpaceDE w:val="0"/>
        <w:autoSpaceDN w:val="0"/>
        <w:adjustRightInd w:val="0"/>
        <w:ind w:firstLine="1304"/>
        <w:rPr>
          <w:b/>
          <w:bCs/>
          <w:sz w:val="24"/>
          <w:szCs w:val="24"/>
          <w:lang w:val="en-US"/>
        </w:rPr>
      </w:pPr>
      <w:r w:rsidRPr="00212B5E">
        <w:rPr>
          <w:b/>
          <w:bCs/>
          <w:sz w:val="24"/>
          <w:szCs w:val="24"/>
          <w:lang w:val="en-US"/>
        </w:rPr>
        <w:t>Revised (CDRS-R) Total Score og Clinical Global Impression-Bipolar Version,</w:t>
      </w:r>
    </w:p>
    <w:p w14:paraId="58C8D925" w14:textId="77777777" w:rsidR="00314C3D" w:rsidRPr="00212B5E" w:rsidRDefault="00314C3D" w:rsidP="00314C3D">
      <w:pPr>
        <w:autoSpaceDE w:val="0"/>
        <w:autoSpaceDN w:val="0"/>
        <w:adjustRightInd w:val="0"/>
        <w:ind w:firstLine="1304"/>
        <w:rPr>
          <w:b/>
          <w:bCs/>
          <w:sz w:val="24"/>
          <w:szCs w:val="24"/>
          <w:lang w:val="en-US"/>
        </w:rPr>
      </w:pPr>
      <w:r w:rsidRPr="00212B5E">
        <w:rPr>
          <w:b/>
          <w:bCs/>
          <w:sz w:val="24"/>
          <w:szCs w:val="24"/>
          <w:lang w:val="en-US"/>
        </w:rPr>
        <w:t xml:space="preserve">Severity of Illness (CGI-BP-S) Depression Score (Depression) – </w:t>
      </w:r>
      <w:proofErr w:type="spellStart"/>
      <w:r w:rsidRPr="00212B5E">
        <w:rPr>
          <w:b/>
          <w:bCs/>
          <w:sz w:val="24"/>
          <w:szCs w:val="24"/>
          <w:lang w:val="en-US"/>
        </w:rPr>
        <w:t>Ændring</w:t>
      </w:r>
      <w:proofErr w:type="spellEnd"/>
      <w:r w:rsidRPr="00212B5E">
        <w:rPr>
          <w:b/>
          <w:bCs/>
          <w:sz w:val="24"/>
          <w:szCs w:val="24"/>
          <w:lang w:val="en-US"/>
        </w:rPr>
        <w:t xml:space="preserve"> </w:t>
      </w:r>
      <w:proofErr w:type="spellStart"/>
      <w:r w:rsidRPr="00212B5E">
        <w:rPr>
          <w:b/>
          <w:bCs/>
          <w:sz w:val="24"/>
          <w:szCs w:val="24"/>
          <w:lang w:val="en-US"/>
        </w:rPr>
        <w:t>fra</w:t>
      </w:r>
      <w:proofErr w:type="spellEnd"/>
    </w:p>
    <w:p w14:paraId="2C3F4B84" w14:textId="77777777" w:rsidR="00314C3D" w:rsidRPr="00212B5E" w:rsidRDefault="00314C3D" w:rsidP="00314C3D">
      <w:pPr>
        <w:suppressAutoHyphens/>
        <w:ind w:firstLine="1304"/>
        <w:rPr>
          <w:b/>
          <w:bCs/>
          <w:sz w:val="24"/>
          <w:szCs w:val="24"/>
        </w:rPr>
      </w:pPr>
      <w:r w:rsidRPr="00212B5E">
        <w:rPr>
          <w:b/>
          <w:bCs/>
          <w:sz w:val="24"/>
          <w:szCs w:val="24"/>
        </w:rPr>
        <w:t>baseline til uge 6 – MMRM for Studie D1050326: Intent-to-</w:t>
      </w:r>
      <w:proofErr w:type="spellStart"/>
      <w:r w:rsidRPr="00212B5E">
        <w:rPr>
          <w:b/>
          <w:bCs/>
          <w:sz w:val="24"/>
          <w:szCs w:val="24"/>
        </w:rPr>
        <w:t>treat</w:t>
      </w:r>
      <w:proofErr w:type="spellEnd"/>
      <w:r w:rsidRPr="00212B5E">
        <w:rPr>
          <w:b/>
          <w:bCs/>
          <w:sz w:val="24"/>
          <w:szCs w:val="24"/>
        </w:rPr>
        <w:t xml:space="preserve"> analysesæt</w:t>
      </w:r>
    </w:p>
    <w:p w14:paraId="387B9A42" w14:textId="77777777" w:rsidR="00314C3D" w:rsidRPr="00212B5E" w:rsidRDefault="00314C3D" w:rsidP="00314C3D">
      <w:pPr>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49"/>
        <w:gridCol w:w="3019"/>
        <w:gridCol w:w="1581"/>
        <w:gridCol w:w="2679"/>
      </w:tblGrid>
      <w:tr w:rsidR="00314C3D" w:rsidRPr="00B04442" w14:paraId="0877F385" w14:textId="77777777" w:rsidTr="00374098">
        <w:trPr>
          <w:trHeight w:val="505"/>
          <w:tblHeader/>
        </w:trPr>
        <w:tc>
          <w:tcPr>
            <w:tcW w:w="1220" w:type="pct"/>
            <w:tcBorders>
              <w:top w:val="single" w:sz="4" w:space="0" w:color="000000"/>
              <w:left w:val="single" w:sz="4" w:space="0" w:color="000000"/>
              <w:bottom w:val="single" w:sz="4" w:space="0" w:color="000000"/>
              <w:right w:val="single" w:sz="6" w:space="0" w:color="000000"/>
            </w:tcBorders>
            <w:hideMark/>
          </w:tcPr>
          <w:p w14:paraId="78D9ADA4" w14:textId="77777777" w:rsidR="00314C3D" w:rsidRPr="00374098" w:rsidRDefault="00314C3D">
            <w:pPr>
              <w:pStyle w:val="TableParagraph"/>
              <w:ind w:left="402"/>
              <w:rPr>
                <w:b/>
                <w:sz w:val="20"/>
                <w:szCs w:val="20"/>
                <w:lang w:val="da-DK"/>
              </w:rPr>
            </w:pPr>
            <w:r w:rsidRPr="00374098">
              <w:rPr>
                <w:b/>
                <w:spacing w:val="-2"/>
                <w:sz w:val="20"/>
                <w:szCs w:val="20"/>
                <w:lang w:val="da-DK"/>
              </w:rPr>
              <w:t>Parametre</w:t>
            </w:r>
          </w:p>
        </w:tc>
        <w:tc>
          <w:tcPr>
            <w:tcW w:w="1568" w:type="pct"/>
            <w:tcBorders>
              <w:top w:val="single" w:sz="4" w:space="0" w:color="000000"/>
              <w:left w:val="single" w:sz="6" w:space="0" w:color="000000"/>
              <w:bottom w:val="single" w:sz="4" w:space="0" w:color="000000"/>
              <w:right w:val="single" w:sz="6" w:space="0" w:color="000000"/>
            </w:tcBorders>
            <w:hideMark/>
          </w:tcPr>
          <w:p w14:paraId="51E75A59" w14:textId="77777777" w:rsidR="00314C3D" w:rsidRPr="00374098" w:rsidRDefault="00314C3D">
            <w:pPr>
              <w:pStyle w:val="TableParagraph"/>
              <w:ind w:left="400"/>
              <w:rPr>
                <w:b/>
                <w:sz w:val="20"/>
                <w:szCs w:val="20"/>
                <w:lang w:val="da-DK"/>
              </w:rPr>
            </w:pPr>
            <w:r w:rsidRPr="00374098">
              <w:rPr>
                <w:b/>
                <w:spacing w:val="-2"/>
                <w:sz w:val="20"/>
                <w:szCs w:val="20"/>
                <w:lang w:val="da-DK"/>
              </w:rPr>
              <w:t>Studiestatistik</w:t>
            </w:r>
          </w:p>
        </w:tc>
        <w:tc>
          <w:tcPr>
            <w:tcW w:w="821" w:type="pct"/>
            <w:tcBorders>
              <w:top w:val="single" w:sz="4" w:space="0" w:color="000000"/>
              <w:left w:val="single" w:sz="6" w:space="0" w:color="000000"/>
              <w:bottom w:val="single" w:sz="4" w:space="0" w:color="000000"/>
              <w:right w:val="single" w:sz="6" w:space="0" w:color="000000"/>
            </w:tcBorders>
            <w:hideMark/>
          </w:tcPr>
          <w:p w14:paraId="3381E638" w14:textId="77777777" w:rsidR="00314C3D" w:rsidRPr="00374098" w:rsidRDefault="00314C3D">
            <w:pPr>
              <w:pStyle w:val="TableParagraph"/>
              <w:ind w:left="10"/>
              <w:jc w:val="center"/>
              <w:rPr>
                <w:b/>
                <w:sz w:val="20"/>
                <w:szCs w:val="20"/>
                <w:lang w:val="da-DK"/>
              </w:rPr>
            </w:pPr>
            <w:r w:rsidRPr="00374098">
              <w:rPr>
                <w:b/>
                <w:spacing w:val="-2"/>
                <w:sz w:val="20"/>
                <w:szCs w:val="20"/>
                <w:lang w:val="da-DK"/>
              </w:rPr>
              <w:t>Placebo</w:t>
            </w:r>
          </w:p>
        </w:tc>
        <w:tc>
          <w:tcPr>
            <w:tcW w:w="1391" w:type="pct"/>
            <w:tcBorders>
              <w:top w:val="single" w:sz="4" w:space="0" w:color="000000"/>
              <w:left w:val="single" w:sz="6" w:space="0" w:color="000000"/>
              <w:bottom w:val="single" w:sz="4" w:space="0" w:color="000000"/>
              <w:right w:val="single" w:sz="4" w:space="0" w:color="000000"/>
            </w:tcBorders>
            <w:hideMark/>
          </w:tcPr>
          <w:p w14:paraId="1969BCAD" w14:textId="77777777" w:rsidR="00314C3D" w:rsidRPr="00374098" w:rsidRDefault="00314C3D">
            <w:pPr>
              <w:pStyle w:val="TableParagraph"/>
              <w:spacing w:line="250" w:lineRule="atLeast"/>
              <w:ind w:left="793" w:right="133" w:hanging="652"/>
              <w:rPr>
                <w:b/>
                <w:sz w:val="20"/>
                <w:szCs w:val="20"/>
                <w:lang w:val="es-ES"/>
              </w:rPr>
            </w:pPr>
            <w:r w:rsidRPr="00374098">
              <w:rPr>
                <w:b/>
                <w:sz w:val="20"/>
                <w:szCs w:val="20"/>
                <w:lang w:val="es-ES"/>
              </w:rPr>
              <w:t>Lurasidon</w:t>
            </w:r>
            <w:r w:rsidRPr="00374098">
              <w:rPr>
                <w:b/>
                <w:spacing w:val="-14"/>
                <w:sz w:val="20"/>
                <w:szCs w:val="20"/>
                <w:lang w:val="es-ES"/>
              </w:rPr>
              <w:t xml:space="preserve"> </w:t>
            </w:r>
            <w:r w:rsidRPr="00374098">
              <w:rPr>
                <w:b/>
                <w:sz w:val="20"/>
                <w:szCs w:val="20"/>
                <w:lang w:val="es-ES"/>
              </w:rPr>
              <w:t>dosis</w:t>
            </w:r>
            <w:r w:rsidRPr="00374098">
              <w:rPr>
                <w:b/>
                <w:spacing w:val="-14"/>
                <w:sz w:val="20"/>
                <w:szCs w:val="20"/>
                <w:lang w:val="es-ES"/>
              </w:rPr>
              <w:t xml:space="preserve"> </w:t>
            </w:r>
            <w:r w:rsidRPr="00374098">
              <w:rPr>
                <w:b/>
                <w:sz w:val="20"/>
                <w:szCs w:val="20"/>
                <w:lang w:val="es-ES"/>
              </w:rPr>
              <w:t>18,5-74 mg (a) (b)</w:t>
            </w:r>
          </w:p>
        </w:tc>
      </w:tr>
      <w:tr w:rsidR="00314C3D" w:rsidRPr="00374098" w14:paraId="0DF832C2" w14:textId="77777777" w:rsidTr="00374098">
        <w:trPr>
          <w:trHeight w:val="252"/>
        </w:trPr>
        <w:tc>
          <w:tcPr>
            <w:tcW w:w="1220" w:type="pct"/>
            <w:tcBorders>
              <w:top w:val="single" w:sz="4" w:space="0" w:color="000000"/>
              <w:left w:val="single" w:sz="4" w:space="0" w:color="000000"/>
              <w:bottom w:val="nil"/>
              <w:right w:val="single" w:sz="4" w:space="0" w:color="000000"/>
            </w:tcBorders>
            <w:hideMark/>
          </w:tcPr>
          <w:p w14:paraId="7CC5F168" w14:textId="77777777" w:rsidR="00314C3D" w:rsidRPr="00374098" w:rsidRDefault="00314C3D">
            <w:pPr>
              <w:pStyle w:val="TableParagraph"/>
              <w:spacing w:line="233" w:lineRule="exact"/>
              <w:ind w:left="115"/>
              <w:rPr>
                <w:sz w:val="20"/>
                <w:szCs w:val="20"/>
                <w:lang w:val="da-DK"/>
              </w:rPr>
            </w:pPr>
            <w:r w:rsidRPr="00374098">
              <w:rPr>
                <w:sz w:val="20"/>
                <w:szCs w:val="20"/>
                <w:lang w:val="da-DK"/>
              </w:rPr>
              <w:t xml:space="preserve">Primært </w:t>
            </w:r>
            <w:r w:rsidRPr="00374098">
              <w:rPr>
                <w:spacing w:val="-2"/>
                <w:sz w:val="20"/>
                <w:szCs w:val="20"/>
                <w:lang w:val="da-DK"/>
              </w:rPr>
              <w:t>endepunkt:</w:t>
            </w:r>
          </w:p>
        </w:tc>
        <w:tc>
          <w:tcPr>
            <w:tcW w:w="1568" w:type="pct"/>
            <w:tcBorders>
              <w:top w:val="single" w:sz="4" w:space="0" w:color="000000"/>
              <w:left w:val="single" w:sz="4" w:space="0" w:color="000000"/>
              <w:bottom w:val="nil"/>
              <w:right w:val="single" w:sz="4" w:space="0" w:color="000000"/>
            </w:tcBorders>
          </w:tcPr>
          <w:p w14:paraId="50CB168B" w14:textId="77777777" w:rsidR="00314C3D" w:rsidRPr="00374098" w:rsidRDefault="00314C3D">
            <w:pPr>
              <w:pStyle w:val="TableParagraph"/>
              <w:rPr>
                <w:sz w:val="20"/>
                <w:szCs w:val="20"/>
                <w:lang w:val="da-DK"/>
              </w:rPr>
            </w:pPr>
          </w:p>
        </w:tc>
        <w:tc>
          <w:tcPr>
            <w:tcW w:w="821" w:type="pct"/>
            <w:tcBorders>
              <w:top w:val="single" w:sz="4" w:space="0" w:color="000000"/>
              <w:left w:val="single" w:sz="4" w:space="0" w:color="000000"/>
              <w:bottom w:val="single" w:sz="4" w:space="0" w:color="000000"/>
              <w:right w:val="single" w:sz="4" w:space="0" w:color="000000"/>
            </w:tcBorders>
            <w:hideMark/>
          </w:tcPr>
          <w:p w14:paraId="1A2CC4C4" w14:textId="77777777" w:rsidR="00314C3D" w:rsidRPr="00374098" w:rsidRDefault="00314C3D">
            <w:pPr>
              <w:pStyle w:val="TableParagraph"/>
              <w:spacing w:line="233" w:lineRule="exact"/>
              <w:ind w:left="10" w:right="1"/>
              <w:jc w:val="center"/>
              <w:rPr>
                <w:sz w:val="20"/>
                <w:szCs w:val="20"/>
                <w:lang w:val="da-DK"/>
              </w:rPr>
            </w:pPr>
            <w:r w:rsidRPr="00374098">
              <w:rPr>
                <w:spacing w:val="-2"/>
                <w:sz w:val="20"/>
                <w:szCs w:val="20"/>
                <w:lang w:val="da-DK"/>
              </w:rPr>
              <w:t>N=170</w:t>
            </w:r>
          </w:p>
        </w:tc>
        <w:tc>
          <w:tcPr>
            <w:tcW w:w="1391" w:type="pct"/>
            <w:tcBorders>
              <w:top w:val="single" w:sz="4" w:space="0" w:color="000000"/>
              <w:left w:val="single" w:sz="4" w:space="0" w:color="000000"/>
              <w:bottom w:val="single" w:sz="4" w:space="0" w:color="000000"/>
              <w:right w:val="single" w:sz="4" w:space="0" w:color="000000"/>
            </w:tcBorders>
            <w:hideMark/>
          </w:tcPr>
          <w:p w14:paraId="428546C1" w14:textId="77777777" w:rsidR="00314C3D" w:rsidRPr="00374098" w:rsidRDefault="00314C3D">
            <w:pPr>
              <w:pStyle w:val="TableParagraph"/>
              <w:spacing w:line="233" w:lineRule="exact"/>
              <w:ind w:left="10" w:right="1"/>
              <w:jc w:val="center"/>
              <w:rPr>
                <w:sz w:val="20"/>
                <w:szCs w:val="20"/>
                <w:lang w:val="da-DK"/>
              </w:rPr>
            </w:pPr>
            <w:r w:rsidRPr="00374098">
              <w:rPr>
                <w:spacing w:val="-2"/>
                <w:sz w:val="20"/>
                <w:szCs w:val="20"/>
                <w:lang w:val="da-DK"/>
              </w:rPr>
              <w:t>N=173</w:t>
            </w:r>
          </w:p>
        </w:tc>
      </w:tr>
      <w:tr w:rsidR="00314C3D" w:rsidRPr="00374098" w14:paraId="4FBF0F64" w14:textId="77777777" w:rsidTr="00374098">
        <w:trPr>
          <w:trHeight w:val="364"/>
        </w:trPr>
        <w:tc>
          <w:tcPr>
            <w:tcW w:w="1220" w:type="pct"/>
            <w:tcBorders>
              <w:top w:val="nil"/>
              <w:left w:val="single" w:sz="4" w:space="0" w:color="000000"/>
              <w:bottom w:val="nil"/>
              <w:right w:val="single" w:sz="4" w:space="0" w:color="000000"/>
            </w:tcBorders>
            <w:hideMark/>
          </w:tcPr>
          <w:p w14:paraId="05BFEB63" w14:textId="77777777" w:rsidR="00314C3D" w:rsidRPr="00374098" w:rsidRDefault="00314C3D">
            <w:pPr>
              <w:pStyle w:val="TableParagraph"/>
              <w:spacing w:line="243" w:lineRule="exact"/>
              <w:ind w:left="115"/>
              <w:rPr>
                <w:sz w:val="20"/>
                <w:szCs w:val="20"/>
                <w:lang w:val="da-DK"/>
              </w:rPr>
            </w:pPr>
            <w:r w:rsidRPr="00374098">
              <w:rPr>
                <w:sz w:val="20"/>
                <w:szCs w:val="20"/>
                <w:lang w:val="da-DK"/>
              </w:rPr>
              <w:t xml:space="preserve">CDRS-R Total </w:t>
            </w:r>
            <w:r w:rsidRPr="00374098">
              <w:rPr>
                <w:spacing w:val="-2"/>
                <w:sz w:val="20"/>
                <w:szCs w:val="20"/>
                <w:lang w:val="da-DK"/>
              </w:rPr>
              <w:t>Score</w:t>
            </w:r>
          </w:p>
        </w:tc>
        <w:tc>
          <w:tcPr>
            <w:tcW w:w="1568" w:type="pct"/>
            <w:tcBorders>
              <w:top w:val="nil"/>
              <w:left w:val="single" w:sz="4" w:space="0" w:color="000000"/>
              <w:bottom w:val="nil"/>
              <w:right w:val="single" w:sz="4" w:space="0" w:color="000000"/>
            </w:tcBorders>
            <w:hideMark/>
          </w:tcPr>
          <w:p w14:paraId="2EB5DD34" w14:textId="77777777" w:rsidR="00314C3D" w:rsidRPr="00374098" w:rsidRDefault="00314C3D">
            <w:pPr>
              <w:pStyle w:val="TableParagraph"/>
              <w:spacing w:before="5"/>
              <w:ind w:right="117"/>
              <w:jc w:val="right"/>
              <w:rPr>
                <w:sz w:val="20"/>
                <w:szCs w:val="20"/>
                <w:lang w:val="da-DK"/>
              </w:rPr>
            </w:pPr>
            <w:r w:rsidRPr="00374098">
              <w:rPr>
                <w:sz w:val="20"/>
                <w:szCs w:val="20"/>
                <w:lang w:val="da-DK"/>
              </w:rPr>
              <w:t>Baseline</w:t>
            </w:r>
            <w:r w:rsidRPr="00374098">
              <w:rPr>
                <w:spacing w:val="-1"/>
                <w:sz w:val="20"/>
                <w:szCs w:val="20"/>
                <w:lang w:val="da-DK"/>
              </w:rPr>
              <w:t xml:space="preserve"> </w:t>
            </w:r>
            <w:r w:rsidRPr="00374098">
              <w:rPr>
                <w:sz w:val="20"/>
                <w:szCs w:val="20"/>
                <w:lang w:val="da-DK"/>
              </w:rPr>
              <w:t xml:space="preserve">gennemsnit </w:t>
            </w:r>
            <w:r w:rsidRPr="00374098">
              <w:rPr>
                <w:spacing w:val="-4"/>
                <w:sz w:val="20"/>
                <w:szCs w:val="20"/>
                <w:lang w:val="da-DK"/>
              </w:rPr>
              <w:t>(SD)</w:t>
            </w:r>
          </w:p>
        </w:tc>
        <w:tc>
          <w:tcPr>
            <w:tcW w:w="821" w:type="pct"/>
            <w:tcBorders>
              <w:top w:val="single" w:sz="4" w:space="0" w:color="000000"/>
              <w:left w:val="single" w:sz="4" w:space="0" w:color="000000"/>
              <w:bottom w:val="single" w:sz="4" w:space="0" w:color="000000"/>
              <w:right w:val="single" w:sz="4" w:space="0" w:color="000000"/>
            </w:tcBorders>
            <w:hideMark/>
          </w:tcPr>
          <w:p w14:paraId="11F3DC20" w14:textId="77777777" w:rsidR="00314C3D" w:rsidRPr="00374098" w:rsidRDefault="00314C3D">
            <w:pPr>
              <w:pStyle w:val="TableParagraph"/>
              <w:spacing w:before="5"/>
              <w:ind w:left="10" w:right="1"/>
              <w:jc w:val="center"/>
              <w:rPr>
                <w:sz w:val="20"/>
                <w:szCs w:val="20"/>
                <w:lang w:val="da-DK"/>
              </w:rPr>
            </w:pPr>
            <w:r w:rsidRPr="00374098">
              <w:rPr>
                <w:sz w:val="20"/>
                <w:szCs w:val="20"/>
                <w:lang w:val="da-DK"/>
              </w:rPr>
              <w:t xml:space="preserve">58,6 </w:t>
            </w:r>
            <w:r w:rsidRPr="00374098">
              <w:rPr>
                <w:spacing w:val="-2"/>
                <w:sz w:val="20"/>
                <w:szCs w:val="20"/>
                <w:lang w:val="da-DK"/>
              </w:rPr>
              <w:t>(8,26)</w:t>
            </w:r>
          </w:p>
        </w:tc>
        <w:tc>
          <w:tcPr>
            <w:tcW w:w="1391" w:type="pct"/>
            <w:tcBorders>
              <w:top w:val="single" w:sz="4" w:space="0" w:color="000000"/>
              <w:left w:val="single" w:sz="4" w:space="0" w:color="000000"/>
              <w:bottom w:val="single" w:sz="4" w:space="0" w:color="000000"/>
              <w:right w:val="single" w:sz="4" w:space="0" w:color="000000"/>
            </w:tcBorders>
            <w:hideMark/>
          </w:tcPr>
          <w:p w14:paraId="53506EFF" w14:textId="77777777" w:rsidR="00314C3D" w:rsidRPr="00374098" w:rsidRDefault="00314C3D">
            <w:pPr>
              <w:pStyle w:val="TableParagraph"/>
              <w:spacing w:before="5"/>
              <w:ind w:left="10" w:right="1"/>
              <w:jc w:val="center"/>
              <w:rPr>
                <w:sz w:val="20"/>
                <w:szCs w:val="20"/>
                <w:lang w:val="da-DK"/>
              </w:rPr>
            </w:pPr>
            <w:r w:rsidRPr="00374098">
              <w:rPr>
                <w:sz w:val="20"/>
                <w:szCs w:val="20"/>
                <w:lang w:val="da-DK"/>
              </w:rPr>
              <w:t xml:space="preserve">59,2 </w:t>
            </w:r>
            <w:r w:rsidRPr="00374098">
              <w:rPr>
                <w:spacing w:val="-2"/>
                <w:sz w:val="20"/>
                <w:szCs w:val="20"/>
                <w:lang w:val="da-DK"/>
              </w:rPr>
              <w:t>(8,24)</w:t>
            </w:r>
          </w:p>
        </w:tc>
      </w:tr>
      <w:tr w:rsidR="00314C3D" w:rsidRPr="00374098" w14:paraId="026E85B1" w14:textId="77777777" w:rsidTr="00374098">
        <w:trPr>
          <w:trHeight w:val="262"/>
        </w:trPr>
        <w:tc>
          <w:tcPr>
            <w:tcW w:w="1220" w:type="pct"/>
            <w:tcBorders>
              <w:top w:val="nil"/>
              <w:left w:val="single" w:sz="4" w:space="0" w:color="000000"/>
              <w:bottom w:val="nil"/>
              <w:right w:val="single" w:sz="4" w:space="0" w:color="000000"/>
            </w:tcBorders>
          </w:tcPr>
          <w:p w14:paraId="6FBE589A" w14:textId="77777777" w:rsidR="00314C3D" w:rsidRPr="00374098" w:rsidRDefault="00314C3D">
            <w:pPr>
              <w:pStyle w:val="TableParagraph"/>
              <w:rPr>
                <w:sz w:val="20"/>
                <w:szCs w:val="20"/>
                <w:lang w:val="da-DK"/>
              </w:rPr>
            </w:pPr>
          </w:p>
        </w:tc>
        <w:tc>
          <w:tcPr>
            <w:tcW w:w="1568" w:type="pct"/>
            <w:tcBorders>
              <w:top w:val="nil"/>
              <w:left w:val="single" w:sz="4" w:space="0" w:color="000000"/>
              <w:bottom w:val="nil"/>
              <w:right w:val="single" w:sz="4" w:space="0" w:color="000000"/>
            </w:tcBorders>
            <w:hideMark/>
          </w:tcPr>
          <w:p w14:paraId="7459EDA6" w14:textId="77777777" w:rsidR="00314C3D" w:rsidRPr="00374098" w:rsidRDefault="00314C3D">
            <w:pPr>
              <w:pStyle w:val="TableParagraph"/>
              <w:spacing w:before="5" w:line="238" w:lineRule="exact"/>
              <w:ind w:left="402"/>
              <w:rPr>
                <w:sz w:val="20"/>
                <w:szCs w:val="20"/>
                <w:lang w:val="da-DK"/>
              </w:rPr>
            </w:pPr>
            <w:r w:rsidRPr="00374098">
              <w:rPr>
                <w:sz w:val="20"/>
                <w:szCs w:val="20"/>
                <w:lang w:val="da-DK"/>
              </w:rPr>
              <w:t>LS</w:t>
            </w:r>
            <w:r w:rsidRPr="00374098">
              <w:rPr>
                <w:spacing w:val="-2"/>
                <w:sz w:val="20"/>
                <w:szCs w:val="20"/>
                <w:lang w:val="da-DK"/>
              </w:rPr>
              <w:t xml:space="preserve"> gennemsnitlig</w:t>
            </w:r>
          </w:p>
        </w:tc>
        <w:tc>
          <w:tcPr>
            <w:tcW w:w="821" w:type="pct"/>
            <w:tcBorders>
              <w:top w:val="single" w:sz="4" w:space="0" w:color="000000"/>
              <w:left w:val="single" w:sz="4" w:space="0" w:color="000000"/>
              <w:bottom w:val="nil"/>
              <w:right w:val="single" w:sz="4" w:space="0" w:color="000000"/>
            </w:tcBorders>
            <w:hideMark/>
          </w:tcPr>
          <w:p w14:paraId="38FEF41D" w14:textId="77777777" w:rsidR="00314C3D" w:rsidRPr="00374098" w:rsidRDefault="00314C3D">
            <w:pPr>
              <w:pStyle w:val="TableParagraph"/>
              <w:spacing w:before="5" w:line="238" w:lineRule="exact"/>
              <w:ind w:left="10" w:right="1"/>
              <w:jc w:val="center"/>
              <w:rPr>
                <w:sz w:val="20"/>
                <w:szCs w:val="20"/>
                <w:lang w:val="da-DK"/>
              </w:rPr>
            </w:pPr>
            <w:r w:rsidRPr="00374098">
              <w:rPr>
                <w:sz w:val="20"/>
                <w:szCs w:val="20"/>
                <w:lang w:val="da-DK"/>
              </w:rPr>
              <w:t xml:space="preserve">-15,3 </w:t>
            </w:r>
            <w:r w:rsidRPr="00374098">
              <w:rPr>
                <w:spacing w:val="-2"/>
                <w:sz w:val="20"/>
                <w:szCs w:val="20"/>
                <w:lang w:val="da-DK"/>
              </w:rPr>
              <w:t>(1,08)</w:t>
            </w:r>
          </w:p>
        </w:tc>
        <w:tc>
          <w:tcPr>
            <w:tcW w:w="1391" w:type="pct"/>
            <w:tcBorders>
              <w:top w:val="single" w:sz="4" w:space="0" w:color="000000"/>
              <w:left w:val="single" w:sz="4" w:space="0" w:color="000000"/>
              <w:bottom w:val="nil"/>
              <w:right w:val="single" w:sz="4" w:space="0" w:color="000000"/>
            </w:tcBorders>
            <w:hideMark/>
          </w:tcPr>
          <w:p w14:paraId="27E7CB49" w14:textId="77777777" w:rsidR="00314C3D" w:rsidRPr="00374098" w:rsidRDefault="00314C3D">
            <w:pPr>
              <w:pStyle w:val="TableParagraph"/>
              <w:spacing w:before="5" w:line="238" w:lineRule="exact"/>
              <w:ind w:left="10" w:right="1"/>
              <w:jc w:val="center"/>
              <w:rPr>
                <w:sz w:val="20"/>
                <w:szCs w:val="20"/>
                <w:lang w:val="da-DK"/>
              </w:rPr>
            </w:pPr>
            <w:r w:rsidRPr="00374098">
              <w:rPr>
                <w:sz w:val="20"/>
                <w:szCs w:val="20"/>
                <w:lang w:val="da-DK"/>
              </w:rPr>
              <w:t xml:space="preserve">-21,0 </w:t>
            </w:r>
            <w:r w:rsidRPr="00374098">
              <w:rPr>
                <w:spacing w:val="-2"/>
                <w:sz w:val="20"/>
                <w:szCs w:val="20"/>
                <w:lang w:val="da-DK"/>
              </w:rPr>
              <w:t>(1,06)</w:t>
            </w:r>
          </w:p>
        </w:tc>
      </w:tr>
      <w:tr w:rsidR="00314C3D" w:rsidRPr="00374098" w14:paraId="65F6DD31" w14:textId="77777777" w:rsidTr="00374098">
        <w:trPr>
          <w:trHeight w:val="248"/>
        </w:trPr>
        <w:tc>
          <w:tcPr>
            <w:tcW w:w="1220" w:type="pct"/>
            <w:tcBorders>
              <w:top w:val="nil"/>
              <w:left w:val="single" w:sz="4" w:space="0" w:color="000000"/>
              <w:bottom w:val="nil"/>
              <w:right w:val="single" w:sz="4" w:space="0" w:color="000000"/>
            </w:tcBorders>
          </w:tcPr>
          <w:p w14:paraId="650B866E" w14:textId="77777777" w:rsidR="00314C3D" w:rsidRPr="00374098" w:rsidRDefault="00314C3D">
            <w:pPr>
              <w:pStyle w:val="TableParagraph"/>
              <w:rPr>
                <w:sz w:val="20"/>
                <w:szCs w:val="20"/>
                <w:lang w:val="da-DK"/>
              </w:rPr>
            </w:pPr>
          </w:p>
        </w:tc>
        <w:tc>
          <w:tcPr>
            <w:tcW w:w="1568" w:type="pct"/>
            <w:tcBorders>
              <w:top w:val="nil"/>
              <w:left w:val="single" w:sz="4" w:space="0" w:color="000000"/>
              <w:bottom w:val="nil"/>
              <w:right w:val="single" w:sz="4" w:space="0" w:color="000000"/>
            </w:tcBorders>
            <w:hideMark/>
          </w:tcPr>
          <w:p w14:paraId="06310D79" w14:textId="77777777" w:rsidR="00314C3D" w:rsidRPr="00374098" w:rsidRDefault="00314C3D">
            <w:pPr>
              <w:pStyle w:val="TableParagraph"/>
              <w:spacing w:line="228" w:lineRule="exact"/>
              <w:ind w:left="402"/>
              <w:rPr>
                <w:sz w:val="20"/>
                <w:szCs w:val="20"/>
                <w:lang w:val="da-DK"/>
              </w:rPr>
            </w:pPr>
            <w:r w:rsidRPr="00374098">
              <w:rPr>
                <w:sz w:val="20"/>
                <w:szCs w:val="20"/>
                <w:lang w:val="da-DK"/>
              </w:rPr>
              <w:t xml:space="preserve">ændring </w:t>
            </w:r>
            <w:r w:rsidRPr="00374098">
              <w:rPr>
                <w:spacing w:val="-4"/>
                <w:sz w:val="20"/>
                <w:szCs w:val="20"/>
                <w:lang w:val="da-DK"/>
              </w:rPr>
              <w:t>(SE)</w:t>
            </w:r>
          </w:p>
        </w:tc>
        <w:tc>
          <w:tcPr>
            <w:tcW w:w="821" w:type="pct"/>
            <w:tcBorders>
              <w:top w:val="nil"/>
              <w:left w:val="single" w:sz="4" w:space="0" w:color="000000"/>
              <w:bottom w:val="single" w:sz="4" w:space="0" w:color="000000"/>
              <w:right w:val="single" w:sz="4" w:space="0" w:color="000000"/>
            </w:tcBorders>
          </w:tcPr>
          <w:p w14:paraId="22DE8777" w14:textId="77777777" w:rsidR="00314C3D" w:rsidRPr="00374098" w:rsidRDefault="00314C3D">
            <w:pPr>
              <w:pStyle w:val="TableParagraph"/>
              <w:rPr>
                <w:sz w:val="20"/>
                <w:szCs w:val="20"/>
                <w:lang w:val="da-DK"/>
              </w:rPr>
            </w:pPr>
          </w:p>
        </w:tc>
        <w:tc>
          <w:tcPr>
            <w:tcW w:w="1391" w:type="pct"/>
            <w:tcBorders>
              <w:top w:val="nil"/>
              <w:left w:val="single" w:sz="4" w:space="0" w:color="000000"/>
              <w:bottom w:val="single" w:sz="4" w:space="0" w:color="000000"/>
              <w:right w:val="single" w:sz="4" w:space="0" w:color="000000"/>
            </w:tcBorders>
          </w:tcPr>
          <w:p w14:paraId="4DFFB606" w14:textId="77777777" w:rsidR="00314C3D" w:rsidRPr="00374098" w:rsidRDefault="00314C3D">
            <w:pPr>
              <w:pStyle w:val="TableParagraph"/>
              <w:rPr>
                <w:sz w:val="20"/>
                <w:szCs w:val="20"/>
                <w:lang w:val="da-DK"/>
              </w:rPr>
            </w:pPr>
          </w:p>
        </w:tc>
      </w:tr>
      <w:tr w:rsidR="00314C3D" w:rsidRPr="00374098" w14:paraId="1DF44BAA" w14:textId="77777777" w:rsidTr="00374098">
        <w:trPr>
          <w:trHeight w:val="257"/>
        </w:trPr>
        <w:tc>
          <w:tcPr>
            <w:tcW w:w="1220" w:type="pct"/>
            <w:tcBorders>
              <w:top w:val="nil"/>
              <w:left w:val="single" w:sz="4" w:space="0" w:color="000000"/>
              <w:bottom w:val="nil"/>
              <w:right w:val="single" w:sz="4" w:space="0" w:color="000000"/>
            </w:tcBorders>
          </w:tcPr>
          <w:p w14:paraId="4A9098E9" w14:textId="77777777" w:rsidR="00314C3D" w:rsidRPr="00374098" w:rsidRDefault="00314C3D">
            <w:pPr>
              <w:pStyle w:val="TableParagraph"/>
              <w:rPr>
                <w:sz w:val="20"/>
                <w:szCs w:val="20"/>
                <w:lang w:val="da-DK"/>
              </w:rPr>
            </w:pPr>
          </w:p>
        </w:tc>
        <w:tc>
          <w:tcPr>
            <w:tcW w:w="1568" w:type="pct"/>
            <w:tcBorders>
              <w:top w:val="nil"/>
              <w:left w:val="single" w:sz="4" w:space="0" w:color="000000"/>
              <w:bottom w:val="nil"/>
              <w:right w:val="single" w:sz="4" w:space="0" w:color="000000"/>
            </w:tcBorders>
            <w:hideMark/>
          </w:tcPr>
          <w:p w14:paraId="28470301" w14:textId="77777777" w:rsidR="00314C3D" w:rsidRPr="00374098" w:rsidRDefault="00314C3D">
            <w:pPr>
              <w:pStyle w:val="TableParagraph"/>
              <w:spacing w:before="5" w:line="233" w:lineRule="exact"/>
              <w:ind w:left="115"/>
              <w:rPr>
                <w:sz w:val="20"/>
                <w:szCs w:val="20"/>
                <w:lang w:val="da-DK"/>
              </w:rPr>
            </w:pPr>
            <w:r w:rsidRPr="00374098">
              <w:rPr>
                <w:sz w:val="20"/>
                <w:szCs w:val="20"/>
                <w:lang w:val="da-DK"/>
              </w:rPr>
              <w:t>Behandlingsforskel</w:t>
            </w:r>
            <w:r w:rsidRPr="00374098">
              <w:rPr>
                <w:spacing w:val="-4"/>
                <w:sz w:val="20"/>
                <w:szCs w:val="20"/>
                <w:lang w:val="da-DK"/>
              </w:rPr>
              <w:t xml:space="preserve"> </w:t>
            </w:r>
            <w:r w:rsidRPr="00374098">
              <w:rPr>
                <w:spacing w:val="-5"/>
                <w:sz w:val="20"/>
                <w:szCs w:val="20"/>
                <w:lang w:val="da-DK"/>
              </w:rPr>
              <w:t>vs.</w:t>
            </w:r>
          </w:p>
        </w:tc>
        <w:tc>
          <w:tcPr>
            <w:tcW w:w="821" w:type="pct"/>
            <w:vMerge w:val="restart"/>
            <w:tcBorders>
              <w:top w:val="single" w:sz="4" w:space="0" w:color="000000"/>
              <w:left w:val="single" w:sz="4" w:space="0" w:color="000000"/>
              <w:bottom w:val="single" w:sz="4" w:space="0" w:color="000000"/>
              <w:right w:val="single" w:sz="4" w:space="0" w:color="000000"/>
            </w:tcBorders>
          </w:tcPr>
          <w:p w14:paraId="474B0778" w14:textId="77777777" w:rsidR="00314C3D" w:rsidRPr="00374098" w:rsidRDefault="00314C3D">
            <w:pPr>
              <w:pStyle w:val="TableParagraph"/>
              <w:rPr>
                <w:sz w:val="20"/>
                <w:szCs w:val="20"/>
                <w:lang w:val="da-DK"/>
              </w:rPr>
            </w:pPr>
          </w:p>
        </w:tc>
        <w:tc>
          <w:tcPr>
            <w:tcW w:w="1391" w:type="pct"/>
            <w:vMerge w:val="restart"/>
            <w:tcBorders>
              <w:top w:val="single" w:sz="4" w:space="0" w:color="000000"/>
              <w:left w:val="single" w:sz="4" w:space="0" w:color="000000"/>
              <w:bottom w:val="single" w:sz="4" w:space="0" w:color="000000"/>
              <w:right w:val="single" w:sz="4" w:space="0" w:color="000000"/>
            </w:tcBorders>
          </w:tcPr>
          <w:p w14:paraId="246A52B9" w14:textId="77777777" w:rsidR="00314C3D" w:rsidRPr="00374098" w:rsidRDefault="00314C3D">
            <w:pPr>
              <w:pStyle w:val="TableParagraph"/>
              <w:rPr>
                <w:sz w:val="20"/>
                <w:szCs w:val="20"/>
                <w:lang w:val="da-DK"/>
              </w:rPr>
            </w:pPr>
          </w:p>
        </w:tc>
      </w:tr>
      <w:tr w:rsidR="00314C3D" w:rsidRPr="00374098" w14:paraId="3A6646D2" w14:textId="77777777" w:rsidTr="00374098">
        <w:trPr>
          <w:trHeight w:val="243"/>
        </w:trPr>
        <w:tc>
          <w:tcPr>
            <w:tcW w:w="1220" w:type="pct"/>
            <w:tcBorders>
              <w:top w:val="nil"/>
              <w:left w:val="single" w:sz="4" w:space="0" w:color="000000"/>
              <w:bottom w:val="nil"/>
              <w:right w:val="single" w:sz="4" w:space="0" w:color="000000"/>
            </w:tcBorders>
          </w:tcPr>
          <w:p w14:paraId="40078509" w14:textId="77777777" w:rsidR="00314C3D" w:rsidRPr="00374098" w:rsidRDefault="00314C3D">
            <w:pPr>
              <w:pStyle w:val="TableParagraph"/>
              <w:rPr>
                <w:sz w:val="20"/>
                <w:szCs w:val="20"/>
                <w:lang w:val="da-DK"/>
              </w:rPr>
            </w:pPr>
          </w:p>
        </w:tc>
        <w:tc>
          <w:tcPr>
            <w:tcW w:w="1568" w:type="pct"/>
            <w:tcBorders>
              <w:top w:val="nil"/>
              <w:left w:val="single" w:sz="4" w:space="0" w:color="000000"/>
              <w:bottom w:val="single" w:sz="4" w:space="0" w:color="000000"/>
              <w:right w:val="single" w:sz="4" w:space="0" w:color="000000"/>
            </w:tcBorders>
            <w:hideMark/>
          </w:tcPr>
          <w:p w14:paraId="7B8780A9" w14:textId="77777777" w:rsidR="00314C3D" w:rsidRPr="00374098" w:rsidRDefault="00314C3D">
            <w:pPr>
              <w:pStyle w:val="TableParagraph"/>
              <w:spacing w:line="223" w:lineRule="exact"/>
              <w:ind w:left="115"/>
              <w:rPr>
                <w:sz w:val="20"/>
                <w:szCs w:val="20"/>
                <w:lang w:val="da-DK"/>
              </w:rPr>
            </w:pPr>
            <w:r w:rsidRPr="00374098">
              <w:rPr>
                <w:spacing w:val="-2"/>
                <w:sz w:val="20"/>
                <w:szCs w:val="20"/>
                <w:lang w:val="da-DK"/>
              </w:rPr>
              <w:t>placebo</w:t>
            </w:r>
          </w:p>
        </w:tc>
        <w:tc>
          <w:tcPr>
            <w:tcW w:w="821" w:type="pct"/>
            <w:vMerge/>
            <w:tcBorders>
              <w:top w:val="single" w:sz="4" w:space="0" w:color="000000"/>
              <w:left w:val="single" w:sz="4" w:space="0" w:color="000000"/>
              <w:bottom w:val="single" w:sz="4" w:space="0" w:color="000000"/>
              <w:right w:val="single" w:sz="4" w:space="0" w:color="000000"/>
            </w:tcBorders>
            <w:vAlign w:val="center"/>
            <w:hideMark/>
          </w:tcPr>
          <w:p w14:paraId="185FBDCC" w14:textId="77777777" w:rsidR="00314C3D" w:rsidRPr="00374098" w:rsidRDefault="00314C3D">
            <w:pPr>
              <w:rPr>
                <w:sz w:val="20"/>
              </w:rPr>
            </w:pPr>
          </w:p>
        </w:tc>
        <w:tc>
          <w:tcPr>
            <w:tcW w:w="1391" w:type="pct"/>
            <w:vMerge/>
            <w:tcBorders>
              <w:top w:val="single" w:sz="4" w:space="0" w:color="000000"/>
              <w:left w:val="single" w:sz="4" w:space="0" w:color="000000"/>
              <w:bottom w:val="single" w:sz="4" w:space="0" w:color="000000"/>
              <w:right w:val="single" w:sz="4" w:space="0" w:color="000000"/>
            </w:tcBorders>
            <w:vAlign w:val="center"/>
            <w:hideMark/>
          </w:tcPr>
          <w:p w14:paraId="2C00EBE4" w14:textId="77777777" w:rsidR="00314C3D" w:rsidRPr="00374098" w:rsidRDefault="00314C3D">
            <w:pPr>
              <w:rPr>
                <w:sz w:val="20"/>
              </w:rPr>
            </w:pPr>
          </w:p>
        </w:tc>
      </w:tr>
      <w:tr w:rsidR="00314C3D" w:rsidRPr="00374098" w14:paraId="68806B7B" w14:textId="77777777" w:rsidTr="00374098">
        <w:trPr>
          <w:trHeight w:val="257"/>
        </w:trPr>
        <w:tc>
          <w:tcPr>
            <w:tcW w:w="1220" w:type="pct"/>
            <w:tcBorders>
              <w:top w:val="nil"/>
              <w:left w:val="single" w:sz="4" w:space="0" w:color="000000"/>
              <w:bottom w:val="nil"/>
              <w:right w:val="single" w:sz="4" w:space="0" w:color="000000"/>
            </w:tcBorders>
          </w:tcPr>
          <w:p w14:paraId="00B7BA96" w14:textId="77777777" w:rsidR="00314C3D" w:rsidRPr="00374098" w:rsidRDefault="00314C3D">
            <w:pPr>
              <w:pStyle w:val="TableParagraph"/>
              <w:rPr>
                <w:sz w:val="20"/>
                <w:szCs w:val="20"/>
                <w:lang w:val="da-DK"/>
              </w:rPr>
            </w:pPr>
          </w:p>
        </w:tc>
        <w:tc>
          <w:tcPr>
            <w:tcW w:w="1568" w:type="pct"/>
            <w:tcBorders>
              <w:top w:val="single" w:sz="4" w:space="0" w:color="000000"/>
              <w:left w:val="single" w:sz="4" w:space="0" w:color="000000"/>
              <w:bottom w:val="single" w:sz="4" w:space="0" w:color="000000"/>
              <w:right w:val="single" w:sz="4" w:space="0" w:color="000000"/>
            </w:tcBorders>
            <w:hideMark/>
          </w:tcPr>
          <w:p w14:paraId="237DCD3B" w14:textId="77777777" w:rsidR="00314C3D" w:rsidRPr="00374098" w:rsidRDefault="00314C3D">
            <w:pPr>
              <w:pStyle w:val="TableParagraph"/>
              <w:spacing w:before="5" w:line="233" w:lineRule="exact"/>
              <w:ind w:left="402"/>
              <w:rPr>
                <w:sz w:val="20"/>
                <w:szCs w:val="20"/>
                <w:lang w:val="da-DK"/>
              </w:rPr>
            </w:pPr>
            <w:r w:rsidRPr="00374098">
              <w:rPr>
                <w:sz w:val="20"/>
                <w:szCs w:val="20"/>
                <w:lang w:val="da-DK"/>
              </w:rPr>
              <w:t>Estimat</w:t>
            </w:r>
            <w:r w:rsidRPr="00374098">
              <w:rPr>
                <w:spacing w:val="-1"/>
                <w:sz w:val="20"/>
                <w:szCs w:val="20"/>
                <w:lang w:val="da-DK"/>
              </w:rPr>
              <w:t xml:space="preserve"> </w:t>
            </w:r>
            <w:r w:rsidRPr="00374098">
              <w:rPr>
                <w:sz w:val="20"/>
                <w:szCs w:val="20"/>
                <w:lang w:val="da-DK"/>
              </w:rPr>
              <w:t xml:space="preserve">(SE; 95 </w:t>
            </w:r>
            <w:r w:rsidRPr="00374098">
              <w:rPr>
                <w:spacing w:val="-5"/>
                <w:sz w:val="20"/>
                <w:szCs w:val="20"/>
                <w:lang w:val="da-DK"/>
              </w:rPr>
              <w:t>CI)</w:t>
            </w:r>
          </w:p>
        </w:tc>
        <w:tc>
          <w:tcPr>
            <w:tcW w:w="821" w:type="pct"/>
            <w:tcBorders>
              <w:top w:val="single" w:sz="4" w:space="0" w:color="000000"/>
              <w:left w:val="single" w:sz="4" w:space="0" w:color="000000"/>
              <w:bottom w:val="single" w:sz="4" w:space="0" w:color="000000"/>
              <w:right w:val="single" w:sz="4" w:space="0" w:color="000000"/>
            </w:tcBorders>
            <w:hideMark/>
          </w:tcPr>
          <w:p w14:paraId="2C3727E1" w14:textId="77777777" w:rsidR="00314C3D" w:rsidRPr="00374098" w:rsidRDefault="00314C3D">
            <w:pPr>
              <w:pStyle w:val="TableParagraph"/>
              <w:spacing w:before="5" w:line="23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1391" w:type="pct"/>
            <w:tcBorders>
              <w:top w:val="single" w:sz="4" w:space="0" w:color="000000"/>
              <w:left w:val="single" w:sz="4" w:space="0" w:color="000000"/>
              <w:bottom w:val="single" w:sz="4" w:space="0" w:color="000000"/>
              <w:right w:val="single" w:sz="4" w:space="0" w:color="000000"/>
            </w:tcBorders>
            <w:hideMark/>
          </w:tcPr>
          <w:p w14:paraId="5B01A0BD" w14:textId="77777777" w:rsidR="00314C3D" w:rsidRPr="00374098" w:rsidRDefault="00314C3D">
            <w:pPr>
              <w:pStyle w:val="TableParagraph"/>
              <w:spacing w:before="5" w:line="233" w:lineRule="exact"/>
              <w:ind w:left="10"/>
              <w:jc w:val="center"/>
              <w:rPr>
                <w:sz w:val="20"/>
                <w:szCs w:val="20"/>
                <w:lang w:val="da-DK"/>
              </w:rPr>
            </w:pPr>
            <w:r w:rsidRPr="00374098">
              <w:rPr>
                <w:sz w:val="20"/>
                <w:szCs w:val="20"/>
                <w:lang w:val="da-DK"/>
              </w:rPr>
              <w:t>-5,7 (1,39; -8,4 til</w:t>
            </w:r>
            <w:r w:rsidRPr="00374098">
              <w:rPr>
                <w:spacing w:val="-1"/>
                <w:sz w:val="20"/>
                <w:szCs w:val="20"/>
                <w:lang w:val="da-DK"/>
              </w:rPr>
              <w:t xml:space="preserve"> </w:t>
            </w:r>
            <w:r w:rsidRPr="00374098">
              <w:rPr>
                <w:sz w:val="20"/>
                <w:szCs w:val="20"/>
                <w:lang w:val="da-DK"/>
              </w:rPr>
              <w:t>-</w:t>
            </w:r>
            <w:r w:rsidRPr="00374098">
              <w:rPr>
                <w:spacing w:val="-4"/>
                <w:sz w:val="20"/>
                <w:szCs w:val="20"/>
                <w:lang w:val="da-DK"/>
              </w:rPr>
              <w:t>3,0)</w:t>
            </w:r>
          </w:p>
        </w:tc>
      </w:tr>
      <w:tr w:rsidR="00314C3D" w:rsidRPr="00374098" w14:paraId="47CE4514" w14:textId="77777777" w:rsidTr="00374098">
        <w:trPr>
          <w:trHeight w:val="257"/>
        </w:trPr>
        <w:tc>
          <w:tcPr>
            <w:tcW w:w="1220" w:type="pct"/>
            <w:tcBorders>
              <w:top w:val="nil"/>
              <w:left w:val="single" w:sz="4" w:space="0" w:color="000000"/>
              <w:bottom w:val="single" w:sz="4" w:space="0" w:color="000000"/>
              <w:right w:val="single" w:sz="4" w:space="0" w:color="000000"/>
            </w:tcBorders>
          </w:tcPr>
          <w:p w14:paraId="21A836BC" w14:textId="77777777" w:rsidR="00314C3D" w:rsidRPr="00374098" w:rsidRDefault="00314C3D">
            <w:pPr>
              <w:pStyle w:val="TableParagraph"/>
              <w:rPr>
                <w:sz w:val="20"/>
                <w:szCs w:val="20"/>
                <w:lang w:val="da-DK"/>
              </w:rPr>
            </w:pPr>
          </w:p>
        </w:tc>
        <w:tc>
          <w:tcPr>
            <w:tcW w:w="1568" w:type="pct"/>
            <w:tcBorders>
              <w:top w:val="single" w:sz="4" w:space="0" w:color="000000"/>
              <w:left w:val="single" w:sz="4" w:space="0" w:color="000000"/>
              <w:bottom w:val="single" w:sz="4" w:space="0" w:color="000000"/>
              <w:right w:val="single" w:sz="4" w:space="0" w:color="000000"/>
            </w:tcBorders>
            <w:hideMark/>
          </w:tcPr>
          <w:p w14:paraId="4D489719" w14:textId="77777777" w:rsidR="00314C3D" w:rsidRPr="00374098" w:rsidRDefault="00314C3D">
            <w:pPr>
              <w:pStyle w:val="TableParagraph"/>
              <w:spacing w:before="5" w:line="233" w:lineRule="exact"/>
              <w:ind w:left="402"/>
              <w:rPr>
                <w:sz w:val="20"/>
                <w:szCs w:val="20"/>
                <w:lang w:val="da-DK"/>
              </w:rPr>
            </w:pPr>
            <w:proofErr w:type="spellStart"/>
            <w:r w:rsidRPr="00374098">
              <w:rPr>
                <w:sz w:val="20"/>
                <w:szCs w:val="20"/>
                <w:lang w:val="da-DK"/>
              </w:rPr>
              <w:t>p-</w:t>
            </w:r>
            <w:r w:rsidRPr="00374098">
              <w:rPr>
                <w:spacing w:val="-2"/>
                <w:sz w:val="20"/>
                <w:szCs w:val="20"/>
                <w:lang w:val="da-DK"/>
              </w:rPr>
              <w:t>værdi</w:t>
            </w:r>
            <w:proofErr w:type="spellEnd"/>
          </w:p>
        </w:tc>
        <w:tc>
          <w:tcPr>
            <w:tcW w:w="821" w:type="pct"/>
            <w:tcBorders>
              <w:top w:val="single" w:sz="4" w:space="0" w:color="000000"/>
              <w:left w:val="single" w:sz="4" w:space="0" w:color="000000"/>
              <w:bottom w:val="single" w:sz="4" w:space="0" w:color="000000"/>
              <w:right w:val="single" w:sz="4" w:space="0" w:color="000000"/>
            </w:tcBorders>
            <w:hideMark/>
          </w:tcPr>
          <w:p w14:paraId="74D97AE3" w14:textId="77777777" w:rsidR="00314C3D" w:rsidRPr="00374098" w:rsidRDefault="00314C3D">
            <w:pPr>
              <w:pStyle w:val="TableParagraph"/>
              <w:spacing w:before="5" w:line="23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1391" w:type="pct"/>
            <w:tcBorders>
              <w:top w:val="single" w:sz="4" w:space="0" w:color="000000"/>
              <w:left w:val="single" w:sz="4" w:space="0" w:color="000000"/>
              <w:bottom w:val="single" w:sz="4" w:space="0" w:color="000000"/>
              <w:right w:val="single" w:sz="4" w:space="0" w:color="000000"/>
            </w:tcBorders>
            <w:hideMark/>
          </w:tcPr>
          <w:p w14:paraId="564C4A61" w14:textId="77777777" w:rsidR="00314C3D" w:rsidRPr="00374098" w:rsidRDefault="00314C3D">
            <w:pPr>
              <w:pStyle w:val="TableParagraph"/>
              <w:spacing w:before="5" w:line="233" w:lineRule="exact"/>
              <w:ind w:left="10"/>
              <w:jc w:val="center"/>
              <w:rPr>
                <w:sz w:val="20"/>
                <w:szCs w:val="20"/>
                <w:lang w:val="da-DK"/>
              </w:rPr>
            </w:pPr>
            <w:r w:rsidRPr="00374098">
              <w:rPr>
                <w:sz w:val="20"/>
                <w:szCs w:val="20"/>
                <w:lang w:val="da-DK"/>
              </w:rPr>
              <w:t xml:space="preserve">&lt; </w:t>
            </w:r>
            <w:r w:rsidRPr="00374098">
              <w:rPr>
                <w:spacing w:val="-2"/>
                <w:sz w:val="20"/>
                <w:szCs w:val="20"/>
                <w:lang w:val="da-DK"/>
              </w:rPr>
              <w:t>0,0001</w:t>
            </w:r>
          </w:p>
        </w:tc>
      </w:tr>
      <w:tr w:rsidR="00314C3D" w:rsidRPr="00374098" w14:paraId="6DB48D93" w14:textId="77777777" w:rsidTr="00374098">
        <w:trPr>
          <w:trHeight w:val="252"/>
        </w:trPr>
        <w:tc>
          <w:tcPr>
            <w:tcW w:w="5000" w:type="pct"/>
            <w:gridSpan w:val="4"/>
            <w:tcBorders>
              <w:top w:val="single" w:sz="4" w:space="0" w:color="000000"/>
              <w:left w:val="single" w:sz="4" w:space="0" w:color="000000"/>
              <w:bottom w:val="single" w:sz="4" w:space="0" w:color="000000"/>
              <w:right w:val="single" w:sz="4" w:space="0" w:color="000000"/>
            </w:tcBorders>
          </w:tcPr>
          <w:p w14:paraId="4F3CE1F0" w14:textId="77777777" w:rsidR="00314C3D" w:rsidRPr="00374098" w:rsidRDefault="00314C3D">
            <w:pPr>
              <w:pStyle w:val="TableParagraph"/>
              <w:rPr>
                <w:sz w:val="20"/>
                <w:szCs w:val="20"/>
                <w:lang w:val="da-DK"/>
              </w:rPr>
            </w:pPr>
          </w:p>
        </w:tc>
      </w:tr>
      <w:tr w:rsidR="00314C3D" w:rsidRPr="00374098" w14:paraId="232D040C" w14:textId="77777777" w:rsidTr="00374098">
        <w:trPr>
          <w:trHeight w:val="252"/>
        </w:trPr>
        <w:tc>
          <w:tcPr>
            <w:tcW w:w="1220" w:type="pct"/>
            <w:vMerge w:val="restart"/>
            <w:tcBorders>
              <w:top w:val="single" w:sz="4" w:space="0" w:color="000000"/>
              <w:left w:val="single" w:sz="4" w:space="0" w:color="000000"/>
              <w:bottom w:val="single" w:sz="4" w:space="0" w:color="000000"/>
              <w:right w:val="single" w:sz="4" w:space="0" w:color="000000"/>
            </w:tcBorders>
            <w:hideMark/>
          </w:tcPr>
          <w:p w14:paraId="42A834FE" w14:textId="77777777" w:rsidR="00314C3D" w:rsidRPr="00374098" w:rsidRDefault="00314C3D">
            <w:pPr>
              <w:pStyle w:val="TableParagraph"/>
              <w:ind w:left="115" w:right="129"/>
              <w:rPr>
                <w:sz w:val="20"/>
                <w:szCs w:val="20"/>
                <w:lang w:val="da-DK"/>
              </w:rPr>
            </w:pPr>
            <w:r w:rsidRPr="00374098">
              <w:rPr>
                <w:sz w:val="20"/>
                <w:szCs w:val="20"/>
                <w:lang w:val="da-DK"/>
              </w:rPr>
              <w:t>Vigtigste sekundære endepunkt:</w:t>
            </w:r>
            <w:r w:rsidRPr="00374098">
              <w:rPr>
                <w:spacing w:val="-14"/>
                <w:sz w:val="20"/>
                <w:szCs w:val="20"/>
                <w:lang w:val="da-DK"/>
              </w:rPr>
              <w:t xml:space="preserve"> </w:t>
            </w:r>
            <w:r w:rsidRPr="00374098">
              <w:rPr>
                <w:sz w:val="20"/>
                <w:szCs w:val="20"/>
                <w:lang w:val="da-DK"/>
              </w:rPr>
              <w:t>CGI-BP-S Depression Score</w:t>
            </w:r>
          </w:p>
        </w:tc>
        <w:tc>
          <w:tcPr>
            <w:tcW w:w="1568" w:type="pct"/>
            <w:tcBorders>
              <w:top w:val="single" w:sz="4" w:space="0" w:color="000000"/>
              <w:left w:val="single" w:sz="4" w:space="0" w:color="000000"/>
              <w:bottom w:val="single" w:sz="4" w:space="0" w:color="000000"/>
              <w:right w:val="single" w:sz="4" w:space="0" w:color="000000"/>
            </w:tcBorders>
          </w:tcPr>
          <w:p w14:paraId="4A05C007" w14:textId="77777777" w:rsidR="00314C3D" w:rsidRPr="00374098" w:rsidRDefault="00314C3D">
            <w:pPr>
              <w:pStyle w:val="TableParagraph"/>
              <w:rPr>
                <w:sz w:val="20"/>
                <w:szCs w:val="20"/>
                <w:lang w:val="da-DK"/>
              </w:rPr>
            </w:pPr>
          </w:p>
        </w:tc>
        <w:tc>
          <w:tcPr>
            <w:tcW w:w="821" w:type="pct"/>
            <w:tcBorders>
              <w:top w:val="single" w:sz="4" w:space="0" w:color="000000"/>
              <w:left w:val="single" w:sz="4" w:space="0" w:color="000000"/>
              <w:bottom w:val="single" w:sz="4" w:space="0" w:color="000000"/>
              <w:right w:val="single" w:sz="4" w:space="0" w:color="000000"/>
            </w:tcBorders>
            <w:hideMark/>
          </w:tcPr>
          <w:p w14:paraId="59A49885" w14:textId="77777777" w:rsidR="00314C3D" w:rsidRPr="00374098" w:rsidRDefault="00314C3D">
            <w:pPr>
              <w:pStyle w:val="TableParagraph"/>
              <w:spacing w:line="233" w:lineRule="exact"/>
              <w:ind w:left="10" w:right="1"/>
              <w:jc w:val="center"/>
              <w:rPr>
                <w:sz w:val="20"/>
                <w:szCs w:val="20"/>
                <w:lang w:val="da-DK"/>
              </w:rPr>
            </w:pPr>
            <w:r w:rsidRPr="00374098">
              <w:rPr>
                <w:spacing w:val="-2"/>
                <w:sz w:val="20"/>
                <w:szCs w:val="20"/>
                <w:lang w:val="da-DK"/>
              </w:rPr>
              <w:t>N=170</w:t>
            </w:r>
          </w:p>
        </w:tc>
        <w:tc>
          <w:tcPr>
            <w:tcW w:w="1391" w:type="pct"/>
            <w:tcBorders>
              <w:top w:val="single" w:sz="4" w:space="0" w:color="000000"/>
              <w:left w:val="single" w:sz="4" w:space="0" w:color="000000"/>
              <w:bottom w:val="single" w:sz="4" w:space="0" w:color="000000"/>
              <w:right w:val="single" w:sz="4" w:space="0" w:color="000000"/>
            </w:tcBorders>
            <w:hideMark/>
          </w:tcPr>
          <w:p w14:paraId="1A7C0734" w14:textId="77777777" w:rsidR="00314C3D" w:rsidRPr="00374098" w:rsidRDefault="00314C3D">
            <w:pPr>
              <w:pStyle w:val="TableParagraph"/>
              <w:spacing w:line="233" w:lineRule="exact"/>
              <w:ind w:left="10" w:right="1"/>
              <w:jc w:val="center"/>
              <w:rPr>
                <w:sz w:val="20"/>
                <w:szCs w:val="20"/>
                <w:lang w:val="da-DK"/>
              </w:rPr>
            </w:pPr>
            <w:r w:rsidRPr="00374098">
              <w:rPr>
                <w:spacing w:val="-2"/>
                <w:sz w:val="20"/>
                <w:szCs w:val="20"/>
                <w:lang w:val="da-DK"/>
              </w:rPr>
              <w:t>N=173</w:t>
            </w:r>
          </w:p>
        </w:tc>
      </w:tr>
      <w:tr w:rsidR="00314C3D" w:rsidRPr="00374098" w14:paraId="2878FA9E" w14:textId="77777777" w:rsidTr="00374098">
        <w:trPr>
          <w:trHeight w:val="257"/>
        </w:trPr>
        <w:tc>
          <w:tcPr>
            <w:tcW w:w="1220" w:type="pct"/>
            <w:vMerge/>
            <w:tcBorders>
              <w:top w:val="single" w:sz="4" w:space="0" w:color="000000"/>
              <w:left w:val="single" w:sz="4" w:space="0" w:color="000000"/>
              <w:bottom w:val="single" w:sz="4" w:space="0" w:color="000000"/>
              <w:right w:val="single" w:sz="4" w:space="0" w:color="000000"/>
            </w:tcBorders>
            <w:vAlign w:val="center"/>
            <w:hideMark/>
          </w:tcPr>
          <w:p w14:paraId="11011601" w14:textId="77777777" w:rsidR="00314C3D" w:rsidRPr="00374098" w:rsidRDefault="00314C3D">
            <w:pPr>
              <w:rPr>
                <w:sz w:val="20"/>
              </w:rPr>
            </w:pPr>
          </w:p>
        </w:tc>
        <w:tc>
          <w:tcPr>
            <w:tcW w:w="1568" w:type="pct"/>
            <w:tcBorders>
              <w:top w:val="single" w:sz="4" w:space="0" w:color="000000"/>
              <w:left w:val="single" w:sz="4" w:space="0" w:color="000000"/>
              <w:bottom w:val="single" w:sz="4" w:space="0" w:color="000000"/>
              <w:right w:val="single" w:sz="4" w:space="0" w:color="000000"/>
            </w:tcBorders>
            <w:hideMark/>
          </w:tcPr>
          <w:p w14:paraId="71B5EF70" w14:textId="77777777" w:rsidR="00314C3D" w:rsidRPr="00374098" w:rsidRDefault="00314C3D">
            <w:pPr>
              <w:pStyle w:val="TableParagraph"/>
              <w:spacing w:before="5" w:line="233" w:lineRule="exact"/>
              <w:ind w:right="117"/>
              <w:jc w:val="right"/>
              <w:rPr>
                <w:sz w:val="20"/>
                <w:szCs w:val="20"/>
                <w:lang w:val="da-DK"/>
              </w:rPr>
            </w:pPr>
            <w:r w:rsidRPr="00374098">
              <w:rPr>
                <w:sz w:val="20"/>
                <w:szCs w:val="20"/>
                <w:lang w:val="da-DK"/>
              </w:rPr>
              <w:t>Baseline</w:t>
            </w:r>
            <w:r w:rsidRPr="00374098">
              <w:rPr>
                <w:spacing w:val="-1"/>
                <w:sz w:val="20"/>
                <w:szCs w:val="20"/>
                <w:lang w:val="da-DK"/>
              </w:rPr>
              <w:t xml:space="preserve"> </w:t>
            </w:r>
            <w:r w:rsidRPr="00374098">
              <w:rPr>
                <w:sz w:val="20"/>
                <w:szCs w:val="20"/>
                <w:lang w:val="da-DK"/>
              </w:rPr>
              <w:t xml:space="preserve">gennemsnit </w:t>
            </w:r>
            <w:r w:rsidRPr="00374098">
              <w:rPr>
                <w:spacing w:val="-4"/>
                <w:sz w:val="20"/>
                <w:szCs w:val="20"/>
                <w:lang w:val="da-DK"/>
              </w:rPr>
              <w:t>(SD)</w:t>
            </w:r>
          </w:p>
        </w:tc>
        <w:tc>
          <w:tcPr>
            <w:tcW w:w="821" w:type="pct"/>
            <w:tcBorders>
              <w:top w:val="single" w:sz="4" w:space="0" w:color="000000"/>
              <w:left w:val="single" w:sz="4" w:space="0" w:color="000000"/>
              <w:bottom w:val="single" w:sz="4" w:space="0" w:color="000000"/>
              <w:right w:val="single" w:sz="4" w:space="0" w:color="000000"/>
            </w:tcBorders>
            <w:hideMark/>
          </w:tcPr>
          <w:p w14:paraId="6BAF9C0A" w14:textId="77777777" w:rsidR="00314C3D" w:rsidRPr="00374098" w:rsidRDefault="00314C3D">
            <w:pPr>
              <w:pStyle w:val="TableParagraph"/>
              <w:spacing w:before="5" w:line="233" w:lineRule="exact"/>
              <w:ind w:left="10"/>
              <w:jc w:val="center"/>
              <w:rPr>
                <w:sz w:val="20"/>
                <w:szCs w:val="20"/>
                <w:lang w:val="da-DK"/>
              </w:rPr>
            </w:pPr>
            <w:r w:rsidRPr="00374098">
              <w:rPr>
                <w:spacing w:val="-5"/>
                <w:sz w:val="20"/>
                <w:szCs w:val="20"/>
                <w:lang w:val="da-DK"/>
              </w:rPr>
              <w:t>4,5</w:t>
            </w:r>
          </w:p>
        </w:tc>
        <w:tc>
          <w:tcPr>
            <w:tcW w:w="1391" w:type="pct"/>
            <w:tcBorders>
              <w:top w:val="single" w:sz="4" w:space="0" w:color="000000"/>
              <w:left w:val="single" w:sz="4" w:space="0" w:color="000000"/>
              <w:bottom w:val="single" w:sz="4" w:space="0" w:color="000000"/>
              <w:right w:val="single" w:sz="4" w:space="0" w:color="000000"/>
            </w:tcBorders>
            <w:hideMark/>
          </w:tcPr>
          <w:p w14:paraId="4B020B51" w14:textId="77777777" w:rsidR="00314C3D" w:rsidRPr="00374098" w:rsidRDefault="00314C3D">
            <w:pPr>
              <w:pStyle w:val="TableParagraph"/>
              <w:spacing w:before="5" w:line="233" w:lineRule="exact"/>
              <w:ind w:left="10"/>
              <w:jc w:val="center"/>
              <w:rPr>
                <w:sz w:val="20"/>
                <w:szCs w:val="20"/>
                <w:lang w:val="da-DK"/>
              </w:rPr>
            </w:pPr>
            <w:r w:rsidRPr="00374098">
              <w:rPr>
                <w:spacing w:val="-5"/>
                <w:sz w:val="20"/>
                <w:szCs w:val="20"/>
                <w:lang w:val="da-DK"/>
              </w:rPr>
              <w:t>4,6</w:t>
            </w:r>
          </w:p>
        </w:tc>
      </w:tr>
      <w:tr w:rsidR="00314C3D" w:rsidRPr="00374098" w14:paraId="30136FD5" w14:textId="77777777" w:rsidTr="00374098">
        <w:trPr>
          <w:trHeight w:val="510"/>
        </w:trPr>
        <w:tc>
          <w:tcPr>
            <w:tcW w:w="1220" w:type="pct"/>
            <w:vMerge/>
            <w:tcBorders>
              <w:top w:val="single" w:sz="4" w:space="0" w:color="000000"/>
              <w:left w:val="single" w:sz="4" w:space="0" w:color="000000"/>
              <w:bottom w:val="single" w:sz="4" w:space="0" w:color="000000"/>
              <w:right w:val="single" w:sz="4" w:space="0" w:color="000000"/>
            </w:tcBorders>
            <w:vAlign w:val="center"/>
            <w:hideMark/>
          </w:tcPr>
          <w:p w14:paraId="44335138" w14:textId="77777777" w:rsidR="00314C3D" w:rsidRPr="00374098" w:rsidRDefault="00314C3D">
            <w:pPr>
              <w:rPr>
                <w:sz w:val="20"/>
              </w:rPr>
            </w:pPr>
          </w:p>
        </w:tc>
        <w:tc>
          <w:tcPr>
            <w:tcW w:w="1568" w:type="pct"/>
            <w:tcBorders>
              <w:top w:val="single" w:sz="4" w:space="0" w:color="000000"/>
              <w:left w:val="single" w:sz="4" w:space="0" w:color="000000"/>
              <w:bottom w:val="single" w:sz="4" w:space="0" w:color="000000"/>
              <w:right w:val="single" w:sz="4" w:space="0" w:color="000000"/>
            </w:tcBorders>
            <w:hideMark/>
          </w:tcPr>
          <w:p w14:paraId="7FBFB8AB" w14:textId="77777777" w:rsidR="00314C3D" w:rsidRPr="00374098" w:rsidRDefault="00314C3D">
            <w:pPr>
              <w:pStyle w:val="TableParagraph"/>
              <w:spacing w:line="250" w:lineRule="atLeast"/>
              <w:ind w:left="402" w:right="865"/>
              <w:rPr>
                <w:sz w:val="20"/>
                <w:szCs w:val="20"/>
                <w:lang w:val="da-DK"/>
              </w:rPr>
            </w:pPr>
            <w:r w:rsidRPr="00374098">
              <w:rPr>
                <w:sz w:val="20"/>
                <w:szCs w:val="20"/>
                <w:lang w:val="da-DK"/>
              </w:rPr>
              <w:t>LS</w:t>
            </w:r>
            <w:r w:rsidRPr="00374098">
              <w:rPr>
                <w:spacing w:val="-14"/>
                <w:sz w:val="20"/>
                <w:szCs w:val="20"/>
                <w:lang w:val="da-DK"/>
              </w:rPr>
              <w:t xml:space="preserve"> </w:t>
            </w:r>
            <w:r w:rsidRPr="00374098">
              <w:rPr>
                <w:sz w:val="20"/>
                <w:szCs w:val="20"/>
                <w:lang w:val="da-DK"/>
              </w:rPr>
              <w:t>gennemsnitlig ændring (SE)</w:t>
            </w:r>
          </w:p>
        </w:tc>
        <w:tc>
          <w:tcPr>
            <w:tcW w:w="821" w:type="pct"/>
            <w:tcBorders>
              <w:top w:val="single" w:sz="4" w:space="0" w:color="000000"/>
              <w:left w:val="single" w:sz="4" w:space="0" w:color="000000"/>
              <w:bottom w:val="single" w:sz="4" w:space="0" w:color="000000"/>
              <w:right w:val="single" w:sz="4" w:space="0" w:color="000000"/>
            </w:tcBorders>
            <w:hideMark/>
          </w:tcPr>
          <w:p w14:paraId="791C6477" w14:textId="77777777" w:rsidR="00314C3D" w:rsidRPr="00374098" w:rsidRDefault="00314C3D">
            <w:pPr>
              <w:pStyle w:val="TableParagraph"/>
              <w:spacing w:before="5"/>
              <w:ind w:left="10" w:right="1"/>
              <w:jc w:val="center"/>
              <w:rPr>
                <w:sz w:val="20"/>
                <w:szCs w:val="20"/>
                <w:lang w:val="da-DK"/>
              </w:rPr>
            </w:pPr>
            <w:r w:rsidRPr="00374098">
              <w:rPr>
                <w:sz w:val="20"/>
                <w:szCs w:val="20"/>
                <w:lang w:val="da-DK"/>
              </w:rPr>
              <w:t xml:space="preserve">-1,05 </w:t>
            </w:r>
            <w:r w:rsidRPr="00374098">
              <w:rPr>
                <w:spacing w:val="-2"/>
                <w:sz w:val="20"/>
                <w:szCs w:val="20"/>
                <w:lang w:val="da-DK"/>
              </w:rPr>
              <w:t>(0,087)</w:t>
            </w:r>
          </w:p>
        </w:tc>
        <w:tc>
          <w:tcPr>
            <w:tcW w:w="1391" w:type="pct"/>
            <w:tcBorders>
              <w:top w:val="single" w:sz="4" w:space="0" w:color="000000"/>
              <w:left w:val="single" w:sz="4" w:space="0" w:color="000000"/>
              <w:bottom w:val="single" w:sz="4" w:space="0" w:color="000000"/>
              <w:right w:val="single" w:sz="4" w:space="0" w:color="000000"/>
            </w:tcBorders>
            <w:hideMark/>
          </w:tcPr>
          <w:p w14:paraId="51471C3F" w14:textId="77777777" w:rsidR="00314C3D" w:rsidRPr="00374098" w:rsidRDefault="00314C3D">
            <w:pPr>
              <w:pStyle w:val="TableParagraph"/>
              <w:spacing w:before="5"/>
              <w:ind w:left="10" w:right="1"/>
              <w:jc w:val="center"/>
              <w:rPr>
                <w:sz w:val="20"/>
                <w:szCs w:val="20"/>
                <w:lang w:val="da-DK"/>
              </w:rPr>
            </w:pPr>
            <w:r w:rsidRPr="00374098">
              <w:rPr>
                <w:sz w:val="20"/>
                <w:szCs w:val="20"/>
                <w:lang w:val="da-DK"/>
              </w:rPr>
              <w:t xml:space="preserve">-1,49 </w:t>
            </w:r>
            <w:r w:rsidRPr="00374098">
              <w:rPr>
                <w:spacing w:val="-2"/>
                <w:sz w:val="20"/>
                <w:szCs w:val="20"/>
                <w:lang w:val="da-DK"/>
              </w:rPr>
              <w:t>(0,085)</w:t>
            </w:r>
          </w:p>
        </w:tc>
      </w:tr>
      <w:tr w:rsidR="00314C3D" w:rsidRPr="00374098" w14:paraId="0083D5B4" w14:textId="77777777" w:rsidTr="00374098">
        <w:trPr>
          <w:trHeight w:val="510"/>
        </w:trPr>
        <w:tc>
          <w:tcPr>
            <w:tcW w:w="1220" w:type="pct"/>
            <w:vMerge/>
            <w:tcBorders>
              <w:top w:val="single" w:sz="4" w:space="0" w:color="000000"/>
              <w:left w:val="single" w:sz="4" w:space="0" w:color="000000"/>
              <w:bottom w:val="single" w:sz="4" w:space="0" w:color="000000"/>
              <w:right w:val="single" w:sz="4" w:space="0" w:color="000000"/>
            </w:tcBorders>
            <w:vAlign w:val="center"/>
            <w:hideMark/>
          </w:tcPr>
          <w:p w14:paraId="74B61B23" w14:textId="77777777" w:rsidR="00314C3D" w:rsidRPr="00374098" w:rsidRDefault="00314C3D">
            <w:pPr>
              <w:rPr>
                <w:sz w:val="20"/>
              </w:rPr>
            </w:pPr>
          </w:p>
        </w:tc>
        <w:tc>
          <w:tcPr>
            <w:tcW w:w="1568" w:type="pct"/>
            <w:tcBorders>
              <w:top w:val="single" w:sz="4" w:space="0" w:color="000000"/>
              <w:left w:val="single" w:sz="4" w:space="0" w:color="000000"/>
              <w:bottom w:val="single" w:sz="4" w:space="0" w:color="000000"/>
              <w:right w:val="single" w:sz="4" w:space="0" w:color="000000"/>
            </w:tcBorders>
            <w:hideMark/>
          </w:tcPr>
          <w:p w14:paraId="093C08FA" w14:textId="77777777" w:rsidR="00314C3D" w:rsidRPr="00374098" w:rsidRDefault="00314C3D">
            <w:pPr>
              <w:pStyle w:val="TableParagraph"/>
              <w:spacing w:line="250" w:lineRule="atLeast"/>
              <w:ind w:left="115" w:right="804"/>
              <w:rPr>
                <w:sz w:val="20"/>
                <w:szCs w:val="20"/>
                <w:lang w:val="da-DK"/>
              </w:rPr>
            </w:pPr>
            <w:r w:rsidRPr="00374098">
              <w:rPr>
                <w:sz w:val="20"/>
                <w:szCs w:val="20"/>
                <w:lang w:val="da-DK"/>
              </w:rPr>
              <w:t>Behandlingsforskel</w:t>
            </w:r>
            <w:r w:rsidRPr="00374098">
              <w:rPr>
                <w:spacing w:val="-14"/>
                <w:sz w:val="20"/>
                <w:szCs w:val="20"/>
                <w:lang w:val="da-DK"/>
              </w:rPr>
              <w:t xml:space="preserve"> </w:t>
            </w:r>
            <w:r w:rsidRPr="00374098">
              <w:rPr>
                <w:sz w:val="20"/>
                <w:szCs w:val="20"/>
                <w:lang w:val="da-DK"/>
              </w:rPr>
              <w:t xml:space="preserve">vs. </w:t>
            </w:r>
            <w:r w:rsidRPr="00374098">
              <w:rPr>
                <w:spacing w:val="-2"/>
                <w:sz w:val="20"/>
                <w:szCs w:val="20"/>
                <w:lang w:val="da-DK"/>
              </w:rPr>
              <w:t>placebo</w:t>
            </w:r>
          </w:p>
        </w:tc>
        <w:tc>
          <w:tcPr>
            <w:tcW w:w="821" w:type="pct"/>
            <w:tcBorders>
              <w:top w:val="single" w:sz="4" w:space="0" w:color="000000"/>
              <w:left w:val="single" w:sz="4" w:space="0" w:color="000000"/>
              <w:bottom w:val="single" w:sz="4" w:space="0" w:color="000000"/>
              <w:right w:val="single" w:sz="4" w:space="0" w:color="000000"/>
            </w:tcBorders>
          </w:tcPr>
          <w:p w14:paraId="5F310AA7" w14:textId="77777777" w:rsidR="00314C3D" w:rsidRPr="00374098" w:rsidRDefault="00314C3D">
            <w:pPr>
              <w:pStyle w:val="TableParagraph"/>
              <w:rPr>
                <w:sz w:val="20"/>
                <w:szCs w:val="20"/>
                <w:lang w:val="da-DK"/>
              </w:rPr>
            </w:pPr>
          </w:p>
        </w:tc>
        <w:tc>
          <w:tcPr>
            <w:tcW w:w="1391" w:type="pct"/>
            <w:tcBorders>
              <w:top w:val="single" w:sz="4" w:space="0" w:color="000000"/>
              <w:left w:val="single" w:sz="4" w:space="0" w:color="000000"/>
              <w:bottom w:val="single" w:sz="4" w:space="0" w:color="000000"/>
              <w:right w:val="single" w:sz="4" w:space="0" w:color="000000"/>
            </w:tcBorders>
          </w:tcPr>
          <w:p w14:paraId="77728C78" w14:textId="77777777" w:rsidR="00314C3D" w:rsidRPr="00374098" w:rsidRDefault="00314C3D">
            <w:pPr>
              <w:pStyle w:val="TableParagraph"/>
              <w:rPr>
                <w:sz w:val="20"/>
                <w:szCs w:val="20"/>
                <w:lang w:val="da-DK"/>
              </w:rPr>
            </w:pPr>
          </w:p>
        </w:tc>
      </w:tr>
      <w:tr w:rsidR="00314C3D" w:rsidRPr="00374098" w14:paraId="5179D4FC" w14:textId="77777777" w:rsidTr="00374098">
        <w:trPr>
          <w:trHeight w:val="510"/>
        </w:trPr>
        <w:tc>
          <w:tcPr>
            <w:tcW w:w="1220" w:type="pct"/>
            <w:vMerge/>
            <w:tcBorders>
              <w:top w:val="single" w:sz="4" w:space="0" w:color="000000"/>
              <w:left w:val="single" w:sz="4" w:space="0" w:color="000000"/>
              <w:bottom w:val="single" w:sz="4" w:space="0" w:color="000000"/>
              <w:right w:val="single" w:sz="4" w:space="0" w:color="000000"/>
            </w:tcBorders>
            <w:vAlign w:val="center"/>
            <w:hideMark/>
          </w:tcPr>
          <w:p w14:paraId="5CAA027A" w14:textId="77777777" w:rsidR="00314C3D" w:rsidRPr="00374098" w:rsidRDefault="00314C3D">
            <w:pPr>
              <w:rPr>
                <w:sz w:val="20"/>
              </w:rPr>
            </w:pPr>
          </w:p>
        </w:tc>
        <w:tc>
          <w:tcPr>
            <w:tcW w:w="1568" w:type="pct"/>
            <w:tcBorders>
              <w:top w:val="single" w:sz="4" w:space="0" w:color="000000"/>
              <w:left w:val="single" w:sz="4" w:space="0" w:color="000000"/>
              <w:bottom w:val="single" w:sz="4" w:space="0" w:color="000000"/>
              <w:right w:val="single" w:sz="4" w:space="0" w:color="000000"/>
            </w:tcBorders>
            <w:hideMark/>
          </w:tcPr>
          <w:p w14:paraId="012DE2FC" w14:textId="77777777" w:rsidR="00314C3D" w:rsidRPr="00374098" w:rsidRDefault="00314C3D">
            <w:pPr>
              <w:pStyle w:val="TableParagraph"/>
              <w:spacing w:before="5"/>
              <w:ind w:left="402"/>
              <w:rPr>
                <w:sz w:val="20"/>
                <w:szCs w:val="20"/>
                <w:lang w:val="da-DK"/>
              </w:rPr>
            </w:pPr>
            <w:r w:rsidRPr="00374098">
              <w:rPr>
                <w:sz w:val="20"/>
                <w:szCs w:val="20"/>
                <w:lang w:val="da-DK"/>
              </w:rPr>
              <w:t>Estimat</w:t>
            </w:r>
            <w:r w:rsidRPr="00374098">
              <w:rPr>
                <w:spacing w:val="-1"/>
                <w:sz w:val="20"/>
                <w:szCs w:val="20"/>
                <w:lang w:val="da-DK"/>
              </w:rPr>
              <w:t xml:space="preserve"> </w:t>
            </w:r>
            <w:r w:rsidRPr="00374098">
              <w:rPr>
                <w:sz w:val="20"/>
                <w:szCs w:val="20"/>
                <w:lang w:val="da-DK"/>
              </w:rPr>
              <w:t xml:space="preserve">(SE; 95 </w:t>
            </w:r>
            <w:r w:rsidRPr="00374098">
              <w:rPr>
                <w:spacing w:val="-5"/>
                <w:sz w:val="20"/>
                <w:szCs w:val="20"/>
                <w:lang w:val="da-DK"/>
              </w:rPr>
              <w:t>CI)</w:t>
            </w:r>
          </w:p>
        </w:tc>
        <w:tc>
          <w:tcPr>
            <w:tcW w:w="821" w:type="pct"/>
            <w:tcBorders>
              <w:top w:val="single" w:sz="4" w:space="0" w:color="000000"/>
              <w:left w:val="single" w:sz="4" w:space="0" w:color="000000"/>
              <w:bottom w:val="single" w:sz="4" w:space="0" w:color="000000"/>
              <w:right w:val="single" w:sz="4" w:space="0" w:color="000000"/>
            </w:tcBorders>
            <w:hideMark/>
          </w:tcPr>
          <w:p w14:paraId="58698243" w14:textId="77777777" w:rsidR="00314C3D" w:rsidRPr="00374098" w:rsidRDefault="00314C3D">
            <w:pPr>
              <w:pStyle w:val="TableParagraph"/>
              <w:spacing w:before="5"/>
              <w:ind w:left="10"/>
              <w:jc w:val="center"/>
              <w:rPr>
                <w:sz w:val="20"/>
                <w:szCs w:val="20"/>
                <w:lang w:val="da-DK"/>
              </w:rPr>
            </w:pPr>
            <w:r w:rsidRPr="00374098">
              <w:rPr>
                <w:sz w:val="20"/>
                <w:szCs w:val="20"/>
                <w:lang w:val="da-DK"/>
              </w:rPr>
              <w:t>-</w:t>
            </w:r>
            <w:r w:rsidRPr="00374098">
              <w:rPr>
                <w:spacing w:val="-10"/>
                <w:sz w:val="20"/>
                <w:szCs w:val="20"/>
                <w:lang w:val="da-DK"/>
              </w:rPr>
              <w:t>-</w:t>
            </w:r>
          </w:p>
        </w:tc>
        <w:tc>
          <w:tcPr>
            <w:tcW w:w="1391" w:type="pct"/>
            <w:tcBorders>
              <w:top w:val="single" w:sz="4" w:space="0" w:color="000000"/>
              <w:left w:val="single" w:sz="4" w:space="0" w:color="000000"/>
              <w:bottom w:val="single" w:sz="4" w:space="0" w:color="000000"/>
              <w:right w:val="single" w:sz="4" w:space="0" w:color="000000"/>
            </w:tcBorders>
            <w:hideMark/>
          </w:tcPr>
          <w:p w14:paraId="62B71E54" w14:textId="77777777" w:rsidR="00314C3D" w:rsidRPr="00374098" w:rsidRDefault="00314C3D">
            <w:pPr>
              <w:pStyle w:val="TableParagraph"/>
              <w:spacing w:before="5"/>
              <w:ind w:left="10"/>
              <w:jc w:val="center"/>
              <w:rPr>
                <w:sz w:val="20"/>
                <w:szCs w:val="20"/>
                <w:lang w:val="da-DK"/>
              </w:rPr>
            </w:pPr>
            <w:r w:rsidRPr="00374098">
              <w:rPr>
                <w:sz w:val="20"/>
                <w:szCs w:val="20"/>
                <w:lang w:val="da-DK"/>
              </w:rPr>
              <w:t xml:space="preserve">-0,44 (0,112; -0,66 </w:t>
            </w:r>
            <w:r w:rsidRPr="00374098">
              <w:rPr>
                <w:spacing w:val="-5"/>
                <w:sz w:val="20"/>
                <w:szCs w:val="20"/>
                <w:lang w:val="da-DK"/>
              </w:rPr>
              <w:t>til</w:t>
            </w:r>
          </w:p>
          <w:p w14:paraId="26136797" w14:textId="77777777" w:rsidR="00314C3D" w:rsidRPr="00374098" w:rsidRDefault="00314C3D">
            <w:pPr>
              <w:pStyle w:val="TableParagraph"/>
              <w:spacing w:line="233" w:lineRule="exact"/>
              <w:ind w:left="10" w:right="1"/>
              <w:jc w:val="center"/>
              <w:rPr>
                <w:sz w:val="20"/>
                <w:szCs w:val="20"/>
                <w:lang w:val="da-DK"/>
              </w:rPr>
            </w:pPr>
            <w:r w:rsidRPr="00374098">
              <w:rPr>
                <w:spacing w:val="-2"/>
                <w:sz w:val="20"/>
                <w:szCs w:val="20"/>
                <w:lang w:val="da-DK"/>
              </w:rPr>
              <w:t>0,22)</w:t>
            </w:r>
          </w:p>
        </w:tc>
      </w:tr>
      <w:tr w:rsidR="00314C3D" w:rsidRPr="00374098" w14:paraId="0FCC0AA9" w14:textId="77777777" w:rsidTr="00374098">
        <w:trPr>
          <w:trHeight w:val="257"/>
        </w:trPr>
        <w:tc>
          <w:tcPr>
            <w:tcW w:w="1220" w:type="pct"/>
            <w:vMerge/>
            <w:tcBorders>
              <w:top w:val="single" w:sz="4" w:space="0" w:color="000000"/>
              <w:left w:val="single" w:sz="4" w:space="0" w:color="000000"/>
              <w:bottom w:val="single" w:sz="4" w:space="0" w:color="000000"/>
              <w:right w:val="single" w:sz="4" w:space="0" w:color="000000"/>
            </w:tcBorders>
            <w:vAlign w:val="center"/>
            <w:hideMark/>
          </w:tcPr>
          <w:p w14:paraId="49ECAC2D" w14:textId="77777777" w:rsidR="00314C3D" w:rsidRPr="00374098" w:rsidRDefault="00314C3D">
            <w:pPr>
              <w:rPr>
                <w:sz w:val="20"/>
              </w:rPr>
            </w:pPr>
          </w:p>
        </w:tc>
        <w:tc>
          <w:tcPr>
            <w:tcW w:w="1568" w:type="pct"/>
            <w:tcBorders>
              <w:top w:val="single" w:sz="4" w:space="0" w:color="000000"/>
              <w:left w:val="single" w:sz="4" w:space="0" w:color="000000"/>
              <w:bottom w:val="single" w:sz="4" w:space="0" w:color="000000"/>
              <w:right w:val="single" w:sz="4" w:space="0" w:color="000000"/>
            </w:tcBorders>
            <w:hideMark/>
          </w:tcPr>
          <w:p w14:paraId="17961204" w14:textId="77777777" w:rsidR="00314C3D" w:rsidRPr="00374098" w:rsidRDefault="00314C3D">
            <w:pPr>
              <w:pStyle w:val="TableParagraph"/>
              <w:spacing w:before="5" w:line="233" w:lineRule="exact"/>
              <w:ind w:left="402"/>
              <w:rPr>
                <w:sz w:val="20"/>
                <w:szCs w:val="20"/>
                <w:lang w:val="da-DK"/>
              </w:rPr>
            </w:pPr>
            <w:proofErr w:type="spellStart"/>
            <w:r w:rsidRPr="00374098">
              <w:rPr>
                <w:sz w:val="20"/>
                <w:szCs w:val="20"/>
                <w:lang w:val="da-DK"/>
              </w:rPr>
              <w:t>p-</w:t>
            </w:r>
            <w:r w:rsidRPr="00374098">
              <w:rPr>
                <w:spacing w:val="-2"/>
                <w:sz w:val="20"/>
                <w:szCs w:val="20"/>
                <w:lang w:val="da-DK"/>
              </w:rPr>
              <w:t>værdi</w:t>
            </w:r>
            <w:proofErr w:type="spellEnd"/>
          </w:p>
        </w:tc>
        <w:tc>
          <w:tcPr>
            <w:tcW w:w="821" w:type="pct"/>
            <w:tcBorders>
              <w:top w:val="single" w:sz="4" w:space="0" w:color="000000"/>
              <w:left w:val="single" w:sz="4" w:space="0" w:color="000000"/>
              <w:bottom w:val="single" w:sz="4" w:space="0" w:color="000000"/>
              <w:right w:val="single" w:sz="4" w:space="0" w:color="000000"/>
            </w:tcBorders>
            <w:hideMark/>
          </w:tcPr>
          <w:p w14:paraId="733DEADB" w14:textId="77777777" w:rsidR="00314C3D" w:rsidRPr="00374098" w:rsidRDefault="00314C3D">
            <w:pPr>
              <w:pStyle w:val="TableParagraph"/>
              <w:spacing w:before="5" w:line="233" w:lineRule="exact"/>
              <w:ind w:left="10"/>
              <w:jc w:val="center"/>
              <w:rPr>
                <w:sz w:val="20"/>
                <w:szCs w:val="20"/>
                <w:lang w:val="da-DK"/>
              </w:rPr>
            </w:pPr>
            <w:r w:rsidRPr="00374098">
              <w:rPr>
                <w:sz w:val="20"/>
                <w:szCs w:val="20"/>
                <w:lang w:val="da-DK"/>
              </w:rPr>
              <w:t>-</w:t>
            </w:r>
            <w:r w:rsidRPr="00374098">
              <w:rPr>
                <w:spacing w:val="-10"/>
                <w:sz w:val="20"/>
                <w:szCs w:val="20"/>
                <w:lang w:val="da-DK"/>
              </w:rPr>
              <w:t>-</w:t>
            </w:r>
          </w:p>
        </w:tc>
        <w:tc>
          <w:tcPr>
            <w:tcW w:w="1391" w:type="pct"/>
            <w:tcBorders>
              <w:top w:val="single" w:sz="4" w:space="0" w:color="000000"/>
              <w:left w:val="single" w:sz="4" w:space="0" w:color="000000"/>
              <w:bottom w:val="single" w:sz="4" w:space="0" w:color="000000"/>
              <w:right w:val="single" w:sz="4" w:space="0" w:color="000000"/>
            </w:tcBorders>
            <w:hideMark/>
          </w:tcPr>
          <w:p w14:paraId="2967D7BC" w14:textId="77777777" w:rsidR="00314C3D" w:rsidRPr="00374098" w:rsidRDefault="00314C3D">
            <w:pPr>
              <w:pStyle w:val="TableParagraph"/>
              <w:spacing w:before="5" w:line="233" w:lineRule="exact"/>
              <w:ind w:left="10"/>
              <w:jc w:val="center"/>
              <w:rPr>
                <w:sz w:val="20"/>
                <w:szCs w:val="20"/>
                <w:lang w:val="da-DK"/>
              </w:rPr>
            </w:pPr>
            <w:r w:rsidRPr="00374098">
              <w:rPr>
                <w:sz w:val="20"/>
                <w:szCs w:val="20"/>
                <w:lang w:val="da-DK"/>
              </w:rPr>
              <w:t xml:space="preserve">&lt; </w:t>
            </w:r>
            <w:r w:rsidRPr="00374098">
              <w:rPr>
                <w:spacing w:val="-2"/>
                <w:sz w:val="20"/>
                <w:szCs w:val="20"/>
                <w:lang w:val="da-DK"/>
              </w:rPr>
              <w:t>0,0001</w:t>
            </w:r>
          </w:p>
        </w:tc>
      </w:tr>
    </w:tbl>
    <w:p w14:paraId="21C1B430" w14:textId="77777777" w:rsidR="00314C3D" w:rsidRPr="00374098" w:rsidRDefault="00314C3D" w:rsidP="00374098">
      <w:pPr>
        <w:autoSpaceDE w:val="0"/>
        <w:autoSpaceDN w:val="0"/>
        <w:adjustRightInd w:val="0"/>
        <w:ind w:left="426" w:hanging="426"/>
        <w:rPr>
          <w:sz w:val="20"/>
        </w:rPr>
      </w:pPr>
      <w:r w:rsidRPr="00374098">
        <w:rPr>
          <w:sz w:val="20"/>
        </w:rPr>
        <w:t>N er antal deltagere.</w:t>
      </w:r>
    </w:p>
    <w:p w14:paraId="1F2A5128" w14:textId="5388B99B" w:rsidR="00314C3D" w:rsidRPr="00374098" w:rsidRDefault="00314C3D" w:rsidP="00374098">
      <w:pPr>
        <w:autoSpaceDE w:val="0"/>
        <w:autoSpaceDN w:val="0"/>
        <w:adjustRightInd w:val="0"/>
        <w:ind w:left="426" w:hanging="426"/>
        <w:rPr>
          <w:sz w:val="20"/>
        </w:rPr>
      </w:pPr>
      <w:r w:rsidRPr="00374098">
        <w:rPr>
          <w:sz w:val="20"/>
        </w:rPr>
        <w:t xml:space="preserve">(a) </w:t>
      </w:r>
      <w:r w:rsidR="00374098">
        <w:rPr>
          <w:sz w:val="20"/>
        </w:rPr>
        <w:tab/>
      </w:r>
      <w:proofErr w:type="spellStart"/>
      <w:r w:rsidRPr="00374098">
        <w:rPr>
          <w:sz w:val="20"/>
        </w:rPr>
        <w:t>p-værdier</w:t>
      </w:r>
      <w:proofErr w:type="spellEnd"/>
      <w:r w:rsidRPr="00374098">
        <w:rPr>
          <w:sz w:val="20"/>
        </w:rPr>
        <w:t xml:space="preserve"> for </w:t>
      </w:r>
      <w:proofErr w:type="spellStart"/>
      <w:r w:rsidRPr="00374098">
        <w:rPr>
          <w:sz w:val="20"/>
        </w:rPr>
        <w:t>lurasidon</w:t>
      </w:r>
      <w:proofErr w:type="spellEnd"/>
      <w:r w:rsidRPr="00374098">
        <w:rPr>
          <w:sz w:val="20"/>
        </w:rPr>
        <w:t xml:space="preserve"> vs. placebo blev justeret for flere sammenligninger.</w:t>
      </w:r>
    </w:p>
    <w:p w14:paraId="35783C74" w14:textId="3F456373" w:rsidR="00314C3D" w:rsidRPr="00374098" w:rsidRDefault="00314C3D" w:rsidP="00374098">
      <w:pPr>
        <w:suppressAutoHyphens/>
        <w:ind w:left="426" w:hanging="426"/>
        <w:rPr>
          <w:sz w:val="20"/>
        </w:rPr>
      </w:pPr>
      <w:r w:rsidRPr="00374098">
        <w:rPr>
          <w:sz w:val="20"/>
        </w:rPr>
        <w:t xml:space="preserve">(b) </w:t>
      </w:r>
      <w:r w:rsidR="00374098">
        <w:rPr>
          <w:sz w:val="20"/>
        </w:rPr>
        <w:tab/>
      </w:r>
      <w:proofErr w:type="spellStart"/>
      <w:r w:rsidRPr="00374098">
        <w:rPr>
          <w:sz w:val="20"/>
        </w:rPr>
        <w:t>Lurasidon</w:t>
      </w:r>
      <w:proofErr w:type="spellEnd"/>
      <w:r w:rsidRPr="00374098">
        <w:rPr>
          <w:sz w:val="20"/>
        </w:rPr>
        <w:t xml:space="preserve">-doser på 18,5, 37, 55,5 og 74 mg svarer til 20, 40, 60 og 80 mængder </w:t>
      </w:r>
      <w:proofErr w:type="spellStart"/>
      <w:r w:rsidRPr="00374098">
        <w:rPr>
          <w:sz w:val="20"/>
        </w:rPr>
        <w:t>lurasidon-hydrochlorid</w:t>
      </w:r>
      <w:proofErr w:type="spellEnd"/>
      <w:r w:rsidRPr="00374098">
        <w:rPr>
          <w:sz w:val="20"/>
        </w:rPr>
        <w:t>.</w:t>
      </w:r>
    </w:p>
    <w:p w14:paraId="05F3CBE9" w14:textId="77777777" w:rsidR="009260DE" w:rsidRPr="00212B5E" w:rsidRDefault="009260DE" w:rsidP="009260DE">
      <w:pPr>
        <w:tabs>
          <w:tab w:val="left" w:pos="851"/>
        </w:tabs>
        <w:ind w:left="851"/>
        <w:rPr>
          <w:sz w:val="24"/>
          <w:szCs w:val="24"/>
        </w:rPr>
      </w:pPr>
    </w:p>
    <w:p w14:paraId="74E25E8A" w14:textId="77777777" w:rsidR="009260DE" w:rsidRPr="00212B5E" w:rsidRDefault="009260DE" w:rsidP="009260DE">
      <w:pPr>
        <w:tabs>
          <w:tab w:val="left" w:pos="851"/>
        </w:tabs>
        <w:ind w:left="851" w:hanging="851"/>
        <w:rPr>
          <w:b/>
          <w:sz w:val="24"/>
          <w:szCs w:val="24"/>
        </w:rPr>
      </w:pPr>
      <w:r w:rsidRPr="00212B5E">
        <w:rPr>
          <w:b/>
          <w:sz w:val="24"/>
          <w:szCs w:val="24"/>
        </w:rPr>
        <w:t>5.2</w:t>
      </w:r>
      <w:r w:rsidRPr="00212B5E">
        <w:rPr>
          <w:b/>
          <w:sz w:val="24"/>
          <w:szCs w:val="24"/>
        </w:rPr>
        <w:tab/>
      </w:r>
      <w:proofErr w:type="spellStart"/>
      <w:r w:rsidRPr="00212B5E">
        <w:rPr>
          <w:b/>
          <w:sz w:val="24"/>
          <w:szCs w:val="24"/>
        </w:rPr>
        <w:t>Farmakokinetiske</w:t>
      </w:r>
      <w:proofErr w:type="spellEnd"/>
      <w:r w:rsidRPr="00212B5E">
        <w:rPr>
          <w:b/>
          <w:sz w:val="24"/>
          <w:szCs w:val="24"/>
        </w:rPr>
        <w:t xml:space="preserve"> egenskaber</w:t>
      </w:r>
    </w:p>
    <w:p w14:paraId="2E213955" w14:textId="77777777" w:rsidR="00374098" w:rsidRDefault="00374098" w:rsidP="00212B5E">
      <w:pPr>
        <w:ind w:left="851"/>
        <w:rPr>
          <w:sz w:val="24"/>
          <w:szCs w:val="24"/>
        </w:rPr>
      </w:pPr>
    </w:p>
    <w:p w14:paraId="64C8F3A0" w14:textId="6404FB15" w:rsidR="00314C3D" w:rsidRPr="00374098" w:rsidRDefault="00314C3D" w:rsidP="00212B5E">
      <w:pPr>
        <w:ind w:left="851"/>
        <w:rPr>
          <w:sz w:val="24"/>
          <w:szCs w:val="24"/>
          <w:u w:val="single"/>
          <w:lang w:eastAsia="da-DK"/>
        </w:rPr>
      </w:pPr>
      <w:r w:rsidRPr="00374098">
        <w:rPr>
          <w:sz w:val="24"/>
          <w:szCs w:val="24"/>
          <w:u w:val="single"/>
        </w:rPr>
        <w:t>Absorption</w:t>
      </w:r>
    </w:p>
    <w:p w14:paraId="0C372169" w14:textId="77777777" w:rsidR="00314C3D" w:rsidRPr="00212B5E" w:rsidRDefault="00314C3D" w:rsidP="00212B5E">
      <w:pPr>
        <w:ind w:left="851"/>
        <w:rPr>
          <w:sz w:val="24"/>
          <w:szCs w:val="24"/>
        </w:rPr>
      </w:pPr>
    </w:p>
    <w:p w14:paraId="3A097C48" w14:textId="77777777"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når højeste koncentration i serum efter ca. 1-3 timer.</w:t>
      </w:r>
    </w:p>
    <w:p w14:paraId="18F1A668" w14:textId="77777777" w:rsidR="00314C3D" w:rsidRPr="00212B5E" w:rsidRDefault="00314C3D" w:rsidP="00212B5E">
      <w:pPr>
        <w:ind w:left="851"/>
        <w:rPr>
          <w:sz w:val="24"/>
          <w:szCs w:val="24"/>
        </w:rPr>
      </w:pPr>
    </w:p>
    <w:p w14:paraId="0169C9A1" w14:textId="2F37832C" w:rsidR="00314C3D" w:rsidRPr="00212B5E" w:rsidRDefault="00314C3D" w:rsidP="00212B5E">
      <w:pPr>
        <w:ind w:left="851"/>
        <w:rPr>
          <w:sz w:val="24"/>
          <w:szCs w:val="24"/>
        </w:rPr>
      </w:pPr>
      <w:r w:rsidRPr="00212B5E">
        <w:rPr>
          <w:sz w:val="24"/>
          <w:szCs w:val="24"/>
        </w:rPr>
        <w:t xml:space="preserve">I et studie af effekten af mad var den gennemsnitlige </w:t>
      </w:r>
      <w:proofErr w:type="spellStart"/>
      <w:r w:rsidRPr="00212B5E">
        <w:rPr>
          <w:sz w:val="24"/>
          <w:szCs w:val="24"/>
        </w:rPr>
        <w:t>C</w:t>
      </w:r>
      <w:r w:rsidRPr="00212B5E">
        <w:rPr>
          <w:sz w:val="24"/>
          <w:szCs w:val="24"/>
          <w:vertAlign w:val="subscript"/>
        </w:rPr>
        <w:t>max</w:t>
      </w:r>
      <w:proofErr w:type="spellEnd"/>
      <w:r w:rsidRPr="00212B5E">
        <w:rPr>
          <w:sz w:val="24"/>
          <w:szCs w:val="24"/>
          <w:vertAlign w:val="subscript"/>
        </w:rPr>
        <w:t xml:space="preserve"> </w:t>
      </w:r>
      <w:r w:rsidRPr="00212B5E">
        <w:rPr>
          <w:sz w:val="24"/>
          <w:szCs w:val="24"/>
        </w:rPr>
        <w:t>og AUC forøget med hhv. 2-3 gange og</w:t>
      </w:r>
      <w:r w:rsidR="00374098">
        <w:rPr>
          <w:sz w:val="24"/>
          <w:szCs w:val="24"/>
        </w:rPr>
        <w:t xml:space="preserve"> </w:t>
      </w:r>
      <w:r w:rsidRPr="00212B5E">
        <w:rPr>
          <w:sz w:val="24"/>
          <w:szCs w:val="24"/>
        </w:rPr>
        <w:t>1,5-2 gange, når det blev administreret sammen med mad sammenlignet med de niveauer, som blev</w:t>
      </w:r>
      <w:r w:rsidR="00374098">
        <w:rPr>
          <w:sz w:val="24"/>
          <w:szCs w:val="24"/>
        </w:rPr>
        <w:t xml:space="preserve"> </w:t>
      </w:r>
      <w:r w:rsidRPr="00212B5E">
        <w:rPr>
          <w:sz w:val="24"/>
          <w:szCs w:val="24"/>
        </w:rPr>
        <w:t>observeret under faste.</w:t>
      </w:r>
    </w:p>
    <w:p w14:paraId="5268E7A6" w14:textId="77777777" w:rsidR="00314C3D" w:rsidRPr="00212B5E" w:rsidRDefault="00314C3D" w:rsidP="00212B5E">
      <w:pPr>
        <w:ind w:left="851"/>
        <w:rPr>
          <w:sz w:val="24"/>
          <w:szCs w:val="24"/>
        </w:rPr>
      </w:pPr>
    </w:p>
    <w:p w14:paraId="1D8BBF8E" w14:textId="77777777" w:rsidR="00314C3D" w:rsidRPr="00374098" w:rsidRDefault="00314C3D" w:rsidP="00212B5E">
      <w:pPr>
        <w:ind w:left="851"/>
        <w:rPr>
          <w:sz w:val="24"/>
          <w:szCs w:val="24"/>
          <w:u w:val="single"/>
        </w:rPr>
      </w:pPr>
      <w:r w:rsidRPr="00374098">
        <w:rPr>
          <w:sz w:val="24"/>
          <w:szCs w:val="24"/>
          <w:u w:val="single"/>
        </w:rPr>
        <w:t>Fordeling</w:t>
      </w:r>
    </w:p>
    <w:p w14:paraId="15407990" w14:textId="77777777" w:rsidR="00314C3D" w:rsidRPr="00212B5E" w:rsidRDefault="00314C3D" w:rsidP="00212B5E">
      <w:pPr>
        <w:ind w:left="851"/>
        <w:rPr>
          <w:sz w:val="24"/>
          <w:szCs w:val="24"/>
        </w:rPr>
      </w:pPr>
    </w:p>
    <w:p w14:paraId="1FB20550" w14:textId="1DEAE85D" w:rsidR="00314C3D" w:rsidRPr="00212B5E" w:rsidRDefault="00314C3D" w:rsidP="00212B5E">
      <w:pPr>
        <w:ind w:left="851"/>
        <w:rPr>
          <w:sz w:val="24"/>
          <w:szCs w:val="24"/>
        </w:rPr>
      </w:pPr>
      <w:r w:rsidRPr="00212B5E">
        <w:rPr>
          <w:sz w:val="24"/>
          <w:szCs w:val="24"/>
        </w:rPr>
        <w:t xml:space="preserve">Efter administration af 37 mg </w:t>
      </w:r>
      <w:proofErr w:type="spellStart"/>
      <w:r w:rsidRPr="00212B5E">
        <w:rPr>
          <w:sz w:val="24"/>
          <w:szCs w:val="24"/>
        </w:rPr>
        <w:t>lurasidon</w:t>
      </w:r>
      <w:proofErr w:type="spellEnd"/>
      <w:r w:rsidRPr="00212B5E">
        <w:rPr>
          <w:sz w:val="24"/>
          <w:szCs w:val="24"/>
        </w:rPr>
        <w:t xml:space="preserve"> var den gennemsnitlige tilnærmelsesvise synlige</w:t>
      </w:r>
      <w:r w:rsidR="00374098">
        <w:rPr>
          <w:sz w:val="24"/>
          <w:szCs w:val="24"/>
        </w:rPr>
        <w:t xml:space="preserve"> </w:t>
      </w:r>
      <w:r w:rsidRPr="00212B5E">
        <w:rPr>
          <w:sz w:val="24"/>
          <w:szCs w:val="24"/>
        </w:rPr>
        <w:t xml:space="preserve">volumenfordeling 6000 L. </w:t>
      </w:r>
      <w:proofErr w:type="spellStart"/>
      <w:r w:rsidRPr="00212B5E">
        <w:rPr>
          <w:sz w:val="24"/>
          <w:szCs w:val="24"/>
        </w:rPr>
        <w:t>Lurasidon</w:t>
      </w:r>
      <w:proofErr w:type="spellEnd"/>
      <w:r w:rsidRPr="00212B5E">
        <w:rPr>
          <w:sz w:val="24"/>
          <w:szCs w:val="24"/>
        </w:rPr>
        <w:t xml:space="preserve"> bindes i høj grad (~99 %) til serumproteiner.</w:t>
      </w:r>
    </w:p>
    <w:p w14:paraId="0B828C55" w14:textId="77777777" w:rsidR="00314C3D" w:rsidRPr="00212B5E" w:rsidRDefault="00314C3D" w:rsidP="00212B5E">
      <w:pPr>
        <w:ind w:left="851"/>
        <w:rPr>
          <w:sz w:val="24"/>
          <w:szCs w:val="24"/>
        </w:rPr>
      </w:pPr>
    </w:p>
    <w:p w14:paraId="2A4E4A2F" w14:textId="77777777" w:rsidR="00314C3D" w:rsidRPr="00374098" w:rsidRDefault="00314C3D" w:rsidP="00212B5E">
      <w:pPr>
        <w:ind w:left="851"/>
        <w:rPr>
          <w:sz w:val="24"/>
          <w:szCs w:val="24"/>
          <w:u w:val="single"/>
        </w:rPr>
      </w:pPr>
      <w:r w:rsidRPr="00374098">
        <w:rPr>
          <w:sz w:val="24"/>
          <w:szCs w:val="24"/>
          <w:u w:val="single"/>
        </w:rPr>
        <w:t>Biotransformation</w:t>
      </w:r>
    </w:p>
    <w:p w14:paraId="1880B47C" w14:textId="77777777" w:rsidR="00314C3D" w:rsidRPr="00212B5E" w:rsidRDefault="00314C3D" w:rsidP="00212B5E">
      <w:pPr>
        <w:ind w:left="851"/>
        <w:rPr>
          <w:sz w:val="24"/>
          <w:szCs w:val="24"/>
        </w:rPr>
      </w:pPr>
    </w:p>
    <w:p w14:paraId="28B7BB80" w14:textId="6C7A2651"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w:t>
      </w:r>
      <w:proofErr w:type="spellStart"/>
      <w:r w:rsidRPr="00212B5E">
        <w:rPr>
          <w:sz w:val="24"/>
          <w:szCs w:val="24"/>
        </w:rPr>
        <w:t>metaboliseres</w:t>
      </w:r>
      <w:proofErr w:type="spellEnd"/>
      <w:r w:rsidRPr="00212B5E">
        <w:rPr>
          <w:sz w:val="24"/>
          <w:szCs w:val="24"/>
        </w:rPr>
        <w:t xml:space="preserve"> hovedsageligt af CYP3A4. </w:t>
      </w:r>
      <w:proofErr w:type="spellStart"/>
      <w:r w:rsidRPr="00212B5E">
        <w:rPr>
          <w:sz w:val="24"/>
          <w:szCs w:val="24"/>
        </w:rPr>
        <w:t>Hovedbiotransformationsvejene</w:t>
      </w:r>
      <w:proofErr w:type="spellEnd"/>
      <w:r w:rsidRPr="00212B5E">
        <w:rPr>
          <w:sz w:val="24"/>
          <w:szCs w:val="24"/>
        </w:rPr>
        <w:t xml:space="preserve"> er </w:t>
      </w:r>
      <w:proofErr w:type="spellStart"/>
      <w:r w:rsidRPr="00212B5E">
        <w:rPr>
          <w:sz w:val="24"/>
          <w:szCs w:val="24"/>
        </w:rPr>
        <w:t>oxidativ</w:t>
      </w:r>
      <w:proofErr w:type="spellEnd"/>
      <w:r w:rsidR="00374098">
        <w:rPr>
          <w:sz w:val="24"/>
          <w:szCs w:val="24"/>
        </w:rPr>
        <w:t xml:space="preserve"> </w:t>
      </w:r>
      <w:r w:rsidRPr="00212B5E">
        <w:rPr>
          <w:sz w:val="24"/>
          <w:szCs w:val="24"/>
        </w:rPr>
        <w:t>N-</w:t>
      </w:r>
      <w:proofErr w:type="spellStart"/>
      <w:r w:rsidRPr="00212B5E">
        <w:rPr>
          <w:sz w:val="24"/>
          <w:szCs w:val="24"/>
        </w:rPr>
        <w:t>dealkylering</w:t>
      </w:r>
      <w:proofErr w:type="spellEnd"/>
      <w:r w:rsidRPr="00212B5E">
        <w:rPr>
          <w:sz w:val="24"/>
          <w:szCs w:val="24"/>
        </w:rPr>
        <w:t xml:space="preserve">, </w:t>
      </w:r>
      <w:proofErr w:type="spellStart"/>
      <w:r w:rsidRPr="00212B5E">
        <w:rPr>
          <w:sz w:val="24"/>
          <w:szCs w:val="24"/>
        </w:rPr>
        <w:t>hydroxylering</w:t>
      </w:r>
      <w:proofErr w:type="spellEnd"/>
      <w:r w:rsidRPr="00212B5E">
        <w:rPr>
          <w:sz w:val="24"/>
          <w:szCs w:val="24"/>
        </w:rPr>
        <w:t xml:space="preserve"> af </w:t>
      </w:r>
      <w:proofErr w:type="spellStart"/>
      <w:r w:rsidRPr="00212B5E">
        <w:rPr>
          <w:sz w:val="24"/>
          <w:szCs w:val="24"/>
        </w:rPr>
        <w:t>norbonan</w:t>
      </w:r>
      <w:proofErr w:type="spellEnd"/>
      <w:r w:rsidRPr="00212B5E">
        <w:rPr>
          <w:sz w:val="24"/>
          <w:szCs w:val="24"/>
        </w:rPr>
        <w:t>-kæden og S-oxidering.</w:t>
      </w:r>
    </w:p>
    <w:p w14:paraId="2BA0DC4B" w14:textId="77777777" w:rsidR="00314C3D" w:rsidRPr="00212B5E" w:rsidRDefault="00314C3D" w:rsidP="00212B5E">
      <w:pPr>
        <w:ind w:left="851"/>
        <w:rPr>
          <w:sz w:val="24"/>
          <w:szCs w:val="24"/>
        </w:rPr>
      </w:pPr>
    </w:p>
    <w:p w14:paraId="296FA8A8" w14:textId="61494C6D"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w:t>
      </w:r>
      <w:proofErr w:type="spellStart"/>
      <w:r w:rsidRPr="00212B5E">
        <w:rPr>
          <w:sz w:val="24"/>
          <w:szCs w:val="24"/>
        </w:rPr>
        <w:t>metaboliseres</w:t>
      </w:r>
      <w:proofErr w:type="spellEnd"/>
      <w:r w:rsidRPr="00212B5E">
        <w:rPr>
          <w:sz w:val="24"/>
          <w:szCs w:val="24"/>
        </w:rPr>
        <w:t xml:space="preserve"> til to aktive metabolitter (ID-14283 og ID-14326) og to ikke-aktive</w:t>
      </w:r>
      <w:r w:rsidR="00374098">
        <w:rPr>
          <w:sz w:val="24"/>
          <w:szCs w:val="24"/>
        </w:rPr>
        <w:t xml:space="preserve"> </w:t>
      </w:r>
      <w:r w:rsidRPr="00212B5E">
        <w:rPr>
          <w:sz w:val="24"/>
          <w:szCs w:val="24"/>
        </w:rPr>
        <w:t xml:space="preserve">metabolitter (ID-20219 og ID-20220). </w:t>
      </w:r>
      <w:proofErr w:type="spellStart"/>
      <w:r w:rsidRPr="00212B5E">
        <w:rPr>
          <w:sz w:val="24"/>
          <w:szCs w:val="24"/>
        </w:rPr>
        <w:t>Lurasidon</w:t>
      </w:r>
      <w:proofErr w:type="spellEnd"/>
      <w:r w:rsidRPr="00212B5E">
        <w:rPr>
          <w:sz w:val="24"/>
          <w:szCs w:val="24"/>
        </w:rPr>
        <w:t xml:space="preserve"> og dets metabolitter ID-14283, ID-14326, ID-20219 og ID-20220 stemmer overens med ca. 11,4, 4,1, 0,4, 24 og 11 % af serumaktiviteten.</w:t>
      </w:r>
    </w:p>
    <w:p w14:paraId="3BA5EF1A" w14:textId="77777777" w:rsidR="00314C3D" w:rsidRPr="00212B5E" w:rsidRDefault="00314C3D" w:rsidP="00212B5E">
      <w:pPr>
        <w:ind w:left="851"/>
        <w:rPr>
          <w:sz w:val="24"/>
          <w:szCs w:val="24"/>
        </w:rPr>
      </w:pPr>
    </w:p>
    <w:p w14:paraId="67D28984" w14:textId="77777777" w:rsidR="00314C3D" w:rsidRPr="00212B5E" w:rsidRDefault="00314C3D" w:rsidP="00212B5E">
      <w:pPr>
        <w:ind w:left="851"/>
        <w:rPr>
          <w:sz w:val="24"/>
          <w:szCs w:val="24"/>
        </w:rPr>
      </w:pPr>
      <w:r w:rsidRPr="00212B5E">
        <w:rPr>
          <w:sz w:val="24"/>
          <w:szCs w:val="24"/>
        </w:rPr>
        <w:t xml:space="preserve">CYP3A4 er det vigtigste enzym til </w:t>
      </w:r>
      <w:proofErr w:type="spellStart"/>
      <w:r w:rsidRPr="00212B5E">
        <w:rPr>
          <w:sz w:val="24"/>
          <w:szCs w:val="24"/>
        </w:rPr>
        <w:t>metabolisering</w:t>
      </w:r>
      <w:proofErr w:type="spellEnd"/>
      <w:r w:rsidRPr="00212B5E">
        <w:rPr>
          <w:sz w:val="24"/>
          <w:szCs w:val="24"/>
        </w:rPr>
        <w:t xml:space="preserve"> af den aktive metabolit ID-14283.</w:t>
      </w:r>
    </w:p>
    <w:p w14:paraId="7B71E7FB" w14:textId="7E1530F3"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og dens aktive metabolit ID-14283 bidrager begge til den </w:t>
      </w:r>
      <w:proofErr w:type="spellStart"/>
      <w:r w:rsidRPr="00212B5E">
        <w:rPr>
          <w:sz w:val="24"/>
          <w:szCs w:val="24"/>
        </w:rPr>
        <w:t>farmakodynamiske</w:t>
      </w:r>
      <w:proofErr w:type="spellEnd"/>
      <w:r w:rsidRPr="00212B5E">
        <w:rPr>
          <w:sz w:val="24"/>
          <w:szCs w:val="24"/>
        </w:rPr>
        <w:t xml:space="preserve"> effekt på de</w:t>
      </w:r>
      <w:r w:rsidR="00374098">
        <w:rPr>
          <w:sz w:val="24"/>
          <w:szCs w:val="24"/>
        </w:rPr>
        <w:t xml:space="preserve"> </w:t>
      </w:r>
      <w:proofErr w:type="spellStart"/>
      <w:r w:rsidRPr="00212B5E">
        <w:rPr>
          <w:sz w:val="24"/>
          <w:szCs w:val="24"/>
        </w:rPr>
        <w:t>dopaminerge</w:t>
      </w:r>
      <w:proofErr w:type="spellEnd"/>
      <w:r w:rsidRPr="00212B5E">
        <w:rPr>
          <w:sz w:val="24"/>
          <w:szCs w:val="24"/>
        </w:rPr>
        <w:t xml:space="preserve"> og </w:t>
      </w:r>
      <w:proofErr w:type="spellStart"/>
      <w:r w:rsidRPr="00212B5E">
        <w:rPr>
          <w:sz w:val="24"/>
          <w:szCs w:val="24"/>
        </w:rPr>
        <w:t>serotonerge</w:t>
      </w:r>
      <w:proofErr w:type="spellEnd"/>
      <w:r w:rsidRPr="00212B5E">
        <w:rPr>
          <w:sz w:val="24"/>
          <w:szCs w:val="24"/>
        </w:rPr>
        <w:t xml:space="preserve"> receptorer.</w:t>
      </w:r>
    </w:p>
    <w:p w14:paraId="5BDD774D" w14:textId="77777777" w:rsidR="00314C3D" w:rsidRPr="00212B5E" w:rsidRDefault="00314C3D" w:rsidP="00212B5E">
      <w:pPr>
        <w:ind w:left="851"/>
        <w:rPr>
          <w:sz w:val="24"/>
          <w:szCs w:val="24"/>
        </w:rPr>
      </w:pPr>
    </w:p>
    <w:p w14:paraId="5A36AD32" w14:textId="77777777" w:rsidR="00314C3D" w:rsidRPr="00212B5E" w:rsidRDefault="00314C3D" w:rsidP="00212B5E">
      <w:pPr>
        <w:ind w:left="851"/>
        <w:rPr>
          <w:sz w:val="24"/>
          <w:szCs w:val="24"/>
        </w:rPr>
      </w:pPr>
      <w:r w:rsidRPr="00212B5E">
        <w:rPr>
          <w:i/>
          <w:iCs/>
          <w:sz w:val="24"/>
          <w:szCs w:val="24"/>
        </w:rPr>
        <w:t xml:space="preserve">In </w:t>
      </w:r>
      <w:proofErr w:type="spellStart"/>
      <w:r w:rsidRPr="00212B5E">
        <w:rPr>
          <w:i/>
          <w:iCs/>
          <w:sz w:val="24"/>
          <w:szCs w:val="24"/>
        </w:rPr>
        <w:t>vitro</w:t>
      </w:r>
      <w:proofErr w:type="spellEnd"/>
      <w:r w:rsidRPr="00212B5E">
        <w:rPr>
          <w:sz w:val="24"/>
          <w:szCs w:val="24"/>
        </w:rPr>
        <w:t xml:space="preserve">-studier viser, at </w:t>
      </w:r>
      <w:proofErr w:type="spellStart"/>
      <w:r w:rsidRPr="00212B5E">
        <w:rPr>
          <w:sz w:val="24"/>
          <w:szCs w:val="24"/>
        </w:rPr>
        <w:t>lurasidon</w:t>
      </w:r>
      <w:proofErr w:type="spellEnd"/>
      <w:r w:rsidRPr="00212B5E">
        <w:rPr>
          <w:sz w:val="24"/>
          <w:szCs w:val="24"/>
        </w:rPr>
        <w:t xml:space="preserve"> ikke er et substrat for CYP1A1-, CYP1A2-, CYP2A6-, CYP4A11-, CYP2B6-, CYP2C8-, CYP2C9-, CYP2C19-, CYP2D6- eller CYP2E1-enzymer.</w:t>
      </w:r>
    </w:p>
    <w:p w14:paraId="7E9F4A66" w14:textId="77777777" w:rsidR="00314C3D" w:rsidRPr="00212B5E" w:rsidRDefault="00314C3D" w:rsidP="00212B5E">
      <w:pPr>
        <w:ind w:left="851"/>
        <w:rPr>
          <w:sz w:val="24"/>
          <w:szCs w:val="24"/>
        </w:rPr>
      </w:pPr>
    </w:p>
    <w:p w14:paraId="63FCFCAB" w14:textId="44EA121E" w:rsidR="00314C3D" w:rsidRPr="00212B5E" w:rsidRDefault="00314C3D" w:rsidP="00212B5E">
      <w:pPr>
        <w:ind w:left="851"/>
        <w:rPr>
          <w:sz w:val="24"/>
          <w:szCs w:val="24"/>
        </w:rPr>
      </w:pPr>
      <w:r w:rsidRPr="00212B5E">
        <w:rPr>
          <w:i/>
          <w:iCs/>
          <w:sz w:val="24"/>
          <w:szCs w:val="24"/>
        </w:rPr>
        <w:t xml:space="preserve">In </w:t>
      </w:r>
      <w:proofErr w:type="spellStart"/>
      <w:r w:rsidRPr="00212B5E">
        <w:rPr>
          <w:i/>
          <w:iCs/>
          <w:sz w:val="24"/>
          <w:szCs w:val="24"/>
        </w:rPr>
        <w:t>vitro</w:t>
      </w:r>
      <w:proofErr w:type="spellEnd"/>
      <w:r w:rsidRPr="00212B5E">
        <w:rPr>
          <w:i/>
          <w:iCs/>
          <w:sz w:val="24"/>
          <w:szCs w:val="24"/>
        </w:rPr>
        <w:t xml:space="preserve"> </w:t>
      </w:r>
      <w:r w:rsidRPr="00212B5E">
        <w:rPr>
          <w:sz w:val="24"/>
          <w:szCs w:val="24"/>
        </w:rPr>
        <w:t xml:space="preserve">har </w:t>
      </w:r>
      <w:proofErr w:type="spellStart"/>
      <w:r w:rsidRPr="00212B5E">
        <w:rPr>
          <w:sz w:val="24"/>
          <w:szCs w:val="24"/>
        </w:rPr>
        <w:t>lurasidon</w:t>
      </w:r>
      <w:proofErr w:type="spellEnd"/>
      <w:r w:rsidRPr="00212B5E">
        <w:rPr>
          <w:sz w:val="24"/>
          <w:szCs w:val="24"/>
        </w:rPr>
        <w:t xml:space="preserve"> ikke udvist nogen, eller kun svag, hæmning (direkte eller tidsafhængig)</w:t>
      </w:r>
      <w:r w:rsidR="00374098">
        <w:rPr>
          <w:sz w:val="24"/>
          <w:szCs w:val="24"/>
        </w:rPr>
        <w:t xml:space="preserve"> </w:t>
      </w:r>
      <w:r w:rsidRPr="00212B5E">
        <w:rPr>
          <w:sz w:val="24"/>
          <w:szCs w:val="24"/>
        </w:rPr>
        <w:t xml:space="preserve">(IC50&gt;5,9 </w:t>
      </w:r>
      <w:proofErr w:type="spellStart"/>
      <w:r w:rsidRPr="00212B5E">
        <w:rPr>
          <w:sz w:val="24"/>
          <w:szCs w:val="24"/>
        </w:rPr>
        <w:t>μM</w:t>
      </w:r>
      <w:proofErr w:type="spellEnd"/>
      <w:r w:rsidRPr="00212B5E">
        <w:rPr>
          <w:sz w:val="24"/>
          <w:szCs w:val="24"/>
        </w:rPr>
        <w:t xml:space="preserve">) af enzymerne CYP1A2, CYP2B6, CYP2C8, CYP2C9, CYP2C19, CYP2D6, CYP2E1 og CYP3A4. På baggrund af disse data forventes det ikke, at </w:t>
      </w:r>
      <w:proofErr w:type="spellStart"/>
      <w:r w:rsidRPr="00212B5E">
        <w:rPr>
          <w:sz w:val="24"/>
          <w:szCs w:val="24"/>
        </w:rPr>
        <w:t>lurasidon</w:t>
      </w:r>
      <w:proofErr w:type="spellEnd"/>
      <w:r w:rsidRPr="00212B5E">
        <w:rPr>
          <w:sz w:val="24"/>
          <w:szCs w:val="24"/>
        </w:rPr>
        <w:t xml:space="preserve"> påvirker farmakokinetikken for lægemidler, der er substrater for CYP1A2, CYP2B6, CYP2C8, CYP2C9, CYP2C19, CYP2D6 og CYP2E1. For information omkring administration af lægemidler med et smalt terapeutisk vindue, der er substrater for CYP3A4, se pkt. 4.5.</w:t>
      </w:r>
    </w:p>
    <w:p w14:paraId="7B760D3A" w14:textId="77777777" w:rsidR="00314C3D" w:rsidRPr="00212B5E" w:rsidRDefault="00314C3D" w:rsidP="00212B5E">
      <w:pPr>
        <w:ind w:left="851"/>
        <w:rPr>
          <w:sz w:val="24"/>
          <w:szCs w:val="24"/>
        </w:rPr>
      </w:pPr>
    </w:p>
    <w:p w14:paraId="7AE6537E" w14:textId="77777777"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er et </w:t>
      </w:r>
      <w:r w:rsidRPr="00212B5E">
        <w:rPr>
          <w:i/>
          <w:iCs/>
          <w:sz w:val="24"/>
          <w:szCs w:val="24"/>
        </w:rPr>
        <w:t xml:space="preserve">in </w:t>
      </w:r>
      <w:proofErr w:type="spellStart"/>
      <w:r w:rsidRPr="00212B5E">
        <w:rPr>
          <w:i/>
          <w:iCs/>
          <w:sz w:val="24"/>
          <w:szCs w:val="24"/>
        </w:rPr>
        <w:t>vitro</w:t>
      </w:r>
      <w:proofErr w:type="spellEnd"/>
      <w:r w:rsidRPr="00212B5E">
        <w:rPr>
          <w:i/>
          <w:iCs/>
          <w:sz w:val="24"/>
          <w:szCs w:val="24"/>
        </w:rPr>
        <w:t>-</w:t>
      </w:r>
      <w:r w:rsidRPr="00212B5E">
        <w:rPr>
          <w:sz w:val="24"/>
          <w:szCs w:val="24"/>
        </w:rPr>
        <w:t xml:space="preserve">substrat af </w:t>
      </w:r>
      <w:proofErr w:type="spellStart"/>
      <w:r w:rsidRPr="00212B5E">
        <w:rPr>
          <w:sz w:val="24"/>
          <w:szCs w:val="24"/>
        </w:rPr>
        <w:t>effluks</w:t>
      </w:r>
      <w:proofErr w:type="spellEnd"/>
      <w:r w:rsidRPr="00212B5E">
        <w:rPr>
          <w:sz w:val="24"/>
          <w:szCs w:val="24"/>
        </w:rPr>
        <w:t xml:space="preserve">-transportørerne P-gp og BCRP. </w:t>
      </w:r>
      <w:proofErr w:type="spellStart"/>
      <w:r w:rsidRPr="00212B5E">
        <w:rPr>
          <w:sz w:val="24"/>
          <w:szCs w:val="24"/>
        </w:rPr>
        <w:t>Lurasidon</w:t>
      </w:r>
      <w:proofErr w:type="spellEnd"/>
      <w:r w:rsidRPr="00212B5E">
        <w:rPr>
          <w:sz w:val="24"/>
          <w:szCs w:val="24"/>
        </w:rPr>
        <w:t xml:space="preserve"> er ikke underlagt aktiv optagelsestransport fra OATP1B1 og OATP1B3.</w:t>
      </w:r>
    </w:p>
    <w:p w14:paraId="711DF87D" w14:textId="77777777" w:rsidR="00314C3D" w:rsidRPr="00212B5E" w:rsidRDefault="00314C3D" w:rsidP="00212B5E">
      <w:pPr>
        <w:ind w:left="851"/>
        <w:rPr>
          <w:sz w:val="24"/>
          <w:szCs w:val="24"/>
        </w:rPr>
      </w:pPr>
    </w:p>
    <w:p w14:paraId="398915A3" w14:textId="4C6E0455"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er en hæmmer af P-gp, BCRP og OCT1 </w:t>
      </w:r>
      <w:r w:rsidRPr="00212B5E">
        <w:rPr>
          <w:i/>
          <w:iCs/>
          <w:sz w:val="24"/>
          <w:szCs w:val="24"/>
        </w:rPr>
        <w:t xml:space="preserve">in </w:t>
      </w:r>
      <w:proofErr w:type="spellStart"/>
      <w:r w:rsidRPr="00212B5E">
        <w:rPr>
          <w:i/>
          <w:iCs/>
          <w:sz w:val="24"/>
          <w:szCs w:val="24"/>
        </w:rPr>
        <w:t>vitro</w:t>
      </w:r>
      <w:proofErr w:type="spellEnd"/>
      <w:r w:rsidRPr="00212B5E">
        <w:rPr>
          <w:i/>
          <w:iCs/>
          <w:sz w:val="24"/>
          <w:szCs w:val="24"/>
        </w:rPr>
        <w:t xml:space="preserve"> </w:t>
      </w:r>
      <w:r w:rsidRPr="00212B5E">
        <w:rPr>
          <w:sz w:val="24"/>
          <w:szCs w:val="24"/>
        </w:rPr>
        <w:t xml:space="preserve">(se pkt. 4.5). </w:t>
      </w:r>
      <w:proofErr w:type="spellStart"/>
      <w:r w:rsidRPr="00212B5E">
        <w:rPr>
          <w:sz w:val="24"/>
          <w:szCs w:val="24"/>
        </w:rPr>
        <w:t>Lurasidon</w:t>
      </w:r>
      <w:proofErr w:type="spellEnd"/>
      <w:r w:rsidRPr="00212B5E">
        <w:rPr>
          <w:sz w:val="24"/>
          <w:szCs w:val="24"/>
        </w:rPr>
        <w:t xml:space="preserve"> forventes ikke at</w:t>
      </w:r>
      <w:r w:rsidR="00374098">
        <w:rPr>
          <w:sz w:val="24"/>
          <w:szCs w:val="24"/>
        </w:rPr>
        <w:t xml:space="preserve"> </w:t>
      </w:r>
      <w:r w:rsidRPr="00212B5E">
        <w:rPr>
          <w:sz w:val="24"/>
          <w:szCs w:val="24"/>
        </w:rPr>
        <w:t>have en klinisk relevant hæmmende effekt på transportørerne OATP1B1, OATP1B3, OCT2, OAT1,</w:t>
      </w:r>
      <w:r w:rsidR="00374098">
        <w:rPr>
          <w:sz w:val="24"/>
          <w:szCs w:val="24"/>
        </w:rPr>
        <w:t xml:space="preserve"> </w:t>
      </w:r>
      <w:r w:rsidRPr="00212B5E">
        <w:rPr>
          <w:sz w:val="24"/>
          <w:szCs w:val="24"/>
        </w:rPr>
        <w:t xml:space="preserve">OAT3, MATE1, MATE2K eller BSEP baseret på </w:t>
      </w:r>
      <w:r w:rsidRPr="00212B5E">
        <w:rPr>
          <w:i/>
          <w:iCs/>
          <w:sz w:val="24"/>
          <w:szCs w:val="24"/>
        </w:rPr>
        <w:t xml:space="preserve">in </w:t>
      </w:r>
      <w:proofErr w:type="spellStart"/>
      <w:r w:rsidRPr="00212B5E">
        <w:rPr>
          <w:i/>
          <w:iCs/>
          <w:sz w:val="24"/>
          <w:szCs w:val="24"/>
        </w:rPr>
        <w:t>vitro</w:t>
      </w:r>
      <w:proofErr w:type="spellEnd"/>
      <w:r w:rsidRPr="00212B5E">
        <w:rPr>
          <w:i/>
          <w:iCs/>
          <w:sz w:val="24"/>
          <w:szCs w:val="24"/>
        </w:rPr>
        <w:t xml:space="preserve"> </w:t>
      </w:r>
      <w:r w:rsidRPr="00212B5E">
        <w:rPr>
          <w:sz w:val="24"/>
          <w:szCs w:val="24"/>
        </w:rPr>
        <w:t>data.</w:t>
      </w:r>
    </w:p>
    <w:p w14:paraId="5B0FDDB6" w14:textId="77777777" w:rsidR="00314C3D" w:rsidRPr="00212B5E" w:rsidRDefault="00314C3D" w:rsidP="00212B5E">
      <w:pPr>
        <w:ind w:left="851"/>
        <w:rPr>
          <w:sz w:val="24"/>
          <w:szCs w:val="24"/>
        </w:rPr>
      </w:pPr>
    </w:p>
    <w:p w14:paraId="0AB9849C" w14:textId="77777777" w:rsidR="00314C3D" w:rsidRPr="00374098" w:rsidRDefault="00314C3D" w:rsidP="00212B5E">
      <w:pPr>
        <w:ind w:left="851"/>
        <w:rPr>
          <w:sz w:val="24"/>
          <w:szCs w:val="24"/>
          <w:u w:val="single"/>
        </w:rPr>
      </w:pPr>
      <w:r w:rsidRPr="00374098">
        <w:rPr>
          <w:sz w:val="24"/>
          <w:szCs w:val="24"/>
          <w:u w:val="single"/>
        </w:rPr>
        <w:t>Elimination</w:t>
      </w:r>
    </w:p>
    <w:p w14:paraId="0A2100F5" w14:textId="77777777" w:rsidR="00314C3D" w:rsidRPr="00212B5E" w:rsidRDefault="00314C3D" w:rsidP="00212B5E">
      <w:pPr>
        <w:ind w:left="851"/>
        <w:rPr>
          <w:sz w:val="24"/>
          <w:szCs w:val="24"/>
        </w:rPr>
      </w:pPr>
    </w:p>
    <w:p w14:paraId="24BA4B35" w14:textId="78859592" w:rsidR="00314C3D" w:rsidRPr="00212B5E" w:rsidRDefault="00314C3D" w:rsidP="00212B5E">
      <w:pPr>
        <w:ind w:left="851"/>
        <w:rPr>
          <w:sz w:val="24"/>
          <w:szCs w:val="24"/>
        </w:rPr>
      </w:pPr>
      <w:r w:rsidRPr="00212B5E">
        <w:rPr>
          <w:sz w:val="24"/>
          <w:szCs w:val="24"/>
        </w:rPr>
        <w:t xml:space="preserve">Efter administration var eliminationshalveringstiden for </w:t>
      </w:r>
      <w:proofErr w:type="spellStart"/>
      <w:r w:rsidRPr="00212B5E">
        <w:rPr>
          <w:sz w:val="24"/>
          <w:szCs w:val="24"/>
        </w:rPr>
        <w:t>lurasidon</w:t>
      </w:r>
      <w:proofErr w:type="spellEnd"/>
      <w:r w:rsidRPr="00212B5E">
        <w:rPr>
          <w:sz w:val="24"/>
          <w:szCs w:val="24"/>
        </w:rPr>
        <w:t xml:space="preserve"> 20-40 timer. Efter oral</w:t>
      </w:r>
      <w:r w:rsidR="00374098">
        <w:rPr>
          <w:sz w:val="24"/>
          <w:szCs w:val="24"/>
        </w:rPr>
        <w:t xml:space="preserve"> </w:t>
      </w:r>
      <w:r w:rsidRPr="00212B5E">
        <w:rPr>
          <w:sz w:val="24"/>
          <w:szCs w:val="24"/>
        </w:rPr>
        <w:t>administration af en radioaktivt mærket dosis blev omtrent 80 % af dosen genfundet i fæces og 19 % i urin. Urin bestod fortrinsvis af et antal metabolitter med minimal udskillelse af modersubstansen via nyrerne.</w:t>
      </w:r>
    </w:p>
    <w:p w14:paraId="19E400E1" w14:textId="77777777" w:rsidR="00314C3D" w:rsidRPr="00212B5E" w:rsidRDefault="00314C3D" w:rsidP="00212B5E">
      <w:pPr>
        <w:ind w:left="851"/>
        <w:rPr>
          <w:sz w:val="24"/>
          <w:szCs w:val="24"/>
        </w:rPr>
      </w:pPr>
    </w:p>
    <w:p w14:paraId="5B027C4C" w14:textId="77777777" w:rsidR="00314C3D" w:rsidRPr="00374098" w:rsidRDefault="00314C3D" w:rsidP="00212B5E">
      <w:pPr>
        <w:ind w:left="851"/>
        <w:rPr>
          <w:sz w:val="24"/>
          <w:szCs w:val="24"/>
          <w:u w:val="single"/>
        </w:rPr>
      </w:pPr>
      <w:r w:rsidRPr="00374098">
        <w:rPr>
          <w:sz w:val="24"/>
          <w:szCs w:val="24"/>
          <w:u w:val="single"/>
        </w:rPr>
        <w:t>Linearitet/non-linearitet</w:t>
      </w:r>
    </w:p>
    <w:p w14:paraId="0967512B" w14:textId="77777777" w:rsidR="00314C3D" w:rsidRPr="00212B5E" w:rsidRDefault="00314C3D" w:rsidP="00212B5E">
      <w:pPr>
        <w:ind w:left="851"/>
        <w:rPr>
          <w:sz w:val="24"/>
          <w:szCs w:val="24"/>
        </w:rPr>
      </w:pPr>
    </w:p>
    <w:p w14:paraId="7810C7BA" w14:textId="621E3E17" w:rsidR="00314C3D" w:rsidRPr="00212B5E" w:rsidRDefault="00314C3D" w:rsidP="00212B5E">
      <w:pPr>
        <w:ind w:left="851"/>
        <w:rPr>
          <w:sz w:val="24"/>
          <w:szCs w:val="24"/>
        </w:rPr>
      </w:pPr>
      <w:r w:rsidRPr="00212B5E">
        <w:rPr>
          <w:sz w:val="24"/>
          <w:szCs w:val="24"/>
        </w:rPr>
        <w:t xml:space="preserve">De </w:t>
      </w:r>
      <w:proofErr w:type="spellStart"/>
      <w:r w:rsidRPr="00212B5E">
        <w:rPr>
          <w:sz w:val="24"/>
          <w:szCs w:val="24"/>
        </w:rPr>
        <w:t>farmakokinetiske</w:t>
      </w:r>
      <w:proofErr w:type="spellEnd"/>
      <w:r w:rsidRPr="00212B5E">
        <w:rPr>
          <w:sz w:val="24"/>
          <w:szCs w:val="24"/>
        </w:rPr>
        <w:t xml:space="preserve"> egenskaber for </w:t>
      </w:r>
      <w:proofErr w:type="spellStart"/>
      <w:r w:rsidRPr="00212B5E">
        <w:rPr>
          <w:sz w:val="24"/>
          <w:szCs w:val="24"/>
        </w:rPr>
        <w:t>lurasidon</w:t>
      </w:r>
      <w:proofErr w:type="spellEnd"/>
      <w:r w:rsidRPr="00212B5E">
        <w:rPr>
          <w:sz w:val="24"/>
          <w:szCs w:val="24"/>
        </w:rPr>
        <w:t xml:space="preserve"> er dosisproportionelle inden for </w:t>
      </w:r>
      <w:proofErr w:type="gramStart"/>
      <w:r w:rsidRPr="00212B5E">
        <w:rPr>
          <w:sz w:val="24"/>
          <w:szCs w:val="24"/>
        </w:rPr>
        <w:t>et samlet daglig</w:t>
      </w:r>
      <w:r w:rsidR="00374098">
        <w:rPr>
          <w:sz w:val="24"/>
          <w:szCs w:val="24"/>
        </w:rPr>
        <w:t xml:space="preserve"> </w:t>
      </w:r>
      <w:r w:rsidRPr="00212B5E">
        <w:rPr>
          <w:sz w:val="24"/>
          <w:szCs w:val="24"/>
        </w:rPr>
        <w:t>dosisinterval</w:t>
      </w:r>
      <w:proofErr w:type="gramEnd"/>
      <w:r w:rsidRPr="00212B5E">
        <w:rPr>
          <w:sz w:val="24"/>
          <w:szCs w:val="24"/>
        </w:rPr>
        <w:t xml:space="preserve"> på 18,5 mg til 148 mg. </w:t>
      </w:r>
      <w:proofErr w:type="spellStart"/>
      <w:r w:rsidRPr="00212B5E">
        <w:rPr>
          <w:sz w:val="24"/>
          <w:szCs w:val="24"/>
        </w:rPr>
        <w:t>Steady</w:t>
      </w:r>
      <w:proofErr w:type="spellEnd"/>
      <w:r w:rsidRPr="00212B5E">
        <w:rPr>
          <w:sz w:val="24"/>
          <w:szCs w:val="24"/>
        </w:rPr>
        <w:t xml:space="preserve"> state-koncentrationer af </w:t>
      </w:r>
      <w:proofErr w:type="spellStart"/>
      <w:r w:rsidRPr="00212B5E">
        <w:rPr>
          <w:sz w:val="24"/>
          <w:szCs w:val="24"/>
        </w:rPr>
        <w:t>lurasidon</w:t>
      </w:r>
      <w:proofErr w:type="spellEnd"/>
      <w:r w:rsidRPr="00212B5E">
        <w:rPr>
          <w:sz w:val="24"/>
          <w:szCs w:val="24"/>
        </w:rPr>
        <w:t xml:space="preserve"> nås inden for 7 dages</w:t>
      </w:r>
      <w:r w:rsidR="00374098">
        <w:rPr>
          <w:sz w:val="24"/>
          <w:szCs w:val="24"/>
        </w:rPr>
        <w:t xml:space="preserve"> </w:t>
      </w:r>
      <w:r w:rsidRPr="00212B5E">
        <w:rPr>
          <w:sz w:val="24"/>
          <w:szCs w:val="24"/>
        </w:rPr>
        <w:t>behandling.</w:t>
      </w:r>
    </w:p>
    <w:p w14:paraId="36CB3198" w14:textId="77777777" w:rsidR="00314C3D" w:rsidRPr="00212B5E" w:rsidRDefault="00314C3D" w:rsidP="00212B5E">
      <w:pPr>
        <w:ind w:left="851"/>
        <w:rPr>
          <w:sz w:val="24"/>
          <w:szCs w:val="24"/>
        </w:rPr>
      </w:pPr>
    </w:p>
    <w:p w14:paraId="2C3A53FC" w14:textId="77777777" w:rsidR="00314C3D" w:rsidRPr="00212B5E" w:rsidRDefault="00314C3D" w:rsidP="00212B5E">
      <w:pPr>
        <w:ind w:left="851"/>
        <w:rPr>
          <w:sz w:val="24"/>
          <w:szCs w:val="24"/>
        </w:rPr>
      </w:pPr>
      <w:r w:rsidRPr="00212B5E">
        <w:rPr>
          <w:sz w:val="24"/>
          <w:szCs w:val="24"/>
        </w:rPr>
        <w:t>Farmakokinetik hos særlige patientgrupper</w:t>
      </w:r>
    </w:p>
    <w:p w14:paraId="54B4B420" w14:textId="77777777" w:rsidR="00314C3D" w:rsidRPr="00212B5E" w:rsidRDefault="00314C3D" w:rsidP="00212B5E">
      <w:pPr>
        <w:ind w:left="851"/>
        <w:rPr>
          <w:sz w:val="24"/>
          <w:szCs w:val="24"/>
        </w:rPr>
      </w:pPr>
    </w:p>
    <w:p w14:paraId="336F17B4" w14:textId="77777777" w:rsidR="00314C3D" w:rsidRPr="00212B5E" w:rsidRDefault="00314C3D" w:rsidP="00212B5E">
      <w:pPr>
        <w:ind w:left="851"/>
        <w:rPr>
          <w:i/>
          <w:iCs/>
          <w:sz w:val="24"/>
          <w:szCs w:val="24"/>
        </w:rPr>
      </w:pPr>
      <w:r w:rsidRPr="00212B5E">
        <w:rPr>
          <w:i/>
          <w:iCs/>
          <w:sz w:val="24"/>
          <w:szCs w:val="24"/>
        </w:rPr>
        <w:t>Ældre</w:t>
      </w:r>
    </w:p>
    <w:p w14:paraId="6D0B6D88" w14:textId="7E22536C" w:rsidR="00314C3D" w:rsidRPr="00212B5E" w:rsidRDefault="00314C3D" w:rsidP="00212B5E">
      <w:pPr>
        <w:ind w:left="851"/>
        <w:rPr>
          <w:sz w:val="24"/>
          <w:szCs w:val="24"/>
        </w:rPr>
      </w:pPr>
      <w:r w:rsidRPr="00212B5E">
        <w:rPr>
          <w:sz w:val="24"/>
          <w:szCs w:val="24"/>
        </w:rPr>
        <w:t>Der er indsamlet begrænsede data fra raske forsøgspersoner ≥ 65 år. Blandt de indsamlede data var</w:t>
      </w:r>
      <w:r w:rsidR="00374098">
        <w:rPr>
          <w:sz w:val="24"/>
          <w:szCs w:val="24"/>
        </w:rPr>
        <w:t xml:space="preserve"> </w:t>
      </w:r>
      <w:r w:rsidRPr="00212B5E">
        <w:rPr>
          <w:sz w:val="24"/>
          <w:szCs w:val="24"/>
        </w:rPr>
        <w:t>eksponeringen sammenlignelig med den for forsøgspersoner &lt; 65 år. Imidlertid kan der forventes en øget eksponering i ældre forsøgspersoner, hvis de har nedsat nyre- eller leverfunktion.</w:t>
      </w:r>
    </w:p>
    <w:p w14:paraId="6A75E973" w14:textId="77777777" w:rsidR="00314C3D" w:rsidRPr="00212B5E" w:rsidRDefault="00314C3D" w:rsidP="00212B5E">
      <w:pPr>
        <w:ind w:left="851"/>
        <w:rPr>
          <w:sz w:val="24"/>
          <w:szCs w:val="24"/>
        </w:rPr>
      </w:pPr>
    </w:p>
    <w:p w14:paraId="4889C21C" w14:textId="77777777" w:rsidR="00314C3D" w:rsidRPr="00212B5E" w:rsidRDefault="00314C3D" w:rsidP="00212B5E">
      <w:pPr>
        <w:ind w:left="851"/>
        <w:rPr>
          <w:i/>
          <w:iCs/>
          <w:sz w:val="24"/>
          <w:szCs w:val="24"/>
        </w:rPr>
      </w:pPr>
      <w:r w:rsidRPr="00212B5E">
        <w:rPr>
          <w:i/>
          <w:iCs/>
          <w:sz w:val="24"/>
          <w:szCs w:val="24"/>
        </w:rPr>
        <w:t>Nedsat leverfunktion</w:t>
      </w:r>
    </w:p>
    <w:p w14:paraId="67E88423" w14:textId="77777777" w:rsidR="00314C3D" w:rsidRPr="00212B5E" w:rsidRDefault="00314C3D" w:rsidP="00212B5E">
      <w:pPr>
        <w:ind w:left="851"/>
        <w:rPr>
          <w:sz w:val="24"/>
          <w:szCs w:val="24"/>
        </w:rPr>
      </w:pPr>
      <w:r w:rsidRPr="00212B5E">
        <w:rPr>
          <w:sz w:val="24"/>
          <w:szCs w:val="24"/>
        </w:rPr>
        <w:t xml:space="preserve">Serumkoncentrationerne af </w:t>
      </w:r>
      <w:proofErr w:type="spellStart"/>
      <w:r w:rsidRPr="00212B5E">
        <w:rPr>
          <w:sz w:val="24"/>
          <w:szCs w:val="24"/>
        </w:rPr>
        <w:t>lurasidon</w:t>
      </w:r>
      <w:proofErr w:type="spellEnd"/>
      <w:r w:rsidRPr="00212B5E">
        <w:rPr>
          <w:sz w:val="24"/>
          <w:szCs w:val="24"/>
        </w:rPr>
        <w:t xml:space="preserve"> er øget hos raske forsøgspersoner med Child-</w:t>
      </w:r>
      <w:proofErr w:type="spellStart"/>
      <w:r w:rsidRPr="00212B5E">
        <w:rPr>
          <w:sz w:val="24"/>
          <w:szCs w:val="24"/>
        </w:rPr>
        <w:t>Pugh</w:t>
      </w:r>
      <w:proofErr w:type="spellEnd"/>
      <w:r w:rsidRPr="00212B5E">
        <w:rPr>
          <w:sz w:val="24"/>
          <w:szCs w:val="24"/>
        </w:rPr>
        <w:t>, klasse A, B og C nedsat leverfunktion med en hhv. 1,5-, 1,7- og 3-foldig forøgelse af eksponeringen.</w:t>
      </w:r>
    </w:p>
    <w:p w14:paraId="5E2215FE" w14:textId="77777777" w:rsidR="00314C3D" w:rsidRPr="00212B5E" w:rsidRDefault="00314C3D" w:rsidP="00212B5E">
      <w:pPr>
        <w:ind w:left="851"/>
        <w:rPr>
          <w:sz w:val="24"/>
          <w:szCs w:val="24"/>
        </w:rPr>
      </w:pPr>
    </w:p>
    <w:p w14:paraId="5CB2A4F6" w14:textId="77777777" w:rsidR="00314C3D" w:rsidRPr="00212B5E" w:rsidRDefault="00314C3D" w:rsidP="00212B5E">
      <w:pPr>
        <w:ind w:left="851"/>
        <w:rPr>
          <w:i/>
          <w:iCs/>
          <w:sz w:val="24"/>
          <w:szCs w:val="24"/>
        </w:rPr>
      </w:pPr>
      <w:r w:rsidRPr="00212B5E">
        <w:rPr>
          <w:i/>
          <w:iCs/>
          <w:sz w:val="24"/>
          <w:szCs w:val="24"/>
        </w:rPr>
        <w:t>Nedsat nyrefunktion</w:t>
      </w:r>
    </w:p>
    <w:p w14:paraId="673FE3EC" w14:textId="176772F3" w:rsidR="00314C3D" w:rsidRPr="00212B5E" w:rsidRDefault="00314C3D" w:rsidP="00212B5E">
      <w:pPr>
        <w:ind w:left="851"/>
        <w:rPr>
          <w:sz w:val="24"/>
          <w:szCs w:val="24"/>
        </w:rPr>
      </w:pPr>
      <w:r w:rsidRPr="00212B5E">
        <w:rPr>
          <w:sz w:val="24"/>
          <w:szCs w:val="24"/>
        </w:rPr>
        <w:t xml:space="preserve">Serumkoncentrationerne af </w:t>
      </w:r>
      <w:proofErr w:type="spellStart"/>
      <w:r w:rsidRPr="00212B5E">
        <w:rPr>
          <w:sz w:val="24"/>
          <w:szCs w:val="24"/>
        </w:rPr>
        <w:t>lurasidon</w:t>
      </w:r>
      <w:proofErr w:type="spellEnd"/>
      <w:r w:rsidRPr="00212B5E">
        <w:rPr>
          <w:sz w:val="24"/>
          <w:szCs w:val="24"/>
        </w:rPr>
        <w:t xml:space="preserve"> er øget hos raske forsøgspersoner med let, moderat og svært</w:t>
      </w:r>
      <w:r w:rsidR="00374098">
        <w:rPr>
          <w:sz w:val="24"/>
          <w:szCs w:val="24"/>
        </w:rPr>
        <w:t xml:space="preserve"> </w:t>
      </w:r>
      <w:r w:rsidRPr="00212B5E">
        <w:rPr>
          <w:sz w:val="24"/>
          <w:szCs w:val="24"/>
        </w:rPr>
        <w:t>nedsat nyrefunktion med en forøgelse af eksponeringen på hhv. 1,5, 1,9 og 2,0 gange. Forsøgspersoner med ESRD (</w:t>
      </w:r>
      <w:proofErr w:type="spellStart"/>
      <w:r w:rsidRPr="00212B5E">
        <w:rPr>
          <w:sz w:val="24"/>
          <w:szCs w:val="24"/>
        </w:rPr>
        <w:t>CrCl</w:t>
      </w:r>
      <w:proofErr w:type="spellEnd"/>
      <w:r w:rsidRPr="00212B5E">
        <w:rPr>
          <w:sz w:val="24"/>
          <w:szCs w:val="24"/>
        </w:rPr>
        <w:t>&lt;15 ml/min) er ikke blevet undersøgt.</w:t>
      </w:r>
    </w:p>
    <w:p w14:paraId="1917B120" w14:textId="77777777" w:rsidR="00314C3D" w:rsidRPr="00212B5E" w:rsidRDefault="00314C3D" w:rsidP="00212B5E">
      <w:pPr>
        <w:ind w:left="851"/>
        <w:rPr>
          <w:sz w:val="24"/>
          <w:szCs w:val="24"/>
        </w:rPr>
      </w:pPr>
    </w:p>
    <w:p w14:paraId="3CF2CAAD" w14:textId="77777777" w:rsidR="00314C3D" w:rsidRPr="00212B5E" w:rsidRDefault="00314C3D" w:rsidP="00212B5E">
      <w:pPr>
        <w:ind w:left="851"/>
        <w:rPr>
          <w:i/>
          <w:iCs/>
          <w:sz w:val="24"/>
          <w:szCs w:val="24"/>
        </w:rPr>
      </w:pPr>
      <w:r w:rsidRPr="00212B5E">
        <w:rPr>
          <w:i/>
          <w:iCs/>
          <w:sz w:val="24"/>
          <w:szCs w:val="24"/>
        </w:rPr>
        <w:t>Køn</w:t>
      </w:r>
    </w:p>
    <w:p w14:paraId="0B52235E" w14:textId="17E7B84A" w:rsidR="00314C3D" w:rsidRPr="00212B5E" w:rsidRDefault="00314C3D" w:rsidP="00212B5E">
      <w:pPr>
        <w:ind w:left="851"/>
        <w:rPr>
          <w:sz w:val="24"/>
          <w:szCs w:val="24"/>
        </w:rPr>
      </w:pPr>
      <w:r w:rsidRPr="00212B5E">
        <w:rPr>
          <w:sz w:val="24"/>
          <w:szCs w:val="24"/>
        </w:rPr>
        <w:t xml:space="preserve">Der var ingen klinisk relevante forskelle mellem kønnene mht. de </w:t>
      </w:r>
      <w:proofErr w:type="spellStart"/>
      <w:r w:rsidRPr="00212B5E">
        <w:rPr>
          <w:sz w:val="24"/>
          <w:szCs w:val="24"/>
        </w:rPr>
        <w:t>farmakokinetiske</w:t>
      </w:r>
      <w:proofErr w:type="spellEnd"/>
      <w:r w:rsidRPr="00212B5E">
        <w:rPr>
          <w:sz w:val="24"/>
          <w:szCs w:val="24"/>
        </w:rPr>
        <w:t xml:space="preserve"> egenskaber for</w:t>
      </w:r>
      <w:r w:rsidR="00374098">
        <w:rPr>
          <w:sz w:val="24"/>
          <w:szCs w:val="24"/>
        </w:rPr>
        <w:t xml:space="preserve"> </w:t>
      </w:r>
      <w:proofErr w:type="spellStart"/>
      <w:r w:rsidRPr="00212B5E">
        <w:rPr>
          <w:sz w:val="24"/>
          <w:szCs w:val="24"/>
        </w:rPr>
        <w:t>lurasidon</w:t>
      </w:r>
      <w:proofErr w:type="spellEnd"/>
      <w:r w:rsidRPr="00212B5E">
        <w:rPr>
          <w:sz w:val="24"/>
          <w:szCs w:val="24"/>
        </w:rPr>
        <w:t xml:space="preserve"> i en </w:t>
      </w:r>
      <w:proofErr w:type="spellStart"/>
      <w:r w:rsidRPr="00212B5E">
        <w:rPr>
          <w:sz w:val="24"/>
          <w:szCs w:val="24"/>
        </w:rPr>
        <w:t>populationsfarmakokinetisk</w:t>
      </w:r>
      <w:proofErr w:type="spellEnd"/>
      <w:r w:rsidRPr="00212B5E">
        <w:rPr>
          <w:sz w:val="24"/>
          <w:szCs w:val="24"/>
        </w:rPr>
        <w:t xml:space="preserve"> analyse af patienter med skizofreni.</w:t>
      </w:r>
    </w:p>
    <w:p w14:paraId="69239441" w14:textId="77777777" w:rsidR="00314C3D" w:rsidRPr="00212B5E" w:rsidRDefault="00314C3D" w:rsidP="00212B5E">
      <w:pPr>
        <w:ind w:left="851"/>
        <w:rPr>
          <w:sz w:val="24"/>
          <w:szCs w:val="24"/>
        </w:rPr>
      </w:pPr>
    </w:p>
    <w:p w14:paraId="14FB69EB" w14:textId="77777777" w:rsidR="00314C3D" w:rsidRPr="00212B5E" w:rsidRDefault="00314C3D" w:rsidP="00212B5E">
      <w:pPr>
        <w:ind w:left="851"/>
        <w:rPr>
          <w:i/>
          <w:iCs/>
          <w:sz w:val="24"/>
          <w:szCs w:val="24"/>
        </w:rPr>
      </w:pPr>
      <w:r w:rsidRPr="00212B5E">
        <w:rPr>
          <w:i/>
          <w:iCs/>
          <w:sz w:val="24"/>
          <w:szCs w:val="24"/>
        </w:rPr>
        <w:t>Race</w:t>
      </w:r>
    </w:p>
    <w:p w14:paraId="6B18029D" w14:textId="65417062" w:rsidR="00314C3D" w:rsidRPr="00212B5E" w:rsidRDefault="00314C3D" w:rsidP="00212B5E">
      <w:pPr>
        <w:ind w:left="851"/>
        <w:rPr>
          <w:sz w:val="24"/>
          <w:szCs w:val="24"/>
        </w:rPr>
      </w:pPr>
      <w:r w:rsidRPr="00212B5E">
        <w:rPr>
          <w:sz w:val="24"/>
          <w:szCs w:val="24"/>
        </w:rPr>
        <w:t xml:space="preserve">Der var ingen klinisk relevante forskelle i de </w:t>
      </w:r>
      <w:proofErr w:type="spellStart"/>
      <w:r w:rsidRPr="00212B5E">
        <w:rPr>
          <w:sz w:val="24"/>
          <w:szCs w:val="24"/>
        </w:rPr>
        <w:t>farmakokinetiske</w:t>
      </w:r>
      <w:proofErr w:type="spellEnd"/>
      <w:r w:rsidRPr="00212B5E">
        <w:rPr>
          <w:sz w:val="24"/>
          <w:szCs w:val="24"/>
        </w:rPr>
        <w:t xml:space="preserve"> egenskaber for </w:t>
      </w:r>
      <w:proofErr w:type="spellStart"/>
      <w:r w:rsidRPr="00212B5E">
        <w:rPr>
          <w:sz w:val="24"/>
          <w:szCs w:val="24"/>
        </w:rPr>
        <w:t>lurasidon</w:t>
      </w:r>
      <w:proofErr w:type="spellEnd"/>
      <w:r w:rsidRPr="00212B5E">
        <w:rPr>
          <w:sz w:val="24"/>
          <w:szCs w:val="24"/>
        </w:rPr>
        <w:t xml:space="preserve"> i en</w:t>
      </w:r>
      <w:r w:rsidR="00374098">
        <w:rPr>
          <w:sz w:val="24"/>
          <w:szCs w:val="24"/>
        </w:rPr>
        <w:t xml:space="preserve"> </w:t>
      </w:r>
      <w:proofErr w:type="spellStart"/>
      <w:r w:rsidRPr="00212B5E">
        <w:rPr>
          <w:sz w:val="24"/>
          <w:szCs w:val="24"/>
        </w:rPr>
        <w:t>populationsfarmakokinetisk</w:t>
      </w:r>
      <w:proofErr w:type="spellEnd"/>
      <w:r w:rsidRPr="00212B5E">
        <w:rPr>
          <w:sz w:val="24"/>
          <w:szCs w:val="24"/>
        </w:rPr>
        <w:t xml:space="preserve"> analyse af patienter med skizofreni. Det blev bemærket, at asiatiske</w:t>
      </w:r>
      <w:r w:rsidR="00374098">
        <w:rPr>
          <w:sz w:val="24"/>
          <w:szCs w:val="24"/>
        </w:rPr>
        <w:t xml:space="preserve"> </w:t>
      </w:r>
      <w:r w:rsidRPr="00212B5E">
        <w:rPr>
          <w:sz w:val="24"/>
          <w:szCs w:val="24"/>
        </w:rPr>
        <w:t xml:space="preserve">forsøgspersoner havde en 1,5-foldig forøgelse af eksponeringen for </w:t>
      </w:r>
      <w:proofErr w:type="spellStart"/>
      <w:r w:rsidRPr="00212B5E">
        <w:rPr>
          <w:sz w:val="24"/>
          <w:szCs w:val="24"/>
        </w:rPr>
        <w:t>lurasidon</w:t>
      </w:r>
      <w:proofErr w:type="spellEnd"/>
      <w:r w:rsidRPr="00212B5E">
        <w:rPr>
          <w:sz w:val="24"/>
          <w:szCs w:val="24"/>
        </w:rPr>
        <w:t xml:space="preserve"> sammenlignet med</w:t>
      </w:r>
      <w:r w:rsidR="00374098">
        <w:rPr>
          <w:sz w:val="24"/>
          <w:szCs w:val="24"/>
        </w:rPr>
        <w:t xml:space="preserve"> </w:t>
      </w:r>
      <w:r w:rsidRPr="00212B5E">
        <w:rPr>
          <w:sz w:val="24"/>
          <w:szCs w:val="24"/>
        </w:rPr>
        <w:t>kaukasiske forsøgspersoner.</w:t>
      </w:r>
    </w:p>
    <w:p w14:paraId="13294057" w14:textId="77777777" w:rsidR="00314C3D" w:rsidRPr="00212B5E" w:rsidRDefault="00314C3D" w:rsidP="00212B5E">
      <w:pPr>
        <w:ind w:left="851"/>
        <w:rPr>
          <w:sz w:val="24"/>
          <w:szCs w:val="24"/>
        </w:rPr>
      </w:pPr>
    </w:p>
    <w:p w14:paraId="30961476" w14:textId="77777777" w:rsidR="00314C3D" w:rsidRPr="00212B5E" w:rsidRDefault="00314C3D" w:rsidP="00212B5E">
      <w:pPr>
        <w:ind w:left="851"/>
        <w:rPr>
          <w:i/>
          <w:iCs/>
          <w:sz w:val="24"/>
          <w:szCs w:val="24"/>
        </w:rPr>
      </w:pPr>
      <w:r w:rsidRPr="00212B5E">
        <w:rPr>
          <w:i/>
          <w:iCs/>
          <w:sz w:val="24"/>
          <w:szCs w:val="24"/>
        </w:rPr>
        <w:t>Rygning</w:t>
      </w:r>
    </w:p>
    <w:p w14:paraId="58ECD13F" w14:textId="6AC1D301" w:rsidR="00314C3D" w:rsidRPr="00212B5E" w:rsidRDefault="00314C3D" w:rsidP="00212B5E">
      <w:pPr>
        <w:ind w:left="851"/>
        <w:rPr>
          <w:sz w:val="24"/>
          <w:szCs w:val="24"/>
        </w:rPr>
      </w:pPr>
      <w:r w:rsidRPr="00212B5E">
        <w:rPr>
          <w:sz w:val="24"/>
          <w:szCs w:val="24"/>
        </w:rPr>
        <w:t xml:space="preserve">Baseret på </w:t>
      </w:r>
      <w:r w:rsidRPr="00212B5E">
        <w:rPr>
          <w:i/>
          <w:iCs/>
          <w:sz w:val="24"/>
          <w:szCs w:val="24"/>
        </w:rPr>
        <w:t xml:space="preserve">in </w:t>
      </w:r>
      <w:proofErr w:type="spellStart"/>
      <w:r w:rsidRPr="00212B5E">
        <w:rPr>
          <w:i/>
          <w:iCs/>
          <w:sz w:val="24"/>
          <w:szCs w:val="24"/>
        </w:rPr>
        <w:t>vitro</w:t>
      </w:r>
      <w:proofErr w:type="spellEnd"/>
      <w:r w:rsidRPr="00212B5E">
        <w:rPr>
          <w:sz w:val="24"/>
          <w:szCs w:val="24"/>
        </w:rPr>
        <w:t xml:space="preserve">-forsøg med humane leverenzymer er </w:t>
      </w:r>
      <w:proofErr w:type="spellStart"/>
      <w:r w:rsidRPr="00212B5E">
        <w:rPr>
          <w:sz w:val="24"/>
          <w:szCs w:val="24"/>
        </w:rPr>
        <w:t>lurasidon</w:t>
      </w:r>
      <w:proofErr w:type="spellEnd"/>
      <w:r w:rsidRPr="00212B5E">
        <w:rPr>
          <w:sz w:val="24"/>
          <w:szCs w:val="24"/>
        </w:rPr>
        <w:t xml:space="preserve"> ikke et substrat for CYP1A2.</w:t>
      </w:r>
      <w:r w:rsidR="00374098">
        <w:rPr>
          <w:sz w:val="24"/>
          <w:szCs w:val="24"/>
        </w:rPr>
        <w:t xml:space="preserve"> </w:t>
      </w:r>
      <w:r w:rsidRPr="00212B5E">
        <w:rPr>
          <w:sz w:val="24"/>
          <w:szCs w:val="24"/>
        </w:rPr>
        <w:t xml:space="preserve">Rygning bør derfor ikke have nogen effekt på </w:t>
      </w:r>
      <w:proofErr w:type="spellStart"/>
      <w:r w:rsidRPr="00212B5E">
        <w:rPr>
          <w:sz w:val="24"/>
          <w:szCs w:val="24"/>
        </w:rPr>
        <w:t>lurasidons</w:t>
      </w:r>
      <w:proofErr w:type="spellEnd"/>
      <w:r w:rsidRPr="00212B5E">
        <w:rPr>
          <w:sz w:val="24"/>
          <w:szCs w:val="24"/>
        </w:rPr>
        <w:t xml:space="preserve"> </w:t>
      </w:r>
      <w:proofErr w:type="spellStart"/>
      <w:r w:rsidRPr="00212B5E">
        <w:rPr>
          <w:sz w:val="24"/>
          <w:szCs w:val="24"/>
        </w:rPr>
        <w:t>farmakokinetiske</w:t>
      </w:r>
      <w:proofErr w:type="spellEnd"/>
      <w:r w:rsidRPr="00212B5E">
        <w:rPr>
          <w:sz w:val="24"/>
          <w:szCs w:val="24"/>
        </w:rPr>
        <w:t xml:space="preserve"> egenskaber.</w:t>
      </w:r>
    </w:p>
    <w:p w14:paraId="10245447" w14:textId="77777777" w:rsidR="00314C3D" w:rsidRPr="00212B5E" w:rsidRDefault="00314C3D" w:rsidP="00212B5E">
      <w:pPr>
        <w:ind w:left="851"/>
        <w:rPr>
          <w:sz w:val="24"/>
          <w:szCs w:val="24"/>
        </w:rPr>
      </w:pPr>
    </w:p>
    <w:p w14:paraId="5CC1DAF8" w14:textId="77777777" w:rsidR="00314C3D" w:rsidRPr="00212B5E" w:rsidRDefault="00314C3D" w:rsidP="00212B5E">
      <w:pPr>
        <w:ind w:left="851"/>
        <w:rPr>
          <w:i/>
          <w:iCs/>
          <w:sz w:val="24"/>
          <w:szCs w:val="24"/>
        </w:rPr>
      </w:pPr>
      <w:r w:rsidRPr="00212B5E">
        <w:rPr>
          <w:i/>
          <w:iCs/>
          <w:sz w:val="24"/>
          <w:szCs w:val="24"/>
        </w:rPr>
        <w:t>Pædiatrisk population</w:t>
      </w:r>
    </w:p>
    <w:p w14:paraId="13FA3842" w14:textId="77777777" w:rsidR="00314C3D" w:rsidRPr="00212B5E" w:rsidRDefault="00314C3D" w:rsidP="00212B5E">
      <w:pPr>
        <w:ind w:left="851"/>
        <w:rPr>
          <w:sz w:val="24"/>
          <w:szCs w:val="24"/>
        </w:rPr>
      </w:pPr>
      <w:r w:rsidRPr="00212B5E">
        <w:rPr>
          <w:sz w:val="24"/>
          <w:szCs w:val="24"/>
        </w:rPr>
        <w:t xml:space="preserve">Farmakokinetikken for </w:t>
      </w:r>
      <w:proofErr w:type="spellStart"/>
      <w:r w:rsidRPr="00212B5E">
        <w:rPr>
          <w:sz w:val="24"/>
          <w:szCs w:val="24"/>
        </w:rPr>
        <w:t>lurasidon</w:t>
      </w:r>
      <w:proofErr w:type="spellEnd"/>
      <w:r w:rsidRPr="00212B5E">
        <w:rPr>
          <w:sz w:val="24"/>
          <w:szCs w:val="24"/>
        </w:rPr>
        <w:t xml:space="preserve"> hos pædiatriske patienter blev vurderet hos 47 børn i alderen 6-12 år og hos 234 unge i alderen 13-17 år. </w:t>
      </w:r>
      <w:proofErr w:type="spellStart"/>
      <w:r w:rsidRPr="00212B5E">
        <w:rPr>
          <w:sz w:val="24"/>
          <w:szCs w:val="24"/>
        </w:rPr>
        <w:t>Lurasidon</w:t>
      </w:r>
      <w:proofErr w:type="spellEnd"/>
      <w:r w:rsidRPr="00212B5E">
        <w:rPr>
          <w:sz w:val="24"/>
          <w:szCs w:val="24"/>
        </w:rPr>
        <w:t xml:space="preserve"> blev administreret som </w:t>
      </w:r>
      <w:proofErr w:type="spellStart"/>
      <w:r w:rsidRPr="00212B5E">
        <w:rPr>
          <w:sz w:val="24"/>
          <w:szCs w:val="24"/>
        </w:rPr>
        <w:t>lurasidonhydrochlorid</w:t>
      </w:r>
      <w:proofErr w:type="spellEnd"/>
      <w:r w:rsidRPr="00212B5E">
        <w:rPr>
          <w:sz w:val="24"/>
          <w:szCs w:val="24"/>
        </w:rPr>
        <w:t xml:space="preserve"> i daglige doser på enten 20, 40, 80, 120 mg (6-17 år) eller 160 mg (10-17 år udelukkende) i op til 42 dage. Der blev ikke fundet nogen tydelig korrelation mellem den opnåede serumeksponering og alder eller kropsvægt. Farmakokinetikken for </w:t>
      </w:r>
      <w:proofErr w:type="spellStart"/>
      <w:r w:rsidRPr="00212B5E">
        <w:rPr>
          <w:sz w:val="24"/>
          <w:szCs w:val="24"/>
        </w:rPr>
        <w:t>lurasidon</w:t>
      </w:r>
      <w:proofErr w:type="spellEnd"/>
      <w:r w:rsidRPr="00212B5E">
        <w:rPr>
          <w:sz w:val="24"/>
          <w:szCs w:val="24"/>
        </w:rPr>
        <w:t xml:space="preserve"> hos pædiatriske patienter i aldersgruppen 6-17 år var generelt sammenlignelig med observationer hos voksne.</w:t>
      </w:r>
    </w:p>
    <w:p w14:paraId="7EAA6935" w14:textId="77777777" w:rsidR="009260DE" w:rsidRPr="00212B5E" w:rsidRDefault="009260DE" w:rsidP="009260DE">
      <w:pPr>
        <w:tabs>
          <w:tab w:val="left" w:pos="851"/>
        </w:tabs>
        <w:ind w:left="851"/>
        <w:rPr>
          <w:sz w:val="24"/>
          <w:szCs w:val="24"/>
        </w:rPr>
      </w:pPr>
    </w:p>
    <w:p w14:paraId="6A9318ED" w14:textId="77777777" w:rsidR="009260DE" w:rsidRPr="00212B5E" w:rsidRDefault="009260DE" w:rsidP="009260DE">
      <w:pPr>
        <w:tabs>
          <w:tab w:val="left" w:pos="851"/>
        </w:tabs>
        <w:ind w:left="851" w:hanging="851"/>
        <w:rPr>
          <w:b/>
          <w:sz w:val="24"/>
          <w:szCs w:val="24"/>
        </w:rPr>
      </w:pPr>
      <w:r w:rsidRPr="00212B5E">
        <w:rPr>
          <w:b/>
          <w:sz w:val="24"/>
          <w:szCs w:val="24"/>
        </w:rPr>
        <w:t>5.3</w:t>
      </w:r>
      <w:r w:rsidRPr="00212B5E">
        <w:rPr>
          <w:b/>
          <w:sz w:val="24"/>
          <w:szCs w:val="24"/>
        </w:rPr>
        <w:tab/>
      </w:r>
      <w:r w:rsidR="00BD7931" w:rsidRPr="00212B5E">
        <w:rPr>
          <w:b/>
          <w:sz w:val="24"/>
          <w:szCs w:val="24"/>
        </w:rPr>
        <w:t>Non-</w:t>
      </w:r>
      <w:r w:rsidRPr="00212B5E">
        <w:rPr>
          <w:b/>
          <w:sz w:val="24"/>
          <w:szCs w:val="24"/>
        </w:rPr>
        <w:t>kliniske sikkerhedsdata</w:t>
      </w:r>
    </w:p>
    <w:p w14:paraId="7ABBBF54" w14:textId="38F93711" w:rsidR="00314C3D" w:rsidRPr="00212B5E" w:rsidRDefault="00314C3D" w:rsidP="00212B5E">
      <w:pPr>
        <w:ind w:left="851"/>
        <w:rPr>
          <w:sz w:val="24"/>
          <w:szCs w:val="24"/>
        </w:rPr>
      </w:pPr>
      <w:r w:rsidRPr="00212B5E">
        <w:rPr>
          <w:sz w:val="24"/>
          <w:szCs w:val="24"/>
        </w:rPr>
        <w:t>Prækliniske data viser ingen speciel risiko for mennesker vurderet ud fra konventionelle studier af</w:t>
      </w:r>
      <w:r w:rsidR="00374098">
        <w:rPr>
          <w:sz w:val="24"/>
          <w:szCs w:val="24"/>
        </w:rPr>
        <w:t xml:space="preserve"> </w:t>
      </w:r>
      <w:r w:rsidRPr="00212B5E">
        <w:rPr>
          <w:sz w:val="24"/>
          <w:szCs w:val="24"/>
        </w:rPr>
        <w:t xml:space="preserve">sikkerhedsfarmakologi, toksicitet efter gentagne doser, genotoksicitet og </w:t>
      </w:r>
      <w:proofErr w:type="spellStart"/>
      <w:r w:rsidRPr="00212B5E">
        <w:rPr>
          <w:sz w:val="24"/>
          <w:szCs w:val="24"/>
        </w:rPr>
        <w:t>karcinogenicitet</w:t>
      </w:r>
      <w:proofErr w:type="spellEnd"/>
      <w:r w:rsidRPr="00212B5E">
        <w:rPr>
          <w:sz w:val="24"/>
          <w:szCs w:val="24"/>
        </w:rPr>
        <w:t xml:space="preserve">. Større fund i toksicitet ved gentagne doser </w:t>
      </w:r>
      <w:proofErr w:type="spellStart"/>
      <w:r w:rsidRPr="00212B5E">
        <w:rPr>
          <w:sz w:val="24"/>
          <w:szCs w:val="24"/>
        </w:rPr>
        <w:t>lurasidon</w:t>
      </w:r>
      <w:proofErr w:type="spellEnd"/>
      <w:r w:rsidRPr="00212B5E">
        <w:rPr>
          <w:sz w:val="24"/>
          <w:szCs w:val="24"/>
        </w:rPr>
        <w:t xml:space="preserve"> var centralt medierede, endokrine ændringer, som resulterede i forhøjede </w:t>
      </w:r>
      <w:proofErr w:type="spellStart"/>
      <w:r w:rsidRPr="00212B5E">
        <w:rPr>
          <w:sz w:val="24"/>
          <w:szCs w:val="24"/>
        </w:rPr>
        <w:t>prolaktinniveauer</w:t>
      </w:r>
      <w:proofErr w:type="spellEnd"/>
      <w:r w:rsidRPr="00212B5E">
        <w:rPr>
          <w:sz w:val="24"/>
          <w:szCs w:val="24"/>
        </w:rPr>
        <w:t xml:space="preserve"> i serum hos rotter, hunde og aber. Høje </w:t>
      </w:r>
      <w:proofErr w:type="spellStart"/>
      <w:r w:rsidRPr="00212B5E">
        <w:rPr>
          <w:sz w:val="24"/>
          <w:szCs w:val="24"/>
        </w:rPr>
        <w:t>prolaktinniveauer</w:t>
      </w:r>
      <w:proofErr w:type="spellEnd"/>
      <w:r w:rsidRPr="00212B5E">
        <w:rPr>
          <w:sz w:val="24"/>
          <w:szCs w:val="24"/>
        </w:rPr>
        <w:t xml:space="preserve"> i serum i studier af langvarige, gentagne doser hos hunrotter var forbundet med virkninger på knogler, binyrer og reproduktivt væv. Høje </w:t>
      </w:r>
      <w:proofErr w:type="spellStart"/>
      <w:r w:rsidRPr="00212B5E">
        <w:rPr>
          <w:sz w:val="24"/>
          <w:szCs w:val="24"/>
        </w:rPr>
        <w:t>prolaktinniveauer</w:t>
      </w:r>
      <w:proofErr w:type="spellEnd"/>
      <w:r w:rsidRPr="00212B5E">
        <w:rPr>
          <w:sz w:val="24"/>
          <w:szCs w:val="24"/>
        </w:rPr>
        <w:t xml:space="preserve"> i serum i et studie af langvarige, gentagne doser hos hunde var forbundet med virkninger på reproduktivt væv hos hanner og hunner.</w:t>
      </w:r>
    </w:p>
    <w:p w14:paraId="0FA7E26B" w14:textId="77777777" w:rsidR="00314C3D" w:rsidRPr="00212B5E" w:rsidRDefault="00314C3D" w:rsidP="00212B5E">
      <w:pPr>
        <w:ind w:left="851"/>
        <w:rPr>
          <w:sz w:val="24"/>
          <w:szCs w:val="24"/>
        </w:rPr>
      </w:pPr>
    </w:p>
    <w:p w14:paraId="36A5E1BD" w14:textId="77777777" w:rsidR="00314C3D" w:rsidRPr="00212B5E" w:rsidRDefault="00314C3D" w:rsidP="00212B5E">
      <w:pPr>
        <w:ind w:left="851"/>
        <w:rPr>
          <w:sz w:val="24"/>
          <w:szCs w:val="24"/>
        </w:rPr>
      </w:pPr>
      <w:r w:rsidRPr="00212B5E">
        <w:rPr>
          <w:sz w:val="24"/>
          <w:szCs w:val="24"/>
        </w:rPr>
        <w:t xml:space="preserve">Hos rotter havde </w:t>
      </w:r>
      <w:proofErr w:type="spellStart"/>
      <w:r w:rsidRPr="00212B5E">
        <w:rPr>
          <w:sz w:val="24"/>
          <w:szCs w:val="24"/>
        </w:rPr>
        <w:t>lurasidon</w:t>
      </w:r>
      <w:proofErr w:type="spellEnd"/>
      <w:r w:rsidRPr="00212B5E">
        <w:rPr>
          <w:sz w:val="24"/>
          <w:szCs w:val="24"/>
        </w:rPr>
        <w:t xml:space="preserve"> ingen indvirkning på reproduktionsevnen hos hanner og hunner ved orale doser på hhv. 150 og 0,1 mg/kg/dag </w:t>
      </w:r>
      <w:proofErr w:type="spellStart"/>
      <w:r w:rsidRPr="00212B5E">
        <w:rPr>
          <w:sz w:val="24"/>
          <w:szCs w:val="24"/>
        </w:rPr>
        <w:t>lurasidonhydrochlorid</w:t>
      </w:r>
      <w:proofErr w:type="spellEnd"/>
      <w:r w:rsidRPr="00212B5E">
        <w:rPr>
          <w:sz w:val="24"/>
          <w:szCs w:val="24"/>
        </w:rPr>
        <w:t xml:space="preserve"> eller den tidlige embryoudvikling ved en oral dosis på 15 mg/kg/dag </w:t>
      </w:r>
      <w:proofErr w:type="spellStart"/>
      <w:r w:rsidRPr="00212B5E">
        <w:rPr>
          <w:sz w:val="24"/>
          <w:szCs w:val="24"/>
        </w:rPr>
        <w:t>lurasidonhydrochlorid</w:t>
      </w:r>
      <w:proofErr w:type="spellEnd"/>
      <w:r w:rsidRPr="00212B5E">
        <w:rPr>
          <w:sz w:val="24"/>
          <w:szCs w:val="24"/>
        </w:rPr>
        <w:t>.</w:t>
      </w:r>
    </w:p>
    <w:p w14:paraId="14D1D259" w14:textId="77777777" w:rsidR="00314C3D" w:rsidRPr="00212B5E" w:rsidRDefault="00314C3D" w:rsidP="00212B5E">
      <w:pPr>
        <w:ind w:left="851"/>
        <w:rPr>
          <w:sz w:val="24"/>
          <w:szCs w:val="24"/>
        </w:rPr>
      </w:pPr>
    </w:p>
    <w:p w14:paraId="1CBC5E6B" w14:textId="4F817655" w:rsidR="00314C3D" w:rsidRPr="00212B5E" w:rsidRDefault="00314C3D" w:rsidP="00212B5E">
      <w:pPr>
        <w:ind w:left="851"/>
        <w:rPr>
          <w:sz w:val="24"/>
          <w:szCs w:val="24"/>
        </w:rPr>
      </w:pPr>
      <w:r w:rsidRPr="00212B5E">
        <w:rPr>
          <w:sz w:val="24"/>
          <w:szCs w:val="24"/>
        </w:rPr>
        <w:t>I et fertilitetsforsøg med hunrotter var der abnorm brunstcyklus og forsinket parring ≥1,5</w:t>
      </w:r>
      <w:r w:rsidR="002F17ED">
        <w:rPr>
          <w:sz w:val="24"/>
          <w:szCs w:val="24"/>
        </w:rPr>
        <w:t> </w:t>
      </w:r>
      <w:r w:rsidRPr="00212B5E">
        <w:rPr>
          <w:sz w:val="24"/>
          <w:szCs w:val="24"/>
        </w:rPr>
        <w:t>mg/kg/dag</w:t>
      </w:r>
      <w:r w:rsidR="00374098">
        <w:rPr>
          <w:sz w:val="24"/>
          <w:szCs w:val="24"/>
        </w:rPr>
        <w:t xml:space="preserve"> </w:t>
      </w:r>
      <w:proofErr w:type="spellStart"/>
      <w:r w:rsidRPr="00212B5E">
        <w:rPr>
          <w:sz w:val="24"/>
          <w:szCs w:val="24"/>
        </w:rPr>
        <w:t>lurasidonhydrochlorid</w:t>
      </w:r>
      <w:proofErr w:type="spellEnd"/>
      <w:r w:rsidRPr="00212B5E">
        <w:rPr>
          <w:sz w:val="24"/>
          <w:szCs w:val="24"/>
        </w:rPr>
        <w:t xml:space="preserve">, mens parring, fertilitetsindeks og antal af </w:t>
      </w:r>
      <w:proofErr w:type="spellStart"/>
      <w:r w:rsidRPr="00212B5E">
        <w:rPr>
          <w:sz w:val="24"/>
          <w:szCs w:val="24"/>
        </w:rPr>
        <w:t>corpora</w:t>
      </w:r>
      <w:proofErr w:type="spellEnd"/>
      <w:r w:rsidRPr="00212B5E">
        <w:rPr>
          <w:sz w:val="24"/>
          <w:szCs w:val="24"/>
        </w:rPr>
        <w:t xml:space="preserve"> </w:t>
      </w:r>
      <w:proofErr w:type="spellStart"/>
      <w:r w:rsidRPr="00212B5E">
        <w:rPr>
          <w:sz w:val="24"/>
          <w:szCs w:val="24"/>
        </w:rPr>
        <w:t>lutea</w:t>
      </w:r>
      <w:proofErr w:type="spellEnd"/>
      <w:r w:rsidRPr="00212B5E">
        <w:rPr>
          <w:sz w:val="24"/>
          <w:szCs w:val="24"/>
        </w:rPr>
        <w:t>, implantationer og</w:t>
      </w:r>
      <w:r w:rsidR="00374098">
        <w:rPr>
          <w:sz w:val="24"/>
          <w:szCs w:val="24"/>
        </w:rPr>
        <w:t xml:space="preserve"> </w:t>
      </w:r>
      <w:r w:rsidRPr="00212B5E">
        <w:rPr>
          <w:sz w:val="24"/>
          <w:szCs w:val="24"/>
        </w:rPr>
        <w:t xml:space="preserve">levende fostre var reduceret ved 150 mg/kg/dag </w:t>
      </w:r>
      <w:proofErr w:type="spellStart"/>
      <w:r w:rsidRPr="00212B5E">
        <w:rPr>
          <w:sz w:val="24"/>
          <w:szCs w:val="24"/>
        </w:rPr>
        <w:t>lurasidonhydrochlorid</w:t>
      </w:r>
      <w:proofErr w:type="spellEnd"/>
      <w:r w:rsidRPr="00212B5E">
        <w:rPr>
          <w:sz w:val="24"/>
          <w:szCs w:val="24"/>
        </w:rPr>
        <w:t>. Disse virkninger skyldtes</w:t>
      </w:r>
      <w:r w:rsidR="00374098">
        <w:rPr>
          <w:sz w:val="24"/>
          <w:szCs w:val="24"/>
        </w:rPr>
        <w:t xml:space="preserve"> </w:t>
      </w:r>
      <w:proofErr w:type="spellStart"/>
      <w:r w:rsidRPr="00212B5E">
        <w:rPr>
          <w:sz w:val="24"/>
          <w:szCs w:val="24"/>
        </w:rPr>
        <w:t>hyperprolaktinæmi</w:t>
      </w:r>
      <w:proofErr w:type="spellEnd"/>
      <w:r w:rsidRPr="00212B5E">
        <w:rPr>
          <w:sz w:val="24"/>
          <w:szCs w:val="24"/>
        </w:rPr>
        <w:t xml:space="preserve"> efter behandling med </w:t>
      </w:r>
      <w:proofErr w:type="spellStart"/>
      <w:r w:rsidRPr="00212B5E">
        <w:rPr>
          <w:sz w:val="24"/>
          <w:szCs w:val="24"/>
        </w:rPr>
        <w:t>lurasidon</w:t>
      </w:r>
      <w:proofErr w:type="spellEnd"/>
      <w:r w:rsidRPr="00212B5E">
        <w:rPr>
          <w:sz w:val="24"/>
          <w:szCs w:val="24"/>
        </w:rPr>
        <w:t>, der påvirker brunst og parringsadfærd samt</w:t>
      </w:r>
      <w:r w:rsidR="00374098">
        <w:rPr>
          <w:sz w:val="24"/>
          <w:szCs w:val="24"/>
        </w:rPr>
        <w:t xml:space="preserve"> </w:t>
      </w:r>
      <w:r w:rsidRPr="00212B5E">
        <w:rPr>
          <w:sz w:val="24"/>
          <w:szCs w:val="24"/>
        </w:rPr>
        <w:t xml:space="preserve">vedligeholdelse af corpus </w:t>
      </w:r>
      <w:proofErr w:type="spellStart"/>
      <w:r w:rsidRPr="00212B5E">
        <w:rPr>
          <w:sz w:val="24"/>
          <w:szCs w:val="24"/>
        </w:rPr>
        <w:t>luteum</w:t>
      </w:r>
      <w:proofErr w:type="spellEnd"/>
      <w:r w:rsidRPr="00212B5E">
        <w:rPr>
          <w:sz w:val="24"/>
          <w:szCs w:val="24"/>
        </w:rPr>
        <w:t xml:space="preserve"> hos hunrotter, der medfører en reduktion i implantation og antallet af levende fostre. Disse </w:t>
      </w:r>
      <w:proofErr w:type="spellStart"/>
      <w:r w:rsidRPr="00212B5E">
        <w:rPr>
          <w:sz w:val="24"/>
          <w:szCs w:val="24"/>
        </w:rPr>
        <w:t>prolaktinrelaterede</w:t>
      </w:r>
      <w:proofErr w:type="spellEnd"/>
      <w:r w:rsidRPr="00212B5E">
        <w:rPr>
          <w:sz w:val="24"/>
          <w:szCs w:val="24"/>
        </w:rPr>
        <w:t xml:space="preserve"> virkninger regnes ikke for relevante for den menneskelige reproduktion</w:t>
      </w:r>
    </w:p>
    <w:p w14:paraId="017EE606" w14:textId="77777777" w:rsidR="00314C3D" w:rsidRPr="00212B5E" w:rsidRDefault="00314C3D" w:rsidP="00212B5E">
      <w:pPr>
        <w:ind w:left="851"/>
        <w:rPr>
          <w:sz w:val="24"/>
          <w:szCs w:val="24"/>
        </w:rPr>
      </w:pPr>
    </w:p>
    <w:p w14:paraId="5B7394D0" w14:textId="0D16AD46" w:rsidR="00314C3D" w:rsidRPr="00212B5E" w:rsidRDefault="00314C3D" w:rsidP="00212B5E">
      <w:pPr>
        <w:ind w:left="851"/>
        <w:rPr>
          <w:sz w:val="24"/>
          <w:szCs w:val="24"/>
        </w:rPr>
      </w:pPr>
      <w:r w:rsidRPr="00212B5E">
        <w:rPr>
          <w:sz w:val="24"/>
          <w:szCs w:val="24"/>
        </w:rPr>
        <w:t xml:space="preserve">En enkelt dosis </w:t>
      </w:r>
      <w:proofErr w:type="spellStart"/>
      <w:r w:rsidRPr="00212B5E">
        <w:rPr>
          <w:sz w:val="24"/>
          <w:szCs w:val="24"/>
        </w:rPr>
        <w:t>lurasidonhydrochlorid</w:t>
      </w:r>
      <w:proofErr w:type="spellEnd"/>
      <w:r w:rsidRPr="00212B5E">
        <w:rPr>
          <w:sz w:val="24"/>
          <w:szCs w:val="24"/>
        </w:rPr>
        <w:t xml:space="preserve"> på 10 mg/kg givet til drægtige rotter medførte </w:t>
      </w:r>
      <w:proofErr w:type="spellStart"/>
      <w:r w:rsidRPr="00212B5E">
        <w:rPr>
          <w:sz w:val="24"/>
          <w:szCs w:val="24"/>
        </w:rPr>
        <w:t>føtal</w:t>
      </w:r>
      <w:proofErr w:type="spellEnd"/>
      <w:r w:rsidR="00374098">
        <w:rPr>
          <w:sz w:val="24"/>
          <w:szCs w:val="24"/>
        </w:rPr>
        <w:t xml:space="preserve"> </w:t>
      </w:r>
      <w:r w:rsidRPr="00212B5E">
        <w:rPr>
          <w:sz w:val="24"/>
          <w:szCs w:val="24"/>
        </w:rPr>
        <w:t>eksponering. I et studie af dosisområder med drægtige rotter medførte 150 mg/kg/dag</w:t>
      </w:r>
      <w:r w:rsidR="00374098">
        <w:rPr>
          <w:sz w:val="24"/>
          <w:szCs w:val="24"/>
        </w:rPr>
        <w:t xml:space="preserve"> </w:t>
      </w:r>
      <w:proofErr w:type="spellStart"/>
      <w:r w:rsidRPr="00212B5E">
        <w:rPr>
          <w:sz w:val="24"/>
          <w:szCs w:val="24"/>
        </w:rPr>
        <w:t>lurasidonhydrochlorid</w:t>
      </w:r>
      <w:proofErr w:type="spellEnd"/>
      <w:r w:rsidRPr="00212B5E">
        <w:rPr>
          <w:sz w:val="24"/>
          <w:szCs w:val="24"/>
        </w:rPr>
        <w:t xml:space="preserve"> </w:t>
      </w:r>
      <w:proofErr w:type="spellStart"/>
      <w:r w:rsidRPr="00212B5E">
        <w:rPr>
          <w:sz w:val="24"/>
          <w:szCs w:val="24"/>
        </w:rPr>
        <w:t>føtal</w:t>
      </w:r>
      <w:proofErr w:type="spellEnd"/>
      <w:r w:rsidRPr="00212B5E">
        <w:rPr>
          <w:sz w:val="24"/>
          <w:szCs w:val="24"/>
        </w:rPr>
        <w:t xml:space="preserve"> vækstretardering uden tegn på </w:t>
      </w:r>
      <w:proofErr w:type="spellStart"/>
      <w:r w:rsidRPr="00212B5E">
        <w:rPr>
          <w:sz w:val="24"/>
          <w:szCs w:val="24"/>
        </w:rPr>
        <w:t>teratogenicitet</w:t>
      </w:r>
      <w:proofErr w:type="spellEnd"/>
      <w:r w:rsidRPr="00212B5E">
        <w:rPr>
          <w:sz w:val="24"/>
          <w:szCs w:val="24"/>
        </w:rPr>
        <w:t xml:space="preserve">. </w:t>
      </w:r>
      <w:proofErr w:type="spellStart"/>
      <w:r w:rsidRPr="00212B5E">
        <w:rPr>
          <w:sz w:val="24"/>
          <w:szCs w:val="24"/>
        </w:rPr>
        <w:t>Lurasidon</w:t>
      </w:r>
      <w:proofErr w:type="spellEnd"/>
      <w:r w:rsidRPr="00212B5E">
        <w:rPr>
          <w:sz w:val="24"/>
          <w:szCs w:val="24"/>
        </w:rPr>
        <w:t xml:space="preserve"> var ikke</w:t>
      </w:r>
    </w:p>
    <w:p w14:paraId="7C20CD85" w14:textId="77777777" w:rsidR="00314C3D" w:rsidRPr="00212B5E" w:rsidRDefault="00314C3D" w:rsidP="00212B5E">
      <w:pPr>
        <w:ind w:left="851"/>
        <w:rPr>
          <w:sz w:val="24"/>
          <w:szCs w:val="24"/>
        </w:rPr>
      </w:pPr>
      <w:proofErr w:type="spellStart"/>
      <w:r w:rsidRPr="00212B5E">
        <w:rPr>
          <w:sz w:val="24"/>
          <w:szCs w:val="24"/>
        </w:rPr>
        <w:t>teratogent</w:t>
      </w:r>
      <w:proofErr w:type="spellEnd"/>
      <w:r w:rsidRPr="00212B5E">
        <w:rPr>
          <w:sz w:val="24"/>
          <w:szCs w:val="24"/>
        </w:rPr>
        <w:t xml:space="preserve"> i rotter eller kaniner ved en eksponering svarende til, eller under, den maksimalt anbefalede dosis til mennesker (148 mg </w:t>
      </w:r>
      <w:proofErr w:type="spellStart"/>
      <w:r w:rsidRPr="00212B5E">
        <w:rPr>
          <w:sz w:val="24"/>
          <w:szCs w:val="24"/>
        </w:rPr>
        <w:t>lurasidon</w:t>
      </w:r>
      <w:proofErr w:type="spellEnd"/>
      <w:r w:rsidRPr="00212B5E">
        <w:rPr>
          <w:sz w:val="24"/>
          <w:szCs w:val="24"/>
        </w:rPr>
        <w:t>).</w:t>
      </w:r>
    </w:p>
    <w:p w14:paraId="11795EFB" w14:textId="77777777" w:rsidR="00314C3D" w:rsidRPr="00212B5E" w:rsidRDefault="00314C3D" w:rsidP="00212B5E">
      <w:pPr>
        <w:ind w:left="851"/>
        <w:rPr>
          <w:sz w:val="24"/>
          <w:szCs w:val="24"/>
        </w:rPr>
      </w:pPr>
    </w:p>
    <w:p w14:paraId="783D79CE" w14:textId="5327A7C3" w:rsidR="00314C3D" w:rsidRPr="00212B5E" w:rsidRDefault="00314C3D" w:rsidP="00212B5E">
      <w:pPr>
        <w:ind w:left="851"/>
        <w:rPr>
          <w:sz w:val="24"/>
          <w:szCs w:val="24"/>
        </w:rPr>
      </w:pPr>
      <w:r w:rsidRPr="00212B5E">
        <w:rPr>
          <w:sz w:val="24"/>
          <w:szCs w:val="24"/>
        </w:rPr>
        <w:t xml:space="preserve">I det definitive toksicitetsstudie med juvenile rotter var der ingen tydeligøget sensitivitet hos juvenile dyr over for </w:t>
      </w:r>
      <w:proofErr w:type="spellStart"/>
      <w:r w:rsidRPr="00212B5E">
        <w:rPr>
          <w:sz w:val="24"/>
          <w:szCs w:val="24"/>
        </w:rPr>
        <w:t>lurasidon</w:t>
      </w:r>
      <w:proofErr w:type="spellEnd"/>
      <w:r w:rsidRPr="00212B5E">
        <w:rPr>
          <w:sz w:val="24"/>
          <w:szCs w:val="24"/>
        </w:rPr>
        <w:t xml:space="preserve">-relaterede virkninger på kropsvægt, fødeindtagelse og kliniske observationer, men der blev bemærket lignende virkninger hos voksne rotter (forsinket vækst og udvikling samt </w:t>
      </w:r>
      <w:proofErr w:type="spellStart"/>
      <w:r w:rsidRPr="00212B5E">
        <w:rPr>
          <w:sz w:val="24"/>
          <w:szCs w:val="24"/>
        </w:rPr>
        <w:t>hyperprolaktinæmi</w:t>
      </w:r>
      <w:proofErr w:type="spellEnd"/>
      <w:r w:rsidRPr="00212B5E">
        <w:rPr>
          <w:sz w:val="24"/>
          <w:szCs w:val="24"/>
        </w:rPr>
        <w:t>). Hyperaktivitet, der sås ved ≥</w:t>
      </w:r>
      <w:r w:rsidR="002F17ED">
        <w:rPr>
          <w:sz w:val="24"/>
          <w:szCs w:val="24"/>
        </w:rPr>
        <w:t> </w:t>
      </w:r>
      <w:r w:rsidRPr="00212B5E">
        <w:rPr>
          <w:sz w:val="24"/>
          <w:szCs w:val="24"/>
        </w:rPr>
        <w:t>3</w:t>
      </w:r>
      <w:r w:rsidR="002F17ED">
        <w:rPr>
          <w:sz w:val="24"/>
          <w:szCs w:val="24"/>
        </w:rPr>
        <w:t> </w:t>
      </w:r>
      <w:r w:rsidRPr="00212B5E">
        <w:rPr>
          <w:sz w:val="24"/>
          <w:szCs w:val="24"/>
        </w:rPr>
        <w:t xml:space="preserve">mg/kg/dag i perioden efter behandling, er også rapporteret for andre D2-receptorantagonister. En smule lavere fødselsvægt og kropsvægt/vægtøgning i den </w:t>
      </w:r>
      <w:proofErr w:type="spellStart"/>
      <w:r w:rsidRPr="00212B5E">
        <w:rPr>
          <w:sz w:val="24"/>
          <w:szCs w:val="24"/>
        </w:rPr>
        <w:t>postnatale</w:t>
      </w:r>
      <w:proofErr w:type="spellEnd"/>
      <w:r w:rsidRPr="00212B5E">
        <w:rPr>
          <w:sz w:val="24"/>
          <w:szCs w:val="24"/>
        </w:rPr>
        <w:t xml:space="preserve"> periode blev bemærket i afkommet af juvenile rotter, der tidligere var behandlet med ≥</w:t>
      </w:r>
      <w:r w:rsidR="002F17ED">
        <w:rPr>
          <w:sz w:val="24"/>
          <w:szCs w:val="24"/>
        </w:rPr>
        <w:t> </w:t>
      </w:r>
      <w:r w:rsidRPr="00212B5E">
        <w:rPr>
          <w:sz w:val="24"/>
          <w:szCs w:val="24"/>
        </w:rPr>
        <w:t>30</w:t>
      </w:r>
      <w:r w:rsidR="002F17ED">
        <w:rPr>
          <w:sz w:val="24"/>
          <w:szCs w:val="24"/>
        </w:rPr>
        <w:t> </w:t>
      </w:r>
      <w:r w:rsidRPr="00212B5E">
        <w:rPr>
          <w:sz w:val="24"/>
          <w:szCs w:val="24"/>
        </w:rPr>
        <w:t xml:space="preserve">mg/kg/dag. Ved NOAEL på 3 mg/kg/dag var eksponeringen for </w:t>
      </w:r>
      <w:proofErr w:type="spellStart"/>
      <w:r w:rsidRPr="00212B5E">
        <w:rPr>
          <w:sz w:val="24"/>
          <w:szCs w:val="24"/>
        </w:rPr>
        <w:t>lurasidon</w:t>
      </w:r>
      <w:proofErr w:type="spellEnd"/>
      <w:r w:rsidRPr="00212B5E">
        <w:rPr>
          <w:sz w:val="24"/>
          <w:szCs w:val="24"/>
        </w:rPr>
        <w:t xml:space="preserve"> og de fleste metabolitter lavere end den, der blev opnået ved den anbefalede kliniske dosis til unge i alderen 13 år og derover.</w:t>
      </w:r>
    </w:p>
    <w:p w14:paraId="6976BDA2" w14:textId="77777777" w:rsidR="00314C3D" w:rsidRPr="00212B5E" w:rsidRDefault="00314C3D" w:rsidP="00212B5E">
      <w:pPr>
        <w:ind w:left="851"/>
        <w:rPr>
          <w:sz w:val="24"/>
          <w:szCs w:val="24"/>
        </w:rPr>
      </w:pPr>
    </w:p>
    <w:p w14:paraId="0B55DBFA" w14:textId="77777777"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udskilles i mælk hos diegivende rotter.</w:t>
      </w:r>
    </w:p>
    <w:p w14:paraId="77E4BD6A" w14:textId="77777777" w:rsidR="00314C3D" w:rsidRPr="00212B5E" w:rsidRDefault="00314C3D" w:rsidP="00212B5E">
      <w:pPr>
        <w:ind w:left="851"/>
        <w:rPr>
          <w:sz w:val="24"/>
          <w:szCs w:val="24"/>
        </w:rPr>
      </w:pPr>
    </w:p>
    <w:p w14:paraId="52F1D8EE" w14:textId="135387FA" w:rsidR="00314C3D" w:rsidRPr="00212B5E" w:rsidRDefault="00314C3D" w:rsidP="00212B5E">
      <w:pPr>
        <w:ind w:left="851"/>
        <w:rPr>
          <w:sz w:val="24"/>
          <w:szCs w:val="24"/>
        </w:rPr>
      </w:pPr>
      <w:proofErr w:type="spellStart"/>
      <w:r w:rsidRPr="00212B5E">
        <w:rPr>
          <w:sz w:val="24"/>
          <w:szCs w:val="24"/>
        </w:rPr>
        <w:t>Lurasidon</w:t>
      </w:r>
      <w:proofErr w:type="spellEnd"/>
      <w:r w:rsidRPr="00212B5E">
        <w:rPr>
          <w:sz w:val="24"/>
          <w:szCs w:val="24"/>
        </w:rPr>
        <w:t xml:space="preserve"> var ikke genotoksisk i en række af tests. </w:t>
      </w:r>
      <w:proofErr w:type="spellStart"/>
      <w:r w:rsidRPr="00212B5E">
        <w:rPr>
          <w:sz w:val="24"/>
          <w:szCs w:val="24"/>
        </w:rPr>
        <w:t>Karcinogenicitetsforsøg</w:t>
      </w:r>
      <w:proofErr w:type="spellEnd"/>
      <w:r w:rsidRPr="00212B5E">
        <w:rPr>
          <w:sz w:val="24"/>
          <w:szCs w:val="24"/>
        </w:rPr>
        <w:t xml:space="preserve"> med mus og rotter viste en stigning i </w:t>
      </w:r>
      <w:proofErr w:type="spellStart"/>
      <w:r w:rsidRPr="00212B5E">
        <w:rPr>
          <w:sz w:val="24"/>
          <w:szCs w:val="24"/>
        </w:rPr>
        <w:t>mammatumorer</w:t>
      </w:r>
      <w:proofErr w:type="spellEnd"/>
      <w:r w:rsidRPr="00212B5E">
        <w:rPr>
          <w:sz w:val="24"/>
          <w:szCs w:val="24"/>
        </w:rPr>
        <w:t xml:space="preserve"> og tumorer i hypofysen, som efter al sandsynlighed skyldtes øgede</w:t>
      </w:r>
      <w:r w:rsidR="00374098">
        <w:rPr>
          <w:sz w:val="24"/>
          <w:szCs w:val="24"/>
        </w:rPr>
        <w:t xml:space="preserve"> </w:t>
      </w:r>
      <w:proofErr w:type="spellStart"/>
      <w:r w:rsidRPr="00212B5E">
        <w:rPr>
          <w:sz w:val="24"/>
          <w:szCs w:val="24"/>
        </w:rPr>
        <w:t>prolaktiniveauer</w:t>
      </w:r>
      <w:proofErr w:type="spellEnd"/>
      <w:r w:rsidRPr="00212B5E">
        <w:rPr>
          <w:sz w:val="24"/>
          <w:szCs w:val="24"/>
        </w:rPr>
        <w:t xml:space="preserve"> i blodet. Disse fund er almindelige hos gnavere, som er blevet behandlet med</w:t>
      </w:r>
      <w:r w:rsidR="00374098">
        <w:rPr>
          <w:sz w:val="24"/>
          <w:szCs w:val="24"/>
        </w:rPr>
        <w:t xml:space="preserve"> </w:t>
      </w:r>
      <w:r w:rsidRPr="00212B5E">
        <w:rPr>
          <w:sz w:val="24"/>
          <w:szCs w:val="24"/>
        </w:rPr>
        <w:t>antipsykotiske midler med dopamin D2-blokerende aktivitet og anses for specifikt at gælde for</w:t>
      </w:r>
      <w:r w:rsidR="00374098">
        <w:rPr>
          <w:sz w:val="24"/>
          <w:szCs w:val="24"/>
        </w:rPr>
        <w:t xml:space="preserve"> </w:t>
      </w:r>
      <w:r w:rsidRPr="00212B5E">
        <w:rPr>
          <w:sz w:val="24"/>
          <w:szCs w:val="24"/>
        </w:rPr>
        <w:t>gnavere.</w:t>
      </w:r>
    </w:p>
    <w:p w14:paraId="5C443621" w14:textId="77777777" w:rsidR="009260DE" w:rsidRPr="00212B5E" w:rsidRDefault="009260DE" w:rsidP="009260DE">
      <w:pPr>
        <w:tabs>
          <w:tab w:val="left" w:pos="851"/>
        </w:tabs>
        <w:ind w:left="851"/>
        <w:rPr>
          <w:sz w:val="24"/>
          <w:szCs w:val="24"/>
        </w:rPr>
      </w:pPr>
    </w:p>
    <w:p w14:paraId="3FDD6A94" w14:textId="77777777" w:rsidR="009260DE" w:rsidRPr="00212B5E" w:rsidRDefault="009260DE" w:rsidP="009260DE">
      <w:pPr>
        <w:tabs>
          <w:tab w:val="left" w:pos="851"/>
        </w:tabs>
        <w:ind w:left="851"/>
        <w:rPr>
          <w:sz w:val="24"/>
          <w:szCs w:val="24"/>
        </w:rPr>
      </w:pPr>
    </w:p>
    <w:p w14:paraId="2C4E7A65" w14:textId="77777777" w:rsidR="009260DE" w:rsidRPr="00212B5E" w:rsidRDefault="009260DE" w:rsidP="009260DE">
      <w:pPr>
        <w:tabs>
          <w:tab w:val="left" w:pos="851"/>
        </w:tabs>
        <w:ind w:left="851" w:hanging="851"/>
        <w:rPr>
          <w:b/>
          <w:sz w:val="24"/>
          <w:szCs w:val="24"/>
        </w:rPr>
      </w:pPr>
      <w:r w:rsidRPr="00212B5E">
        <w:rPr>
          <w:b/>
          <w:sz w:val="24"/>
          <w:szCs w:val="24"/>
        </w:rPr>
        <w:t>6.</w:t>
      </w:r>
      <w:r w:rsidRPr="00212B5E">
        <w:rPr>
          <w:b/>
          <w:sz w:val="24"/>
          <w:szCs w:val="24"/>
        </w:rPr>
        <w:tab/>
        <w:t>FARMACEUTISKE OPLYSNINGER</w:t>
      </w:r>
    </w:p>
    <w:p w14:paraId="59BA4B3B" w14:textId="77777777" w:rsidR="009260DE" w:rsidRPr="00212B5E" w:rsidRDefault="009260DE" w:rsidP="009260DE">
      <w:pPr>
        <w:tabs>
          <w:tab w:val="left" w:pos="851"/>
        </w:tabs>
        <w:ind w:left="851"/>
        <w:rPr>
          <w:sz w:val="24"/>
          <w:szCs w:val="24"/>
        </w:rPr>
      </w:pPr>
    </w:p>
    <w:p w14:paraId="5AE50EC4" w14:textId="77777777" w:rsidR="009260DE" w:rsidRPr="00212B5E" w:rsidRDefault="009260DE" w:rsidP="009260DE">
      <w:pPr>
        <w:tabs>
          <w:tab w:val="left" w:pos="851"/>
        </w:tabs>
        <w:ind w:left="851" w:hanging="851"/>
        <w:rPr>
          <w:b/>
          <w:sz w:val="24"/>
          <w:szCs w:val="24"/>
        </w:rPr>
      </w:pPr>
      <w:r w:rsidRPr="00212B5E">
        <w:rPr>
          <w:b/>
          <w:sz w:val="24"/>
          <w:szCs w:val="24"/>
        </w:rPr>
        <w:t>6.1</w:t>
      </w:r>
      <w:r w:rsidRPr="00212B5E">
        <w:rPr>
          <w:b/>
          <w:sz w:val="24"/>
          <w:szCs w:val="24"/>
        </w:rPr>
        <w:tab/>
        <w:t>Hjælpestoffer</w:t>
      </w:r>
    </w:p>
    <w:p w14:paraId="0103BCCF" w14:textId="77777777" w:rsidR="00374098" w:rsidRDefault="00374098" w:rsidP="00212B5E">
      <w:pPr>
        <w:autoSpaceDE w:val="0"/>
        <w:autoSpaceDN w:val="0"/>
        <w:adjustRightInd w:val="0"/>
        <w:ind w:left="851"/>
        <w:rPr>
          <w:sz w:val="24"/>
          <w:szCs w:val="24"/>
          <w:u w:val="single"/>
        </w:rPr>
      </w:pPr>
    </w:p>
    <w:p w14:paraId="05519E1C" w14:textId="7F044033" w:rsidR="00314C3D" w:rsidRPr="00212B5E" w:rsidRDefault="00314C3D" w:rsidP="00212B5E">
      <w:pPr>
        <w:autoSpaceDE w:val="0"/>
        <w:autoSpaceDN w:val="0"/>
        <w:adjustRightInd w:val="0"/>
        <w:ind w:left="851"/>
        <w:rPr>
          <w:sz w:val="24"/>
          <w:szCs w:val="24"/>
          <w:u w:val="single"/>
          <w:lang w:eastAsia="da-DK"/>
        </w:rPr>
      </w:pPr>
      <w:proofErr w:type="spellStart"/>
      <w:r w:rsidRPr="00212B5E">
        <w:rPr>
          <w:sz w:val="24"/>
          <w:szCs w:val="24"/>
          <w:u w:val="single"/>
        </w:rPr>
        <w:t>Lurasidone</w:t>
      </w:r>
      <w:proofErr w:type="spellEnd"/>
      <w:r w:rsidRPr="00212B5E">
        <w:rPr>
          <w:sz w:val="24"/>
          <w:szCs w:val="24"/>
          <w:u w:val="single"/>
        </w:rPr>
        <w:t xml:space="preserve"> </w:t>
      </w:r>
      <w:r w:rsidR="00325BA6">
        <w:rPr>
          <w:sz w:val="24"/>
          <w:szCs w:val="24"/>
          <w:u w:val="single"/>
        </w:rPr>
        <w:t>"Orifarm"</w:t>
      </w:r>
      <w:r w:rsidRPr="00212B5E">
        <w:rPr>
          <w:sz w:val="24"/>
          <w:szCs w:val="24"/>
          <w:u w:val="single"/>
        </w:rPr>
        <w:t xml:space="preserve"> 18,5 mg filmovertrukne tabletter</w:t>
      </w:r>
    </w:p>
    <w:p w14:paraId="272B5CE2" w14:textId="77777777" w:rsidR="00314C3D" w:rsidRPr="00212B5E" w:rsidRDefault="00314C3D" w:rsidP="00212B5E">
      <w:pPr>
        <w:tabs>
          <w:tab w:val="left" w:pos="851"/>
        </w:tabs>
        <w:ind w:left="851"/>
        <w:rPr>
          <w:sz w:val="24"/>
          <w:szCs w:val="24"/>
          <w:u w:val="single"/>
          <w:lang w:val="de-DE"/>
        </w:rPr>
      </w:pPr>
      <w:r w:rsidRPr="00212B5E">
        <w:rPr>
          <w:sz w:val="24"/>
          <w:szCs w:val="24"/>
          <w:u w:val="single"/>
          <w:lang w:val="de-DE"/>
        </w:rPr>
        <w:t>Kerne</w:t>
      </w:r>
    </w:p>
    <w:p w14:paraId="4597133B"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Mannitol</w:t>
      </w:r>
      <w:proofErr w:type="spellEnd"/>
      <w:r w:rsidRPr="00212B5E">
        <w:rPr>
          <w:sz w:val="24"/>
          <w:szCs w:val="24"/>
          <w:lang w:val="de-DE"/>
        </w:rPr>
        <w:t xml:space="preserve"> (E421)</w:t>
      </w:r>
    </w:p>
    <w:p w14:paraId="4FC9A310"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Croscarmellosenatrium</w:t>
      </w:r>
      <w:proofErr w:type="spellEnd"/>
      <w:r w:rsidRPr="00212B5E">
        <w:rPr>
          <w:sz w:val="24"/>
          <w:szCs w:val="24"/>
          <w:lang w:val="de-DE"/>
        </w:rPr>
        <w:t xml:space="preserve"> (E468)</w:t>
      </w:r>
    </w:p>
    <w:p w14:paraId="0581747C"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Hypromellose</w:t>
      </w:r>
      <w:proofErr w:type="spellEnd"/>
      <w:r w:rsidRPr="00212B5E">
        <w:rPr>
          <w:sz w:val="24"/>
          <w:szCs w:val="24"/>
          <w:lang w:val="de-DE"/>
        </w:rPr>
        <w:t xml:space="preserve"> (E464)</w:t>
      </w:r>
    </w:p>
    <w:p w14:paraId="525E5A17" w14:textId="77777777" w:rsidR="00314C3D" w:rsidRPr="00212B5E" w:rsidRDefault="00314C3D" w:rsidP="00212B5E">
      <w:pPr>
        <w:tabs>
          <w:tab w:val="left" w:pos="851"/>
        </w:tabs>
        <w:ind w:left="851"/>
        <w:rPr>
          <w:sz w:val="24"/>
          <w:szCs w:val="24"/>
          <w:lang w:val="de-DE"/>
        </w:rPr>
      </w:pPr>
      <w:r w:rsidRPr="00212B5E">
        <w:rPr>
          <w:sz w:val="24"/>
          <w:szCs w:val="24"/>
          <w:lang w:val="de-DE"/>
        </w:rPr>
        <w:t>Magnesiumstearat (E470b)</w:t>
      </w:r>
    </w:p>
    <w:p w14:paraId="08B3022B" w14:textId="77777777" w:rsidR="00314C3D" w:rsidRPr="00212B5E" w:rsidRDefault="00314C3D" w:rsidP="00212B5E">
      <w:pPr>
        <w:tabs>
          <w:tab w:val="left" w:pos="851"/>
        </w:tabs>
        <w:ind w:left="851"/>
        <w:rPr>
          <w:sz w:val="24"/>
          <w:szCs w:val="24"/>
          <w:lang w:val="de-DE"/>
        </w:rPr>
      </w:pPr>
      <w:r w:rsidRPr="00212B5E">
        <w:rPr>
          <w:sz w:val="24"/>
          <w:szCs w:val="24"/>
          <w:lang w:val="de-DE"/>
        </w:rPr>
        <w:t xml:space="preserve">Cellulose, </w:t>
      </w:r>
      <w:proofErr w:type="spellStart"/>
      <w:r w:rsidRPr="00212B5E">
        <w:rPr>
          <w:sz w:val="24"/>
          <w:szCs w:val="24"/>
          <w:lang w:val="de-DE"/>
        </w:rPr>
        <w:t>mikrokrystallinsk</w:t>
      </w:r>
      <w:proofErr w:type="spellEnd"/>
      <w:r w:rsidRPr="00212B5E">
        <w:rPr>
          <w:sz w:val="24"/>
          <w:szCs w:val="24"/>
          <w:lang w:val="de-DE"/>
        </w:rPr>
        <w:t xml:space="preserve"> (E460)</w:t>
      </w:r>
    </w:p>
    <w:p w14:paraId="5666EEFB" w14:textId="77777777" w:rsidR="00314C3D" w:rsidRPr="00212B5E" w:rsidRDefault="00314C3D" w:rsidP="00212B5E">
      <w:pPr>
        <w:tabs>
          <w:tab w:val="left" w:pos="851"/>
        </w:tabs>
        <w:ind w:left="851"/>
        <w:rPr>
          <w:sz w:val="24"/>
          <w:szCs w:val="24"/>
          <w:lang w:val="de-DE"/>
        </w:rPr>
      </w:pPr>
    </w:p>
    <w:p w14:paraId="45EAF856" w14:textId="77777777" w:rsidR="00314C3D" w:rsidRPr="00212B5E" w:rsidRDefault="00314C3D" w:rsidP="00212B5E">
      <w:pPr>
        <w:autoSpaceDE w:val="0"/>
        <w:autoSpaceDN w:val="0"/>
        <w:adjustRightInd w:val="0"/>
        <w:ind w:left="851"/>
        <w:rPr>
          <w:sz w:val="24"/>
          <w:szCs w:val="24"/>
          <w:u w:val="single"/>
          <w:lang w:val="de-DE"/>
        </w:rPr>
      </w:pPr>
      <w:proofErr w:type="spellStart"/>
      <w:r w:rsidRPr="00212B5E">
        <w:rPr>
          <w:sz w:val="24"/>
          <w:szCs w:val="24"/>
          <w:u w:val="single"/>
          <w:lang w:val="de-DE"/>
        </w:rPr>
        <w:t>Tabletovertræk</w:t>
      </w:r>
      <w:proofErr w:type="spellEnd"/>
    </w:p>
    <w:p w14:paraId="6245DD52" w14:textId="77777777" w:rsidR="00314C3D" w:rsidRPr="00212B5E" w:rsidRDefault="00314C3D" w:rsidP="00212B5E">
      <w:pPr>
        <w:autoSpaceDE w:val="0"/>
        <w:autoSpaceDN w:val="0"/>
        <w:adjustRightInd w:val="0"/>
        <w:ind w:left="851"/>
        <w:rPr>
          <w:sz w:val="24"/>
          <w:szCs w:val="24"/>
          <w:lang w:val="de-DE"/>
        </w:rPr>
      </w:pPr>
      <w:proofErr w:type="spellStart"/>
      <w:r w:rsidRPr="00212B5E">
        <w:rPr>
          <w:sz w:val="24"/>
          <w:szCs w:val="24"/>
          <w:lang w:val="de-DE"/>
        </w:rPr>
        <w:t>Hypromellose</w:t>
      </w:r>
      <w:proofErr w:type="spellEnd"/>
      <w:r w:rsidRPr="00212B5E">
        <w:rPr>
          <w:sz w:val="24"/>
          <w:szCs w:val="24"/>
          <w:lang w:val="de-DE"/>
        </w:rPr>
        <w:t xml:space="preserve"> (E464)</w:t>
      </w:r>
    </w:p>
    <w:p w14:paraId="2D488A14" w14:textId="77777777" w:rsidR="00314C3D" w:rsidRPr="00212B5E" w:rsidRDefault="00314C3D" w:rsidP="00212B5E">
      <w:pPr>
        <w:autoSpaceDE w:val="0"/>
        <w:autoSpaceDN w:val="0"/>
        <w:adjustRightInd w:val="0"/>
        <w:ind w:left="851"/>
        <w:rPr>
          <w:sz w:val="24"/>
          <w:szCs w:val="24"/>
          <w:lang w:val="de-DE"/>
        </w:rPr>
      </w:pPr>
      <w:proofErr w:type="spellStart"/>
      <w:r w:rsidRPr="00212B5E">
        <w:rPr>
          <w:sz w:val="24"/>
          <w:szCs w:val="24"/>
          <w:lang w:val="de-DE"/>
        </w:rPr>
        <w:t>Titaniumdioxid</w:t>
      </w:r>
      <w:proofErr w:type="spellEnd"/>
      <w:r w:rsidRPr="00212B5E">
        <w:rPr>
          <w:sz w:val="24"/>
          <w:szCs w:val="24"/>
          <w:lang w:val="de-DE"/>
        </w:rPr>
        <w:t xml:space="preserve"> (E171)</w:t>
      </w:r>
    </w:p>
    <w:p w14:paraId="52E5DB56"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Macrogol</w:t>
      </w:r>
      <w:proofErr w:type="spellEnd"/>
      <w:r w:rsidRPr="00212B5E">
        <w:rPr>
          <w:sz w:val="24"/>
          <w:szCs w:val="24"/>
          <w:lang w:val="de-DE"/>
        </w:rPr>
        <w:t xml:space="preserve"> (E1521)</w:t>
      </w:r>
    </w:p>
    <w:p w14:paraId="571C4350" w14:textId="77777777" w:rsidR="00314C3D" w:rsidRPr="00212B5E" w:rsidRDefault="00314C3D" w:rsidP="00212B5E">
      <w:pPr>
        <w:tabs>
          <w:tab w:val="left" w:pos="851"/>
        </w:tabs>
        <w:ind w:left="851"/>
        <w:rPr>
          <w:sz w:val="24"/>
          <w:szCs w:val="24"/>
          <w:lang w:val="de-DE"/>
        </w:rPr>
      </w:pPr>
    </w:p>
    <w:p w14:paraId="724F426E" w14:textId="1C830F1E" w:rsidR="00314C3D" w:rsidRPr="00212B5E" w:rsidRDefault="00314C3D" w:rsidP="00212B5E">
      <w:pPr>
        <w:tabs>
          <w:tab w:val="left" w:pos="851"/>
        </w:tabs>
        <w:ind w:left="851"/>
        <w:rPr>
          <w:sz w:val="24"/>
          <w:szCs w:val="24"/>
          <w:u w:val="single"/>
          <w:lang w:val="de-DE"/>
        </w:rPr>
      </w:pPr>
      <w:proofErr w:type="spellStart"/>
      <w:r w:rsidRPr="00212B5E">
        <w:rPr>
          <w:sz w:val="24"/>
          <w:szCs w:val="24"/>
          <w:u w:val="single"/>
          <w:lang w:val="de-DE"/>
        </w:rPr>
        <w:t>Lurasidone</w:t>
      </w:r>
      <w:proofErr w:type="spellEnd"/>
      <w:r w:rsidRPr="00212B5E">
        <w:rPr>
          <w:sz w:val="24"/>
          <w:szCs w:val="24"/>
          <w:u w:val="single"/>
          <w:lang w:val="de-DE"/>
        </w:rPr>
        <w:t xml:space="preserve"> </w:t>
      </w:r>
      <w:r w:rsidR="00325BA6">
        <w:rPr>
          <w:sz w:val="24"/>
          <w:szCs w:val="24"/>
          <w:u w:val="single"/>
          <w:lang w:val="de-DE"/>
        </w:rPr>
        <w:t>"Orifarm"</w:t>
      </w:r>
      <w:r w:rsidRPr="00212B5E">
        <w:rPr>
          <w:sz w:val="24"/>
          <w:szCs w:val="24"/>
          <w:u w:val="single"/>
          <w:lang w:val="de-DE"/>
        </w:rPr>
        <w:t xml:space="preserve"> 37 mg filmovertrukne tabletter</w:t>
      </w:r>
    </w:p>
    <w:p w14:paraId="65B46527" w14:textId="77777777" w:rsidR="00314C3D" w:rsidRPr="00212B5E" w:rsidRDefault="00314C3D" w:rsidP="00212B5E">
      <w:pPr>
        <w:tabs>
          <w:tab w:val="left" w:pos="851"/>
        </w:tabs>
        <w:ind w:left="851"/>
        <w:rPr>
          <w:sz w:val="24"/>
          <w:szCs w:val="24"/>
          <w:u w:val="single"/>
          <w:lang w:val="de-DE"/>
        </w:rPr>
      </w:pPr>
      <w:r w:rsidRPr="00212B5E">
        <w:rPr>
          <w:sz w:val="24"/>
          <w:szCs w:val="24"/>
          <w:u w:val="single"/>
          <w:lang w:val="de-DE"/>
        </w:rPr>
        <w:t>Kerne</w:t>
      </w:r>
    </w:p>
    <w:p w14:paraId="54997849"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Mannitol</w:t>
      </w:r>
      <w:proofErr w:type="spellEnd"/>
      <w:r w:rsidRPr="00212B5E">
        <w:rPr>
          <w:sz w:val="24"/>
          <w:szCs w:val="24"/>
          <w:lang w:val="de-DE"/>
        </w:rPr>
        <w:t xml:space="preserve"> (E421)</w:t>
      </w:r>
    </w:p>
    <w:p w14:paraId="1EA870AC"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Croscarmellosenatrium</w:t>
      </w:r>
      <w:proofErr w:type="spellEnd"/>
      <w:r w:rsidRPr="00212B5E">
        <w:rPr>
          <w:sz w:val="24"/>
          <w:szCs w:val="24"/>
          <w:lang w:val="de-DE"/>
        </w:rPr>
        <w:t xml:space="preserve"> (E468)</w:t>
      </w:r>
    </w:p>
    <w:p w14:paraId="3EF73C65"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Hypromellose</w:t>
      </w:r>
      <w:proofErr w:type="spellEnd"/>
      <w:r w:rsidRPr="00212B5E">
        <w:rPr>
          <w:sz w:val="24"/>
          <w:szCs w:val="24"/>
          <w:lang w:val="de-DE"/>
        </w:rPr>
        <w:t xml:space="preserve"> (E464)</w:t>
      </w:r>
    </w:p>
    <w:p w14:paraId="2DD4B43A" w14:textId="77777777" w:rsidR="00314C3D" w:rsidRPr="00212B5E" w:rsidRDefault="00314C3D" w:rsidP="00212B5E">
      <w:pPr>
        <w:tabs>
          <w:tab w:val="left" w:pos="851"/>
        </w:tabs>
        <w:ind w:left="851"/>
        <w:rPr>
          <w:sz w:val="24"/>
          <w:szCs w:val="24"/>
          <w:lang w:val="de-DE"/>
        </w:rPr>
      </w:pPr>
      <w:r w:rsidRPr="00212B5E">
        <w:rPr>
          <w:sz w:val="24"/>
          <w:szCs w:val="24"/>
          <w:lang w:val="de-DE"/>
        </w:rPr>
        <w:t>Magnesiumstearat (E470b)</w:t>
      </w:r>
    </w:p>
    <w:p w14:paraId="5412DE20" w14:textId="77777777" w:rsidR="00314C3D" w:rsidRPr="00212B5E" w:rsidRDefault="00314C3D" w:rsidP="00212B5E">
      <w:pPr>
        <w:tabs>
          <w:tab w:val="left" w:pos="851"/>
        </w:tabs>
        <w:ind w:left="851"/>
        <w:rPr>
          <w:sz w:val="24"/>
          <w:szCs w:val="24"/>
          <w:lang w:val="de-DE"/>
        </w:rPr>
      </w:pPr>
      <w:r w:rsidRPr="00212B5E">
        <w:rPr>
          <w:sz w:val="24"/>
          <w:szCs w:val="24"/>
          <w:lang w:val="de-DE"/>
        </w:rPr>
        <w:t xml:space="preserve">Cellulose, </w:t>
      </w:r>
      <w:proofErr w:type="spellStart"/>
      <w:r w:rsidRPr="00212B5E">
        <w:rPr>
          <w:sz w:val="24"/>
          <w:szCs w:val="24"/>
          <w:lang w:val="de-DE"/>
        </w:rPr>
        <w:t>mikrokrystallinsk</w:t>
      </w:r>
      <w:proofErr w:type="spellEnd"/>
      <w:r w:rsidRPr="00212B5E">
        <w:rPr>
          <w:sz w:val="24"/>
          <w:szCs w:val="24"/>
          <w:lang w:val="de-DE"/>
        </w:rPr>
        <w:t xml:space="preserve"> (E460)</w:t>
      </w:r>
    </w:p>
    <w:p w14:paraId="72E04F48" w14:textId="77777777" w:rsidR="00314C3D" w:rsidRPr="00212B5E" w:rsidRDefault="00314C3D" w:rsidP="00212B5E">
      <w:pPr>
        <w:tabs>
          <w:tab w:val="left" w:pos="851"/>
        </w:tabs>
        <w:ind w:left="851"/>
        <w:rPr>
          <w:sz w:val="24"/>
          <w:szCs w:val="24"/>
          <w:lang w:val="de-DE"/>
        </w:rPr>
      </w:pPr>
    </w:p>
    <w:p w14:paraId="224E7F4F" w14:textId="77777777" w:rsidR="00314C3D" w:rsidRPr="00212B5E" w:rsidRDefault="00314C3D" w:rsidP="00212B5E">
      <w:pPr>
        <w:autoSpaceDE w:val="0"/>
        <w:autoSpaceDN w:val="0"/>
        <w:adjustRightInd w:val="0"/>
        <w:ind w:left="851"/>
        <w:rPr>
          <w:sz w:val="24"/>
          <w:szCs w:val="24"/>
          <w:u w:val="single"/>
          <w:lang w:val="de-DE"/>
        </w:rPr>
      </w:pPr>
      <w:proofErr w:type="spellStart"/>
      <w:r w:rsidRPr="00212B5E">
        <w:rPr>
          <w:sz w:val="24"/>
          <w:szCs w:val="24"/>
          <w:u w:val="single"/>
          <w:lang w:val="de-DE"/>
        </w:rPr>
        <w:t>Tabletovertræk</w:t>
      </w:r>
      <w:proofErr w:type="spellEnd"/>
    </w:p>
    <w:p w14:paraId="3876C0CF" w14:textId="77777777" w:rsidR="00314C3D" w:rsidRPr="00212B5E" w:rsidRDefault="00314C3D" w:rsidP="00212B5E">
      <w:pPr>
        <w:autoSpaceDE w:val="0"/>
        <w:autoSpaceDN w:val="0"/>
        <w:adjustRightInd w:val="0"/>
        <w:ind w:left="851"/>
        <w:rPr>
          <w:sz w:val="24"/>
          <w:szCs w:val="24"/>
          <w:lang w:val="de-DE"/>
        </w:rPr>
      </w:pPr>
      <w:proofErr w:type="spellStart"/>
      <w:r w:rsidRPr="00212B5E">
        <w:rPr>
          <w:sz w:val="24"/>
          <w:szCs w:val="24"/>
          <w:lang w:val="de-DE"/>
        </w:rPr>
        <w:t>Hypromellose</w:t>
      </w:r>
      <w:proofErr w:type="spellEnd"/>
      <w:r w:rsidRPr="00212B5E">
        <w:rPr>
          <w:sz w:val="24"/>
          <w:szCs w:val="24"/>
          <w:lang w:val="de-DE"/>
        </w:rPr>
        <w:t xml:space="preserve"> (E464)</w:t>
      </w:r>
    </w:p>
    <w:p w14:paraId="3ECF8723" w14:textId="77777777" w:rsidR="00314C3D" w:rsidRPr="00212B5E" w:rsidRDefault="00314C3D" w:rsidP="00212B5E">
      <w:pPr>
        <w:autoSpaceDE w:val="0"/>
        <w:autoSpaceDN w:val="0"/>
        <w:adjustRightInd w:val="0"/>
        <w:ind w:left="851"/>
        <w:rPr>
          <w:sz w:val="24"/>
          <w:szCs w:val="24"/>
          <w:lang w:val="de-DE"/>
        </w:rPr>
      </w:pPr>
      <w:proofErr w:type="spellStart"/>
      <w:r w:rsidRPr="00212B5E">
        <w:rPr>
          <w:sz w:val="24"/>
          <w:szCs w:val="24"/>
          <w:lang w:val="de-DE"/>
        </w:rPr>
        <w:t>Titaniumdioxid</w:t>
      </w:r>
      <w:proofErr w:type="spellEnd"/>
      <w:r w:rsidRPr="00212B5E">
        <w:rPr>
          <w:sz w:val="24"/>
          <w:szCs w:val="24"/>
          <w:lang w:val="de-DE"/>
        </w:rPr>
        <w:t xml:space="preserve"> (E171)</w:t>
      </w:r>
    </w:p>
    <w:p w14:paraId="3A801D8F"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Macrogol</w:t>
      </w:r>
      <w:proofErr w:type="spellEnd"/>
      <w:r w:rsidRPr="00212B5E">
        <w:rPr>
          <w:sz w:val="24"/>
          <w:szCs w:val="24"/>
          <w:lang w:val="de-DE"/>
        </w:rPr>
        <w:t xml:space="preserve"> (E1521)</w:t>
      </w:r>
    </w:p>
    <w:p w14:paraId="5FFADA9A" w14:textId="77777777" w:rsidR="00314C3D" w:rsidRPr="00212B5E" w:rsidRDefault="00314C3D" w:rsidP="00212B5E">
      <w:pPr>
        <w:tabs>
          <w:tab w:val="left" w:pos="851"/>
        </w:tabs>
        <w:ind w:left="851"/>
        <w:rPr>
          <w:sz w:val="24"/>
          <w:szCs w:val="24"/>
          <w:lang w:val="de-DE"/>
        </w:rPr>
      </w:pPr>
    </w:p>
    <w:p w14:paraId="35A1361D" w14:textId="57385D96" w:rsidR="00314C3D" w:rsidRPr="00212B5E" w:rsidRDefault="00314C3D" w:rsidP="00212B5E">
      <w:pPr>
        <w:autoSpaceDE w:val="0"/>
        <w:autoSpaceDN w:val="0"/>
        <w:adjustRightInd w:val="0"/>
        <w:ind w:left="851"/>
        <w:rPr>
          <w:sz w:val="24"/>
          <w:szCs w:val="24"/>
          <w:u w:val="single"/>
          <w:lang w:val="de-DE"/>
        </w:rPr>
      </w:pPr>
      <w:proofErr w:type="spellStart"/>
      <w:r w:rsidRPr="00212B5E">
        <w:rPr>
          <w:sz w:val="24"/>
          <w:szCs w:val="24"/>
          <w:u w:val="single"/>
          <w:lang w:val="de-DE"/>
        </w:rPr>
        <w:t>Lurasidone</w:t>
      </w:r>
      <w:proofErr w:type="spellEnd"/>
      <w:r w:rsidRPr="00212B5E">
        <w:rPr>
          <w:sz w:val="24"/>
          <w:szCs w:val="24"/>
          <w:u w:val="single"/>
          <w:lang w:val="de-DE"/>
        </w:rPr>
        <w:t xml:space="preserve"> </w:t>
      </w:r>
      <w:r w:rsidR="00325BA6">
        <w:rPr>
          <w:sz w:val="24"/>
          <w:szCs w:val="24"/>
          <w:u w:val="single"/>
          <w:lang w:val="de-DE"/>
        </w:rPr>
        <w:t>"Orifarm"</w:t>
      </w:r>
      <w:r w:rsidRPr="00212B5E">
        <w:rPr>
          <w:sz w:val="24"/>
          <w:szCs w:val="24"/>
          <w:u w:val="single"/>
          <w:lang w:val="de-DE"/>
        </w:rPr>
        <w:t xml:space="preserve"> 74 mg filmovertrukne tabletter</w:t>
      </w:r>
    </w:p>
    <w:p w14:paraId="04A5CD28" w14:textId="77777777" w:rsidR="00314C3D" w:rsidRPr="00212B5E" w:rsidRDefault="00314C3D" w:rsidP="00212B5E">
      <w:pPr>
        <w:autoSpaceDE w:val="0"/>
        <w:autoSpaceDN w:val="0"/>
        <w:adjustRightInd w:val="0"/>
        <w:ind w:left="851"/>
        <w:rPr>
          <w:sz w:val="24"/>
          <w:szCs w:val="24"/>
          <w:u w:val="single"/>
          <w:lang w:val="de-DE"/>
        </w:rPr>
      </w:pPr>
      <w:r w:rsidRPr="00212B5E">
        <w:rPr>
          <w:sz w:val="24"/>
          <w:szCs w:val="24"/>
          <w:u w:val="single"/>
          <w:lang w:val="de-DE"/>
        </w:rPr>
        <w:t>Kerne</w:t>
      </w:r>
    </w:p>
    <w:p w14:paraId="67BC2A1B"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Mannitol</w:t>
      </w:r>
      <w:proofErr w:type="spellEnd"/>
      <w:r w:rsidRPr="00212B5E">
        <w:rPr>
          <w:sz w:val="24"/>
          <w:szCs w:val="24"/>
          <w:lang w:val="de-DE"/>
        </w:rPr>
        <w:t xml:space="preserve"> (E421)</w:t>
      </w:r>
    </w:p>
    <w:p w14:paraId="38A83EF3"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Croscarmellosenatrium</w:t>
      </w:r>
      <w:proofErr w:type="spellEnd"/>
      <w:r w:rsidRPr="00212B5E">
        <w:rPr>
          <w:sz w:val="24"/>
          <w:szCs w:val="24"/>
          <w:lang w:val="de-DE"/>
        </w:rPr>
        <w:t xml:space="preserve"> (E468)</w:t>
      </w:r>
    </w:p>
    <w:p w14:paraId="2983D4C2" w14:textId="77777777" w:rsidR="00314C3D" w:rsidRPr="00212B5E" w:rsidRDefault="00314C3D" w:rsidP="00212B5E">
      <w:pPr>
        <w:tabs>
          <w:tab w:val="left" w:pos="851"/>
        </w:tabs>
        <w:ind w:left="851"/>
        <w:rPr>
          <w:sz w:val="24"/>
          <w:szCs w:val="24"/>
          <w:lang w:val="de-DE"/>
        </w:rPr>
      </w:pPr>
      <w:proofErr w:type="spellStart"/>
      <w:r w:rsidRPr="00212B5E">
        <w:rPr>
          <w:sz w:val="24"/>
          <w:szCs w:val="24"/>
          <w:lang w:val="de-DE"/>
        </w:rPr>
        <w:t>Hypromellose</w:t>
      </w:r>
      <w:proofErr w:type="spellEnd"/>
      <w:r w:rsidRPr="00212B5E">
        <w:rPr>
          <w:sz w:val="24"/>
          <w:szCs w:val="24"/>
          <w:lang w:val="de-DE"/>
        </w:rPr>
        <w:t xml:space="preserve"> (E464)</w:t>
      </w:r>
    </w:p>
    <w:p w14:paraId="4185E035" w14:textId="77777777" w:rsidR="00314C3D" w:rsidRPr="00212B5E" w:rsidRDefault="00314C3D" w:rsidP="00212B5E">
      <w:pPr>
        <w:tabs>
          <w:tab w:val="left" w:pos="851"/>
        </w:tabs>
        <w:ind w:left="851"/>
        <w:rPr>
          <w:sz w:val="24"/>
          <w:szCs w:val="24"/>
          <w:lang w:val="de-DE"/>
        </w:rPr>
      </w:pPr>
      <w:r w:rsidRPr="00212B5E">
        <w:rPr>
          <w:sz w:val="24"/>
          <w:szCs w:val="24"/>
          <w:lang w:val="de-DE"/>
        </w:rPr>
        <w:t>Magnesiumstearat (E470b)</w:t>
      </w:r>
    </w:p>
    <w:p w14:paraId="47F720E7" w14:textId="77777777" w:rsidR="00314C3D" w:rsidRPr="00212B5E" w:rsidRDefault="00314C3D" w:rsidP="00212B5E">
      <w:pPr>
        <w:tabs>
          <w:tab w:val="left" w:pos="851"/>
        </w:tabs>
        <w:ind w:left="851"/>
        <w:rPr>
          <w:sz w:val="24"/>
          <w:szCs w:val="24"/>
          <w:lang w:val="de-DE"/>
        </w:rPr>
      </w:pPr>
      <w:r w:rsidRPr="00212B5E">
        <w:rPr>
          <w:sz w:val="24"/>
          <w:szCs w:val="24"/>
          <w:lang w:val="de-DE"/>
        </w:rPr>
        <w:t xml:space="preserve">Cellulose, </w:t>
      </w:r>
      <w:proofErr w:type="spellStart"/>
      <w:r w:rsidRPr="00212B5E">
        <w:rPr>
          <w:sz w:val="24"/>
          <w:szCs w:val="24"/>
          <w:lang w:val="de-DE"/>
        </w:rPr>
        <w:t>mikrokrystallinsk</w:t>
      </w:r>
      <w:proofErr w:type="spellEnd"/>
      <w:r w:rsidRPr="00212B5E">
        <w:rPr>
          <w:sz w:val="24"/>
          <w:szCs w:val="24"/>
          <w:lang w:val="de-DE"/>
        </w:rPr>
        <w:t xml:space="preserve"> (E460)</w:t>
      </w:r>
    </w:p>
    <w:p w14:paraId="6EB61AFA" w14:textId="77777777" w:rsidR="00314C3D" w:rsidRPr="00212B5E" w:rsidRDefault="00314C3D" w:rsidP="00212B5E">
      <w:pPr>
        <w:tabs>
          <w:tab w:val="left" w:pos="851"/>
        </w:tabs>
        <w:ind w:left="851"/>
        <w:rPr>
          <w:sz w:val="24"/>
          <w:szCs w:val="24"/>
          <w:lang w:val="de-DE"/>
        </w:rPr>
      </w:pPr>
    </w:p>
    <w:p w14:paraId="5B35D996" w14:textId="77777777" w:rsidR="00314C3D" w:rsidRPr="00212B5E" w:rsidRDefault="00314C3D" w:rsidP="00212B5E">
      <w:pPr>
        <w:autoSpaceDE w:val="0"/>
        <w:autoSpaceDN w:val="0"/>
        <w:adjustRightInd w:val="0"/>
        <w:ind w:left="851"/>
        <w:rPr>
          <w:sz w:val="24"/>
          <w:szCs w:val="24"/>
          <w:u w:val="single"/>
          <w:lang w:val="de-DE"/>
        </w:rPr>
      </w:pPr>
      <w:proofErr w:type="spellStart"/>
      <w:r w:rsidRPr="00212B5E">
        <w:rPr>
          <w:sz w:val="24"/>
          <w:szCs w:val="24"/>
          <w:u w:val="single"/>
          <w:lang w:val="de-DE"/>
        </w:rPr>
        <w:t>Tabletovertræk</w:t>
      </w:r>
      <w:proofErr w:type="spellEnd"/>
    </w:p>
    <w:p w14:paraId="3BE93791" w14:textId="77777777" w:rsidR="00314C3D" w:rsidRPr="00212B5E" w:rsidRDefault="00314C3D" w:rsidP="00212B5E">
      <w:pPr>
        <w:autoSpaceDE w:val="0"/>
        <w:autoSpaceDN w:val="0"/>
        <w:adjustRightInd w:val="0"/>
        <w:ind w:left="851"/>
        <w:rPr>
          <w:sz w:val="24"/>
          <w:szCs w:val="24"/>
          <w:lang w:val="de-DE"/>
        </w:rPr>
      </w:pPr>
      <w:proofErr w:type="spellStart"/>
      <w:r w:rsidRPr="00212B5E">
        <w:rPr>
          <w:sz w:val="24"/>
          <w:szCs w:val="24"/>
          <w:lang w:val="de-DE"/>
        </w:rPr>
        <w:t>Hypromellose</w:t>
      </w:r>
      <w:proofErr w:type="spellEnd"/>
      <w:r w:rsidRPr="00212B5E">
        <w:rPr>
          <w:sz w:val="24"/>
          <w:szCs w:val="24"/>
          <w:lang w:val="de-DE"/>
        </w:rPr>
        <w:t xml:space="preserve"> (E464)</w:t>
      </w:r>
    </w:p>
    <w:p w14:paraId="7D059AFA" w14:textId="77777777" w:rsidR="00314C3D" w:rsidRPr="00212B5E" w:rsidRDefault="00314C3D" w:rsidP="00212B5E">
      <w:pPr>
        <w:autoSpaceDE w:val="0"/>
        <w:autoSpaceDN w:val="0"/>
        <w:adjustRightInd w:val="0"/>
        <w:ind w:left="851"/>
        <w:rPr>
          <w:sz w:val="24"/>
          <w:szCs w:val="24"/>
          <w:lang w:val="de-DE"/>
        </w:rPr>
      </w:pPr>
      <w:proofErr w:type="spellStart"/>
      <w:r w:rsidRPr="00212B5E">
        <w:rPr>
          <w:sz w:val="24"/>
          <w:szCs w:val="24"/>
          <w:lang w:val="de-DE"/>
        </w:rPr>
        <w:t>Titaniumdioxid</w:t>
      </w:r>
      <w:proofErr w:type="spellEnd"/>
      <w:r w:rsidRPr="00212B5E">
        <w:rPr>
          <w:sz w:val="24"/>
          <w:szCs w:val="24"/>
          <w:lang w:val="de-DE"/>
        </w:rPr>
        <w:t xml:space="preserve"> (E171)</w:t>
      </w:r>
    </w:p>
    <w:p w14:paraId="5B1758D6" w14:textId="77777777" w:rsidR="00314C3D" w:rsidRPr="00212B5E" w:rsidRDefault="00314C3D" w:rsidP="00212B5E">
      <w:pPr>
        <w:tabs>
          <w:tab w:val="left" w:pos="851"/>
        </w:tabs>
        <w:ind w:left="851"/>
        <w:rPr>
          <w:sz w:val="24"/>
          <w:szCs w:val="24"/>
          <w:lang w:val="es-ES"/>
        </w:rPr>
      </w:pPr>
      <w:r w:rsidRPr="00212B5E">
        <w:rPr>
          <w:sz w:val="24"/>
          <w:szCs w:val="24"/>
          <w:lang w:val="es-ES"/>
        </w:rPr>
        <w:t>Macrogol (E1521)</w:t>
      </w:r>
    </w:p>
    <w:p w14:paraId="29B7F8DD" w14:textId="77777777" w:rsidR="00314C3D" w:rsidRPr="00212B5E" w:rsidRDefault="00314C3D" w:rsidP="00212B5E">
      <w:pPr>
        <w:tabs>
          <w:tab w:val="left" w:pos="851"/>
        </w:tabs>
        <w:ind w:left="851"/>
        <w:rPr>
          <w:sz w:val="24"/>
          <w:szCs w:val="24"/>
          <w:lang w:val="es-ES"/>
        </w:rPr>
      </w:pPr>
      <w:r w:rsidRPr="00212B5E">
        <w:rPr>
          <w:sz w:val="24"/>
          <w:szCs w:val="24"/>
          <w:lang w:val="es-ES"/>
        </w:rPr>
        <w:t>Gul jerndioxid (E172)</w:t>
      </w:r>
    </w:p>
    <w:p w14:paraId="11D2F813" w14:textId="77777777" w:rsidR="00314C3D" w:rsidRPr="00212B5E" w:rsidRDefault="00314C3D" w:rsidP="00212B5E">
      <w:pPr>
        <w:tabs>
          <w:tab w:val="left" w:pos="851"/>
        </w:tabs>
        <w:ind w:left="851"/>
        <w:rPr>
          <w:sz w:val="24"/>
          <w:szCs w:val="24"/>
        </w:rPr>
      </w:pPr>
      <w:r w:rsidRPr="00212B5E">
        <w:rPr>
          <w:sz w:val="24"/>
          <w:szCs w:val="24"/>
        </w:rPr>
        <w:t>Indigotin (E132)</w:t>
      </w:r>
    </w:p>
    <w:p w14:paraId="2D253B56" w14:textId="77777777" w:rsidR="009260DE" w:rsidRPr="00212B5E" w:rsidRDefault="009260DE" w:rsidP="009260DE">
      <w:pPr>
        <w:tabs>
          <w:tab w:val="left" w:pos="851"/>
        </w:tabs>
        <w:ind w:left="851"/>
        <w:rPr>
          <w:sz w:val="24"/>
          <w:szCs w:val="24"/>
        </w:rPr>
      </w:pPr>
    </w:p>
    <w:p w14:paraId="08621F7F" w14:textId="77777777" w:rsidR="009260DE" w:rsidRPr="00212B5E" w:rsidRDefault="009260DE" w:rsidP="009260DE">
      <w:pPr>
        <w:tabs>
          <w:tab w:val="left" w:pos="851"/>
        </w:tabs>
        <w:ind w:left="851" w:hanging="851"/>
        <w:rPr>
          <w:b/>
          <w:sz w:val="24"/>
          <w:szCs w:val="24"/>
        </w:rPr>
      </w:pPr>
      <w:r w:rsidRPr="00212B5E">
        <w:rPr>
          <w:b/>
          <w:sz w:val="24"/>
          <w:szCs w:val="24"/>
        </w:rPr>
        <w:t>6.2</w:t>
      </w:r>
      <w:r w:rsidRPr="00212B5E">
        <w:rPr>
          <w:b/>
          <w:sz w:val="24"/>
          <w:szCs w:val="24"/>
        </w:rPr>
        <w:tab/>
        <w:t>Uforligeligheder</w:t>
      </w:r>
    </w:p>
    <w:p w14:paraId="03928BB8" w14:textId="77777777" w:rsidR="00314C3D" w:rsidRPr="00212B5E" w:rsidRDefault="00314C3D" w:rsidP="00212B5E">
      <w:pPr>
        <w:ind w:left="851"/>
        <w:rPr>
          <w:sz w:val="24"/>
          <w:szCs w:val="24"/>
          <w:lang w:eastAsia="da-DK"/>
        </w:rPr>
      </w:pPr>
      <w:r w:rsidRPr="00212B5E">
        <w:rPr>
          <w:sz w:val="24"/>
          <w:szCs w:val="24"/>
        </w:rPr>
        <w:t>Ikke relevant.</w:t>
      </w:r>
    </w:p>
    <w:p w14:paraId="53EA2CBB" w14:textId="77777777" w:rsidR="009260DE" w:rsidRPr="00212B5E" w:rsidRDefault="009260DE" w:rsidP="009260DE">
      <w:pPr>
        <w:tabs>
          <w:tab w:val="left" w:pos="851"/>
        </w:tabs>
        <w:ind w:left="851"/>
        <w:rPr>
          <w:sz w:val="24"/>
          <w:szCs w:val="24"/>
        </w:rPr>
      </w:pPr>
    </w:p>
    <w:p w14:paraId="59C2DDF2" w14:textId="77777777" w:rsidR="009260DE" w:rsidRPr="00212B5E" w:rsidRDefault="009260DE" w:rsidP="009260DE">
      <w:pPr>
        <w:tabs>
          <w:tab w:val="left" w:pos="851"/>
        </w:tabs>
        <w:ind w:left="851" w:hanging="851"/>
        <w:rPr>
          <w:b/>
          <w:sz w:val="24"/>
          <w:szCs w:val="24"/>
        </w:rPr>
      </w:pPr>
      <w:r w:rsidRPr="00212B5E">
        <w:rPr>
          <w:b/>
          <w:sz w:val="24"/>
          <w:szCs w:val="24"/>
        </w:rPr>
        <w:t>6.3</w:t>
      </w:r>
      <w:r w:rsidRPr="00212B5E">
        <w:rPr>
          <w:b/>
          <w:sz w:val="24"/>
          <w:szCs w:val="24"/>
        </w:rPr>
        <w:tab/>
        <w:t>Opbevaringstid</w:t>
      </w:r>
    </w:p>
    <w:p w14:paraId="6676E9B2" w14:textId="77777777" w:rsidR="00314C3D" w:rsidRPr="00212B5E" w:rsidRDefault="00314C3D" w:rsidP="00212B5E">
      <w:pPr>
        <w:ind w:left="851"/>
        <w:rPr>
          <w:sz w:val="24"/>
          <w:szCs w:val="24"/>
          <w:lang w:eastAsia="da-DK"/>
        </w:rPr>
      </w:pPr>
      <w:r w:rsidRPr="00212B5E">
        <w:rPr>
          <w:sz w:val="24"/>
          <w:szCs w:val="24"/>
        </w:rPr>
        <w:t>30 måneder.</w:t>
      </w:r>
    </w:p>
    <w:p w14:paraId="00C8482B" w14:textId="77777777" w:rsidR="009260DE" w:rsidRPr="00212B5E" w:rsidRDefault="009260DE" w:rsidP="009260DE">
      <w:pPr>
        <w:tabs>
          <w:tab w:val="left" w:pos="851"/>
        </w:tabs>
        <w:ind w:left="851"/>
        <w:rPr>
          <w:sz w:val="24"/>
          <w:szCs w:val="24"/>
        </w:rPr>
      </w:pPr>
    </w:p>
    <w:p w14:paraId="1E854C5A" w14:textId="77777777" w:rsidR="009260DE" w:rsidRPr="00212B5E" w:rsidRDefault="009260DE" w:rsidP="009260DE">
      <w:pPr>
        <w:tabs>
          <w:tab w:val="left" w:pos="851"/>
        </w:tabs>
        <w:ind w:left="851" w:hanging="851"/>
        <w:rPr>
          <w:b/>
          <w:sz w:val="24"/>
          <w:szCs w:val="24"/>
        </w:rPr>
      </w:pPr>
      <w:r w:rsidRPr="00212B5E">
        <w:rPr>
          <w:b/>
          <w:sz w:val="24"/>
          <w:szCs w:val="24"/>
        </w:rPr>
        <w:t>6.4</w:t>
      </w:r>
      <w:r w:rsidRPr="00212B5E">
        <w:rPr>
          <w:b/>
          <w:sz w:val="24"/>
          <w:szCs w:val="24"/>
        </w:rPr>
        <w:tab/>
        <w:t>Særlige opbevaringsforhold</w:t>
      </w:r>
    </w:p>
    <w:p w14:paraId="638A9269" w14:textId="77777777" w:rsidR="00314C3D" w:rsidRPr="00212B5E" w:rsidRDefault="00314C3D" w:rsidP="00212B5E">
      <w:pPr>
        <w:ind w:left="851"/>
        <w:rPr>
          <w:sz w:val="24"/>
          <w:szCs w:val="24"/>
          <w:lang w:eastAsia="da-DK"/>
        </w:rPr>
      </w:pPr>
      <w:r w:rsidRPr="00212B5E">
        <w:rPr>
          <w:sz w:val="24"/>
          <w:szCs w:val="24"/>
        </w:rPr>
        <w:t>Dette lægemiddel kræver ingen særlige forholdsregler vedrørende opbevaringen.</w:t>
      </w:r>
    </w:p>
    <w:p w14:paraId="6A507318" w14:textId="77777777" w:rsidR="009260DE" w:rsidRPr="00212B5E" w:rsidRDefault="009260DE" w:rsidP="009260DE">
      <w:pPr>
        <w:tabs>
          <w:tab w:val="left" w:pos="851"/>
        </w:tabs>
        <w:ind w:left="851"/>
        <w:rPr>
          <w:sz w:val="24"/>
          <w:szCs w:val="24"/>
        </w:rPr>
      </w:pPr>
    </w:p>
    <w:p w14:paraId="2B5C5F53" w14:textId="77777777" w:rsidR="009260DE" w:rsidRPr="00212B5E" w:rsidRDefault="009260DE" w:rsidP="009260DE">
      <w:pPr>
        <w:tabs>
          <w:tab w:val="left" w:pos="851"/>
        </w:tabs>
        <w:ind w:left="851" w:hanging="851"/>
        <w:rPr>
          <w:b/>
          <w:sz w:val="24"/>
          <w:szCs w:val="24"/>
        </w:rPr>
      </w:pPr>
      <w:r w:rsidRPr="00212B5E">
        <w:rPr>
          <w:b/>
          <w:sz w:val="24"/>
          <w:szCs w:val="24"/>
        </w:rPr>
        <w:t>6.5</w:t>
      </w:r>
      <w:r w:rsidRPr="00212B5E">
        <w:rPr>
          <w:b/>
          <w:sz w:val="24"/>
          <w:szCs w:val="24"/>
        </w:rPr>
        <w:tab/>
        <w:t>Emballagetype og pakningsstørrelser</w:t>
      </w:r>
    </w:p>
    <w:p w14:paraId="3B18F7F0" w14:textId="07249393" w:rsidR="00314C3D" w:rsidRPr="00212B5E" w:rsidRDefault="00314C3D" w:rsidP="00212B5E">
      <w:pPr>
        <w:ind w:left="851"/>
        <w:rPr>
          <w:sz w:val="24"/>
          <w:szCs w:val="24"/>
          <w:lang w:eastAsia="da-DK"/>
        </w:rPr>
      </w:pPr>
      <w:r w:rsidRPr="00212B5E">
        <w:rPr>
          <w:sz w:val="24"/>
          <w:szCs w:val="24"/>
        </w:rPr>
        <w:t>Pakningen indeholder 14, 14</w:t>
      </w:r>
      <w:r w:rsidR="00B950EB">
        <w:rPr>
          <w:sz w:val="24"/>
          <w:szCs w:val="24"/>
        </w:rPr>
        <w:t>×</w:t>
      </w:r>
      <w:r w:rsidRPr="00212B5E">
        <w:rPr>
          <w:sz w:val="24"/>
          <w:szCs w:val="24"/>
        </w:rPr>
        <w:t>1, 28, 28</w:t>
      </w:r>
      <w:r w:rsidR="00B950EB">
        <w:rPr>
          <w:sz w:val="24"/>
          <w:szCs w:val="24"/>
        </w:rPr>
        <w:t>×</w:t>
      </w:r>
      <w:r w:rsidRPr="00212B5E">
        <w:rPr>
          <w:sz w:val="24"/>
          <w:szCs w:val="24"/>
        </w:rPr>
        <w:t>1, 30, 30</w:t>
      </w:r>
      <w:r w:rsidR="00B950EB">
        <w:rPr>
          <w:sz w:val="24"/>
          <w:szCs w:val="24"/>
        </w:rPr>
        <w:t>×</w:t>
      </w:r>
      <w:r w:rsidRPr="00212B5E">
        <w:rPr>
          <w:sz w:val="24"/>
          <w:szCs w:val="24"/>
        </w:rPr>
        <w:t>1, 56, 56</w:t>
      </w:r>
      <w:r w:rsidR="00B950EB">
        <w:rPr>
          <w:sz w:val="24"/>
          <w:szCs w:val="24"/>
        </w:rPr>
        <w:t>×</w:t>
      </w:r>
      <w:r w:rsidRPr="00212B5E">
        <w:rPr>
          <w:sz w:val="24"/>
          <w:szCs w:val="24"/>
        </w:rPr>
        <w:t>1, 60, 60</w:t>
      </w:r>
      <w:r w:rsidR="00B950EB">
        <w:rPr>
          <w:sz w:val="24"/>
          <w:szCs w:val="24"/>
        </w:rPr>
        <w:t>×</w:t>
      </w:r>
      <w:r w:rsidRPr="00212B5E">
        <w:rPr>
          <w:sz w:val="24"/>
          <w:szCs w:val="24"/>
        </w:rPr>
        <w:t>1, 90, 90</w:t>
      </w:r>
      <w:r w:rsidR="00B950EB">
        <w:rPr>
          <w:sz w:val="24"/>
          <w:szCs w:val="24"/>
        </w:rPr>
        <w:t>×</w:t>
      </w:r>
      <w:r w:rsidRPr="00212B5E">
        <w:rPr>
          <w:sz w:val="24"/>
          <w:szCs w:val="24"/>
        </w:rPr>
        <w:t>1 eller 98, 98</w:t>
      </w:r>
      <w:r w:rsidR="00B950EB">
        <w:rPr>
          <w:sz w:val="24"/>
          <w:szCs w:val="24"/>
        </w:rPr>
        <w:t>×</w:t>
      </w:r>
      <w:r w:rsidRPr="00212B5E">
        <w:rPr>
          <w:sz w:val="24"/>
          <w:szCs w:val="24"/>
        </w:rPr>
        <w:t>1 tabletter i henholdsvis OPA/Al/PVC//Al blistre og perforerede enkeltdosisblistre.</w:t>
      </w:r>
    </w:p>
    <w:p w14:paraId="47EC7DA4" w14:textId="77777777" w:rsidR="00314C3D" w:rsidRPr="00212B5E" w:rsidRDefault="00314C3D" w:rsidP="00212B5E">
      <w:pPr>
        <w:ind w:left="851"/>
        <w:rPr>
          <w:sz w:val="24"/>
          <w:szCs w:val="24"/>
        </w:rPr>
      </w:pPr>
    </w:p>
    <w:p w14:paraId="569CD30B" w14:textId="77777777" w:rsidR="00314C3D" w:rsidRPr="00212B5E" w:rsidRDefault="00314C3D" w:rsidP="00212B5E">
      <w:pPr>
        <w:ind w:left="851"/>
        <w:rPr>
          <w:sz w:val="24"/>
          <w:szCs w:val="24"/>
        </w:rPr>
      </w:pPr>
      <w:r w:rsidRPr="00212B5E">
        <w:rPr>
          <w:sz w:val="24"/>
          <w:szCs w:val="24"/>
        </w:rPr>
        <w:t xml:space="preserve">Ikke alle pakningsstørrelser er nødvendigvis markedsført. </w:t>
      </w:r>
    </w:p>
    <w:p w14:paraId="4F0DCA0B" w14:textId="77777777" w:rsidR="009260DE" w:rsidRPr="00212B5E" w:rsidRDefault="009260DE" w:rsidP="009260DE">
      <w:pPr>
        <w:tabs>
          <w:tab w:val="left" w:pos="851"/>
        </w:tabs>
        <w:ind w:left="851"/>
        <w:rPr>
          <w:sz w:val="24"/>
          <w:szCs w:val="24"/>
        </w:rPr>
      </w:pPr>
    </w:p>
    <w:p w14:paraId="5F0CF996" w14:textId="77777777" w:rsidR="009260DE" w:rsidRPr="00212B5E" w:rsidRDefault="009260DE" w:rsidP="009260DE">
      <w:pPr>
        <w:tabs>
          <w:tab w:val="left" w:pos="851"/>
        </w:tabs>
        <w:ind w:left="851" w:hanging="851"/>
        <w:rPr>
          <w:b/>
          <w:sz w:val="24"/>
          <w:szCs w:val="24"/>
        </w:rPr>
      </w:pPr>
      <w:r w:rsidRPr="00212B5E">
        <w:rPr>
          <w:b/>
          <w:sz w:val="24"/>
          <w:szCs w:val="24"/>
        </w:rPr>
        <w:t>6.6</w:t>
      </w:r>
      <w:r w:rsidRPr="00212B5E">
        <w:rPr>
          <w:b/>
          <w:sz w:val="24"/>
          <w:szCs w:val="24"/>
        </w:rPr>
        <w:tab/>
        <w:t xml:space="preserve">Regler for </w:t>
      </w:r>
      <w:r w:rsidR="00BD7931" w:rsidRPr="00212B5E">
        <w:rPr>
          <w:b/>
          <w:sz w:val="24"/>
          <w:szCs w:val="24"/>
        </w:rPr>
        <w:t>bortskaffelse</w:t>
      </w:r>
      <w:r w:rsidRPr="00212B5E">
        <w:rPr>
          <w:b/>
          <w:sz w:val="24"/>
          <w:szCs w:val="24"/>
        </w:rPr>
        <w:t xml:space="preserve"> og anden håndtering</w:t>
      </w:r>
    </w:p>
    <w:p w14:paraId="01B763A6" w14:textId="77777777" w:rsidR="00314C3D" w:rsidRPr="00212B5E" w:rsidRDefault="00314C3D" w:rsidP="00212B5E">
      <w:pPr>
        <w:ind w:left="851"/>
        <w:rPr>
          <w:sz w:val="24"/>
          <w:szCs w:val="24"/>
          <w:lang w:eastAsia="da-DK"/>
        </w:rPr>
      </w:pPr>
      <w:r w:rsidRPr="00212B5E">
        <w:rPr>
          <w:sz w:val="24"/>
          <w:szCs w:val="24"/>
        </w:rPr>
        <w:t>Ikke anvendt lægemiddel samt affald heraf skal bortskaffes i henhold til lokale retningslinjer.</w:t>
      </w:r>
    </w:p>
    <w:p w14:paraId="3387FB3D" w14:textId="77777777" w:rsidR="009260DE" w:rsidRPr="00212B5E" w:rsidRDefault="009260DE" w:rsidP="000730CA">
      <w:pPr>
        <w:tabs>
          <w:tab w:val="left" w:pos="851"/>
        </w:tabs>
        <w:ind w:left="851"/>
        <w:rPr>
          <w:sz w:val="24"/>
          <w:szCs w:val="24"/>
        </w:rPr>
      </w:pPr>
    </w:p>
    <w:p w14:paraId="02BE2510" w14:textId="77777777" w:rsidR="009260DE" w:rsidRPr="00212B5E" w:rsidRDefault="009260DE" w:rsidP="009260DE">
      <w:pPr>
        <w:tabs>
          <w:tab w:val="left" w:pos="851"/>
        </w:tabs>
        <w:ind w:left="851" w:hanging="851"/>
        <w:rPr>
          <w:b/>
          <w:sz w:val="24"/>
          <w:szCs w:val="24"/>
        </w:rPr>
      </w:pPr>
      <w:r w:rsidRPr="00212B5E">
        <w:rPr>
          <w:b/>
          <w:sz w:val="24"/>
          <w:szCs w:val="24"/>
        </w:rPr>
        <w:t>7.</w:t>
      </w:r>
      <w:r w:rsidRPr="00212B5E">
        <w:rPr>
          <w:b/>
          <w:sz w:val="24"/>
          <w:szCs w:val="24"/>
        </w:rPr>
        <w:tab/>
        <w:t>INDEHAVER AF MARKEDSFØRINGSTILLADELSEN</w:t>
      </w:r>
    </w:p>
    <w:p w14:paraId="79D7D882" w14:textId="77777777" w:rsidR="00314C3D" w:rsidRPr="00212B5E" w:rsidRDefault="00314C3D" w:rsidP="00212B5E">
      <w:pPr>
        <w:ind w:left="851"/>
        <w:rPr>
          <w:sz w:val="24"/>
          <w:szCs w:val="24"/>
          <w:lang w:eastAsia="da-DK"/>
        </w:rPr>
      </w:pPr>
      <w:r w:rsidRPr="00212B5E">
        <w:rPr>
          <w:sz w:val="24"/>
          <w:szCs w:val="24"/>
        </w:rPr>
        <w:t>Orifarm Healthcare A/S</w:t>
      </w:r>
    </w:p>
    <w:p w14:paraId="6899FC7E" w14:textId="77777777" w:rsidR="00314C3D" w:rsidRPr="00212B5E" w:rsidRDefault="00314C3D" w:rsidP="00212B5E">
      <w:pPr>
        <w:ind w:left="851"/>
        <w:rPr>
          <w:sz w:val="24"/>
          <w:szCs w:val="24"/>
        </w:rPr>
      </w:pPr>
      <w:r w:rsidRPr="00212B5E">
        <w:rPr>
          <w:sz w:val="24"/>
          <w:szCs w:val="24"/>
        </w:rPr>
        <w:t>Energivej 15</w:t>
      </w:r>
    </w:p>
    <w:p w14:paraId="767864FB" w14:textId="77777777" w:rsidR="00314C3D" w:rsidRPr="00212B5E" w:rsidRDefault="00314C3D" w:rsidP="00212B5E">
      <w:pPr>
        <w:ind w:left="851"/>
        <w:rPr>
          <w:sz w:val="24"/>
          <w:szCs w:val="24"/>
        </w:rPr>
      </w:pPr>
      <w:r w:rsidRPr="00212B5E">
        <w:rPr>
          <w:sz w:val="24"/>
          <w:szCs w:val="24"/>
        </w:rPr>
        <w:t>5260 Odense S</w:t>
      </w:r>
    </w:p>
    <w:p w14:paraId="6A90E65A" w14:textId="77777777" w:rsidR="00641C65" w:rsidRPr="00212B5E" w:rsidRDefault="00641C65" w:rsidP="009260DE">
      <w:pPr>
        <w:tabs>
          <w:tab w:val="left" w:pos="851"/>
        </w:tabs>
        <w:ind w:left="851"/>
        <w:rPr>
          <w:sz w:val="24"/>
          <w:szCs w:val="24"/>
        </w:rPr>
      </w:pPr>
    </w:p>
    <w:p w14:paraId="53E20B1F" w14:textId="77777777" w:rsidR="009260DE" w:rsidRPr="00212B5E" w:rsidRDefault="009260DE" w:rsidP="009260DE">
      <w:pPr>
        <w:tabs>
          <w:tab w:val="left" w:pos="851"/>
        </w:tabs>
        <w:ind w:left="851" w:hanging="851"/>
        <w:rPr>
          <w:b/>
          <w:sz w:val="24"/>
          <w:szCs w:val="24"/>
        </w:rPr>
      </w:pPr>
      <w:r w:rsidRPr="00212B5E">
        <w:rPr>
          <w:b/>
          <w:sz w:val="24"/>
          <w:szCs w:val="24"/>
        </w:rPr>
        <w:t>8.</w:t>
      </w:r>
      <w:r w:rsidRPr="00212B5E">
        <w:rPr>
          <w:b/>
          <w:sz w:val="24"/>
          <w:szCs w:val="24"/>
        </w:rPr>
        <w:tab/>
        <w:t>MARKEDSFØRINGSTILLADELSESNUMMER (</w:t>
      </w:r>
      <w:r w:rsidR="00BF6243" w:rsidRPr="00212B5E">
        <w:rPr>
          <w:b/>
          <w:sz w:val="24"/>
          <w:szCs w:val="24"/>
        </w:rPr>
        <w:t>-</w:t>
      </w:r>
      <w:r w:rsidRPr="00212B5E">
        <w:rPr>
          <w:b/>
          <w:sz w:val="24"/>
          <w:szCs w:val="24"/>
        </w:rPr>
        <w:t>NUMRE)</w:t>
      </w:r>
    </w:p>
    <w:p w14:paraId="21D18AD7" w14:textId="076EFE03" w:rsidR="009260DE" w:rsidRPr="00212B5E" w:rsidRDefault="00314C3D" w:rsidP="00374098">
      <w:pPr>
        <w:tabs>
          <w:tab w:val="left" w:pos="851"/>
          <w:tab w:val="left" w:pos="1843"/>
        </w:tabs>
        <w:ind w:left="851"/>
        <w:rPr>
          <w:sz w:val="24"/>
          <w:szCs w:val="24"/>
        </w:rPr>
      </w:pPr>
      <w:r w:rsidRPr="00212B5E">
        <w:rPr>
          <w:sz w:val="24"/>
          <w:szCs w:val="24"/>
        </w:rPr>
        <w:t xml:space="preserve">18,5 mg: </w:t>
      </w:r>
      <w:r w:rsidR="00374098">
        <w:rPr>
          <w:sz w:val="24"/>
          <w:szCs w:val="24"/>
        </w:rPr>
        <w:tab/>
      </w:r>
      <w:r w:rsidRPr="00212B5E">
        <w:rPr>
          <w:sz w:val="24"/>
          <w:szCs w:val="24"/>
        </w:rPr>
        <w:t>68948</w:t>
      </w:r>
    </w:p>
    <w:p w14:paraId="75BE90C7" w14:textId="48135E08" w:rsidR="00314C3D" w:rsidRPr="00212B5E" w:rsidRDefault="00314C3D" w:rsidP="00374098">
      <w:pPr>
        <w:tabs>
          <w:tab w:val="left" w:pos="851"/>
          <w:tab w:val="left" w:pos="1843"/>
        </w:tabs>
        <w:ind w:left="851"/>
        <w:rPr>
          <w:sz w:val="24"/>
          <w:szCs w:val="24"/>
        </w:rPr>
      </w:pPr>
      <w:r w:rsidRPr="00212B5E">
        <w:rPr>
          <w:sz w:val="24"/>
          <w:szCs w:val="24"/>
        </w:rPr>
        <w:t xml:space="preserve">37 mg: </w:t>
      </w:r>
      <w:r w:rsidR="00374098">
        <w:rPr>
          <w:sz w:val="24"/>
          <w:szCs w:val="24"/>
        </w:rPr>
        <w:tab/>
      </w:r>
      <w:r w:rsidRPr="00212B5E">
        <w:rPr>
          <w:sz w:val="24"/>
          <w:szCs w:val="24"/>
        </w:rPr>
        <w:t>68949</w:t>
      </w:r>
    </w:p>
    <w:p w14:paraId="41B21DD2" w14:textId="2A0B2CF1" w:rsidR="00314C3D" w:rsidRPr="00212B5E" w:rsidRDefault="00314C3D" w:rsidP="00374098">
      <w:pPr>
        <w:tabs>
          <w:tab w:val="left" w:pos="851"/>
          <w:tab w:val="left" w:pos="1843"/>
        </w:tabs>
        <w:ind w:left="851"/>
        <w:rPr>
          <w:sz w:val="24"/>
          <w:szCs w:val="24"/>
        </w:rPr>
      </w:pPr>
      <w:r w:rsidRPr="00212B5E">
        <w:rPr>
          <w:sz w:val="24"/>
          <w:szCs w:val="24"/>
        </w:rPr>
        <w:t xml:space="preserve">74 mg: </w:t>
      </w:r>
      <w:r w:rsidR="00374098">
        <w:rPr>
          <w:sz w:val="24"/>
          <w:szCs w:val="24"/>
        </w:rPr>
        <w:tab/>
      </w:r>
      <w:r w:rsidRPr="00212B5E">
        <w:rPr>
          <w:sz w:val="24"/>
          <w:szCs w:val="24"/>
        </w:rPr>
        <w:t>68950</w:t>
      </w:r>
    </w:p>
    <w:p w14:paraId="7EC82721" w14:textId="335BBC7B" w:rsidR="002F17ED" w:rsidRDefault="002F17ED">
      <w:pPr>
        <w:rPr>
          <w:sz w:val="24"/>
          <w:szCs w:val="24"/>
        </w:rPr>
      </w:pPr>
      <w:r>
        <w:rPr>
          <w:sz w:val="24"/>
          <w:szCs w:val="24"/>
        </w:rPr>
        <w:br w:type="page"/>
      </w:r>
    </w:p>
    <w:p w14:paraId="615A8FF3" w14:textId="77777777" w:rsidR="009260DE" w:rsidRPr="00212B5E" w:rsidRDefault="009260DE" w:rsidP="009260DE">
      <w:pPr>
        <w:tabs>
          <w:tab w:val="left" w:pos="851"/>
        </w:tabs>
        <w:ind w:left="851"/>
        <w:jc w:val="both"/>
        <w:rPr>
          <w:sz w:val="24"/>
          <w:szCs w:val="24"/>
        </w:rPr>
      </w:pPr>
    </w:p>
    <w:p w14:paraId="5F9212B3" w14:textId="77777777" w:rsidR="009260DE" w:rsidRPr="00212B5E" w:rsidRDefault="009260DE" w:rsidP="009260DE">
      <w:pPr>
        <w:tabs>
          <w:tab w:val="left" w:pos="851"/>
        </w:tabs>
        <w:ind w:left="851" w:hanging="851"/>
        <w:rPr>
          <w:b/>
          <w:sz w:val="24"/>
          <w:szCs w:val="24"/>
        </w:rPr>
      </w:pPr>
      <w:r w:rsidRPr="00212B5E">
        <w:rPr>
          <w:b/>
          <w:sz w:val="24"/>
          <w:szCs w:val="24"/>
        </w:rPr>
        <w:t>9.</w:t>
      </w:r>
      <w:r w:rsidRPr="00212B5E">
        <w:rPr>
          <w:b/>
          <w:sz w:val="24"/>
          <w:szCs w:val="24"/>
        </w:rPr>
        <w:tab/>
        <w:t>DATO FOR FØRSTE MARKEDSFØRINGSTILLADELSE</w:t>
      </w:r>
    </w:p>
    <w:p w14:paraId="01E444A8" w14:textId="2609443C" w:rsidR="009260DE" w:rsidRPr="00212B5E" w:rsidRDefault="00B04442" w:rsidP="009260DE">
      <w:pPr>
        <w:tabs>
          <w:tab w:val="left" w:pos="851"/>
        </w:tabs>
        <w:ind w:left="851"/>
        <w:rPr>
          <w:sz w:val="24"/>
          <w:szCs w:val="24"/>
        </w:rPr>
      </w:pPr>
      <w:r>
        <w:rPr>
          <w:sz w:val="24"/>
          <w:szCs w:val="24"/>
        </w:rPr>
        <w:t>12. september 2024</w:t>
      </w:r>
    </w:p>
    <w:p w14:paraId="2D2A9C87" w14:textId="77777777" w:rsidR="009260DE" w:rsidRPr="00212B5E" w:rsidRDefault="009260DE" w:rsidP="009260DE">
      <w:pPr>
        <w:tabs>
          <w:tab w:val="left" w:pos="851"/>
        </w:tabs>
        <w:ind w:left="851"/>
        <w:rPr>
          <w:sz w:val="24"/>
          <w:szCs w:val="24"/>
        </w:rPr>
      </w:pPr>
    </w:p>
    <w:p w14:paraId="56C3A310" w14:textId="77777777" w:rsidR="009260DE" w:rsidRPr="00212B5E" w:rsidRDefault="009260DE" w:rsidP="009260DE">
      <w:pPr>
        <w:tabs>
          <w:tab w:val="left" w:pos="851"/>
        </w:tabs>
        <w:ind w:left="851" w:hanging="851"/>
        <w:rPr>
          <w:b/>
          <w:sz w:val="24"/>
          <w:szCs w:val="24"/>
        </w:rPr>
      </w:pPr>
      <w:r w:rsidRPr="00212B5E">
        <w:rPr>
          <w:b/>
          <w:sz w:val="24"/>
          <w:szCs w:val="24"/>
        </w:rPr>
        <w:t>10.</w:t>
      </w:r>
      <w:r w:rsidRPr="00212B5E">
        <w:rPr>
          <w:b/>
          <w:sz w:val="24"/>
          <w:szCs w:val="24"/>
        </w:rPr>
        <w:tab/>
        <w:t>DATO FOR ÆNDRING AF TEKSTEN</w:t>
      </w:r>
    </w:p>
    <w:p w14:paraId="2A537A40" w14:textId="432B0B8D" w:rsidR="009260DE" w:rsidRPr="00212B5E" w:rsidRDefault="00314C3D" w:rsidP="009260DE">
      <w:pPr>
        <w:tabs>
          <w:tab w:val="left" w:pos="851"/>
        </w:tabs>
        <w:ind w:left="851"/>
        <w:rPr>
          <w:sz w:val="24"/>
          <w:szCs w:val="24"/>
        </w:rPr>
      </w:pPr>
      <w:r w:rsidRPr="00212B5E">
        <w:rPr>
          <w:sz w:val="24"/>
          <w:szCs w:val="24"/>
        </w:rPr>
        <w:t>-</w:t>
      </w:r>
    </w:p>
    <w:sectPr w:rsidR="009260DE" w:rsidRPr="00212B5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8D07" w14:textId="77777777" w:rsidR="002836D2" w:rsidRDefault="002836D2">
      <w:r>
        <w:separator/>
      </w:r>
    </w:p>
  </w:endnote>
  <w:endnote w:type="continuationSeparator" w:id="0">
    <w:p w14:paraId="23AD364F" w14:textId="77777777" w:rsidR="002836D2" w:rsidRDefault="0028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3E6A" w14:textId="77777777" w:rsidR="002836D2" w:rsidRDefault="002836D2">
    <w:pPr>
      <w:pStyle w:val="Sidefod"/>
      <w:pBdr>
        <w:bottom w:val="single" w:sz="6" w:space="1" w:color="auto"/>
      </w:pBdr>
    </w:pPr>
  </w:p>
  <w:p w14:paraId="03B73790" w14:textId="77777777" w:rsidR="002836D2" w:rsidRDefault="002836D2" w:rsidP="00C42586">
    <w:pPr>
      <w:pStyle w:val="Sidefod"/>
      <w:tabs>
        <w:tab w:val="clear" w:pos="4819"/>
        <w:tab w:val="left" w:pos="8505"/>
      </w:tabs>
      <w:rPr>
        <w:i/>
        <w:sz w:val="18"/>
        <w:szCs w:val="18"/>
      </w:rPr>
    </w:pPr>
  </w:p>
  <w:p w14:paraId="26DB34A1" w14:textId="11B73D40" w:rsidR="002836D2" w:rsidRPr="00B373D7" w:rsidRDefault="002836D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04442">
      <w:rPr>
        <w:i/>
        <w:noProof/>
        <w:sz w:val="18"/>
        <w:szCs w:val="18"/>
      </w:rPr>
      <w:t>Lurasidone Orifarm, filmovertrukne tabletter 18,5 mg, 37 mg og 74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E4BA" w14:textId="77777777" w:rsidR="002836D2" w:rsidRDefault="002836D2">
      <w:r>
        <w:separator/>
      </w:r>
    </w:p>
  </w:footnote>
  <w:footnote w:type="continuationSeparator" w:id="0">
    <w:p w14:paraId="3A983FFB" w14:textId="77777777" w:rsidR="002836D2" w:rsidRDefault="0028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1AC1570"/>
    <w:multiLevelType w:val="hybridMultilevel"/>
    <w:tmpl w:val="5600AA22"/>
    <w:lvl w:ilvl="0" w:tplc="F38C03E4">
      <w:numFmt w:val="bullet"/>
      <w:lvlText w:val="-"/>
      <w:lvlJc w:val="left"/>
      <w:pPr>
        <w:ind w:left="720" w:hanging="360"/>
      </w:pPr>
      <w:rPr>
        <w:rFonts w:ascii="Times New Roman" w:eastAsia="Times New Roman" w:hAnsi="Times New Roman" w:cs="Times New Roman" w:hint="default"/>
        <w:w w:val="100"/>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9B"/>
    <w:rsid w:val="000259B9"/>
    <w:rsid w:val="00041491"/>
    <w:rsid w:val="00050D16"/>
    <w:rsid w:val="000730CA"/>
    <w:rsid w:val="00074F2A"/>
    <w:rsid w:val="000A1CA8"/>
    <w:rsid w:val="000A466B"/>
    <w:rsid w:val="000B058C"/>
    <w:rsid w:val="000D68B0"/>
    <w:rsid w:val="000E4EE6"/>
    <w:rsid w:val="001454E2"/>
    <w:rsid w:val="00192064"/>
    <w:rsid w:val="001C15F0"/>
    <w:rsid w:val="00206CE8"/>
    <w:rsid w:val="00212B5E"/>
    <w:rsid w:val="0021526C"/>
    <w:rsid w:val="002836D2"/>
    <w:rsid w:val="00283A2B"/>
    <w:rsid w:val="002B30AD"/>
    <w:rsid w:val="002C1EC0"/>
    <w:rsid w:val="002C2C01"/>
    <w:rsid w:val="002C44AE"/>
    <w:rsid w:val="002F17ED"/>
    <w:rsid w:val="00314C3D"/>
    <w:rsid w:val="00325BA6"/>
    <w:rsid w:val="00374098"/>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1687"/>
    <w:rsid w:val="0082576E"/>
    <w:rsid w:val="0089346F"/>
    <w:rsid w:val="00907F75"/>
    <w:rsid w:val="009260DE"/>
    <w:rsid w:val="0093258A"/>
    <w:rsid w:val="009A43A5"/>
    <w:rsid w:val="009C7BA3"/>
    <w:rsid w:val="009D1F5A"/>
    <w:rsid w:val="009E6DD9"/>
    <w:rsid w:val="00A10294"/>
    <w:rsid w:val="00B003BF"/>
    <w:rsid w:val="00B04442"/>
    <w:rsid w:val="00B373D7"/>
    <w:rsid w:val="00B55271"/>
    <w:rsid w:val="00B950EB"/>
    <w:rsid w:val="00BD7931"/>
    <w:rsid w:val="00BF6243"/>
    <w:rsid w:val="00C36276"/>
    <w:rsid w:val="00C415A2"/>
    <w:rsid w:val="00C42586"/>
    <w:rsid w:val="00C45F6B"/>
    <w:rsid w:val="00C60CCD"/>
    <w:rsid w:val="00C84483"/>
    <w:rsid w:val="00C95551"/>
    <w:rsid w:val="00CB20D7"/>
    <w:rsid w:val="00D020B0"/>
    <w:rsid w:val="00D11748"/>
    <w:rsid w:val="00D237F6"/>
    <w:rsid w:val="00D34D98"/>
    <w:rsid w:val="00D366CF"/>
    <w:rsid w:val="00D9079D"/>
    <w:rsid w:val="00D93992"/>
    <w:rsid w:val="00E108AA"/>
    <w:rsid w:val="00E3749A"/>
    <w:rsid w:val="00E7437F"/>
    <w:rsid w:val="00E865B8"/>
    <w:rsid w:val="00EC0B9B"/>
    <w:rsid w:val="00ED239B"/>
    <w:rsid w:val="00ED5E9F"/>
    <w:rsid w:val="00F66D4F"/>
    <w:rsid w:val="00FB467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61ADF"/>
  <w15:chartTrackingRefBased/>
  <w15:docId w15:val="{972F98AF-6804-42B7-BE5E-2D5189B2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14C3D"/>
    <w:pPr>
      <w:ind w:left="720"/>
      <w:contextualSpacing/>
    </w:pPr>
    <w:rPr>
      <w:sz w:val="24"/>
      <w:lang w:eastAsia="da-DK"/>
    </w:rPr>
  </w:style>
  <w:style w:type="paragraph" w:customStyle="1" w:styleId="TableParagraph">
    <w:name w:val="Table Paragraph"/>
    <w:basedOn w:val="Normal"/>
    <w:uiPriority w:val="1"/>
    <w:qFormat/>
    <w:rsid w:val="00314C3D"/>
    <w:pPr>
      <w:widowControl w:val="0"/>
      <w:autoSpaceDE w:val="0"/>
      <w:autoSpaceDN w:val="0"/>
    </w:pPr>
    <w:rPr>
      <w:sz w:val="22"/>
      <w:szCs w:val="22"/>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258">
      <w:bodyDiv w:val="1"/>
      <w:marLeft w:val="0"/>
      <w:marRight w:val="0"/>
      <w:marTop w:val="0"/>
      <w:marBottom w:val="0"/>
      <w:divBdr>
        <w:top w:val="none" w:sz="0" w:space="0" w:color="auto"/>
        <w:left w:val="none" w:sz="0" w:space="0" w:color="auto"/>
        <w:bottom w:val="none" w:sz="0" w:space="0" w:color="auto"/>
        <w:right w:val="none" w:sz="0" w:space="0" w:color="auto"/>
      </w:divBdr>
    </w:div>
    <w:div w:id="103233833">
      <w:bodyDiv w:val="1"/>
      <w:marLeft w:val="0"/>
      <w:marRight w:val="0"/>
      <w:marTop w:val="0"/>
      <w:marBottom w:val="0"/>
      <w:divBdr>
        <w:top w:val="none" w:sz="0" w:space="0" w:color="auto"/>
        <w:left w:val="none" w:sz="0" w:space="0" w:color="auto"/>
        <w:bottom w:val="none" w:sz="0" w:space="0" w:color="auto"/>
        <w:right w:val="none" w:sz="0" w:space="0" w:color="auto"/>
      </w:divBdr>
    </w:div>
    <w:div w:id="1385449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308589">
      <w:bodyDiv w:val="1"/>
      <w:marLeft w:val="0"/>
      <w:marRight w:val="0"/>
      <w:marTop w:val="0"/>
      <w:marBottom w:val="0"/>
      <w:divBdr>
        <w:top w:val="none" w:sz="0" w:space="0" w:color="auto"/>
        <w:left w:val="none" w:sz="0" w:space="0" w:color="auto"/>
        <w:bottom w:val="none" w:sz="0" w:space="0" w:color="auto"/>
        <w:right w:val="none" w:sz="0" w:space="0" w:color="auto"/>
      </w:divBdr>
    </w:div>
    <w:div w:id="286816104">
      <w:bodyDiv w:val="1"/>
      <w:marLeft w:val="0"/>
      <w:marRight w:val="0"/>
      <w:marTop w:val="0"/>
      <w:marBottom w:val="0"/>
      <w:divBdr>
        <w:top w:val="none" w:sz="0" w:space="0" w:color="auto"/>
        <w:left w:val="none" w:sz="0" w:space="0" w:color="auto"/>
        <w:bottom w:val="none" w:sz="0" w:space="0" w:color="auto"/>
        <w:right w:val="none" w:sz="0" w:space="0" w:color="auto"/>
      </w:divBdr>
    </w:div>
    <w:div w:id="332296622">
      <w:bodyDiv w:val="1"/>
      <w:marLeft w:val="0"/>
      <w:marRight w:val="0"/>
      <w:marTop w:val="0"/>
      <w:marBottom w:val="0"/>
      <w:divBdr>
        <w:top w:val="none" w:sz="0" w:space="0" w:color="auto"/>
        <w:left w:val="none" w:sz="0" w:space="0" w:color="auto"/>
        <w:bottom w:val="none" w:sz="0" w:space="0" w:color="auto"/>
        <w:right w:val="none" w:sz="0" w:space="0" w:color="auto"/>
      </w:divBdr>
    </w:div>
    <w:div w:id="522329522">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80410331">
      <w:bodyDiv w:val="1"/>
      <w:marLeft w:val="0"/>
      <w:marRight w:val="0"/>
      <w:marTop w:val="0"/>
      <w:marBottom w:val="0"/>
      <w:divBdr>
        <w:top w:val="none" w:sz="0" w:space="0" w:color="auto"/>
        <w:left w:val="none" w:sz="0" w:space="0" w:color="auto"/>
        <w:bottom w:val="none" w:sz="0" w:space="0" w:color="auto"/>
        <w:right w:val="none" w:sz="0" w:space="0" w:color="auto"/>
      </w:divBdr>
    </w:div>
    <w:div w:id="721372047">
      <w:bodyDiv w:val="1"/>
      <w:marLeft w:val="0"/>
      <w:marRight w:val="0"/>
      <w:marTop w:val="0"/>
      <w:marBottom w:val="0"/>
      <w:divBdr>
        <w:top w:val="none" w:sz="0" w:space="0" w:color="auto"/>
        <w:left w:val="none" w:sz="0" w:space="0" w:color="auto"/>
        <w:bottom w:val="none" w:sz="0" w:space="0" w:color="auto"/>
        <w:right w:val="none" w:sz="0" w:space="0" w:color="auto"/>
      </w:divBdr>
    </w:div>
    <w:div w:id="749620706">
      <w:bodyDiv w:val="1"/>
      <w:marLeft w:val="0"/>
      <w:marRight w:val="0"/>
      <w:marTop w:val="0"/>
      <w:marBottom w:val="0"/>
      <w:divBdr>
        <w:top w:val="none" w:sz="0" w:space="0" w:color="auto"/>
        <w:left w:val="none" w:sz="0" w:space="0" w:color="auto"/>
        <w:bottom w:val="none" w:sz="0" w:space="0" w:color="auto"/>
        <w:right w:val="none" w:sz="0" w:space="0" w:color="auto"/>
      </w:divBdr>
    </w:div>
    <w:div w:id="999578995">
      <w:bodyDiv w:val="1"/>
      <w:marLeft w:val="0"/>
      <w:marRight w:val="0"/>
      <w:marTop w:val="0"/>
      <w:marBottom w:val="0"/>
      <w:divBdr>
        <w:top w:val="none" w:sz="0" w:space="0" w:color="auto"/>
        <w:left w:val="none" w:sz="0" w:space="0" w:color="auto"/>
        <w:bottom w:val="none" w:sz="0" w:space="0" w:color="auto"/>
        <w:right w:val="none" w:sz="0" w:space="0" w:color="auto"/>
      </w:divBdr>
    </w:div>
    <w:div w:id="1046877158">
      <w:bodyDiv w:val="1"/>
      <w:marLeft w:val="0"/>
      <w:marRight w:val="0"/>
      <w:marTop w:val="0"/>
      <w:marBottom w:val="0"/>
      <w:divBdr>
        <w:top w:val="none" w:sz="0" w:space="0" w:color="auto"/>
        <w:left w:val="none" w:sz="0" w:space="0" w:color="auto"/>
        <w:bottom w:val="none" w:sz="0" w:space="0" w:color="auto"/>
        <w:right w:val="none" w:sz="0" w:space="0" w:color="auto"/>
      </w:divBdr>
    </w:div>
    <w:div w:id="1101100466">
      <w:bodyDiv w:val="1"/>
      <w:marLeft w:val="0"/>
      <w:marRight w:val="0"/>
      <w:marTop w:val="0"/>
      <w:marBottom w:val="0"/>
      <w:divBdr>
        <w:top w:val="none" w:sz="0" w:space="0" w:color="auto"/>
        <w:left w:val="none" w:sz="0" w:space="0" w:color="auto"/>
        <w:bottom w:val="none" w:sz="0" w:space="0" w:color="auto"/>
        <w:right w:val="none" w:sz="0" w:space="0" w:color="auto"/>
      </w:divBdr>
    </w:div>
    <w:div w:id="1296909403">
      <w:bodyDiv w:val="1"/>
      <w:marLeft w:val="0"/>
      <w:marRight w:val="0"/>
      <w:marTop w:val="0"/>
      <w:marBottom w:val="0"/>
      <w:divBdr>
        <w:top w:val="none" w:sz="0" w:space="0" w:color="auto"/>
        <w:left w:val="none" w:sz="0" w:space="0" w:color="auto"/>
        <w:bottom w:val="none" w:sz="0" w:space="0" w:color="auto"/>
        <w:right w:val="none" w:sz="0" w:space="0" w:color="auto"/>
      </w:divBdr>
    </w:div>
    <w:div w:id="1362978757">
      <w:bodyDiv w:val="1"/>
      <w:marLeft w:val="0"/>
      <w:marRight w:val="0"/>
      <w:marTop w:val="0"/>
      <w:marBottom w:val="0"/>
      <w:divBdr>
        <w:top w:val="none" w:sz="0" w:space="0" w:color="auto"/>
        <w:left w:val="none" w:sz="0" w:space="0" w:color="auto"/>
        <w:bottom w:val="none" w:sz="0" w:space="0" w:color="auto"/>
        <w:right w:val="none" w:sz="0" w:space="0" w:color="auto"/>
      </w:divBdr>
    </w:div>
    <w:div w:id="1510559410">
      <w:bodyDiv w:val="1"/>
      <w:marLeft w:val="0"/>
      <w:marRight w:val="0"/>
      <w:marTop w:val="0"/>
      <w:marBottom w:val="0"/>
      <w:divBdr>
        <w:top w:val="none" w:sz="0" w:space="0" w:color="auto"/>
        <w:left w:val="none" w:sz="0" w:space="0" w:color="auto"/>
        <w:bottom w:val="none" w:sz="0" w:space="0" w:color="auto"/>
        <w:right w:val="none" w:sz="0" w:space="0" w:color="auto"/>
      </w:divBdr>
    </w:div>
    <w:div w:id="1633485535">
      <w:bodyDiv w:val="1"/>
      <w:marLeft w:val="0"/>
      <w:marRight w:val="0"/>
      <w:marTop w:val="0"/>
      <w:marBottom w:val="0"/>
      <w:divBdr>
        <w:top w:val="none" w:sz="0" w:space="0" w:color="auto"/>
        <w:left w:val="none" w:sz="0" w:space="0" w:color="auto"/>
        <w:bottom w:val="none" w:sz="0" w:space="0" w:color="auto"/>
        <w:right w:val="none" w:sz="0" w:space="0" w:color="auto"/>
      </w:divBdr>
    </w:div>
    <w:div w:id="1652755427">
      <w:bodyDiv w:val="1"/>
      <w:marLeft w:val="0"/>
      <w:marRight w:val="0"/>
      <w:marTop w:val="0"/>
      <w:marBottom w:val="0"/>
      <w:divBdr>
        <w:top w:val="none" w:sz="0" w:space="0" w:color="auto"/>
        <w:left w:val="none" w:sz="0" w:space="0" w:color="auto"/>
        <w:bottom w:val="none" w:sz="0" w:space="0" w:color="auto"/>
        <w:right w:val="none" w:sz="0" w:space="0" w:color="auto"/>
      </w:divBdr>
    </w:div>
    <w:div w:id="1799836354">
      <w:bodyDiv w:val="1"/>
      <w:marLeft w:val="0"/>
      <w:marRight w:val="0"/>
      <w:marTop w:val="0"/>
      <w:marBottom w:val="0"/>
      <w:divBdr>
        <w:top w:val="none" w:sz="0" w:space="0" w:color="auto"/>
        <w:left w:val="none" w:sz="0" w:space="0" w:color="auto"/>
        <w:bottom w:val="none" w:sz="0" w:space="0" w:color="auto"/>
        <w:right w:val="none" w:sz="0" w:space="0" w:color="auto"/>
      </w:divBdr>
    </w:div>
    <w:div w:id="19010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52</TotalTime>
  <Pages>25</Pages>
  <Words>6778</Words>
  <Characters>45575</Characters>
  <Application>Microsoft Office Word</Application>
  <DocSecurity>0</DocSecurity>
  <Lines>379</Lines>
  <Paragraphs>104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2022123513, MT</dc:description>
  <cp:lastModifiedBy>Gitte Jørgensen</cp:lastModifiedBy>
  <cp:revision>14</cp:revision>
  <cp:lastPrinted>2012-08-22T08:53:00Z</cp:lastPrinted>
  <dcterms:created xsi:type="dcterms:W3CDTF">2024-09-12T08:17:00Z</dcterms:created>
  <dcterms:modified xsi:type="dcterms:W3CDTF">2024-09-12T12:16:00Z</dcterms:modified>
</cp:coreProperties>
</file>